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3" w:rsidRPr="00983F16" w:rsidRDefault="00A54193" w:rsidP="00983F16">
      <w:pPr>
        <w:spacing w:after="0"/>
        <w:rPr>
          <w:rFonts w:ascii="Century Gothic" w:eastAsia="Times New Roman" w:hAnsi="Century Gothic" w:cs="Tahoma"/>
          <w:b/>
          <w:lang w:eastAsia="pl-PL"/>
        </w:rPr>
      </w:pPr>
      <w:r w:rsidRPr="00983F16">
        <w:rPr>
          <w:rFonts w:ascii="Century Gothic" w:eastAsia="Times New Roman" w:hAnsi="Century Gothic" w:cs="Tahoma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62865</wp:posOffset>
            </wp:positionV>
            <wp:extent cx="1676400" cy="1647825"/>
            <wp:effectExtent l="19050" t="0" r="0" b="0"/>
            <wp:wrapSquare wrapText="bothSides"/>
            <wp:docPr id="1" name="Obraz 1" descr="C:\Documents and Settings\MICHAL\Moje dokumenty\_Aktualne promocyjne\logotypy małe\Logo_KPK_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 descr="C:\Documents and Settings\MICHAL\Moje dokumenty\_Aktualne promocyjne\logotypy małe\Logo_KPK_k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40B" w:rsidRPr="00983F16" w:rsidRDefault="0026340B" w:rsidP="00983F16">
      <w:pPr>
        <w:spacing w:after="0"/>
        <w:rPr>
          <w:rFonts w:ascii="Century Gothic" w:eastAsia="Times New Roman" w:hAnsi="Century Gothic" w:cs="Tahoma"/>
          <w:b/>
          <w:sz w:val="24"/>
          <w:szCs w:val="24"/>
          <w:lang w:eastAsia="pl-PL"/>
        </w:rPr>
      </w:pPr>
      <w:r w:rsidRPr="00983F16">
        <w:rPr>
          <w:rFonts w:ascii="Century Gothic" w:eastAsia="Times New Roman" w:hAnsi="Century Gothic" w:cs="Tahoma"/>
          <w:b/>
          <w:sz w:val="24"/>
          <w:szCs w:val="24"/>
          <w:lang w:eastAsia="pl-PL"/>
        </w:rPr>
        <w:t>Informacja prasowa</w:t>
      </w:r>
    </w:p>
    <w:p w:rsidR="00D605C6" w:rsidRPr="00983F16" w:rsidRDefault="00EB7F67" w:rsidP="00983F16">
      <w:pPr>
        <w:spacing w:after="0"/>
        <w:rPr>
          <w:rFonts w:ascii="Century Gothic" w:eastAsia="Times New Roman" w:hAnsi="Century Gothic" w:cs="Tahoma"/>
          <w:lang w:eastAsia="pl-PL"/>
        </w:rPr>
      </w:pPr>
      <w:r w:rsidRPr="00983F16">
        <w:rPr>
          <w:rFonts w:ascii="Century Gothic" w:eastAsia="Times New Roman" w:hAnsi="Century Gothic" w:cs="Tahoma"/>
          <w:lang w:eastAsia="pl-PL"/>
        </w:rPr>
        <w:t>Legnica, 14.11</w:t>
      </w:r>
      <w:r w:rsidR="00D605C6" w:rsidRPr="00983F16">
        <w:rPr>
          <w:rFonts w:ascii="Century Gothic" w:eastAsia="Times New Roman" w:hAnsi="Century Gothic" w:cs="Tahoma"/>
          <w:lang w:eastAsia="pl-PL"/>
        </w:rPr>
        <w:t>.2014</w:t>
      </w:r>
    </w:p>
    <w:p w:rsidR="0026340B" w:rsidRPr="00983F16" w:rsidRDefault="0026340B" w:rsidP="00983F16">
      <w:pPr>
        <w:spacing w:after="0"/>
        <w:rPr>
          <w:rFonts w:ascii="Century Gothic" w:eastAsia="Times New Roman" w:hAnsi="Century Gothic" w:cs="Tahoma"/>
          <w:color w:val="C00000"/>
          <w:lang w:eastAsia="pl-PL"/>
        </w:rPr>
      </w:pPr>
    </w:p>
    <w:p w:rsidR="005D53EF" w:rsidRPr="00983F16" w:rsidRDefault="005D53EF" w:rsidP="00983F16">
      <w:pPr>
        <w:spacing w:after="0"/>
        <w:rPr>
          <w:rFonts w:ascii="Century Gothic" w:eastAsia="Times New Roman" w:hAnsi="Century Gothic" w:cs="Tahoma"/>
          <w:b/>
          <w:color w:val="C00000"/>
          <w:sz w:val="36"/>
          <w:szCs w:val="36"/>
          <w:lang w:eastAsia="pl-PL"/>
        </w:rPr>
      </w:pPr>
      <w:r w:rsidRPr="00983F16">
        <w:rPr>
          <w:rFonts w:ascii="Century Gothic" w:eastAsia="Times New Roman" w:hAnsi="Century Gothic" w:cs="Tahoma"/>
          <w:b/>
          <w:color w:val="C00000"/>
          <w:sz w:val="36"/>
          <w:szCs w:val="36"/>
          <w:lang w:eastAsia="pl-PL"/>
        </w:rPr>
        <w:t>Nowe Instrumenty Finansowe UE </w:t>
      </w:r>
      <w:r w:rsidR="00C142F6" w:rsidRPr="00983F16">
        <w:rPr>
          <w:rFonts w:ascii="Century Gothic" w:eastAsia="Times New Roman" w:hAnsi="Century Gothic" w:cs="Tahoma"/>
          <w:b/>
          <w:color w:val="C00000"/>
          <w:sz w:val="36"/>
          <w:szCs w:val="36"/>
          <w:lang w:eastAsia="pl-PL"/>
        </w:rPr>
        <w:br/>
      </w:r>
      <w:r w:rsidR="00CE169F" w:rsidRPr="00983F16">
        <w:rPr>
          <w:rFonts w:ascii="Century Gothic" w:eastAsia="Times New Roman" w:hAnsi="Century Gothic" w:cs="Tahoma"/>
          <w:b/>
          <w:color w:val="C00000"/>
          <w:sz w:val="36"/>
          <w:szCs w:val="36"/>
          <w:lang w:eastAsia="pl-PL"/>
        </w:rPr>
        <w:t>dla biznesu czas zacząć!</w:t>
      </w:r>
    </w:p>
    <w:p w:rsidR="005D53EF" w:rsidRPr="00983F16" w:rsidRDefault="005D53EF" w:rsidP="00983F16">
      <w:pPr>
        <w:spacing w:after="0"/>
        <w:jc w:val="both"/>
        <w:rPr>
          <w:rFonts w:ascii="Century Gothic" w:eastAsia="Times New Roman" w:hAnsi="Century Gothic" w:cs="Tahoma"/>
          <w:lang w:eastAsia="pl-PL"/>
        </w:rPr>
      </w:pPr>
    </w:p>
    <w:p w:rsidR="00983F16" w:rsidRDefault="00CE169F" w:rsidP="00983F16">
      <w:pPr>
        <w:spacing w:after="0"/>
        <w:jc w:val="both"/>
        <w:rPr>
          <w:rFonts w:ascii="Century Gothic" w:hAnsi="Century Gothic"/>
          <w:b/>
          <w:bCs/>
          <w:i/>
        </w:rPr>
      </w:pPr>
      <w:r w:rsidRPr="00983F16">
        <w:rPr>
          <w:rFonts w:ascii="Century Gothic" w:hAnsi="Century Gothic"/>
          <w:b/>
          <w:bCs/>
          <w:i/>
        </w:rPr>
        <w:t>Wystartowały pierwsze konkursy na wsparcie dla biznesu</w:t>
      </w:r>
      <w:r w:rsidR="0026340B" w:rsidRPr="00983F16">
        <w:rPr>
          <w:rFonts w:ascii="Century Gothic" w:hAnsi="Century Gothic"/>
          <w:b/>
          <w:bCs/>
          <w:i/>
        </w:rPr>
        <w:t xml:space="preserve"> </w:t>
      </w:r>
      <w:r w:rsidR="00EB7F67" w:rsidRPr="00983F16">
        <w:rPr>
          <w:rFonts w:ascii="Century Gothic" w:hAnsi="Century Gothic"/>
          <w:b/>
          <w:bCs/>
          <w:i/>
        </w:rPr>
        <w:t xml:space="preserve">w ramach </w:t>
      </w:r>
      <w:r w:rsidR="0026340B" w:rsidRPr="00983F16">
        <w:rPr>
          <w:rFonts w:ascii="Century Gothic" w:hAnsi="Century Gothic"/>
          <w:b/>
          <w:bCs/>
          <w:i/>
        </w:rPr>
        <w:t>nowej europejskiej puli finansowej (2014-2020)</w:t>
      </w:r>
      <w:r w:rsidRPr="00983F16">
        <w:rPr>
          <w:rFonts w:ascii="Century Gothic" w:hAnsi="Century Gothic"/>
          <w:b/>
          <w:bCs/>
          <w:i/>
        </w:rPr>
        <w:t xml:space="preserve">. </w:t>
      </w:r>
      <w:r w:rsidR="00EB7F67" w:rsidRPr="00983F16">
        <w:rPr>
          <w:rFonts w:ascii="Century Gothic" w:hAnsi="Century Gothic"/>
          <w:b/>
          <w:bCs/>
          <w:i/>
        </w:rPr>
        <w:t>Wezmą w nich udział</w:t>
      </w:r>
      <w:r w:rsidR="006823C0" w:rsidRPr="00983F16">
        <w:rPr>
          <w:rFonts w:ascii="Century Gothic" w:hAnsi="Century Gothic"/>
          <w:b/>
          <w:bCs/>
          <w:i/>
        </w:rPr>
        <w:t xml:space="preserve"> </w:t>
      </w:r>
      <w:r w:rsidR="00EB7F67" w:rsidRPr="00983F16">
        <w:rPr>
          <w:rFonts w:ascii="Century Gothic" w:hAnsi="Century Gothic"/>
          <w:b/>
          <w:bCs/>
          <w:i/>
        </w:rPr>
        <w:t xml:space="preserve">m.in. </w:t>
      </w:r>
      <w:r w:rsidRPr="00983F16">
        <w:rPr>
          <w:rFonts w:ascii="Century Gothic" w:hAnsi="Century Gothic"/>
          <w:b/>
          <w:bCs/>
          <w:i/>
        </w:rPr>
        <w:t xml:space="preserve">kandydaci na pośredników finansowych z całej Europy. Także polscy przedsiębiorcy mogą zyskać dostęp do miliardów euro </w:t>
      </w:r>
      <w:r w:rsidR="00EB7F67" w:rsidRPr="00983F16">
        <w:rPr>
          <w:rFonts w:ascii="Century Gothic" w:hAnsi="Century Gothic"/>
          <w:b/>
          <w:bCs/>
          <w:i/>
        </w:rPr>
        <w:t>grantów i </w:t>
      </w:r>
      <w:r w:rsidRPr="00983F16">
        <w:rPr>
          <w:rFonts w:ascii="Century Gothic" w:hAnsi="Century Gothic"/>
          <w:b/>
          <w:bCs/>
          <w:i/>
        </w:rPr>
        <w:t xml:space="preserve">preferencyjnego finansowania. </w:t>
      </w:r>
    </w:p>
    <w:p w:rsidR="00983F16" w:rsidRPr="00EF5DF1" w:rsidRDefault="00983F16" w:rsidP="00983F16">
      <w:pPr>
        <w:spacing w:after="0"/>
        <w:jc w:val="both"/>
        <w:rPr>
          <w:rFonts w:ascii="Century Gothic" w:hAnsi="Century Gothic"/>
          <w:b/>
          <w:bCs/>
          <w:i/>
          <w:sz w:val="20"/>
          <w:szCs w:val="20"/>
        </w:rPr>
      </w:pPr>
    </w:p>
    <w:p w:rsidR="00C142F6" w:rsidRPr="00EF5DF1" w:rsidRDefault="00C142F6" w:rsidP="00983F1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F5DF1">
        <w:rPr>
          <w:rFonts w:ascii="Century Gothic" w:hAnsi="Century Gothic"/>
          <w:sz w:val="20"/>
          <w:szCs w:val="20"/>
        </w:rPr>
        <w:t xml:space="preserve">Europejski Fundusz Inwestycyjny (EFI) </w:t>
      </w:r>
      <w:r w:rsidR="00A0223C" w:rsidRPr="00EF5DF1">
        <w:rPr>
          <w:rFonts w:ascii="Century Gothic" w:hAnsi="Century Gothic"/>
          <w:sz w:val="20"/>
          <w:szCs w:val="20"/>
        </w:rPr>
        <w:t xml:space="preserve">i Europejski Bank Inwestycyjny </w:t>
      </w:r>
      <w:r w:rsidRPr="00EF5DF1">
        <w:rPr>
          <w:rFonts w:ascii="Century Gothic" w:hAnsi="Century Gothic"/>
          <w:sz w:val="20"/>
          <w:szCs w:val="20"/>
        </w:rPr>
        <w:t>ogłosił</w:t>
      </w:r>
      <w:r w:rsidR="00A0223C" w:rsidRPr="00EF5DF1">
        <w:rPr>
          <w:rFonts w:ascii="Century Gothic" w:hAnsi="Century Gothic"/>
          <w:sz w:val="20"/>
          <w:szCs w:val="20"/>
        </w:rPr>
        <w:t>y</w:t>
      </w:r>
      <w:r w:rsidRPr="00EF5DF1">
        <w:rPr>
          <w:rFonts w:ascii="Century Gothic" w:hAnsi="Century Gothic"/>
          <w:sz w:val="20"/>
          <w:szCs w:val="20"/>
        </w:rPr>
        <w:t xml:space="preserve"> pierwsze konkursy dla </w:t>
      </w:r>
      <w:r w:rsidR="00A0223C" w:rsidRPr="00EF5DF1">
        <w:rPr>
          <w:rFonts w:ascii="Century Gothic" w:hAnsi="Century Gothic"/>
          <w:sz w:val="20"/>
          <w:szCs w:val="20"/>
        </w:rPr>
        <w:t xml:space="preserve">przedsiębiorców i dla </w:t>
      </w:r>
      <w:r w:rsidRPr="00EF5DF1">
        <w:rPr>
          <w:rFonts w:ascii="Century Gothic" w:hAnsi="Century Gothic"/>
          <w:sz w:val="20"/>
          <w:szCs w:val="20"/>
        </w:rPr>
        <w:t>instytucji finansowych</w:t>
      </w:r>
      <w:r w:rsidR="00A0223C" w:rsidRPr="00EF5DF1">
        <w:rPr>
          <w:rFonts w:ascii="Century Gothic" w:hAnsi="Century Gothic"/>
          <w:sz w:val="20"/>
          <w:szCs w:val="20"/>
        </w:rPr>
        <w:t xml:space="preserve">. </w:t>
      </w:r>
      <w:r w:rsidRPr="00EF5DF1">
        <w:rPr>
          <w:rFonts w:ascii="Century Gothic" w:hAnsi="Century Gothic"/>
          <w:sz w:val="20"/>
          <w:szCs w:val="20"/>
        </w:rPr>
        <w:t xml:space="preserve">Konkursy </w:t>
      </w:r>
      <w:r w:rsidR="00A0223C" w:rsidRPr="00EF5DF1">
        <w:rPr>
          <w:rFonts w:ascii="Century Gothic" w:hAnsi="Century Gothic"/>
          <w:sz w:val="20"/>
          <w:szCs w:val="20"/>
        </w:rPr>
        <w:t xml:space="preserve">te </w:t>
      </w:r>
      <w:r w:rsidRPr="00EF5DF1">
        <w:rPr>
          <w:rFonts w:ascii="Century Gothic" w:hAnsi="Century Gothic"/>
          <w:sz w:val="20"/>
          <w:szCs w:val="20"/>
        </w:rPr>
        <w:t xml:space="preserve">dotyczą programów </w:t>
      </w:r>
      <w:r w:rsidR="00A0223C" w:rsidRPr="00EF5DF1">
        <w:rPr>
          <w:rFonts w:ascii="Century Gothic" w:hAnsi="Century Gothic"/>
          <w:sz w:val="20"/>
          <w:szCs w:val="20"/>
        </w:rPr>
        <w:t>ramowych UE</w:t>
      </w:r>
      <w:r w:rsidR="00EB7F67" w:rsidRPr="00EF5DF1">
        <w:rPr>
          <w:rFonts w:ascii="Century Gothic" w:hAnsi="Century Gothic"/>
          <w:sz w:val="20"/>
          <w:szCs w:val="20"/>
        </w:rPr>
        <w:t xml:space="preserve"> na lata 2014-2020</w:t>
      </w:r>
      <w:r w:rsidR="00A0223C" w:rsidRPr="00EF5DF1">
        <w:rPr>
          <w:rFonts w:ascii="Century Gothic" w:hAnsi="Century Gothic"/>
          <w:sz w:val="20"/>
          <w:szCs w:val="20"/>
        </w:rPr>
        <w:t xml:space="preserve">: </w:t>
      </w:r>
      <w:r w:rsidRPr="00EF5DF1">
        <w:rPr>
          <w:rFonts w:ascii="Century Gothic" w:hAnsi="Century Gothic"/>
          <w:sz w:val="20"/>
          <w:szCs w:val="20"/>
        </w:rPr>
        <w:t xml:space="preserve">COSME </w:t>
      </w:r>
      <w:r w:rsidR="00A0223C" w:rsidRPr="00EF5DF1">
        <w:rPr>
          <w:rFonts w:ascii="Century Gothic" w:hAnsi="Century Gothic"/>
          <w:sz w:val="20"/>
          <w:szCs w:val="20"/>
        </w:rPr>
        <w:t>(program na rzecz konkurencyjności przedsiębiorstw i MŚP)</w:t>
      </w:r>
      <w:r w:rsidR="00EB7F67" w:rsidRPr="00EF5DF1">
        <w:rPr>
          <w:rFonts w:ascii="Century Gothic" w:hAnsi="Century Gothic"/>
          <w:sz w:val="20"/>
          <w:szCs w:val="20"/>
        </w:rPr>
        <w:t xml:space="preserve"> i </w:t>
      </w:r>
      <w:r w:rsidRPr="00EF5DF1">
        <w:rPr>
          <w:rFonts w:ascii="Century Gothic" w:hAnsi="Century Gothic"/>
          <w:sz w:val="20"/>
          <w:szCs w:val="20"/>
        </w:rPr>
        <w:t>Horyzont 2020</w:t>
      </w:r>
      <w:r w:rsidR="00A0223C" w:rsidRPr="00EF5DF1">
        <w:rPr>
          <w:rFonts w:ascii="Century Gothic" w:hAnsi="Century Gothic"/>
          <w:sz w:val="20"/>
          <w:szCs w:val="20"/>
        </w:rPr>
        <w:t xml:space="preserve"> (program na rzecz badań naukowych i innowacji)</w:t>
      </w:r>
      <w:r w:rsidRPr="00EF5DF1">
        <w:rPr>
          <w:rFonts w:ascii="Century Gothic" w:hAnsi="Century Gothic"/>
          <w:sz w:val="20"/>
          <w:szCs w:val="20"/>
        </w:rPr>
        <w:t xml:space="preserve">. </w:t>
      </w:r>
    </w:p>
    <w:p w:rsidR="00A54193" w:rsidRPr="00EF5DF1" w:rsidRDefault="00A54193" w:rsidP="00983F1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142F6" w:rsidRPr="00EF5DF1" w:rsidRDefault="00EB7F67" w:rsidP="00983F16">
      <w:pPr>
        <w:spacing w:after="0"/>
        <w:ind w:right="-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>–</w:t>
      </w:r>
      <w:r w:rsidR="00C142F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 Dzięki</w:t>
      </w:r>
      <w:r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 </w:t>
      </w:r>
      <w:r w:rsidR="00C142F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>wspólnym działaniom Komisji Europejski, polskiego rządu</w:t>
      </w:r>
      <w:r w:rsidR="00C142F6" w:rsidRPr="00EF5DF1">
        <w:rPr>
          <w:rFonts w:ascii="Century Gothic" w:hAnsi="Century Gothic"/>
          <w:b/>
          <w:i/>
          <w:sz w:val="20"/>
          <w:szCs w:val="20"/>
        </w:rPr>
        <w:t xml:space="preserve"> </w:t>
      </w:r>
      <w:r w:rsidR="00C142F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>i naszego rynku finansowego powiększa się oferta finansowa dla polskich przedsiębiorców</w:t>
      </w:r>
      <w:r w:rsidR="00A0223C"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 oraz innych podmiotów zainteresowanych jej wykorzystaniem dla rozwoju</w:t>
      </w:r>
      <w:r w:rsidR="00C142F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. Kolejne źródła finansowania są tym bardziej cenne, że skierowane </w:t>
      </w:r>
      <w:r w:rsidR="00A0223C"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są np. </w:t>
      </w:r>
      <w:r w:rsidR="00C142F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>do początkujących</w:t>
      </w:r>
      <w:r w:rsidR="00A0223C"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 czy do</w:t>
      </w:r>
      <w:r w:rsidR="00C142F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 mikroprzedsiębiorców – czyli podmiotów napoty</w:t>
      </w:r>
      <w:r w:rsidR="00983F1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>kających największe trudności w </w:t>
      </w:r>
      <w:r w:rsidR="00C142F6"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dostępie do kredytu. </w:t>
      </w:r>
      <w:r w:rsidR="00C142F6"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>Jest to szczególnie ważne w obecnej</w:t>
      </w:r>
      <w:r w:rsidR="00C142F6" w:rsidRPr="00EF5DF1">
        <w:rPr>
          <w:rFonts w:ascii="Century Gothic" w:hAnsi="Century Gothic"/>
          <w:b/>
          <w:i/>
          <w:color w:val="000000"/>
          <w:sz w:val="20"/>
          <w:szCs w:val="20"/>
        </w:rPr>
        <w:t xml:space="preserve"> sytuacji, gdy wyczerpały się</w:t>
      </w:r>
      <w:r w:rsidR="00C142F6"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 xml:space="preserve"> </w:t>
      </w:r>
      <w:r w:rsidR="00FC65B9"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 xml:space="preserve">inne, </w:t>
      </w:r>
      <w:r w:rsidR="00C142F6"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>bezzwrotne</w:t>
      </w:r>
      <w:r w:rsidR="00FC65B9"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 xml:space="preserve"> źródła wsparcia gospodarki</w:t>
      </w:r>
      <w:r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 xml:space="preserve"> </w:t>
      </w:r>
      <w:r w:rsidR="00C142F6" w:rsidRPr="00EF5DF1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–</w:t>
      </w:r>
      <w:r w:rsidR="00C142F6"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 xml:space="preserve"> </w:t>
      </w:r>
      <w:r w:rsidR="00C142F6" w:rsidRPr="00EF5DF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powiedziała Ilona </w:t>
      </w:r>
      <w:proofErr w:type="spellStart"/>
      <w:r w:rsidR="00C142F6" w:rsidRPr="00EF5DF1">
        <w:rPr>
          <w:rFonts w:ascii="Century Gothic" w:eastAsia="Times New Roman" w:hAnsi="Century Gothic" w:cs="Times New Roman"/>
          <w:sz w:val="20"/>
          <w:szCs w:val="20"/>
          <w:lang w:eastAsia="pl-PL"/>
        </w:rPr>
        <w:t>ANTONISZYN-KLIK</w:t>
      </w:r>
      <w:proofErr w:type="spellEnd"/>
      <w:r w:rsidR="00C142F6" w:rsidRPr="00EF5DF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Podsekretarz Stanu w Ministerstwie Gospodarki. </w:t>
      </w:r>
    </w:p>
    <w:p w:rsidR="00A54193" w:rsidRPr="00EF5DF1" w:rsidRDefault="00A54193" w:rsidP="00983F16">
      <w:pPr>
        <w:spacing w:after="0"/>
        <w:ind w:right="-142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4901AB" w:rsidRPr="00EF5DF1" w:rsidRDefault="0045454B" w:rsidP="00983F16">
      <w:pPr>
        <w:spacing w:after="0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  <w:r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W 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budżetach </w:t>
      </w:r>
      <w:r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programów </w:t>
      </w:r>
      <w:r w:rsidR="0078093A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ramowych 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Unii Europejskiej </w:t>
      </w:r>
      <w:r w:rsidR="0078093A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na lata 2014-2020 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znajdzie się </w:t>
      </w:r>
      <w:r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ponad </w:t>
      </w:r>
      <w:r w:rsidR="004901AB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81 m</w:t>
      </w:r>
      <w:r w:rsidR="00487E11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ld</w:t>
      </w:r>
      <w:r w:rsidR="004901AB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EUR na rozwój, w tym </w:t>
      </w:r>
      <w:r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4,5 mld na tworzenie </w:t>
      </w:r>
      <w:r w:rsidR="004901AB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nowych, preferencyjnych, </w:t>
      </w:r>
      <w:r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instrumentów finansowych, wspierających dostęp przedsiębiorstw do finansowania. </w:t>
      </w:r>
      <w:r w:rsidR="005266DB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Według aktualnych szacunków</w:t>
      </w:r>
      <w:r w:rsidR="000F158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, pozwoli to na </w:t>
      </w:r>
      <w:r w:rsidR="008335B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uruchomienie preferencyjnej 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oferty </w:t>
      </w:r>
      <w:r w:rsidR="008335B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produktó</w:t>
      </w:r>
      <w:r w:rsidR="004901AB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w finansowych o wartości ponad 7</w:t>
      </w:r>
      <w:r w:rsidR="008335B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0 mld </w:t>
      </w:r>
      <w:r w:rsidR="004901AB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EUR</w:t>
      </w:r>
      <w:r w:rsidR="008335B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. </w:t>
      </w:r>
    </w:p>
    <w:p w:rsidR="004901AB" w:rsidRPr="00EF5DF1" w:rsidRDefault="004901AB" w:rsidP="00983F16">
      <w:pPr>
        <w:spacing w:after="0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</w:p>
    <w:p w:rsidR="00EB7F67" w:rsidRPr="00EF5DF1" w:rsidRDefault="0045454B" w:rsidP="00983F16">
      <w:pPr>
        <w:spacing w:after="0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  <w:r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Preferencyjne produkty </w:t>
      </w:r>
      <w:r w:rsidR="00E63F5F"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zwrotne </w:t>
      </w:r>
      <w:r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>obejmą kredyty,</w:t>
      </w:r>
      <w:r w:rsidR="00983F16"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pożyczki, leasing, gwarancje i </w:t>
      </w:r>
      <w:r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poręczenia, a także wsparcie o charakterze kapitałowym, </w:t>
      </w:r>
      <w:proofErr w:type="spellStart"/>
      <w:r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>sekurytyzację</w:t>
      </w:r>
      <w:proofErr w:type="spellEnd"/>
      <w:r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oraz finansowanie typu </w:t>
      </w:r>
      <w:proofErr w:type="spellStart"/>
      <w:r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>mezzanine</w:t>
      </w:r>
      <w:proofErr w:type="spellEnd"/>
      <w:r w:rsidRPr="00EF5DF1">
        <w:rPr>
          <w:rFonts w:ascii="Century Gothic" w:eastAsia="Times New Roman" w:hAnsi="Century Gothic" w:cs="Tahoma"/>
          <w:b/>
          <w:sz w:val="20"/>
          <w:szCs w:val="20"/>
          <w:lang w:eastAsia="pl-PL"/>
        </w:rPr>
        <w:t>.</w:t>
      </w:r>
      <w:r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U</w:t>
      </w:r>
      <w:r w:rsidR="00B46B7B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nijne </w:t>
      </w:r>
      <w:r w:rsidR="000F158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wsparcie 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dla przedsiębiorców nie będzie objęte reżimem pomocy publicznej. W większości przypadków będzie także bezpłatne 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zarówno 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dla przedsiębiorców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, jak i</w:t>
      </w:r>
      <w:r w:rsidR="00EB7F6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pośredniczących instytucji finansowych.</w:t>
      </w:r>
    </w:p>
    <w:p w:rsidR="00916663" w:rsidRPr="00EF5DF1" w:rsidRDefault="00916663" w:rsidP="00983F16">
      <w:pPr>
        <w:spacing w:after="0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</w:p>
    <w:p w:rsidR="00916663" w:rsidRPr="00EF5DF1" w:rsidRDefault="00EB7F67" w:rsidP="00983F16">
      <w:pPr>
        <w:spacing w:after="0"/>
        <w:jc w:val="both"/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</w:pPr>
      <w:r w:rsidRPr="00EF5DF1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>–</w:t>
      </w:r>
      <w:r w:rsidRPr="00EF5DF1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 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Uruchomione właśnie konkursy 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to szansa dla </w:t>
      </w:r>
      <w:r w:rsidR="00C0684E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>polskiego rynku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, grupą odnoszącą z nich największe korzyści będą polscy przedsiębiorcy. 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>Wielu z tych ostatnich, bez bezpłatn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>ych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gwarancji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bankowych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czy kapitału, albo nie założy, albo nie roz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winie działalności gospodarczej. Szczególnie mocno dotyczy to przedsiębiorców realizujących projekty proinnowacyjne, 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>najbardziej cen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>ne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dla naszego PKB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. Przedsiębiorcy zainteresowani preferencyjnymi formami finansowania 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>mogą zgłaszać się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po informacje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do naszego ośrodka</w:t>
      </w:r>
      <w:r w:rsidR="00983F16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–</w:t>
      </w:r>
      <w:r w:rsidR="00916663" w:rsidRPr="00EF5DF1">
        <w:rPr>
          <w:rFonts w:ascii="Century Gothic" w:eastAsia="Times New Roman" w:hAnsi="Century Gothic" w:cs="Tahoma"/>
          <w:b/>
          <w:i/>
          <w:sz w:val="20"/>
          <w:szCs w:val="20"/>
          <w:lang w:eastAsia="pl-PL"/>
        </w:rPr>
        <w:t xml:space="preserve"> </w:t>
      </w:r>
      <w:r w:rsidR="00916663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powiedział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</w:t>
      </w:r>
      <w:r w:rsidR="00916663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Arkadiusz LEWICKI, dyrektor Krajowego Punktu Kontaktowego ds. Instrumentów Finansowych Programów UE</w:t>
      </w:r>
      <w:r w:rsidR="00916663" w:rsidRPr="00EF5DF1">
        <w:rPr>
          <w:rFonts w:ascii="Century Gothic" w:eastAsia="Times New Roman" w:hAnsi="Century Gothic" w:cs="Tahoma"/>
          <w:i/>
          <w:sz w:val="20"/>
          <w:szCs w:val="20"/>
          <w:lang w:eastAsia="pl-PL"/>
        </w:rPr>
        <w:t xml:space="preserve"> </w:t>
      </w:r>
    </w:p>
    <w:p w:rsidR="00A67196" w:rsidRPr="00EF5DF1" w:rsidRDefault="00A67196" w:rsidP="00983F16">
      <w:pPr>
        <w:spacing w:after="0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</w:p>
    <w:p w:rsidR="00E54C21" w:rsidRPr="00EF5DF1" w:rsidRDefault="00C67B48" w:rsidP="00983F16">
      <w:pPr>
        <w:spacing w:after="0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  <w:r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Krajowy Punkt Kontaktowy ds. Instrumentów Finansowych Programów Unii Europejskiej, działający przy Związku Banków Polskich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</w:t>
      </w:r>
      <w:r w:rsidR="00E0591A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prowadzi działalność informacyjną, promocyjną oraz doradczą w zakr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esie wszystkich programów UE, w </w:t>
      </w:r>
      <w:r w:rsidR="00E0591A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których uwzględnione zostały instrumenty finansowe dla przedsiębiorców. Punkt ułatwia </w:t>
      </w:r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małym </w:t>
      </w:r>
      <w:r w:rsidR="00E0591A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przedsiębiorcom dostęp </w:t>
      </w:r>
      <w:r w:rsidR="006921E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do </w:t>
      </w:r>
      <w:r w:rsidR="006921E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lastRenderedPageBreak/>
        <w:t xml:space="preserve">preferencyjnego finansowania. </w:t>
      </w:r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KPK współpracuje z 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instytucjami otoczenia biznesu </w:t>
      </w:r>
      <w:r w:rsidR="00EF5DF1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i 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wsparcia przedsiębiorczości</w:t>
      </w:r>
      <w:r w:rsidR="00EF5DF1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, w tym z siecią </w:t>
      </w:r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Europe </w:t>
      </w:r>
      <w:proofErr w:type="spellStart"/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Enterprise</w:t>
      </w:r>
      <w:proofErr w:type="spellEnd"/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Network</w:t>
      </w:r>
      <w:r w:rsidR="00EF5DF1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oraz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Punktami Kontaktowymi Programów Badawczych UE</w:t>
      </w:r>
      <w:r w:rsidR="00EF5DF1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, tj. ośrodkami </w:t>
      </w:r>
      <w:r w:rsidR="00FA228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odpowiedzialnymi za pozostałe części programów</w:t>
      </w:r>
      <w:r w:rsidR="00983F16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COSME i Horyzont 2020</w:t>
      </w:r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. </w:t>
      </w:r>
      <w:r w:rsidR="00E0591A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Działalność KPK jest nadzorowana i finanso</w:t>
      </w:r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wana przez Ministra Gospodarki we współpracy z Ministrem Nauki i Szkolnictwa Wyższego, Ministrem Pracy</w:t>
      </w:r>
      <w:r w:rsidR="00EF5DF1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i Polityki Społecznej</w:t>
      </w:r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i Ministrem Kultury i Dziedzictwa Narodowego. </w:t>
      </w:r>
      <w:r w:rsidR="007B7CB7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 </w:t>
      </w:r>
      <w:r w:rsidR="005C01BD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U</w:t>
      </w:r>
      <w:r w:rsidR="00E0591A" w:rsidRPr="00EF5DF1">
        <w:rPr>
          <w:rFonts w:ascii="Century Gothic" w:eastAsia="Times New Roman" w:hAnsi="Century Gothic" w:cs="Tahoma"/>
          <w:sz w:val="20"/>
          <w:szCs w:val="20"/>
          <w:lang w:eastAsia="pl-PL"/>
        </w:rPr>
        <w:t>sługi KPK są świadczone bezpłatnie, na terenie całego kraju.</w:t>
      </w:r>
    </w:p>
    <w:p w:rsidR="000A6C83" w:rsidRDefault="000A6C83" w:rsidP="00983F16">
      <w:pPr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</w:p>
    <w:p w:rsidR="005E4F7C" w:rsidRPr="005E4F7C" w:rsidRDefault="005E4F7C" w:rsidP="005E4F7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 xml:space="preserve">W ramach programu COSME przewidziana jest również kontynuacja dla Sieci </w:t>
      </w:r>
      <w:r w:rsidR="00C0684E">
        <w:rPr>
          <w:rFonts w:ascii="Century Gothic" w:hAnsi="Century Gothic"/>
          <w:sz w:val="20"/>
          <w:szCs w:val="20"/>
        </w:rPr>
        <w:t>O</w:t>
      </w:r>
      <w:r w:rsidRPr="005E4F7C">
        <w:rPr>
          <w:rFonts w:ascii="Century Gothic" w:hAnsi="Century Gothic"/>
          <w:sz w:val="20"/>
          <w:szCs w:val="20"/>
        </w:rPr>
        <w:t xml:space="preserve">środków </w:t>
      </w:r>
      <w:proofErr w:type="spellStart"/>
      <w:r w:rsidRPr="00C0684E">
        <w:rPr>
          <w:rFonts w:ascii="Century Gothic" w:hAnsi="Century Gothic"/>
          <w:b/>
          <w:sz w:val="20"/>
          <w:szCs w:val="20"/>
        </w:rPr>
        <w:t>Enterprise</w:t>
      </w:r>
      <w:proofErr w:type="spellEnd"/>
      <w:r w:rsidRPr="00C0684E">
        <w:rPr>
          <w:rFonts w:ascii="Century Gothic" w:hAnsi="Century Gothic"/>
          <w:b/>
          <w:sz w:val="20"/>
          <w:szCs w:val="20"/>
        </w:rPr>
        <w:t xml:space="preserve"> Europe Network</w:t>
      </w:r>
      <w:r w:rsidRPr="005E4F7C">
        <w:rPr>
          <w:rFonts w:ascii="Century Gothic" w:hAnsi="Century Gothic"/>
          <w:sz w:val="20"/>
          <w:szCs w:val="20"/>
        </w:rPr>
        <w:t xml:space="preserve">. Ośrodki </w:t>
      </w:r>
      <w:proofErr w:type="spellStart"/>
      <w:r w:rsidRPr="005E4F7C">
        <w:rPr>
          <w:rFonts w:ascii="Century Gothic" w:hAnsi="Century Gothic"/>
          <w:sz w:val="20"/>
          <w:szCs w:val="20"/>
        </w:rPr>
        <w:t>Enterprise</w:t>
      </w:r>
      <w:proofErr w:type="spellEnd"/>
      <w:r w:rsidRPr="005E4F7C">
        <w:rPr>
          <w:rFonts w:ascii="Century Gothic" w:hAnsi="Century Gothic"/>
          <w:sz w:val="20"/>
          <w:szCs w:val="20"/>
        </w:rPr>
        <w:t xml:space="preserve"> Europe Network świadczą przedsiębiorcom</w:t>
      </w:r>
      <w:r>
        <w:rPr>
          <w:rFonts w:ascii="Century Gothic" w:hAnsi="Century Gothic"/>
          <w:sz w:val="20"/>
          <w:szCs w:val="20"/>
        </w:rPr>
        <w:t xml:space="preserve"> nieodpłatne następujące usługi:</w:t>
      </w:r>
      <w:r w:rsidRPr="005E4F7C">
        <w:rPr>
          <w:rFonts w:ascii="Century Gothic" w:hAnsi="Century Gothic"/>
          <w:sz w:val="20"/>
          <w:szCs w:val="20"/>
        </w:rPr>
        <w:t xml:space="preserve"> </w:t>
      </w:r>
    </w:p>
    <w:p w:rsidR="005E4F7C" w:rsidRPr="005E4F7C" w:rsidRDefault="005E4F7C" w:rsidP="005E4F7C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5E4F7C">
        <w:rPr>
          <w:rFonts w:ascii="Century Gothic" w:hAnsi="Century Gothic"/>
          <w:sz w:val="20"/>
          <w:szCs w:val="20"/>
        </w:rPr>
        <w:t>nformują i doradzają z zakresu prawa i polityk Unii Europejskiej, prowadzenia działalności gospodarczej za granicą, dostępu do źródeł finansowania, transferu technologii oraz udziału w programach ramowych UE,</w:t>
      </w:r>
    </w:p>
    <w:p w:rsidR="005E4F7C" w:rsidRPr="005E4F7C" w:rsidRDefault="005E4F7C" w:rsidP="005E4F7C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 xml:space="preserve">pomagają w znalezieniu partnerów do współpracy gospodarczej oraz transferu technologii,  </w:t>
      </w:r>
    </w:p>
    <w:p w:rsidR="005E4F7C" w:rsidRPr="005E4F7C" w:rsidRDefault="005E4F7C" w:rsidP="005E4F7C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>organizują wyjazdy polskich firm na imprezy kooperacyjne (targi i misje) współfinansowane przez Komisję Europejską mające na celu ożywienie współpracy pomiędzy regionami i krajami,</w:t>
      </w:r>
    </w:p>
    <w:p w:rsidR="005E4F7C" w:rsidRPr="005E4F7C" w:rsidRDefault="005E4F7C" w:rsidP="005E4F7C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 xml:space="preserve">udzielają odpowiedzi na zadawane za pośrednictwem sieci pytania przedsiębiorców z krajów Unii Europejskiej dotyczące warunków formalno-prawnych działalności gospodarczej w Polsce i możliwości współpracy z polskimi przedsiębiorstwami </w:t>
      </w:r>
      <w:r>
        <w:rPr>
          <w:rFonts w:ascii="Century Gothic" w:hAnsi="Century Gothic"/>
          <w:sz w:val="20"/>
          <w:szCs w:val="20"/>
        </w:rPr>
        <w:t xml:space="preserve">                      </w:t>
      </w:r>
      <w:r w:rsidRPr="005E4F7C">
        <w:rPr>
          <w:rFonts w:ascii="Century Gothic" w:hAnsi="Century Gothic"/>
          <w:sz w:val="20"/>
          <w:szCs w:val="20"/>
        </w:rPr>
        <w:t xml:space="preserve">i instytucjami,  </w:t>
      </w:r>
    </w:p>
    <w:p w:rsidR="005E4F7C" w:rsidRPr="005E4F7C" w:rsidRDefault="005E4F7C" w:rsidP="005E4F7C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>organizują szkolenia, warsztaty, seminaria,</w:t>
      </w:r>
    </w:p>
    <w:p w:rsidR="005E4F7C" w:rsidRPr="005E4F7C" w:rsidRDefault="005E4F7C" w:rsidP="005E4F7C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 xml:space="preserve">z zakresu transferu technologii, w tym prowadzą audyty technologiczne, </w:t>
      </w:r>
      <w:proofErr w:type="spellStart"/>
      <w:r w:rsidRPr="005E4F7C">
        <w:rPr>
          <w:rFonts w:ascii="Century Gothic" w:hAnsi="Century Gothic"/>
          <w:sz w:val="20"/>
          <w:szCs w:val="20"/>
        </w:rPr>
        <w:t>wymiaę</w:t>
      </w:r>
      <w:proofErr w:type="spellEnd"/>
      <w:r w:rsidRPr="005E4F7C">
        <w:rPr>
          <w:rFonts w:ascii="Century Gothic" w:hAnsi="Century Gothic"/>
          <w:sz w:val="20"/>
          <w:szCs w:val="20"/>
        </w:rPr>
        <w:t xml:space="preserve"> ofert technologicznych, pomagają w poszukiwaniu partnerów technologicznych oraz kojarzeniu przedsiębiorców z jednostkami naukowymi,</w:t>
      </w:r>
    </w:p>
    <w:p w:rsidR="005E4F7C" w:rsidRPr="005E4F7C" w:rsidRDefault="005E4F7C" w:rsidP="005E4F7C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>wspieranie udziału MSP w programie Horyzont 2020.</w:t>
      </w:r>
    </w:p>
    <w:p w:rsidR="005E4F7C" w:rsidRDefault="005E4F7C" w:rsidP="005E4F7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E4F7C" w:rsidRDefault="005E4F7C" w:rsidP="005E4F7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E4F7C">
        <w:rPr>
          <w:rFonts w:ascii="Century Gothic" w:hAnsi="Century Gothic"/>
          <w:sz w:val="20"/>
          <w:szCs w:val="20"/>
        </w:rPr>
        <w:t xml:space="preserve">W województwie dolnośląskim nadal będą funkcjonować dwa tego typu ośrodki, przy Wrocławskim Centrum Transferu Technologii we Wrocławiu i przy Dolnośląskiej Agencji Rozwoju Regionalnego S.A. w Szczawnie-Zdroju. Informacje na temat aktywności ośrodków można uzyskać ze strony internetowej </w:t>
      </w:r>
      <w:hyperlink r:id="rId8" w:history="1">
        <w:r w:rsidRPr="003430EC">
          <w:rPr>
            <w:rStyle w:val="Hipercze"/>
            <w:rFonts w:ascii="Century Gothic" w:hAnsi="Century Gothic"/>
            <w:sz w:val="20"/>
            <w:szCs w:val="20"/>
          </w:rPr>
          <w:t>www.westpoland.pl</w:t>
        </w:r>
      </w:hyperlink>
      <w:r w:rsidRPr="005E4F7C">
        <w:rPr>
          <w:rFonts w:ascii="Century Gothic" w:hAnsi="Century Gothic"/>
          <w:sz w:val="20"/>
          <w:szCs w:val="20"/>
        </w:rPr>
        <w:t>.</w:t>
      </w:r>
    </w:p>
    <w:p w:rsidR="005E4F7C" w:rsidRPr="005E4F7C" w:rsidRDefault="005E4F7C" w:rsidP="005E4F7C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W w:w="9102" w:type="dxa"/>
        <w:tblCellMar>
          <w:left w:w="0" w:type="dxa"/>
          <w:right w:w="0" w:type="dxa"/>
        </w:tblCellMar>
        <w:tblLook w:val="04A0"/>
      </w:tblPr>
      <w:tblGrid>
        <w:gridCol w:w="2425"/>
        <w:gridCol w:w="992"/>
        <w:gridCol w:w="1423"/>
        <w:gridCol w:w="2688"/>
        <w:gridCol w:w="1574"/>
      </w:tblGrid>
      <w:tr w:rsidR="00EF5DF1" w:rsidRPr="00EF5DF1" w:rsidTr="005E4F7C">
        <w:trPr>
          <w:trHeight w:val="60"/>
        </w:trPr>
        <w:tc>
          <w:tcPr>
            <w:tcW w:w="9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5DF1" w:rsidRPr="00EF5DF1" w:rsidRDefault="00EF5DF1" w:rsidP="00983F1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NOWE PROGRAMY RAMOWE UE- KONKURSY RUSZYŁY</w:t>
            </w:r>
          </w:p>
        </w:tc>
      </w:tr>
      <w:tr w:rsidR="00D870F4" w:rsidRPr="00EF5DF1" w:rsidTr="00EF5DF1">
        <w:trPr>
          <w:trHeight w:val="888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>Program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>Budżet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>w tym instrumenty finansowe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b/>
                <w:color w:val="548DD4" w:themeColor="text2" w:themeTint="99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>Działalność wspierana w ramach instrumentów zwrotnych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0F4" w:rsidRPr="00EF5DF1" w:rsidRDefault="00EF5DF1" w:rsidP="00EF5DF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>D</w:t>
            </w:r>
            <w:r w:rsidR="00D870F4" w:rsidRPr="00EF5DF1"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>ostępnoś</w:t>
            </w:r>
            <w:r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>ć</w:t>
            </w:r>
            <w:r w:rsidR="00D870F4" w:rsidRPr="00EF5DF1">
              <w:rPr>
                <w:rFonts w:ascii="Century Gothic" w:hAnsi="Century Gothic"/>
                <w:b/>
                <w:bCs/>
                <w:color w:val="548DD4" w:themeColor="text2" w:themeTint="99"/>
                <w:sz w:val="20"/>
                <w:szCs w:val="20"/>
              </w:rPr>
              <w:t xml:space="preserve"> wsparcia dla biznesu</w:t>
            </w:r>
          </w:p>
        </w:tc>
      </w:tr>
      <w:tr w:rsidR="00D870F4" w:rsidRPr="00EF5DF1" w:rsidTr="00EF5DF1">
        <w:trPr>
          <w:trHeight w:val="563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983F1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COSME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2 298,0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1378,8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EF5DF1" w:rsidP="00EF5DF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zakładanie i</w:t>
            </w:r>
            <w:r w:rsidR="00D870F4" w:rsidRPr="00EF5DF1">
              <w:rPr>
                <w:rFonts w:ascii="Century Gothic" w:hAnsi="Century Gothic"/>
                <w:bCs/>
                <w:sz w:val="20"/>
                <w:szCs w:val="20"/>
              </w:rPr>
              <w:t xml:space="preserve"> rozwój przedsiębiorstw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JUŻ DOSTĘPNE</w:t>
            </w:r>
          </w:p>
        </w:tc>
      </w:tr>
      <w:tr w:rsidR="00D870F4" w:rsidRPr="00EF5DF1" w:rsidTr="00EF5DF1">
        <w:trPr>
          <w:trHeight w:val="69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EF5DF1" w:rsidP="00983F1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Horyzont 2020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77 028,3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2 842,3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DF1">
              <w:rPr>
                <w:rFonts w:ascii="Century Gothic" w:hAnsi="Century Gothic"/>
                <w:bCs/>
                <w:sz w:val="20"/>
                <w:szCs w:val="20"/>
              </w:rPr>
              <w:t>transfer technologii, badania, innowacje,</w:t>
            </w:r>
          </w:p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DF1">
              <w:rPr>
                <w:rFonts w:ascii="Century Gothic" w:hAnsi="Century Gothic"/>
                <w:bCs/>
                <w:sz w:val="20"/>
                <w:szCs w:val="20"/>
              </w:rPr>
              <w:t xml:space="preserve">w tym </w:t>
            </w:r>
            <w:proofErr w:type="spellStart"/>
            <w:r w:rsidRPr="00EF5DF1">
              <w:rPr>
                <w:rFonts w:ascii="Century Gothic" w:hAnsi="Century Gothic"/>
                <w:bCs/>
                <w:sz w:val="20"/>
                <w:szCs w:val="20"/>
              </w:rPr>
              <w:t>ekoinnowacje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JUŻ DOSTĘPNE</w:t>
            </w:r>
          </w:p>
        </w:tc>
      </w:tr>
      <w:tr w:rsidR="00D870F4" w:rsidRPr="00EF5DF1" w:rsidTr="00EF5DF1">
        <w:trPr>
          <w:trHeight w:val="72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EF5DF1" w:rsidP="00EF5DF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Program na rzecz zatrudnienia i innowacji społecznych „</w:t>
            </w:r>
            <w:proofErr w:type="spellStart"/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EaSI</w:t>
            </w:r>
            <w:proofErr w:type="spellEnd"/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919,5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DF1">
              <w:rPr>
                <w:rFonts w:ascii="Century Gothic" w:hAnsi="Century Gothic"/>
                <w:bCs/>
                <w:sz w:val="20"/>
                <w:szCs w:val="20"/>
              </w:rPr>
              <w:t>ekonomia społeczna,</w:t>
            </w:r>
          </w:p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F5DF1">
              <w:rPr>
                <w:rFonts w:ascii="Century Gothic" w:hAnsi="Century Gothic"/>
                <w:bCs/>
                <w:sz w:val="20"/>
                <w:szCs w:val="20"/>
              </w:rPr>
              <w:t>samozatrudnienie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0F4" w:rsidRPr="00EF5DF1" w:rsidRDefault="00D870F4" w:rsidP="00EF5DF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OD 2015</w:t>
            </w:r>
            <w:r w:rsidR="00EF5DF1" w:rsidRPr="00EF5D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F5D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r.</w:t>
            </w:r>
          </w:p>
        </w:tc>
      </w:tr>
      <w:tr w:rsidR="00D870F4" w:rsidRPr="00EF5DF1" w:rsidTr="00EF5DF1">
        <w:trPr>
          <w:trHeight w:val="1079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EF5DF1" w:rsidP="00EF5DF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Kreatywna Europa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1 462,7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EF5DF1" w:rsidP="00D065B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działalność przedsiębiorstw </w:t>
            </w:r>
            <w:r w:rsidRPr="00EF5DF1">
              <w:rPr>
                <w:rFonts w:ascii="Century Gothic" w:hAnsi="Century Gothic"/>
                <w:bCs/>
                <w:sz w:val="20"/>
                <w:szCs w:val="20"/>
              </w:rPr>
              <w:t xml:space="preserve"> i inn</w:t>
            </w:r>
            <w:r w:rsidR="00D065B4">
              <w:rPr>
                <w:rFonts w:ascii="Century Gothic" w:hAnsi="Century Gothic"/>
                <w:bCs/>
                <w:sz w:val="20"/>
                <w:szCs w:val="20"/>
              </w:rPr>
              <w:t>ych</w:t>
            </w:r>
            <w:r w:rsidRPr="00EF5DF1">
              <w:rPr>
                <w:rFonts w:ascii="Century Gothic" w:hAnsi="Century Gothic"/>
                <w:bCs/>
                <w:sz w:val="20"/>
                <w:szCs w:val="20"/>
              </w:rPr>
              <w:t xml:space="preserve"> podmiot</w:t>
            </w:r>
            <w:r w:rsidR="00D065B4">
              <w:rPr>
                <w:rFonts w:ascii="Century Gothic" w:hAnsi="Century Gothic"/>
                <w:bCs/>
                <w:sz w:val="20"/>
                <w:szCs w:val="20"/>
              </w:rPr>
              <w:t xml:space="preserve">ów z sektora </w:t>
            </w:r>
            <w:r w:rsidR="00D870F4" w:rsidRPr="00EF5DF1">
              <w:rPr>
                <w:rFonts w:ascii="Century Gothic" w:hAnsi="Century Gothic"/>
                <w:bCs/>
                <w:sz w:val="20"/>
                <w:szCs w:val="20"/>
              </w:rPr>
              <w:t>kreatywn</w:t>
            </w:r>
            <w:r w:rsidR="00D065B4">
              <w:rPr>
                <w:rFonts w:ascii="Century Gothic" w:hAnsi="Century Gothic"/>
                <w:bCs/>
                <w:sz w:val="20"/>
                <w:szCs w:val="20"/>
              </w:rPr>
              <w:t>ego</w:t>
            </w:r>
            <w:r w:rsidR="00D870F4" w:rsidRPr="00EF5DF1">
              <w:rPr>
                <w:rFonts w:ascii="Century Gothic" w:hAnsi="Century Gothic"/>
                <w:bCs/>
                <w:sz w:val="20"/>
                <w:szCs w:val="20"/>
              </w:rPr>
              <w:t xml:space="preserve"> i kultury  (np. multimedia, IT, kino, muzyka)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0F4" w:rsidRPr="00EF5DF1" w:rsidRDefault="00EE55FB" w:rsidP="00EF5DF1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JUŻ DOSTĘPNE</w:t>
            </w:r>
          </w:p>
        </w:tc>
      </w:tr>
      <w:tr w:rsidR="00D870F4" w:rsidRPr="00EF5DF1" w:rsidTr="005E4F7C">
        <w:trPr>
          <w:trHeight w:val="6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983F16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81 708,5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EF5DF1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5DF1">
              <w:rPr>
                <w:rFonts w:ascii="Century Gothic" w:hAnsi="Century Gothic"/>
                <w:b/>
                <w:bCs/>
                <w:sz w:val="20"/>
                <w:szCs w:val="20"/>
              </w:rPr>
              <w:t>4 534,2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70F4" w:rsidRPr="00EF5DF1" w:rsidRDefault="00D870F4" w:rsidP="00983F16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0F4" w:rsidRPr="00EF5DF1" w:rsidRDefault="00D870F4" w:rsidP="00983F16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E4F7C" w:rsidRDefault="005E4F7C" w:rsidP="00983F16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96378" w:rsidRPr="00D065B4" w:rsidRDefault="00596378" w:rsidP="00983F16">
      <w:pPr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D065B4">
        <w:rPr>
          <w:rFonts w:ascii="Century Gothic" w:hAnsi="Century Gothic"/>
          <w:b/>
          <w:sz w:val="20"/>
          <w:szCs w:val="20"/>
          <w:u w:val="single"/>
        </w:rPr>
        <w:t>Dane kontaktowe:</w:t>
      </w:r>
    </w:p>
    <w:p w:rsidR="000A6C83" w:rsidRPr="00D065B4" w:rsidRDefault="00596378" w:rsidP="00983F16">
      <w:pPr>
        <w:spacing w:after="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065B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Łukasz Bogusz, </w:t>
      </w:r>
    </w:p>
    <w:p w:rsidR="00596378" w:rsidRPr="00D065B4" w:rsidRDefault="00596378" w:rsidP="00983F16">
      <w:pPr>
        <w:spacing w:after="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065B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Krajowy Punkt Kontaktowy ds. Instrumentów Finansowych Programów UE</w:t>
      </w:r>
    </w:p>
    <w:p w:rsidR="000A6C83" w:rsidRPr="00D065B4" w:rsidRDefault="00596378" w:rsidP="00983F16">
      <w:pPr>
        <w:spacing w:after="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065B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Związek Banków Polskich</w:t>
      </w:r>
      <w:r w:rsidR="000B7E60" w:rsidRPr="00D065B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</w:p>
    <w:p w:rsidR="00596378" w:rsidRPr="00D065B4" w:rsidRDefault="00596378" w:rsidP="00983F1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D065B4">
        <w:rPr>
          <w:rFonts w:ascii="Century Gothic" w:hAnsi="Century Gothic"/>
          <w:b/>
          <w:sz w:val="20"/>
          <w:szCs w:val="20"/>
        </w:rPr>
        <w:t>www</w:t>
      </w:r>
      <w:proofErr w:type="spellEnd"/>
      <w:r w:rsidRPr="00D065B4">
        <w:rPr>
          <w:rFonts w:ascii="Century Gothic" w:hAnsi="Century Gothic"/>
          <w:b/>
          <w:sz w:val="20"/>
          <w:szCs w:val="20"/>
        </w:rPr>
        <w:t>: www.InstrumentyFinansoweUE.gov.pl</w:t>
      </w:r>
    </w:p>
    <w:p w:rsidR="00D065B4" w:rsidRPr="00D065B4" w:rsidRDefault="00596378" w:rsidP="00983F16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D065B4">
        <w:rPr>
          <w:rFonts w:ascii="Century Gothic" w:hAnsi="Century Gothic"/>
          <w:b/>
          <w:sz w:val="20"/>
          <w:szCs w:val="20"/>
          <w:lang w:val="en-US"/>
        </w:rPr>
        <w:t xml:space="preserve">e-mail: </w:t>
      </w:r>
      <w:hyperlink r:id="rId9" w:history="1">
        <w:r w:rsidR="000B7E60" w:rsidRPr="00D065B4">
          <w:rPr>
            <w:rStyle w:val="Hipercze"/>
            <w:rFonts w:ascii="Century Gothic" w:hAnsi="Century Gothic"/>
            <w:b/>
            <w:sz w:val="20"/>
            <w:szCs w:val="20"/>
            <w:lang w:val="en-US"/>
          </w:rPr>
          <w:t>programy@zbp.pl</w:t>
        </w:r>
      </w:hyperlink>
    </w:p>
    <w:p w:rsidR="00596378" w:rsidRPr="005E4F7C" w:rsidRDefault="00D065B4" w:rsidP="00983F16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5E4F7C">
        <w:rPr>
          <w:rFonts w:ascii="Century Gothic" w:hAnsi="Century Gothic"/>
          <w:b/>
          <w:sz w:val="20"/>
          <w:szCs w:val="20"/>
          <w:lang w:val="en-US"/>
        </w:rPr>
        <w:t>tel. (</w:t>
      </w:r>
      <w:r w:rsidR="00596378" w:rsidRPr="005E4F7C">
        <w:rPr>
          <w:rFonts w:ascii="Century Gothic" w:hAnsi="Century Gothic"/>
          <w:b/>
          <w:sz w:val="20"/>
          <w:szCs w:val="20"/>
          <w:lang w:val="en-US"/>
        </w:rPr>
        <w:t>+48</w:t>
      </w:r>
      <w:r w:rsidRPr="005E4F7C">
        <w:rPr>
          <w:rFonts w:ascii="Century Gothic" w:hAnsi="Century Gothic"/>
          <w:b/>
          <w:sz w:val="20"/>
          <w:szCs w:val="20"/>
          <w:lang w:val="en-US"/>
        </w:rPr>
        <w:t>)</w:t>
      </w:r>
      <w:r w:rsidR="00596378" w:rsidRPr="005E4F7C">
        <w:rPr>
          <w:rFonts w:ascii="Century Gothic" w:hAnsi="Century Gothic"/>
          <w:b/>
          <w:sz w:val="20"/>
          <w:szCs w:val="20"/>
          <w:lang w:val="en-US"/>
        </w:rPr>
        <w:t xml:space="preserve"> 22 696 64 95</w:t>
      </w:r>
    </w:p>
    <w:p w:rsidR="00EF5DF1" w:rsidRPr="005E4F7C" w:rsidRDefault="00EF5DF1" w:rsidP="00983F16">
      <w:pPr>
        <w:spacing w:after="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EF5DF1" w:rsidRDefault="00EF5DF1" w:rsidP="00EF5DF1">
      <w:pPr>
        <w:spacing w:after="0"/>
        <w:jc w:val="center"/>
        <w:rPr>
          <w:rFonts w:ascii="Century Gothic" w:hAnsi="Century Gothic"/>
        </w:rPr>
      </w:pPr>
      <w:r w:rsidRPr="00983F16">
        <w:rPr>
          <w:rFonts w:ascii="Century Gothic" w:hAnsi="Century Gothic"/>
        </w:rPr>
        <w:t>patronaty honorowe i współpraca</w:t>
      </w:r>
      <w:r>
        <w:rPr>
          <w:rFonts w:ascii="Century Gothic" w:hAnsi="Century Gothic"/>
        </w:rPr>
        <w:t>:</w:t>
      </w:r>
    </w:p>
    <w:p w:rsidR="00EF5DF1" w:rsidRPr="00983F16" w:rsidRDefault="00EF5DF1" w:rsidP="00EF5DF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50800</wp:posOffset>
            </wp:positionV>
            <wp:extent cx="847725" cy="666750"/>
            <wp:effectExtent l="19050" t="0" r="9525" b="0"/>
            <wp:wrapNone/>
            <wp:docPr id="6" name="Obraz 10" descr="http://www.europedirect-gdansk.morena.org.pl/images/logo_ce-pl-rvb-h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45" descr="http://www.europedirect-gdansk.morena.org.pl/images/logo_ce-pl-rvb-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184150</wp:posOffset>
            </wp:positionV>
            <wp:extent cx="1333500" cy="533400"/>
            <wp:effectExtent l="19050" t="0" r="0" b="0"/>
            <wp:wrapSquare wrapText="bothSides"/>
            <wp:docPr id="7" name="Obraz 2" descr="C:\Documents and Settings\MICHAL\Moje dokumenty\Moje obrazy\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CHAL\Moje dokumenty\Moje obrazy\M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DF1" w:rsidRPr="00EF5DF1" w:rsidRDefault="00EF5DF1" w:rsidP="00983F16">
      <w:pPr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</w:p>
    <w:p w:rsidR="002D14C3" w:rsidRPr="00EF5DF1" w:rsidRDefault="002D14C3" w:rsidP="00983F16">
      <w:pPr>
        <w:spacing w:after="0"/>
        <w:ind w:right="1"/>
        <w:rPr>
          <w:rFonts w:ascii="Century Gothic" w:eastAsia="Times New Roman" w:hAnsi="Century Gothic" w:cs="Times New Roman"/>
          <w:b/>
          <w:lang w:eastAsia="pl-PL"/>
        </w:rPr>
      </w:pPr>
    </w:p>
    <w:p w:rsidR="002D14C3" w:rsidRPr="00EF5DF1" w:rsidRDefault="002D14C3" w:rsidP="00983F16">
      <w:pPr>
        <w:spacing w:after="0"/>
        <w:ind w:right="1"/>
        <w:jc w:val="center"/>
        <w:rPr>
          <w:rFonts w:ascii="Century Gothic" w:eastAsia="Times New Roman" w:hAnsi="Century Gothic" w:cs="Times New Roman"/>
          <w:b/>
          <w:lang w:eastAsia="pl-PL"/>
        </w:rPr>
      </w:pPr>
    </w:p>
    <w:p w:rsidR="002D14C3" w:rsidRPr="00EF5DF1" w:rsidRDefault="002D14C3" w:rsidP="00983F16">
      <w:pPr>
        <w:spacing w:after="0"/>
        <w:ind w:right="1"/>
        <w:jc w:val="center"/>
        <w:rPr>
          <w:rFonts w:ascii="Century Gothic" w:eastAsia="Times New Roman" w:hAnsi="Century Gothic" w:cs="Times New Roman"/>
          <w:lang w:eastAsia="pl-PL"/>
        </w:rPr>
      </w:pPr>
    </w:p>
    <w:p w:rsidR="00BF7AAF" w:rsidRPr="00EF5DF1" w:rsidRDefault="00BF7AAF" w:rsidP="00EF5DF1">
      <w:pPr>
        <w:spacing w:after="0" w:line="240" w:lineRule="auto"/>
        <w:ind w:right="1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EF5DF1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Aktywność KPK jest  </w:t>
      </w:r>
      <w:r w:rsidR="00966DD8" w:rsidRPr="00EF5DF1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realizowana </w:t>
      </w:r>
      <w:r w:rsidRPr="00EF5DF1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 ramach rządowego Programu Wieloletniego</w:t>
      </w:r>
    </w:p>
    <w:p w:rsidR="00BF7AAF" w:rsidRPr="00EF5DF1" w:rsidRDefault="00BF7AAF" w:rsidP="00EF5DF1">
      <w:pPr>
        <w:spacing w:after="0" w:line="240" w:lineRule="auto"/>
        <w:ind w:right="1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EF5DF1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„Udział Polski w Programie ramowym na rzecz konkurencyjności i innowacji</w:t>
      </w:r>
    </w:p>
    <w:p w:rsidR="00D065B4" w:rsidRDefault="00D065B4" w:rsidP="00EF5DF1">
      <w:pPr>
        <w:spacing w:after="0" w:line="240" w:lineRule="auto"/>
        <w:ind w:right="1"/>
        <w:jc w:val="center"/>
        <w:rPr>
          <w:rFonts w:ascii="Century Gothic" w:eastAsia="Times New Roman" w:hAnsi="Century Gothic" w:cs="Times New Roman"/>
          <w:b/>
          <w:color w:val="1F497D" w:themeColor="text2"/>
          <w:sz w:val="20"/>
          <w:szCs w:val="20"/>
          <w:lang w:eastAsia="pl-PL"/>
        </w:rPr>
      </w:pPr>
    </w:p>
    <w:p w:rsidR="00BF7AAF" w:rsidRPr="00D065B4" w:rsidRDefault="00BF7AAF" w:rsidP="00EF5DF1">
      <w:pPr>
        <w:spacing w:after="0" w:line="240" w:lineRule="auto"/>
        <w:ind w:right="1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8"/>
          <w:lang w:eastAsia="pl-PL"/>
        </w:rPr>
      </w:pPr>
      <w:r w:rsidRPr="00D065B4">
        <w:rPr>
          <w:rFonts w:ascii="Century Gothic" w:eastAsia="Times New Roman" w:hAnsi="Century Gothic" w:cs="Times New Roman"/>
          <w:b/>
          <w:color w:val="1F497D" w:themeColor="text2"/>
          <w:sz w:val="28"/>
          <w:szCs w:val="28"/>
          <w:lang w:eastAsia="pl-PL"/>
        </w:rPr>
        <w:t xml:space="preserve">www.InstrumentyFinansoweUE.gov.pl </w:t>
      </w:r>
    </w:p>
    <w:p w:rsidR="00D065B4" w:rsidRDefault="00D065B4" w:rsidP="00EF5DF1">
      <w:pPr>
        <w:spacing w:after="0" w:line="240" w:lineRule="auto"/>
        <w:ind w:right="1"/>
        <w:jc w:val="center"/>
        <w:rPr>
          <w:rFonts w:ascii="Century Gothic" w:eastAsia="Times New Roman" w:hAnsi="Century Gothic" w:cs="Times New Roman"/>
          <w:b/>
          <w:color w:val="1F497D" w:themeColor="text2"/>
          <w:sz w:val="20"/>
          <w:szCs w:val="20"/>
          <w:lang w:eastAsia="pl-PL"/>
        </w:rPr>
      </w:pPr>
    </w:p>
    <w:p w:rsidR="00D065B4" w:rsidRDefault="00D065B4" w:rsidP="00D065B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7365D" w:themeColor="text2" w:themeShade="BF"/>
          <w:sz w:val="20"/>
          <w:szCs w:val="20"/>
          <w:lang w:eastAsia="pl-PL"/>
        </w:rPr>
      </w:pPr>
      <w:r w:rsidRPr="00337377">
        <w:rPr>
          <w:rFonts w:ascii="Century Gothic" w:eastAsia="Times New Roman" w:hAnsi="Century Gothic" w:cs="Times New Roman"/>
          <w:b/>
          <w:color w:val="17365D" w:themeColor="text2" w:themeShade="BF"/>
          <w:sz w:val="20"/>
          <w:szCs w:val="20"/>
          <w:lang w:eastAsia="pl-PL"/>
        </w:rPr>
        <w:t>OBSŁUGUJEMY INSTRUMENTY FINANSOWE NASTĘPUJĄCYCH PROGRAMÓW UE:</w:t>
      </w:r>
    </w:p>
    <w:p w:rsidR="00D065B4" w:rsidRPr="001B2617" w:rsidRDefault="00D065B4" w:rsidP="00D065B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7365D" w:themeColor="text2" w:themeShade="BF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color w:val="17365D" w:themeColor="text2" w:themeShade="BF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105410</wp:posOffset>
            </wp:positionV>
            <wp:extent cx="714375" cy="628650"/>
            <wp:effectExtent l="19050" t="0" r="9525" b="0"/>
            <wp:wrapNone/>
            <wp:docPr id="2" name="Obraz 6" descr="C:\Documents and Settings\Piotr Iwaniuk\Pulpit\Łukasz - 2014\Grafika - 2014\logo KPK CIP\Logo CIP 2 angielskie_pa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otr Iwaniuk\Pulpit\Łukasz - 2014\Grafika - 2014\logo KPK CIP\Logo CIP 2 angielskie_pa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5B4" w:rsidRDefault="00D065B4" w:rsidP="00D065B4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9525</wp:posOffset>
            </wp:positionV>
            <wp:extent cx="838200" cy="590550"/>
            <wp:effectExtent l="19050" t="0" r="0" b="0"/>
            <wp:wrapNone/>
            <wp:docPr id="5" name="Obraz 5" descr="C:\Documents and Settings\Joanna Dąbrowska\Moje dokumenty\1.Krajowy Punkt Kontaktowy przy ZBP\3.Dokumenty zewnętrzne KPK przy ZBP\COSME\cosme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Obraz 22" descr="C:\Documents and Settings\Joanna Dąbrowska\Moje dokumenty\1.Krajowy Punkt Kontaktowy przy ZBP\3.Dokumenty zewnętrzne KPK przy ZBP\COSME\cosme_but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9525</wp:posOffset>
            </wp:positionV>
            <wp:extent cx="590550" cy="590550"/>
            <wp:effectExtent l="19050" t="0" r="0" b="0"/>
            <wp:wrapNone/>
            <wp:docPr id="4" name="Obraz 3" descr="C:\Documents and Settings\MICHAL\Moje dokumenty\Moje obrazy\PROGRE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13" descr="C:\Documents and Settings\MICHAL\Moje dokumenty\Moje obrazy\PROGRES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19050</wp:posOffset>
            </wp:positionV>
            <wp:extent cx="762000" cy="638175"/>
            <wp:effectExtent l="19050" t="0" r="0" b="0"/>
            <wp:wrapSquare wrapText="bothSides"/>
            <wp:docPr id="11" name="Obraz 1" descr="C:\Documents and Settings\MICHAL\Moje dokumenty\Moje obrazy\7pr_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L\Moje dokumenty\Moje obrazy\7pr_mi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95250</wp:posOffset>
            </wp:positionV>
            <wp:extent cx="714375" cy="476250"/>
            <wp:effectExtent l="19050" t="0" r="9525" b="0"/>
            <wp:wrapNone/>
            <wp:docPr id="9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Obraz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57150</wp:posOffset>
            </wp:positionV>
            <wp:extent cx="567690" cy="495300"/>
            <wp:effectExtent l="19050" t="0" r="381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Obraz 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95250</wp:posOffset>
            </wp:positionV>
            <wp:extent cx="619125" cy="542925"/>
            <wp:effectExtent l="19050" t="0" r="9525" b="0"/>
            <wp:wrapSquare wrapText="bothSides"/>
            <wp:docPr id="12" name="Obraz 1" descr="http://instrumentyfinansoweue.gov.pl/img/kreatywna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trumentyfinansoweue.gov.pl/img/kreatywna_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5B4" w:rsidRDefault="00D065B4" w:rsidP="00D065B4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:rsidR="00D065B4" w:rsidRPr="00EF5DF1" w:rsidRDefault="00D065B4" w:rsidP="00D065B4">
      <w:pPr>
        <w:spacing w:after="0" w:line="240" w:lineRule="auto"/>
        <w:ind w:right="1"/>
        <w:rPr>
          <w:rFonts w:ascii="Century Gothic" w:eastAsia="Times New Roman" w:hAnsi="Century Gothic" w:cs="Times New Roman"/>
          <w:b/>
          <w:color w:val="1F497D" w:themeColor="text2"/>
          <w:sz w:val="20"/>
          <w:szCs w:val="20"/>
          <w:lang w:eastAsia="pl-PL"/>
        </w:rPr>
      </w:pPr>
    </w:p>
    <w:sectPr w:rsidR="00D065B4" w:rsidRPr="00EF5DF1" w:rsidSect="00983F16">
      <w:footerReference w:type="default" r:id="rId1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44" w:rsidRDefault="000F0044" w:rsidP="00F92687">
      <w:pPr>
        <w:spacing w:after="0" w:line="240" w:lineRule="auto"/>
      </w:pPr>
      <w:r>
        <w:separator/>
      </w:r>
    </w:p>
  </w:endnote>
  <w:endnote w:type="continuationSeparator" w:id="0">
    <w:p w:rsidR="000F0044" w:rsidRDefault="000F0044" w:rsidP="00F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93" w:rsidRDefault="00A54193">
    <w:pPr>
      <w:pStyle w:val="Stopka"/>
      <w:jc w:val="right"/>
    </w:pPr>
  </w:p>
  <w:p w:rsidR="00A54193" w:rsidRDefault="00A54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44" w:rsidRDefault="000F0044" w:rsidP="00F92687">
      <w:pPr>
        <w:spacing w:after="0" w:line="240" w:lineRule="auto"/>
      </w:pPr>
      <w:r>
        <w:separator/>
      </w:r>
    </w:p>
  </w:footnote>
  <w:footnote w:type="continuationSeparator" w:id="0">
    <w:p w:rsidR="000F0044" w:rsidRDefault="000F0044" w:rsidP="00F9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BC9"/>
    <w:multiLevelType w:val="hybridMultilevel"/>
    <w:tmpl w:val="3170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190C"/>
    <w:multiLevelType w:val="hybridMultilevel"/>
    <w:tmpl w:val="182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C308A"/>
    <w:multiLevelType w:val="hybridMultilevel"/>
    <w:tmpl w:val="0C4C25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62"/>
    <w:rsid w:val="00016011"/>
    <w:rsid w:val="00097FB2"/>
    <w:rsid w:val="000A6C83"/>
    <w:rsid w:val="000A7225"/>
    <w:rsid w:val="000B7E60"/>
    <w:rsid w:val="000E0ED2"/>
    <w:rsid w:val="000F0044"/>
    <w:rsid w:val="000F1587"/>
    <w:rsid w:val="0010691D"/>
    <w:rsid w:val="001211C8"/>
    <w:rsid w:val="0017772E"/>
    <w:rsid w:val="0020054D"/>
    <w:rsid w:val="0026340B"/>
    <w:rsid w:val="002D14C3"/>
    <w:rsid w:val="002D23A3"/>
    <w:rsid w:val="0031319E"/>
    <w:rsid w:val="003268B6"/>
    <w:rsid w:val="00356B0F"/>
    <w:rsid w:val="003A5345"/>
    <w:rsid w:val="003C432B"/>
    <w:rsid w:val="0045454B"/>
    <w:rsid w:val="00487E11"/>
    <w:rsid w:val="004901AB"/>
    <w:rsid w:val="004A7092"/>
    <w:rsid w:val="005266DB"/>
    <w:rsid w:val="00596378"/>
    <w:rsid w:val="005C01BD"/>
    <w:rsid w:val="005D53EF"/>
    <w:rsid w:val="005E4F7C"/>
    <w:rsid w:val="00655E12"/>
    <w:rsid w:val="006823C0"/>
    <w:rsid w:val="006921ED"/>
    <w:rsid w:val="006A3358"/>
    <w:rsid w:val="00752A07"/>
    <w:rsid w:val="007724AA"/>
    <w:rsid w:val="00776D62"/>
    <w:rsid w:val="0078093A"/>
    <w:rsid w:val="007A6805"/>
    <w:rsid w:val="007B5FB2"/>
    <w:rsid w:val="007B7CB7"/>
    <w:rsid w:val="00802285"/>
    <w:rsid w:val="008335B7"/>
    <w:rsid w:val="00852392"/>
    <w:rsid w:val="008A27A6"/>
    <w:rsid w:val="008B12CD"/>
    <w:rsid w:val="00916663"/>
    <w:rsid w:val="009311E3"/>
    <w:rsid w:val="00966DD8"/>
    <w:rsid w:val="009741B9"/>
    <w:rsid w:val="00983F16"/>
    <w:rsid w:val="00A0223C"/>
    <w:rsid w:val="00A026D7"/>
    <w:rsid w:val="00A54193"/>
    <w:rsid w:val="00A67071"/>
    <w:rsid w:val="00A67196"/>
    <w:rsid w:val="00B46B7B"/>
    <w:rsid w:val="00B56DFD"/>
    <w:rsid w:val="00B76B95"/>
    <w:rsid w:val="00BB2FC7"/>
    <w:rsid w:val="00BF7AAF"/>
    <w:rsid w:val="00C04924"/>
    <w:rsid w:val="00C04CED"/>
    <w:rsid w:val="00C0684E"/>
    <w:rsid w:val="00C142F6"/>
    <w:rsid w:val="00C67B48"/>
    <w:rsid w:val="00C70139"/>
    <w:rsid w:val="00C74942"/>
    <w:rsid w:val="00CA70A0"/>
    <w:rsid w:val="00CC150C"/>
    <w:rsid w:val="00CE169F"/>
    <w:rsid w:val="00D065B4"/>
    <w:rsid w:val="00D605C6"/>
    <w:rsid w:val="00D870F4"/>
    <w:rsid w:val="00D979CD"/>
    <w:rsid w:val="00DF1D3D"/>
    <w:rsid w:val="00E0591A"/>
    <w:rsid w:val="00E54C21"/>
    <w:rsid w:val="00E63F5F"/>
    <w:rsid w:val="00EB7F67"/>
    <w:rsid w:val="00EC061A"/>
    <w:rsid w:val="00EE55FB"/>
    <w:rsid w:val="00EF5DF1"/>
    <w:rsid w:val="00EF64DC"/>
    <w:rsid w:val="00F1327E"/>
    <w:rsid w:val="00F92687"/>
    <w:rsid w:val="00FA2287"/>
    <w:rsid w:val="00FC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rcsu">
    <w:name w:val="irc_su"/>
    <w:basedOn w:val="Domylnaczcionkaakapitu"/>
    <w:rsid w:val="00776D62"/>
  </w:style>
  <w:style w:type="character" w:customStyle="1" w:styleId="naglowek">
    <w:name w:val="naglowek"/>
    <w:basedOn w:val="Domylnaczcionkaakapitu"/>
    <w:rsid w:val="00776D62"/>
  </w:style>
  <w:style w:type="character" w:styleId="Pogrubienie">
    <w:name w:val="Strong"/>
    <w:basedOn w:val="Domylnaczcionkaakapitu"/>
    <w:uiPriority w:val="22"/>
    <w:qFormat/>
    <w:rsid w:val="00776D6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C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68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B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54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311E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5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193"/>
  </w:style>
  <w:style w:type="paragraph" w:styleId="Stopka">
    <w:name w:val="footer"/>
    <w:basedOn w:val="Normalny"/>
    <w:link w:val="StopkaZnak"/>
    <w:uiPriority w:val="99"/>
    <w:unhideWhenUsed/>
    <w:rsid w:val="00A5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poland.p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y@zbp.p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Piotr Iwaniuk</cp:lastModifiedBy>
  <cp:revision>4</cp:revision>
  <cp:lastPrinted>2014-11-13T13:12:00Z</cp:lastPrinted>
  <dcterms:created xsi:type="dcterms:W3CDTF">2014-11-12T14:16:00Z</dcterms:created>
  <dcterms:modified xsi:type="dcterms:W3CDTF">2014-11-13T13:59:00Z</dcterms:modified>
</cp:coreProperties>
</file>