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340" w:rsidRDefault="00730C28" w:rsidP="000E4340">
      <w:pPr>
        <w:pStyle w:val="m1278440382029831924msolistparagraph"/>
        <w:spacing w:before="0" w:beforeAutospacing="0" w:after="0" w:afterAutospacing="0" w:line="300" w:lineRule="auto"/>
        <w:jc w:val="center"/>
        <w:rPr>
          <w:rFonts w:ascii="Arial Narrow" w:hAnsi="Arial Narrow"/>
          <w:b/>
          <w:sz w:val="26"/>
          <w:szCs w:val="26"/>
        </w:rPr>
      </w:pPr>
      <w:r w:rsidRPr="000E4340">
        <w:rPr>
          <w:rFonts w:ascii="Arial Narrow" w:hAnsi="Arial Narrow" w:cs="Open Sans"/>
          <w:b/>
          <w:sz w:val="26"/>
          <w:szCs w:val="26"/>
        </w:rPr>
        <w:t xml:space="preserve">Uwagi Związku Pracodawców Polska Miedź do projektu ustawy </w:t>
      </w:r>
      <w:r w:rsidR="000E4340">
        <w:rPr>
          <w:rFonts w:ascii="Arial Narrow" w:hAnsi="Arial Narrow" w:cs="Open Sans"/>
          <w:b/>
          <w:sz w:val="26"/>
          <w:szCs w:val="26"/>
        </w:rPr>
        <w:br/>
      </w:r>
      <w:r w:rsidRPr="000E4340">
        <w:rPr>
          <w:rFonts w:ascii="Arial Narrow" w:hAnsi="Arial Narrow"/>
          <w:b/>
          <w:sz w:val="26"/>
          <w:szCs w:val="26"/>
        </w:rPr>
        <w:t>o zmianie ustawy o podatku od towarów i usług oraz niektórych innych ustaw</w:t>
      </w:r>
      <w:r w:rsidR="000E4340">
        <w:rPr>
          <w:rFonts w:ascii="Arial Narrow" w:hAnsi="Arial Narrow"/>
          <w:b/>
          <w:sz w:val="26"/>
          <w:szCs w:val="26"/>
        </w:rPr>
        <w:t>,</w:t>
      </w:r>
      <w:r w:rsidRPr="000E4340">
        <w:rPr>
          <w:rFonts w:ascii="Arial Narrow" w:hAnsi="Arial Narrow"/>
          <w:b/>
          <w:sz w:val="26"/>
          <w:szCs w:val="26"/>
        </w:rPr>
        <w:t xml:space="preserve"> </w:t>
      </w:r>
    </w:p>
    <w:p w:rsidR="00730C28" w:rsidRPr="000E4340" w:rsidRDefault="000E4340" w:rsidP="000E4340">
      <w:pPr>
        <w:pStyle w:val="m1278440382029831924msolistparagraph"/>
        <w:spacing w:before="0" w:beforeAutospacing="0" w:after="0" w:afterAutospacing="0" w:line="300" w:lineRule="auto"/>
        <w:jc w:val="center"/>
        <w:rPr>
          <w:rFonts w:ascii="Arial Narrow" w:hAnsi="Arial Narrow" w:cs="Open Sans"/>
          <w:b/>
          <w:sz w:val="26"/>
          <w:szCs w:val="26"/>
        </w:rPr>
      </w:pPr>
      <w:r>
        <w:rPr>
          <w:rFonts w:ascii="Arial Narrow" w:hAnsi="Arial Narrow"/>
          <w:b/>
          <w:sz w:val="26"/>
          <w:szCs w:val="26"/>
        </w:rPr>
        <w:t xml:space="preserve">projektu </w:t>
      </w:r>
      <w:r w:rsidR="00730C28" w:rsidRPr="000E4340">
        <w:rPr>
          <w:rFonts w:ascii="Arial Narrow" w:hAnsi="Arial Narrow" w:cs="Open Sans"/>
          <w:b/>
          <w:sz w:val="26"/>
          <w:szCs w:val="26"/>
        </w:rPr>
        <w:t xml:space="preserve">wprowadzającego </w:t>
      </w:r>
      <w:proofErr w:type="spellStart"/>
      <w:r w:rsidR="00730C28" w:rsidRPr="000E4340">
        <w:rPr>
          <w:rFonts w:ascii="Arial Narrow" w:hAnsi="Arial Narrow" w:cs="Open Sans"/>
          <w:b/>
          <w:sz w:val="26"/>
          <w:szCs w:val="26"/>
        </w:rPr>
        <w:t>split</w:t>
      </w:r>
      <w:proofErr w:type="spellEnd"/>
      <w:r w:rsidR="00730C28" w:rsidRPr="000E4340">
        <w:rPr>
          <w:rFonts w:ascii="Arial Narrow" w:hAnsi="Arial Narrow" w:cs="Open Sans"/>
          <w:b/>
          <w:sz w:val="26"/>
          <w:szCs w:val="26"/>
        </w:rPr>
        <w:t xml:space="preserve"> </w:t>
      </w:r>
      <w:proofErr w:type="spellStart"/>
      <w:r w:rsidR="00730C28" w:rsidRPr="000E4340">
        <w:rPr>
          <w:rFonts w:ascii="Arial Narrow" w:hAnsi="Arial Narrow" w:cs="Open Sans"/>
          <w:b/>
          <w:sz w:val="26"/>
          <w:szCs w:val="26"/>
        </w:rPr>
        <w:t>payment</w:t>
      </w:r>
      <w:proofErr w:type="spellEnd"/>
    </w:p>
    <w:p w:rsidR="00730C28" w:rsidRPr="000E4340" w:rsidRDefault="00730C28" w:rsidP="000E4340">
      <w:pPr>
        <w:pStyle w:val="m1278440382029831924msolistparagraph"/>
        <w:spacing w:before="0" w:beforeAutospacing="0" w:after="0" w:afterAutospacing="0" w:line="300" w:lineRule="auto"/>
        <w:jc w:val="center"/>
        <w:rPr>
          <w:rFonts w:ascii="Arial Narrow" w:hAnsi="Arial Narrow" w:cs="Open Sans"/>
          <w:b/>
          <w:sz w:val="26"/>
          <w:szCs w:val="26"/>
        </w:rPr>
      </w:pPr>
      <w:r w:rsidRPr="000E4340">
        <w:rPr>
          <w:rFonts w:ascii="Arial Narrow" w:hAnsi="Arial Narrow" w:cs="Open Sans"/>
          <w:b/>
          <w:sz w:val="26"/>
          <w:szCs w:val="26"/>
        </w:rPr>
        <w:t>(projekt z dnia 12 czerwca 2017 roku)</w:t>
      </w:r>
    </w:p>
    <w:p w:rsidR="00730C28" w:rsidRPr="000E4340" w:rsidRDefault="00730C28" w:rsidP="000E4340">
      <w:pPr>
        <w:pStyle w:val="m1278440382029831924msolistparagraph"/>
        <w:spacing w:before="0" w:beforeAutospacing="0" w:after="0" w:afterAutospacing="0" w:line="300" w:lineRule="auto"/>
        <w:ind w:left="720"/>
        <w:jc w:val="center"/>
        <w:rPr>
          <w:rFonts w:ascii="Arial Narrow" w:hAnsi="Arial Narrow" w:cs="Open Sans"/>
          <w:b/>
          <w:sz w:val="26"/>
          <w:szCs w:val="26"/>
        </w:rPr>
      </w:pPr>
    </w:p>
    <w:p w:rsidR="00730C28" w:rsidRPr="000E4340" w:rsidRDefault="00730C28" w:rsidP="000E4340">
      <w:pPr>
        <w:pStyle w:val="m1278440382029831924msolistparagraph"/>
        <w:numPr>
          <w:ilvl w:val="0"/>
          <w:numId w:val="9"/>
        </w:numPr>
        <w:spacing w:before="0" w:beforeAutospacing="0" w:after="0" w:afterAutospacing="0" w:line="300" w:lineRule="auto"/>
        <w:ind w:left="426" w:hanging="426"/>
        <w:jc w:val="both"/>
        <w:rPr>
          <w:rFonts w:ascii="Arial Narrow" w:hAnsi="Arial Narrow" w:cs="Open Sans"/>
          <w:b/>
          <w:sz w:val="26"/>
          <w:szCs w:val="26"/>
        </w:rPr>
      </w:pPr>
      <w:r w:rsidRPr="000E4340">
        <w:rPr>
          <w:rFonts w:ascii="Arial Narrow" w:hAnsi="Arial Narrow" w:cs="Open Sans"/>
          <w:b/>
          <w:sz w:val="26"/>
          <w:szCs w:val="26"/>
        </w:rPr>
        <w:t>Odpowiedzi na przesłane pytania:</w:t>
      </w:r>
    </w:p>
    <w:p w:rsidR="00730C28" w:rsidRPr="000E4340" w:rsidRDefault="00730C28" w:rsidP="000E4340">
      <w:pPr>
        <w:pStyle w:val="m1278440382029831924msolistparagraph"/>
        <w:numPr>
          <w:ilvl w:val="0"/>
          <w:numId w:val="1"/>
        </w:numPr>
        <w:spacing w:before="0" w:beforeAutospacing="0" w:after="0" w:afterAutospacing="0" w:line="300" w:lineRule="auto"/>
        <w:jc w:val="both"/>
        <w:rPr>
          <w:rFonts w:ascii="Arial Narrow" w:hAnsi="Arial Narrow" w:cs="Open Sans"/>
          <w:i/>
          <w:sz w:val="26"/>
          <w:szCs w:val="26"/>
        </w:rPr>
      </w:pPr>
      <w:r w:rsidRPr="000E4340">
        <w:rPr>
          <w:rFonts w:ascii="Arial Narrow" w:hAnsi="Arial Narrow" w:cs="Open Sans"/>
          <w:i/>
          <w:sz w:val="26"/>
          <w:szCs w:val="26"/>
        </w:rPr>
        <w:t>Czy regulacja ta będzie dla Państwa Firmy stanowiła utrudnienie w prowadzeniu działalności gospodarczej? Jeśli tak, to na czym będą polegały te trudności?</w:t>
      </w:r>
    </w:p>
    <w:p w:rsidR="00730C28" w:rsidRPr="000E4340" w:rsidRDefault="00730C28" w:rsidP="000E4340">
      <w:pPr>
        <w:pStyle w:val="m1278440382029831924msolistparagraph"/>
        <w:spacing w:before="0" w:beforeAutospacing="0" w:after="0" w:afterAutospacing="0" w:line="300" w:lineRule="auto"/>
        <w:ind w:left="1260"/>
        <w:jc w:val="both"/>
        <w:rPr>
          <w:rFonts w:ascii="Arial Narrow" w:hAnsi="Arial Narrow" w:cs="Open Sans"/>
          <w:sz w:val="26"/>
          <w:szCs w:val="26"/>
        </w:rPr>
      </w:pPr>
    </w:p>
    <w:p w:rsidR="00730C28" w:rsidRPr="000E4340" w:rsidRDefault="00730C28" w:rsidP="000E4340">
      <w:pPr>
        <w:spacing w:after="0" w:line="300" w:lineRule="auto"/>
        <w:jc w:val="both"/>
        <w:rPr>
          <w:rFonts w:ascii="Arial Narrow" w:hAnsi="Arial Narrow" w:cs="Open Sans"/>
          <w:sz w:val="26"/>
          <w:szCs w:val="26"/>
        </w:rPr>
      </w:pPr>
      <w:r w:rsidRPr="000E4340">
        <w:rPr>
          <w:rFonts w:ascii="Arial Narrow" w:hAnsi="Arial Narrow" w:cs="Open Sans"/>
          <w:sz w:val="26"/>
          <w:szCs w:val="26"/>
        </w:rPr>
        <w:t xml:space="preserve">Wprowadzenie mechanizmu </w:t>
      </w:r>
      <w:proofErr w:type="spellStart"/>
      <w:r w:rsidRPr="000E4340">
        <w:rPr>
          <w:rFonts w:ascii="Arial Narrow" w:hAnsi="Arial Narrow" w:cs="Open Sans"/>
          <w:sz w:val="26"/>
          <w:szCs w:val="26"/>
        </w:rPr>
        <w:t>plit</w:t>
      </w:r>
      <w:proofErr w:type="spellEnd"/>
      <w:r w:rsidRPr="000E4340">
        <w:rPr>
          <w:rFonts w:ascii="Arial Narrow" w:hAnsi="Arial Narrow" w:cs="Open Sans"/>
          <w:sz w:val="26"/>
          <w:szCs w:val="26"/>
        </w:rPr>
        <w:t xml:space="preserve"> </w:t>
      </w:r>
      <w:proofErr w:type="spellStart"/>
      <w:r w:rsidRPr="000E4340">
        <w:rPr>
          <w:rFonts w:ascii="Arial Narrow" w:hAnsi="Arial Narrow" w:cs="Open Sans"/>
          <w:sz w:val="26"/>
          <w:szCs w:val="26"/>
        </w:rPr>
        <w:t>payment</w:t>
      </w:r>
      <w:proofErr w:type="spellEnd"/>
      <w:r w:rsidRPr="000E4340">
        <w:rPr>
          <w:rFonts w:ascii="Arial Narrow" w:hAnsi="Arial Narrow" w:cs="Open Sans"/>
          <w:sz w:val="26"/>
          <w:szCs w:val="26"/>
        </w:rPr>
        <w:t xml:space="preserve"> (w formie prezentowanej w projekcie ustawy) będzie powodować trudności w obszarze realizacji płatności j.n.:</w:t>
      </w:r>
    </w:p>
    <w:p w:rsidR="00730C28" w:rsidRPr="000E4340" w:rsidRDefault="00730C28" w:rsidP="000E4340">
      <w:pPr>
        <w:pStyle w:val="Akapitzlist"/>
        <w:spacing w:after="0" w:line="300" w:lineRule="auto"/>
        <w:jc w:val="both"/>
        <w:rPr>
          <w:rFonts w:ascii="Arial Narrow" w:hAnsi="Arial Narrow" w:cs="Open Sans"/>
          <w:sz w:val="26"/>
          <w:szCs w:val="26"/>
        </w:rPr>
      </w:pPr>
      <w:r w:rsidRPr="000E4340">
        <w:rPr>
          <w:rFonts w:ascii="Arial Narrow" w:hAnsi="Arial Narrow" w:cs="Open Sans"/>
          <w:sz w:val="26"/>
          <w:szCs w:val="26"/>
        </w:rPr>
        <w:t>Dostosowanie systemów informatycznych – niezależnie od docelowego modelu funkcjonowania konieczne będzie kosztowne i czasochłonne dostosowanie systemów IT poprzez uwzględnienie nowych wymogów prawnych.</w:t>
      </w:r>
    </w:p>
    <w:p w:rsidR="00730C28" w:rsidRPr="000E4340" w:rsidRDefault="00730C28" w:rsidP="000E4340">
      <w:pPr>
        <w:pStyle w:val="Akapitzlist"/>
        <w:spacing w:after="0" w:line="300" w:lineRule="auto"/>
        <w:jc w:val="both"/>
        <w:rPr>
          <w:rFonts w:ascii="Arial Narrow" w:hAnsi="Arial Narrow" w:cs="Open Sans"/>
          <w:sz w:val="26"/>
          <w:szCs w:val="26"/>
        </w:rPr>
      </w:pPr>
      <w:r w:rsidRPr="000E4340">
        <w:rPr>
          <w:rFonts w:ascii="Arial Narrow" w:hAnsi="Arial Narrow" w:cs="Open Sans"/>
          <w:sz w:val="26"/>
          <w:szCs w:val="26"/>
        </w:rPr>
        <w:t>Ewentualne zastosowanie dedykowanego komunikatu przelewu w dotychczasowym polu przelewu „opis” uniemożliwi swobodne wykorzystanie dostępnych 144 znaków. Tym samym w przypadku KGHM Polska Miedź S.A. uniemożliwi lub znacząco ograniczy:</w:t>
      </w:r>
    </w:p>
    <w:p w:rsidR="00730C28" w:rsidRPr="000E4340" w:rsidRDefault="00730C28" w:rsidP="000E4340">
      <w:pPr>
        <w:pStyle w:val="Akapitzlist"/>
        <w:numPr>
          <w:ilvl w:val="1"/>
          <w:numId w:val="7"/>
        </w:numPr>
        <w:spacing w:after="0" w:line="300" w:lineRule="auto"/>
        <w:jc w:val="both"/>
        <w:rPr>
          <w:rFonts w:ascii="Arial Narrow" w:hAnsi="Arial Narrow" w:cs="Open Sans"/>
          <w:sz w:val="26"/>
          <w:szCs w:val="26"/>
        </w:rPr>
      </w:pPr>
      <w:r w:rsidRPr="000E4340">
        <w:rPr>
          <w:rFonts w:ascii="Arial Narrow" w:hAnsi="Arial Narrow" w:cs="Open Sans"/>
          <w:sz w:val="26"/>
          <w:szCs w:val="26"/>
        </w:rPr>
        <w:t xml:space="preserve">paczkowanie przelewów z wykorzystaniem pola „opis” lub paczkowanie przelewów z automatycznym generowaniem zewnętrznego załącznika </w:t>
      </w:r>
      <w:bookmarkStart w:id="0" w:name="_GoBack"/>
      <w:bookmarkEnd w:id="0"/>
      <w:r w:rsidRPr="000E4340">
        <w:rPr>
          <w:rFonts w:ascii="Arial Narrow" w:hAnsi="Arial Narrow" w:cs="Open Sans"/>
          <w:sz w:val="26"/>
          <w:szCs w:val="26"/>
        </w:rPr>
        <w:t xml:space="preserve">– w konsekwencji nastąpi wielokrotny wzrost kosztów przelewów; </w:t>
      </w:r>
    </w:p>
    <w:p w:rsidR="00730C28" w:rsidRPr="000E4340" w:rsidRDefault="00730C28" w:rsidP="000E4340">
      <w:pPr>
        <w:pStyle w:val="Akapitzlist"/>
        <w:numPr>
          <w:ilvl w:val="1"/>
          <w:numId w:val="7"/>
        </w:numPr>
        <w:spacing w:after="0" w:line="300" w:lineRule="auto"/>
        <w:jc w:val="both"/>
        <w:rPr>
          <w:rFonts w:ascii="Arial Narrow" w:hAnsi="Arial Narrow" w:cs="Open Sans"/>
          <w:sz w:val="26"/>
          <w:szCs w:val="26"/>
        </w:rPr>
      </w:pPr>
      <w:r w:rsidRPr="000E4340">
        <w:rPr>
          <w:rFonts w:ascii="Arial Narrow" w:hAnsi="Arial Narrow" w:cs="Open Sans"/>
          <w:sz w:val="26"/>
          <w:szCs w:val="26"/>
        </w:rPr>
        <w:t xml:space="preserve">dotychczasową obsługę usługi </w:t>
      </w:r>
      <w:proofErr w:type="spellStart"/>
      <w:r w:rsidRPr="000E4340">
        <w:rPr>
          <w:rFonts w:ascii="Arial Narrow" w:hAnsi="Arial Narrow" w:cs="Open Sans"/>
          <w:sz w:val="26"/>
          <w:szCs w:val="26"/>
        </w:rPr>
        <w:t>faktoringu</w:t>
      </w:r>
      <w:proofErr w:type="spellEnd"/>
      <w:r w:rsidRPr="000E4340">
        <w:rPr>
          <w:rFonts w:ascii="Arial Narrow" w:hAnsi="Arial Narrow" w:cs="Open Sans"/>
          <w:sz w:val="26"/>
          <w:szCs w:val="26"/>
        </w:rPr>
        <w:t xml:space="preserve"> odwrotnego dla dostawców Spółki,</w:t>
      </w:r>
    </w:p>
    <w:p w:rsidR="00730C28" w:rsidRPr="000E4340" w:rsidRDefault="00730C28" w:rsidP="000E4340">
      <w:pPr>
        <w:pStyle w:val="Akapitzlist"/>
        <w:numPr>
          <w:ilvl w:val="1"/>
          <w:numId w:val="7"/>
        </w:numPr>
        <w:spacing w:after="0" w:line="300" w:lineRule="auto"/>
        <w:jc w:val="both"/>
        <w:rPr>
          <w:rFonts w:ascii="Arial Narrow" w:hAnsi="Arial Narrow" w:cs="Open Sans"/>
          <w:sz w:val="26"/>
          <w:szCs w:val="26"/>
        </w:rPr>
      </w:pPr>
      <w:r w:rsidRPr="000E4340">
        <w:rPr>
          <w:rFonts w:ascii="Arial Narrow" w:hAnsi="Arial Narrow" w:cs="Open Sans"/>
          <w:sz w:val="26"/>
          <w:szCs w:val="26"/>
        </w:rPr>
        <w:t>swobodę w opisie przelewów dotyczących zdarzeń związanych z egzekucją komorniczą i administracyjną oraz innych dotyczących potrąceń i kompensat.</w:t>
      </w:r>
    </w:p>
    <w:p w:rsidR="00730C28" w:rsidRPr="000E4340" w:rsidRDefault="00730C28" w:rsidP="000E4340">
      <w:pPr>
        <w:pStyle w:val="Akapitzlist"/>
        <w:spacing w:after="0" w:line="300" w:lineRule="auto"/>
        <w:rPr>
          <w:rFonts w:ascii="Arial Narrow" w:hAnsi="Arial Narrow" w:cs="Open Sans"/>
          <w:sz w:val="26"/>
          <w:szCs w:val="26"/>
        </w:rPr>
      </w:pPr>
      <w:r w:rsidRPr="000E4340">
        <w:rPr>
          <w:rFonts w:ascii="Arial Narrow" w:hAnsi="Arial Narrow" w:cs="Open Sans"/>
          <w:sz w:val="26"/>
          <w:szCs w:val="26"/>
        </w:rPr>
        <w:t>Przewidywane  jest ponadto utrudnienie, w sytuacji dokonania płatności na błędny rachunek bankowy.</w:t>
      </w:r>
    </w:p>
    <w:p w:rsidR="00730C28" w:rsidRPr="000E4340" w:rsidRDefault="00730C28" w:rsidP="000E4340">
      <w:pPr>
        <w:pStyle w:val="m1278440382029831924msolistparagraph"/>
        <w:spacing w:before="0" w:beforeAutospacing="0" w:after="0" w:afterAutospacing="0" w:line="300" w:lineRule="auto"/>
        <w:ind w:left="1260"/>
        <w:jc w:val="both"/>
        <w:rPr>
          <w:rFonts w:ascii="Arial Narrow" w:hAnsi="Arial Narrow" w:cs="Open Sans"/>
          <w:sz w:val="26"/>
          <w:szCs w:val="26"/>
        </w:rPr>
      </w:pPr>
    </w:p>
    <w:p w:rsidR="00730C28" w:rsidRPr="000E4340" w:rsidRDefault="000E4340" w:rsidP="000E4340">
      <w:pPr>
        <w:pStyle w:val="m1278440382029831924msolistparagraph"/>
        <w:spacing w:before="0" w:beforeAutospacing="0" w:after="0" w:afterAutospacing="0" w:line="300" w:lineRule="auto"/>
        <w:jc w:val="both"/>
        <w:rPr>
          <w:rFonts w:ascii="Arial Narrow" w:hAnsi="Arial Narrow"/>
          <w:color w:val="002060"/>
          <w:sz w:val="26"/>
          <w:szCs w:val="26"/>
        </w:rPr>
      </w:pPr>
      <w:r>
        <w:rPr>
          <w:rFonts w:ascii="Arial Narrow" w:hAnsi="Arial Narrow"/>
          <w:color w:val="002060"/>
          <w:sz w:val="26"/>
          <w:szCs w:val="26"/>
        </w:rPr>
        <w:t>W ocenie przedsiębiorcy</w:t>
      </w:r>
      <w:r w:rsidR="004A327C" w:rsidRPr="000E4340">
        <w:rPr>
          <w:rFonts w:ascii="Arial Narrow" w:hAnsi="Arial Narrow"/>
          <w:color w:val="002060"/>
          <w:sz w:val="26"/>
          <w:szCs w:val="26"/>
        </w:rPr>
        <w:t xml:space="preserve"> regulacja będzie stanowiła utrudnienie w prowadzeniu działalności.  Prowadzenie dodatkowych rachunków bankowych</w:t>
      </w:r>
      <w:r>
        <w:rPr>
          <w:rFonts w:ascii="Arial Narrow" w:hAnsi="Arial Narrow"/>
          <w:color w:val="002060"/>
          <w:sz w:val="26"/>
          <w:szCs w:val="26"/>
        </w:rPr>
        <w:t>, a</w:t>
      </w:r>
      <w:r w:rsidR="004A327C" w:rsidRPr="000E4340">
        <w:rPr>
          <w:rFonts w:ascii="Arial Narrow" w:hAnsi="Arial Narrow"/>
          <w:color w:val="002060"/>
          <w:sz w:val="26"/>
          <w:szCs w:val="26"/>
        </w:rPr>
        <w:t xml:space="preserve"> co za tym idzie zwiększenie kosztów związanych z obsługą bankową. Może wystąpić konieczność renegocjacji umów handlowych </w:t>
      </w:r>
      <w:r>
        <w:rPr>
          <w:rFonts w:ascii="Arial Narrow" w:hAnsi="Arial Narrow"/>
          <w:color w:val="002060"/>
          <w:sz w:val="26"/>
          <w:szCs w:val="26"/>
        </w:rPr>
        <w:br/>
      </w:r>
      <w:r w:rsidR="004A327C" w:rsidRPr="000E4340">
        <w:rPr>
          <w:rFonts w:ascii="Arial Narrow" w:hAnsi="Arial Narrow"/>
          <w:color w:val="002060"/>
          <w:sz w:val="26"/>
          <w:szCs w:val="26"/>
        </w:rPr>
        <w:t xml:space="preserve">i wprowadzenie zapisów o </w:t>
      </w:r>
      <w:proofErr w:type="spellStart"/>
      <w:r w:rsidR="004A327C" w:rsidRPr="000E4340">
        <w:rPr>
          <w:rFonts w:ascii="Arial Narrow" w:hAnsi="Arial Narrow"/>
          <w:color w:val="002060"/>
          <w:sz w:val="26"/>
          <w:szCs w:val="26"/>
        </w:rPr>
        <w:t>split</w:t>
      </w:r>
      <w:proofErr w:type="spellEnd"/>
      <w:r w:rsidR="004A327C" w:rsidRPr="000E4340">
        <w:rPr>
          <w:rFonts w:ascii="Arial Narrow" w:hAnsi="Arial Narrow"/>
          <w:color w:val="002060"/>
          <w:sz w:val="26"/>
          <w:szCs w:val="26"/>
        </w:rPr>
        <w:t xml:space="preserve"> </w:t>
      </w:r>
      <w:proofErr w:type="spellStart"/>
      <w:r w:rsidR="004A327C" w:rsidRPr="000E4340">
        <w:rPr>
          <w:rFonts w:ascii="Arial Narrow" w:hAnsi="Arial Narrow"/>
          <w:color w:val="002060"/>
          <w:sz w:val="26"/>
          <w:szCs w:val="26"/>
        </w:rPr>
        <w:t>payment</w:t>
      </w:r>
      <w:proofErr w:type="spellEnd"/>
      <w:r w:rsidR="004A327C" w:rsidRPr="000E4340">
        <w:rPr>
          <w:rFonts w:ascii="Arial Narrow" w:hAnsi="Arial Narrow"/>
          <w:color w:val="002060"/>
          <w:sz w:val="26"/>
          <w:szCs w:val="26"/>
        </w:rPr>
        <w:t xml:space="preserve">. Zmiany w systemie </w:t>
      </w:r>
      <w:proofErr w:type="spellStart"/>
      <w:r w:rsidR="004A327C" w:rsidRPr="000E4340">
        <w:rPr>
          <w:rFonts w:ascii="Arial Narrow" w:hAnsi="Arial Narrow"/>
          <w:color w:val="002060"/>
          <w:sz w:val="26"/>
          <w:szCs w:val="26"/>
        </w:rPr>
        <w:t>F-K</w:t>
      </w:r>
      <w:proofErr w:type="spellEnd"/>
      <w:r w:rsidR="004A327C" w:rsidRPr="000E4340">
        <w:rPr>
          <w:rFonts w:ascii="Arial Narrow" w:hAnsi="Arial Narrow"/>
          <w:color w:val="002060"/>
          <w:sz w:val="26"/>
          <w:szCs w:val="26"/>
        </w:rPr>
        <w:t>.</w:t>
      </w:r>
    </w:p>
    <w:p w:rsidR="00730C28" w:rsidRPr="000E4340" w:rsidRDefault="00730C28" w:rsidP="000E4340">
      <w:pPr>
        <w:pStyle w:val="m1278440382029831924msolistparagraph"/>
        <w:spacing w:before="0" w:beforeAutospacing="0" w:after="0" w:afterAutospacing="0" w:line="300" w:lineRule="auto"/>
        <w:ind w:left="1260"/>
        <w:jc w:val="both"/>
        <w:rPr>
          <w:rFonts w:ascii="Arial Narrow" w:hAnsi="Arial Narrow" w:cs="Open Sans"/>
          <w:sz w:val="26"/>
          <w:szCs w:val="26"/>
        </w:rPr>
      </w:pPr>
    </w:p>
    <w:p w:rsidR="00730C28" w:rsidRPr="000E4340" w:rsidRDefault="000E4340" w:rsidP="000E4340">
      <w:pPr>
        <w:pStyle w:val="m1278440382029831924msolistparagraph"/>
        <w:spacing w:before="0" w:beforeAutospacing="0" w:after="0" w:afterAutospacing="0" w:line="300" w:lineRule="auto"/>
        <w:jc w:val="both"/>
        <w:rPr>
          <w:rFonts w:ascii="Arial Narrow" w:hAnsi="Arial Narrow"/>
          <w:sz w:val="26"/>
          <w:szCs w:val="26"/>
        </w:rPr>
      </w:pPr>
      <w:r>
        <w:rPr>
          <w:rFonts w:ascii="Arial Narrow" w:hAnsi="Arial Narrow"/>
          <w:sz w:val="26"/>
          <w:szCs w:val="26"/>
        </w:rPr>
        <w:t>Tak.</w:t>
      </w:r>
      <w:r w:rsidR="004A327C" w:rsidRPr="000E4340">
        <w:rPr>
          <w:rFonts w:ascii="Arial Narrow" w:hAnsi="Arial Narrow"/>
          <w:sz w:val="26"/>
          <w:szCs w:val="26"/>
        </w:rPr>
        <w:t xml:space="preserve"> Z punktu widzenia prowadzenia działalności Firma poniesie dodatkowe koszty związane z dostosowanie informatycznych systemów księgowych, zatrudnieniem dodatkowych osób w celu bieżącego monitorowania wpływów na własne konto VAT, dokonywania ewentualnych korekt przy błędnie przeprowadzonych transakcjach.</w:t>
      </w:r>
    </w:p>
    <w:p w:rsidR="004A327C" w:rsidRPr="000E4340" w:rsidRDefault="004A327C" w:rsidP="000E4340">
      <w:pPr>
        <w:pStyle w:val="m1278440382029831924msolistparagraph"/>
        <w:spacing w:before="0" w:beforeAutospacing="0" w:after="0" w:afterAutospacing="0" w:line="300" w:lineRule="auto"/>
        <w:jc w:val="both"/>
        <w:rPr>
          <w:rFonts w:ascii="Arial Narrow" w:hAnsi="Arial Narrow"/>
          <w:sz w:val="26"/>
          <w:szCs w:val="26"/>
        </w:rPr>
      </w:pPr>
    </w:p>
    <w:p w:rsidR="004A327C" w:rsidRPr="000E4340" w:rsidRDefault="004A327C" w:rsidP="000E4340">
      <w:pPr>
        <w:pStyle w:val="m1278440382029831924msolistparagraph"/>
        <w:spacing w:before="0" w:beforeAutospacing="0" w:after="0" w:afterAutospacing="0" w:line="300" w:lineRule="auto"/>
        <w:jc w:val="both"/>
        <w:rPr>
          <w:rFonts w:ascii="Arial Narrow" w:hAnsi="Arial Narrow" w:cs="Open Sans"/>
          <w:sz w:val="26"/>
          <w:szCs w:val="26"/>
        </w:rPr>
      </w:pPr>
      <w:r w:rsidRPr="000E4340">
        <w:rPr>
          <w:rFonts w:ascii="Arial Narrow" w:hAnsi="Arial Narrow"/>
          <w:color w:val="0070C0"/>
          <w:sz w:val="26"/>
          <w:szCs w:val="26"/>
        </w:rPr>
        <w:lastRenderedPageBreak/>
        <w:t>Wprowadzenie konieczności rozbijania płatności będzie wiązało się przede wszystkim z koniecznością dostosowania systemów informatycznych oraz systemów bankowych wykorzystywanych do tworzenia paczek przelewów. Biorąc pod uwagę dobrowolność stosowania powyższego rozwiązania może to zwiększyć  pracochłonność, z uwagi , że  będzie to wymagało rozgraniczenia, które z płatności wymagają zastosowania przelewu dedykowanego. Nie do końca wyjaśniona jest też kwestia kosztów takich przelewów, które zapewne będą stanowiły nowy element cennika banku</w:t>
      </w:r>
    </w:p>
    <w:p w:rsidR="00730C28" w:rsidRPr="000E4340" w:rsidRDefault="00730C28" w:rsidP="000E4340">
      <w:pPr>
        <w:pStyle w:val="m1278440382029831924msolistparagraph"/>
        <w:spacing w:before="0" w:beforeAutospacing="0" w:after="0" w:afterAutospacing="0" w:line="300" w:lineRule="auto"/>
        <w:ind w:left="1260"/>
        <w:jc w:val="both"/>
        <w:rPr>
          <w:rFonts w:ascii="Arial Narrow" w:hAnsi="Arial Narrow" w:cs="Open Sans"/>
          <w:sz w:val="26"/>
          <w:szCs w:val="26"/>
        </w:rPr>
      </w:pPr>
    </w:p>
    <w:p w:rsidR="000E4340" w:rsidRPr="000E4340" w:rsidRDefault="000E4340" w:rsidP="000E4340">
      <w:pPr>
        <w:pStyle w:val="m1278440382029831924msolistparagraph"/>
        <w:spacing w:before="0" w:beforeAutospacing="0" w:after="0" w:afterAutospacing="0" w:line="300" w:lineRule="auto"/>
        <w:jc w:val="both"/>
        <w:rPr>
          <w:rFonts w:ascii="Arial Narrow" w:hAnsi="Arial Narrow"/>
          <w:i/>
          <w:iCs/>
          <w:color w:val="00B050"/>
          <w:sz w:val="26"/>
          <w:szCs w:val="26"/>
        </w:rPr>
      </w:pPr>
      <w:r w:rsidRPr="000E4340">
        <w:rPr>
          <w:rFonts w:ascii="Arial Narrow" w:hAnsi="Arial Narrow"/>
          <w:i/>
          <w:iCs/>
          <w:color w:val="00B050"/>
          <w:sz w:val="26"/>
          <w:szCs w:val="26"/>
        </w:rPr>
        <w:t>* dostosowanie systemu księgowo – bankowego do automatycznych płatności na odrębne konta bankowe,</w:t>
      </w:r>
    </w:p>
    <w:p w:rsidR="000E4340" w:rsidRPr="000E4340" w:rsidRDefault="000E4340" w:rsidP="000E4340">
      <w:pPr>
        <w:pStyle w:val="m1278440382029831924msolistparagraph"/>
        <w:spacing w:before="0" w:beforeAutospacing="0" w:after="0" w:afterAutospacing="0" w:line="300" w:lineRule="auto"/>
        <w:jc w:val="both"/>
        <w:rPr>
          <w:rFonts w:ascii="Arial Narrow" w:hAnsi="Arial Narrow"/>
          <w:i/>
          <w:iCs/>
          <w:color w:val="00B050"/>
          <w:sz w:val="26"/>
          <w:szCs w:val="26"/>
        </w:rPr>
      </w:pPr>
      <w:r w:rsidRPr="000E4340">
        <w:rPr>
          <w:rFonts w:ascii="Arial Narrow" w:hAnsi="Arial Narrow"/>
          <w:i/>
          <w:iCs/>
          <w:color w:val="00B050"/>
          <w:sz w:val="26"/>
          <w:szCs w:val="26"/>
        </w:rPr>
        <w:t>* w związku z tym, że o zastosowaniu nowej metody płatności będzie decydować nabywca towaru lub usługi, na służbach finansowo – księgowych będzie ciążyła bieżąca analiza rozrachunków pod kątem zastosowania odrębnej płatności bądź nie,</w:t>
      </w:r>
    </w:p>
    <w:p w:rsidR="000E4340" w:rsidRPr="000E4340" w:rsidRDefault="000E4340" w:rsidP="000E4340">
      <w:pPr>
        <w:pStyle w:val="m1278440382029831924msolistparagraph"/>
        <w:spacing w:before="0" w:beforeAutospacing="0" w:after="0" w:afterAutospacing="0" w:line="300" w:lineRule="auto"/>
        <w:jc w:val="both"/>
        <w:rPr>
          <w:rFonts w:ascii="Arial Narrow" w:hAnsi="Arial Narrow"/>
          <w:i/>
          <w:iCs/>
          <w:color w:val="00B050"/>
          <w:sz w:val="26"/>
          <w:szCs w:val="26"/>
        </w:rPr>
      </w:pPr>
      <w:r w:rsidRPr="000E4340">
        <w:rPr>
          <w:rFonts w:ascii="Arial Narrow" w:hAnsi="Arial Narrow"/>
          <w:i/>
          <w:iCs/>
          <w:color w:val="00B050"/>
          <w:sz w:val="26"/>
          <w:szCs w:val="26"/>
        </w:rPr>
        <w:t>* zwiększenie księgowań w obrębie wyciągów bankowych,</w:t>
      </w:r>
    </w:p>
    <w:p w:rsidR="000E4340" w:rsidRPr="000E4340" w:rsidRDefault="000E4340" w:rsidP="000E4340">
      <w:pPr>
        <w:pStyle w:val="m1278440382029831924msolistparagraph"/>
        <w:spacing w:before="0" w:beforeAutospacing="0" w:after="0" w:afterAutospacing="0" w:line="300" w:lineRule="auto"/>
        <w:jc w:val="both"/>
        <w:rPr>
          <w:rFonts w:ascii="Arial Narrow" w:hAnsi="Arial Narrow"/>
          <w:i/>
          <w:iCs/>
          <w:color w:val="00B050"/>
          <w:sz w:val="26"/>
          <w:szCs w:val="26"/>
        </w:rPr>
      </w:pPr>
      <w:r w:rsidRPr="000E4340">
        <w:rPr>
          <w:rFonts w:ascii="Arial Narrow" w:hAnsi="Arial Narrow"/>
          <w:i/>
          <w:iCs/>
          <w:color w:val="00B050"/>
          <w:sz w:val="26"/>
          <w:szCs w:val="26"/>
        </w:rPr>
        <w:t>* utrudniona analiza rozrachunków, w uwagi na dwutorowe księgowanie płatności,</w:t>
      </w:r>
    </w:p>
    <w:p w:rsidR="000E4340" w:rsidRPr="000E4340" w:rsidRDefault="000E4340" w:rsidP="000E4340">
      <w:pPr>
        <w:pStyle w:val="m1278440382029831924msolistparagraph"/>
        <w:spacing w:before="0" w:beforeAutospacing="0" w:after="0" w:afterAutospacing="0" w:line="300" w:lineRule="auto"/>
        <w:jc w:val="both"/>
        <w:rPr>
          <w:rFonts w:ascii="Arial Narrow" w:hAnsi="Arial Narrow"/>
          <w:i/>
          <w:iCs/>
          <w:color w:val="00B050"/>
          <w:sz w:val="26"/>
          <w:szCs w:val="26"/>
        </w:rPr>
      </w:pPr>
      <w:r w:rsidRPr="000E4340">
        <w:rPr>
          <w:rFonts w:ascii="Arial Narrow" w:hAnsi="Arial Narrow"/>
          <w:i/>
          <w:iCs/>
          <w:color w:val="00B050"/>
          <w:sz w:val="26"/>
          <w:szCs w:val="26"/>
        </w:rPr>
        <w:t>* czy z nowej regulacji będą mogły korzystać również nabywcy spoza Unii? U nas Rosja – czy nie będzie korzystać z furtki płacenia tylko netto?,</w:t>
      </w:r>
    </w:p>
    <w:p w:rsidR="000E4340" w:rsidRPr="000E4340" w:rsidRDefault="000E4340" w:rsidP="000E4340">
      <w:pPr>
        <w:pStyle w:val="m1278440382029831924msolistparagraph"/>
        <w:spacing w:before="0" w:beforeAutospacing="0" w:after="0" w:afterAutospacing="0" w:line="300" w:lineRule="auto"/>
        <w:jc w:val="both"/>
        <w:rPr>
          <w:rFonts w:ascii="Arial Narrow" w:hAnsi="Arial Narrow" w:cs="Open Sans"/>
          <w:sz w:val="26"/>
          <w:szCs w:val="26"/>
        </w:rPr>
      </w:pPr>
      <w:r w:rsidRPr="000E4340">
        <w:rPr>
          <w:rFonts w:ascii="Arial Narrow" w:hAnsi="Arial Narrow"/>
          <w:i/>
          <w:iCs/>
          <w:color w:val="00B050"/>
          <w:sz w:val="26"/>
          <w:szCs w:val="26"/>
        </w:rPr>
        <w:t>* w przypadku korzyści dla sprzedawcy – szybka płatność VAT – niższy podatek = kolejna analiza w momencie wypełniania deklaracji VAT</w:t>
      </w:r>
    </w:p>
    <w:p w:rsidR="00730C28" w:rsidRPr="000E4340" w:rsidRDefault="00730C28" w:rsidP="000E4340">
      <w:pPr>
        <w:pStyle w:val="m1278440382029831924msolistparagraph"/>
        <w:spacing w:before="0" w:beforeAutospacing="0" w:after="0" w:afterAutospacing="0" w:line="300" w:lineRule="auto"/>
        <w:ind w:left="1260"/>
        <w:jc w:val="both"/>
        <w:rPr>
          <w:rFonts w:ascii="Arial Narrow" w:hAnsi="Arial Narrow" w:cs="Open Sans"/>
          <w:sz w:val="26"/>
          <w:szCs w:val="26"/>
        </w:rPr>
      </w:pPr>
    </w:p>
    <w:p w:rsidR="00730C28" w:rsidRPr="000E4340" w:rsidRDefault="00730C28" w:rsidP="000E4340">
      <w:pPr>
        <w:pStyle w:val="m1278440382029831924msolistparagraph"/>
        <w:spacing w:before="0" w:beforeAutospacing="0" w:after="0" w:afterAutospacing="0" w:line="300" w:lineRule="auto"/>
        <w:ind w:left="1260"/>
        <w:jc w:val="both"/>
        <w:rPr>
          <w:rFonts w:ascii="Arial Narrow" w:hAnsi="Arial Narrow" w:cs="Open Sans"/>
          <w:sz w:val="26"/>
          <w:szCs w:val="26"/>
        </w:rPr>
      </w:pPr>
    </w:p>
    <w:p w:rsidR="00730C28" w:rsidRPr="000E4340" w:rsidRDefault="00730C28" w:rsidP="000E4340">
      <w:pPr>
        <w:pStyle w:val="m1278440382029831924msolistparagraph"/>
        <w:numPr>
          <w:ilvl w:val="0"/>
          <w:numId w:val="1"/>
        </w:numPr>
        <w:spacing w:before="0" w:beforeAutospacing="0" w:after="0" w:afterAutospacing="0" w:line="300" w:lineRule="auto"/>
        <w:jc w:val="both"/>
        <w:rPr>
          <w:rFonts w:ascii="Arial Narrow" w:hAnsi="Arial Narrow" w:cs="Open Sans"/>
          <w:i/>
          <w:sz w:val="26"/>
          <w:szCs w:val="26"/>
        </w:rPr>
      </w:pPr>
      <w:r w:rsidRPr="000E4340">
        <w:rPr>
          <w:rFonts w:ascii="Arial Narrow" w:hAnsi="Arial Narrow" w:cs="Open Sans"/>
          <w:i/>
          <w:sz w:val="26"/>
          <w:szCs w:val="26"/>
        </w:rPr>
        <w:t>Czy posiadacie Państwo obawy związane z zaburzeniem płynności finansowej w związku z czasowym zamrożeniem kwoty podatku VAT na specjalnym (dedykowanym) rachunku bankowym ? Jeśli tak, to jakie?</w:t>
      </w:r>
    </w:p>
    <w:p w:rsidR="00730C28" w:rsidRPr="000E4340" w:rsidRDefault="00730C28" w:rsidP="000E4340">
      <w:pPr>
        <w:pStyle w:val="Akapitzlist"/>
        <w:spacing w:after="0" w:line="300" w:lineRule="auto"/>
        <w:rPr>
          <w:rFonts w:ascii="Arial Narrow" w:hAnsi="Arial Narrow" w:cs="Open Sans"/>
          <w:sz w:val="26"/>
          <w:szCs w:val="26"/>
        </w:rPr>
      </w:pPr>
    </w:p>
    <w:p w:rsidR="00730C28" w:rsidRPr="000E4340" w:rsidRDefault="00730C28" w:rsidP="000E4340">
      <w:pPr>
        <w:spacing w:after="0" w:line="300" w:lineRule="auto"/>
        <w:jc w:val="both"/>
        <w:rPr>
          <w:rFonts w:ascii="Arial Narrow" w:hAnsi="Arial Narrow" w:cs="Open Sans"/>
          <w:sz w:val="26"/>
          <w:szCs w:val="26"/>
        </w:rPr>
      </w:pPr>
      <w:r w:rsidRPr="000E4340">
        <w:rPr>
          <w:rFonts w:ascii="Arial Narrow" w:hAnsi="Arial Narrow" w:cs="Open Sans"/>
          <w:sz w:val="26"/>
          <w:szCs w:val="26"/>
        </w:rPr>
        <w:t xml:space="preserve">W przypadku wejścia w życie projektowanych regulacji dotyczących podzielonej płatności </w:t>
      </w:r>
      <w:proofErr w:type="spellStart"/>
      <w:r w:rsidRPr="000E4340">
        <w:rPr>
          <w:rFonts w:ascii="Arial Narrow" w:hAnsi="Arial Narrow" w:cs="Open Sans"/>
          <w:sz w:val="26"/>
          <w:szCs w:val="26"/>
        </w:rPr>
        <w:t>(spli</w:t>
      </w:r>
      <w:proofErr w:type="spellEnd"/>
      <w:r w:rsidRPr="000E4340">
        <w:rPr>
          <w:rFonts w:ascii="Arial Narrow" w:hAnsi="Arial Narrow" w:cs="Open Sans"/>
          <w:sz w:val="26"/>
          <w:szCs w:val="26"/>
        </w:rPr>
        <w:t xml:space="preserve">t </w:t>
      </w:r>
      <w:proofErr w:type="spellStart"/>
      <w:r w:rsidRPr="000E4340">
        <w:rPr>
          <w:rFonts w:ascii="Arial Narrow" w:hAnsi="Arial Narrow" w:cs="Open Sans"/>
          <w:sz w:val="26"/>
          <w:szCs w:val="26"/>
        </w:rPr>
        <w:t>payment</w:t>
      </w:r>
      <w:proofErr w:type="spellEnd"/>
      <w:r w:rsidRPr="000E4340">
        <w:rPr>
          <w:rFonts w:ascii="Arial Narrow" w:hAnsi="Arial Narrow" w:cs="Open Sans"/>
          <w:sz w:val="26"/>
          <w:szCs w:val="26"/>
        </w:rPr>
        <w:t xml:space="preserve">), regulacje te będą miały znaczący wpływ na płynność finansową przedsiębiorców, z uwagi na fakt, iż o dokonaniu płatności z zastosowaniem w/w mechanizmu decydować będzie nabywca, a nie dostawca, zaś możliwość swobodnego dysponowania przez dostawcę ze środków pieniężnych zgromadzonych na rachunku bankowym VAT będzie znacznie ograniczona. </w:t>
      </w:r>
    </w:p>
    <w:p w:rsidR="00730C28" w:rsidRPr="000E4340" w:rsidRDefault="00730C28" w:rsidP="000E4340">
      <w:pPr>
        <w:spacing w:after="0" w:line="300" w:lineRule="auto"/>
        <w:rPr>
          <w:rFonts w:ascii="Arial Narrow" w:hAnsi="Arial Narrow" w:cs="Open Sans"/>
          <w:sz w:val="26"/>
          <w:szCs w:val="26"/>
        </w:rPr>
      </w:pPr>
      <w:r w:rsidRPr="000E4340">
        <w:rPr>
          <w:rFonts w:ascii="Arial Narrow" w:hAnsi="Arial Narrow" w:cs="Open Sans"/>
          <w:sz w:val="26"/>
          <w:szCs w:val="26"/>
        </w:rPr>
        <w:t>Powyższe prowadzić będzie do:</w:t>
      </w:r>
    </w:p>
    <w:p w:rsidR="00730C28" w:rsidRPr="000E4340" w:rsidRDefault="00730C28" w:rsidP="000E4340">
      <w:pPr>
        <w:pStyle w:val="Akapitzlist"/>
        <w:numPr>
          <w:ilvl w:val="0"/>
          <w:numId w:val="8"/>
        </w:numPr>
        <w:spacing w:after="0" w:line="300" w:lineRule="auto"/>
        <w:jc w:val="both"/>
        <w:rPr>
          <w:rFonts w:ascii="Arial Narrow" w:hAnsi="Arial Narrow" w:cs="Open Sans"/>
          <w:sz w:val="26"/>
          <w:szCs w:val="26"/>
        </w:rPr>
      </w:pPr>
      <w:r w:rsidRPr="000E4340">
        <w:rPr>
          <w:rFonts w:ascii="Arial Narrow" w:hAnsi="Arial Narrow" w:cs="Open Sans"/>
          <w:sz w:val="26"/>
          <w:szCs w:val="26"/>
        </w:rPr>
        <w:t xml:space="preserve">Pogorszenia procesu zarządzania płynnością (z uwagi na obniżenie przewidywalności poziomu wpływów pieniężnych, co do których istnieje całkowita swoboda w ich dysponowaniu przez przedsiębiorcę) oraz  </w:t>
      </w:r>
    </w:p>
    <w:p w:rsidR="00730C28" w:rsidRPr="000E4340" w:rsidRDefault="00730C28" w:rsidP="000E4340">
      <w:pPr>
        <w:pStyle w:val="Akapitzlist"/>
        <w:numPr>
          <w:ilvl w:val="0"/>
          <w:numId w:val="8"/>
        </w:numPr>
        <w:spacing w:after="0" w:line="300" w:lineRule="auto"/>
        <w:jc w:val="both"/>
        <w:rPr>
          <w:rFonts w:ascii="Arial Narrow" w:hAnsi="Arial Narrow" w:cs="Open Sans"/>
          <w:sz w:val="26"/>
          <w:szCs w:val="26"/>
        </w:rPr>
      </w:pPr>
      <w:r w:rsidRPr="000E4340">
        <w:rPr>
          <w:rFonts w:ascii="Arial Narrow" w:hAnsi="Arial Narrow" w:cs="Open Sans"/>
          <w:sz w:val="26"/>
          <w:szCs w:val="26"/>
        </w:rPr>
        <w:lastRenderedPageBreak/>
        <w:t>Konieczności korzystania z zewnętrznych źródeł finansowania (z uwagi na potrzebę utrzymywania ciągłości działalności operacyjnej oraz inwestycyjnej, poprzez zabezpieczenie dostępności środków pieniężnych),</w:t>
      </w:r>
    </w:p>
    <w:p w:rsidR="00730C28" w:rsidRPr="000E4340" w:rsidRDefault="00730C28" w:rsidP="000E4340">
      <w:pPr>
        <w:spacing w:after="0" w:line="300" w:lineRule="auto"/>
        <w:ind w:firstLine="360"/>
        <w:rPr>
          <w:rFonts w:ascii="Arial Narrow" w:hAnsi="Arial Narrow" w:cs="Open Sans"/>
          <w:sz w:val="26"/>
          <w:szCs w:val="26"/>
        </w:rPr>
      </w:pPr>
      <w:r w:rsidRPr="000E4340">
        <w:rPr>
          <w:rFonts w:ascii="Arial Narrow" w:hAnsi="Arial Narrow" w:cs="Open Sans"/>
          <w:sz w:val="26"/>
          <w:szCs w:val="26"/>
        </w:rPr>
        <w:t>- co w konsekwencji  przełoży się na koszty prowadzonej działalności.</w:t>
      </w:r>
    </w:p>
    <w:p w:rsidR="00730C28" w:rsidRPr="000E4340" w:rsidRDefault="00730C28" w:rsidP="000E4340">
      <w:pPr>
        <w:pStyle w:val="Akapitzlist"/>
        <w:spacing w:after="0" w:line="300" w:lineRule="auto"/>
        <w:rPr>
          <w:rFonts w:ascii="Arial Narrow" w:hAnsi="Arial Narrow" w:cs="Open Sans"/>
          <w:sz w:val="26"/>
          <w:szCs w:val="26"/>
        </w:rPr>
      </w:pPr>
    </w:p>
    <w:p w:rsidR="004A327C" w:rsidRPr="000E4340" w:rsidRDefault="004A327C" w:rsidP="000E4340">
      <w:pPr>
        <w:pStyle w:val="m1278440382029831924msolistparagraph"/>
        <w:spacing w:before="0" w:beforeAutospacing="0" w:after="0" w:afterAutospacing="0" w:line="300" w:lineRule="auto"/>
        <w:rPr>
          <w:rFonts w:ascii="Arial Narrow" w:hAnsi="Arial Narrow"/>
          <w:b/>
          <w:bCs/>
          <w:color w:val="002060"/>
          <w:sz w:val="26"/>
          <w:szCs w:val="26"/>
        </w:rPr>
      </w:pPr>
      <w:r w:rsidRPr="000E4340">
        <w:rPr>
          <w:rFonts w:ascii="Arial Narrow" w:hAnsi="Arial Narrow"/>
          <w:color w:val="002060"/>
          <w:sz w:val="26"/>
          <w:szCs w:val="26"/>
        </w:rPr>
        <w:t>Spółka uważa, że może nastąpić ograniczenie w dysponowaniu środkami pieniężnymi.</w:t>
      </w:r>
    </w:p>
    <w:p w:rsidR="00730C28" w:rsidRPr="000E4340" w:rsidRDefault="00730C28" w:rsidP="000E4340">
      <w:pPr>
        <w:pStyle w:val="Akapitzlist"/>
        <w:spacing w:after="0" w:line="300" w:lineRule="auto"/>
        <w:rPr>
          <w:rFonts w:ascii="Arial Narrow" w:hAnsi="Arial Narrow" w:cs="Open Sans"/>
          <w:sz w:val="26"/>
          <w:szCs w:val="26"/>
        </w:rPr>
      </w:pPr>
    </w:p>
    <w:p w:rsidR="00730C28" w:rsidRPr="000E4340" w:rsidRDefault="004A327C" w:rsidP="00334DF8">
      <w:pPr>
        <w:spacing w:after="0" w:line="300" w:lineRule="auto"/>
        <w:jc w:val="both"/>
        <w:rPr>
          <w:rFonts w:ascii="Arial Narrow" w:hAnsi="Arial Narrow"/>
          <w:sz w:val="26"/>
          <w:szCs w:val="26"/>
        </w:rPr>
      </w:pPr>
      <w:r w:rsidRPr="000E4340">
        <w:rPr>
          <w:rFonts w:ascii="Arial Narrow" w:hAnsi="Arial Narrow"/>
          <w:sz w:val="26"/>
          <w:szCs w:val="26"/>
        </w:rPr>
        <w:t>Tak. Z uwagi na sezonowość prowadzonej działalności (sektor energetyki ciepłowniczy) firma będzie posiadać zamrożone środki, nie mogące być wykorzystane do prowadzenia  bieżących działań operacyjnych. Wiązać się to również będzie z koniecznością prolongat spłat swych zobowiązań, powodując dodatkowe koszty z uruchomieniem kredytów obrotowych.</w:t>
      </w:r>
    </w:p>
    <w:p w:rsidR="004A327C" w:rsidRPr="000E4340" w:rsidRDefault="004A327C" w:rsidP="00334DF8">
      <w:pPr>
        <w:spacing w:after="0" w:line="300" w:lineRule="auto"/>
        <w:jc w:val="both"/>
        <w:rPr>
          <w:rFonts w:ascii="Arial Narrow" w:hAnsi="Arial Narrow" w:cs="Open Sans"/>
          <w:sz w:val="26"/>
          <w:szCs w:val="26"/>
        </w:rPr>
      </w:pPr>
    </w:p>
    <w:p w:rsidR="004A327C" w:rsidRPr="000E4340" w:rsidRDefault="004A327C" w:rsidP="00334DF8">
      <w:pPr>
        <w:spacing w:after="0" w:line="300" w:lineRule="auto"/>
        <w:jc w:val="both"/>
        <w:rPr>
          <w:rFonts w:ascii="Arial Narrow" w:hAnsi="Arial Narrow"/>
          <w:color w:val="0070C0"/>
          <w:sz w:val="26"/>
          <w:szCs w:val="26"/>
        </w:rPr>
      </w:pPr>
      <w:r w:rsidRPr="000E4340">
        <w:rPr>
          <w:rFonts w:ascii="Arial Narrow" w:hAnsi="Arial Narrow"/>
          <w:color w:val="0070C0"/>
          <w:sz w:val="26"/>
          <w:szCs w:val="26"/>
        </w:rPr>
        <w:t xml:space="preserve">Z uwagi na bieżącą sytuację spółki wprowadzenie takiego rozwiązania nie zaburzy płynności w jakiś znaczący sposób. Jednak z uwagi na współpracę </w:t>
      </w:r>
      <w:r w:rsidR="00334DF8">
        <w:rPr>
          <w:rFonts w:ascii="Arial Narrow" w:hAnsi="Arial Narrow"/>
          <w:color w:val="0070C0"/>
          <w:sz w:val="26"/>
          <w:szCs w:val="26"/>
        </w:rPr>
        <w:t>firmy z pozostałymi podmiotami grupy</w:t>
      </w:r>
      <w:r w:rsidRPr="000E4340">
        <w:rPr>
          <w:rFonts w:ascii="Arial Narrow" w:hAnsi="Arial Narrow"/>
          <w:color w:val="0070C0"/>
          <w:sz w:val="26"/>
          <w:szCs w:val="26"/>
        </w:rPr>
        <w:t xml:space="preserve"> w ramach systemu </w:t>
      </w:r>
      <w:proofErr w:type="spellStart"/>
      <w:r w:rsidRPr="000E4340">
        <w:rPr>
          <w:rFonts w:ascii="Arial Narrow" w:hAnsi="Arial Narrow"/>
          <w:color w:val="0070C0"/>
          <w:sz w:val="26"/>
          <w:szCs w:val="26"/>
        </w:rPr>
        <w:t>Cash-pool</w:t>
      </w:r>
      <w:proofErr w:type="spellEnd"/>
      <w:r w:rsidRPr="000E4340">
        <w:rPr>
          <w:rFonts w:ascii="Arial Narrow" w:hAnsi="Arial Narrow"/>
          <w:color w:val="0070C0"/>
          <w:sz w:val="26"/>
          <w:szCs w:val="26"/>
        </w:rPr>
        <w:t>, zmniejszy to środki , które obecnie są do dyspozycji. A więc będzie miało realny wpływ na płynność finansową Grupy. Problemem jest też dysponowanie nadwyżką środków – zwrot na wniosek. Dobrze natomiast, że są też przewidziane zachęty, głównie związane z odstąpienie od odpowiedzialności solidarnej, odstąpieniem od podwyższonych odsetek</w:t>
      </w:r>
      <w:r w:rsidR="000E4340" w:rsidRPr="000E4340">
        <w:rPr>
          <w:rFonts w:ascii="Arial Narrow" w:hAnsi="Arial Narrow"/>
          <w:color w:val="0070C0"/>
          <w:sz w:val="26"/>
          <w:szCs w:val="26"/>
        </w:rPr>
        <w:t>.</w:t>
      </w:r>
    </w:p>
    <w:p w:rsidR="000E4340" w:rsidRPr="000E4340" w:rsidRDefault="000E4340" w:rsidP="000E4340">
      <w:pPr>
        <w:spacing w:after="0" w:line="300" w:lineRule="auto"/>
        <w:rPr>
          <w:rFonts w:ascii="Arial Narrow" w:hAnsi="Arial Narrow"/>
          <w:color w:val="0070C0"/>
          <w:sz w:val="26"/>
          <w:szCs w:val="26"/>
        </w:rPr>
      </w:pPr>
    </w:p>
    <w:p w:rsidR="000E4340" w:rsidRPr="000E4340" w:rsidRDefault="000E4340" w:rsidP="000E4340">
      <w:pPr>
        <w:pStyle w:val="m1278440382029831924msolistparagraph"/>
        <w:spacing w:before="0" w:beforeAutospacing="0" w:after="0" w:afterAutospacing="0" w:line="300" w:lineRule="auto"/>
        <w:jc w:val="both"/>
        <w:rPr>
          <w:rFonts w:ascii="Arial Narrow" w:hAnsi="Arial Narrow"/>
          <w:i/>
          <w:iCs/>
          <w:color w:val="00B050"/>
          <w:sz w:val="26"/>
          <w:szCs w:val="26"/>
        </w:rPr>
      </w:pPr>
      <w:r w:rsidRPr="000E4340">
        <w:rPr>
          <w:rFonts w:ascii="Arial Narrow" w:hAnsi="Arial Narrow"/>
          <w:i/>
          <w:iCs/>
          <w:color w:val="00B050"/>
          <w:sz w:val="26"/>
          <w:szCs w:val="26"/>
        </w:rPr>
        <w:t>Tak, pomimo, że urząd skarbowy może wyrazić zgodę na inne przeznaczenie środków zgromadzonych na jego rachunku VAT niż cele rozliczeń podatkowych. Obawa dotyczy zwłaszcza przypadku kiedy wobec podatnika toczy się w zakresie podatku inne postępowanie podatkowe lub jest prowadzona kontrola podatkowa lub kontrola celno-skarbowa. Nie ma pewności jaki będzie wynik kontroli, która może się przedłużać, a środki będą zamrożone. Co w przypadku odwołania od decyzji, łącznie ze skierowaniem sprawy do WSA/NSA – czy w takim przypadku ograniczenie dostępu środków będzie obejmowało również ten okres? Może ma to na celu niedyskutowanie z organem skarbowym?</w:t>
      </w:r>
    </w:p>
    <w:p w:rsidR="004A327C" w:rsidRPr="000E4340" w:rsidRDefault="004A327C" w:rsidP="000E4340">
      <w:pPr>
        <w:spacing w:after="0" w:line="300" w:lineRule="auto"/>
        <w:rPr>
          <w:rFonts w:ascii="Arial Narrow" w:hAnsi="Arial Narrow"/>
          <w:color w:val="0070C0"/>
          <w:sz w:val="26"/>
          <w:szCs w:val="26"/>
        </w:rPr>
      </w:pPr>
    </w:p>
    <w:p w:rsidR="00730C28" w:rsidRPr="000E4340" w:rsidRDefault="00730C28" w:rsidP="000E4340">
      <w:pPr>
        <w:spacing w:after="0" w:line="300" w:lineRule="auto"/>
        <w:rPr>
          <w:rFonts w:ascii="Arial Narrow" w:hAnsi="Arial Narrow" w:cs="Open Sans"/>
          <w:sz w:val="26"/>
          <w:szCs w:val="26"/>
        </w:rPr>
      </w:pPr>
    </w:p>
    <w:p w:rsidR="00730C28" w:rsidRPr="000E4340" w:rsidRDefault="00730C28" w:rsidP="000E4340">
      <w:pPr>
        <w:pStyle w:val="m1278440382029831924msolistparagraph"/>
        <w:numPr>
          <w:ilvl w:val="0"/>
          <w:numId w:val="1"/>
        </w:numPr>
        <w:spacing w:before="0" w:beforeAutospacing="0" w:after="0" w:afterAutospacing="0" w:line="300" w:lineRule="auto"/>
        <w:rPr>
          <w:rFonts w:ascii="Arial Narrow" w:hAnsi="Arial Narrow" w:cs="Open Sans"/>
          <w:i/>
          <w:sz w:val="26"/>
          <w:szCs w:val="26"/>
        </w:rPr>
      </w:pPr>
      <w:r w:rsidRPr="000E4340">
        <w:rPr>
          <w:rFonts w:ascii="Arial Narrow" w:hAnsi="Arial Narrow" w:cs="Open Sans"/>
          <w:i/>
          <w:sz w:val="26"/>
          <w:szCs w:val="26"/>
        </w:rPr>
        <w:t>Czy proponowana przez resort finansów regulacja może negatywnie wpłynąć na rozwój gospodarki, jak również na państwa firmę?</w:t>
      </w:r>
    </w:p>
    <w:p w:rsidR="00730C28" w:rsidRPr="000E4340" w:rsidRDefault="00730C28" w:rsidP="000E4340">
      <w:pPr>
        <w:pStyle w:val="m1278440382029831924msolistparagraph"/>
        <w:spacing w:before="0" w:beforeAutospacing="0" w:after="0" w:afterAutospacing="0" w:line="300" w:lineRule="auto"/>
        <w:rPr>
          <w:rFonts w:ascii="Arial Narrow" w:hAnsi="Arial Narrow" w:cs="Open Sans"/>
          <w:sz w:val="26"/>
          <w:szCs w:val="26"/>
        </w:rPr>
      </w:pPr>
      <w:r w:rsidRPr="000E4340">
        <w:rPr>
          <w:rFonts w:ascii="Arial Narrow" w:hAnsi="Arial Narrow" w:cs="Open Sans"/>
          <w:sz w:val="26"/>
          <w:szCs w:val="26"/>
        </w:rPr>
        <w:t xml:space="preserve">Proponowany projektem ustawy mechanizm </w:t>
      </w:r>
      <w:proofErr w:type="spellStart"/>
      <w:r w:rsidRPr="000E4340">
        <w:rPr>
          <w:rFonts w:ascii="Arial Narrow" w:hAnsi="Arial Narrow" w:cs="Open Sans"/>
          <w:sz w:val="26"/>
          <w:szCs w:val="26"/>
        </w:rPr>
        <w:t>split</w:t>
      </w:r>
      <w:proofErr w:type="spellEnd"/>
      <w:r w:rsidRPr="000E4340">
        <w:rPr>
          <w:rFonts w:ascii="Arial Narrow" w:hAnsi="Arial Narrow" w:cs="Open Sans"/>
          <w:sz w:val="26"/>
          <w:szCs w:val="26"/>
        </w:rPr>
        <w:t xml:space="preserve"> </w:t>
      </w:r>
      <w:proofErr w:type="spellStart"/>
      <w:r w:rsidRPr="000E4340">
        <w:rPr>
          <w:rFonts w:ascii="Arial Narrow" w:hAnsi="Arial Narrow" w:cs="Open Sans"/>
          <w:sz w:val="26"/>
          <w:szCs w:val="26"/>
        </w:rPr>
        <w:t>payment</w:t>
      </w:r>
      <w:proofErr w:type="spellEnd"/>
      <w:r w:rsidRPr="000E4340">
        <w:rPr>
          <w:rFonts w:ascii="Arial Narrow" w:hAnsi="Arial Narrow" w:cs="Open Sans"/>
          <w:sz w:val="26"/>
          <w:szCs w:val="26"/>
        </w:rPr>
        <w:t>, sprowadzający się do:</w:t>
      </w:r>
    </w:p>
    <w:p w:rsidR="00730C28" w:rsidRPr="000E4340" w:rsidRDefault="00730C28" w:rsidP="000E4340">
      <w:pPr>
        <w:pStyle w:val="m1278440382029831924msolistparagraph"/>
        <w:numPr>
          <w:ilvl w:val="0"/>
          <w:numId w:val="2"/>
        </w:numPr>
        <w:spacing w:before="0" w:beforeAutospacing="0" w:after="0" w:afterAutospacing="0" w:line="300" w:lineRule="auto"/>
        <w:ind w:left="709" w:hanging="283"/>
        <w:jc w:val="both"/>
        <w:rPr>
          <w:rFonts w:ascii="Arial Narrow" w:hAnsi="Arial Narrow" w:cs="Open Sans"/>
          <w:sz w:val="26"/>
          <w:szCs w:val="26"/>
        </w:rPr>
      </w:pPr>
      <w:r w:rsidRPr="000E4340">
        <w:rPr>
          <w:rFonts w:ascii="Arial Narrow" w:hAnsi="Arial Narrow" w:cs="Open Sans"/>
          <w:sz w:val="26"/>
          <w:szCs w:val="26"/>
        </w:rPr>
        <w:t xml:space="preserve">decydowania przez nabywcę towarów i usług o sposobie płatności VAT (na rachunek VAT, tj. z wykorzystaniem mechanizmu </w:t>
      </w:r>
      <w:proofErr w:type="spellStart"/>
      <w:r w:rsidRPr="000E4340">
        <w:rPr>
          <w:rFonts w:ascii="Arial Narrow" w:hAnsi="Arial Narrow" w:cs="Open Sans"/>
          <w:sz w:val="26"/>
          <w:szCs w:val="26"/>
        </w:rPr>
        <w:t>split</w:t>
      </w:r>
      <w:proofErr w:type="spellEnd"/>
      <w:r w:rsidRPr="000E4340">
        <w:rPr>
          <w:rFonts w:ascii="Arial Narrow" w:hAnsi="Arial Narrow" w:cs="Open Sans"/>
          <w:sz w:val="26"/>
          <w:szCs w:val="26"/>
        </w:rPr>
        <w:t xml:space="preserve"> </w:t>
      </w:r>
      <w:proofErr w:type="spellStart"/>
      <w:r w:rsidRPr="000E4340">
        <w:rPr>
          <w:rFonts w:ascii="Arial Narrow" w:hAnsi="Arial Narrow" w:cs="Open Sans"/>
          <w:sz w:val="26"/>
          <w:szCs w:val="26"/>
        </w:rPr>
        <w:t>payment</w:t>
      </w:r>
      <w:proofErr w:type="spellEnd"/>
      <w:r w:rsidRPr="000E4340">
        <w:rPr>
          <w:rFonts w:ascii="Arial Narrow" w:hAnsi="Arial Narrow" w:cs="Open Sans"/>
          <w:sz w:val="26"/>
          <w:szCs w:val="26"/>
        </w:rPr>
        <w:t xml:space="preserve"> bądź na dotychczasowych zasadach) oraz </w:t>
      </w:r>
    </w:p>
    <w:p w:rsidR="00730C28" w:rsidRPr="000E4340" w:rsidRDefault="00730C28" w:rsidP="000E4340">
      <w:pPr>
        <w:pStyle w:val="m1278440382029831924msolistparagraph"/>
        <w:numPr>
          <w:ilvl w:val="0"/>
          <w:numId w:val="2"/>
        </w:numPr>
        <w:spacing w:before="0" w:beforeAutospacing="0" w:after="0" w:afterAutospacing="0" w:line="300" w:lineRule="auto"/>
        <w:ind w:left="709" w:hanging="283"/>
        <w:jc w:val="both"/>
        <w:rPr>
          <w:rFonts w:ascii="Arial Narrow" w:hAnsi="Arial Narrow" w:cs="Open Sans"/>
          <w:sz w:val="26"/>
          <w:szCs w:val="26"/>
        </w:rPr>
      </w:pPr>
      <w:r w:rsidRPr="000E4340">
        <w:rPr>
          <w:rFonts w:ascii="Arial Narrow" w:hAnsi="Arial Narrow" w:cs="Open Sans"/>
          <w:sz w:val="26"/>
          <w:szCs w:val="26"/>
        </w:rPr>
        <w:lastRenderedPageBreak/>
        <w:t xml:space="preserve">znacznego ograniczenia prawa do dysponowania przez dostawcę ze środków  pieniężnych </w:t>
      </w:r>
      <w:proofErr w:type="spellStart"/>
      <w:r w:rsidRPr="000E4340">
        <w:rPr>
          <w:rFonts w:ascii="Arial Narrow" w:hAnsi="Arial Narrow" w:cs="Open Sans"/>
          <w:sz w:val="26"/>
          <w:szCs w:val="26"/>
        </w:rPr>
        <w:t>zgormadzonych</w:t>
      </w:r>
      <w:proofErr w:type="spellEnd"/>
      <w:r w:rsidRPr="000E4340">
        <w:rPr>
          <w:rFonts w:ascii="Arial Narrow" w:hAnsi="Arial Narrow" w:cs="Open Sans"/>
          <w:sz w:val="26"/>
          <w:szCs w:val="26"/>
        </w:rPr>
        <w:t xml:space="preserve"> na rachunku VAT (zarówno co do sposobu ich wydatkowania, jak i terminu (90 dnia), w którym naczelnik US może wyrazić zgodę na inne  wykorzystanie środków, niż określone art. 62b ustawy),</w:t>
      </w:r>
      <w:r w:rsidR="004A327C" w:rsidRPr="000E4340">
        <w:rPr>
          <w:rFonts w:ascii="Arial Narrow" w:hAnsi="Arial Narrow" w:cs="Open Sans"/>
          <w:sz w:val="26"/>
          <w:szCs w:val="26"/>
        </w:rPr>
        <w:t xml:space="preserve"> </w:t>
      </w:r>
      <w:r w:rsidRPr="000E4340">
        <w:rPr>
          <w:rFonts w:ascii="Arial Narrow" w:hAnsi="Arial Narrow" w:cs="Open Sans"/>
          <w:sz w:val="26"/>
          <w:szCs w:val="26"/>
        </w:rPr>
        <w:t xml:space="preserve">będzie doprowadzać do zaburzenia możliwości planowania i zabezpieczenia  przepływów pieniężnych w skali przedsiębiorstw, co w konsekwencji może powodować zatory płatnicze. </w:t>
      </w:r>
    </w:p>
    <w:p w:rsidR="00730C28" w:rsidRPr="000E4340" w:rsidRDefault="00730C28" w:rsidP="000E4340">
      <w:pPr>
        <w:pStyle w:val="Akapitzlist"/>
        <w:spacing w:after="0" w:line="300" w:lineRule="auto"/>
        <w:rPr>
          <w:rFonts w:ascii="Arial Narrow" w:hAnsi="Arial Narrow" w:cs="Open Sans"/>
          <w:sz w:val="26"/>
          <w:szCs w:val="26"/>
        </w:rPr>
      </w:pPr>
    </w:p>
    <w:p w:rsidR="004A327C" w:rsidRPr="000E4340" w:rsidRDefault="004A327C" w:rsidP="000E4340">
      <w:pPr>
        <w:pStyle w:val="m1278440382029831924msolistparagraph"/>
        <w:spacing w:before="0" w:beforeAutospacing="0" w:after="0" w:afterAutospacing="0" w:line="300" w:lineRule="auto"/>
        <w:rPr>
          <w:rFonts w:ascii="Arial Narrow" w:hAnsi="Arial Narrow"/>
          <w:color w:val="002060"/>
          <w:sz w:val="26"/>
          <w:szCs w:val="26"/>
        </w:rPr>
      </w:pPr>
      <w:r w:rsidRPr="000E4340">
        <w:rPr>
          <w:rFonts w:ascii="Arial Narrow" w:hAnsi="Arial Narrow"/>
          <w:color w:val="002060"/>
          <w:sz w:val="26"/>
          <w:szCs w:val="26"/>
        </w:rPr>
        <w:t xml:space="preserve">Podzielona płatność ogranicza możliwość dysponowania środkami finansowymi. </w:t>
      </w:r>
      <w:r w:rsidR="000E4340" w:rsidRPr="000E4340">
        <w:rPr>
          <w:rFonts w:ascii="Arial Narrow" w:hAnsi="Arial Narrow"/>
          <w:color w:val="002060"/>
          <w:sz w:val="26"/>
          <w:szCs w:val="26"/>
        </w:rPr>
        <w:t xml:space="preserve"> </w:t>
      </w:r>
      <w:r w:rsidRPr="000E4340">
        <w:rPr>
          <w:rFonts w:ascii="Arial Narrow" w:hAnsi="Arial Narrow"/>
          <w:color w:val="002060"/>
          <w:sz w:val="26"/>
          <w:szCs w:val="26"/>
        </w:rPr>
        <w:t>Może być to traktowane jako naruszenie suwerenności gospodarczej oraz ograniczenie s</w:t>
      </w:r>
      <w:r w:rsidR="000E4340" w:rsidRPr="000E4340">
        <w:rPr>
          <w:rFonts w:ascii="Arial Narrow" w:hAnsi="Arial Narrow"/>
          <w:color w:val="002060"/>
          <w:sz w:val="26"/>
          <w:szCs w:val="26"/>
        </w:rPr>
        <w:t xml:space="preserve">wobody prowadzenia działalności </w:t>
      </w:r>
      <w:r w:rsidRPr="000E4340">
        <w:rPr>
          <w:rFonts w:ascii="Arial Narrow" w:hAnsi="Arial Narrow"/>
          <w:color w:val="002060"/>
          <w:sz w:val="26"/>
          <w:szCs w:val="26"/>
        </w:rPr>
        <w:t>gospodarczej (w przypadku zapisów wprowadzających konieczność uzyskania zgody na wykorzystanie środków zgromadzonych na rachunku VAT do celów innych niż przewiduje ustawa).</w:t>
      </w:r>
    </w:p>
    <w:p w:rsidR="004A327C" w:rsidRPr="000E4340" w:rsidRDefault="004A327C" w:rsidP="000E4340">
      <w:pPr>
        <w:pStyle w:val="Akapitzlist"/>
        <w:spacing w:after="0" w:line="300" w:lineRule="auto"/>
        <w:rPr>
          <w:rFonts w:ascii="Arial Narrow" w:hAnsi="Arial Narrow" w:cs="Open Sans"/>
          <w:sz w:val="26"/>
          <w:szCs w:val="26"/>
        </w:rPr>
      </w:pPr>
    </w:p>
    <w:p w:rsidR="004A327C" w:rsidRPr="000E4340" w:rsidRDefault="004A327C" w:rsidP="000E4340">
      <w:pPr>
        <w:spacing w:after="0" w:line="300" w:lineRule="auto"/>
        <w:jc w:val="both"/>
        <w:rPr>
          <w:rFonts w:ascii="Arial Narrow" w:hAnsi="Arial Narrow"/>
          <w:sz w:val="26"/>
          <w:szCs w:val="26"/>
        </w:rPr>
      </w:pPr>
      <w:r w:rsidRPr="000E4340">
        <w:rPr>
          <w:rFonts w:ascii="Arial Narrow" w:hAnsi="Arial Narrow"/>
          <w:sz w:val="26"/>
          <w:szCs w:val="26"/>
        </w:rPr>
        <w:t xml:space="preserve">Biorąc pod uwagę ograniczenia jakie wprowadza w/w rozwiązanie w zakresie dysponowania środkami pieniężnymi zgromadzonymi na rachunku bankowym VAT zarówno w skali przedsiębiorstwa, jak i w skali całej gospodarki proponowany mechanizm może doprowadzać do </w:t>
      </w:r>
      <w:r w:rsidRPr="000E4340">
        <w:rPr>
          <w:rFonts w:ascii="Arial Narrow" w:hAnsi="Arial Narrow"/>
          <w:b/>
          <w:sz w:val="26"/>
          <w:szCs w:val="26"/>
        </w:rPr>
        <w:t>niekontrolowanych</w:t>
      </w:r>
      <w:r w:rsidRPr="000E4340">
        <w:rPr>
          <w:rFonts w:ascii="Arial Narrow" w:hAnsi="Arial Narrow"/>
          <w:sz w:val="26"/>
          <w:szCs w:val="26"/>
        </w:rPr>
        <w:t xml:space="preserve"> problemów płatniczych, co w konsekwencji rzutować będzie na możliwości rozwoju podmiotów, szczególnie tych, których sprzedaż uzależniona jest od sezonowości (jak np. sektor energetyki cieplnej).</w:t>
      </w:r>
    </w:p>
    <w:p w:rsidR="004A327C" w:rsidRPr="000E4340" w:rsidRDefault="004A327C" w:rsidP="000E4340">
      <w:pPr>
        <w:pStyle w:val="Akapitzlist"/>
        <w:spacing w:after="0" w:line="300" w:lineRule="auto"/>
        <w:rPr>
          <w:rFonts w:ascii="Arial Narrow" w:hAnsi="Arial Narrow" w:cs="Open Sans"/>
          <w:sz w:val="26"/>
          <w:szCs w:val="26"/>
        </w:rPr>
      </w:pPr>
    </w:p>
    <w:p w:rsidR="004A327C" w:rsidRPr="000E4340" w:rsidRDefault="000E4340" w:rsidP="000E4340">
      <w:pPr>
        <w:spacing w:after="0" w:line="300" w:lineRule="auto"/>
        <w:rPr>
          <w:rFonts w:ascii="Arial Narrow" w:hAnsi="Arial Narrow" w:cs="Open Sans"/>
          <w:sz w:val="26"/>
          <w:szCs w:val="26"/>
        </w:rPr>
      </w:pPr>
      <w:r w:rsidRPr="000E4340">
        <w:rPr>
          <w:rFonts w:ascii="Arial Narrow" w:hAnsi="Arial Narrow"/>
          <w:color w:val="0070C0"/>
          <w:sz w:val="26"/>
          <w:szCs w:val="26"/>
        </w:rPr>
        <w:t>Nie wiemy, jednak z uwagi na to, że wiele małych firmy balansuje na granicy płynności może to mieć realnych wpływ na kontynuację ich działalności</w:t>
      </w:r>
    </w:p>
    <w:p w:rsidR="004A327C" w:rsidRPr="000E4340" w:rsidRDefault="004A327C" w:rsidP="000E4340">
      <w:pPr>
        <w:pStyle w:val="Akapitzlist"/>
        <w:spacing w:after="0" w:line="300" w:lineRule="auto"/>
        <w:rPr>
          <w:rFonts w:ascii="Arial Narrow" w:hAnsi="Arial Narrow" w:cs="Open Sans"/>
          <w:sz w:val="26"/>
          <w:szCs w:val="26"/>
        </w:rPr>
      </w:pPr>
    </w:p>
    <w:p w:rsidR="000E4340" w:rsidRPr="000E4340" w:rsidRDefault="000E4340" w:rsidP="000E4340">
      <w:pPr>
        <w:spacing w:after="0" w:line="300" w:lineRule="auto"/>
        <w:rPr>
          <w:rFonts w:ascii="Arial Narrow" w:hAnsi="Arial Narrow" w:cs="Open Sans"/>
          <w:sz w:val="26"/>
          <w:szCs w:val="26"/>
        </w:rPr>
      </w:pPr>
    </w:p>
    <w:p w:rsidR="00730C28" w:rsidRPr="000E4340" w:rsidRDefault="00730C28" w:rsidP="000E4340">
      <w:pPr>
        <w:pStyle w:val="m1278440382029831924msolistparagraph"/>
        <w:numPr>
          <w:ilvl w:val="0"/>
          <w:numId w:val="1"/>
        </w:numPr>
        <w:spacing w:before="0" w:beforeAutospacing="0" w:after="0" w:afterAutospacing="0" w:line="300" w:lineRule="auto"/>
        <w:jc w:val="both"/>
        <w:rPr>
          <w:rFonts w:ascii="Arial Narrow" w:hAnsi="Arial Narrow" w:cs="Open Sans"/>
          <w:i/>
          <w:sz w:val="26"/>
          <w:szCs w:val="26"/>
        </w:rPr>
      </w:pPr>
      <w:r w:rsidRPr="000E4340">
        <w:rPr>
          <w:rFonts w:ascii="Arial Narrow" w:hAnsi="Arial Narrow" w:cs="Open Sans"/>
          <w:i/>
          <w:sz w:val="26"/>
          <w:szCs w:val="26"/>
        </w:rPr>
        <w:t>Czy wg Państwa ta regulacja może pozwolić na uszczelnienie systemu podatkowego?</w:t>
      </w:r>
    </w:p>
    <w:p w:rsidR="00730C28" w:rsidRPr="000E4340" w:rsidRDefault="00730C28" w:rsidP="000E4340">
      <w:pPr>
        <w:pStyle w:val="Akapitzlist"/>
        <w:spacing w:after="0" w:line="300" w:lineRule="auto"/>
        <w:rPr>
          <w:rFonts w:ascii="Arial Narrow" w:hAnsi="Arial Narrow" w:cs="Open Sans"/>
          <w:sz w:val="26"/>
          <w:szCs w:val="26"/>
        </w:rPr>
      </w:pPr>
    </w:p>
    <w:p w:rsidR="00730C28" w:rsidRPr="000E4340" w:rsidRDefault="00730C28" w:rsidP="000E4340">
      <w:pPr>
        <w:spacing w:after="0" w:line="300" w:lineRule="auto"/>
        <w:jc w:val="both"/>
        <w:rPr>
          <w:rFonts w:ascii="Arial Narrow" w:hAnsi="Arial Narrow" w:cs="Open Sans"/>
          <w:sz w:val="26"/>
          <w:szCs w:val="26"/>
        </w:rPr>
      </w:pPr>
      <w:r w:rsidRPr="000E4340">
        <w:rPr>
          <w:rFonts w:ascii="Arial Narrow" w:hAnsi="Arial Narrow" w:cs="Open Sans"/>
          <w:sz w:val="26"/>
          <w:szCs w:val="26"/>
        </w:rPr>
        <w:t xml:space="preserve">Co do zasady, proponowany mechanizm będzie narzędziem uszczelnienia systemu podatkowego, znacznie eliminującym wyłudzenia VAT. </w:t>
      </w:r>
    </w:p>
    <w:p w:rsidR="00730C28" w:rsidRPr="000E4340" w:rsidRDefault="00730C28" w:rsidP="000E4340">
      <w:pPr>
        <w:pStyle w:val="Akapitzlist"/>
        <w:spacing w:after="0" w:line="300" w:lineRule="auto"/>
        <w:ind w:left="1260"/>
        <w:jc w:val="both"/>
        <w:rPr>
          <w:rFonts w:ascii="Arial Narrow" w:hAnsi="Arial Narrow" w:cs="Open Sans"/>
          <w:sz w:val="26"/>
          <w:szCs w:val="26"/>
        </w:rPr>
      </w:pPr>
    </w:p>
    <w:p w:rsidR="004A327C" w:rsidRPr="000E4340" w:rsidRDefault="004A327C" w:rsidP="000E4340">
      <w:pPr>
        <w:spacing w:after="0" w:line="300" w:lineRule="auto"/>
        <w:jc w:val="both"/>
        <w:rPr>
          <w:rFonts w:ascii="Arial Narrow" w:hAnsi="Arial Narrow" w:cs="Open Sans"/>
          <w:sz w:val="26"/>
          <w:szCs w:val="26"/>
        </w:rPr>
      </w:pPr>
      <w:r w:rsidRPr="000E4340">
        <w:rPr>
          <w:rFonts w:ascii="Arial Narrow" w:hAnsi="Arial Narrow"/>
          <w:color w:val="002060"/>
          <w:sz w:val="26"/>
          <w:szCs w:val="26"/>
        </w:rPr>
        <w:t>Obecnie, trudno ocenić wpływ regulacji na uszczelnienie systemu podatkowego</w:t>
      </w:r>
    </w:p>
    <w:p w:rsidR="004A327C" w:rsidRPr="000E4340" w:rsidRDefault="004A327C" w:rsidP="000E4340">
      <w:pPr>
        <w:pStyle w:val="Akapitzlist"/>
        <w:spacing w:after="0" w:line="300" w:lineRule="auto"/>
        <w:ind w:left="1260"/>
        <w:jc w:val="both"/>
        <w:rPr>
          <w:rFonts w:ascii="Arial Narrow" w:hAnsi="Arial Narrow" w:cs="Open Sans"/>
          <w:sz w:val="26"/>
          <w:szCs w:val="26"/>
        </w:rPr>
      </w:pPr>
    </w:p>
    <w:p w:rsidR="004A327C" w:rsidRPr="000E4340" w:rsidRDefault="004A327C" w:rsidP="000E4340">
      <w:pPr>
        <w:spacing w:after="0" w:line="300" w:lineRule="auto"/>
        <w:jc w:val="both"/>
        <w:rPr>
          <w:rFonts w:ascii="Arial Narrow" w:hAnsi="Arial Narrow"/>
          <w:sz w:val="26"/>
          <w:szCs w:val="26"/>
        </w:rPr>
      </w:pPr>
      <w:r w:rsidRPr="000E4340">
        <w:rPr>
          <w:rFonts w:ascii="Arial Narrow" w:hAnsi="Arial Narrow"/>
          <w:sz w:val="26"/>
          <w:szCs w:val="26"/>
        </w:rPr>
        <w:t>Tak. Z punktu widzenia budżetu państwa, proponowany mechanizm z pewnością może być skutecznym uszczelnieniem systemu podatkowego.</w:t>
      </w:r>
    </w:p>
    <w:p w:rsidR="004A327C" w:rsidRPr="000E4340" w:rsidRDefault="004A327C" w:rsidP="000E4340">
      <w:pPr>
        <w:pStyle w:val="Akapitzlist"/>
        <w:spacing w:after="0" w:line="300" w:lineRule="auto"/>
        <w:ind w:left="1260"/>
        <w:jc w:val="both"/>
        <w:rPr>
          <w:rFonts w:ascii="Arial Narrow" w:hAnsi="Arial Narrow" w:cs="Open Sans"/>
          <w:sz w:val="26"/>
          <w:szCs w:val="26"/>
        </w:rPr>
      </w:pPr>
    </w:p>
    <w:p w:rsidR="004A327C" w:rsidRPr="000E4340" w:rsidRDefault="000E4340" w:rsidP="000E4340">
      <w:pPr>
        <w:spacing w:after="0" w:line="300" w:lineRule="auto"/>
        <w:jc w:val="both"/>
        <w:rPr>
          <w:rFonts w:ascii="Arial Narrow" w:hAnsi="Arial Narrow" w:cs="Open Sans"/>
          <w:sz w:val="26"/>
          <w:szCs w:val="26"/>
        </w:rPr>
      </w:pPr>
      <w:r w:rsidRPr="000E4340">
        <w:rPr>
          <w:rFonts w:ascii="Arial Narrow" w:hAnsi="Arial Narrow"/>
          <w:color w:val="0070C0"/>
          <w:sz w:val="26"/>
          <w:szCs w:val="26"/>
        </w:rPr>
        <w:t>W jakiejś mierze na pewno, pod warunkiem że dotyczyłaby większości jednostek gospodarczych</w:t>
      </w:r>
    </w:p>
    <w:p w:rsidR="000E4340" w:rsidRPr="000E4340" w:rsidRDefault="000E4340" w:rsidP="000E4340">
      <w:pPr>
        <w:pStyle w:val="Akapitzlist"/>
        <w:spacing w:after="0" w:line="300" w:lineRule="auto"/>
        <w:ind w:left="1260"/>
        <w:jc w:val="both"/>
        <w:rPr>
          <w:rFonts w:ascii="Arial Narrow" w:hAnsi="Arial Narrow"/>
          <w:i/>
          <w:iCs/>
          <w:color w:val="00B050"/>
          <w:sz w:val="26"/>
          <w:szCs w:val="26"/>
        </w:rPr>
      </w:pPr>
    </w:p>
    <w:p w:rsidR="004A327C" w:rsidRDefault="000E4340" w:rsidP="000E4340">
      <w:pPr>
        <w:spacing w:after="0" w:line="300" w:lineRule="auto"/>
        <w:jc w:val="both"/>
        <w:rPr>
          <w:rFonts w:ascii="Arial Narrow" w:hAnsi="Arial Narrow"/>
          <w:i/>
          <w:iCs/>
          <w:color w:val="00B050"/>
          <w:sz w:val="26"/>
          <w:szCs w:val="26"/>
        </w:rPr>
      </w:pPr>
      <w:r w:rsidRPr="000E4340">
        <w:rPr>
          <w:rFonts w:ascii="Arial Narrow" w:hAnsi="Arial Narrow"/>
          <w:i/>
          <w:iCs/>
          <w:color w:val="00B050"/>
          <w:sz w:val="26"/>
          <w:szCs w:val="26"/>
        </w:rPr>
        <w:t>W niewielkim stopniu</w:t>
      </w:r>
    </w:p>
    <w:p w:rsidR="000E4340" w:rsidRDefault="000E4340" w:rsidP="000E4340">
      <w:pPr>
        <w:spacing w:after="0" w:line="300" w:lineRule="auto"/>
        <w:jc w:val="both"/>
        <w:rPr>
          <w:rFonts w:ascii="Arial Narrow" w:hAnsi="Arial Narrow"/>
          <w:i/>
          <w:iCs/>
          <w:color w:val="00B050"/>
          <w:sz w:val="26"/>
          <w:szCs w:val="26"/>
        </w:rPr>
      </w:pPr>
    </w:p>
    <w:p w:rsidR="000E4340" w:rsidRPr="000E4340" w:rsidRDefault="000E4340" w:rsidP="000E4340">
      <w:pPr>
        <w:spacing w:after="0" w:line="300" w:lineRule="auto"/>
        <w:jc w:val="both"/>
        <w:rPr>
          <w:rFonts w:ascii="Arial Narrow" w:hAnsi="Arial Narrow" w:cs="Open Sans"/>
          <w:sz w:val="26"/>
          <w:szCs w:val="26"/>
        </w:rPr>
      </w:pPr>
    </w:p>
    <w:p w:rsidR="00730C28" w:rsidRPr="000E4340" w:rsidRDefault="00730C28" w:rsidP="000E4340">
      <w:pPr>
        <w:pStyle w:val="m1278440382029831924msolistparagraph"/>
        <w:numPr>
          <w:ilvl w:val="0"/>
          <w:numId w:val="1"/>
        </w:numPr>
        <w:spacing w:before="0" w:beforeAutospacing="0" w:after="0" w:afterAutospacing="0" w:line="300" w:lineRule="auto"/>
        <w:jc w:val="both"/>
        <w:rPr>
          <w:rFonts w:ascii="Arial Narrow" w:hAnsi="Arial Narrow" w:cs="Open Sans"/>
          <w:i/>
          <w:sz w:val="26"/>
          <w:szCs w:val="26"/>
        </w:rPr>
      </w:pPr>
      <w:r w:rsidRPr="000E4340">
        <w:rPr>
          <w:rFonts w:ascii="Arial Narrow" w:hAnsi="Arial Narrow" w:cs="Open Sans"/>
          <w:i/>
          <w:sz w:val="26"/>
          <w:szCs w:val="26"/>
        </w:rPr>
        <w:t>Czy wg Państwa ta regulacja może poprawić  bezpieczeństwo przedsiębiorców, w tym Państwa Firmy przed nierzetelnymi podmiotami / albo ograniczyć zjawisko w postaci tworzenia się zorganizowanych grup przestępczo - gospodarczych?</w:t>
      </w:r>
    </w:p>
    <w:p w:rsidR="00730C28" w:rsidRPr="000E4340" w:rsidRDefault="00730C28" w:rsidP="000E4340">
      <w:pPr>
        <w:pStyle w:val="m1278440382029831924msolistparagraph"/>
        <w:spacing w:before="0" w:beforeAutospacing="0" w:after="0" w:afterAutospacing="0" w:line="300" w:lineRule="auto"/>
        <w:ind w:left="1260"/>
        <w:jc w:val="both"/>
        <w:rPr>
          <w:rFonts w:ascii="Arial Narrow" w:hAnsi="Arial Narrow" w:cs="Open Sans"/>
          <w:sz w:val="26"/>
          <w:szCs w:val="26"/>
        </w:rPr>
      </w:pPr>
    </w:p>
    <w:p w:rsidR="00730C28" w:rsidRPr="000E4340" w:rsidRDefault="00730C28" w:rsidP="000E4340">
      <w:pPr>
        <w:pStyle w:val="m1278440382029831924msolistparagraph"/>
        <w:spacing w:before="0" w:beforeAutospacing="0" w:after="0" w:afterAutospacing="0" w:line="300" w:lineRule="auto"/>
        <w:jc w:val="both"/>
        <w:rPr>
          <w:rFonts w:ascii="Arial Narrow" w:hAnsi="Arial Narrow" w:cs="Open Sans"/>
          <w:sz w:val="26"/>
          <w:szCs w:val="26"/>
        </w:rPr>
      </w:pPr>
      <w:r w:rsidRPr="000E4340">
        <w:rPr>
          <w:rFonts w:ascii="Arial Narrow" w:hAnsi="Arial Narrow" w:cs="Open Sans"/>
          <w:sz w:val="26"/>
          <w:szCs w:val="26"/>
        </w:rPr>
        <w:t xml:space="preserve">Tak, w zakresie w jakim </w:t>
      </w:r>
      <w:proofErr w:type="spellStart"/>
      <w:r w:rsidRPr="000E4340">
        <w:rPr>
          <w:rFonts w:ascii="Arial Narrow" w:hAnsi="Arial Narrow" w:cs="Open Sans"/>
          <w:sz w:val="26"/>
          <w:szCs w:val="26"/>
        </w:rPr>
        <w:t>split</w:t>
      </w:r>
      <w:proofErr w:type="spellEnd"/>
      <w:r w:rsidRPr="000E4340">
        <w:rPr>
          <w:rFonts w:ascii="Arial Narrow" w:hAnsi="Arial Narrow" w:cs="Open Sans"/>
          <w:sz w:val="26"/>
          <w:szCs w:val="26"/>
        </w:rPr>
        <w:t xml:space="preserve"> </w:t>
      </w:r>
      <w:proofErr w:type="spellStart"/>
      <w:r w:rsidRPr="000E4340">
        <w:rPr>
          <w:rFonts w:ascii="Arial Narrow" w:hAnsi="Arial Narrow" w:cs="Open Sans"/>
          <w:sz w:val="26"/>
          <w:szCs w:val="26"/>
        </w:rPr>
        <w:t>payment</w:t>
      </w:r>
      <w:proofErr w:type="spellEnd"/>
      <w:r w:rsidRPr="000E4340">
        <w:rPr>
          <w:rFonts w:ascii="Arial Narrow" w:hAnsi="Arial Narrow" w:cs="Open Sans"/>
          <w:sz w:val="26"/>
          <w:szCs w:val="26"/>
        </w:rPr>
        <w:t xml:space="preserve"> dotyczyć będzie zakupów opodatkowanych VAT na terytorium Polski, w sytuacjach w których obowiązek opodatkowania ciąży na dostawcy.  Zauważyć jednak należy, że nierzetelni podatnicy/zorganizowane grupy przestępcze wyłudzający VAT, działają również na rynku międzynarodowym (wykorzystując opodatkowanie stawką 0% transakcji WDT/WNT, eksportu). Tymczasem proponowane rozwiązanie nie dotyczy uszczelnienia systemu podatkowego w tym zakresie.  </w:t>
      </w:r>
    </w:p>
    <w:p w:rsidR="00730C28" w:rsidRPr="000E4340" w:rsidRDefault="00730C28" w:rsidP="000E4340">
      <w:pPr>
        <w:pStyle w:val="Akapitzlist"/>
        <w:spacing w:after="0" w:line="300" w:lineRule="auto"/>
        <w:rPr>
          <w:rFonts w:ascii="Arial Narrow" w:hAnsi="Arial Narrow" w:cs="Open Sans"/>
          <w:sz w:val="26"/>
          <w:szCs w:val="26"/>
        </w:rPr>
      </w:pPr>
    </w:p>
    <w:p w:rsidR="004A327C" w:rsidRPr="000E4340" w:rsidRDefault="004A327C" w:rsidP="000E4340">
      <w:pPr>
        <w:pStyle w:val="m1278440382029831924msolistparagraph"/>
        <w:spacing w:before="0" w:beforeAutospacing="0" w:after="0" w:afterAutospacing="0" w:line="300" w:lineRule="auto"/>
        <w:rPr>
          <w:rFonts w:ascii="Arial Narrow" w:hAnsi="Arial Narrow"/>
          <w:color w:val="002060"/>
          <w:sz w:val="26"/>
          <w:szCs w:val="26"/>
        </w:rPr>
      </w:pPr>
      <w:r w:rsidRPr="000E4340">
        <w:rPr>
          <w:rFonts w:ascii="Arial Narrow" w:hAnsi="Arial Narrow"/>
          <w:color w:val="002060"/>
          <w:sz w:val="26"/>
          <w:szCs w:val="26"/>
        </w:rPr>
        <w:t>Obecnie, trudno ocenić wpływ regulacji na poprawę bezpieczeństwa przedsiębiorców przed nierzetelnymi podmiotami.</w:t>
      </w:r>
    </w:p>
    <w:p w:rsidR="004A327C" w:rsidRPr="000E4340" w:rsidRDefault="004A327C" w:rsidP="000E4340">
      <w:pPr>
        <w:pStyle w:val="Akapitzlist"/>
        <w:spacing w:after="0" w:line="300" w:lineRule="auto"/>
        <w:rPr>
          <w:rFonts w:ascii="Arial Narrow" w:hAnsi="Arial Narrow" w:cs="Open Sans"/>
          <w:sz w:val="26"/>
          <w:szCs w:val="26"/>
        </w:rPr>
      </w:pPr>
    </w:p>
    <w:p w:rsidR="004A327C" w:rsidRPr="000E4340" w:rsidRDefault="004A327C" w:rsidP="000E4340">
      <w:pPr>
        <w:spacing w:after="0" w:line="300" w:lineRule="auto"/>
        <w:rPr>
          <w:rFonts w:ascii="Arial Narrow" w:hAnsi="Arial Narrow" w:cs="Open Sans"/>
          <w:sz w:val="26"/>
          <w:szCs w:val="26"/>
        </w:rPr>
      </w:pPr>
      <w:r w:rsidRPr="000E4340">
        <w:rPr>
          <w:rFonts w:ascii="Arial Narrow" w:hAnsi="Arial Narrow"/>
          <w:sz w:val="26"/>
          <w:szCs w:val="26"/>
        </w:rPr>
        <w:t xml:space="preserve">Tak, regulacja </w:t>
      </w:r>
      <w:proofErr w:type="spellStart"/>
      <w:r w:rsidRPr="000E4340">
        <w:rPr>
          <w:rFonts w:ascii="Arial Narrow" w:hAnsi="Arial Narrow"/>
          <w:sz w:val="26"/>
          <w:szCs w:val="26"/>
        </w:rPr>
        <w:t>split</w:t>
      </w:r>
      <w:proofErr w:type="spellEnd"/>
      <w:r w:rsidRPr="000E4340">
        <w:rPr>
          <w:rFonts w:ascii="Arial Narrow" w:hAnsi="Arial Narrow"/>
          <w:sz w:val="26"/>
          <w:szCs w:val="26"/>
        </w:rPr>
        <w:t xml:space="preserve"> </w:t>
      </w:r>
      <w:proofErr w:type="spellStart"/>
      <w:r w:rsidRPr="000E4340">
        <w:rPr>
          <w:rFonts w:ascii="Arial Narrow" w:hAnsi="Arial Narrow"/>
          <w:sz w:val="26"/>
          <w:szCs w:val="26"/>
        </w:rPr>
        <w:t>payment</w:t>
      </w:r>
      <w:proofErr w:type="spellEnd"/>
      <w:r w:rsidRPr="000E4340">
        <w:rPr>
          <w:rFonts w:ascii="Arial Narrow" w:hAnsi="Arial Narrow"/>
          <w:sz w:val="26"/>
          <w:szCs w:val="26"/>
        </w:rPr>
        <w:t xml:space="preserve"> może zwiększyć bezpieczeństwo nabywców przed nierzetelnymi/przestępczymi podmiotami, w szczególności tych podmiotów, które być może nie wprowadziły odpowiednich procedur kontroli dostawców</w:t>
      </w:r>
    </w:p>
    <w:p w:rsidR="004A327C" w:rsidRPr="000E4340" w:rsidRDefault="004A327C" w:rsidP="000E4340">
      <w:pPr>
        <w:pStyle w:val="Akapitzlist"/>
        <w:spacing w:after="0" w:line="300" w:lineRule="auto"/>
        <w:rPr>
          <w:rFonts w:ascii="Arial Narrow" w:hAnsi="Arial Narrow" w:cs="Open Sans"/>
          <w:sz w:val="26"/>
          <w:szCs w:val="26"/>
        </w:rPr>
      </w:pPr>
    </w:p>
    <w:p w:rsidR="000E4340" w:rsidRPr="000E4340" w:rsidRDefault="000E4340" w:rsidP="000E4340">
      <w:pPr>
        <w:spacing w:after="0" w:line="300" w:lineRule="auto"/>
        <w:rPr>
          <w:rFonts w:ascii="Arial Narrow" w:hAnsi="Arial Narrow" w:cs="Open Sans"/>
          <w:sz w:val="26"/>
          <w:szCs w:val="26"/>
        </w:rPr>
      </w:pPr>
      <w:r w:rsidRPr="000E4340">
        <w:rPr>
          <w:rFonts w:ascii="Arial Narrow" w:hAnsi="Arial Narrow"/>
          <w:color w:val="0070C0"/>
          <w:sz w:val="26"/>
          <w:szCs w:val="26"/>
        </w:rPr>
        <w:t>W jakimś stopniu tak</w:t>
      </w:r>
      <w:r>
        <w:rPr>
          <w:rFonts w:ascii="Arial Narrow" w:hAnsi="Arial Narrow"/>
          <w:color w:val="0070C0"/>
          <w:sz w:val="26"/>
          <w:szCs w:val="26"/>
        </w:rPr>
        <w:t>.</w:t>
      </w:r>
    </w:p>
    <w:p w:rsidR="004A327C" w:rsidRPr="000E4340" w:rsidRDefault="004A327C" w:rsidP="000E4340">
      <w:pPr>
        <w:pStyle w:val="Akapitzlist"/>
        <w:spacing w:after="0" w:line="300" w:lineRule="auto"/>
        <w:rPr>
          <w:rFonts w:ascii="Arial Narrow" w:hAnsi="Arial Narrow" w:cs="Open Sans"/>
          <w:sz w:val="26"/>
          <w:szCs w:val="26"/>
        </w:rPr>
      </w:pPr>
    </w:p>
    <w:p w:rsidR="004A327C" w:rsidRPr="000E4340" w:rsidRDefault="004A327C" w:rsidP="000E4340">
      <w:pPr>
        <w:pStyle w:val="Akapitzlist"/>
        <w:spacing w:after="0" w:line="300" w:lineRule="auto"/>
        <w:rPr>
          <w:rFonts w:ascii="Arial Narrow" w:hAnsi="Arial Narrow" w:cs="Open Sans"/>
          <w:sz w:val="26"/>
          <w:szCs w:val="26"/>
        </w:rPr>
      </w:pPr>
    </w:p>
    <w:p w:rsidR="00730C28" w:rsidRPr="000E4340" w:rsidRDefault="00730C28" w:rsidP="000E4340">
      <w:pPr>
        <w:pStyle w:val="m1278440382029831924msolistparagraph"/>
        <w:numPr>
          <w:ilvl w:val="0"/>
          <w:numId w:val="1"/>
        </w:numPr>
        <w:spacing w:before="0" w:beforeAutospacing="0" w:after="0" w:afterAutospacing="0" w:line="300" w:lineRule="auto"/>
        <w:jc w:val="both"/>
        <w:rPr>
          <w:rFonts w:ascii="Arial Narrow" w:hAnsi="Arial Narrow" w:cs="Open Sans"/>
          <w:i/>
          <w:sz w:val="26"/>
          <w:szCs w:val="26"/>
        </w:rPr>
      </w:pPr>
      <w:r w:rsidRPr="000E4340">
        <w:rPr>
          <w:rFonts w:ascii="Arial Narrow" w:hAnsi="Arial Narrow" w:cs="Open Sans"/>
          <w:i/>
          <w:sz w:val="26"/>
          <w:szCs w:val="26"/>
        </w:rPr>
        <w:t>Co warto byłoby zmienić w projekcie ustawy, o co warto byłoby go uzupełnić?</w:t>
      </w:r>
    </w:p>
    <w:p w:rsidR="00730C28" w:rsidRPr="000E4340" w:rsidRDefault="00730C28" w:rsidP="000E4340">
      <w:pPr>
        <w:pStyle w:val="Akapitzlist"/>
        <w:spacing w:after="0" w:line="300" w:lineRule="auto"/>
        <w:rPr>
          <w:rFonts w:ascii="Arial Narrow" w:hAnsi="Arial Narrow" w:cs="Open Sans"/>
          <w:sz w:val="26"/>
          <w:szCs w:val="26"/>
        </w:rPr>
      </w:pPr>
    </w:p>
    <w:p w:rsidR="00730C28" w:rsidRPr="000E4340" w:rsidRDefault="00730C28" w:rsidP="000E4340">
      <w:pPr>
        <w:pStyle w:val="m1278440382029831924msolistparagraph"/>
        <w:spacing w:before="0" w:beforeAutospacing="0" w:after="0" w:afterAutospacing="0" w:line="300" w:lineRule="auto"/>
        <w:rPr>
          <w:rFonts w:ascii="Arial Narrow" w:hAnsi="Arial Narrow" w:cs="Open Sans"/>
          <w:sz w:val="26"/>
          <w:szCs w:val="26"/>
        </w:rPr>
      </w:pPr>
      <w:r w:rsidRPr="000E4340">
        <w:rPr>
          <w:rFonts w:ascii="Arial Narrow" w:hAnsi="Arial Narrow" w:cs="Open Sans"/>
          <w:sz w:val="26"/>
          <w:szCs w:val="26"/>
        </w:rPr>
        <w:t>Uwagi do projektu ustawy poniżej</w:t>
      </w:r>
      <w:r w:rsidR="004A327C" w:rsidRPr="000E4340">
        <w:rPr>
          <w:rFonts w:ascii="Arial Narrow" w:hAnsi="Arial Narrow" w:cs="Open Sans"/>
          <w:sz w:val="26"/>
          <w:szCs w:val="26"/>
        </w:rPr>
        <w:t xml:space="preserve"> – zawarte zostały w części II</w:t>
      </w:r>
      <w:r w:rsidRPr="000E4340">
        <w:rPr>
          <w:rFonts w:ascii="Arial Narrow" w:hAnsi="Arial Narrow" w:cs="Open Sans"/>
          <w:sz w:val="26"/>
          <w:szCs w:val="26"/>
        </w:rPr>
        <w:t xml:space="preserve">: </w:t>
      </w:r>
    </w:p>
    <w:p w:rsidR="000E4340" w:rsidRPr="000E4340" w:rsidRDefault="000E4340" w:rsidP="000E4340">
      <w:pPr>
        <w:pStyle w:val="m1278440382029831924msolistparagraph"/>
        <w:spacing w:before="0" w:beforeAutospacing="0" w:after="0" w:afterAutospacing="0" w:line="300" w:lineRule="auto"/>
        <w:rPr>
          <w:rFonts w:ascii="Arial Narrow" w:hAnsi="Arial Narrow" w:cs="Open Sans"/>
          <w:sz w:val="26"/>
          <w:szCs w:val="26"/>
        </w:rPr>
      </w:pPr>
    </w:p>
    <w:p w:rsidR="004A327C" w:rsidRPr="000E4340" w:rsidRDefault="004A327C" w:rsidP="000E4340">
      <w:pPr>
        <w:pStyle w:val="m1278440382029831924msolistparagraph"/>
        <w:spacing w:before="0" w:beforeAutospacing="0" w:after="0" w:afterAutospacing="0" w:line="300" w:lineRule="auto"/>
        <w:rPr>
          <w:rFonts w:ascii="Arial Narrow" w:hAnsi="Arial Narrow"/>
          <w:color w:val="002060"/>
          <w:sz w:val="26"/>
          <w:szCs w:val="26"/>
        </w:rPr>
      </w:pPr>
      <w:r w:rsidRPr="000E4340">
        <w:rPr>
          <w:rFonts w:ascii="Arial Narrow" w:hAnsi="Arial Narrow"/>
          <w:color w:val="002060"/>
          <w:sz w:val="26"/>
          <w:szCs w:val="26"/>
        </w:rPr>
        <w:t xml:space="preserve">„Energetyka” sp. z o.o. uważa, że zmianie powinny ulec zapisy dotyczące swobody w podejmowaniu decyzji przez urząd skarbowy co do możliwości wykorzystania środków finansowych zgromadzonych na rachunku gdzie są gromadzone środki z VAT. </w:t>
      </w:r>
    </w:p>
    <w:p w:rsidR="004A327C" w:rsidRPr="000E4340" w:rsidRDefault="004A327C" w:rsidP="000E4340">
      <w:pPr>
        <w:pStyle w:val="m1278440382029831924msolistparagraph"/>
        <w:spacing w:before="0" w:beforeAutospacing="0" w:after="0" w:afterAutospacing="0" w:line="300" w:lineRule="auto"/>
        <w:rPr>
          <w:rFonts w:ascii="Arial Narrow" w:hAnsi="Arial Narrow"/>
          <w:color w:val="002060"/>
          <w:sz w:val="26"/>
          <w:szCs w:val="26"/>
        </w:rPr>
      </w:pPr>
      <w:r w:rsidRPr="000E4340">
        <w:rPr>
          <w:rFonts w:ascii="Arial Narrow" w:hAnsi="Arial Narrow"/>
          <w:color w:val="002060"/>
          <w:sz w:val="26"/>
          <w:szCs w:val="26"/>
        </w:rPr>
        <w:t> Powinno być to pozostawione w kwestii właściciela rachunku. Należałoby również skrócić termin na wydanie postanowienia w sprawie wykorzystania środków zgromadzonych na tym rachunku.</w:t>
      </w:r>
    </w:p>
    <w:p w:rsidR="00730C28" w:rsidRPr="000E4340" w:rsidRDefault="00730C28" w:rsidP="000E4340">
      <w:pPr>
        <w:pStyle w:val="m1278440382029831924msolistparagraph"/>
        <w:spacing w:before="0" w:beforeAutospacing="0" w:after="0" w:afterAutospacing="0" w:line="300" w:lineRule="auto"/>
        <w:jc w:val="both"/>
        <w:rPr>
          <w:rFonts w:ascii="Arial Narrow" w:hAnsi="Arial Narrow" w:cs="Open Sans"/>
          <w:b/>
          <w:sz w:val="26"/>
          <w:szCs w:val="26"/>
        </w:rPr>
      </w:pPr>
    </w:p>
    <w:p w:rsidR="004A327C" w:rsidRPr="000E4340" w:rsidRDefault="004A327C" w:rsidP="000E4340">
      <w:pPr>
        <w:spacing w:after="0" w:line="300" w:lineRule="auto"/>
        <w:jc w:val="both"/>
        <w:rPr>
          <w:rFonts w:ascii="Arial Narrow" w:hAnsi="Arial Narrow"/>
          <w:sz w:val="26"/>
          <w:szCs w:val="26"/>
        </w:rPr>
      </w:pPr>
      <w:r w:rsidRPr="000E4340">
        <w:rPr>
          <w:rFonts w:ascii="Arial Narrow" w:hAnsi="Arial Narrow"/>
          <w:sz w:val="26"/>
          <w:szCs w:val="26"/>
        </w:rPr>
        <w:t>Uwagi do projektu ustawy; wymagane zmiany:</w:t>
      </w:r>
    </w:p>
    <w:p w:rsidR="004A327C" w:rsidRPr="000E4340" w:rsidRDefault="004A327C" w:rsidP="000E4340">
      <w:pPr>
        <w:pStyle w:val="Akapitzlist"/>
        <w:numPr>
          <w:ilvl w:val="0"/>
          <w:numId w:val="11"/>
        </w:numPr>
        <w:spacing w:after="0" w:line="300" w:lineRule="auto"/>
        <w:jc w:val="both"/>
        <w:rPr>
          <w:rFonts w:ascii="Arial Narrow" w:hAnsi="Arial Narrow"/>
          <w:sz w:val="26"/>
          <w:szCs w:val="26"/>
        </w:rPr>
      </w:pPr>
      <w:r w:rsidRPr="000E4340">
        <w:rPr>
          <w:rFonts w:ascii="Arial Narrow" w:hAnsi="Arial Narrow"/>
          <w:sz w:val="26"/>
          <w:szCs w:val="26"/>
        </w:rPr>
        <w:lastRenderedPageBreak/>
        <w:t>Art. 108b ustawy VAT – podjęcie decyzji przez Naczelnika US w terminie 90 dni, w zakresie zadysponowania środkami na rachunku VAT,  jest z pewności terminem zbyt długim, gdyż będzie to prowadzić do znacznego ograniczenia prawa przedsiębiorstw do dostępu do własnych środków pieniężnych, co powodować może powstawanie zobowiązań przeterminowanych i dodatkowych kosztów w postaci kar i odsetek od niezapłaconych zobowiązań;</w:t>
      </w:r>
    </w:p>
    <w:p w:rsidR="004A327C" w:rsidRPr="000E4340" w:rsidRDefault="004A327C" w:rsidP="000E4340">
      <w:pPr>
        <w:pStyle w:val="Akapitzlist"/>
        <w:numPr>
          <w:ilvl w:val="0"/>
          <w:numId w:val="11"/>
        </w:numPr>
        <w:spacing w:after="0" w:line="300" w:lineRule="auto"/>
        <w:jc w:val="both"/>
        <w:rPr>
          <w:rFonts w:ascii="Arial Narrow" w:hAnsi="Arial Narrow"/>
          <w:sz w:val="26"/>
          <w:szCs w:val="26"/>
        </w:rPr>
      </w:pPr>
      <w:r w:rsidRPr="000E4340">
        <w:rPr>
          <w:rFonts w:ascii="Arial Narrow" w:hAnsi="Arial Narrow"/>
          <w:sz w:val="26"/>
          <w:szCs w:val="26"/>
        </w:rPr>
        <w:t xml:space="preserve">Art. 62a ust 1 i 5 prawa bankowego oraz art. 8 ust. 1 ustawy – wskazane przepisy sugerują istnienie jednego rachunku VAT prowadzonego w PLN. Ponieważ przepisy KC  dopuszczają możliwość rozliczeń w Polsce w walucie, konieczne jest dopuszczenie również rachunków VAT umożliwiających płatności VAT w ramach Split </w:t>
      </w:r>
      <w:proofErr w:type="spellStart"/>
      <w:r w:rsidRPr="000E4340">
        <w:rPr>
          <w:rFonts w:ascii="Arial Narrow" w:hAnsi="Arial Narrow"/>
          <w:sz w:val="26"/>
          <w:szCs w:val="26"/>
        </w:rPr>
        <w:t>payment</w:t>
      </w:r>
      <w:proofErr w:type="spellEnd"/>
      <w:r w:rsidRPr="000E4340">
        <w:rPr>
          <w:rFonts w:ascii="Arial Narrow" w:hAnsi="Arial Narrow"/>
          <w:sz w:val="26"/>
          <w:szCs w:val="26"/>
        </w:rPr>
        <w:t xml:space="preserve"> również w walutach;</w:t>
      </w:r>
    </w:p>
    <w:p w:rsidR="00730C28" w:rsidRPr="000E4340" w:rsidRDefault="004A327C" w:rsidP="000E4340">
      <w:pPr>
        <w:pStyle w:val="m1278440382029831924msolistparagraph"/>
        <w:spacing w:before="0" w:beforeAutospacing="0" w:after="0" w:afterAutospacing="0" w:line="300" w:lineRule="auto"/>
        <w:jc w:val="both"/>
        <w:rPr>
          <w:rFonts w:ascii="Arial Narrow" w:hAnsi="Arial Narrow" w:cs="Open Sans"/>
          <w:b/>
          <w:sz w:val="26"/>
          <w:szCs w:val="26"/>
        </w:rPr>
      </w:pPr>
      <w:r w:rsidRPr="000E4340">
        <w:rPr>
          <w:rFonts w:ascii="Arial Narrow" w:hAnsi="Arial Narrow"/>
          <w:sz w:val="26"/>
          <w:szCs w:val="26"/>
        </w:rPr>
        <w:t xml:space="preserve">W obrocie gospodarczym obecnie powszechne są umowy </w:t>
      </w:r>
      <w:proofErr w:type="spellStart"/>
      <w:r w:rsidRPr="000E4340">
        <w:rPr>
          <w:rFonts w:ascii="Arial Narrow" w:hAnsi="Arial Narrow"/>
          <w:sz w:val="26"/>
          <w:szCs w:val="26"/>
        </w:rPr>
        <w:t>faktorigu</w:t>
      </w:r>
      <w:proofErr w:type="spellEnd"/>
      <w:r w:rsidRPr="000E4340">
        <w:rPr>
          <w:rFonts w:ascii="Arial Narrow" w:hAnsi="Arial Narrow"/>
          <w:sz w:val="26"/>
          <w:szCs w:val="26"/>
        </w:rPr>
        <w:t>, w ramach których dłużnik dokonuje spłaty zobowiązań do faktora, które co do zasady następują za pośrednictwem rachunków bankowych. Stąd też projekt ustawy  winien powyższe płatności objąć taką samą ochroną jak to ma miejsce w przypadku płatności VAT na rachunek VAT wierzyciela.</w:t>
      </w:r>
    </w:p>
    <w:p w:rsidR="00730C28" w:rsidRPr="000E4340" w:rsidRDefault="00730C28" w:rsidP="000E4340">
      <w:pPr>
        <w:pStyle w:val="m1278440382029831924msolistparagraph"/>
        <w:spacing w:before="0" w:beforeAutospacing="0" w:after="0" w:afterAutospacing="0" w:line="300" w:lineRule="auto"/>
        <w:jc w:val="both"/>
        <w:rPr>
          <w:rFonts w:ascii="Arial Narrow" w:hAnsi="Arial Narrow" w:cs="Open Sans"/>
          <w:b/>
          <w:sz w:val="26"/>
          <w:szCs w:val="26"/>
        </w:rPr>
      </w:pPr>
    </w:p>
    <w:p w:rsidR="00730C28" w:rsidRPr="000E4340" w:rsidRDefault="00730C28" w:rsidP="000E4340">
      <w:pPr>
        <w:pStyle w:val="m1278440382029831924msolistparagraph"/>
        <w:numPr>
          <w:ilvl w:val="0"/>
          <w:numId w:val="9"/>
        </w:numPr>
        <w:spacing w:before="0" w:beforeAutospacing="0" w:after="0" w:afterAutospacing="0" w:line="300" w:lineRule="auto"/>
        <w:ind w:left="426" w:hanging="426"/>
        <w:jc w:val="both"/>
        <w:rPr>
          <w:rFonts w:ascii="Arial Narrow" w:hAnsi="Arial Narrow" w:cs="Open Sans"/>
          <w:b/>
          <w:sz w:val="26"/>
          <w:szCs w:val="26"/>
        </w:rPr>
      </w:pPr>
      <w:r w:rsidRPr="000E4340">
        <w:rPr>
          <w:rFonts w:ascii="Arial Narrow" w:hAnsi="Arial Narrow" w:cs="Open Sans"/>
          <w:b/>
          <w:sz w:val="26"/>
          <w:szCs w:val="26"/>
        </w:rPr>
        <w:t>Uwagi pozostałe:</w:t>
      </w:r>
    </w:p>
    <w:p w:rsidR="00730C28" w:rsidRPr="000E4340" w:rsidRDefault="00730C28" w:rsidP="000E4340">
      <w:pPr>
        <w:spacing w:after="0" w:line="300" w:lineRule="auto"/>
        <w:rPr>
          <w:rFonts w:ascii="Arial Narrow" w:hAnsi="Arial Narrow" w:cs="Open Sans"/>
          <w:sz w:val="26"/>
          <w:szCs w:val="26"/>
        </w:rPr>
      </w:pPr>
    </w:p>
    <w:p w:rsidR="00730C28" w:rsidRPr="000E4340" w:rsidRDefault="00730C28" w:rsidP="000E4340">
      <w:pPr>
        <w:pStyle w:val="Akapitzlist"/>
        <w:numPr>
          <w:ilvl w:val="0"/>
          <w:numId w:val="3"/>
        </w:numPr>
        <w:shd w:val="clear" w:color="auto" w:fill="FFFFFF"/>
        <w:spacing w:after="0" w:line="300" w:lineRule="auto"/>
        <w:jc w:val="both"/>
        <w:rPr>
          <w:rFonts w:ascii="Arial Narrow" w:hAnsi="Arial Narrow" w:cs="Open Sans"/>
          <w:b/>
          <w:i/>
          <w:sz w:val="26"/>
          <w:szCs w:val="26"/>
        </w:rPr>
      </w:pPr>
      <w:r w:rsidRPr="000E4340">
        <w:rPr>
          <w:rFonts w:ascii="Arial Narrow" w:hAnsi="Arial Narrow" w:cs="Open Sans"/>
          <w:b/>
          <w:i/>
          <w:sz w:val="26"/>
          <w:szCs w:val="26"/>
        </w:rPr>
        <w:t>Uwagi dotyczące regulacji w zakresie podatku VAT:</w:t>
      </w:r>
    </w:p>
    <w:p w:rsidR="00730C28" w:rsidRPr="000E4340" w:rsidRDefault="00730C28" w:rsidP="000E4340">
      <w:pPr>
        <w:pStyle w:val="Akapitzlist"/>
        <w:shd w:val="clear" w:color="auto" w:fill="FFFFFF"/>
        <w:spacing w:after="0" w:line="300" w:lineRule="auto"/>
        <w:jc w:val="both"/>
        <w:rPr>
          <w:rFonts w:ascii="Arial Narrow" w:hAnsi="Arial Narrow" w:cs="Open Sans"/>
          <w:b/>
          <w:i/>
          <w:sz w:val="26"/>
          <w:szCs w:val="26"/>
        </w:rPr>
      </w:pPr>
    </w:p>
    <w:p w:rsidR="00730C28" w:rsidRPr="000E4340" w:rsidRDefault="00730C28" w:rsidP="000E4340">
      <w:pPr>
        <w:pStyle w:val="Akapitzlist"/>
        <w:numPr>
          <w:ilvl w:val="0"/>
          <w:numId w:val="5"/>
        </w:numPr>
        <w:shd w:val="clear" w:color="auto" w:fill="FFFFFF"/>
        <w:spacing w:after="0" w:line="300" w:lineRule="auto"/>
        <w:jc w:val="both"/>
        <w:rPr>
          <w:rFonts w:ascii="Arial Narrow" w:hAnsi="Arial Narrow" w:cs="Open Sans"/>
          <w:sz w:val="26"/>
          <w:szCs w:val="26"/>
        </w:rPr>
      </w:pPr>
      <w:r w:rsidRPr="000E4340">
        <w:rPr>
          <w:rFonts w:ascii="Arial Narrow" w:hAnsi="Arial Narrow" w:cs="Open Sans"/>
          <w:sz w:val="26"/>
          <w:szCs w:val="26"/>
          <w:u w:val="single"/>
        </w:rPr>
        <w:t>dedykowany komunikat przelewu</w:t>
      </w:r>
      <w:r w:rsidRPr="000E4340">
        <w:rPr>
          <w:rFonts w:ascii="Arial Narrow" w:hAnsi="Arial Narrow" w:cs="Open Sans"/>
          <w:sz w:val="26"/>
          <w:szCs w:val="26"/>
        </w:rPr>
        <w:t xml:space="preserve"> </w:t>
      </w:r>
    </w:p>
    <w:p w:rsidR="00730C28" w:rsidRPr="000E4340" w:rsidRDefault="00730C28" w:rsidP="000E4340">
      <w:pPr>
        <w:shd w:val="clear" w:color="auto" w:fill="FFFFFF"/>
        <w:spacing w:after="0" w:line="300" w:lineRule="auto"/>
        <w:ind w:left="720"/>
        <w:jc w:val="both"/>
        <w:rPr>
          <w:rFonts w:ascii="Arial Narrow" w:hAnsi="Arial Narrow" w:cs="Open Sans"/>
          <w:sz w:val="26"/>
          <w:szCs w:val="26"/>
        </w:rPr>
      </w:pPr>
    </w:p>
    <w:p w:rsidR="00730C28" w:rsidRPr="000E4340" w:rsidRDefault="00730C28" w:rsidP="000E4340">
      <w:pPr>
        <w:shd w:val="clear" w:color="auto" w:fill="FFFFFF"/>
        <w:spacing w:after="0" w:line="300" w:lineRule="auto"/>
        <w:ind w:left="720"/>
        <w:jc w:val="both"/>
        <w:rPr>
          <w:rFonts w:ascii="Arial Narrow" w:hAnsi="Arial Narrow" w:cs="Open Sans"/>
          <w:sz w:val="26"/>
          <w:szCs w:val="26"/>
        </w:rPr>
      </w:pPr>
      <w:r w:rsidRPr="000E4340">
        <w:rPr>
          <w:rFonts w:ascii="Arial Narrow" w:hAnsi="Arial Narrow" w:cs="Open Sans"/>
          <w:sz w:val="26"/>
          <w:szCs w:val="26"/>
        </w:rPr>
        <w:t>Projekt ustawy wskazuje w nowym art. 108a ust. 3 obowiązkowe dane jakie winny być umieszczone w przypadku realizacji płatności przy użyciu dedykowanego komunikatu przelewu, w tym m.in. numer identyfikacji dostawcy na potrzeby  podatku. W ocenie KGHM regulacja ta znajdzie zastosowanie tylko w przypadku dokonywania płatności bezpośrednio na rzecz dostawcy towaru/usługi. Natomiast wątpliwości budzi zastosowanie w praktyce dedykowanego komunikatu przelewu w odniesieniu  do płatności, które są realizowane na rachunek innego podmiotu niż dostawca towaru/usługi, co może mieć miejsce np. w przypadku:</w:t>
      </w:r>
    </w:p>
    <w:p w:rsidR="00730C28" w:rsidRPr="000E4340" w:rsidRDefault="00730C28" w:rsidP="000E4340">
      <w:pPr>
        <w:pStyle w:val="Akapitzlist"/>
        <w:numPr>
          <w:ilvl w:val="0"/>
          <w:numId w:val="4"/>
        </w:numPr>
        <w:shd w:val="clear" w:color="auto" w:fill="FFFFFF"/>
        <w:spacing w:after="0" w:line="300" w:lineRule="auto"/>
        <w:jc w:val="both"/>
        <w:rPr>
          <w:rFonts w:ascii="Arial Narrow" w:hAnsi="Arial Narrow" w:cs="Open Sans"/>
          <w:sz w:val="26"/>
          <w:szCs w:val="26"/>
        </w:rPr>
      </w:pPr>
      <w:r w:rsidRPr="000E4340">
        <w:rPr>
          <w:rFonts w:ascii="Arial Narrow" w:hAnsi="Arial Narrow" w:cs="Open Sans"/>
          <w:sz w:val="26"/>
          <w:szCs w:val="26"/>
        </w:rPr>
        <w:t xml:space="preserve">prowadzenia rozliczeń w ramach umowy </w:t>
      </w:r>
      <w:proofErr w:type="spellStart"/>
      <w:r w:rsidRPr="000E4340">
        <w:rPr>
          <w:rFonts w:ascii="Arial Narrow" w:hAnsi="Arial Narrow" w:cs="Open Sans"/>
          <w:sz w:val="26"/>
          <w:szCs w:val="26"/>
        </w:rPr>
        <w:t>faktoringu</w:t>
      </w:r>
      <w:proofErr w:type="spellEnd"/>
      <w:r w:rsidRPr="000E4340">
        <w:rPr>
          <w:rFonts w:ascii="Arial Narrow" w:hAnsi="Arial Narrow" w:cs="Open Sans"/>
          <w:sz w:val="26"/>
          <w:szCs w:val="26"/>
        </w:rPr>
        <w:t>, w którym płatność za nabyte towary/usługi dokonywana jest na rzecz banku itp. instytucji;</w:t>
      </w:r>
    </w:p>
    <w:p w:rsidR="00730C28" w:rsidRPr="000E4340" w:rsidRDefault="00730C28" w:rsidP="000E4340">
      <w:pPr>
        <w:pStyle w:val="Akapitzlist"/>
        <w:numPr>
          <w:ilvl w:val="0"/>
          <w:numId w:val="4"/>
        </w:numPr>
        <w:shd w:val="clear" w:color="auto" w:fill="FFFFFF"/>
        <w:spacing w:after="0" w:line="300" w:lineRule="auto"/>
        <w:jc w:val="both"/>
        <w:rPr>
          <w:rFonts w:ascii="Arial Narrow" w:hAnsi="Arial Narrow" w:cs="Open Sans"/>
          <w:sz w:val="26"/>
          <w:szCs w:val="26"/>
        </w:rPr>
      </w:pPr>
      <w:r w:rsidRPr="000E4340">
        <w:rPr>
          <w:rFonts w:ascii="Arial Narrow" w:hAnsi="Arial Narrow" w:cs="Open Sans"/>
          <w:sz w:val="26"/>
          <w:szCs w:val="26"/>
        </w:rPr>
        <w:t>realizacji płatności na rzecz innego podmiotu nie będącego dostawcą, z uwagi na stosowne porozumienia między stronami transakcji/kompensaty.</w:t>
      </w:r>
    </w:p>
    <w:p w:rsidR="00730C28" w:rsidRPr="000E4340" w:rsidRDefault="00730C28" w:rsidP="000E4340">
      <w:pPr>
        <w:shd w:val="clear" w:color="auto" w:fill="FFFFFF"/>
        <w:spacing w:after="0" w:line="300" w:lineRule="auto"/>
        <w:ind w:left="720"/>
        <w:jc w:val="both"/>
        <w:rPr>
          <w:rFonts w:ascii="Arial Narrow" w:hAnsi="Arial Narrow" w:cs="Open Sans"/>
          <w:sz w:val="26"/>
          <w:szCs w:val="26"/>
        </w:rPr>
      </w:pPr>
      <w:r w:rsidRPr="000E4340">
        <w:rPr>
          <w:rFonts w:ascii="Arial Narrow" w:hAnsi="Arial Narrow" w:cs="Open Sans"/>
          <w:sz w:val="26"/>
          <w:szCs w:val="26"/>
        </w:rPr>
        <w:t xml:space="preserve">W przypadku w/w rozliczeń występujących powszechnie w obrocie gospodarczym, brak jest w naszej ocenie dodatkowych (i wymaganych) regulacji, w szczególności odnoszących się do katalogu danych wymaganych przy zastosowaniu dedykowanego </w:t>
      </w:r>
      <w:r w:rsidRPr="000E4340">
        <w:rPr>
          <w:rFonts w:ascii="Arial Narrow" w:hAnsi="Arial Narrow" w:cs="Open Sans"/>
          <w:sz w:val="26"/>
          <w:szCs w:val="26"/>
        </w:rPr>
        <w:lastRenderedPageBreak/>
        <w:t xml:space="preserve">komunikatu przelewu, co ma istotne znaczenie w kontekście nowej regulacji dot. solidarnej odpowiedzialności za niewpłacony VAT (art. 108a ust. 4). </w:t>
      </w:r>
    </w:p>
    <w:p w:rsidR="00730C28" w:rsidRPr="000E4340" w:rsidRDefault="00730C28" w:rsidP="000E4340">
      <w:pPr>
        <w:shd w:val="clear" w:color="auto" w:fill="FFFFFF"/>
        <w:spacing w:after="0" w:line="300" w:lineRule="auto"/>
        <w:ind w:left="720"/>
        <w:jc w:val="both"/>
        <w:rPr>
          <w:rFonts w:ascii="Arial Narrow" w:hAnsi="Arial Narrow" w:cs="Open Sans"/>
          <w:sz w:val="26"/>
          <w:szCs w:val="26"/>
        </w:rPr>
      </w:pPr>
    </w:p>
    <w:p w:rsidR="00730C28" w:rsidRPr="000E4340" w:rsidRDefault="00730C28" w:rsidP="000E4340">
      <w:pPr>
        <w:pStyle w:val="Akapitzlist"/>
        <w:numPr>
          <w:ilvl w:val="0"/>
          <w:numId w:val="5"/>
        </w:numPr>
        <w:shd w:val="clear" w:color="auto" w:fill="FFFFFF"/>
        <w:spacing w:after="0" w:line="300" w:lineRule="auto"/>
        <w:jc w:val="both"/>
        <w:rPr>
          <w:rFonts w:ascii="Arial Narrow" w:hAnsi="Arial Narrow" w:cs="Open Sans"/>
          <w:sz w:val="26"/>
          <w:szCs w:val="26"/>
          <w:u w:val="single"/>
        </w:rPr>
      </w:pPr>
      <w:r w:rsidRPr="000E4340">
        <w:rPr>
          <w:rFonts w:ascii="Arial Narrow" w:hAnsi="Arial Narrow" w:cs="Open Sans"/>
          <w:sz w:val="26"/>
          <w:szCs w:val="26"/>
          <w:u w:val="single"/>
        </w:rPr>
        <w:t>nowy termin - 90 dni na wydanie zgody organu na dysponowanie środkami VAT</w:t>
      </w:r>
    </w:p>
    <w:p w:rsidR="00730C28" w:rsidRPr="000E4340" w:rsidRDefault="00730C28" w:rsidP="000E4340">
      <w:pPr>
        <w:pStyle w:val="Akapitzlist"/>
        <w:shd w:val="clear" w:color="auto" w:fill="FFFFFF"/>
        <w:spacing w:after="0" w:line="300" w:lineRule="auto"/>
        <w:jc w:val="both"/>
        <w:rPr>
          <w:rFonts w:ascii="Arial Narrow" w:hAnsi="Arial Narrow" w:cs="Open Sans"/>
          <w:sz w:val="26"/>
          <w:szCs w:val="26"/>
        </w:rPr>
      </w:pPr>
    </w:p>
    <w:p w:rsidR="00730C28" w:rsidRPr="000E4340" w:rsidRDefault="00730C28" w:rsidP="000E4340">
      <w:pPr>
        <w:pStyle w:val="Akapitzlist"/>
        <w:shd w:val="clear" w:color="auto" w:fill="FFFFFF"/>
        <w:spacing w:after="0" w:line="300" w:lineRule="auto"/>
        <w:jc w:val="both"/>
        <w:rPr>
          <w:rFonts w:ascii="Arial Narrow" w:hAnsi="Arial Narrow" w:cs="Open Sans"/>
          <w:sz w:val="26"/>
          <w:szCs w:val="26"/>
        </w:rPr>
      </w:pPr>
      <w:r w:rsidRPr="000E4340">
        <w:rPr>
          <w:rFonts w:ascii="Arial Narrow" w:hAnsi="Arial Narrow" w:cs="Open Sans"/>
          <w:sz w:val="26"/>
          <w:szCs w:val="26"/>
        </w:rPr>
        <w:t xml:space="preserve">Ustawa (w art. 108b ustawy VAT) wprowadza 90-dniowy termin na wydanie postanowienia przez właściwy organ podatkowy, stanowiącego zgodę organu na zadysponowanie przez właściciela środkami pieniężnymi na cele inne niż wskazane w ustawie.  </w:t>
      </w:r>
    </w:p>
    <w:p w:rsidR="00730C28" w:rsidRPr="000E4340" w:rsidRDefault="00730C28" w:rsidP="000E4340">
      <w:pPr>
        <w:pStyle w:val="Akapitzlist"/>
        <w:shd w:val="clear" w:color="auto" w:fill="FFFFFF"/>
        <w:spacing w:after="0" w:line="300" w:lineRule="auto"/>
        <w:jc w:val="both"/>
        <w:rPr>
          <w:rFonts w:ascii="Arial Narrow" w:hAnsi="Arial Narrow" w:cs="Open Sans"/>
          <w:sz w:val="26"/>
          <w:szCs w:val="26"/>
        </w:rPr>
      </w:pPr>
      <w:r w:rsidRPr="000E4340">
        <w:rPr>
          <w:rFonts w:ascii="Arial Narrow" w:hAnsi="Arial Narrow" w:cs="Open Sans"/>
          <w:sz w:val="26"/>
          <w:szCs w:val="26"/>
        </w:rPr>
        <w:t xml:space="preserve">Wobec faktu, iż są to środki pieniężne, które pochodzić będą m.in. z tytułu należnego podatnikowi VAT z tytułu sprzedaży towarów i usług, który jest odprowadzany na rachunek właściwego US do 25. dnia miesiąca po miesiącu dostawy/świadczenia usług, w ocenie KGHM wskazany termin, tj. 90 dni, prowadzi do nieuzasadnionego przetrzymywania środków pieniężnych podatnika przez organ podatkowy i naruszania płynności finansowej podatnika, </w:t>
      </w:r>
    </w:p>
    <w:p w:rsidR="00730C28" w:rsidRPr="000E4340" w:rsidRDefault="00730C28" w:rsidP="000E4340">
      <w:pPr>
        <w:pStyle w:val="Akapitzlist"/>
        <w:shd w:val="clear" w:color="auto" w:fill="FFFFFF"/>
        <w:spacing w:after="0" w:line="300" w:lineRule="auto"/>
        <w:jc w:val="both"/>
        <w:rPr>
          <w:rFonts w:ascii="Arial Narrow" w:hAnsi="Arial Narrow" w:cs="Open Sans"/>
          <w:sz w:val="26"/>
          <w:szCs w:val="26"/>
        </w:rPr>
      </w:pPr>
    </w:p>
    <w:p w:rsidR="00730C28" w:rsidRPr="000E4340" w:rsidRDefault="00730C28" w:rsidP="000E4340">
      <w:pPr>
        <w:pStyle w:val="Akapitzlist"/>
        <w:numPr>
          <w:ilvl w:val="0"/>
          <w:numId w:val="5"/>
        </w:numPr>
        <w:shd w:val="clear" w:color="auto" w:fill="FFFFFF"/>
        <w:spacing w:after="0" w:line="300" w:lineRule="auto"/>
        <w:jc w:val="both"/>
        <w:rPr>
          <w:rFonts w:ascii="Arial Narrow" w:hAnsi="Arial Narrow" w:cs="Open Sans"/>
          <w:sz w:val="26"/>
          <w:szCs w:val="26"/>
          <w:u w:val="single"/>
        </w:rPr>
      </w:pPr>
      <w:r w:rsidRPr="000E4340">
        <w:rPr>
          <w:rFonts w:ascii="Arial Narrow" w:hAnsi="Arial Narrow" w:cs="Open Sans"/>
          <w:sz w:val="26"/>
          <w:szCs w:val="26"/>
          <w:u w:val="single"/>
        </w:rPr>
        <w:t>rachunek dot. zwrotu podatku VAT</w:t>
      </w:r>
    </w:p>
    <w:p w:rsidR="00730C28" w:rsidRPr="000E4340" w:rsidRDefault="00730C28" w:rsidP="000E4340">
      <w:pPr>
        <w:autoSpaceDE w:val="0"/>
        <w:autoSpaceDN w:val="0"/>
        <w:adjustRightInd w:val="0"/>
        <w:spacing w:after="0" w:line="300" w:lineRule="auto"/>
        <w:ind w:left="708"/>
        <w:jc w:val="both"/>
        <w:rPr>
          <w:rFonts w:ascii="Arial Narrow" w:hAnsi="Arial Narrow" w:cs="Open Sans"/>
          <w:sz w:val="26"/>
          <w:szCs w:val="26"/>
        </w:rPr>
      </w:pPr>
    </w:p>
    <w:p w:rsidR="00730C28" w:rsidRPr="000E4340" w:rsidRDefault="00730C28" w:rsidP="000E4340">
      <w:pPr>
        <w:autoSpaceDE w:val="0"/>
        <w:autoSpaceDN w:val="0"/>
        <w:adjustRightInd w:val="0"/>
        <w:spacing w:after="0" w:line="300" w:lineRule="auto"/>
        <w:ind w:left="708"/>
        <w:jc w:val="both"/>
        <w:rPr>
          <w:rFonts w:ascii="Arial Narrow" w:hAnsi="Arial Narrow" w:cs="Open Sans"/>
          <w:sz w:val="26"/>
          <w:szCs w:val="26"/>
        </w:rPr>
      </w:pPr>
      <w:r w:rsidRPr="000E4340">
        <w:rPr>
          <w:rFonts w:ascii="Arial Narrow" w:hAnsi="Arial Narrow" w:cs="Open Sans"/>
          <w:sz w:val="26"/>
          <w:szCs w:val="26"/>
        </w:rPr>
        <w:t xml:space="preserve">W świetle regulacji Ustawy z dnia 13 października 1995 r. o zasadach ewidencji i identyfikacji podatników i płatników (Dz. U. z 2012 r. poz. 1314, z 2013 r. poz. 2 oraz z 2014 r. poz. 1161), zobowiązującej podatników do wskazania jednego rachunku bankowego właściwego dla potrzeb dokonywania przez organ podatkowych zwrotu VAT, w ocenie Spółki brakuje w przedstawionym projekcie ustawowego doprecyzowania kwestii dot. rachunku właściwego dla obsługi zwrotów VAT. Zgodnie bowiem z nowelizacją prawa bankowego (art. 62a ust. 1 i art. 62b ust. 1 pkt. 2) w zakresie mechanizmu </w:t>
      </w:r>
      <w:proofErr w:type="spellStart"/>
      <w:r w:rsidRPr="000E4340">
        <w:rPr>
          <w:rFonts w:ascii="Arial Narrow" w:hAnsi="Arial Narrow" w:cs="Open Sans"/>
          <w:sz w:val="26"/>
          <w:szCs w:val="26"/>
        </w:rPr>
        <w:t>split</w:t>
      </w:r>
      <w:proofErr w:type="spellEnd"/>
      <w:r w:rsidRPr="000E4340">
        <w:rPr>
          <w:rFonts w:ascii="Arial Narrow" w:hAnsi="Arial Narrow" w:cs="Open Sans"/>
          <w:sz w:val="26"/>
          <w:szCs w:val="26"/>
        </w:rPr>
        <w:t xml:space="preserve"> </w:t>
      </w:r>
      <w:proofErr w:type="spellStart"/>
      <w:r w:rsidRPr="000E4340">
        <w:rPr>
          <w:rFonts w:ascii="Arial Narrow" w:hAnsi="Arial Narrow" w:cs="Open Sans"/>
          <w:sz w:val="26"/>
          <w:szCs w:val="26"/>
        </w:rPr>
        <w:t>payment</w:t>
      </w:r>
      <w:proofErr w:type="spellEnd"/>
      <w:r w:rsidRPr="000E4340">
        <w:rPr>
          <w:rFonts w:ascii="Arial Narrow" w:hAnsi="Arial Narrow" w:cs="Open Sans"/>
          <w:sz w:val="26"/>
          <w:szCs w:val="26"/>
        </w:rPr>
        <w:t xml:space="preserve">, podatnik może posiadać klika rachunków VAT w różnych bankach, w których posiada rachunki rozliczeniowe i na każdy z tych z tych rachunków może być dokonany zwrot VAT przez właściwy organ podatkowy. </w:t>
      </w:r>
    </w:p>
    <w:p w:rsidR="00730C28" w:rsidRPr="000E4340" w:rsidRDefault="00730C28" w:rsidP="000E4340">
      <w:pPr>
        <w:pStyle w:val="Akapitzlist"/>
        <w:shd w:val="clear" w:color="auto" w:fill="FFFFFF"/>
        <w:spacing w:after="0" w:line="300" w:lineRule="auto"/>
        <w:jc w:val="both"/>
        <w:rPr>
          <w:rFonts w:ascii="Arial Narrow" w:hAnsi="Arial Narrow" w:cs="Open Sans"/>
          <w:sz w:val="26"/>
          <w:szCs w:val="26"/>
        </w:rPr>
      </w:pPr>
    </w:p>
    <w:p w:rsidR="00730C28" w:rsidRPr="000E4340" w:rsidRDefault="00730C28" w:rsidP="000E4340">
      <w:pPr>
        <w:pStyle w:val="Akapitzlist"/>
        <w:shd w:val="clear" w:color="auto" w:fill="FFFFFF"/>
        <w:spacing w:after="0" w:line="300" w:lineRule="auto"/>
        <w:jc w:val="both"/>
        <w:rPr>
          <w:rFonts w:ascii="Arial Narrow" w:hAnsi="Arial Narrow" w:cs="Open Sans"/>
          <w:sz w:val="26"/>
          <w:szCs w:val="26"/>
        </w:rPr>
      </w:pPr>
    </w:p>
    <w:p w:rsidR="00730C28" w:rsidRPr="000E4340" w:rsidRDefault="00730C28" w:rsidP="000E4340">
      <w:pPr>
        <w:pStyle w:val="Akapitzlist"/>
        <w:numPr>
          <w:ilvl w:val="0"/>
          <w:numId w:val="3"/>
        </w:numPr>
        <w:shd w:val="clear" w:color="auto" w:fill="FFFFFF"/>
        <w:spacing w:after="0" w:line="300" w:lineRule="auto"/>
        <w:jc w:val="both"/>
        <w:rPr>
          <w:rFonts w:ascii="Arial Narrow" w:hAnsi="Arial Narrow" w:cs="Open Sans"/>
          <w:b/>
          <w:i/>
          <w:sz w:val="26"/>
          <w:szCs w:val="26"/>
        </w:rPr>
      </w:pPr>
      <w:r w:rsidRPr="000E4340">
        <w:rPr>
          <w:rFonts w:ascii="Arial Narrow" w:hAnsi="Arial Narrow" w:cs="Open Sans"/>
          <w:b/>
          <w:i/>
          <w:sz w:val="26"/>
          <w:szCs w:val="26"/>
        </w:rPr>
        <w:t>Uwagi dotyczące regulacji w zakresie prawa bankowego:</w:t>
      </w:r>
    </w:p>
    <w:p w:rsidR="00730C28" w:rsidRPr="000E4340" w:rsidRDefault="00730C28" w:rsidP="000E4340">
      <w:pPr>
        <w:pStyle w:val="Akapitzlist"/>
        <w:shd w:val="clear" w:color="auto" w:fill="FFFFFF"/>
        <w:spacing w:after="0" w:line="300" w:lineRule="auto"/>
        <w:jc w:val="both"/>
        <w:rPr>
          <w:rFonts w:ascii="Arial Narrow" w:hAnsi="Arial Narrow" w:cs="Open Sans"/>
          <w:sz w:val="26"/>
          <w:szCs w:val="26"/>
        </w:rPr>
      </w:pPr>
    </w:p>
    <w:p w:rsidR="00730C28" w:rsidRPr="000E4340" w:rsidRDefault="00730C28" w:rsidP="000E4340">
      <w:pPr>
        <w:pStyle w:val="Akapitzlist"/>
        <w:numPr>
          <w:ilvl w:val="0"/>
          <w:numId w:val="6"/>
        </w:numPr>
        <w:shd w:val="clear" w:color="auto" w:fill="FFFFFF"/>
        <w:spacing w:after="0" w:line="300" w:lineRule="auto"/>
        <w:jc w:val="both"/>
        <w:rPr>
          <w:rFonts w:ascii="Arial Narrow" w:hAnsi="Arial Narrow" w:cs="Open Sans"/>
          <w:sz w:val="26"/>
          <w:szCs w:val="26"/>
          <w:u w:val="single"/>
        </w:rPr>
      </w:pPr>
      <w:r w:rsidRPr="000E4340">
        <w:rPr>
          <w:rFonts w:ascii="Arial Narrow" w:hAnsi="Arial Narrow" w:cs="Open Sans"/>
          <w:sz w:val="26"/>
          <w:szCs w:val="26"/>
          <w:u w:val="single"/>
        </w:rPr>
        <w:t>Rachunki walutowe  VAT</w:t>
      </w:r>
    </w:p>
    <w:p w:rsidR="00730C28" w:rsidRPr="000E4340" w:rsidRDefault="00730C28" w:rsidP="000E4340">
      <w:pPr>
        <w:pStyle w:val="Akapitzlist"/>
        <w:shd w:val="clear" w:color="auto" w:fill="FFFFFF"/>
        <w:spacing w:after="0" w:line="300" w:lineRule="auto"/>
        <w:ind w:left="1080"/>
        <w:jc w:val="both"/>
        <w:rPr>
          <w:rFonts w:ascii="Arial Narrow" w:hAnsi="Arial Narrow" w:cs="Open Sans"/>
          <w:sz w:val="26"/>
          <w:szCs w:val="26"/>
          <w:u w:val="single"/>
        </w:rPr>
      </w:pPr>
    </w:p>
    <w:p w:rsidR="00730C28" w:rsidRPr="000E4340" w:rsidRDefault="00730C28" w:rsidP="000E4340">
      <w:pPr>
        <w:pStyle w:val="Akapitzlist"/>
        <w:shd w:val="clear" w:color="auto" w:fill="FFFFFF"/>
        <w:spacing w:after="0" w:line="300" w:lineRule="auto"/>
        <w:ind w:left="1080"/>
        <w:jc w:val="both"/>
        <w:rPr>
          <w:rFonts w:ascii="Arial Narrow" w:hAnsi="Arial Narrow" w:cs="Open Sans"/>
          <w:sz w:val="26"/>
          <w:szCs w:val="26"/>
        </w:rPr>
      </w:pPr>
      <w:r w:rsidRPr="000E4340">
        <w:rPr>
          <w:rFonts w:ascii="Arial Narrow" w:hAnsi="Arial Narrow" w:cs="Open Sans"/>
          <w:sz w:val="26"/>
          <w:szCs w:val="26"/>
        </w:rPr>
        <w:t xml:space="preserve">Projekt ustawy co do zasady nie określa wprost czy mechanizm </w:t>
      </w:r>
      <w:proofErr w:type="spellStart"/>
      <w:r w:rsidRPr="000E4340">
        <w:rPr>
          <w:rFonts w:ascii="Arial Narrow" w:hAnsi="Arial Narrow" w:cs="Open Sans"/>
          <w:sz w:val="26"/>
          <w:szCs w:val="26"/>
        </w:rPr>
        <w:t>split</w:t>
      </w:r>
      <w:proofErr w:type="spellEnd"/>
      <w:r w:rsidRPr="000E4340">
        <w:rPr>
          <w:rFonts w:ascii="Arial Narrow" w:hAnsi="Arial Narrow" w:cs="Open Sans"/>
          <w:sz w:val="26"/>
          <w:szCs w:val="26"/>
        </w:rPr>
        <w:t xml:space="preserve"> </w:t>
      </w:r>
      <w:proofErr w:type="spellStart"/>
      <w:r w:rsidRPr="000E4340">
        <w:rPr>
          <w:rFonts w:ascii="Arial Narrow" w:hAnsi="Arial Narrow" w:cs="Open Sans"/>
          <w:sz w:val="26"/>
          <w:szCs w:val="26"/>
        </w:rPr>
        <w:t>payment</w:t>
      </w:r>
      <w:proofErr w:type="spellEnd"/>
      <w:r w:rsidRPr="000E4340">
        <w:rPr>
          <w:rFonts w:ascii="Arial Narrow" w:hAnsi="Arial Narrow" w:cs="Open Sans"/>
          <w:sz w:val="26"/>
          <w:szCs w:val="26"/>
        </w:rPr>
        <w:t xml:space="preserve"> dotyczy wszelkich rachunków, tj. prowadzonych dla różnych walut, niemniej nakłada na bank obowiązek otwarcia </w:t>
      </w:r>
      <w:r w:rsidRPr="000E4340">
        <w:rPr>
          <w:rFonts w:ascii="Arial Narrow" w:hAnsi="Arial Narrow" w:cs="Open Sans"/>
          <w:b/>
          <w:sz w:val="26"/>
          <w:szCs w:val="26"/>
        </w:rPr>
        <w:t>jednego rachunku VAT</w:t>
      </w:r>
      <w:r w:rsidRPr="000E4340">
        <w:rPr>
          <w:rFonts w:ascii="Arial Narrow" w:hAnsi="Arial Narrow" w:cs="Open Sans"/>
          <w:sz w:val="26"/>
          <w:szCs w:val="26"/>
        </w:rPr>
        <w:t xml:space="preserve"> dla wszystkich rachunków </w:t>
      </w:r>
      <w:r w:rsidRPr="000E4340">
        <w:rPr>
          <w:rFonts w:ascii="Arial Narrow" w:hAnsi="Arial Narrow" w:cs="Open Sans"/>
          <w:sz w:val="26"/>
          <w:szCs w:val="26"/>
        </w:rPr>
        <w:lastRenderedPageBreak/>
        <w:t xml:space="preserve">rozliczeniowych danego klienta prowadzonych przez ten bank, co wynika z brzmienia art. 62a ust. 1 w związku z ust. 5 nowelizowanej ustawy Prawo Bankowe oraz art. 8 ust. 1 projektu ustawy.  Wynika stąd, że jeden rachunek VAT będzie obsługiwał płatności realizowane zarówno w walucie krajowej, jak i obcej, co jednak w ocenie KGHM nie jest oczywiste na tle nowych regulacji. Stąd też powstaje potrzeba uściślenia kwestii dokonywania wpłat przez podatnika na rachunek VAT dostawcy w przypadku rozliczania się w różnych walutach, bowiem obowiązujące w Polsce regulacje KC dopuszczają rozliczenia w walucie innej niż PLN. Stąd też nowelizowana ustawa  winna dopuszczać utworzenie przez bank również rachunków walutowych VAT, na które wpłacany byłyby VAT w walucie rozliczenia wynikającej z faktury (innej niż PLN). </w:t>
      </w:r>
    </w:p>
    <w:p w:rsidR="00730C28" w:rsidRPr="000E4340" w:rsidRDefault="00730C28" w:rsidP="000E4340">
      <w:pPr>
        <w:spacing w:after="0" w:line="300" w:lineRule="auto"/>
        <w:rPr>
          <w:rFonts w:ascii="Arial Narrow" w:hAnsi="Arial Narrow" w:cs="Open Sans"/>
          <w:sz w:val="26"/>
          <w:szCs w:val="26"/>
        </w:rPr>
      </w:pPr>
    </w:p>
    <w:p w:rsidR="008D4750" w:rsidRPr="000E4340" w:rsidRDefault="008D4750" w:rsidP="000E4340">
      <w:pPr>
        <w:spacing w:after="0" w:line="300" w:lineRule="auto"/>
        <w:rPr>
          <w:rFonts w:ascii="Arial Narrow" w:hAnsi="Arial Narrow"/>
          <w:sz w:val="26"/>
          <w:szCs w:val="26"/>
        </w:rPr>
      </w:pPr>
    </w:p>
    <w:sectPr w:rsidR="008D4750" w:rsidRPr="000E4340" w:rsidSect="000560A2">
      <w:footerReference w:type="default" r:id="rI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454715"/>
      <w:docPartObj>
        <w:docPartGallery w:val="Page Numbers (Bottom of Page)"/>
        <w:docPartUnique/>
      </w:docPartObj>
    </w:sdtPr>
    <w:sdtEndPr/>
    <w:sdtContent>
      <w:p w:rsidR="00A96835" w:rsidRDefault="00334DF8">
        <w:pPr>
          <w:pStyle w:val="Stopka"/>
          <w:jc w:val="right"/>
        </w:pPr>
        <w:r>
          <w:fldChar w:fldCharType="begin"/>
        </w:r>
        <w:r>
          <w:instrText>PAGE   \* MERGEFORMAT</w:instrText>
        </w:r>
        <w:r>
          <w:fldChar w:fldCharType="separate"/>
        </w:r>
        <w:r>
          <w:rPr>
            <w:noProof/>
          </w:rPr>
          <w:t>8</w:t>
        </w:r>
        <w:r>
          <w:fldChar w:fldCharType="end"/>
        </w:r>
      </w:p>
    </w:sdtContent>
  </w:sdt>
  <w:p w:rsidR="00A96835" w:rsidRDefault="00334DF8">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7CB7"/>
    <w:multiLevelType w:val="hybridMultilevel"/>
    <w:tmpl w:val="A4306A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193D637E"/>
    <w:multiLevelType w:val="hybridMultilevel"/>
    <w:tmpl w:val="909077EC"/>
    <w:lvl w:ilvl="0" w:tplc="35C66E8A">
      <w:start w:val="1"/>
      <w:numFmt w:val="lowerRoman"/>
      <w:lvlText w:val="(%1)"/>
      <w:lvlJc w:val="left"/>
      <w:pPr>
        <w:ind w:left="720" w:hanging="360"/>
      </w:pPr>
      <w:rPr>
        <w:rFonts w:ascii="Open Sans" w:eastAsiaTheme="minorHAnsi" w:hAnsi="Open Sans" w:cs="Open San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1994A88"/>
    <w:multiLevelType w:val="hybridMultilevel"/>
    <w:tmpl w:val="22D6DDEA"/>
    <w:lvl w:ilvl="0" w:tplc="0415000F">
      <w:start w:val="1"/>
      <w:numFmt w:val="decimal"/>
      <w:lvlText w:val="%1."/>
      <w:lvlJc w:val="left"/>
      <w:pPr>
        <w:ind w:left="750" w:hanging="360"/>
      </w:p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
    <w:nsid w:val="43CD408F"/>
    <w:multiLevelType w:val="hybridMultilevel"/>
    <w:tmpl w:val="71845B2A"/>
    <w:lvl w:ilvl="0" w:tplc="9620AFD8">
      <w:start w:val="1"/>
      <w:numFmt w:val="decimal"/>
      <w:lvlText w:val="%1)"/>
      <w:lvlJc w:val="left"/>
      <w:pPr>
        <w:ind w:left="1260" w:hanging="5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48494F13"/>
    <w:multiLevelType w:val="hybridMultilevel"/>
    <w:tmpl w:val="964A2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CC86B15"/>
    <w:multiLevelType w:val="hybridMultilevel"/>
    <w:tmpl w:val="EF308664"/>
    <w:lvl w:ilvl="0" w:tplc="8F5E715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E610D7"/>
    <w:multiLevelType w:val="hybridMultilevel"/>
    <w:tmpl w:val="6860A1C8"/>
    <w:lvl w:ilvl="0" w:tplc="04150001">
      <w:start w:val="1"/>
      <w:numFmt w:val="bullet"/>
      <w:lvlText w:val=""/>
      <w:lvlJc w:val="left"/>
      <w:pPr>
        <w:ind w:left="2040" w:hanging="360"/>
      </w:pPr>
      <w:rPr>
        <w:rFonts w:ascii="Symbol" w:hAnsi="Symbol" w:hint="default"/>
      </w:rPr>
    </w:lvl>
    <w:lvl w:ilvl="1" w:tplc="04150003" w:tentative="1">
      <w:start w:val="1"/>
      <w:numFmt w:val="bullet"/>
      <w:lvlText w:val="o"/>
      <w:lvlJc w:val="left"/>
      <w:pPr>
        <w:ind w:left="2760" w:hanging="360"/>
      </w:pPr>
      <w:rPr>
        <w:rFonts w:ascii="Courier New" w:hAnsi="Courier New" w:cs="Courier New" w:hint="default"/>
      </w:rPr>
    </w:lvl>
    <w:lvl w:ilvl="2" w:tplc="04150005" w:tentative="1">
      <w:start w:val="1"/>
      <w:numFmt w:val="bullet"/>
      <w:lvlText w:val=""/>
      <w:lvlJc w:val="left"/>
      <w:pPr>
        <w:ind w:left="3480" w:hanging="360"/>
      </w:pPr>
      <w:rPr>
        <w:rFonts w:ascii="Wingdings" w:hAnsi="Wingdings" w:hint="default"/>
      </w:rPr>
    </w:lvl>
    <w:lvl w:ilvl="3" w:tplc="04150001" w:tentative="1">
      <w:start w:val="1"/>
      <w:numFmt w:val="bullet"/>
      <w:lvlText w:val=""/>
      <w:lvlJc w:val="left"/>
      <w:pPr>
        <w:ind w:left="4200" w:hanging="360"/>
      </w:pPr>
      <w:rPr>
        <w:rFonts w:ascii="Symbol" w:hAnsi="Symbol" w:hint="default"/>
      </w:rPr>
    </w:lvl>
    <w:lvl w:ilvl="4" w:tplc="04150003" w:tentative="1">
      <w:start w:val="1"/>
      <w:numFmt w:val="bullet"/>
      <w:lvlText w:val="o"/>
      <w:lvlJc w:val="left"/>
      <w:pPr>
        <w:ind w:left="4920" w:hanging="360"/>
      </w:pPr>
      <w:rPr>
        <w:rFonts w:ascii="Courier New" w:hAnsi="Courier New" w:cs="Courier New" w:hint="default"/>
      </w:rPr>
    </w:lvl>
    <w:lvl w:ilvl="5" w:tplc="04150005" w:tentative="1">
      <w:start w:val="1"/>
      <w:numFmt w:val="bullet"/>
      <w:lvlText w:val=""/>
      <w:lvlJc w:val="left"/>
      <w:pPr>
        <w:ind w:left="5640" w:hanging="360"/>
      </w:pPr>
      <w:rPr>
        <w:rFonts w:ascii="Wingdings" w:hAnsi="Wingdings" w:hint="default"/>
      </w:rPr>
    </w:lvl>
    <w:lvl w:ilvl="6" w:tplc="04150001" w:tentative="1">
      <w:start w:val="1"/>
      <w:numFmt w:val="bullet"/>
      <w:lvlText w:val=""/>
      <w:lvlJc w:val="left"/>
      <w:pPr>
        <w:ind w:left="6360" w:hanging="360"/>
      </w:pPr>
      <w:rPr>
        <w:rFonts w:ascii="Symbol" w:hAnsi="Symbol" w:hint="default"/>
      </w:rPr>
    </w:lvl>
    <w:lvl w:ilvl="7" w:tplc="04150003" w:tentative="1">
      <w:start w:val="1"/>
      <w:numFmt w:val="bullet"/>
      <w:lvlText w:val="o"/>
      <w:lvlJc w:val="left"/>
      <w:pPr>
        <w:ind w:left="7080" w:hanging="360"/>
      </w:pPr>
      <w:rPr>
        <w:rFonts w:ascii="Courier New" w:hAnsi="Courier New" w:cs="Courier New" w:hint="default"/>
      </w:rPr>
    </w:lvl>
    <w:lvl w:ilvl="8" w:tplc="04150005" w:tentative="1">
      <w:start w:val="1"/>
      <w:numFmt w:val="bullet"/>
      <w:lvlText w:val=""/>
      <w:lvlJc w:val="left"/>
      <w:pPr>
        <w:ind w:left="7800" w:hanging="360"/>
      </w:pPr>
      <w:rPr>
        <w:rFonts w:ascii="Wingdings" w:hAnsi="Wingdings" w:hint="default"/>
      </w:rPr>
    </w:lvl>
  </w:abstractNum>
  <w:abstractNum w:abstractNumId="7">
    <w:nsid w:val="51476564"/>
    <w:multiLevelType w:val="hybridMultilevel"/>
    <w:tmpl w:val="318C23A8"/>
    <w:lvl w:ilvl="0" w:tplc="2646A6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A909F0"/>
    <w:multiLevelType w:val="hybridMultilevel"/>
    <w:tmpl w:val="F51E1D2C"/>
    <w:lvl w:ilvl="0" w:tplc="04150001">
      <w:start w:val="1"/>
      <w:numFmt w:val="bullet"/>
      <w:lvlText w:val=""/>
      <w:lvlJc w:val="left"/>
      <w:pPr>
        <w:ind w:left="1110" w:hanging="360"/>
      </w:pPr>
      <w:rPr>
        <w:rFonts w:ascii="Symbol" w:hAnsi="Symbol" w:hint="default"/>
      </w:rPr>
    </w:lvl>
    <w:lvl w:ilvl="1" w:tplc="04150003" w:tentative="1">
      <w:start w:val="1"/>
      <w:numFmt w:val="bullet"/>
      <w:lvlText w:val="o"/>
      <w:lvlJc w:val="left"/>
      <w:pPr>
        <w:ind w:left="1830" w:hanging="360"/>
      </w:pPr>
      <w:rPr>
        <w:rFonts w:ascii="Courier New" w:hAnsi="Courier New" w:cs="Courier New" w:hint="default"/>
      </w:rPr>
    </w:lvl>
    <w:lvl w:ilvl="2" w:tplc="04150005" w:tentative="1">
      <w:start w:val="1"/>
      <w:numFmt w:val="bullet"/>
      <w:lvlText w:val=""/>
      <w:lvlJc w:val="left"/>
      <w:pPr>
        <w:ind w:left="2550" w:hanging="360"/>
      </w:pPr>
      <w:rPr>
        <w:rFonts w:ascii="Wingdings" w:hAnsi="Wingdings" w:hint="default"/>
      </w:rPr>
    </w:lvl>
    <w:lvl w:ilvl="3" w:tplc="04150001" w:tentative="1">
      <w:start w:val="1"/>
      <w:numFmt w:val="bullet"/>
      <w:lvlText w:val=""/>
      <w:lvlJc w:val="left"/>
      <w:pPr>
        <w:ind w:left="3270" w:hanging="360"/>
      </w:pPr>
      <w:rPr>
        <w:rFonts w:ascii="Symbol" w:hAnsi="Symbol" w:hint="default"/>
      </w:rPr>
    </w:lvl>
    <w:lvl w:ilvl="4" w:tplc="04150003" w:tentative="1">
      <w:start w:val="1"/>
      <w:numFmt w:val="bullet"/>
      <w:lvlText w:val="o"/>
      <w:lvlJc w:val="left"/>
      <w:pPr>
        <w:ind w:left="3990" w:hanging="360"/>
      </w:pPr>
      <w:rPr>
        <w:rFonts w:ascii="Courier New" w:hAnsi="Courier New" w:cs="Courier New" w:hint="default"/>
      </w:rPr>
    </w:lvl>
    <w:lvl w:ilvl="5" w:tplc="04150005" w:tentative="1">
      <w:start w:val="1"/>
      <w:numFmt w:val="bullet"/>
      <w:lvlText w:val=""/>
      <w:lvlJc w:val="left"/>
      <w:pPr>
        <w:ind w:left="4710" w:hanging="360"/>
      </w:pPr>
      <w:rPr>
        <w:rFonts w:ascii="Wingdings" w:hAnsi="Wingdings" w:hint="default"/>
      </w:rPr>
    </w:lvl>
    <w:lvl w:ilvl="6" w:tplc="04150001" w:tentative="1">
      <w:start w:val="1"/>
      <w:numFmt w:val="bullet"/>
      <w:lvlText w:val=""/>
      <w:lvlJc w:val="left"/>
      <w:pPr>
        <w:ind w:left="5430" w:hanging="360"/>
      </w:pPr>
      <w:rPr>
        <w:rFonts w:ascii="Symbol" w:hAnsi="Symbol" w:hint="default"/>
      </w:rPr>
    </w:lvl>
    <w:lvl w:ilvl="7" w:tplc="04150003" w:tentative="1">
      <w:start w:val="1"/>
      <w:numFmt w:val="bullet"/>
      <w:lvlText w:val="o"/>
      <w:lvlJc w:val="left"/>
      <w:pPr>
        <w:ind w:left="6150" w:hanging="360"/>
      </w:pPr>
      <w:rPr>
        <w:rFonts w:ascii="Courier New" w:hAnsi="Courier New" w:cs="Courier New" w:hint="default"/>
      </w:rPr>
    </w:lvl>
    <w:lvl w:ilvl="8" w:tplc="04150005" w:tentative="1">
      <w:start w:val="1"/>
      <w:numFmt w:val="bullet"/>
      <w:lvlText w:val=""/>
      <w:lvlJc w:val="left"/>
      <w:pPr>
        <w:ind w:left="6870" w:hanging="360"/>
      </w:pPr>
      <w:rPr>
        <w:rFonts w:ascii="Wingdings" w:hAnsi="Wingdings" w:hint="default"/>
      </w:rPr>
    </w:lvl>
  </w:abstractNum>
  <w:abstractNum w:abstractNumId="9">
    <w:nsid w:val="56BE7D1A"/>
    <w:multiLevelType w:val="hybridMultilevel"/>
    <w:tmpl w:val="109A209E"/>
    <w:lvl w:ilvl="0" w:tplc="343E996A">
      <w:start w:val="1"/>
      <w:numFmt w:val="lowerRoman"/>
      <w:lvlText w:val="(%1)"/>
      <w:lvlJc w:val="left"/>
      <w:pPr>
        <w:ind w:left="1080" w:hanging="72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D812E10"/>
    <w:multiLevelType w:val="hybridMultilevel"/>
    <w:tmpl w:val="C292F52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6"/>
  </w:num>
  <w:num w:numId="3">
    <w:abstractNumId w:val="10"/>
  </w:num>
  <w:num w:numId="4">
    <w:abstractNumId w:val="0"/>
  </w:num>
  <w:num w:numId="5">
    <w:abstractNumId w:val="9"/>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30C28"/>
    <w:rsid w:val="000E4340"/>
    <w:rsid w:val="00131C1D"/>
    <w:rsid w:val="00331888"/>
    <w:rsid w:val="00334DF8"/>
    <w:rsid w:val="004A327C"/>
    <w:rsid w:val="00730C28"/>
    <w:rsid w:val="008D4750"/>
    <w:rsid w:val="00A259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0C28"/>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1278440382029831924msolistparagraph">
    <w:name w:val="m_1278440382029831924msolistparagraph"/>
    <w:basedOn w:val="Normalny"/>
    <w:uiPriority w:val="99"/>
    <w:rsid w:val="00730C28"/>
    <w:pPr>
      <w:spacing w:before="100" w:beforeAutospacing="1" w:after="100" w:afterAutospacing="1" w:line="240" w:lineRule="auto"/>
    </w:pPr>
    <w:rPr>
      <w:rFonts w:ascii="Times New Roman" w:hAnsi="Times New Roman" w:cs="Times New Roman"/>
      <w:sz w:val="24"/>
      <w:szCs w:val="24"/>
      <w:lang w:eastAsia="pl-PL"/>
    </w:rPr>
  </w:style>
  <w:style w:type="paragraph" w:styleId="Akapitzlist">
    <w:name w:val="List Paragraph"/>
    <w:basedOn w:val="Normalny"/>
    <w:uiPriority w:val="34"/>
    <w:qFormat/>
    <w:rsid w:val="00730C28"/>
    <w:pPr>
      <w:ind w:left="720"/>
      <w:contextualSpacing/>
    </w:pPr>
  </w:style>
  <w:style w:type="paragraph" w:styleId="Stopka">
    <w:name w:val="footer"/>
    <w:basedOn w:val="Normalny"/>
    <w:link w:val="StopkaZnak"/>
    <w:uiPriority w:val="99"/>
    <w:unhideWhenUsed/>
    <w:rsid w:val="00730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30C28"/>
  </w:style>
</w:styles>
</file>

<file path=word/webSettings.xml><?xml version="1.0" encoding="utf-8"?>
<w:webSettings xmlns:r="http://schemas.openxmlformats.org/officeDocument/2006/relationships" xmlns:w="http://schemas.openxmlformats.org/wordprocessingml/2006/main">
  <w:divs>
    <w:div w:id="444540261">
      <w:bodyDiv w:val="1"/>
      <w:marLeft w:val="0"/>
      <w:marRight w:val="0"/>
      <w:marTop w:val="0"/>
      <w:marBottom w:val="0"/>
      <w:divBdr>
        <w:top w:val="none" w:sz="0" w:space="0" w:color="auto"/>
        <w:left w:val="none" w:sz="0" w:space="0" w:color="auto"/>
        <w:bottom w:val="none" w:sz="0" w:space="0" w:color="auto"/>
        <w:right w:val="none" w:sz="0" w:space="0" w:color="auto"/>
      </w:divBdr>
    </w:div>
    <w:div w:id="881794314">
      <w:bodyDiv w:val="1"/>
      <w:marLeft w:val="0"/>
      <w:marRight w:val="0"/>
      <w:marTop w:val="0"/>
      <w:marBottom w:val="0"/>
      <w:divBdr>
        <w:top w:val="none" w:sz="0" w:space="0" w:color="auto"/>
        <w:left w:val="none" w:sz="0" w:space="0" w:color="auto"/>
        <w:bottom w:val="none" w:sz="0" w:space="0" w:color="auto"/>
        <w:right w:val="none" w:sz="0" w:space="0" w:color="auto"/>
      </w:divBdr>
    </w:div>
    <w:div w:id="1240559924">
      <w:bodyDiv w:val="1"/>
      <w:marLeft w:val="0"/>
      <w:marRight w:val="0"/>
      <w:marTop w:val="0"/>
      <w:marBottom w:val="0"/>
      <w:divBdr>
        <w:top w:val="none" w:sz="0" w:space="0" w:color="auto"/>
        <w:left w:val="none" w:sz="0" w:space="0" w:color="auto"/>
        <w:bottom w:val="none" w:sz="0" w:space="0" w:color="auto"/>
        <w:right w:val="none" w:sz="0" w:space="0" w:color="auto"/>
      </w:divBdr>
    </w:div>
    <w:div w:id="1509297325">
      <w:bodyDiv w:val="1"/>
      <w:marLeft w:val="0"/>
      <w:marRight w:val="0"/>
      <w:marTop w:val="0"/>
      <w:marBottom w:val="0"/>
      <w:divBdr>
        <w:top w:val="none" w:sz="0" w:space="0" w:color="auto"/>
        <w:left w:val="none" w:sz="0" w:space="0" w:color="auto"/>
        <w:bottom w:val="none" w:sz="0" w:space="0" w:color="auto"/>
        <w:right w:val="none" w:sz="0" w:space="0" w:color="auto"/>
      </w:divBdr>
    </w:div>
    <w:div w:id="1599799979">
      <w:bodyDiv w:val="1"/>
      <w:marLeft w:val="0"/>
      <w:marRight w:val="0"/>
      <w:marTop w:val="0"/>
      <w:marBottom w:val="0"/>
      <w:divBdr>
        <w:top w:val="none" w:sz="0" w:space="0" w:color="auto"/>
        <w:left w:val="none" w:sz="0" w:space="0" w:color="auto"/>
        <w:bottom w:val="none" w:sz="0" w:space="0" w:color="auto"/>
        <w:right w:val="none" w:sz="0" w:space="0" w:color="auto"/>
      </w:divBdr>
    </w:div>
    <w:div w:id="1665469818">
      <w:bodyDiv w:val="1"/>
      <w:marLeft w:val="0"/>
      <w:marRight w:val="0"/>
      <w:marTop w:val="0"/>
      <w:marBottom w:val="0"/>
      <w:divBdr>
        <w:top w:val="none" w:sz="0" w:space="0" w:color="auto"/>
        <w:left w:val="none" w:sz="0" w:space="0" w:color="auto"/>
        <w:bottom w:val="none" w:sz="0" w:space="0" w:color="auto"/>
        <w:right w:val="none" w:sz="0" w:space="0" w:color="auto"/>
      </w:divBdr>
    </w:div>
    <w:div w:id="202620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2194</Words>
  <Characters>13167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15331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t.kuydowicz</dc:creator>
  <cp:lastModifiedBy>t.kuydowicz</cp:lastModifiedBy>
  <cp:revision>1</cp:revision>
  <dcterms:created xsi:type="dcterms:W3CDTF">2017-06-29T11:02:00Z</dcterms:created>
  <dcterms:modified xsi:type="dcterms:W3CDTF">2017-06-29T11:39:00Z</dcterms:modified>
</cp:coreProperties>
</file>