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80" w:rsidRPr="00B40C80" w:rsidRDefault="00B40C80" w:rsidP="00B40C80">
      <w:pPr>
        <w:spacing w:after="0" w:line="300" w:lineRule="auto"/>
        <w:jc w:val="center"/>
        <w:rPr>
          <w:rFonts w:ascii="Arial Narrow" w:hAnsi="Arial Narrow" w:cs="Open Sans"/>
          <w:b/>
          <w:sz w:val="24"/>
          <w:szCs w:val="24"/>
        </w:rPr>
      </w:pPr>
      <w:r w:rsidRPr="00B40C80">
        <w:rPr>
          <w:rFonts w:ascii="Arial Narrow" w:hAnsi="Arial Narrow" w:cs="Open Sans"/>
          <w:b/>
          <w:sz w:val="24"/>
          <w:szCs w:val="24"/>
        </w:rPr>
        <w:t xml:space="preserve">Uwagi Związku Pracodawców Polska Miedź do projektu ustawy o zmianie niektórych ustaw w celu wprowadzenia uproszczeń dla przedsiębiorców w prawie podatkowym i gospodarczym </w:t>
      </w:r>
    </w:p>
    <w:p w:rsidR="00B40C80" w:rsidRDefault="00B40C80" w:rsidP="00B40C80">
      <w:pPr>
        <w:spacing w:after="0" w:line="300" w:lineRule="auto"/>
        <w:jc w:val="center"/>
        <w:rPr>
          <w:rFonts w:ascii="Arial Narrow" w:hAnsi="Arial Narrow" w:cs="Open Sans"/>
          <w:b/>
          <w:sz w:val="24"/>
          <w:szCs w:val="24"/>
        </w:rPr>
      </w:pPr>
      <w:r w:rsidRPr="00B40C80">
        <w:rPr>
          <w:rFonts w:ascii="Arial Narrow" w:hAnsi="Arial Narrow" w:cs="Open Sans"/>
          <w:b/>
          <w:sz w:val="24"/>
          <w:szCs w:val="24"/>
        </w:rPr>
        <w:t>(</w:t>
      </w:r>
      <w:r>
        <w:rPr>
          <w:rFonts w:ascii="Arial Narrow" w:hAnsi="Arial Narrow" w:cs="Open Sans"/>
          <w:b/>
          <w:sz w:val="24"/>
          <w:szCs w:val="24"/>
        </w:rPr>
        <w:t xml:space="preserve">projekt </w:t>
      </w:r>
      <w:r w:rsidRPr="00B40C80">
        <w:rPr>
          <w:rFonts w:ascii="Arial Narrow" w:hAnsi="Arial Narrow" w:cs="Open Sans"/>
          <w:b/>
          <w:sz w:val="24"/>
          <w:szCs w:val="24"/>
        </w:rPr>
        <w:t xml:space="preserve">z </w:t>
      </w:r>
      <w:r>
        <w:rPr>
          <w:rFonts w:ascii="Arial Narrow" w:hAnsi="Arial Narrow" w:cs="Open Sans"/>
          <w:b/>
          <w:sz w:val="24"/>
          <w:szCs w:val="24"/>
        </w:rPr>
        <w:t xml:space="preserve">dnia </w:t>
      </w:r>
      <w:r w:rsidRPr="00B40C80">
        <w:rPr>
          <w:rFonts w:ascii="Arial Narrow" w:hAnsi="Arial Narrow" w:cs="Open Sans"/>
          <w:b/>
          <w:sz w:val="24"/>
          <w:szCs w:val="24"/>
        </w:rPr>
        <w:t>27.09.2017r</w:t>
      </w:r>
      <w:r>
        <w:rPr>
          <w:rFonts w:ascii="Arial Narrow" w:hAnsi="Arial Narrow" w:cs="Open Sans"/>
          <w:b/>
          <w:sz w:val="24"/>
          <w:szCs w:val="24"/>
        </w:rPr>
        <w:t>oku</w:t>
      </w:r>
      <w:r w:rsidRPr="00B40C80">
        <w:rPr>
          <w:rFonts w:ascii="Arial Narrow" w:hAnsi="Arial Narrow" w:cs="Open Sans"/>
          <w:b/>
          <w:sz w:val="24"/>
          <w:szCs w:val="24"/>
        </w:rPr>
        <w:t>)</w:t>
      </w:r>
    </w:p>
    <w:p w:rsidR="00B40C80" w:rsidRPr="00B40C80" w:rsidRDefault="00B40C80" w:rsidP="00B40C80">
      <w:pPr>
        <w:spacing w:after="0" w:line="300" w:lineRule="auto"/>
        <w:jc w:val="center"/>
        <w:rPr>
          <w:rFonts w:ascii="Arial Narrow" w:hAnsi="Arial Narrow" w:cs="Open Sans"/>
          <w:sz w:val="24"/>
          <w:szCs w:val="24"/>
        </w:rPr>
      </w:pPr>
    </w:p>
    <w:p w:rsidR="00B40C80" w:rsidRDefault="00B40C80" w:rsidP="00B40C80">
      <w:pPr>
        <w:pStyle w:val="Nagwek"/>
        <w:tabs>
          <w:tab w:val="center" w:pos="851"/>
          <w:tab w:val="center" w:pos="1134"/>
        </w:tabs>
        <w:spacing w:line="300" w:lineRule="auto"/>
        <w:jc w:val="both"/>
        <w:rPr>
          <w:rFonts w:ascii="Arial Narrow" w:hAnsi="Arial Narrow" w:cs="Open Sans"/>
        </w:rPr>
      </w:pPr>
      <w:r w:rsidRPr="00B40C80">
        <w:rPr>
          <w:rFonts w:ascii="Arial Narrow" w:hAnsi="Arial Narrow" w:cs="Open Sans"/>
        </w:rPr>
        <w:tab/>
      </w:r>
      <w:r>
        <w:rPr>
          <w:rFonts w:ascii="Arial Narrow" w:hAnsi="Arial Narrow" w:cs="Open Sans"/>
        </w:rPr>
        <w:tab/>
      </w:r>
      <w:r w:rsidRPr="00B40C80">
        <w:rPr>
          <w:rFonts w:ascii="Arial Narrow" w:hAnsi="Arial Narrow" w:cs="Open Sans"/>
        </w:rPr>
        <w:t xml:space="preserve">W związku z opublikowaniem na stronach Rządowego Centrum Legislacyjnego projektu ustawy o zmianie ustaw w celu wprowadzania uproszczeń dla przedsiębiorców w prawie podatkowym </w:t>
      </w:r>
      <w:r>
        <w:rPr>
          <w:rFonts w:ascii="Arial Narrow" w:hAnsi="Arial Narrow" w:cs="Open Sans"/>
        </w:rPr>
        <w:br/>
      </w:r>
      <w:r w:rsidRPr="00B40C80">
        <w:rPr>
          <w:rFonts w:ascii="Arial Narrow" w:hAnsi="Arial Narrow" w:cs="Open Sans"/>
        </w:rPr>
        <w:t xml:space="preserve">i gospodarczym (projekt z dnia 27 września 2017r.; dalej: </w:t>
      </w:r>
      <w:r w:rsidRPr="00B40C80">
        <w:rPr>
          <w:rFonts w:ascii="Arial Narrow" w:hAnsi="Arial Narrow" w:cs="Open Sans"/>
          <w:b/>
        </w:rPr>
        <w:t>Projekt</w:t>
      </w:r>
      <w:r w:rsidRPr="00B40C80">
        <w:rPr>
          <w:rFonts w:ascii="Arial Narrow" w:hAnsi="Arial Narrow" w:cs="Open Sans"/>
        </w:rPr>
        <w:t xml:space="preserve">) </w:t>
      </w:r>
      <w:r>
        <w:rPr>
          <w:rFonts w:ascii="Arial Narrow" w:hAnsi="Arial Narrow" w:cs="Open Sans"/>
        </w:rPr>
        <w:t>Związek Pracodawców Polska Miedź</w:t>
      </w:r>
      <w:r w:rsidRPr="00B40C80">
        <w:rPr>
          <w:rFonts w:ascii="Arial Narrow" w:hAnsi="Arial Narrow" w:cs="Open Sans"/>
        </w:rPr>
        <w:t xml:space="preserve"> wnosi </w:t>
      </w:r>
      <w:r>
        <w:rPr>
          <w:rFonts w:ascii="Arial Narrow" w:hAnsi="Arial Narrow" w:cs="Open Sans"/>
        </w:rPr>
        <w:t xml:space="preserve">następujące </w:t>
      </w:r>
      <w:r w:rsidRPr="00B40C80">
        <w:rPr>
          <w:rFonts w:ascii="Arial Narrow" w:hAnsi="Arial Narrow" w:cs="Open Sans"/>
        </w:rPr>
        <w:t xml:space="preserve">uwagi do Projektu - w części dotyczącej nowelizacji ustawy o podatku dochodowym od osób prawnych (dalej: </w:t>
      </w:r>
      <w:r w:rsidRPr="00B40C80">
        <w:rPr>
          <w:rFonts w:ascii="Arial Narrow" w:hAnsi="Arial Narrow" w:cs="Open Sans"/>
          <w:b/>
        </w:rPr>
        <w:t>ustawa CIT</w:t>
      </w:r>
      <w:r w:rsidRPr="00B40C80">
        <w:rPr>
          <w:rFonts w:ascii="Arial Narrow" w:hAnsi="Arial Narrow" w:cs="Open Sans"/>
        </w:rPr>
        <w:t>) oraz zwraca się z prośbą o ich analizę i uw</w:t>
      </w:r>
      <w:r>
        <w:rPr>
          <w:rFonts w:ascii="Arial Narrow" w:hAnsi="Arial Narrow" w:cs="Open Sans"/>
        </w:rPr>
        <w:t xml:space="preserve">zględnienie na etapie dalszego </w:t>
      </w:r>
      <w:r w:rsidRPr="00B40C80">
        <w:rPr>
          <w:rFonts w:ascii="Arial Narrow" w:hAnsi="Arial Narrow" w:cs="Open Sans"/>
        </w:rPr>
        <w:t xml:space="preserve">procesu legislacji. </w:t>
      </w:r>
    </w:p>
    <w:p w:rsidR="00B40C80" w:rsidRPr="00B40C80" w:rsidRDefault="00B40C80" w:rsidP="00B40C80">
      <w:pPr>
        <w:pStyle w:val="Nagwek"/>
        <w:tabs>
          <w:tab w:val="center" w:pos="851"/>
          <w:tab w:val="center" w:pos="1134"/>
        </w:tabs>
        <w:spacing w:line="300" w:lineRule="auto"/>
        <w:jc w:val="both"/>
        <w:rPr>
          <w:rFonts w:ascii="Arial Narrow" w:hAnsi="Arial Narrow" w:cs="Open Sans"/>
        </w:rPr>
      </w:pPr>
    </w:p>
    <w:p w:rsidR="00B40C80" w:rsidRPr="00B40C80" w:rsidRDefault="00B40C80" w:rsidP="00B40C80">
      <w:pPr>
        <w:pStyle w:val="Nagwek"/>
        <w:numPr>
          <w:ilvl w:val="0"/>
          <w:numId w:val="1"/>
        </w:numPr>
        <w:tabs>
          <w:tab w:val="center" w:pos="851"/>
          <w:tab w:val="center" w:pos="1134"/>
        </w:tabs>
        <w:spacing w:line="300" w:lineRule="auto"/>
        <w:jc w:val="both"/>
        <w:rPr>
          <w:rFonts w:ascii="Arial Narrow" w:hAnsi="Arial Narrow" w:cs="Open Sans"/>
          <w:b/>
        </w:rPr>
      </w:pPr>
      <w:r w:rsidRPr="00B40C80">
        <w:rPr>
          <w:rFonts w:ascii="Arial Narrow" w:hAnsi="Arial Narrow" w:cs="Open Sans"/>
          <w:b/>
        </w:rPr>
        <w:t>Zwolnienie otrzymanych od ubezpieczyciela odszkodowań za szkodę w środku trwałym (art. 6 pkt. 8 Projektu wprowadzający pkt. 54a w art. 17 ust. 1 ustawy CIT).</w:t>
      </w:r>
    </w:p>
    <w:p w:rsidR="00B40C80" w:rsidRDefault="00B40C80" w:rsidP="00B40C80">
      <w:pPr>
        <w:pStyle w:val="Nagwek"/>
        <w:tabs>
          <w:tab w:val="center" w:pos="851"/>
          <w:tab w:val="center" w:pos="1134"/>
        </w:tabs>
        <w:spacing w:line="300" w:lineRule="auto"/>
        <w:jc w:val="both"/>
        <w:rPr>
          <w:rFonts w:ascii="Arial Narrow" w:hAnsi="Arial Narrow" w:cs="Open Sans"/>
        </w:rPr>
      </w:pPr>
    </w:p>
    <w:p w:rsidR="00B40C80" w:rsidRPr="00B40C80" w:rsidRDefault="00B40C80" w:rsidP="00B40C80">
      <w:pPr>
        <w:pStyle w:val="Nagwek"/>
        <w:tabs>
          <w:tab w:val="center" w:pos="851"/>
          <w:tab w:val="center" w:pos="1134"/>
        </w:tabs>
        <w:spacing w:line="300" w:lineRule="auto"/>
        <w:jc w:val="both"/>
        <w:rPr>
          <w:rFonts w:ascii="Arial Narrow" w:hAnsi="Arial Narrow" w:cs="Open Sans"/>
        </w:rPr>
      </w:pPr>
      <w:r>
        <w:rPr>
          <w:rFonts w:ascii="Arial Narrow" w:hAnsi="Arial Narrow" w:cs="Open Sans"/>
        </w:rPr>
        <w:tab/>
      </w:r>
      <w:r>
        <w:rPr>
          <w:rFonts w:ascii="Arial Narrow" w:hAnsi="Arial Narrow" w:cs="Open Sans"/>
        </w:rPr>
        <w:tab/>
      </w:r>
      <w:r w:rsidRPr="00B40C80">
        <w:rPr>
          <w:rFonts w:ascii="Arial Narrow" w:hAnsi="Arial Narrow" w:cs="Open Sans"/>
        </w:rPr>
        <w:t xml:space="preserve">Z uzasadnienia do Projektu wynika, że projektowana zmiana wpłynie na „poprawę płynności finansowej poszkodowanego podatnika i ułatwi sfinansowanie przez takiego podatnika wydatków mających na celu przywrócenie uszkodzonego środka trwałego do stanu jego używalności”. Jednakże </w:t>
      </w:r>
      <w:r>
        <w:rPr>
          <w:rFonts w:ascii="Arial Narrow" w:hAnsi="Arial Narrow" w:cs="Open Sans"/>
        </w:rPr>
        <w:br/>
      </w:r>
      <w:r w:rsidRPr="00B40C80">
        <w:rPr>
          <w:rFonts w:ascii="Arial Narrow" w:hAnsi="Arial Narrow" w:cs="Open Sans"/>
        </w:rPr>
        <w:t xml:space="preserve">w </w:t>
      </w:r>
      <w:r>
        <w:rPr>
          <w:rFonts w:ascii="Arial Narrow" w:hAnsi="Arial Narrow" w:cs="Open Sans"/>
        </w:rPr>
        <w:t>naszej ocenie</w:t>
      </w:r>
      <w:r w:rsidRPr="00B40C80">
        <w:rPr>
          <w:rFonts w:ascii="Arial Narrow" w:hAnsi="Arial Narrow" w:cs="Open Sans"/>
        </w:rPr>
        <w:t>, jeśli cel taki miałby być spełniony, przepis ten musiałby być całkowicie przeredagowany gdyż:</w:t>
      </w:r>
    </w:p>
    <w:p w:rsidR="00B40C80" w:rsidRPr="00B40C80" w:rsidRDefault="00B40C80" w:rsidP="00B40C80">
      <w:pPr>
        <w:pStyle w:val="Nagwek"/>
        <w:numPr>
          <w:ilvl w:val="0"/>
          <w:numId w:val="2"/>
        </w:numPr>
        <w:tabs>
          <w:tab w:val="center" w:pos="851"/>
          <w:tab w:val="center" w:pos="1134"/>
        </w:tabs>
        <w:spacing w:line="300" w:lineRule="auto"/>
        <w:jc w:val="both"/>
        <w:rPr>
          <w:rFonts w:ascii="Arial Narrow" w:hAnsi="Arial Narrow" w:cs="Open Sans"/>
        </w:rPr>
      </w:pPr>
      <w:r w:rsidRPr="00B40C80">
        <w:rPr>
          <w:rFonts w:ascii="Arial Narrow" w:hAnsi="Arial Narrow" w:cs="Open Sans"/>
        </w:rPr>
        <w:t>Wskazana regulacja winna być umiejscowiona w art. 12 ust. 4 ustawy CIT. Usytuowanie projektowanego zwolnienia w art. 17 ustawy CIT (dochody wolne od podatku), w przypadku podatników ponoszących stratę, będzie skutkował wręcz pogorszeniem sytuacji podatkowej tych podmiotów (z uwagi na brak prawa do bieżącego wyłączenia odszkodowania z poziomu przychodów podatkowych oraz wystąpienia obowiązku wyłączenia z kosztów podatkowych amortyzacji od środków trwałych,</w:t>
      </w:r>
      <w:r>
        <w:rPr>
          <w:rFonts w:ascii="Arial Narrow" w:hAnsi="Arial Narrow" w:cs="Open Sans"/>
        </w:rPr>
        <w:t xml:space="preserve"> których nabycie sfinansowano z</w:t>
      </w:r>
      <w:r w:rsidRPr="00B40C80">
        <w:rPr>
          <w:rFonts w:ascii="Arial Narrow" w:hAnsi="Arial Narrow" w:cs="Open Sans"/>
        </w:rPr>
        <w:t xml:space="preserve"> otrzymanych odszkodowań);</w:t>
      </w:r>
    </w:p>
    <w:p w:rsidR="00B40C80" w:rsidRDefault="00B40C80" w:rsidP="00B40C80">
      <w:pPr>
        <w:pStyle w:val="Nagwek"/>
        <w:numPr>
          <w:ilvl w:val="0"/>
          <w:numId w:val="2"/>
        </w:numPr>
        <w:tabs>
          <w:tab w:val="center" w:pos="851"/>
          <w:tab w:val="center" w:pos="1134"/>
        </w:tabs>
        <w:spacing w:line="300" w:lineRule="auto"/>
        <w:jc w:val="both"/>
        <w:rPr>
          <w:rFonts w:ascii="Arial Narrow" w:hAnsi="Arial Narrow" w:cs="Open Sans"/>
        </w:rPr>
      </w:pPr>
      <w:r w:rsidRPr="00B40C80">
        <w:rPr>
          <w:rFonts w:ascii="Arial Narrow" w:hAnsi="Arial Narrow" w:cs="Open Sans"/>
        </w:rPr>
        <w:t xml:space="preserve">Proponowana redakcja przepisu uniemożliwia skorzystanie ze zwolnienia przedsiębiorcom, którzy ponoszą wydatki na rekonstrukcję majątku (w którym poniesiono szkodę) w latach poprzedzających otrzymanie odszkodowania, co w działalności przedsiębiorców (z uwagi na konieczność niezakłóconej kontynuacji działalności, która generuje przychody) jest zjawiskiem powszechnym. Stąd też projektowane ograniczenie terminu wydatkowania odszkodowań (w celu skorzystania ze zwolnienia) winno być zmodyfikowane, przy czym zwolnienie winno dotyczyć również wydatków poniesionych od roku poniesienia szkody, a zrefundowanych w latach następnych odszkodowaniem. </w:t>
      </w:r>
    </w:p>
    <w:p w:rsidR="00B40C80" w:rsidRPr="00B40C80" w:rsidRDefault="00B40C80" w:rsidP="00B40C80">
      <w:pPr>
        <w:pStyle w:val="Nagwek"/>
        <w:tabs>
          <w:tab w:val="center" w:pos="851"/>
          <w:tab w:val="center" w:pos="1134"/>
        </w:tabs>
        <w:spacing w:line="300" w:lineRule="auto"/>
        <w:jc w:val="both"/>
        <w:rPr>
          <w:rFonts w:ascii="Arial Narrow" w:hAnsi="Arial Narrow" w:cs="Open Sans"/>
        </w:rPr>
      </w:pPr>
    </w:p>
    <w:p w:rsidR="00B40C80" w:rsidRDefault="00B40C80" w:rsidP="00B40C80">
      <w:pPr>
        <w:pStyle w:val="Nagwek"/>
        <w:numPr>
          <w:ilvl w:val="0"/>
          <w:numId w:val="1"/>
        </w:numPr>
        <w:tabs>
          <w:tab w:val="center" w:pos="851"/>
          <w:tab w:val="center" w:pos="1134"/>
        </w:tabs>
        <w:spacing w:line="300" w:lineRule="auto"/>
        <w:jc w:val="both"/>
        <w:rPr>
          <w:rFonts w:ascii="Arial Narrow" w:hAnsi="Arial Narrow" w:cs="Open Sans"/>
          <w:b/>
        </w:rPr>
      </w:pPr>
      <w:r w:rsidRPr="00B40C80">
        <w:rPr>
          <w:rFonts w:ascii="Arial Narrow" w:hAnsi="Arial Narrow" w:cs="Open Sans"/>
          <w:b/>
        </w:rPr>
        <w:t>Korekta dochodu/straty o nieuregulowane wierzytelności lub zobowiązania (art. 6 pkt. 10 Projektu wprowadzający art. 18f do ustawy CIT).</w:t>
      </w:r>
    </w:p>
    <w:p w:rsidR="00B40C80" w:rsidRPr="00B40C80" w:rsidRDefault="00B40C80" w:rsidP="00B40C80">
      <w:pPr>
        <w:pStyle w:val="Nagwek"/>
        <w:tabs>
          <w:tab w:val="center" w:pos="851"/>
          <w:tab w:val="center" w:pos="1134"/>
        </w:tabs>
        <w:spacing w:line="300" w:lineRule="auto"/>
        <w:ind w:left="720"/>
        <w:jc w:val="both"/>
        <w:rPr>
          <w:rFonts w:ascii="Arial Narrow" w:hAnsi="Arial Narrow" w:cs="Open Sans"/>
          <w:b/>
        </w:rPr>
      </w:pPr>
    </w:p>
    <w:p w:rsidR="00B40C80" w:rsidRPr="00B40C80" w:rsidRDefault="00B40C80" w:rsidP="00B40C80">
      <w:pPr>
        <w:pStyle w:val="Nagwek"/>
        <w:tabs>
          <w:tab w:val="center" w:pos="851"/>
          <w:tab w:val="center" w:pos="1134"/>
        </w:tabs>
        <w:spacing w:line="300" w:lineRule="auto"/>
        <w:jc w:val="both"/>
        <w:rPr>
          <w:rFonts w:ascii="Arial Narrow" w:hAnsi="Arial Narrow" w:cs="Open Sans"/>
        </w:rPr>
      </w:pPr>
      <w:r>
        <w:rPr>
          <w:rFonts w:ascii="Arial Narrow" w:hAnsi="Arial Narrow" w:cs="Open Sans"/>
        </w:rPr>
        <w:tab/>
      </w:r>
      <w:r>
        <w:rPr>
          <w:rFonts w:ascii="Arial Narrow" w:hAnsi="Arial Narrow" w:cs="Open Sans"/>
        </w:rPr>
        <w:tab/>
      </w:r>
      <w:r w:rsidRPr="00B40C80">
        <w:rPr>
          <w:rFonts w:ascii="Arial Narrow" w:hAnsi="Arial Narrow" w:cs="Open Sans"/>
        </w:rPr>
        <w:t>Projekt przewiduje wprowadzenie prawa do obniżenia dochodu oraz</w:t>
      </w:r>
      <w:r>
        <w:rPr>
          <w:rFonts w:ascii="Arial Narrow" w:hAnsi="Arial Narrow" w:cs="Open Sans"/>
        </w:rPr>
        <w:t xml:space="preserve"> obowiązku zwiększenia dochodu </w:t>
      </w:r>
      <w:r w:rsidRPr="00B40C80">
        <w:rPr>
          <w:rFonts w:ascii="Arial Narrow" w:hAnsi="Arial Narrow" w:cs="Open Sans"/>
        </w:rPr>
        <w:t xml:space="preserve">o (odpowiednio) wierzytelności oraz zobowiązania, które nie zostały uregulowane lub zbyte </w:t>
      </w:r>
      <w:r>
        <w:rPr>
          <w:rFonts w:ascii="Arial Narrow" w:hAnsi="Arial Narrow" w:cs="Open Sans"/>
        </w:rPr>
        <w:br/>
      </w:r>
      <w:r w:rsidRPr="00B40C80">
        <w:rPr>
          <w:rFonts w:ascii="Arial Narrow" w:hAnsi="Arial Narrow" w:cs="Open Sans"/>
        </w:rPr>
        <w:lastRenderedPageBreak/>
        <w:t xml:space="preserve">w terminie 120 dni od upływu ich płatności. Jak czytamy w uzasadnieniu Projektu, regulacja ta ma na celu poprawę terminowego regulowania płatności. </w:t>
      </w:r>
    </w:p>
    <w:p w:rsidR="00B40C80" w:rsidRDefault="00497217" w:rsidP="00B40C80">
      <w:pPr>
        <w:pStyle w:val="Nagwek"/>
        <w:tabs>
          <w:tab w:val="center" w:pos="851"/>
          <w:tab w:val="center" w:pos="1134"/>
        </w:tabs>
        <w:spacing w:line="300" w:lineRule="auto"/>
        <w:jc w:val="both"/>
        <w:rPr>
          <w:rStyle w:val="Uwydatnienie"/>
          <w:rFonts w:ascii="Arial Narrow" w:hAnsi="Arial Narrow" w:cs="Open Sans"/>
          <w:color w:val="000000"/>
        </w:rPr>
      </w:pPr>
      <w:r>
        <w:rPr>
          <w:rFonts w:ascii="Arial Narrow" w:hAnsi="Arial Narrow" w:cs="Open Sans"/>
        </w:rPr>
        <w:tab/>
      </w:r>
      <w:r>
        <w:rPr>
          <w:rFonts w:ascii="Arial Narrow" w:hAnsi="Arial Narrow" w:cs="Open Sans"/>
        </w:rPr>
        <w:tab/>
      </w:r>
      <w:r w:rsidR="00B40C80">
        <w:rPr>
          <w:rFonts w:ascii="Arial Narrow" w:hAnsi="Arial Narrow" w:cs="Open Sans"/>
        </w:rPr>
        <w:t>Pragniemy jednakże zwrócić uwagę</w:t>
      </w:r>
      <w:r w:rsidR="00B40C80" w:rsidRPr="00B40C80">
        <w:rPr>
          <w:rFonts w:ascii="Arial Narrow" w:hAnsi="Arial Narrow" w:cs="Open Sans"/>
        </w:rPr>
        <w:t>, że podobna regulacja (choć mniej restrykcyjna niż nowoprojektowana, która obecnie zakłada wyłączenie nieuregulowanych w terminie 120 dni zobowiązań z kalkulacji dochodu do opodatkowania, bez względu na moment zaliczenia tych wydatków do kosztów podatkowych) obowiązywała w latach 2013-2015 i miała przyczynić się do likwidacji zatorów płatniczych, a w konsekwencji poprawy sytuacji finansowej przedsiębiorców. Wskazane rozwiązanie nie przyniosło oczekiwanych efektów i było szeroko krytykowane przez przedsiębiorców. Powyższe znalazło potwierdzenie również w uzasadnieniu do projektu ustawy likwidującej przedmiotowe regulacje od 01.01.2016</w:t>
      </w:r>
      <w:r>
        <w:rPr>
          <w:rFonts w:ascii="Arial Narrow" w:hAnsi="Arial Narrow" w:cs="Open Sans"/>
        </w:rPr>
        <w:t xml:space="preserve"> </w:t>
      </w:r>
      <w:r w:rsidR="00B40C80" w:rsidRPr="00B40C80">
        <w:rPr>
          <w:rFonts w:ascii="Arial Narrow" w:hAnsi="Arial Narrow" w:cs="Open Sans"/>
        </w:rPr>
        <w:t>r</w:t>
      </w:r>
      <w:r>
        <w:rPr>
          <w:rFonts w:ascii="Arial Narrow" w:hAnsi="Arial Narrow" w:cs="Open Sans"/>
        </w:rPr>
        <w:t>oku</w:t>
      </w:r>
      <w:r w:rsidR="00B40C80" w:rsidRPr="00B40C80">
        <w:rPr>
          <w:rFonts w:ascii="Arial Narrow" w:hAnsi="Arial Narrow" w:cs="Open Sans"/>
        </w:rPr>
        <w:t>, w którym ustawodawca wskazał iż: „</w:t>
      </w:r>
      <w:r w:rsidR="00B40C80" w:rsidRPr="00B40C80">
        <w:rPr>
          <w:rStyle w:val="Uwydatnienie"/>
          <w:rFonts w:ascii="Arial Narrow" w:hAnsi="Arial Narrow" w:cs="Open Sans"/>
          <w:color w:val="000000"/>
        </w:rPr>
        <w:t>W myśl przyjętych założeń mechanizm tzw. korekty kosztów miał przyczyniać się do likwidacji zatorów płatniczych i poprawy sytuacji finansowej przedsiębiorców. Rozwiązanie to nie spełniło jednak swojej funkcji. Prowadzenie stosownych rozliczeń wiąże się bowiem z dodatkowymi obowiązkami o charakterze instrumentalnym, generując dodatkowe koszty dla przedsiębiorców. Wskazuje się, że regulacje te skomplikowały system rozliczeń i zwiększyły obciążenia administracyjne w firmach, w szczególności w małych, gdzie wdrożenie dodatkowych rozwiązań technicznych zwiększyło koszty prowadzenia działalności gospodarczej. Przepisy, które w założeniu miały pomóc najmniejszym i najsłabszym podmiotom na ry</w:t>
      </w:r>
      <w:bookmarkStart w:id="0" w:name="_GoBack"/>
      <w:bookmarkEnd w:id="0"/>
      <w:r w:rsidR="00B40C80" w:rsidRPr="00B40C80">
        <w:rPr>
          <w:rStyle w:val="Uwydatnienie"/>
          <w:rFonts w:ascii="Arial Narrow" w:hAnsi="Arial Narrow" w:cs="Open Sans"/>
          <w:color w:val="000000"/>
        </w:rPr>
        <w:t>nku, de facto im zaszkodziły”.</w:t>
      </w:r>
    </w:p>
    <w:p w:rsidR="00497217" w:rsidRPr="00B40C80" w:rsidRDefault="00497217" w:rsidP="00B40C80">
      <w:pPr>
        <w:pStyle w:val="Nagwek"/>
        <w:tabs>
          <w:tab w:val="center" w:pos="851"/>
          <w:tab w:val="center" w:pos="1134"/>
        </w:tabs>
        <w:spacing w:line="300" w:lineRule="auto"/>
        <w:jc w:val="both"/>
        <w:rPr>
          <w:rFonts w:ascii="Arial Narrow" w:hAnsi="Arial Narrow" w:cs="Open Sans"/>
          <w:color w:val="000000"/>
        </w:rPr>
      </w:pPr>
    </w:p>
    <w:p w:rsidR="00B40C80" w:rsidRPr="00B40C80" w:rsidRDefault="00B40C80" w:rsidP="00B40C80">
      <w:pPr>
        <w:pStyle w:val="NormalnyWeb"/>
        <w:shd w:val="clear" w:color="auto" w:fill="FFFFFF"/>
        <w:spacing w:before="0" w:beforeAutospacing="0" w:after="0" w:afterAutospacing="0" w:line="300" w:lineRule="auto"/>
        <w:jc w:val="both"/>
        <w:textAlignment w:val="baseline"/>
        <w:rPr>
          <w:rFonts w:ascii="Arial Narrow" w:hAnsi="Arial Narrow" w:cs="Open Sans"/>
          <w:b/>
          <w:color w:val="222222"/>
          <w:u w:val="single"/>
          <w:bdr w:val="none" w:sz="0" w:space="0" w:color="auto" w:frame="1"/>
        </w:rPr>
      </w:pPr>
      <w:r w:rsidRPr="00B40C80">
        <w:rPr>
          <w:rFonts w:ascii="Arial Narrow" w:hAnsi="Arial Narrow" w:cs="Open Sans"/>
          <w:b/>
          <w:color w:val="222222"/>
          <w:u w:val="single"/>
          <w:bdr w:val="none" w:sz="0" w:space="0" w:color="auto" w:frame="1"/>
        </w:rPr>
        <w:t xml:space="preserve">W związku z </w:t>
      </w:r>
      <w:r w:rsidR="00497217">
        <w:rPr>
          <w:rFonts w:ascii="Arial Narrow" w:hAnsi="Arial Narrow" w:cs="Open Sans"/>
          <w:b/>
          <w:color w:val="222222"/>
          <w:u w:val="single"/>
          <w:bdr w:val="none" w:sz="0" w:space="0" w:color="auto" w:frame="1"/>
        </w:rPr>
        <w:t>powyższym</w:t>
      </w:r>
      <w:r w:rsidRPr="00B40C80">
        <w:rPr>
          <w:rFonts w:ascii="Arial Narrow" w:hAnsi="Arial Narrow" w:cs="Open Sans"/>
          <w:b/>
          <w:color w:val="222222"/>
          <w:u w:val="single"/>
          <w:bdr w:val="none" w:sz="0" w:space="0" w:color="auto" w:frame="1"/>
        </w:rPr>
        <w:t xml:space="preserve"> wnosi</w:t>
      </w:r>
      <w:r w:rsidR="00497217">
        <w:rPr>
          <w:rFonts w:ascii="Arial Narrow" w:hAnsi="Arial Narrow" w:cs="Open Sans"/>
          <w:b/>
          <w:color w:val="222222"/>
          <w:u w:val="single"/>
          <w:bdr w:val="none" w:sz="0" w:space="0" w:color="auto" w:frame="1"/>
        </w:rPr>
        <w:t>my</w:t>
      </w:r>
      <w:r w:rsidRPr="00B40C80">
        <w:rPr>
          <w:rFonts w:ascii="Arial Narrow" w:hAnsi="Arial Narrow" w:cs="Open Sans"/>
          <w:b/>
          <w:color w:val="222222"/>
          <w:u w:val="single"/>
          <w:bdr w:val="none" w:sz="0" w:space="0" w:color="auto" w:frame="1"/>
        </w:rPr>
        <w:t xml:space="preserve"> o wykreślenie z Projektu wskazanej regulacji.</w:t>
      </w:r>
    </w:p>
    <w:p w:rsidR="00B40C80" w:rsidRPr="00B40C80" w:rsidRDefault="00B40C80" w:rsidP="00B40C80">
      <w:pPr>
        <w:pStyle w:val="NormalnyWeb"/>
        <w:shd w:val="clear" w:color="auto" w:fill="FFFFFF"/>
        <w:spacing w:before="0" w:beforeAutospacing="0" w:after="0" w:afterAutospacing="0" w:line="300" w:lineRule="auto"/>
        <w:jc w:val="both"/>
        <w:textAlignment w:val="baseline"/>
        <w:rPr>
          <w:rFonts w:ascii="Arial Narrow" w:hAnsi="Arial Narrow" w:cs="Open Sans"/>
          <w:b/>
          <w:color w:val="222222"/>
          <w:bdr w:val="none" w:sz="0" w:space="0" w:color="auto" w:frame="1"/>
        </w:rPr>
      </w:pPr>
    </w:p>
    <w:p w:rsidR="00B40C80" w:rsidRPr="00B40C80" w:rsidRDefault="00B40C80" w:rsidP="00B40C80">
      <w:pPr>
        <w:spacing w:after="0" w:line="300" w:lineRule="auto"/>
        <w:rPr>
          <w:rFonts w:ascii="Arial Narrow" w:hAnsi="Arial Narrow" w:cs="Open Sans"/>
          <w:sz w:val="24"/>
          <w:szCs w:val="24"/>
        </w:rPr>
      </w:pPr>
    </w:p>
    <w:p w:rsidR="008D4750" w:rsidRPr="00B40C80" w:rsidRDefault="008D4750" w:rsidP="00B40C80">
      <w:pPr>
        <w:spacing w:after="0" w:line="300" w:lineRule="auto"/>
        <w:rPr>
          <w:rFonts w:ascii="Arial Narrow" w:hAnsi="Arial Narrow"/>
        </w:rPr>
      </w:pPr>
    </w:p>
    <w:sectPr w:rsidR="008D4750" w:rsidRPr="00B40C80" w:rsidSect="003927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Open Sans">
    <w:altName w:val="Tahoma"/>
    <w:charset w:val="EE"/>
    <w:family w:val="swiss"/>
    <w:pitch w:val="variable"/>
    <w:sig w:usb0="E00002EF" w:usb1="4000205B" w:usb2="00000028"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D7CC0"/>
    <w:multiLevelType w:val="hybridMultilevel"/>
    <w:tmpl w:val="EFA4E7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076674"/>
    <w:multiLevelType w:val="hybridMultilevel"/>
    <w:tmpl w:val="80D4B4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B40C80"/>
    <w:rsid w:val="00131C1D"/>
    <w:rsid w:val="00497217"/>
    <w:rsid w:val="008D4750"/>
    <w:rsid w:val="00A259E4"/>
    <w:rsid w:val="00B40C80"/>
    <w:rsid w:val="00E151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40C8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B40C8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rsid w:val="00B40C80"/>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B40C8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B40C80"/>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631</Words>
  <Characters>3789</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KGHM Polska Miedź S.A. COPI</Company>
  <LinksUpToDate>false</LinksUpToDate>
  <CharactersWithSpaces>4412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t.kuydowicz</dc:creator>
  <cp:lastModifiedBy>t.kuydowicz</cp:lastModifiedBy>
  <cp:revision>1</cp:revision>
  <dcterms:created xsi:type="dcterms:W3CDTF">2017-10-09T08:06:00Z</dcterms:created>
  <dcterms:modified xsi:type="dcterms:W3CDTF">2017-10-09T08:20:00Z</dcterms:modified>
</cp:coreProperties>
</file>