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6420"/>
        <w:gridCol w:w="6118"/>
      </w:tblGrid>
      <w:tr w:rsidR="003C71FD" w:rsidRPr="00D87F0D" w:rsidTr="00D7266F">
        <w:tc>
          <w:tcPr>
            <w:tcW w:w="13994" w:type="dxa"/>
            <w:gridSpan w:val="3"/>
            <w:shd w:val="clear" w:color="auto" w:fill="auto"/>
          </w:tcPr>
          <w:p w:rsidR="003C71FD" w:rsidRPr="003C71FD" w:rsidRDefault="003C71FD" w:rsidP="009F4A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ODWRÓCONA TABELA ZBIEŻNOŚCI</w:t>
            </w:r>
            <w:r w:rsidR="00A310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61873" w:rsidRPr="00D87F0D" w:rsidTr="00D7266F">
        <w:tc>
          <w:tcPr>
            <w:tcW w:w="1456" w:type="dxa"/>
            <w:shd w:val="clear" w:color="auto" w:fill="auto"/>
          </w:tcPr>
          <w:p w:rsidR="003C71FD" w:rsidRPr="00D87F0D" w:rsidRDefault="003C71FD" w:rsidP="003C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Jedn. red.</w:t>
            </w:r>
          </w:p>
        </w:tc>
        <w:tc>
          <w:tcPr>
            <w:tcW w:w="6420" w:type="dxa"/>
            <w:shd w:val="clear" w:color="auto" w:fill="auto"/>
          </w:tcPr>
          <w:p w:rsidR="003C71FD" w:rsidRPr="00D87F0D" w:rsidRDefault="003C71FD" w:rsidP="003C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Treść przepisu krajowego</w:t>
            </w:r>
          </w:p>
        </w:tc>
        <w:tc>
          <w:tcPr>
            <w:tcW w:w="6118" w:type="dxa"/>
            <w:shd w:val="clear" w:color="auto" w:fill="auto"/>
          </w:tcPr>
          <w:p w:rsidR="003C71FD" w:rsidRPr="00D87F0D" w:rsidRDefault="003C71FD" w:rsidP="003C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Uzasadnienie wprowadzenia przepisu</w:t>
            </w:r>
          </w:p>
        </w:tc>
      </w:tr>
      <w:tr w:rsidR="00561914" w:rsidRPr="00D87F0D" w:rsidTr="00D7266F">
        <w:tc>
          <w:tcPr>
            <w:tcW w:w="1456" w:type="dxa"/>
            <w:shd w:val="clear" w:color="auto" w:fill="auto"/>
          </w:tcPr>
          <w:p w:rsidR="00561914" w:rsidRDefault="00370956" w:rsidP="003C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Ustawa określa zasady: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przesyłania drogą elektroniczną ustrukturyzowanych faktur elektronicznych oraz innych ustrukturyzowanych dokumentów elektronicznych związanych z realizacją zamówień publicznych oraz umów koncesji na roboty budowlane lub usługi;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funkcjonowania systemu teleinformatycznego służącego do przesyłania ustrukturyzowanych faktur elektronicznych oraz innych ustrukturyzowanych dokumentów elektronicznych, zwanego dalej "platformą".</w:t>
            </w:r>
          </w:p>
          <w:p w:rsidR="00FC70A7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Przepisy niniejszej ustawy nie naruszają przepisów ustawy z dnia 11 marca 2004 r. o podatku od towarów i usług (Dz. U. z 2017 r. poz. 1221 i 2491 oraz z 2018 r. poz. 86 i 650).</w:t>
            </w:r>
          </w:p>
        </w:tc>
        <w:tc>
          <w:tcPr>
            <w:tcW w:w="6118" w:type="dxa"/>
            <w:shd w:val="clear" w:color="auto" w:fill="auto"/>
          </w:tcPr>
          <w:p w:rsidR="00793BCC" w:rsidRPr="00793BCC" w:rsidRDefault="00793BCC" w:rsidP="00793B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Dyrektywa 2014/55/UE określa tylko zasady odnoszące się do ustrukturyzowanych faktur elektronicznych.</w:t>
            </w:r>
          </w:p>
          <w:p w:rsidR="00793BCC" w:rsidRPr="00793BCC" w:rsidRDefault="00793BCC" w:rsidP="00793B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Dla sprawnej realizacji zamówień publicznych niezbędne jest wprowadzenie następujących dodatkowych  instrumentów:</w:t>
            </w:r>
          </w:p>
          <w:p w:rsidR="00793BCC" w:rsidRPr="00793BCC" w:rsidRDefault="00793BCC" w:rsidP="00793B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ustrukturyzowanych dokumentów elektronicznych pozwalających na przeprowadzanie działań logistycznych oraz uzupełniających ustrukturyzowaną fakturę elektroniczną ze względu na specyficzne wymogi polskiego prawa (faktura korygująca),</w:t>
            </w:r>
          </w:p>
          <w:p w:rsidR="00793BCC" w:rsidRPr="00793BCC" w:rsidRDefault="00793BCC" w:rsidP="00793B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8201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platformy</w:t>
            </w:r>
            <w:r w:rsidR="004F42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czy centralnego systemu teleinformatycznego,</w:t>
            </w: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F42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umożliwiającego</w:t>
            </w: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przesyłanie ustrukturyzowanych faktur elektronicznych i wspomnianych powyżej ustrukturyzowanych dokumentów elektronicznych</w:t>
            </w:r>
          </w:p>
          <w:p w:rsidR="00561914" w:rsidRPr="00793BCC" w:rsidRDefault="00793BCC" w:rsidP="00793B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3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Ponadto przepisy zostały ukształtowane tak, że wykonawcy i zamawiający mają możliwość przesyłania  ustrukturyzowanych faktur elektronicznych oraz ustrukturyzowanych dokumentów elektronicznych dotyczących zamówień publicznych poniżej progu 30 000 euro.</w:t>
            </w:r>
          </w:p>
        </w:tc>
      </w:tr>
      <w:tr w:rsidR="00370956" w:rsidRPr="00D87F0D" w:rsidTr="00D7266F">
        <w:tc>
          <w:tcPr>
            <w:tcW w:w="1456" w:type="dxa"/>
            <w:shd w:val="clear" w:color="auto" w:fill="auto"/>
          </w:tcPr>
          <w:p w:rsidR="00370956" w:rsidRDefault="00370956" w:rsidP="003709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2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2.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Ilekroć w ustawie jest mowa o: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normie europejskiej – należy przez to rozumieć normę lub normy europejskie dotyczące fakturowania elektronicznego, do których odniesienia zostały opublikowane w Dzienniku Urzędowym Unii Europejskiej; 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OpenPEPPOL – należy przez to rozumieć stowarzyszenie międzynarodowe z siedzibą w Brukseli, którego podstawowym celem jest zapewnienie europejskim przedsiębiorcom komunikacji elektronicznej z europejskimi podmiotami sektora publicznego w  procesach związanych z udzielaniem i realizacją zamówień publicznych;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innym ustrukturyzowanym dokumencie elektronicznym – należy przez to rozumieć, inny niż ustrukturyzowana faktura elektroniczna, dokument elektroniczny, o którym mowa w art. 3 pkt 2 ustawy z dnia 17 lutego 2005 r. o informatyzacji działalności podmiotów realizujących  zadania publiczne (Dz. U. z 2017 r. poz. 570), związany z realizacją zamówień publicznych, spełniający wymagania umożliwiające przesyłanie go za pośrednictwem platformy;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4) ustrukturyzowanej fakturze elektronicznej – należy przez to rozumieć fakturę elektroniczną, o której mowa w art. 2 pkt 32 ustawy z dnia 11 marca 2004 r. o podatku od towarów i usług , spełniającą wymagania umożliwiające przesyłanie jej za pośrednictwem platformy;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5) wykonawcy – należy przez to rozumieć wykonawcę w rozumieniu art. 2 pkt 11 ustawy z dnia 29 stycznia 2004 r. - Prawo zamówień publicznych (Dz. U. z 2017 r. poz. 1579 i 2018) oraz wykonawcę w rozumieniu art. 2 pkt 10 ustawy z dnia 21 października 2016 r. o umowie koncesji na roboty budowlane lub usługi (Dz. U. poz. 1920);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6) zamawiającym – należy przez to rozumieć zamawiającego w rozumieniu art. 2 pkt 12 ustawy z dnia 29 stycznia 2004 r.-  Prawo zamówień publicznych oraz zamawiającego w rozumieniu art. 2 pkt 11 ustawy z dnia 21 października 2016 r. o umowie koncesji na roboty budowlane lub usługi;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7) zamówieniach publicznych – należy przez to rozumieć: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zamówienia publiczne w rozumieniu art. 1 pkt 12 ustawy z dnia 29 stycznia  2004 r.  - Prawo zamówień publicznych, </w:t>
            </w:r>
          </w:p>
          <w:p w:rsidR="00370956" w:rsidRPr="00370956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umowę koncesji w rozumieniu art. 1 ust. 2 ustawy z dnia 21 października 2016 r. o umowie koncesji na roboty budowlane lub usługi.</w:t>
            </w:r>
          </w:p>
        </w:tc>
        <w:tc>
          <w:tcPr>
            <w:tcW w:w="6118" w:type="dxa"/>
            <w:shd w:val="clear" w:color="auto" w:fill="auto"/>
          </w:tcPr>
          <w:p w:rsidR="00492D55" w:rsidRPr="00492D55" w:rsidRDefault="00492D55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2D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Definicje wprowadzają pojęcie ustrukturyzowanego dokumentu elektronicznego oraz platformy.</w:t>
            </w:r>
          </w:p>
          <w:p w:rsidR="00370956" w:rsidRDefault="00492D55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2D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Obie definicje obejmują instrumenty niezbędne w przekonaniu projektodawcy do zapewnienia sprawnego procesu  wdrożenia przepisów dyrektywy nie tylko polskiego porządku prawnego, lecz również do praktyki działania podmiotów stosujących ustawę Prawo zamówień publicznych.  </w:t>
            </w:r>
          </w:p>
          <w:p w:rsidR="00253276" w:rsidRDefault="00253276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Definicję ustrukturyzowanych dokumentów elektronicznych wprowadza się ze względu na ułatwienie realizacji ścieżki audytowej, przewidzianej w art. 106m ust. 1 ustawy o podatku od towarów i usług jako jedn</w:t>
            </w:r>
            <w:r w:rsidR="00187F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ej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z możliwości zapewnienia </w:t>
            </w:r>
            <w:r w:rsidRPr="002532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autentyczności pochodzenia, integralności treści i czytelności faktury</w:t>
            </w:r>
            <w:r w:rsidR="00187F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 oparciu o udokumentowanie realizacji zamówienia publicznego np. w postaci odpowiadających sobie zamówień i protokołów odbioru dostaw towarów, czy zrealizowanych usług, czy robót budowlanych.</w:t>
            </w:r>
          </w:p>
          <w:p w:rsidR="008F1E74" w:rsidRDefault="008F1E74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Definicja zamówień publicznych jest zgodna z ustawą Prawo zamówień publicznych i dotyczy zarówno zamówień powyżej i poniżej progu 30 000 euro.</w:t>
            </w:r>
          </w:p>
          <w:p w:rsidR="008F1E74" w:rsidRPr="00793BCC" w:rsidRDefault="008F1E74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 definicjach ustawy wprowadzane jest określenie międzynarodowego stowarzyszenia o celach niezarobkowych OpenPEPPOL, gdyż w dalszych przepisach projektu ustawy definiuje się, że minister właściwy do spraw gospodarki jest krajową jednostka nadzorującą w ramach struktur tego stowarzyszenia w Polsce. Członkostwo ministra jest niezbędne w celu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umożliwienia kształtowania zasad funkcjonowania polskich punktów wymiany dokumentów w sieci teleinformatycznej OpenPEPPOL. Przepisy wewnętrzne stowarzyszenia przewidują możliwość funkcjonowania w danym państwie krajowej jednostki nadzorującej, nazywanej w wewnętrznej terminologii stowarzyszenia „władzą krajową”.</w:t>
            </w:r>
          </w:p>
        </w:tc>
      </w:tr>
      <w:tr w:rsidR="00370956" w:rsidRPr="00D76A91" w:rsidTr="00D7266F">
        <w:tc>
          <w:tcPr>
            <w:tcW w:w="1456" w:type="dxa"/>
            <w:shd w:val="clear" w:color="auto" w:fill="auto"/>
          </w:tcPr>
          <w:p w:rsidR="00370956" w:rsidRPr="00370956" w:rsidRDefault="00370956" w:rsidP="00653F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70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Art. 3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Ustawę stosuje się do przesyłania pomiędzy wykonawcami a zamawiającymi i wykorzystywania przez nich ustrukturyzowanych faktur elektronicznych oraz innych ustrukturyzowanych dokumentów elektronicznych, związanych z realizacją zamówień publicznych oraz umów koncesji na roboty budowlane lub usługi. 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Przepisów ustawy nie stosuje się do: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a) zamówień publicznych, o których mowa w art. 4b ustawy z dnia 29 stycznia 2004 r.  - Prawo zamówień publicznych,</w:t>
            </w:r>
          </w:p>
          <w:p w:rsidR="00370956" w:rsidRPr="00370956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b) umów koncesji, o których mowa w art. 5 ust. 1 pkt 2 ustawy o umowie koncesji na roboty budowalne lub usługi.</w:t>
            </w:r>
          </w:p>
        </w:tc>
        <w:tc>
          <w:tcPr>
            <w:tcW w:w="6118" w:type="dxa"/>
            <w:shd w:val="clear" w:color="auto" w:fill="auto"/>
          </w:tcPr>
          <w:p w:rsidR="00370956" w:rsidRDefault="008F1E74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 przepisach art. 3 projektu ustawy przewidziano stosowanie przepisów ustawy nie tylko do przesyłania ustrukturyzowanych faktur elektronicznych, o czym mówi dyrektywa 2014/55/UE, lecz także ustrukturyzowanych dokumentów elektronicznych </w:t>
            </w:r>
            <w:r w:rsidR="002532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ułatwiających realizację i dokumentowanie zamówienia publicznego.</w:t>
            </w:r>
          </w:p>
          <w:p w:rsidR="00253276" w:rsidRDefault="00253276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Zgodnie z definicją platformy, wprowadzoną w art. 2 projektu ustawy, przepisy stosuje się do przesyłania za jej pośrednictwem ustrukturyzowanych faktur elektronicznych i ustrukturyzowa</w:t>
            </w:r>
            <w:r w:rsidR="002842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nych dokumentów elektronicznych.</w:t>
            </w:r>
          </w:p>
          <w:p w:rsidR="00284230" w:rsidRPr="00653F86" w:rsidRDefault="00284230" w:rsidP="002842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726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 art.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D726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wskazano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ponadto</w:t>
            </w:r>
            <w:r w:rsidRPr="00D726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 jakim zakresie nie stosuje się projektowanej ustawy w odniesieniu do ustawy Prawo zamówień publicznych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370956" w:rsidRPr="00667577" w:rsidTr="00D7266F">
        <w:tc>
          <w:tcPr>
            <w:tcW w:w="1456" w:type="dxa"/>
            <w:shd w:val="clear" w:color="auto" w:fill="auto"/>
          </w:tcPr>
          <w:p w:rsidR="00370956" w:rsidRPr="00FE46A8" w:rsidRDefault="00370956" w:rsidP="00FA1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Art. </w:t>
            </w:r>
            <w:r w:rsidR="00FA1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Zamawiający jest obowiązany odebrać od wykonawcy ustrukturyzowaną fakturę elektroniczną przesłaną za pośrednictwem platformy. 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może wysłać ustrukturyzowaną fakturę elektroniczną do zamawiającego za pośrednictwem platformy.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przypadku zamówień publicznych, do których nie stosuje się ustawy z 29 stycznia 2004 r. - Prawo zamówień publicznych albo umów koncesji na roboty budowlane lub usługi, do których nie stosuje się ustawy z dnia 21 października 2016 r. o umowie koncesji na roboty budowlane lub usługi, zamawiający może, w dokumentacji postępowania w sprawie udzielenia zamówienia albo postępowania w sprawie zawarcia umowy koncesji,  wyłączyć stosowanie ustrukturyzowanych faktur elektronicznych.</w:t>
            </w:r>
          </w:p>
          <w:p w:rsidR="00370956" w:rsidRPr="00370956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4. Zamawiający i wykonawca mogą  wysyłać i odbierać inne ustrukturyzowane dokumenty elektroniczne za pośrednictwem platformy, jeżeli wyrażą na to zgodę albo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do postepowania o udzielenie zamówienia ma zastosowanie art. 10a ust. 1 ustawy z dnia 29 stycznia 2004 r. - Prawo zamówień publicznych.</w:t>
            </w:r>
          </w:p>
        </w:tc>
        <w:tc>
          <w:tcPr>
            <w:tcW w:w="6118" w:type="dxa"/>
            <w:shd w:val="clear" w:color="auto" w:fill="auto"/>
          </w:tcPr>
          <w:p w:rsidR="00890BB0" w:rsidRPr="00890BB0" w:rsidRDefault="00890BB0" w:rsidP="00890B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B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Art. 4 wdraża przepisy art. 7 dyrektywy 2014/55/UE do polskiego porządku prawnego i mówi o obowiązku zamawiających do przyjmowania ustrukturyzowanych faktur elektronicznych oraz o prawie wykonawców do przekazywania wspomnianych e-faktur do zamawiających oraz wskazuje w jakim przypadku zamawiający może w dokumentacji postępowania w sprawie udzielenia zamówienia albo postępowania w sprawie zawarcia umowy koncesji odmówić zaakceptowania zastosowania ustrukturyzowanej faktury elektronicznej (możliwość odmówienia zgody na e-fakturę dotyczy tylko zamówień do których nie stosuje się Prawa zamówień publicznych oraz ustawę o umowie koncesji na roboty budowlane lub usług. Należy to odróżnić od wyłączenia zamówień z art. 3 ust. 2 z zakresu przedmiotowego ustawy.).</w:t>
            </w:r>
          </w:p>
          <w:p w:rsidR="00D7266F" w:rsidRDefault="00890BB0" w:rsidP="00890B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B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Ponadto art. 4 mówi o możliwości wzajemnego przesyłania pomiędzy wykonawcą a zamawiającym ustrukturyzowanych dokumentów elektronicznych </w:t>
            </w:r>
            <w:r w:rsidRPr="00890B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związanych z realizacją umowy zawartej w sprawie zamówienia publicznego.</w:t>
            </w:r>
          </w:p>
          <w:p w:rsidR="003C2912" w:rsidRPr="00653F86" w:rsidRDefault="003C2912" w:rsidP="003C291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A16A6" w:rsidRPr="00667577" w:rsidTr="00D7266F">
        <w:tc>
          <w:tcPr>
            <w:tcW w:w="1456" w:type="dxa"/>
            <w:shd w:val="clear" w:color="auto" w:fill="auto"/>
          </w:tcPr>
          <w:p w:rsidR="00FA16A6" w:rsidRPr="00FE46A8" w:rsidRDefault="00FA16A6" w:rsidP="00FA1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Art. 5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Ustrukturyzowana faktura elektroniczna zawiera elementy, o których mowa w art. 106e i art. 106f ustawy z dnia 11 marca 2004 r. o podatku od towarów i usług oraz: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informacje dotyczące: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a) odbiorcy płatności,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b)  poszczególnych pozycji faktury;</w:t>
            </w:r>
          </w:p>
          <w:p w:rsidR="00FA16A6" w:rsidRPr="00FA16A6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wskazanie umowy o udzielenie zamówienia publicznego.</w:t>
            </w:r>
          </w:p>
        </w:tc>
        <w:tc>
          <w:tcPr>
            <w:tcW w:w="6118" w:type="dxa"/>
            <w:shd w:val="clear" w:color="auto" w:fill="auto"/>
          </w:tcPr>
          <w:p w:rsidR="00FA16A6" w:rsidRPr="00FA16A6" w:rsidRDefault="00FA16A6" w:rsidP="00FA1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A16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Art. 5 wskazuje jakie elementy musi zawierać ustrukturyzowana faktura elektroniczna</w:t>
            </w:r>
            <w:r w:rsidR="00890B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129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stosunku do faktury VAT, o której mowa w przepisach ustawy o podatku od towarów i usług</w:t>
            </w:r>
            <w:r w:rsidRPr="00FA16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FA16A6" w:rsidRPr="00653F86" w:rsidRDefault="00FA16A6" w:rsidP="00D726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266F" w:rsidRPr="00667577" w:rsidTr="00D7266F">
        <w:tc>
          <w:tcPr>
            <w:tcW w:w="1456" w:type="dxa"/>
            <w:shd w:val="clear" w:color="auto" w:fill="auto"/>
          </w:tcPr>
          <w:p w:rsidR="00D7266F" w:rsidRPr="00FE46A8" w:rsidRDefault="00D7266F" w:rsidP="00FA1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0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FA1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Minister właściwy do spraw gospodarki zapewnia funkcjonowanie platformy.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Platforma umożliwia przesyłanie ustrukturyzowanych faktur elektronicznych oraz innych ustrukturyzowanych dokumentów elektronicznych, także przy wykorzystaniu  systemu teleinformatycznego obsługiwanego przez OpenPEPPOL.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Zamawiający jest obowiązany do posiadania konta na platformie. 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Wykonawca wysyła ustrukturyzowane faktury elektroniczne oraz inne ustrukturyzowane dokumenty elektroniczne wykorzystując własne konto na platformie, chyba że upoważnił do wysłania inną osobę.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Korzystanie z platformy jest bezpłatne.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Uwierzytelnienie użytkownika platformy następuje w sposób określony w art. 20a ust. 1 albo ust. 2 ustawy z dnia 17 lutego 2005 r. o informatyzacji działalności podmiotów realizujących zadania publiczne.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8. Minister właściwy do spraw gospodarki zamieszcza na platformie dokumentację o warunkach organizacyjno-technicznych udostępniania i korzystania z platformy, zawierającą w szczególności: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szczegółowy tryb i sposób funkcjonowania oraz korzystania z platformy;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listę ustrukturyzowanych dokumentów elektronicznych, które mogą być przesyłane za pośrednictwem platformy;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dokumentację dotyczącą ustrukturyzowanej faktury elektronicznej i innych ustrukturyzowanych dokumentów elektronicznych, z uwzględnieniem przepisów prawa Unii Europejskiej;</w:t>
            </w:r>
          </w:p>
          <w:p w:rsidR="00D7266F" w:rsidRPr="00370956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wymagania techniczne i organizacyjne konta służącego do przesyłania ustrukturyzowanych faktur elektronicznych oraz innych ustrukturyzowanych dokumentów elektronicznych.</w:t>
            </w:r>
          </w:p>
        </w:tc>
        <w:tc>
          <w:tcPr>
            <w:tcW w:w="6118" w:type="dxa"/>
            <w:shd w:val="clear" w:color="auto" w:fill="auto"/>
          </w:tcPr>
          <w:p w:rsidR="00D7266F" w:rsidRDefault="00D7266F" w:rsidP="00D726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Art. </w:t>
            </w:r>
            <w:r w:rsidR="00FA16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mówi o zapewnieniu funkcjonowania platformy przez ministra właściwego do spraw gospodarki – w szczególności chodzi tu o zapewnienie środków finansowych na pokrycie kosztów finansowania platformy.</w:t>
            </w:r>
          </w:p>
          <w:p w:rsidR="00D7266F" w:rsidRDefault="00D7266F" w:rsidP="00D726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Wprowadzenie platformy jest nadregulacją w stosunku do przepisów Dyrektywy 2014/55/UE precyzującą w jaki sposób pomiędzy wykonawcami i zmawiającymi maja być przesyłane ustrukturyzowane faktury elektroniczne i ustrukturyzowane dokumenty elektroniczne.</w:t>
            </w:r>
          </w:p>
          <w:p w:rsidR="00D7266F" w:rsidRDefault="00D7266F" w:rsidP="00D726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artykule tym mówi się także o konieczności posiadania konta przez zamawiających i wykonawców do przesyłania ustrukturyzowanych faktur elektronicznych oraz ustrukturyzowanych dokumentów elektronicznych. Definicja konta zostanie zawarta w przepisach wykonawczych do ustawy.</w:t>
            </w:r>
          </w:p>
          <w:p w:rsidR="00D7266F" w:rsidRDefault="00D7266F" w:rsidP="00D726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Zasady funkcjonowania platformy oraz lista ustrukturyzowanych dokumentów elektronicznych zostanie </w:t>
            </w:r>
            <w:r w:rsidR="000402E5"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zamieszczona na platformie wraz </w:t>
            </w:r>
            <w:r w:rsid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 </w:t>
            </w:r>
            <w:r w:rsidR="000402E5"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dokumentacją o warunkach organizacyjno-technicznych udostępniania i korzystania z platformy,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przez ministra właściwego do spraw gospodarki.</w:t>
            </w:r>
          </w:p>
          <w:p w:rsidR="00D7266F" w:rsidRDefault="00D7266F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7266F" w:rsidRPr="00653F86" w:rsidRDefault="00D7266F" w:rsidP="008F1E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D553F" w:rsidRPr="00594000" w:rsidTr="00D7266F">
        <w:tc>
          <w:tcPr>
            <w:tcW w:w="1456" w:type="dxa"/>
            <w:shd w:val="clear" w:color="auto" w:fill="auto"/>
          </w:tcPr>
          <w:p w:rsidR="008D553F" w:rsidRPr="00370956" w:rsidRDefault="008D553F" w:rsidP="00FA1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Art. 7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Minister właściwy do spraw gospodarki jest członkiem OpenPEPPOL oraz  jest krajową jednostką zarządzającą w ramach OpenPEPPOL, która nadzoruje wykonywanie usług z wykorzystaniem systemu teleinformatycznego OpenPEPPOL w Polsce.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Minister właściwy do spraw gospodarki może, w drodze porozumienia, powierzyć instytutowi działającemu w ramach Sieci Badawczej: Łukasiewicz, o której mowa w ustawie z dnia ………2018 r. ustawy o Sieci Badawczej: Łukasiewicz (Dz. U. z 2018 r. poz.….), </w:t>
            </w:r>
            <w:r w:rsidRPr="00403153" w:rsidDel="00146A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realizację niektórych zadań wynikających pełnienia na terytorium Rzeczypospolitej Polskiej roli krajowej jednostki zarządzającej w ramach  OpenPEPPOL, mając na uwadze zakres działalności tego instytutu i zapewnienie efektywnego fakturowania elektronicznego w zamówieniach publicznych. </w:t>
            </w:r>
          </w:p>
          <w:p w:rsidR="008D553F" w:rsidRPr="00FC70A7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Instytut, o którym mowa w ust. 2, przed przystąpieniem do wykonywania powierzonych zadań, przystąpi do OpenPEPPOL.</w:t>
            </w:r>
          </w:p>
        </w:tc>
        <w:tc>
          <w:tcPr>
            <w:tcW w:w="6118" w:type="dxa"/>
            <w:shd w:val="clear" w:color="auto" w:fill="auto"/>
          </w:tcPr>
          <w:p w:rsidR="008D553F" w:rsidRPr="000402E5" w:rsidRDefault="008D553F" w:rsidP="009474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 art.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wprowadzono możliwość przesyłania danych dotyczących wykonawców i zamawiających do międzynarodowego stowarzyszenia OpenPEPPOL w celu umożliwienia przekazywania ustrukturyzowanych faktur elektronicznych i ustrukturyzowanych dokumentów elektronicznych przez podmioty umiejscowione na terenie Europejskiego Obszaru Gospodarczego za pośrednictwem punktów wymiany dokumentów w sieci teleinformatycznej OpenPEPPOL.</w:t>
            </w:r>
          </w:p>
          <w:p w:rsidR="008D553F" w:rsidRPr="000402E5" w:rsidRDefault="008D553F" w:rsidP="009474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Ze względu na powierzenie w projekcie Programu Operacyjnego Polska Cyfrowa świadczenia usług punktów wymiany dokumentów wykonawcom wybranym w postepowaniu o udzielenie zamówienia publicznego niezbędne jest zobowiązanie ich do uzyskania członkostwa w stowarzyszeniu OpenPEPPOL.</w:t>
            </w:r>
          </w:p>
          <w:p w:rsidR="008D553F" w:rsidRPr="00653F86" w:rsidRDefault="008D553F" w:rsidP="008D55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Przepisy art.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przewidują ponadto możliwość powierzenia realizacji niektórych zadań krajowej jednostki nadzorującej w ramach polskich struktur stowarzyszenia OpenPEPPOL wybranemu instytutowi należącemu do Sieci Badawczej Łukasiewicz, o czym także nie wspomina dyrektywa 2014/55/UE.</w:t>
            </w:r>
          </w:p>
        </w:tc>
      </w:tr>
      <w:tr w:rsidR="008D553F" w:rsidRPr="00594000" w:rsidTr="00D7266F">
        <w:tc>
          <w:tcPr>
            <w:tcW w:w="1456" w:type="dxa"/>
            <w:shd w:val="clear" w:color="auto" w:fill="auto"/>
          </w:tcPr>
          <w:p w:rsidR="008D553F" w:rsidRPr="00370956" w:rsidRDefault="008D553F" w:rsidP="00FA16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Art. 8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Minister właściwy do spraw gospodarki jest administratorem przetwarzanych na platformie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L. 119 z 4.05.2016 str. 1).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 Dane osobowe zgromadzone na platformie mogą być przetwarzane: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 w celu zapewnienia sprawności i rzetelności elektronicznego fakturowania, lub w celach z nim zgodnych;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w zakresie, w jakim przetwarzanie jest konieczne do realizacji celów, o których mowa w art. 23 ust. 1 rozporządzenia Parlamentu Europejskiego i Rady (UE) 2016/679, w zakresie i trybie określonym przepisami odrębnymi.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 przetwarzania danych osobowych zgromadzonych na platformie nie stosuje się art. 12-22 i art. 34 rozporządzenia Parlamentu Europejskiego i Rady (UE) 2016/579. 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Minister właściwy do spraw gospodarki przekazuje OpenPEPPOL dane zamawiających i wykonawców posiadających konta na platformie, zgodnie z wymaganiami OpenPEPPOL </w:t>
            </w:r>
          </w:p>
          <w:p w:rsidR="008D553F" w:rsidRPr="00FC70A7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 platformie są przechowywane ustrukturyzowane faktury elektroniczne oraz ustrukturyzowane dokumenty elektroniczne, a także dane związane z ich przesyłaniem, przez okres 5 lat, licząc od końca roku kalendarzowego w którym zostały wprowadzone do systemu teleinformatycznego.</w:t>
            </w:r>
          </w:p>
        </w:tc>
        <w:tc>
          <w:tcPr>
            <w:tcW w:w="6118" w:type="dxa"/>
            <w:shd w:val="clear" w:color="auto" w:fill="auto"/>
          </w:tcPr>
          <w:p w:rsidR="008D553F" w:rsidRPr="00653F86" w:rsidRDefault="008D553F" w:rsidP="000402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02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Art. 8 dotyczy przetwarzania i przechowywanych danych osobowych na platformie precyzując okres i sposób przechowywania tych danych oraz reguluje przekazywanie danych do międzynarodowego stowarzyszenia OpenPEPPOL ze względu na konieczność zapewniania możliwości przesyłania ustrukturyzowanych faktur elektronicznych i ustrukturyzowanych dokumentów elektronicznych pomiędzy podmiotami zlokalizowanymi w Polsce oraz w innych krajach Europejskiego Obszaru Gospodarczego.</w:t>
            </w:r>
          </w:p>
        </w:tc>
      </w:tr>
      <w:tr w:rsidR="00D129B2" w:rsidRPr="00594000" w:rsidTr="00D7266F">
        <w:tc>
          <w:tcPr>
            <w:tcW w:w="1456" w:type="dxa"/>
            <w:shd w:val="clear" w:color="auto" w:fill="auto"/>
          </w:tcPr>
          <w:p w:rsidR="00D129B2" w:rsidRDefault="00D129B2" w:rsidP="003E6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Art. </w:t>
            </w:r>
            <w:r w:rsidR="003E6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9</w:t>
            </w:r>
          </w:p>
        </w:tc>
        <w:tc>
          <w:tcPr>
            <w:tcW w:w="6420" w:type="dxa"/>
            <w:shd w:val="clear" w:color="auto" w:fill="auto"/>
          </w:tcPr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W latach 2018–2027 maksymalny limit wydatków z budżetu państwa </w:t>
            </w: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przeznaczonych na wykonywanie zadań wynikających z niniejszej ustawy wynosi 196 750 000 zł, w tym w poszczególnych latach wynosi w</w:t>
            </w:r>
            <w:r w:rsidRPr="0040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 2018 r. – 96 290 000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2019 r. – 13 260 000 zł;</w:t>
            </w:r>
            <w:bookmarkStart w:id="0" w:name="_GoBack"/>
            <w:bookmarkEnd w:id="0"/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2020 r. – 10 900 000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4) 2021 r. – 10 900 000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2022 r. – 10 900 000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6) 2023 r. – 10 900 000 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7) 2024 r. – 10 900 000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8) 2025 r. – 10 900 000 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 2026 r. – 10 900 000 zł;</w:t>
            </w:r>
          </w:p>
          <w:p w:rsidR="00403153" w:rsidRPr="00403153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2027 r. – 10 900 000 zł.</w:t>
            </w:r>
          </w:p>
          <w:p w:rsidR="00D129B2" w:rsidRPr="00D129B2" w:rsidRDefault="00403153" w:rsidP="004031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W przypadku przekroczenia lub zagrożenia przekroczenia limitu wydatków, o którym mowa w ust. 1, na dany rok budżetowy, stosuje się mechanizm korygujący polegający na ograniczeniu kosztów rzeczowych ministra właściwego do spraw gospodarki związanych z realizacją zadań wynikających z ustawy.</w:t>
            </w:r>
          </w:p>
        </w:tc>
        <w:tc>
          <w:tcPr>
            <w:tcW w:w="6118" w:type="dxa"/>
            <w:shd w:val="clear" w:color="auto" w:fill="auto"/>
          </w:tcPr>
          <w:p w:rsidR="006B1974" w:rsidRDefault="006B1974" w:rsidP="000402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19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W art. </w:t>
            </w:r>
            <w:r w:rsidR="003E6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Pr="006B19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określony został maksymalny limit wydatków z budżetu państwa </w:t>
            </w:r>
            <w:r w:rsidRPr="006B19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przeznaczonych na wykonywanie zadań wynikających z niniejszej ustawy.</w:t>
            </w:r>
          </w:p>
          <w:p w:rsidR="00D129B2" w:rsidRPr="006B1974" w:rsidRDefault="00D129B2" w:rsidP="006B1974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9B2" w:rsidRPr="00594000" w:rsidTr="00D7266F">
        <w:tc>
          <w:tcPr>
            <w:tcW w:w="1456" w:type="dxa"/>
            <w:shd w:val="clear" w:color="auto" w:fill="auto"/>
          </w:tcPr>
          <w:p w:rsidR="00D129B2" w:rsidRDefault="00D129B2" w:rsidP="003E6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Art. 1</w:t>
            </w:r>
            <w:r w:rsidR="003E6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0</w:t>
            </w:r>
          </w:p>
        </w:tc>
        <w:tc>
          <w:tcPr>
            <w:tcW w:w="6420" w:type="dxa"/>
            <w:shd w:val="clear" w:color="auto" w:fill="auto"/>
          </w:tcPr>
          <w:p w:rsidR="00D129B2" w:rsidRPr="00D129B2" w:rsidRDefault="00403153" w:rsidP="00D129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031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Zamawiający obowiązany jest założyć konto, o którym mowa w art. 6 ust. 3, przed upływem pierwszego określonego w umowie w sprawie zamówienia publicznego terminu zapłaty wynagrodzenia należnego wykonawcy, który upływa po dniu 17 kwietnia 2019 r.</w:t>
            </w:r>
          </w:p>
        </w:tc>
        <w:tc>
          <w:tcPr>
            <w:tcW w:w="6118" w:type="dxa"/>
            <w:shd w:val="clear" w:color="auto" w:fill="auto"/>
          </w:tcPr>
          <w:p w:rsidR="003E6D2D" w:rsidRPr="003E6D2D" w:rsidRDefault="006B1974" w:rsidP="003E6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Przepisy art. 1</w:t>
            </w:r>
            <w:r w:rsidR="003E6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określają wymóg posiadania konta na platformie przez Zamawiającego</w:t>
            </w:r>
            <w:r w:rsidR="003E6D2D" w:rsidRPr="003E6D2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przed upływem terminu zapłaty wynagrodzenia należnego wykonawcy</w:t>
            </w:r>
            <w:r w:rsidR="003E6D2D" w:rsidRPr="003E6D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D129B2" w:rsidRPr="000402E5" w:rsidRDefault="00D129B2" w:rsidP="003E6D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E4A02" w:rsidRPr="00594000" w:rsidRDefault="00BE4A02" w:rsidP="00653F86">
      <w:pPr>
        <w:jc w:val="both"/>
      </w:pPr>
    </w:p>
    <w:sectPr w:rsidR="00BE4A02" w:rsidRPr="00594000" w:rsidSect="003C71F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B3" w:rsidRDefault="004C20B3" w:rsidP="003C71FD">
      <w:pPr>
        <w:spacing w:after="0" w:line="240" w:lineRule="auto"/>
      </w:pPr>
      <w:r>
        <w:separator/>
      </w:r>
    </w:p>
  </w:endnote>
  <w:endnote w:type="continuationSeparator" w:id="0">
    <w:p w:rsidR="004C20B3" w:rsidRDefault="004C20B3" w:rsidP="003C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92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FC2" w:rsidRPr="00C0226B" w:rsidRDefault="00BD562B">
        <w:pPr>
          <w:pStyle w:val="Stopka"/>
          <w:jc w:val="right"/>
          <w:rPr>
            <w:rFonts w:ascii="Times New Roman" w:hAnsi="Times New Roman" w:cs="Times New Roman"/>
          </w:rPr>
        </w:pPr>
        <w:r w:rsidRPr="00C0226B">
          <w:rPr>
            <w:rFonts w:ascii="Times New Roman" w:hAnsi="Times New Roman" w:cs="Times New Roman"/>
          </w:rPr>
          <w:fldChar w:fldCharType="begin"/>
        </w:r>
        <w:r w:rsidR="00C50FC2" w:rsidRPr="00C0226B">
          <w:rPr>
            <w:rFonts w:ascii="Times New Roman" w:hAnsi="Times New Roman" w:cs="Times New Roman"/>
          </w:rPr>
          <w:instrText>PAGE   \* MERGEFORMAT</w:instrText>
        </w:r>
        <w:r w:rsidRPr="00C0226B">
          <w:rPr>
            <w:rFonts w:ascii="Times New Roman" w:hAnsi="Times New Roman" w:cs="Times New Roman"/>
          </w:rPr>
          <w:fldChar w:fldCharType="separate"/>
        </w:r>
        <w:r w:rsidR="00403153">
          <w:rPr>
            <w:rFonts w:ascii="Times New Roman" w:hAnsi="Times New Roman" w:cs="Times New Roman"/>
            <w:noProof/>
          </w:rPr>
          <w:t>5</w:t>
        </w:r>
        <w:r w:rsidRPr="00C0226B">
          <w:rPr>
            <w:rFonts w:ascii="Times New Roman" w:hAnsi="Times New Roman" w:cs="Times New Roman"/>
          </w:rPr>
          <w:fldChar w:fldCharType="end"/>
        </w:r>
      </w:p>
    </w:sdtContent>
  </w:sdt>
  <w:p w:rsidR="00C50FC2" w:rsidRDefault="00C50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B3" w:rsidRDefault="004C20B3" w:rsidP="003C71FD">
      <w:pPr>
        <w:spacing w:after="0" w:line="240" w:lineRule="auto"/>
      </w:pPr>
      <w:r>
        <w:separator/>
      </w:r>
    </w:p>
  </w:footnote>
  <w:footnote w:type="continuationSeparator" w:id="0">
    <w:p w:rsidR="004C20B3" w:rsidRDefault="004C20B3" w:rsidP="003C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B"/>
    <w:multiLevelType w:val="hybridMultilevel"/>
    <w:tmpl w:val="C29A1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FD"/>
    <w:rsid w:val="00000B93"/>
    <w:rsid w:val="00012F85"/>
    <w:rsid w:val="000149D0"/>
    <w:rsid w:val="00033DE0"/>
    <w:rsid w:val="000402E5"/>
    <w:rsid w:val="00086314"/>
    <w:rsid w:val="000D0B9A"/>
    <w:rsid w:val="000E1CDD"/>
    <w:rsid w:val="001070B6"/>
    <w:rsid w:val="00136C9F"/>
    <w:rsid w:val="00176640"/>
    <w:rsid w:val="00187F41"/>
    <w:rsid w:val="001A3D86"/>
    <w:rsid w:val="001A5D0B"/>
    <w:rsid w:val="001C0363"/>
    <w:rsid w:val="001F5D58"/>
    <w:rsid w:val="00205279"/>
    <w:rsid w:val="00215FF3"/>
    <w:rsid w:val="00232C1B"/>
    <w:rsid w:val="00253276"/>
    <w:rsid w:val="00261873"/>
    <w:rsid w:val="002729BB"/>
    <w:rsid w:val="002742FD"/>
    <w:rsid w:val="00284230"/>
    <w:rsid w:val="002A10C0"/>
    <w:rsid w:val="002A5301"/>
    <w:rsid w:val="002E1E1E"/>
    <w:rsid w:val="00346828"/>
    <w:rsid w:val="0035283F"/>
    <w:rsid w:val="00354641"/>
    <w:rsid w:val="00370956"/>
    <w:rsid w:val="00381AA5"/>
    <w:rsid w:val="003B4243"/>
    <w:rsid w:val="003B5232"/>
    <w:rsid w:val="003C2912"/>
    <w:rsid w:val="003C3212"/>
    <w:rsid w:val="003C71FD"/>
    <w:rsid w:val="003E6D2D"/>
    <w:rsid w:val="00403153"/>
    <w:rsid w:val="00427669"/>
    <w:rsid w:val="004306E5"/>
    <w:rsid w:val="00431712"/>
    <w:rsid w:val="00444102"/>
    <w:rsid w:val="00471BEC"/>
    <w:rsid w:val="00477632"/>
    <w:rsid w:val="00492D55"/>
    <w:rsid w:val="004938CF"/>
    <w:rsid w:val="004A3448"/>
    <w:rsid w:val="004A5926"/>
    <w:rsid w:val="004C20B3"/>
    <w:rsid w:val="004D5C56"/>
    <w:rsid w:val="004E624A"/>
    <w:rsid w:val="004F423B"/>
    <w:rsid w:val="00561914"/>
    <w:rsid w:val="005629CB"/>
    <w:rsid w:val="00565D33"/>
    <w:rsid w:val="005675C9"/>
    <w:rsid w:val="00576C1F"/>
    <w:rsid w:val="00594000"/>
    <w:rsid w:val="005D7C27"/>
    <w:rsid w:val="005E2597"/>
    <w:rsid w:val="005E3BB1"/>
    <w:rsid w:val="005E3E41"/>
    <w:rsid w:val="006017BA"/>
    <w:rsid w:val="0061440A"/>
    <w:rsid w:val="00621A4A"/>
    <w:rsid w:val="006368B1"/>
    <w:rsid w:val="00653F86"/>
    <w:rsid w:val="0066116E"/>
    <w:rsid w:val="00667577"/>
    <w:rsid w:val="00685778"/>
    <w:rsid w:val="006907AD"/>
    <w:rsid w:val="006A7A03"/>
    <w:rsid w:val="006A7D48"/>
    <w:rsid w:val="006B1974"/>
    <w:rsid w:val="006B2D41"/>
    <w:rsid w:val="006C3AAE"/>
    <w:rsid w:val="006C7F3A"/>
    <w:rsid w:val="006E155A"/>
    <w:rsid w:val="0070484F"/>
    <w:rsid w:val="0073479E"/>
    <w:rsid w:val="00793BCC"/>
    <w:rsid w:val="007A7173"/>
    <w:rsid w:val="007D201D"/>
    <w:rsid w:val="007D23C4"/>
    <w:rsid w:val="007E48C9"/>
    <w:rsid w:val="007E5577"/>
    <w:rsid w:val="007F0BE7"/>
    <w:rsid w:val="007F40D0"/>
    <w:rsid w:val="007F5221"/>
    <w:rsid w:val="008047A5"/>
    <w:rsid w:val="008178D3"/>
    <w:rsid w:val="008201FF"/>
    <w:rsid w:val="00832466"/>
    <w:rsid w:val="008439A6"/>
    <w:rsid w:val="008744D9"/>
    <w:rsid w:val="00886B12"/>
    <w:rsid w:val="00890BB0"/>
    <w:rsid w:val="008914B8"/>
    <w:rsid w:val="008C1F49"/>
    <w:rsid w:val="008D553F"/>
    <w:rsid w:val="008F1E74"/>
    <w:rsid w:val="009112BA"/>
    <w:rsid w:val="00925C17"/>
    <w:rsid w:val="00927322"/>
    <w:rsid w:val="009625F5"/>
    <w:rsid w:val="00964234"/>
    <w:rsid w:val="00984473"/>
    <w:rsid w:val="00987CC6"/>
    <w:rsid w:val="00997A14"/>
    <w:rsid w:val="009C3517"/>
    <w:rsid w:val="009C3F39"/>
    <w:rsid w:val="009C6B29"/>
    <w:rsid w:val="009D5BAA"/>
    <w:rsid w:val="009F4AD8"/>
    <w:rsid w:val="009F76F8"/>
    <w:rsid w:val="00A02ECC"/>
    <w:rsid w:val="00A27A6B"/>
    <w:rsid w:val="00A310EC"/>
    <w:rsid w:val="00A405B3"/>
    <w:rsid w:val="00A55B8D"/>
    <w:rsid w:val="00A64B00"/>
    <w:rsid w:val="00A943B4"/>
    <w:rsid w:val="00A9571B"/>
    <w:rsid w:val="00AC19E2"/>
    <w:rsid w:val="00AC47A5"/>
    <w:rsid w:val="00B25ADC"/>
    <w:rsid w:val="00B31E17"/>
    <w:rsid w:val="00B32357"/>
    <w:rsid w:val="00B550AE"/>
    <w:rsid w:val="00B82903"/>
    <w:rsid w:val="00B970A0"/>
    <w:rsid w:val="00BC6129"/>
    <w:rsid w:val="00BC7D47"/>
    <w:rsid w:val="00BD562B"/>
    <w:rsid w:val="00BE4A02"/>
    <w:rsid w:val="00BE6BD9"/>
    <w:rsid w:val="00C0226B"/>
    <w:rsid w:val="00C07561"/>
    <w:rsid w:val="00C146FB"/>
    <w:rsid w:val="00C23FA4"/>
    <w:rsid w:val="00C50FC2"/>
    <w:rsid w:val="00CB233A"/>
    <w:rsid w:val="00CB5029"/>
    <w:rsid w:val="00CC0DF5"/>
    <w:rsid w:val="00CD0207"/>
    <w:rsid w:val="00D06862"/>
    <w:rsid w:val="00D129B2"/>
    <w:rsid w:val="00D1734B"/>
    <w:rsid w:val="00D20BCD"/>
    <w:rsid w:val="00D455E4"/>
    <w:rsid w:val="00D706F4"/>
    <w:rsid w:val="00D7266F"/>
    <w:rsid w:val="00D76A91"/>
    <w:rsid w:val="00D81AB9"/>
    <w:rsid w:val="00D905E0"/>
    <w:rsid w:val="00DA1D01"/>
    <w:rsid w:val="00DA7F96"/>
    <w:rsid w:val="00DE3F8F"/>
    <w:rsid w:val="00DF1620"/>
    <w:rsid w:val="00E17DAA"/>
    <w:rsid w:val="00E21A4B"/>
    <w:rsid w:val="00E273F9"/>
    <w:rsid w:val="00E448B4"/>
    <w:rsid w:val="00E8599D"/>
    <w:rsid w:val="00EA1504"/>
    <w:rsid w:val="00EE0501"/>
    <w:rsid w:val="00EE7C2E"/>
    <w:rsid w:val="00F04767"/>
    <w:rsid w:val="00F075EE"/>
    <w:rsid w:val="00F34389"/>
    <w:rsid w:val="00F428D0"/>
    <w:rsid w:val="00F63632"/>
    <w:rsid w:val="00F6688C"/>
    <w:rsid w:val="00FA16A6"/>
    <w:rsid w:val="00FC70A7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1FD"/>
    <w:pPr>
      <w:spacing w:before="0"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FD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71F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1F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7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FD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6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6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34"/>
    <w:rPr>
      <w:rFonts w:asciiTheme="minorHAnsi" w:eastAsiaTheme="minorEastAsia" w:hAnsiTheme="minorHAnsi" w:cstheme="minorBidi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112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punkt">
    <w:name w:val="PKT – punkt"/>
    <w:uiPriority w:val="13"/>
    <w:qFormat/>
    <w:rsid w:val="009112BA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12BA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9112BA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284230"/>
    <w:pPr>
      <w:spacing w:before="0" w:after="0"/>
      <w:ind w:left="284" w:hanging="284"/>
      <w:jc w:val="both"/>
    </w:pPr>
    <w:rPr>
      <w:rFonts w:eastAsia="Times New Roman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129B2"/>
    <w:pPr>
      <w:ind w:left="1020"/>
    </w:pPr>
    <w:rPr>
      <w:rFonts w:eastAsiaTheme="minorEastAsi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129B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D129B2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1"/>
    <w:qFormat/>
    <w:rsid w:val="00D129B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1FD"/>
    <w:pPr>
      <w:spacing w:before="0"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FD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71F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1F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7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FD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6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6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234"/>
    <w:rPr>
      <w:rFonts w:asciiTheme="minorHAnsi" w:eastAsiaTheme="minorEastAsia" w:hAnsiTheme="minorHAnsi" w:cstheme="minorBidi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112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punkt">
    <w:name w:val="PKT – punkt"/>
    <w:uiPriority w:val="13"/>
    <w:qFormat/>
    <w:rsid w:val="009112BA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12BA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9112BA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284230"/>
    <w:pPr>
      <w:spacing w:before="0" w:after="0"/>
      <w:ind w:left="284" w:hanging="284"/>
      <w:jc w:val="both"/>
    </w:pPr>
    <w:rPr>
      <w:rFonts w:eastAsia="Times New Roman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129B2"/>
    <w:pPr>
      <w:ind w:left="1020"/>
    </w:pPr>
    <w:rPr>
      <w:rFonts w:eastAsiaTheme="minorEastAsi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129B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D129B2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1"/>
    <w:qFormat/>
    <w:rsid w:val="00D129B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0300-8FE8-40D4-B49A-A297654A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durbanski</dc:creator>
  <cp:lastModifiedBy>Wojciech Trusz</cp:lastModifiedBy>
  <cp:revision>2</cp:revision>
  <dcterms:created xsi:type="dcterms:W3CDTF">2018-04-30T07:20:00Z</dcterms:created>
  <dcterms:modified xsi:type="dcterms:W3CDTF">2018-04-30T07:20:00Z</dcterms:modified>
</cp:coreProperties>
</file>