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95" w:rsidRPr="00975EEA" w:rsidRDefault="000A4895" w:rsidP="000A48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5EEA">
        <w:rPr>
          <w:rFonts w:ascii="Times New Roman" w:hAnsi="Times New Roman" w:cs="Times New Roman"/>
          <w:b/>
          <w:sz w:val="20"/>
          <w:szCs w:val="20"/>
        </w:rPr>
        <w:t>TABELA ZBIEŻNOŚCI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992"/>
        <w:gridCol w:w="992"/>
        <w:gridCol w:w="4253"/>
        <w:gridCol w:w="2410"/>
      </w:tblGrid>
      <w:tr w:rsidR="000A4895" w:rsidRPr="00D01B87" w:rsidTr="00F82423">
        <w:tc>
          <w:tcPr>
            <w:tcW w:w="6487" w:type="dxa"/>
            <w:gridSpan w:val="3"/>
          </w:tcPr>
          <w:p w:rsidR="000A4895" w:rsidRPr="00D01B87" w:rsidRDefault="000A4895" w:rsidP="00725422">
            <w:pPr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B87">
              <w:rPr>
                <w:rFonts w:ascii="Times New Roman" w:hAnsi="Times New Roman" w:cs="Times New Roman"/>
                <w:b/>
                <w:sz w:val="18"/>
                <w:szCs w:val="18"/>
              </w:rPr>
              <w:t>TYTUŁ PROJEKTU</w:t>
            </w:r>
          </w:p>
        </w:tc>
        <w:tc>
          <w:tcPr>
            <w:tcW w:w="7655" w:type="dxa"/>
            <w:gridSpan w:val="3"/>
          </w:tcPr>
          <w:p w:rsidR="000A4895" w:rsidRPr="00D01B87" w:rsidRDefault="002E3DEC" w:rsidP="0075097E">
            <w:pPr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B87">
              <w:rPr>
                <w:rFonts w:ascii="Times New Roman" w:hAnsi="Times New Roman" w:cs="Times New Roman"/>
                <w:b/>
                <w:sz w:val="18"/>
                <w:szCs w:val="18"/>
              </w:rPr>
              <w:t>Projekt ustawy o</w:t>
            </w:r>
            <w:r w:rsidR="007509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fakturowaniu elektronicznym w zamówieniach publicznych</w:t>
            </w:r>
          </w:p>
        </w:tc>
      </w:tr>
      <w:tr w:rsidR="000A4895" w:rsidRPr="00D01B87" w:rsidTr="00F82423">
        <w:tc>
          <w:tcPr>
            <w:tcW w:w="6487" w:type="dxa"/>
            <w:gridSpan w:val="3"/>
          </w:tcPr>
          <w:p w:rsidR="000A4895" w:rsidRPr="00D01B87" w:rsidRDefault="00023AAE" w:rsidP="00725422">
            <w:pPr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AAE">
              <w:rPr>
                <w:rFonts w:ascii="Times New Roman" w:hAnsi="Times New Roman" w:cs="Times New Roman"/>
                <w:b/>
                <w:sz w:val="18"/>
                <w:szCs w:val="18"/>
              </w:rPr>
              <w:t>TYTUŁ WDRAŻANEGO AKTU PRAWNEGO/ WDRAŻANYCH AKTÓW PRAWNYCH:</w:t>
            </w:r>
          </w:p>
        </w:tc>
        <w:tc>
          <w:tcPr>
            <w:tcW w:w="7655" w:type="dxa"/>
            <w:gridSpan w:val="3"/>
          </w:tcPr>
          <w:p w:rsidR="000A4895" w:rsidRPr="00D01B87" w:rsidRDefault="000A4895" w:rsidP="0075097E">
            <w:pPr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B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Dyrektywa </w:t>
            </w:r>
            <w:r w:rsidR="0075097E">
              <w:rPr>
                <w:rFonts w:ascii="Times New Roman" w:hAnsi="Times New Roman" w:cs="Times New Roman"/>
                <w:b/>
                <w:sz w:val="18"/>
                <w:szCs w:val="18"/>
              </w:rPr>
              <w:t>2014/55/UE w sprawie elektronicznego fakturowania w zamówieniach publicznych</w:t>
            </w:r>
          </w:p>
        </w:tc>
      </w:tr>
      <w:tr w:rsidR="000A4895" w:rsidRPr="00D01B87" w:rsidTr="009F7FD1">
        <w:tc>
          <w:tcPr>
            <w:tcW w:w="14142" w:type="dxa"/>
            <w:gridSpan w:val="6"/>
          </w:tcPr>
          <w:p w:rsidR="000A4895" w:rsidRPr="00D01B87" w:rsidRDefault="000A4895" w:rsidP="00725422">
            <w:pPr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B87">
              <w:rPr>
                <w:rFonts w:ascii="Times New Roman" w:hAnsi="Times New Roman" w:cs="Times New Roman"/>
                <w:b/>
                <w:sz w:val="18"/>
                <w:szCs w:val="18"/>
              </w:rPr>
              <w:t>PRZEPISY UNII EUROPEJSKIEJ</w:t>
            </w:r>
          </w:p>
        </w:tc>
      </w:tr>
      <w:tr w:rsidR="000A4895" w:rsidRPr="00975EEA" w:rsidTr="007420CC">
        <w:tc>
          <w:tcPr>
            <w:tcW w:w="817" w:type="dxa"/>
          </w:tcPr>
          <w:p w:rsidR="000A4895" w:rsidRPr="00D01B87" w:rsidRDefault="000A4895" w:rsidP="007254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Jedn. red.</w:t>
            </w:r>
          </w:p>
          <w:p w:rsidR="000A4895" w:rsidRPr="00D01B87" w:rsidRDefault="000A4895" w:rsidP="007254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4895" w:rsidRPr="00D01B87" w:rsidRDefault="000A4895" w:rsidP="007254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0A4895" w:rsidRPr="00D01B87" w:rsidRDefault="000A4895" w:rsidP="007254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Treść przepisu UE</w:t>
            </w:r>
          </w:p>
        </w:tc>
        <w:tc>
          <w:tcPr>
            <w:tcW w:w="992" w:type="dxa"/>
          </w:tcPr>
          <w:p w:rsidR="000A4895" w:rsidRPr="00D01B87" w:rsidRDefault="000A4895" w:rsidP="007254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Konieczność wdrożenia T/N</w:t>
            </w:r>
          </w:p>
        </w:tc>
        <w:tc>
          <w:tcPr>
            <w:tcW w:w="992" w:type="dxa"/>
          </w:tcPr>
          <w:p w:rsidR="000A4895" w:rsidRPr="00D01B87" w:rsidRDefault="000A4895" w:rsidP="007254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Jedn. red.</w:t>
            </w:r>
          </w:p>
        </w:tc>
        <w:tc>
          <w:tcPr>
            <w:tcW w:w="4253" w:type="dxa"/>
          </w:tcPr>
          <w:p w:rsidR="000A4895" w:rsidRPr="00D01B87" w:rsidRDefault="000A4895" w:rsidP="007254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Treść przepisu w projekcie</w:t>
            </w:r>
          </w:p>
        </w:tc>
        <w:tc>
          <w:tcPr>
            <w:tcW w:w="2410" w:type="dxa"/>
          </w:tcPr>
          <w:p w:rsidR="000A4895" w:rsidRPr="00D01B87" w:rsidRDefault="000A4895" w:rsidP="007254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B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Uzasadnienie uwzględnienia w projekcie przepisów poza minimalne wymogi prawa UE</w:t>
            </w:r>
          </w:p>
        </w:tc>
      </w:tr>
      <w:tr w:rsidR="00725422" w:rsidRPr="00A854BC" w:rsidTr="007420CC">
        <w:tc>
          <w:tcPr>
            <w:tcW w:w="817" w:type="dxa"/>
          </w:tcPr>
          <w:p w:rsidR="00725422" w:rsidRDefault="009F7FD1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Art. 1</w:t>
            </w:r>
          </w:p>
        </w:tc>
        <w:tc>
          <w:tcPr>
            <w:tcW w:w="4678" w:type="dxa"/>
          </w:tcPr>
          <w:p w:rsidR="0075097E" w:rsidRPr="00D0418C" w:rsidRDefault="0075097E" w:rsidP="0075097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4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Zakres stosowania</w:t>
            </w:r>
          </w:p>
          <w:p w:rsidR="0075097E" w:rsidRPr="0075097E" w:rsidRDefault="0075097E" w:rsidP="0075097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509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Niniejsza dyrektywa ma zastosowanie do faktur elektronicznych wystawianych w związku z realizacją zamówień, do których stosuje się dyrektywę 2009/81/WE, dyrektywę 2014/23/UE, dyrektywę 2014/24/UE lub dyrektywę 2014/25/UE.</w:t>
            </w:r>
          </w:p>
          <w:p w:rsidR="00725422" w:rsidRPr="00353845" w:rsidRDefault="0075097E" w:rsidP="0075097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509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Niniejsza dyrektywa nie ma zastosowania do faktur elektronicznych wystawianych w związku z realizacją zamówień objętych zakresem stosowania dyrektywy 2009/81/WE, w przypadku gdy zamówienie i jego realizacja określone są jako tajne lub jeżeli muszą im towarzyszyć szczególne środki bezpieczeństwa zgodnie z przepisami ustawowymi, wykonawczymi lub administracyjnymi obowiązującymi w danym państwie członkowskim, oraz pod warunkiem, że dane państwo członkowskie stwierdziło, że odnośnych podstawowych interesów nie można zagwarantować przez mniej inwazyjne środki</w:t>
            </w:r>
          </w:p>
        </w:tc>
        <w:tc>
          <w:tcPr>
            <w:tcW w:w="992" w:type="dxa"/>
          </w:tcPr>
          <w:p w:rsidR="00725422" w:rsidRDefault="00D0418C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992" w:type="dxa"/>
          </w:tcPr>
          <w:p w:rsidR="00725422" w:rsidRDefault="00192D18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Art. 1</w:t>
            </w:r>
          </w:p>
          <w:p w:rsidR="00192D18" w:rsidRDefault="00192D18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192D18" w:rsidRDefault="00192D18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192D18" w:rsidRDefault="00192D18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192D18" w:rsidRDefault="00192D18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192D18" w:rsidRDefault="00192D18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192D18" w:rsidRDefault="00192D18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192D18" w:rsidRDefault="00192D18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5A3A75" w:rsidRDefault="005A3A75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5A3A75" w:rsidRDefault="005A3A75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192D18" w:rsidRDefault="00192D18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1C32A5" w:rsidRDefault="001C32A5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192D18" w:rsidRDefault="00192D18" w:rsidP="00192D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Art. 3</w:t>
            </w:r>
          </w:p>
          <w:p w:rsidR="009A6459" w:rsidRDefault="009A6459" w:rsidP="00192D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6459" w:rsidRDefault="009A6459" w:rsidP="00192D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6459" w:rsidRDefault="009A6459" w:rsidP="00192D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6459" w:rsidRDefault="009A6459" w:rsidP="00192D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6459" w:rsidRDefault="009A6459" w:rsidP="00192D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6459" w:rsidRDefault="009A6459" w:rsidP="00192D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92D18" w:rsidRDefault="00192D18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192D18" w:rsidRPr="00D01B87" w:rsidRDefault="00192D18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53" w:type="dxa"/>
          </w:tcPr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Art. 1.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 Ustawa określa zasady:</w:t>
            </w:r>
          </w:p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przesyłania drogą elektroniczną ustrukturyzowanych faktur elektronicznych oraz innych ustrukturyzowanych dokumentów elektronicznych związanych z realizacją zamówień publicznych oraz umów koncesji na roboty budowlane lub usługi;</w:t>
            </w:r>
          </w:p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funkcjonowania systemu teleinformatycznego służącego do przesyłania ustrukturyzowanych faktur elektronicznych oraz innych ustrukturyzowanych dokumentów elektronicznych, zwanego dalej "platformą".</w:t>
            </w:r>
          </w:p>
          <w:p w:rsidR="005A3A75" w:rsidRPr="00284230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Przepisy niniejszej ustawy nie naruszają przepisów ustawy z dnia 11 marca 2004 r. o podatku od towarów i usług (Dz. U. z 2017 r. poz. 1221 i 2491 oraz z 2018 r. poz. 86 i 650).</w:t>
            </w:r>
          </w:p>
          <w:p w:rsidR="00192D18" w:rsidRDefault="00192D18" w:rsidP="009A64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Art. 3.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Ustawę stosuje się do przesyłania pomiędzy wykonawcami a zamawiającymi i wykorzystywania przez nich ustrukturyzowanych faktur elektronicznych oraz innych ustrukturyzowanych dokumentów elektronicznych, związanych z realizacją zamówień publicznych oraz umów koncesji na roboty budowlane lub usługi. </w:t>
            </w:r>
          </w:p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Przepisów ustawy nie stosuje się do:</w:t>
            </w:r>
          </w:p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a)  zamówień publicznych, o których mowa w art. 4b 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ustawy z dnia 29 stycznia 2004 r.  - Prawo zamówień publicznych,</w:t>
            </w:r>
          </w:p>
          <w:p w:rsidR="009A6459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b) umów koncesji, o których mowa w art. 5 ust. 1 pkt 2 ustawy o umowie koncesji na roboty budowalne lub usługi.</w:t>
            </w:r>
          </w:p>
          <w:p w:rsidR="00FF3BC9" w:rsidRDefault="00FF3BC9" w:rsidP="009A64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6459" w:rsidRPr="00D01B87" w:rsidRDefault="009A6459" w:rsidP="009A64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F82423" w:rsidRDefault="00F82423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42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Dyrektywa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2014/55/UE określa tylko zasady odnoszące się do ustrukturyzowanych faktur elektronicznych.</w:t>
            </w:r>
          </w:p>
          <w:p w:rsidR="00F82423" w:rsidRDefault="00F82423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Dla sprawnej realizacji zamówień publicznych niezbędne jest wprowadzenie następujących dodatkowych  instrumentów</w:t>
            </w:r>
            <w:r w:rsidR="00B92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(nadregulacji)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F82423" w:rsidRDefault="00C7311A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F82423">
              <w:rPr>
                <w:rFonts w:ascii="Times New Roman" w:eastAsia="Times New Roman" w:hAnsi="Times New Roman" w:cs="Times New Roman"/>
                <w:sz w:val="18"/>
                <w:szCs w:val="18"/>
              </w:rPr>
              <w:t>ustrukturyzowanych dokumentów elektronicznych pozwalających na przeprowadzanie działań logistycznych oraz uzupełniających ustrukturyzowaną fakturę elektroniczną ze względu na specyficzne wymogi polskiego prawa (faktura korygująca)</w:t>
            </w:r>
            <w:r w:rsidR="007420C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 konieczność zapewnienia </w:t>
            </w:r>
            <w:r w:rsidRPr="00C7311A">
              <w:rPr>
                <w:rFonts w:ascii="Times New Roman" w:eastAsia="Times New Roman" w:hAnsi="Times New Roman" w:cs="Times New Roman"/>
                <w:sz w:val="18"/>
                <w:szCs w:val="18"/>
              </w:rPr>
              <w:t>autentyczności pochodzenia, integralności treści i czytelności faktury</w:t>
            </w:r>
            <w:r w:rsidR="00CB6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oparciu o ścieżkę audytową dokumentowaną ustrukturyzowanymi dokumentami </w:t>
            </w:r>
            <w:r w:rsidR="00CB60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elektronicznymi potwierdzającymi uprzednie etapy działań logistycznych w celu realizacji zamówienia</w:t>
            </w:r>
            <w:r w:rsidR="00AD22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publicznego</w:t>
            </w:r>
            <w:r w:rsidR="00CB60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  <w:p w:rsidR="00725422" w:rsidRPr="00B92868" w:rsidRDefault="00F82423" w:rsidP="00FF3B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FF3B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92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platformy umożliwiającej przesyłanie ustrukturyzowanych faktur elektronicznych i wspomnianych powyżej ustrukturyzowanych dokumentów elektronicznych</w:t>
            </w:r>
            <w:r w:rsidR="00B92868">
              <w:rPr>
                <w:rFonts w:ascii="Times New Roman" w:eastAsia="Times New Roman" w:hAnsi="Times New Roman" w:cs="Times New Roman"/>
                <w:sz w:val="18"/>
                <w:szCs w:val="18"/>
              </w:rPr>
              <w:t>, której zastosowanie zwiększa pewność prawidłowego doręczenia e-faktury od wykonawcy do zamawiającego.</w:t>
            </w:r>
          </w:p>
        </w:tc>
      </w:tr>
      <w:tr w:rsidR="009F7FD1" w:rsidRPr="009F7FD1" w:rsidTr="007420CC">
        <w:tc>
          <w:tcPr>
            <w:tcW w:w="817" w:type="dxa"/>
          </w:tcPr>
          <w:p w:rsidR="009F7FD1" w:rsidRPr="009F7FD1" w:rsidRDefault="00D0418C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Art. 2</w:t>
            </w:r>
          </w:p>
        </w:tc>
        <w:tc>
          <w:tcPr>
            <w:tcW w:w="4678" w:type="dxa"/>
          </w:tcPr>
          <w:p w:rsidR="00D0418C" w:rsidRPr="00D0418C" w:rsidRDefault="00D0418C" w:rsidP="00D041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4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Definicje</w:t>
            </w:r>
          </w:p>
          <w:p w:rsidR="00D0418C" w:rsidRPr="00D0418C" w:rsidRDefault="00D0418C" w:rsidP="00D041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41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Do celów niniejszej dyrektywy stosuje się następujące definicje:</w:t>
            </w:r>
          </w:p>
          <w:p w:rsidR="00D0418C" w:rsidRPr="00D0418C" w:rsidRDefault="00D0418C" w:rsidP="00D041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41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 „faktura elektroniczna” oznacza fakturę, która została wystawiona, przesłana i odebrana w ustrukturyzowanym formacie elektronicznym, umożliwiającym jej automatyczne i elektroniczne przetwarzanie; </w:t>
            </w:r>
          </w:p>
          <w:p w:rsidR="00D0418C" w:rsidRPr="00D0418C" w:rsidRDefault="00D0418C" w:rsidP="00D041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41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2)  „podstawowe elementy faktury elektronicznej” oznaczają zbiór podstawowych komponentów informacji, które faktura elektroniczna musi zawierać, aby umożliwić interoperacyjność transgraniczną, w tym informacje niezbędne do zapewnienia zgodności z przepisami prawa; </w:t>
            </w:r>
          </w:p>
          <w:p w:rsidR="00D0418C" w:rsidRPr="00D0418C" w:rsidRDefault="00D0418C" w:rsidP="00D041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41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3)  „semantyczny model danych” oznacza uporządkowany i logicznie powiązany zestaw pojęć i ich znaczeń, które określają podstawowe elementy faktury elektronicznej; </w:t>
            </w:r>
          </w:p>
          <w:p w:rsidR="00D0418C" w:rsidRPr="00D0418C" w:rsidRDefault="00D0418C" w:rsidP="00D041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41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 „syntaktyka” oznacza język lub dialekt odczytywany maszynowo, stosowany do przedstawienia elementów danych zawartych w fakturze elektronicznej; </w:t>
            </w:r>
          </w:p>
          <w:p w:rsidR="00D0418C" w:rsidRPr="00D0418C" w:rsidRDefault="00D0418C" w:rsidP="00D041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41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5)  „powiązania syntaktyczne” oznaczają wytyczne wskazujące, w jaki sposób semantyczny model danych dotyczący faktury elektronicznej może być przedstawiany w </w:t>
            </w:r>
            <w:r w:rsidRPr="00D041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różnych syntaktykach; </w:t>
            </w:r>
          </w:p>
          <w:p w:rsidR="00D0418C" w:rsidRPr="00D0418C" w:rsidRDefault="00D0418C" w:rsidP="00D041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41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 „instytucje zamawiające” oznaczają instytucje zamawiające zgodnie z definicją zawartą w art. 1 pkt 17 dyrektywy 2009/81/WE, art. 6 ust. 1 dyrektywy 2014/23/UE i art. 2 ust. 1 pkt 1 dyrektywy 2014/24/UE; </w:t>
            </w:r>
          </w:p>
          <w:p w:rsidR="00D0418C" w:rsidRPr="00D0418C" w:rsidRDefault="00D0418C" w:rsidP="00D041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41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7)  „instytucje zamawiające poniżej szczebla centralnego” oznaczają instytucje zamawiające poniżej szczebla centralnego zgodnie z definicją zawartą w art. 2 ust. 1 pkt 3 dyrektywy 2014/24/UE; </w:t>
            </w:r>
          </w:p>
          <w:p w:rsidR="00D0418C" w:rsidRPr="00D0418C" w:rsidRDefault="00D0418C" w:rsidP="00D041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41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 „centralna jednostka zakupująca” oznacza centralną jednostkę zakupującą zgodnie z definicją zawartą w art. 2 ust. 1 pkt 16 dyrektywy 2014/24/UE; </w:t>
            </w:r>
          </w:p>
          <w:p w:rsidR="00D0418C" w:rsidRPr="00D0418C" w:rsidRDefault="00D0418C" w:rsidP="00D041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41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9)  „podmioty zamawiające” oznaczają podmioty zamawiające zgodnie z definicją zawartą w art. 1 pkt 17 dyrektywy 2009/81/WE, art. 7 ust. 1 i 2 dyrektywy 2014/23/UE i art. 4 ust. 1 dyrektywy 2014/25/UE; </w:t>
            </w:r>
          </w:p>
          <w:p w:rsidR="00D0418C" w:rsidRPr="00D0418C" w:rsidRDefault="00D0418C" w:rsidP="00D041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41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 „norma międzynarodowa” oznacza normę międzynarodową zgodnie z definicją zawartą w art. 2 pkt 1 lit. a) rozporządzenia (UE) nr 1025/2012; </w:t>
            </w:r>
          </w:p>
          <w:p w:rsidR="009F7FD1" w:rsidRPr="009F7FD1" w:rsidRDefault="00D0418C" w:rsidP="00D041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41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11)  „norma europejska” oznacza normę europejską zgodnie z definicją zawartą w art. 2 pkt 1 lit. b) rozporządzenia (UE) nr 1025/2012.</w:t>
            </w:r>
          </w:p>
        </w:tc>
        <w:tc>
          <w:tcPr>
            <w:tcW w:w="992" w:type="dxa"/>
          </w:tcPr>
          <w:p w:rsidR="009F7FD1" w:rsidRPr="00324FFE" w:rsidRDefault="00192D18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T</w:t>
            </w:r>
          </w:p>
        </w:tc>
        <w:tc>
          <w:tcPr>
            <w:tcW w:w="992" w:type="dxa"/>
          </w:tcPr>
          <w:p w:rsidR="00877AFB" w:rsidRPr="00D01B87" w:rsidRDefault="00192D18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Art. 2</w:t>
            </w:r>
          </w:p>
        </w:tc>
        <w:tc>
          <w:tcPr>
            <w:tcW w:w="4253" w:type="dxa"/>
          </w:tcPr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Art. 2.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Ilekroć w ustawie jest mowa o:</w:t>
            </w:r>
          </w:p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normie europejskiej – należy przez to rozumieć normę lub normy europejskie dotyczące fakturowania elektronicznego, do których odniesienia zostały opublikowane w Dzienniku Urzędowym Unii Europejskiej; </w:t>
            </w:r>
          </w:p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penPEPPOL – należy przez to rozumieć stowarzyszenie międzynarodowe z siedzibą w Brukseli, którego podstawowym celem jest zapewnienie europejskim przedsiębiorcom komunikacji elektronicznej z europejskimi podmiotami sektora publicznego w  procesach związanych z udzielaniem i realizacją zamówień publicznych;</w:t>
            </w:r>
          </w:p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3) 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innym ustrukturyzowanym dokumencie elektronicznym – należy przez to rozumieć, inny niż ustrukturyzowana faktura elektroniczna, dokument elektroniczny, o którym mowa w art. 3 pkt 2 ustawy z dnia 17 lutego 2005 r. o informatyzacji działalności podmiotów realizujących  zadania publiczne (Dz. U. z 2017 r. poz. 570), związany z realizacją zamówień publicznych, spełniający wymagania umożliwiające przesyłanie go za pośrednictwem platformy;</w:t>
            </w:r>
          </w:p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4) ustrukturyzowanej fakturze elektronicznej – należy 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przez to rozumieć fakturę elektroniczną, o której mowa w art. 2 pkt 32 ustawy z dnia 11 marca 2004 r. o podatku od towarów i usług , spełniającą wymagania umożliwiające przesyłanie jej za pośrednictwem platformy;</w:t>
            </w:r>
          </w:p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5) wykonawcy – należy przez to rozumieć wykonawcę w rozumieniu art. 2 pkt 11 ustawy z dnia 29 stycznia 2004 r. - Prawo zamówień publicznych (Dz. U. z 2017 r. poz. 1579 i 2018) oraz wykonawcę w rozumieniu art. 2 pkt 10 ustawy z dnia 21 października 2016 r. o umowie koncesji na roboty budowlane lub usługi (Dz. U. poz. 1920);</w:t>
            </w:r>
          </w:p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6) zamawiającym – należy przez to rozumieć zamawiającego w rozumieniu art. 2 pkt 12 ustawy z dnia 29 stycznia 2004 r.-  Prawo zamówień publicznych oraz zamawiającego w rozumieniu art. 2 pkt 11 ustawy z dnia 21 października 2016 r. o umowie koncesji na roboty budowlane lub usługi;</w:t>
            </w:r>
          </w:p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7) zamówieniach publicznych – należy przez to rozumieć:</w:t>
            </w:r>
          </w:p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a)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zamówienia publiczne w rozumieniu art. 1 pkt 12 ustawy z dnia 29 stycznia  2004 r.  - Prawo zamówień publicznych, </w:t>
            </w:r>
          </w:p>
          <w:p w:rsidR="009F7FD1" w:rsidRPr="00B47E7D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b) umowę koncesji w rozumieniu art. 1 ust. 2 ustawy z dnia 21 października 2016 r. o umowie koncesji na roboty budowlane lub usługi.</w:t>
            </w:r>
          </w:p>
        </w:tc>
        <w:tc>
          <w:tcPr>
            <w:tcW w:w="2410" w:type="dxa"/>
          </w:tcPr>
          <w:p w:rsidR="009F7FD1" w:rsidRDefault="007420CC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0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Definicje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wprowadzają pojęcie ustrukturyzowanego dokumentu elektronicznego oraz platformy.</w:t>
            </w:r>
          </w:p>
          <w:p w:rsidR="007420CC" w:rsidRPr="00D01B87" w:rsidRDefault="007420CC" w:rsidP="007420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Obie definicje obejmują instrumenty niezbędne w przekonaniu projektodawcy do zapewnienia sprawnego procesu  wdrożenia przepisów dyrektywy nie tylko polskiego porządku prawnego, lecz również do praktyki działania podmiotów stosujących ustawę Prawo zamówień publicznych.  </w:t>
            </w:r>
          </w:p>
        </w:tc>
      </w:tr>
      <w:tr w:rsidR="00D01B87" w:rsidRPr="009F7FD1" w:rsidTr="007420CC">
        <w:tc>
          <w:tcPr>
            <w:tcW w:w="817" w:type="dxa"/>
          </w:tcPr>
          <w:p w:rsidR="00D01B87" w:rsidRDefault="00D0418C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Art. 3</w:t>
            </w:r>
          </w:p>
        </w:tc>
        <w:tc>
          <w:tcPr>
            <w:tcW w:w="4678" w:type="dxa"/>
          </w:tcPr>
          <w:p w:rsidR="00D0418C" w:rsidRPr="00D0418C" w:rsidRDefault="00D0418C" w:rsidP="00D041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41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Ustanowienie normy europejskiej</w:t>
            </w:r>
          </w:p>
          <w:p w:rsidR="00D0418C" w:rsidRPr="00D0418C" w:rsidRDefault="00D0418C" w:rsidP="00D041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D0418C" w:rsidRPr="00D0418C" w:rsidRDefault="00D0418C" w:rsidP="00D041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41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 Komisja zwraca się do odpowiedniej europejskiej organizacji normalizacyjnej z wnioskiem o sporządzenie normy europejskiej dotyczącej semantycznego modelu danych dla podstawowych elementów faktury elektronicznej („norma europejska dotycząca fakturowania elektronicznego”). </w:t>
            </w:r>
          </w:p>
          <w:p w:rsidR="00D0418C" w:rsidRPr="00D0418C" w:rsidRDefault="00D0418C" w:rsidP="00D041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41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Komisja nakłada wymóg, by norma europejska dotycząca fakturowania elektronicznego była zgodna z co najmniej następującymi kryteriami:</w:t>
            </w:r>
          </w:p>
          <w:p w:rsidR="00D0418C" w:rsidRPr="00D0418C" w:rsidRDefault="00D0418C" w:rsidP="00D041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41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— była technologiczne neutralna,</w:t>
            </w:r>
          </w:p>
          <w:p w:rsidR="00D0418C" w:rsidRPr="00D0418C" w:rsidRDefault="00D0418C" w:rsidP="00D041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41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— była zgodna z odpowiednimi normami międzynarodowymi dotyczącymi fakturowania elektronicznego,</w:t>
            </w:r>
          </w:p>
          <w:p w:rsidR="00D0418C" w:rsidRPr="00D0418C" w:rsidRDefault="00D0418C" w:rsidP="00D041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41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— miała wzgląd na potrzebę ochrony danych osobowych zgodnie z dyrektywą 95/46/WE, na podejście polegające na uwzględnieniu ochrony danych już w fazie projektowania oraz na zasady proporcjonalności, minimalizacji danych i celowości,</w:t>
            </w:r>
          </w:p>
          <w:p w:rsidR="00D0418C" w:rsidRPr="00D0418C" w:rsidRDefault="00D0418C" w:rsidP="00D041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41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— była zgodna ze stosownymi przepisami dyrektywy 2006/112/WE,</w:t>
            </w:r>
          </w:p>
          <w:p w:rsidR="00D0418C" w:rsidRPr="00D0418C" w:rsidRDefault="00D0418C" w:rsidP="00D041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41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— umożliwiała stworzenie praktycznych, przyjaznych użytkownikowi, elastycznych i oszczędnych systemów fakturowania elektronicznego,</w:t>
            </w:r>
          </w:p>
          <w:p w:rsidR="00D0418C" w:rsidRPr="00D0418C" w:rsidRDefault="00D0418C" w:rsidP="00D041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41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— uwzględniała szczególne potrzeby małych i średnich przedsiębiorstw, jak również instytucji zamawiających poniżej szczebla centralnego i podmiotów zamawiających,</w:t>
            </w:r>
          </w:p>
          <w:p w:rsidR="00D0418C" w:rsidRPr="00D0418C" w:rsidRDefault="00D0418C" w:rsidP="00D041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41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— nadawała się do użycia w transakcjach handlowych między przedsiębiorstwami.</w:t>
            </w:r>
          </w:p>
          <w:p w:rsidR="00D0418C" w:rsidRPr="00D0418C" w:rsidRDefault="00D0418C" w:rsidP="00D041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41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Komisja zwraca się do odpowiedniej europejskiej organizacji normalizacyjnej z wnioskiem o sporządzenie wykazu zawierającego ograniczoną liczbę syntaktyk, które są zgodne z normą europejską dotyczącą fakturowania elektronicznego, odpowiednie mapowanie syntaktyk oraz wytyczne na temat interoperacyjności transmisyjnej, aby ułatwić stosowanie takiej normy.</w:t>
            </w:r>
          </w:p>
          <w:p w:rsidR="00D0418C" w:rsidRPr="00D0418C" w:rsidRDefault="00D0418C" w:rsidP="00D041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41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Wnioski przyjmuje się zgodnie z procedurą określoną w art. 10 ust. 1–5 rozporządzenia (UE) nr 1025/2012.</w:t>
            </w:r>
          </w:p>
          <w:p w:rsidR="00D0418C" w:rsidRPr="00D0418C" w:rsidRDefault="00D0418C" w:rsidP="00D041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41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W ramach prac nad opracowaniem normy przez odpowiednią europejską organizację normalizacyjną i w terminie określonym w ust. 2 odnośną normę testuje się pod kątem jej praktycznego stosowania przez użytkownika końcowego. Komisja zachowuje ogólną odpowiedzialność za testowanie i zapewnia, aby w trakcie przeprowadzania testu przedmiotem szczególnej uwagi było spełnienie kryteriów funkcjonalności i przyjazności użytkownikowi oraz ewentualne koszty wdrożenia zgodnie z ust. 1 akapit drugi. Komisja przedstawia Parlamentowi Europejskiemu i Radzie sprawozdanie na </w:t>
            </w:r>
            <w:r w:rsidRPr="00D041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temat wyników testu.</w:t>
            </w:r>
          </w:p>
          <w:p w:rsidR="00D01B87" w:rsidRPr="009F7FD1" w:rsidRDefault="00D0418C" w:rsidP="00D041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041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W przypadku gdy norma europejska dotycząca fakturowania elektronicznego, sporządzona zgodnie z wnioskiem, o którym mowa w ust. 1, spełnia zawarte w nim wymogi, a faza testowania zgodnie z ust. 1 akapit piąty została zakończona, Komisja publikuje odniesienie do tej normy w Dzienniku Urzędowym Unii Europejskiej, wraz z wykazem określonej liczby syntaktyk sporządzonym zgodnie z wnioskiem, o którym mowa w ust. 1. Publikacja ta musi zostać zakończona do dnia 27 maja 2017 r.</w:t>
            </w:r>
          </w:p>
        </w:tc>
        <w:tc>
          <w:tcPr>
            <w:tcW w:w="992" w:type="dxa"/>
          </w:tcPr>
          <w:p w:rsidR="00D01B87" w:rsidRDefault="00192D18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N</w:t>
            </w:r>
          </w:p>
        </w:tc>
        <w:tc>
          <w:tcPr>
            <w:tcW w:w="992" w:type="dxa"/>
          </w:tcPr>
          <w:p w:rsidR="00D01B87" w:rsidRPr="00D01B87" w:rsidRDefault="00D01B87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53" w:type="dxa"/>
          </w:tcPr>
          <w:p w:rsidR="00D01B87" w:rsidRPr="00B47E7D" w:rsidRDefault="00D01B87" w:rsidP="00B47E7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01B87" w:rsidRPr="00D01B87" w:rsidRDefault="00D01B87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01B87" w:rsidRPr="009F7FD1" w:rsidTr="007420CC">
        <w:tc>
          <w:tcPr>
            <w:tcW w:w="817" w:type="dxa"/>
          </w:tcPr>
          <w:p w:rsidR="00D01B87" w:rsidRDefault="00D0418C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Art. 4</w:t>
            </w:r>
          </w:p>
        </w:tc>
        <w:tc>
          <w:tcPr>
            <w:tcW w:w="4678" w:type="dxa"/>
          </w:tcPr>
          <w:p w:rsidR="00DA1779" w:rsidRP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17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Formalne zastrzeżenia do normy europejskiej</w:t>
            </w:r>
          </w:p>
          <w:p w:rsidR="00DA1779" w:rsidRP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A17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 W przypadku gdy państwo członkowskie lub Parlament Europejski uznają, że norma europejska dotycząca fakturowania elektronicznego i wykaz syntaktyk nie spełniają w pełni wymogów określonych w art. 3 ust. 1, informują o tym Komisję, przedstawiając szczegółowe wyjaśnienie, a Komisja podejmuje decyzję o: </w:t>
            </w:r>
          </w:p>
          <w:p w:rsidR="00DA1779" w:rsidRP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A17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a)  opublikowaniu, niepublikowaniu w Dzienniku Urzędowym Unii Europejskiej odniesień do danej normy europejskiej dotyczącej fakturowania elektronicznego i danego wykazu syntaktyk lub ich opublikowaniu z ograniczeniami; </w:t>
            </w:r>
          </w:p>
          <w:p w:rsidR="00DA1779" w:rsidRP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A17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b)  utrzymaniu, utrzymaniu z ograniczeniami odniesień do danej normy europejskiej dotyczącej fakturowania elektronicznego i danego wykazu syntaktyk w Dzienniku Urzędowym Unii Europejskiej lub wycofaniu z niego tych odniesień. </w:t>
            </w:r>
          </w:p>
          <w:p w:rsidR="00DA1779" w:rsidRP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A17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2. Komisja publikuje na swojej stronie internetowej informacje na temat normy europejskiej dotyczącej fakturowania elektronicznego i wykazu syntaktyk, które były przedmiotem decyzji, o której mowa w ust. 1. </w:t>
            </w:r>
          </w:p>
          <w:p w:rsidR="00DA1779" w:rsidRP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A17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3. Komisja informuje daną europejską organizację normalizacyjną o decyzji, o której mowa w ust. 1, oraz, w razie potrzeby, zwraca się z wnioskiem o zmianę danej normy europejskiej dotyczącej fakturowania elektronicznego lub danego wykazu syntaktyk. </w:t>
            </w:r>
          </w:p>
          <w:p w:rsidR="00D01B87" w:rsidRPr="009F7FD1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A17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4. Decyzje, o których mowa w ust. 1 lit. a) i b) niniejszego artykułu, przyjmuje się zgodnie z procedurą sprawdzającą, o </w:t>
            </w:r>
            <w:r w:rsidRPr="00DA17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której mowa w art. 10 ust. 2.</w:t>
            </w:r>
          </w:p>
        </w:tc>
        <w:tc>
          <w:tcPr>
            <w:tcW w:w="992" w:type="dxa"/>
          </w:tcPr>
          <w:p w:rsidR="00D01B87" w:rsidRDefault="00192D18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N</w:t>
            </w:r>
          </w:p>
        </w:tc>
        <w:tc>
          <w:tcPr>
            <w:tcW w:w="992" w:type="dxa"/>
          </w:tcPr>
          <w:p w:rsidR="00E646DB" w:rsidRPr="00D01B87" w:rsidRDefault="00E646DB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53" w:type="dxa"/>
          </w:tcPr>
          <w:p w:rsidR="00E646DB" w:rsidRPr="00E646DB" w:rsidRDefault="00E646DB" w:rsidP="00E646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D01B87" w:rsidRPr="00D01B87" w:rsidRDefault="00D01B87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0418C" w:rsidRPr="009F7FD1" w:rsidTr="007420CC">
        <w:tc>
          <w:tcPr>
            <w:tcW w:w="817" w:type="dxa"/>
          </w:tcPr>
          <w:p w:rsidR="00D0418C" w:rsidRDefault="00D0418C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Art. </w:t>
            </w:r>
            <w:r w:rsidR="00DA17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A1779" w:rsidRP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17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Utrzymanie i dalsze doskonalenie normy europejskiej i wykazu syntaktyk</w:t>
            </w:r>
          </w:p>
          <w:p w:rsidR="00DA1779" w:rsidRP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A17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 W celu uwzględnienia zmian technologicznych oraz zapewnienia pełnej i bieżącej interoperacyjności w zakresie fakturowania elektronicznego w zamówieniach publicznych Komisja może: </w:t>
            </w:r>
          </w:p>
          <w:p w:rsidR="00DA1779" w:rsidRP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A17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a)  aktualizować lub zmieniać normę europejską dotyczącą fakturowania elektronicznego; </w:t>
            </w:r>
          </w:p>
          <w:p w:rsidR="00DA1779" w:rsidRP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A17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b)  aktualizować lub zmieniać wykaz syntaktyk publikowany przez Komisję w Dzienniku Urzędowym Unii Europejskiej. </w:t>
            </w:r>
          </w:p>
          <w:p w:rsidR="00DA1779" w:rsidRP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A17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2. W przypadku gdy Komisja postanowi podjąć działanie, o którym mowa w ust. 1 lit. a), zwraca się z wnioskiem do odpowiedniej europejskiej organizacji normalizacyjnej. Wniosek ten składa się zgodnie z procedurą, o której mowa w art. 3 ust. 1, bez stosowania przewidzianych w tym przepisie terminów. </w:t>
            </w:r>
          </w:p>
          <w:p w:rsidR="00DA1779" w:rsidRP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A17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3. Art. 4 ma zastosowanie do wszelkich aktualizacji lub zmian dokonywanych zgodnie z ust. 1 lit. a). </w:t>
            </w:r>
          </w:p>
          <w:p w:rsidR="00D0418C" w:rsidRPr="009F7FD1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A17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 W przypadku gdy Komisja postanowi podjąć działanie, o którym mowa w ust. 1 lit. b), czyni to zgodnie z procedurą sprawdzającą, o której mowa w art. 10 ust. 2, albo zwraca się z wnioskiem do odpowiedniej europejskiej organizacji normalizacyjnej. Wniosek taki składa się zgodnie z procedurą, o której mowa w art. 3 ust. 1, bez stosowania przewidzianych w tym przepisie terminów.</w:t>
            </w:r>
          </w:p>
        </w:tc>
        <w:tc>
          <w:tcPr>
            <w:tcW w:w="992" w:type="dxa"/>
          </w:tcPr>
          <w:p w:rsidR="00D0418C" w:rsidRDefault="00192D18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D0418C" w:rsidRPr="00D01B87" w:rsidRDefault="00D0418C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53" w:type="dxa"/>
          </w:tcPr>
          <w:p w:rsidR="00D0418C" w:rsidRPr="00E646DB" w:rsidRDefault="00D0418C" w:rsidP="00E646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D0418C" w:rsidRPr="00D01B87" w:rsidRDefault="00D0418C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0418C" w:rsidRPr="009F7FD1" w:rsidTr="007420CC">
        <w:tc>
          <w:tcPr>
            <w:tcW w:w="817" w:type="dxa"/>
          </w:tcPr>
          <w:p w:rsidR="00D0418C" w:rsidRDefault="00D0418C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Art. </w:t>
            </w:r>
            <w:r w:rsidR="00DA17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78" w:type="dxa"/>
          </w:tcPr>
          <w:p w:rsidR="00DA1779" w:rsidRP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17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Podstawowe elementy faktury elektronicznej</w:t>
            </w:r>
          </w:p>
          <w:p w:rsidR="00DA1779" w:rsidRP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A17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Podstawowymi elementami faktury elektronicznej są między innymi:</w:t>
            </w:r>
          </w:p>
          <w:p w:rsidR="00DA1779" w:rsidRP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A17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a)  identyfikatory procesu i faktury; </w:t>
            </w:r>
          </w:p>
          <w:p w:rsidR="00DA1779" w:rsidRP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A17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b)  okres, którego faktura dotyczy; </w:t>
            </w:r>
          </w:p>
          <w:p w:rsidR="00DA1779" w:rsidRP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A17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c)  informacje dotyczące sprzedawcy; </w:t>
            </w:r>
          </w:p>
          <w:p w:rsidR="00DA1779" w:rsidRP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A17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d)  informacje dotyczące nabywcy; </w:t>
            </w:r>
          </w:p>
          <w:p w:rsidR="00DA1779" w:rsidRP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A17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e)  informacje dotyczące odbiorcy płatności; </w:t>
            </w:r>
          </w:p>
          <w:p w:rsidR="00DA1779" w:rsidRP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A17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f)  informacje dotyczące przedstawiciela podatkowego sprzedawcy; </w:t>
            </w:r>
          </w:p>
          <w:p w:rsidR="00DA1779" w:rsidRP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A17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g)  odniesienie do umowy; </w:t>
            </w:r>
          </w:p>
          <w:p w:rsidR="00DA1779" w:rsidRP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A17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h)  szczegółowe informacje dotyczące dostawy; </w:t>
            </w:r>
          </w:p>
          <w:p w:rsidR="00DA1779" w:rsidRP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A17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i)  instrukcje dotyczące płatności; </w:t>
            </w:r>
          </w:p>
          <w:p w:rsidR="00DA1779" w:rsidRP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A17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j)  informacje dotyczące kwot uznań lub potrąceń; </w:t>
            </w:r>
          </w:p>
          <w:p w:rsidR="00DA1779" w:rsidRP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A17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k)  informacje dotyczące poszczególnych pozycji faktury; </w:t>
            </w:r>
          </w:p>
          <w:p w:rsidR="00DA1779" w:rsidRP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A17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l)  łączne kwoty faktury; </w:t>
            </w:r>
          </w:p>
          <w:p w:rsidR="00D0418C" w:rsidRPr="009F7FD1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m)  podział na stawki VAT. </w:t>
            </w:r>
          </w:p>
        </w:tc>
        <w:tc>
          <w:tcPr>
            <w:tcW w:w="992" w:type="dxa"/>
          </w:tcPr>
          <w:p w:rsidR="00D0418C" w:rsidRDefault="00635201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T</w:t>
            </w:r>
          </w:p>
        </w:tc>
        <w:tc>
          <w:tcPr>
            <w:tcW w:w="992" w:type="dxa"/>
          </w:tcPr>
          <w:p w:rsidR="00D0418C" w:rsidRPr="00635201" w:rsidRDefault="00635201" w:rsidP="000F291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352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Art. </w:t>
            </w:r>
            <w:r w:rsidR="00FF3B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4253" w:type="dxa"/>
          </w:tcPr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Art.</w:t>
            </w:r>
            <w:r w:rsidRPr="001C32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1. Ustrukturyzowana faktura elektroniczna zawiera elementy, o których mowa w art. 106e i art. 106f ustawy z dnia 11 marca 2004 r. o podatku od towarów i usług oraz:</w:t>
            </w:r>
          </w:p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informacje dotyczące:</w:t>
            </w:r>
          </w:p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a) odbiorcy płatności,</w:t>
            </w:r>
          </w:p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b)  poszczególnych pozycji faktury;</w:t>
            </w:r>
          </w:p>
          <w:p w:rsidR="00FF3BC9" w:rsidRPr="00FF3BC9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2)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wskazanie umowy o udzielenie zamówienia publicznego.</w:t>
            </w:r>
          </w:p>
          <w:p w:rsidR="00D0418C" w:rsidRPr="00E646DB" w:rsidRDefault="00D0418C" w:rsidP="009A64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D0418C" w:rsidRPr="00D01B87" w:rsidRDefault="00D0418C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0418C" w:rsidRPr="009F7FD1" w:rsidTr="007420CC">
        <w:tc>
          <w:tcPr>
            <w:tcW w:w="817" w:type="dxa"/>
          </w:tcPr>
          <w:p w:rsidR="00D0418C" w:rsidRDefault="00D0418C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Art. </w:t>
            </w:r>
            <w:r w:rsidR="00DA17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78" w:type="dxa"/>
          </w:tcPr>
          <w:p w:rsidR="00EA7669" w:rsidRPr="00EA7669" w:rsidRDefault="00EA7669" w:rsidP="00EA76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76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Odbiór i przetwarzanie faktur elektronicznych</w:t>
            </w:r>
          </w:p>
          <w:p w:rsidR="00D0418C" w:rsidRPr="009F7FD1" w:rsidRDefault="00EA7669" w:rsidP="00EA76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76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Państwa członkowskie zapewniają, aby instytucje zamawiające i podmioty zamawiające odbierały i przetwarzały faktury elektroniczne spełniające normę europejską dotyczącą fakturowania elektronicznego, do której to normy odniesienie zostało opublikowane na mocy art. 3 ust. 2, i zgodne z dowolną z syntaktyk ujętych w wykazie opublikowanym na mocy art. 3 ust. 2.</w:t>
            </w:r>
          </w:p>
        </w:tc>
        <w:tc>
          <w:tcPr>
            <w:tcW w:w="992" w:type="dxa"/>
          </w:tcPr>
          <w:p w:rsidR="00D0418C" w:rsidRDefault="00192D18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992" w:type="dxa"/>
          </w:tcPr>
          <w:p w:rsidR="00D0418C" w:rsidRDefault="00635201" w:rsidP="00FF3B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Art. </w:t>
            </w:r>
            <w:r w:rsidR="00FF3B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  <w:p w:rsidR="001C32A5" w:rsidRDefault="001C32A5" w:rsidP="00FF3B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C32A5" w:rsidRDefault="001C32A5" w:rsidP="00FF3B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C32A5" w:rsidRDefault="001C32A5" w:rsidP="00FF3B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C32A5" w:rsidRDefault="001C32A5" w:rsidP="00FF3B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C32A5" w:rsidRDefault="001C32A5" w:rsidP="00FF3B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C32A5" w:rsidRDefault="001C32A5" w:rsidP="00FF3B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C32A5" w:rsidRDefault="001C32A5" w:rsidP="00FF3B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C32A5" w:rsidRDefault="001C32A5" w:rsidP="00FF3B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C32A5" w:rsidRDefault="001C32A5" w:rsidP="00FF3B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C32A5" w:rsidRDefault="001C32A5" w:rsidP="00FF3B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C32A5" w:rsidRDefault="001C32A5" w:rsidP="00FF3B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C32A5" w:rsidRDefault="001C32A5" w:rsidP="00FF3B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C32A5" w:rsidRDefault="001C32A5" w:rsidP="00FF3B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C32A5" w:rsidRDefault="001C32A5" w:rsidP="00FF3B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C32A5" w:rsidRDefault="001C32A5" w:rsidP="00FF3B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C32A5" w:rsidRDefault="001C32A5" w:rsidP="00FF3B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C32A5" w:rsidRPr="00D01B87" w:rsidRDefault="001C32A5" w:rsidP="00FF3B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Art. 10</w:t>
            </w:r>
          </w:p>
        </w:tc>
        <w:tc>
          <w:tcPr>
            <w:tcW w:w="4253" w:type="dxa"/>
          </w:tcPr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Art. 4.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Zamawiający jest obowiązany odebrać od wykonawcy ustrukturyzowaną fakturę elektroniczną przesłaną za pośrednictwem platformy. </w:t>
            </w:r>
          </w:p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Wykonawca może wysłać ustrukturyzowaną fakturę elektroniczną do zamawiającego za pośrednictwem platformy.</w:t>
            </w:r>
          </w:p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W przypadku zamówień publicznych, do których nie stosuje się ustawy z 29 stycznia 2004 r. - Prawo zamówień publicznych albo umów koncesji na roboty budowlane lub usługi, do których nie stosuje się ustawy z dnia 21 października 2016 r. o umowie koncesji na roboty budowlane lub usługi, zamawiający może, w dokumentacji postępowania w sprawie udzielenia zamówienia albo postępowania w sprawie zawarcia umowy koncesji,  wyłączyć stosowanie ustrukturyzowanych faktur elektronicznych.</w:t>
            </w:r>
          </w:p>
          <w:p w:rsidR="00D0418C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4. Zamawiający i wykonawca mogą  wysyłać i odbierać inne ustrukturyzowane dokumenty elektroniczne za pośrednictwem platformy, jeżeli wyrażą na to zgodę albo do postepowania o udzielenie zamówienia ma zastosowanie art. 10a ust. 1 ustawy z dnia 29 stycznia 2004 r. - Prawo zamówień publicznych.</w:t>
            </w:r>
          </w:p>
          <w:p w:rsid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32A5" w:rsidRPr="00E646DB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Art. 10.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Zamawiający obowiązany jest założyć konto, o którym mowa w art. 6 ust. 3, przed upływem pierwszego określonego w umowie w sprawie zamówienia publicznego terminu zapłaty 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wynagrodzenia należnego wykonawcy, który upływa po dniu 17 kwietnia 2019 r.</w:t>
            </w:r>
          </w:p>
        </w:tc>
        <w:tc>
          <w:tcPr>
            <w:tcW w:w="2410" w:type="dxa"/>
          </w:tcPr>
          <w:p w:rsidR="00D0418C" w:rsidRDefault="007244B5" w:rsidP="002E1D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4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W art. </w:t>
            </w:r>
            <w:r w:rsidR="00FF3BC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244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ustawy wprowadzono możliwość przesyłania oprócz ustruk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turyzowanych faktur elektronicznych także ustrukturyzowanych dokumentów elektronicznych dotyczących realizacji</w:t>
            </w:r>
            <w:r w:rsidRPr="007244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umowy zawartej w sprawie zamówienia publicznego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B92868" w:rsidRPr="00D01B87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Art. 10 mówi o konieczności posiadania konta na platformie przez Zamawiającego</w:t>
            </w:r>
          </w:p>
        </w:tc>
      </w:tr>
      <w:tr w:rsidR="00D0418C" w:rsidRPr="009F7FD1" w:rsidTr="007420CC">
        <w:tc>
          <w:tcPr>
            <w:tcW w:w="817" w:type="dxa"/>
          </w:tcPr>
          <w:p w:rsidR="00D0418C" w:rsidRDefault="00D0418C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Art. </w:t>
            </w:r>
            <w:r w:rsidR="00DA17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78" w:type="dxa"/>
          </w:tcPr>
          <w:p w:rsidR="00EA7669" w:rsidRPr="00EA7669" w:rsidRDefault="00EA7669" w:rsidP="00EA76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76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Ochrona danych</w:t>
            </w:r>
          </w:p>
          <w:p w:rsidR="00EA7669" w:rsidRPr="00EA7669" w:rsidRDefault="00EA7669" w:rsidP="00EA76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76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 Niniejsza dyrektywa pozostaje bez uszczerbku dla mających zastosowanie przepisów unijnych i krajowych dotyczących ochrony danych. </w:t>
            </w:r>
          </w:p>
          <w:p w:rsidR="00EA7669" w:rsidRPr="00EA7669" w:rsidRDefault="00EA7669" w:rsidP="00EA76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76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2. O ile przepisy unijne lub krajowe nie stanowią inaczej i bez uszczerbku dla zwolnień i ograniczeń określonych w art. 13 dyrektywy 95/46/WE, dane osobowe uzyskane na użytek fakturowania elektronicznego mogą być wykorzystywane wyłącznie w tym celu lub w zgodnych z nim celach. </w:t>
            </w:r>
          </w:p>
          <w:p w:rsidR="00D0418C" w:rsidRPr="009F7FD1" w:rsidRDefault="00EA7669" w:rsidP="00EA76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76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 Bez uszczerbku dla zwolnień i ograniczeń określonych w art. 13 dyrektywy 95/46/WE, państwa członkowskie zapewniają, by warunki publikowania danych osobowych gromadzonych w związku z fakturowaniem elektronicznym — do celów przejrzystości i rozliczalności — były zgodne z celem takiej publikacji i z zasadą ochrony prywatności.</w:t>
            </w:r>
          </w:p>
        </w:tc>
        <w:tc>
          <w:tcPr>
            <w:tcW w:w="992" w:type="dxa"/>
          </w:tcPr>
          <w:p w:rsidR="00D0418C" w:rsidRDefault="00192D18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992" w:type="dxa"/>
          </w:tcPr>
          <w:p w:rsidR="00D0418C" w:rsidRPr="00192D18" w:rsidRDefault="00192D18" w:rsidP="009A645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92D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Art. </w:t>
            </w:r>
            <w:r w:rsidR="009A64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Art. 8.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Minister właściwy do spraw gospodarki jest administratorem przetwarzanych na platformie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L. 119 z 4.05.2016 str. 1).</w:t>
            </w:r>
          </w:p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2. Dane osobowe zgromadzone na platformie mogą być przetwarzane:</w:t>
            </w:r>
          </w:p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1) w celu zapewnienia sprawności i rzetelności elektronicznego fakturowania, lub w celach z nim zgodnych;</w:t>
            </w:r>
          </w:p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2) w zakresie, w jakim przetwarzanie jest konieczne do realizacji celów, o których mowa w art. 23 ust. 1 rozporządzenia Parlamentu Europejskiego i Rady (UE) 2016/679, w zakresie i trybie określonym przepisami odrębnymi.</w:t>
            </w:r>
          </w:p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 przetwarzania danych osobowych zgromadzonych na platformie nie stosuje się art. 12-22 i art. 34 rozporządzenia Parlamentu Europejskiego i Rady (UE) 2016/579. </w:t>
            </w:r>
          </w:p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Minister właściwy do spraw gospodarki przekazuje OpenPEPPOL dane zamawiających i wykonawców posiadających konta na platformie, zgodnie z wymaganiami OpenPEPPOL </w:t>
            </w:r>
          </w:p>
          <w:p w:rsidR="00D0418C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Na platformie są przechowywane ustrukturyzowane faktury elektroniczne oraz ustrukturyzowane dokumenty elektroniczne, a także dane związane z ich przesyłaniem, przez okres 5 lat, licząc od końca roku kalendarzowego w którym zostały wprowadzone do systemu teleinformatycznego.</w:t>
            </w:r>
          </w:p>
        </w:tc>
        <w:tc>
          <w:tcPr>
            <w:tcW w:w="2410" w:type="dxa"/>
          </w:tcPr>
          <w:p w:rsidR="00D0418C" w:rsidRDefault="007244B5" w:rsidP="002E1D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4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art. </w:t>
            </w:r>
            <w:r w:rsidR="009A645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wprowadzono możliwość przesyłania danych dotyczących wykonawców i zamawiających do międzynarodowego stowarzyszenia OpenPEPPOL w celu umożliwienia przekazywania ustrukturyzowanych faktur elektronicznych i ustrukturyzowanych dokumentów elektronicznych przez podmioty umiejscowione na terenie Europejskiego Obszaru Gospodarczego za pośrednictwem punktów wymiany dokumentów w sieci teleinformatycznej OpenPEPPOL.</w:t>
            </w:r>
          </w:p>
          <w:p w:rsidR="00034375" w:rsidRDefault="00034375" w:rsidP="00587EA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Stowarzyszenie </w:t>
            </w:r>
            <w:r w:rsidR="00587EAC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penPEPPOL utrzymuje globalny katalog adresów wszystkich zamawiających i wykonawców posiadających konta w punktach wymiany dokumentów w sieci teleinformatycznej OpenPEPPOL we wszystkich państwach członkowskich UE oraz innych państwach, gdzie istnieją punkty wymiany dokumentów.</w:t>
            </w:r>
          </w:p>
          <w:p w:rsidR="005A3A75" w:rsidRPr="005A3A75" w:rsidRDefault="00C30B20" w:rsidP="005A3A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9A6459">
              <w:rPr>
                <w:rFonts w:ascii="Times New Roman" w:eastAsia="Times New Roman" w:hAnsi="Times New Roman" w:cs="Times New Roman"/>
                <w:sz w:val="18"/>
                <w:szCs w:val="18"/>
              </w:rPr>
              <w:t>strukturyzowane faktury elektroniczne oraz inne ustrukturyzowane dokumenty elektroniczne,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A3A75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rzechowywane na platformie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nie będą publikowane.</w:t>
            </w:r>
          </w:p>
        </w:tc>
      </w:tr>
      <w:tr w:rsidR="00D0418C" w:rsidRPr="009F7FD1" w:rsidTr="007420CC">
        <w:tc>
          <w:tcPr>
            <w:tcW w:w="817" w:type="dxa"/>
          </w:tcPr>
          <w:p w:rsidR="00D0418C" w:rsidRDefault="00D0418C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Art. </w:t>
            </w:r>
            <w:r w:rsidR="00DA17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78" w:type="dxa"/>
          </w:tcPr>
          <w:p w:rsidR="00EA7669" w:rsidRPr="00EA7669" w:rsidRDefault="00EA7669" w:rsidP="00EA76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76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Stosowanie faktur elektronicznych do celów VAT</w:t>
            </w:r>
          </w:p>
          <w:p w:rsidR="00D0418C" w:rsidRPr="009F7FD1" w:rsidRDefault="00EA7669" w:rsidP="00EA76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76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Niniejsza dyrektywa pozostaje bez uszczerbku dla przepisów dyrektywy 2006/112/WE.</w:t>
            </w:r>
          </w:p>
        </w:tc>
        <w:tc>
          <w:tcPr>
            <w:tcW w:w="992" w:type="dxa"/>
          </w:tcPr>
          <w:p w:rsidR="00D0418C" w:rsidRDefault="00192D18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992" w:type="dxa"/>
          </w:tcPr>
          <w:p w:rsidR="00D0418C" w:rsidRDefault="00192D18" w:rsidP="009439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2D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Art. </w:t>
            </w:r>
            <w:r w:rsidR="001C32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 ust.2</w:t>
            </w:r>
          </w:p>
          <w:p w:rsidR="005A3A75" w:rsidRDefault="005A3A75" w:rsidP="009439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A3A75" w:rsidRDefault="005A3A75" w:rsidP="009439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A3A75" w:rsidRDefault="005A3A75" w:rsidP="009439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A3A75" w:rsidRDefault="005A3A75" w:rsidP="009439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A3A75" w:rsidRDefault="005A3A75" w:rsidP="009439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A3A75" w:rsidRDefault="005A3A75" w:rsidP="0094390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A3A75" w:rsidRPr="00D01B87" w:rsidRDefault="005A3A75" w:rsidP="000F291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53" w:type="dxa"/>
          </w:tcPr>
          <w:p w:rsidR="005A3A75" w:rsidRPr="001C32A5" w:rsidRDefault="00DC2573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Art. </w:t>
            </w:r>
            <w:r w:rsidR="001C32A5"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943909"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="001C32A5"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C32A5"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Przepisy niniejszej ustawy nie naruszają przepisów ustawy z dnia 11 marca 2004 r. o podatku od towarów i usług (Dz. U. z 2017 r. poz. 1221 i 2491 oraz z 2018 r. poz. 86 i 650).</w:t>
            </w:r>
          </w:p>
          <w:p w:rsidR="00D0418C" w:rsidRPr="00E646DB" w:rsidRDefault="00D0418C" w:rsidP="00E646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D0418C" w:rsidRPr="00D01B87" w:rsidRDefault="00D0418C" w:rsidP="005A3A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0418C" w:rsidRPr="009F7FD1" w:rsidTr="007420CC">
        <w:tc>
          <w:tcPr>
            <w:tcW w:w="817" w:type="dxa"/>
          </w:tcPr>
          <w:p w:rsidR="00D0418C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Art. 10</w:t>
            </w:r>
          </w:p>
        </w:tc>
        <w:tc>
          <w:tcPr>
            <w:tcW w:w="4678" w:type="dxa"/>
          </w:tcPr>
          <w:p w:rsidR="00EA7669" w:rsidRPr="00EA7669" w:rsidRDefault="00EA7669" w:rsidP="00EA76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76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Procedura komitetowa</w:t>
            </w:r>
          </w:p>
          <w:p w:rsidR="00EA7669" w:rsidRPr="00EA7669" w:rsidRDefault="00EA7669" w:rsidP="00EA76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76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 Komisję wspomaga komitet. Komitet ten jest komitetem w rozumieniu rozporządzenia (UE) nr 182/2011. </w:t>
            </w:r>
          </w:p>
          <w:p w:rsidR="00D0418C" w:rsidRPr="009F7FD1" w:rsidRDefault="00EA7669" w:rsidP="00EA76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76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W przypadku odesłania do niniejszego ustępu stosuje się art. 5 rozporządzenia (UE) nr 182/2011.</w:t>
            </w:r>
          </w:p>
        </w:tc>
        <w:tc>
          <w:tcPr>
            <w:tcW w:w="992" w:type="dxa"/>
          </w:tcPr>
          <w:p w:rsidR="00D0418C" w:rsidRDefault="00192D18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D0418C" w:rsidRPr="00D01B87" w:rsidRDefault="00D0418C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53" w:type="dxa"/>
          </w:tcPr>
          <w:p w:rsidR="00D0418C" w:rsidRPr="00E646DB" w:rsidRDefault="00D0418C" w:rsidP="00E646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D0418C" w:rsidRPr="00D01B87" w:rsidRDefault="00D0418C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0418C" w:rsidRPr="009F7FD1" w:rsidTr="007420CC">
        <w:tc>
          <w:tcPr>
            <w:tcW w:w="817" w:type="dxa"/>
          </w:tcPr>
          <w:p w:rsidR="00D0418C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Art. 11</w:t>
            </w:r>
          </w:p>
        </w:tc>
        <w:tc>
          <w:tcPr>
            <w:tcW w:w="4678" w:type="dxa"/>
          </w:tcPr>
          <w:p w:rsidR="00EA7669" w:rsidRPr="00EA7669" w:rsidRDefault="00EA7669" w:rsidP="00EA76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76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Transpozycja</w:t>
            </w:r>
          </w:p>
          <w:p w:rsidR="00EA7669" w:rsidRPr="00EA7669" w:rsidRDefault="00EA7669" w:rsidP="00EA76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76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 Państwa członkowskie przyjmują, publikują i stosują przepisy ustawowe, wykonawcze i administracyjne niezbędne do wykonania niniejszej dyrektywy nie później niż dnia 27 listopada 2018 r. Niezwłocznie przekazują Komisji teksty tych przepisów. </w:t>
            </w:r>
          </w:p>
          <w:p w:rsidR="00EA7669" w:rsidRPr="00EA7669" w:rsidRDefault="00EA7669" w:rsidP="00EA76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76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2. W drodze odstępstwa od ust. 1 państwa członkowskie — nie później niż w terminie 18 miesięcy od opublikowania odniesienia do normy europejskiej dotyczącej fakturowania elektronicznego w Dzienniku Urzędowym Unii Europejskiej — przyjmują, publikują i stosują przepisy niezbędne do wykonania zawartego w art. 7 obowiązku dotyczącego odbioru i przetwarzania faktur elektronicznych. </w:t>
            </w:r>
          </w:p>
          <w:p w:rsidR="00EA7669" w:rsidRPr="00EA7669" w:rsidRDefault="00EA7669" w:rsidP="00EA76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76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Państwa członkowskie mogą odroczyć stosowanie, o którym mowa w akapicie pierwszym, w odniesieniu do swoich instytucji zamawiających poniżej szczebla centralnego i podmiotów zamawiających maksymalnie do momentu upłynięcia 30 miesięcy od opublikowania odniesienia do normy europejskiej dotyczącej fakturowania elektronicznego </w:t>
            </w:r>
            <w:r w:rsidRPr="00EA76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w Dzienniku Urzędowym Unii Europejskiej.</w:t>
            </w:r>
          </w:p>
          <w:p w:rsidR="00EA7669" w:rsidRPr="00EA7669" w:rsidRDefault="00EA7669" w:rsidP="00EA76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76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Przy publikowaniu odniesienia do normy europejskiej dotyczącej fakturowania elektronicznego Komisja publikuje w Dzienniku Urzędowym Unii Europejskiej ostateczną datę wprowadzenia w życie środków, o których mowa w akapicie pierwszym.</w:t>
            </w:r>
          </w:p>
          <w:p w:rsidR="00D0418C" w:rsidRPr="009F7FD1" w:rsidRDefault="00EA7669" w:rsidP="00EA76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76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 Państwa członkowskie przekazują Komisji tekst podstawowych przepisów prawa krajowego przyjętych w dziedzinie objętej niniejszą dyrektywą.</w:t>
            </w:r>
          </w:p>
        </w:tc>
        <w:tc>
          <w:tcPr>
            <w:tcW w:w="992" w:type="dxa"/>
          </w:tcPr>
          <w:p w:rsidR="00D0418C" w:rsidRDefault="00192D18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T</w:t>
            </w:r>
          </w:p>
        </w:tc>
        <w:tc>
          <w:tcPr>
            <w:tcW w:w="992" w:type="dxa"/>
          </w:tcPr>
          <w:p w:rsidR="00D0418C" w:rsidRPr="00D01B87" w:rsidRDefault="00192D18" w:rsidP="000F291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92D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Art. </w:t>
            </w:r>
            <w:r w:rsidR="005A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0F29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1C32A5" w:rsidRPr="001C32A5" w:rsidRDefault="001C32A5" w:rsidP="001C32A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Art. 11.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Ustawa wchodzi w życie z dniem 27 listopada 2018 r.  z wyjątkiem art. 4 i art. 6 ust. 4, które wchodzą w życie z dniem 18 kwietnia 2019 r.</w:t>
            </w:r>
          </w:p>
          <w:p w:rsidR="00D0418C" w:rsidRPr="00E646DB" w:rsidRDefault="001C32A5" w:rsidP="001C32A5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Do zamówień publicznych, o których mowa w art. 4 pkt 8 ustawy z dnia 29 stycznia  2004 r. - Prawo zamówień publicznych oraz umów koncesji, o których mowa w art. 4 ustawy z dnia 21 października 2016 r. o umowie koncesji na roboty budowlane lub usługi, przepisy ustawy stosuje się od 1 sierpnia 2019 r.</w:t>
            </w:r>
          </w:p>
        </w:tc>
        <w:tc>
          <w:tcPr>
            <w:tcW w:w="2410" w:type="dxa"/>
          </w:tcPr>
          <w:p w:rsidR="00D0418C" w:rsidRDefault="007244B5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4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art. </w:t>
            </w:r>
            <w:r w:rsidR="00587E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C32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zastosowano zgodne z dyrektywą 2014/55/UE terminy wejścia odpowiednich przepisów ustawy. </w:t>
            </w:r>
          </w:p>
          <w:p w:rsidR="007244B5" w:rsidRPr="00D01B87" w:rsidRDefault="007244B5" w:rsidP="00587EA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Obowiązek przyjmowania ustrukturyzowanych faktur elektronicznych powyżej progu 30 000 euro będzie wiązał podmioty stosujące ustawę prawo zamówień publicznych </w:t>
            </w:r>
            <w:r w:rsidR="003B5892">
              <w:rPr>
                <w:rFonts w:ascii="Times New Roman" w:eastAsia="Times New Roman" w:hAnsi="Times New Roman" w:cs="Times New Roman"/>
                <w:sz w:val="18"/>
                <w:szCs w:val="18"/>
              </w:rPr>
              <w:t>od 1</w:t>
            </w:r>
            <w:r w:rsidR="00587EA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3B5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87EAC">
              <w:rPr>
                <w:rFonts w:ascii="Times New Roman" w:eastAsia="Times New Roman" w:hAnsi="Times New Roman" w:cs="Times New Roman"/>
                <w:sz w:val="18"/>
                <w:szCs w:val="18"/>
              </w:rPr>
              <w:t>kwietnia</w:t>
            </w:r>
            <w:r w:rsidR="003B5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roku, zaś w przypadku faktur poniżej wspomnianego progu – od 1 sierpnia 2019 r.</w:t>
            </w:r>
          </w:p>
        </w:tc>
      </w:tr>
      <w:tr w:rsidR="00DA1779" w:rsidRPr="009F7FD1" w:rsidTr="007420CC">
        <w:tc>
          <w:tcPr>
            <w:tcW w:w="817" w:type="dxa"/>
          </w:tcPr>
          <w:p w:rsid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Art. 12</w:t>
            </w:r>
          </w:p>
        </w:tc>
        <w:tc>
          <w:tcPr>
            <w:tcW w:w="4678" w:type="dxa"/>
          </w:tcPr>
          <w:p w:rsidR="00EA7669" w:rsidRPr="00EA7669" w:rsidRDefault="00EA7669" w:rsidP="00EA76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76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Przegląd</w:t>
            </w:r>
          </w:p>
          <w:p w:rsidR="00DA1779" w:rsidRPr="009F7FD1" w:rsidRDefault="00EA7669" w:rsidP="00EA76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76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Komisja dokonuje przeglądu skutków niniejszej dyrektywy dla rynku wewnętrznego, a także dla upowszechniania fakturowania elektronicznego w zamówieniach publicznych oraz przekazuje sprawozdanie na ten temat Parlamentowi Europejskiemu i Radzie w terminie trzech lat od upływu terminu na maksymalne odroczenie ustalonego dla instytucji poniżej szczebla centralnego w art. 11 ust. 2 akapit drugi. W stosownych przypadkach sprawozdaniu towarzyszy ocena skutków dotycząca potrzeby dalszych działań.</w:t>
            </w:r>
          </w:p>
        </w:tc>
        <w:tc>
          <w:tcPr>
            <w:tcW w:w="992" w:type="dxa"/>
          </w:tcPr>
          <w:p w:rsidR="00DA1779" w:rsidRDefault="00192D18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DA1779" w:rsidRPr="00D01B87" w:rsidRDefault="00DA1779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53" w:type="dxa"/>
          </w:tcPr>
          <w:p w:rsidR="00DA1779" w:rsidRPr="00E646DB" w:rsidRDefault="00DA1779" w:rsidP="00E646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DA1779" w:rsidRPr="00D01B87" w:rsidRDefault="00DA1779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A1779" w:rsidRPr="009F7FD1" w:rsidTr="007420CC">
        <w:tc>
          <w:tcPr>
            <w:tcW w:w="817" w:type="dxa"/>
          </w:tcPr>
          <w:p w:rsid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Art. 13</w:t>
            </w:r>
          </w:p>
        </w:tc>
        <w:tc>
          <w:tcPr>
            <w:tcW w:w="4678" w:type="dxa"/>
          </w:tcPr>
          <w:p w:rsidR="00EA7669" w:rsidRPr="00EA7669" w:rsidRDefault="00EA7669" w:rsidP="00EA76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76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Wejście w życie</w:t>
            </w:r>
          </w:p>
          <w:p w:rsidR="00DA1779" w:rsidRPr="009F7FD1" w:rsidRDefault="00EA7669" w:rsidP="00EA76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76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Niniejsza dyrektywa wchodzi w życie dwudziestego dnia po jej opublikowaniu w Dzienniku Urzędowym Unii Europejskiej.</w:t>
            </w:r>
          </w:p>
        </w:tc>
        <w:tc>
          <w:tcPr>
            <w:tcW w:w="992" w:type="dxa"/>
          </w:tcPr>
          <w:p w:rsidR="00DA1779" w:rsidRDefault="00192D18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DA1779" w:rsidRPr="00D01B87" w:rsidRDefault="00DA1779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53" w:type="dxa"/>
          </w:tcPr>
          <w:p w:rsidR="00DA1779" w:rsidRPr="00E646DB" w:rsidRDefault="00DA1779" w:rsidP="00E646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DA1779" w:rsidRPr="00D01B87" w:rsidRDefault="00DA1779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A1779" w:rsidRPr="009F7FD1" w:rsidTr="007420CC">
        <w:tc>
          <w:tcPr>
            <w:tcW w:w="817" w:type="dxa"/>
          </w:tcPr>
          <w:p w:rsidR="00DA1779" w:rsidRDefault="00DA1779" w:rsidP="00DA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Art. 14</w:t>
            </w:r>
          </w:p>
        </w:tc>
        <w:tc>
          <w:tcPr>
            <w:tcW w:w="4678" w:type="dxa"/>
          </w:tcPr>
          <w:p w:rsidR="00EA7669" w:rsidRPr="00EA7669" w:rsidRDefault="00EA7669" w:rsidP="00EA76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76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Adresaci</w:t>
            </w:r>
          </w:p>
          <w:p w:rsidR="00DA1779" w:rsidRPr="009F7FD1" w:rsidRDefault="00EA7669" w:rsidP="00EA76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76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Niniejsza dyrektywa skierowana jest do państw członkowskich.</w:t>
            </w:r>
          </w:p>
        </w:tc>
        <w:tc>
          <w:tcPr>
            <w:tcW w:w="992" w:type="dxa"/>
          </w:tcPr>
          <w:p w:rsidR="00DA1779" w:rsidRDefault="00192D18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DA1779" w:rsidRPr="00D01B87" w:rsidRDefault="00DA1779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53" w:type="dxa"/>
          </w:tcPr>
          <w:p w:rsidR="00DA1779" w:rsidRPr="00E646DB" w:rsidRDefault="00DA1779" w:rsidP="00E646D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DA1779" w:rsidRPr="00D01B87" w:rsidRDefault="00DA1779" w:rsidP="009F7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023AAE" w:rsidRDefault="00023AAE" w:rsidP="00587EAC"/>
    <w:sectPr w:rsidR="00023AAE" w:rsidSect="000A489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53" w:rsidRDefault="00D70553" w:rsidP="001379D2">
      <w:pPr>
        <w:spacing w:after="0" w:line="240" w:lineRule="auto"/>
      </w:pPr>
      <w:r>
        <w:separator/>
      </w:r>
    </w:p>
  </w:endnote>
  <w:endnote w:type="continuationSeparator" w:id="0">
    <w:p w:rsidR="00D70553" w:rsidRDefault="00D70553" w:rsidP="0013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1996"/>
      <w:docPartObj>
        <w:docPartGallery w:val="Page Numbers (Bottom of Page)"/>
        <w:docPartUnique/>
      </w:docPartObj>
    </w:sdtPr>
    <w:sdtEndPr/>
    <w:sdtContent>
      <w:p w:rsidR="00443905" w:rsidRDefault="00B86A64">
        <w:pPr>
          <w:pStyle w:val="Stopka"/>
          <w:jc w:val="right"/>
        </w:pPr>
        <w:r>
          <w:fldChar w:fldCharType="begin"/>
        </w:r>
        <w:r w:rsidR="00443905">
          <w:instrText xml:space="preserve"> PAGE   \* MERGEFORMAT </w:instrText>
        </w:r>
        <w:r>
          <w:fldChar w:fldCharType="separate"/>
        </w:r>
        <w:r w:rsidR="0066275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43905" w:rsidRDefault="004439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53" w:rsidRDefault="00D70553" w:rsidP="001379D2">
      <w:pPr>
        <w:spacing w:after="0" w:line="240" w:lineRule="auto"/>
      </w:pPr>
      <w:r>
        <w:separator/>
      </w:r>
    </w:p>
  </w:footnote>
  <w:footnote w:type="continuationSeparator" w:id="0">
    <w:p w:rsidR="00D70553" w:rsidRDefault="00D70553" w:rsidP="00137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FBB"/>
    <w:multiLevelType w:val="hybridMultilevel"/>
    <w:tmpl w:val="C29A1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KiDN">
    <w15:presenceInfo w15:providerId="None" w15:userId="MKiD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95"/>
    <w:rsid w:val="00013091"/>
    <w:rsid w:val="000145A0"/>
    <w:rsid w:val="00023AAE"/>
    <w:rsid w:val="00034375"/>
    <w:rsid w:val="0005113A"/>
    <w:rsid w:val="0008163C"/>
    <w:rsid w:val="00087145"/>
    <w:rsid w:val="00087A18"/>
    <w:rsid w:val="00093B7B"/>
    <w:rsid w:val="000953CB"/>
    <w:rsid w:val="000A1F11"/>
    <w:rsid w:val="000A4895"/>
    <w:rsid w:val="000B7D88"/>
    <w:rsid w:val="000C1531"/>
    <w:rsid w:val="000D7C79"/>
    <w:rsid w:val="000E6808"/>
    <w:rsid w:val="000F291F"/>
    <w:rsid w:val="000F3FAA"/>
    <w:rsid w:val="00102268"/>
    <w:rsid w:val="00111206"/>
    <w:rsid w:val="00136B11"/>
    <w:rsid w:val="001379D2"/>
    <w:rsid w:val="00152F36"/>
    <w:rsid w:val="00154A61"/>
    <w:rsid w:val="001676CA"/>
    <w:rsid w:val="00172806"/>
    <w:rsid w:val="00174D07"/>
    <w:rsid w:val="00175979"/>
    <w:rsid w:val="0017713F"/>
    <w:rsid w:val="00192D18"/>
    <w:rsid w:val="00196502"/>
    <w:rsid w:val="001B3A38"/>
    <w:rsid w:val="001C2FC7"/>
    <w:rsid w:val="001C32A5"/>
    <w:rsid w:val="001C71BE"/>
    <w:rsid w:val="001D3BAD"/>
    <w:rsid w:val="001E489F"/>
    <w:rsid w:val="00231978"/>
    <w:rsid w:val="00236E29"/>
    <w:rsid w:val="00263211"/>
    <w:rsid w:val="00270C1A"/>
    <w:rsid w:val="0027173D"/>
    <w:rsid w:val="00283593"/>
    <w:rsid w:val="002844BD"/>
    <w:rsid w:val="00287E9F"/>
    <w:rsid w:val="00290709"/>
    <w:rsid w:val="00293A3E"/>
    <w:rsid w:val="002956DF"/>
    <w:rsid w:val="0029665F"/>
    <w:rsid w:val="00297CF3"/>
    <w:rsid w:val="002B5C48"/>
    <w:rsid w:val="002D13B5"/>
    <w:rsid w:val="002E1DC4"/>
    <w:rsid w:val="002E3DEC"/>
    <w:rsid w:val="002F35FD"/>
    <w:rsid w:val="0030444A"/>
    <w:rsid w:val="00313ED8"/>
    <w:rsid w:val="003150EB"/>
    <w:rsid w:val="003163A5"/>
    <w:rsid w:val="00324FFE"/>
    <w:rsid w:val="00342ACF"/>
    <w:rsid w:val="0034729E"/>
    <w:rsid w:val="00353845"/>
    <w:rsid w:val="003643A7"/>
    <w:rsid w:val="00376ADE"/>
    <w:rsid w:val="00377585"/>
    <w:rsid w:val="003843D3"/>
    <w:rsid w:val="003849A6"/>
    <w:rsid w:val="003924D6"/>
    <w:rsid w:val="00396264"/>
    <w:rsid w:val="003B370F"/>
    <w:rsid w:val="003B5892"/>
    <w:rsid w:val="003B5AA3"/>
    <w:rsid w:val="003F4A1A"/>
    <w:rsid w:val="00417980"/>
    <w:rsid w:val="0042070F"/>
    <w:rsid w:val="0042309B"/>
    <w:rsid w:val="00433A4C"/>
    <w:rsid w:val="00437519"/>
    <w:rsid w:val="00443905"/>
    <w:rsid w:val="004475F8"/>
    <w:rsid w:val="00454878"/>
    <w:rsid w:val="0046114A"/>
    <w:rsid w:val="00461D90"/>
    <w:rsid w:val="004A2234"/>
    <w:rsid w:val="004B3370"/>
    <w:rsid w:val="004C173E"/>
    <w:rsid w:val="004D06D6"/>
    <w:rsid w:val="004E4782"/>
    <w:rsid w:val="0050127E"/>
    <w:rsid w:val="005173E7"/>
    <w:rsid w:val="0052270F"/>
    <w:rsid w:val="00553E94"/>
    <w:rsid w:val="0055773B"/>
    <w:rsid w:val="00564040"/>
    <w:rsid w:val="0057037D"/>
    <w:rsid w:val="00573028"/>
    <w:rsid w:val="00582F8A"/>
    <w:rsid w:val="00587EAC"/>
    <w:rsid w:val="005919FA"/>
    <w:rsid w:val="00596954"/>
    <w:rsid w:val="005A0C59"/>
    <w:rsid w:val="005A14AA"/>
    <w:rsid w:val="005A3A75"/>
    <w:rsid w:val="005B3B8D"/>
    <w:rsid w:val="005C5BA1"/>
    <w:rsid w:val="005E0F68"/>
    <w:rsid w:val="005E1298"/>
    <w:rsid w:val="005E3BB1"/>
    <w:rsid w:val="005F4093"/>
    <w:rsid w:val="005F589A"/>
    <w:rsid w:val="00601FB6"/>
    <w:rsid w:val="00602F02"/>
    <w:rsid w:val="00610DE3"/>
    <w:rsid w:val="006228F6"/>
    <w:rsid w:val="00635201"/>
    <w:rsid w:val="006368B1"/>
    <w:rsid w:val="00654663"/>
    <w:rsid w:val="00657865"/>
    <w:rsid w:val="00662758"/>
    <w:rsid w:val="00664A70"/>
    <w:rsid w:val="006750F0"/>
    <w:rsid w:val="00685778"/>
    <w:rsid w:val="0069669B"/>
    <w:rsid w:val="006F0F72"/>
    <w:rsid w:val="006F1565"/>
    <w:rsid w:val="00704EC9"/>
    <w:rsid w:val="00723D0A"/>
    <w:rsid w:val="007244B5"/>
    <w:rsid w:val="00725422"/>
    <w:rsid w:val="00732708"/>
    <w:rsid w:val="007410F1"/>
    <w:rsid w:val="007420CC"/>
    <w:rsid w:val="00747EFD"/>
    <w:rsid w:val="0075097E"/>
    <w:rsid w:val="00764FE8"/>
    <w:rsid w:val="00773409"/>
    <w:rsid w:val="007825E6"/>
    <w:rsid w:val="00792C68"/>
    <w:rsid w:val="00795CDB"/>
    <w:rsid w:val="007A4C7F"/>
    <w:rsid w:val="007B3EF9"/>
    <w:rsid w:val="007C7F27"/>
    <w:rsid w:val="007D4393"/>
    <w:rsid w:val="007D7875"/>
    <w:rsid w:val="007E4CA4"/>
    <w:rsid w:val="007E52D4"/>
    <w:rsid w:val="007E6032"/>
    <w:rsid w:val="007F1951"/>
    <w:rsid w:val="00801EDE"/>
    <w:rsid w:val="008034A8"/>
    <w:rsid w:val="00823E1A"/>
    <w:rsid w:val="00845D25"/>
    <w:rsid w:val="00853435"/>
    <w:rsid w:val="008565FB"/>
    <w:rsid w:val="00877AFB"/>
    <w:rsid w:val="008B4ECC"/>
    <w:rsid w:val="008C6706"/>
    <w:rsid w:val="008D66E4"/>
    <w:rsid w:val="008E705B"/>
    <w:rsid w:val="008F77DF"/>
    <w:rsid w:val="0090607C"/>
    <w:rsid w:val="0091121C"/>
    <w:rsid w:val="00943909"/>
    <w:rsid w:val="00953AED"/>
    <w:rsid w:val="00964F03"/>
    <w:rsid w:val="0097675D"/>
    <w:rsid w:val="009A3542"/>
    <w:rsid w:val="009A59F3"/>
    <w:rsid w:val="009A6459"/>
    <w:rsid w:val="009B4B54"/>
    <w:rsid w:val="009C2D56"/>
    <w:rsid w:val="009C3F39"/>
    <w:rsid w:val="009E265F"/>
    <w:rsid w:val="009E644F"/>
    <w:rsid w:val="009F7FD1"/>
    <w:rsid w:val="00A016B3"/>
    <w:rsid w:val="00A02ECC"/>
    <w:rsid w:val="00A033D4"/>
    <w:rsid w:val="00A16D43"/>
    <w:rsid w:val="00A24763"/>
    <w:rsid w:val="00A42513"/>
    <w:rsid w:val="00A517DC"/>
    <w:rsid w:val="00A62229"/>
    <w:rsid w:val="00A72009"/>
    <w:rsid w:val="00A827CF"/>
    <w:rsid w:val="00A860CC"/>
    <w:rsid w:val="00AA1C57"/>
    <w:rsid w:val="00AA6C35"/>
    <w:rsid w:val="00AC5903"/>
    <w:rsid w:val="00AD22BF"/>
    <w:rsid w:val="00B1256F"/>
    <w:rsid w:val="00B16F9D"/>
    <w:rsid w:val="00B4500F"/>
    <w:rsid w:val="00B47E7D"/>
    <w:rsid w:val="00B50933"/>
    <w:rsid w:val="00B63723"/>
    <w:rsid w:val="00B667CE"/>
    <w:rsid w:val="00B86A64"/>
    <w:rsid w:val="00B92868"/>
    <w:rsid w:val="00B976B4"/>
    <w:rsid w:val="00BA13E3"/>
    <w:rsid w:val="00BD6162"/>
    <w:rsid w:val="00BE2704"/>
    <w:rsid w:val="00BE4A02"/>
    <w:rsid w:val="00BF191D"/>
    <w:rsid w:val="00C01897"/>
    <w:rsid w:val="00C040C3"/>
    <w:rsid w:val="00C14321"/>
    <w:rsid w:val="00C23FA4"/>
    <w:rsid w:val="00C24B5C"/>
    <w:rsid w:val="00C30B20"/>
    <w:rsid w:val="00C43A80"/>
    <w:rsid w:val="00C623CF"/>
    <w:rsid w:val="00C7311A"/>
    <w:rsid w:val="00CB6012"/>
    <w:rsid w:val="00D01B87"/>
    <w:rsid w:val="00D03F23"/>
    <w:rsid w:val="00D0418C"/>
    <w:rsid w:val="00D4395A"/>
    <w:rsid w:val="00D52F8A"/>
    <w:rsid w:val="00D60579"/>
    <w:rsid w:val="00D626B2"/>
    <w:rsid w:val="00D70553"/>
    <w:rsid w:val="00D750AA"/>
    <w:rsid w:val="00D82FE1"/>
    <w:rsid w:val="00D85B6C"/>
    <w:rsid w:val="00D9145A"/>
    <w:rsid w:val="00D979EB"/>
    <w:rsid w:val="00DA1779"/>
    <w:rsid w:val="00DB3FB2"/>
    <w:rsid w:val="00DB49E6"/>
    <w:rsid w:val="00DC2573"/>
    <w:rsid w:val="00DD1FAD"/>
    <w:rsid w:val="00DE36E1"/>
    <w:rsid w:val="00E077A8"/>
    <w:rsid w:val="00E15C2C"/>
    <w:rsid w:val="00E2050D"/>
    <w:rsid w:val="00E258D3"/>
    <w:rsid w:val="00E301BB"/>
    <w:rsid w:val="00E30B68"/>
    <w:rsid w:val="00E31AA2"/>
    <w:rsid w:val="00E646DB"/>
    <w:rsid w:val="00E64EF6"/>
    <w:rsid w:val="00E90FE3"/>
    <w:rsid w:val="00EA1C3C"/>
    <w:rsid w:val="00EA7669"/>
    <w:rsid w:val="00EC2E3F"/>
    <w:rsid w:val="00EE72DB"/>
    <w:rsid w:val="00F0645B"/>
    <w:rsid w:val="00F140E1"/>
    <w:rsid w:val="00F15AAC"/>
    <w:rsid w:val="00F20BC8"/>
    <w:rsid w:val="00F73413"/>
    <w:rsid w:val="00F77FD5"/>
    <w:rsid w:val="00F82423"/>
    <w:rsid w:val="00FA2BE1"/>
    <w:rsid w:val="00FB3F99"/>
    <w:rsid w:val="00FC2330"/>
    <w:rsid w:val="00FF3BC9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E7D"/>
    <w:pPr>
      <w:spacing w:before="0"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5A3A75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895"/>
    <w:pPr>
      <w:spacing w:before="0" w:after="0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33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3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370"/>
    <w:rPr>
      <w:rFonts w:asciiTheme="minorHAnsi" w:eastAsiaTheme="minorEastAsia" w:hAnsiTheme="minorHAnsi" w:cstheme="minorBid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370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3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79D2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9D2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6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663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54663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B5C"/>
    <w:rPr>
      <w:rFonts w:asciiTheme="minorHAnsi" w:eastAsiaTheme="minorEastAsia" w:hAnsiTheme="minorHAnsi" w:cstheme="minorBidi"/>
      <w:b/>
      <w:bCs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A6459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szCs w:val="20"/>
      <w:lang w:eastAsia="pl-PL"/>
    </w:rPr>
  </w:style>
  <w:style w:type="paragraph" w:customStyle="1" w:styleId="PKTpunkt">
    <w:name w:val="PKT – punkt"/>
    <w:uiPriority w:val="13"/>
    <w:qFormat/>
    <w:rsid w:val="009A6459"/>
    <w:pPr>
      <w:spacing w:before="0" w:after="0"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9A6459"/>
    <w:rPr>
      <w:b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A6459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9A6459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FF3BC9"/>
    <w:pPr>
      <w:spacing w:before="0" w:after="0"/>
      <w:ind w:left="284" w:hanging="284"/>
      <w:jc w:val="both"/>
    </w:pPr>
    <w:rPr>
      <w:rFonts w:eastAsia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3A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5A3A7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E7D"/>
    <w:pPr>
      <w:spacing w:before="0"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5A3A75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895"/>
    <w:pPr>
      <w:spacing w:before="0" w:after="0"/>
    </w:pPr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33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3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370"/>
    <w:rPr>
      <w:rFonts w:asciiTheme="minorHAnsi" w:eastAsiaTheme="minorEastAsia" w:hAnsiTheme="minorHAnsi" w:cstheme="minorBid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370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3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79D2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9D2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6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663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54663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B5C"/>
    <w:rPr>
      <w:rFonts w:asciiTheme="minorHAnsi" w:eastAsiaTheme="minorEastAsia" w:hAnsiTheme="minorHAnsi" w:cstheme="minorBidi"/>
      <w:b/>
      <w:bCs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A6459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szCs w:val="20"/>
      <w:lang w:eastAsia="pl-PL"/>
    </w:rPr>
  </w:style>
  <w:style w:type="paragraph" w:customStyle="1" w:styleId="PKTpunkt">
    <w:name w:val="PKT – punkt"/>
    <w:uiPriority w:val="13"/>
    <w:qFormat/>
    <w:rsid w:val="009A6459"/>
    <w:pPr>
      <w:spacing w:before="0" w:after="0"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9A6459"/>
    <w:rPr>
      <w:b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A6459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9A6459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FF3BC9"/>
    <w:pPr>
      <w:spacing w:before="0" w:after="0"/>
      <w:ind w:left="284" w:hanging="284"/>
      <w:jc w:val="both"/>
    </w:pPr>
    <w:rPr>
      <w:rFonts w:eastAsia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3A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5A3A7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AE3C0-BF2B-4196-AE62-24D1EED7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3338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durbanski</dc:creator>
  <cp:lastModifiedBy>Wojciech Trusz</cp:lastModifiedBy>
  <cp:revision>2</cp:revision>
  <cp:lastPrinted>2017-04-13T12:30:00Z</cp:lastPrinted>
  <dcterms:created xsi:type="dcterms:W3CDTF">2018-04-30T07:32:00Z</dcterms:created>
  <dcterms:modified xsi:type="dcterms:W3CDTF">2018-04-30T07:32:00Z</dcterms:modified>
</cp:coreProperties>
</file>