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244"/>
        <w:gridCol w:w="398"/>
        <w:gridCol w:w="311"/>
        <w:gridCol w:w="567"/>
        <w:gridCol w:w="426"/>
        <w:gridCol w:w="141"/>
        <w:gridCol w:w="201"/>
        <w:gridCol w:w="510"/>
        <w:gridCol w:w="149"/>
        <w:gridCol w:w="567"/>
        <w:gridCol w:w="649"/>
        <w:gridCol w:w="60"/>
        <w:gridCol w:w="708"/>
        <w:gridCol w:w="99"/>
        <w:gridCol w:w="71"/>
        <w:gridCol w:w="532"/>
        <w:gridCol w:w="7"/>
        <w:gridCol w:w="398"/>
        <w:gridCol w:w="311"/>
        <w:gridCol w:w="627"/>
        <w:gridCol w:w="82"/>
        <w:gridCol w:w="708"/>
        <w:gridCol w:w="709"/>
        <w:gridCol w:w="872"/>
        <w:gridCol w:w="10"/>
      </w:tblGrid>
      <w:tr w:rsidR="008953F4" w:rsidRPr="008B4FE6" w14:paraId="3D7AF106" w14:textId="77777777" w:rsidTr="00081220">
        <w:trPr>
          <w:gridAfter w:val="1"/>
          <w:wAfter w:w="10" w:type="dxa"/>
          <w:trHeight w:val="1611"/>
        </w:trPr>
        <w:tc>
          <w:tcPr>
            <w:tcW w:w="6620" w:type="dxa"/>
            <w:gridSpan w:val="15"/>
          </w:tcPr>
          <w:p w14:paraId="7E3AEFDC" w14:textId="77777777" w:rsidR="008953F4" w:rsidRPr="00201A8D" w:rsidRDefault="008953F4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201A8D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3610B984" w14:textId="77777777" w:rsidR="008953F4" w:rsidRPr="00201A8D" w:rsidRDefault="008953F4" w:rsidP="00236686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Ustawa o fakturowaniu elektronicznym w zamówieniach publicznych</w:t>
            </w:r>
          </w:p>
          <w:p w14:paraId="3AA9DAB0" w14:textId="77777777" w:rsidR="008953F4" w:rsidRPr="00201A8D" w:rsidRDefault="008953F4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201A8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6816AD8" w14:textId="64746441" w:rsidR="00926BCC" w:rsidRPr="00201A8D" w:rsidRDefault="00926BCC" w:rsidP="005B610F">
            <w:pPr>
              <w:spacing w:line="240" w:lineRule="auto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Ministerstwo Przedsiębiorczości i Technologii</w:t>
            </w:r>
          </w:p>
          <w:p w14:paraId="67849393" w14:textId="77777777" w:rsidR="008953F4" w:rsidRPr="00201A8D" w:rsidRDefault="008953F4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41E501B" w14:textId="77777777" w:rsidR="008953F4" w:rsidRPr="00201A8D" w:rsidRDefault="008953F4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01A8D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9F4169D" w14:textId="77777777" w:rsidR="008953F4" w:rsidRPr="00201A8D" w:rsidRDefault="008953F4" w:rsidP="00236686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Tadeusz Kościński, Podsekretarz Stanu</w:t>
            </w:r>
          </w:p>
          <w:p w14:paraId="24147A13" w14:textId="77777777" w:rsidR="008953F4" w:rsidRPr="00201A8D" w:rsidRDefault="008953F4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201A8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2CB9A46B" w14:textId="77777777" w:rsidR="004C4ACF" w:rsidRPr="00201A8D" w:rsidRDefault="004C4ACF" w:rsidP="004C4ACF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  <w:b/>
              </w:rPr>
              <w:t xml:space="preserve">Marianna </w:t>
            </w:r>
            <w:proofErr w:type="spellStart"/>
            <w:r w:rsidRPr="00201A8D">
              <w:rPr>
                <w:rFonts w:ascii="Times New Roman" w:hAnsi="Times New Roman"/>
                <w:b/>
              </w:rPr>
              <w:t>Sidoroff</w:t>
            </w:r>
            <w:proofErr w:type="spellEnd"/>
            <w:r w:rsidR="008953F4" w:rsidRPr="00201A8D">
              <w:rPr>
                <w:rFonts w:ascii="Times New Roman" w:hAnsi="Times New Roman"/>
              </w:rPr>
              <w:t xml:space="preserve">, (22) 693 59 79, </w:t>
            </w:r>
            <w:hyperlink r:id="rId9" w:history="1">
              <w:r w:rsidRPr="00201A8D">
                <w:rPr>
                  <w:rFonts w:ascii="Times New Roman" w:hAnsi="Times New Roman"/>
                </w:rPr>
                <w:t>marianna.sidoroff@mr.gov.pl</w:t>
              </w:r>
            </w:hyperlink>
            <w:r w:rsidR="008953F4" w:rsidRPr="00201A8D">
              <w:rPr>
                <w:rFonts w:ascii="Times New Roman" w:hAnsi="Times New Roman"/>
              </w:rPr>
              <w:t>,</w:t>
            </w:r>
            <w:r w:rsidR="008953F4" w:rsidRPr="00201A8D">
              <w:rPr>
                <w:rFonts w:ascii="Times New Roman" w:hAnsi="Times New Roman"/>
              </w:rPr>
              <w:br/>
            </w:r>
            <w:r w:rsidRPr="00201A8D">
              <w:rPr>
                <w:rFonts w:ascii="Times New Roman" w:hAnsi="Times New Roman"/>
              </w:rPr>
              <w:t xml:space="preserve">Zastępca </w:t>
            </w:r>
            <w:r w:rsidR="008953F4" w:rsidRPr="00201A8D">
              <w:rPr>
                <w:rFonts w:ascii="Times New Roman" w:hAnsi="Times New Roman"/>
              </w:rPr>
              <w:t>Dyrektor</w:t>
            </w:r>
            <w:r w:rsidRPr="00201A8D">
              <w:rPr>
                <w:rFonts w:ascii="Times New Roman" w:hAnsi="Times New Roman"/>
              </w:rPr>
              <w:t>a</w:t>
            </w:r>
            <w:r w:rsidR="008953F4" w:rsidRPr="00201A8D">
              <w:rPr>
                <w:rFonts w:ascii="Times New Roman" w:hAnsi="Times New Roman"/>
              </w:rPr>
              <w:t xml:space="preserve"> Departamentu Gospodarki Elektronicznej;</w:t>
            </w:r>
          </w:p>
          <w:p w14:paraId="5CE63820" w14:textId="0369B8F1" w:rsidR="00640618" w:rsidRPr="00201A8D" w:rsidRDefault="004C4ACF" w:rsidP="004C4ACF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  <w:b/>
              </w:rPr>
              <w:t xml:space="preserve">Wojciech Trusz, </w:t>
            </w:r>
            <w:r w:rsidRPr="00201A8D">
              <w:rPr>
                <w:rFonts w:ascii="Times New Roman" w:hAnsi="Times New Roman"/>
              </w:rPr>
              <w:t>(22</w:t>
            </w:r>
            <w:r w:rsidR="00CE308F" w:rsidRPr="00201A8D">
              <w:rPr>
                <w:rFonts w:ascii="Times New Roman" w:hAnsi="Times New Roman"/>
              </w:rPr>
              <w:t>)</w:t>
            </w:r>
            <w:r w:rsidRPr="00201A8D">
              <w:rPr>
                <w:rFonts w:ascii="Times New Roman" w:hAnsi="Times New Roman"/>
              </w:rPr>
              <w:t> </w:t>
            </w:r>
            <w:r w:rsidR="004D200D">
              <w:rPr>
                <w:rFonts w:ascii="Times New Roman" w:hAnsi="Times New Roman"/>
              </w:rPr>
              <w:t>262 94 34</w:t>
            </w:r>
            <w:r w:rsidR="00CE308F" w:rsidRPr="00201A8D">
              <w:rPr>
                <w:rFonts w:ascii="Times New Roman" w:hAnsi="Times New Roman"/>
              </w:rPr>
              <w:t xml:space="preserve">, </w:t>
            </w:r>
            <w:hyperlink r:id="rId10" w:history="1">
              <w:r w:rsidR="00CE308F" w:rsidRPr="00201A8D">
                <w:rPr>
                  <w:rFonts w:ascii="Times New Roman" w:hAnsi="Times New Roman"/>
                </w:rPr>
                <w:t>wojciech.trusz@mr.gov.pl</w:t>
              </w:r>
            </w:hyperlink>
            <w:r w:rsidR="00CE308F" w:rsidRPr="00201A8D">
              <w:rPr>
                <w:rFonts w:ascii="Times New Roman" w:hAnsi="Times New Roman"/>
              </w:rPr>
              <w:t>, Naczelnik</w:t>
            </w:r>
          </w:p>
          <w:p w14:paraId="409BFA40" w14:textId="2C277AEC" w:rsidR="008953F4" w:rsidRPr="00201A8D" w:rsidRDefault="00640618" w:rsidP="004C4ACF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  <w:b/>
              </w:rPr>
              <w:t xml:space="preserve">Andrzej </w:t>
            </w:r>
            <w:proofErr w:type="spellStart"/>
            <w:r w:rsidRPr="00201A8D">
              <w:rPr>
                <w:rFonts w:ascii="Times New Roman" w:hAnsi="Times New Roman"/>
                <w:b/>
              </w:rPr>
              <w:t>Jarzewski</w:t>
            </w:r>
            <w:proofErr w:type="spellEnd"/>
            <w:r w:rsidRPr="00201A8D">
              <w:rPr>
                <w:rFonts w:ascii="Times New Roman" w:hAnsi="Times New Roman"/>
              </w:rPr>
              <w:t xml:space="preserve">, (22) </w:t>
            </w:r>
            <w:r w:rsidR="004D200D">
              <w:rPr>
                <w:rFonts w:ascii="Times New Roman" w:hAnsi="Times New Roman"/>
              </w:rPr>
              <w:t>262 94 20</w:t>
            </w:r>
            <w:r w:rsidRPr="00201A8D">
              <w:rPr>
                <w:rFonts w:ascii="Times New Roman" w:hAnsi="Times New Roman"/>
              </w:rPr>
              <w:t xml:space="preserve">, </w:t>
            </w:r>
            <w:hyperlink r:id="rId11" w:history="1">
              <w:r w:rsidRPr="00201A8D">
                <w:rPr>
                  <w:rFonts w:ascii="Times New Roman" w:hAnsi="Times New Roman"/>
                </w:rPr>
                <w:t>andrzej.jarzewski@mr.gov.pl</w:t>
              </w:r>
            </w:hyperlink>
            <w:r w:rsidRPr="00201A8D">
              <w:rPr>
                <w:rFonts w:ascii="Times New Roman" w:hAnsi="Times New Roman"/>
              </w:rPr>
              <w:t xml:space="preserve">, </w:t>
            </w:r>
            <w:r w:rsidR="008953F4" w:rsidRPr="00201A8D">
              <w:rPr>
                <w:rFonts w:ascii="Times New Roman" w:hAnsi="Times New Roman"/>
              </w:rPr>
              <w:t xml:space="preserve"> </w:t>
            </w:r>
            <w:r w:rsidRPr="00201A8D">
              <w:rPr>
                <w:rFonts w:ascii="Times New Roman" w:hAnsi="Times New Roman"/>
              </w:rPr>
              <w:t>Starszy Specjalista</w:t>
            </w:r>
          </w:p>
          <w:p w14:paraId="4C66D828" w14:textId="77777777" w:rsidR="008953F4" w:rsidRPr="00201A8D" w:rsidRDefault="008953F4" w:rsidP="00484195">
            <w:pPr>
              <w:spacing w:line="240" w:lineRule="auto"/>
              <w:ind w:left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7" w:type="dxa"/>
            <w:gridSpan w:val="10"/>
            <w:shd w:val="clear" w:color="auto" w:fill="FFFFFF"/>
          </w:tcPr>
          <w:p w14:paraId="207F4A14" w14:textId="2FCB61EF" w:rsidR="008953F4" w:rsidRPr="00201A8D" w:rsidRDefault="008953F4" w:rsidP="001B3460">
            <w:pPr>
              <w:spacing w:line="240" w:lineRule="auto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  <w:b/>
              </w:rPr>
              <w:t>Data sporządzenia</w:t>
            </w:r>
            <w:r w:rsidRPr="00201A8D">
              <w:rPr>
                <w:rFonts w:ascii="Times New Roman" w:hAnsi="Times New Roman"/>
              </w:rPr>
              <w:br/>
            </w:r>
            <w:r w:rsidR="00CE2557">
              <w:rPr>
                <w:rFonts w:ascii="Times New Roman" w:hAnsi="Times New Roman"/>
              </w:rPr>
              <w:t xml:space="preserve">02.02.2018 </w:t>
            </w:r>
            <w:r w:rsidRPr="00201A8D">
              <w:rPr>
                <w:rFonts w:ascii="Times New Roman" w:hAnsi="Times New Roman"/>
              </w:rPr>
              <w:t xml:space="preserve"> r.</w:t>
            </w:r>
            <w:r w:rsidR="00A40BBC">
              <w:rPr>
                <w:rFonts w:ascii="Times New Roman" w:hAnsi="Times New Roman"/>
              </w:rPr>
              <w:t>, 07.03.2018 r.</w:t>
            </w:r>
          </w:p>
          <w:p w14:paraId="4E49A90C" w14:textId="77777777" w:rsidR="008953F4" w:rsidRPr="00201A8D" w:rsidRDefault="008953F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7AE70BA5" w14:textId="77777777" w:rsidR="008953F4" w:rsidRPr="00201A8D" w:rsidRDefault="008953F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01A8D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0CB6B46D" w14:textId="77777777" w:rsidR="008953F4" w:rsidRPr="00201A8D" w:rsidRDefault="008953F4" w:rsidP="00F76884">
            <w:pPr>
              <w:spacing w:line="240" w:lineRule="auto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  <w:bCs/>
              </w:rPr>
              <w:t>Dyrektywa Parlamentu Europejskiego i Rady 2014/55/UE z dnia 16 kwietnia 2014 r. w sprawie fakturowania elektronicznego w zamówieniach publicznych</w:t>
            </w:r>
          </w:p>
          <w:p w14:paraId="58347A42" w14:textId="77777777" w:rsidR="008953F4" w:rsidRPr="00201A8D" w:rsidRDefault="008953F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70432CCF" w14:textId="77777777" w:rsidR="008953F4" w:rsidRPr="00201A8D" w:rsidRDefault="008953F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5C1B048C" w14:textId="77777777" w:rsidR="008953F4" w:rsidRPr="00201A8D" w:rsidRDefault="008953F4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201A8D">
              <w:rPr>
                <w:rFonts w:ascii="Times New Roman" w:hAnsi="Times New Roman"/>
                <w:b/>
              </w:rPr>
              <w:t xml:space="preserve">Nr w wykazie prac </w:t>
            </w:r>
          </w:p>
          <w:p w14:paraId="138A58BC" w14:textId="7E41FF66" w:rsidR="008953F4" w:rsidRPr="00484195" w:rsidRDefault="00484195" w:rsidP="007B422B">
            <w:pPr>
              <w:spacing w:line="240" w:lineRule="auto"/>
              <w:rPr>
                <w:rFonts w:ascii="Times New Roman" w:hAnsi="Times New Roman"/>
              </w:rPr>
            </w:pPr>
            <w:r w:rsidRPr="00484195">
              <w:rPr>
                <w:rFonts w:ascii="Times New Roman" w:hAnsi="Times New Roman"/>
              </w:rPr>
              <w:t>UC114</w:t>
            </w:r>
          </w:p>
        </w:tc>
      </w:tr>
      <w:tr w:rsidR="008953F4" w:rsidRPr="0022687A" w14:paraId="52008A7D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307D4D05" w14:textId="77777777" w:rsidR="008953F4" w:rsidRPr="00627221" w:rsidRDefault="008953F4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8953F4" w:rsidRPr="008B4FE6" w14:paraId="63EAA4B2" w14:textId="77777777" w:rsidTr="00081220">
        <w:trPr>
          <w:gridAfter w:val="1"/>
          <w:wAfter w:w="10" w:type="dxa"/>
          <w:trHeight w:val="333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9CDB6CC" w14:textId="77777777" w:rsidR="008953F4" w:rsidRPr="008B4FE6" w:rsidRDefault="008953F4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8953F4" w:rsidRPr="008B4FE6" w14:paraId="228F8DC9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3BBD32C8" w14:textId="77777777" w:rsidR="008953F4" w:rsidRPr="00201A8D" w:rsidRDefault="008953F4" w:rsidP="007B422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Główną przyczyną wdrożenia planowanych regulacji jest implementacja Dyrektywy 2014/55/UE o elektronicznym fakturowaniu w dostawach publicznych, którą w ramach negocjacji i stanowiska rządu Polska silnie wspierała. Regulacje te mają pozytywne oddziaływanie społeczno-gospodarcze.</w:t>
            </w:r>
          </w:p>
          <w:p w14:paraId="6451EEA2" w14:textId="3DCB0046" w:rsidR="008953F4" w:rsidRPr="00201A8D" w:rsidRDefault="008953F4" w:rsidP="007B422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 xml:space="preserve">Wyniki badań, takich jak opracowanie Głównego Urzędu Statystycznego </w:t>
            </w:r>
            <w:r w:rsidRPr="00201A8D">
              <w:rPr>
                <w:rFonts w:ascii="Times New Roman" w:hAnsi="Times New Roman"/>
                <w:i/>
                <w:color w:val="000000"/>
              </w:rPr>
              <w:t>Wykorzystanie technologii informacyjno-(</w:t>
            </w:r>
            <w:proofErr w:type="spellStart"/>
            <w:r w:rsidRPr="00201A8D">
              <w:rPr>
                <w:rFonts w:ascii="Times New Roman" w:hAnsi="Times New Roman"/>
                <w:i/>
                <w:color w:val="000000"/>
              </w:rPr>
              <w:t>tele</w:t>
            </w:r>
            <w:proofErr w:type="spellEnd"/>
            <w:r w:rsidRPr="00201A8D">
              <w:rPr>
                <w:rFonts w:ascii="Times New Roman" w:hAnsi="Times New Roman"/>
                <w:i/>
                <w:color w:val="000000"/>
              </w:rPr>
              <w:t>)komunikacyjnych w przedsiębiorstwach i gospodarstwach domowych w 2015 r</w:t>
            </w:r>
            <w:r w:rsidR="005B610F" w:rsidRPr="00201A8D">
              <w:rPr>
                <w:rStyle w:val="Odwoanieprzypisudolnego"/>
                <w:rFonts w:ascii="Times New Roman" w:hAnsi="Times New Roman"/>
                <w:i/>
                <w:color w:val="000000"/>
              </w:rPr>
              <w:footnoteReference w:id="1"/>
            </w:r>
            <w:r w:rsidRPr="00201A8D">
              <w:rPr>
                <w:rFonts w:ascii="Times New Roman" w:hAnsi="Times New Roman"/>
                <w:i/>
                <w:color w:val="000000"/>
              </w:rPr>
              <w:t>.</w:t>
            </w:r>
            <w:r w:rsidRPr="00201A8D">
              <w:rPr>
                <w:rFonts w:ascii="Times New Roman" w:hAnsi="Times New Roman"/>
                <w:color w:val="000000"/>
              </w:rPr>
              <w:t xml:space="preserve"> oraz zlecone przez Ministerstwo Administracji i Cyfryzacji </w:t>
            </w:r>
            <w:r w:rsidRPr="00201A8D">
              <w:rPr>
                <w:rFonts w:ascii="Times New Roman" w:hAnsi="Times New Roman"/>
                <w:i/>
                <w:color w:val="000000"/>
              </w:rPr>
              <w:t>Badanie wpływu cyfryzacji na działanie urzędów administracji publicznej w Polsce w 2014 roku</w:t>
            </w:r>
            <w:r w:rsidR="005B610F" w:rsidRPr="00201A8D">
              <w:rPr>
                <w:rStyle w:val="Odwoanieprzypisudolnego"/>
                <w:rFonts w:ascii="Times New Roman" w:hAnsi="Times New Roman"/>
                <w:color w:val="000000"/>
              </w:rPr>
              <w:footnoteReference w:id="2"/>
            </w:r>
            <w:r w:rsidRPr="00201A8D">
              <w:rPr>
                <w:rFonts w:ascii="Times New Roman" w:hAnsi="Times New Roman"/>
                <w:color w:val="000000"/>
              </w:rPr>
              <w:t xml:space="preserve"> wskazują na znaczną skalę problemu, jakim jest niskie wykorzystanie ustrukturyzowanych faktur elektronicznych w zamówieniach publicznych i obrocie gospodarczym (e-faktury ustrukturyzowane są to takie faktury, które pozwalają na automatyczne przekazywanie i przetwarzanie w komputerowych systemach finansowo-księgowych, bez manualnego wprowadzania danych przez człowieka).</w:t>
            </w:r>
          </w:p>
          <w:p w14:paraId="363C9DBC" w14:textId="77777777" w:rsidR="008953F4" w:rsidRPr="00201A8D" w:rsidRDefault="008953F4" w:rsidP="007B422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 xml:space="preserve">Istotnym powodem dla przedmiotowej inicjatywy legislacyjnej jest dążenie do obniżenia kosztów w gospodarce, związanych z wystawianiem, przesyłaniem i księgowaniem faktur w postaci papierowej lub w formie elektronicznej nieustrukturyzowanej. </w:t>
            </w:r>
          </w:p>
          <w:p w14:paraId="656303A4" w14:textId="33CD53C3" w:rsidR="008953F4" w:rsidRPr="00281453" w:rsidRDefault="008953F4" w:rsidP="0064061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Ponadto należy wskazać, iż w licznych unijnych dokumentach programowych [Akt o jednolitym rynku 2 COM(2012) 573, Strategia jednolitego rynku cyfrowego dla Europy COM (2014) 192)] mowa jest o uczynieniu elektronicznego fakturowania dominującą formą wymiany dokumentów w zamówieniach publicznych oraz o zbudowaniu w pełni cyfrowych procesów związanych z zamówieniami publicznymi. Przedmiotowy projekt jest instrumentem realizacji wspomnianych celów.</w:t>
            </w:r>
          </w:p>
        </w:tc>
      </w:tr>
      <w:tr w:rsidR="008953F4" w:rsidRPr="008B4FE6" w14:paraId="287D3838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83F1E60" w14:textId="77777777" w:rsidR="008953F4" w:rsidRPr="008B4FE6" w:rsidRDefault="008953F4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8953F4" w:rsidRPr="008B4FE6" w14:paraId="36630E42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</w:tcPr>
          <w:p w14:paraId="66E2932F" w14:textId="77777777" w:rsidR="008953F4" w:rsidRPr="00201A8D" w:rsidRDefault="008953F4" w:rsidP="007B422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Zakresem przedmiotowym projektu ustawy zostaną objęte następujące kwestie:</w:t>
            </w:r>
          </w:p>
          <w:p w14:paraId="1D355FEC" w14:textId="77777777" w:rsidR="008953F4" w:rsidRPr="00201A8D" w:rsidRDefault="008953F4" w:rsidP="007B422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• możliwość wystawiania i wysyłania przez wykonawców oraz obowiązek przyjmowania przez zamawiających ustrukturyzowanych faktur elektronicznych, związanych z realizacją zamówień publicznych w rozumieniu ustawy Prawo zamówień publicznych,</w:t>
            </w:r>
          </w:p>
          <w:p w14:paraId="23AD9F27" w14:textId="3D60378F" w:rsidR="008953F4" w:rsidRPr="00201A8D" w:rsidRDefault="008953F4" w:rsidP="007B422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• zasady funkcjonowania systemu teleinformatycznego (platformy elektronicznego fakturowania)</w:t>
            </w:r>
            <w:r w:rsidR="00AE35E7" w:rsidRPr="00201A8D">
              <w:rPr>
                <w:rFonts w:ascii="Times New Roman" w:hAnsi="Times New Roman"/>
                <w:color w:val="000000"/>
              </w:rPr>
              <w:t>,</w:t>
            </w:r>
            <w:r w:rsidRPr="00201A8D">
              <w:rPr>
                <w:rFonts w:ascii="Times New Roman" w:hAnsi="Times New Roman"/>
                <w:color w:val="000000"/>
              </w:rPr>
              <w:t xml:space="preserve"> służącego do wymiany dokumentów elektronicznych i ustrukturyzowanych faktur elektronicznych oraz przetwarzania i udostępniania informacji związanych z realizacją zamówień publicznych.</w:t>
            </w:r>
          </w:p>
          <w:p w14:paraId="56BF5A68" w14:textId="5F5EB428" w:rsidR="008953F4" w:rsidRPr="00201A8D" w:rsidRDefault="008953F4" w:rsidP="007B422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Wykonawcy i zamawiający lub inni przedsiębiorcy już w tej chwili wystawiają i księgują faktury w przeważającej mierze z wykorzystaniem komputerowych systemów finansowo-księgowych. Jeżeli faktura ma postać papierową, to dochodzą do tego koszty związane z jej wydrukiem i przekazaniem za pośrednictwem tradycyjnej poczty. Natomiast znacząco zmniejszą się koszty związane z ich drukowaniem i przesyłaniem ze względu na automatyczną komunikację pomiędzy systemami teleinformatycznymi.</w:t>
            </w:r>
          </w:p>
          <w:p w14:paraId="6713400C" w14:textId="555D69EA" w:rsidR="008953F4" w:rsidRPr="00201A8D" w:rsidRDefault="008953F4" w:rsidP="007B422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lastRenderedPageBreak/>
              <w:t>Projekt ustawy o fakturowaniu elektronicznym w zamówieniach publicznych jest zgodny z prawem Unii Europejskiej.</w:t>
            </w:r>
          </w:p>
          <w:p w14:paraId="688CEEE3" w14:textId="41009D29" w:rsidR="00640618" w:rsidRPr="00201A8D" w:rsidRDefault="00AE35E7" w:rsidP="00640618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D</w:t>
            </w:r>
            <w:r w:rsidR="00640618" w:rsidRPr="00201A8D">
              <w:rPr>
                <w:rFonts w:ascii="Times New Roman" w:hAnsi="Times New Roman"/>
                <w:color w:val="000000"/>
              </w:rPr>
              <w:t>o celów doraźnych należy zaliczyć:</w:t>
            </w:r>
          </w:p>
          <w:p w14:paraId="01B57534" w14:textId="6F8494F3" w:rsidR="00640618" w:rsidRPr="00201A8D" w:rsidRDefault="00640618" w:rsidP="00640618">
            <w:pPr>
              <w:pStyle w:val="Bezodstpw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 xml:space="preserve">wypełnienie obowiązków, jakie spoczywają na Polsce, jako państwie członkowskim </w:t>
            </w:r>
            <w:r w:rsidRPr="00201A8D">
              <w:rPr>
                <w:rFonts w:ascii="Times New Roman" w:hAnsi="Times New Roman"/>
                <w:color w:val="000000"/>
              </w:rPr>
              <w:br/>
              <w:t xml:space="preserve">Unii Europejskiej, w zakresie transpozycji </w:t>
            </w:r>
            <w:r w:rsidR="007B733F">
              <w:rPr>
                <w:rFonts w:ascii="Times New Roman" w:hAnsi="Times New Roman"/>
                <w:color w:val="000000"/>
              </w:rPr>
              <w:t>D</w:t>
            </w:r>
            <w:r w:rsidRPr="00201A8D">
              <w:rPr>
                <w:rFonts w:ascii="Times New Roman" w:hAnsi="Times New Roman"/>
                <w:color w:val="000000"/>
              </w:rPr>
              <w:t>yrektywy 2014/55/UE,</w:t>
            </w:r>
          </w:p>
          <w:p w14:paraId="295DED3C" w14:textId="77777777" w:rsidR="00640618" w:rsidRPr="00201A8D" w:rsidRDefault="00640618" w:rsidP="00640618">
            <w:pPr>
              <w:pStyle w:val="Bezodstpw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wzrost stosowania rozwiązań elektronicznego fakturowania w zamówieniach publicznych dzięki obowiązkowi przyjmowania e-faktur przez zamawiających,</w:t>
            </w:r>
          </w:p>
          <w:p w14:paraId="1362EA1F" w14:textId="77777777" w:rsidR="00640618" w:rsidRPr="00201A8D" w:rsidRDefault="00640618" w:rsidP="00640618">
            <w:pPr>
              <w:pStyle w:val="Bezodstpw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wzrost stosowania e-faktur w obrocie gospodarczym, w związku z realizacją procesów związanych z zamówieniami publicznymi,</w:t>
            </w:r>
          </w:p>
          <w:p w14:paraId="54BC7124" w14:textId="77777777" w:rsidR="00640618" w:rsidRPr="00201A8D" w:rsidRDefault="00640618" w:rsidP="00640618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ułatwienie uczestniczenia przez polskich przedsiębiorców w zamówieniach publicznych innych państw członkowskich Unii Europejskiej.</w:t>
            </w:r>
          </w:p>
          <w:p w14:paraId="5C4D4FAA" w14:textId="77777777" w:rsidR="00640618" w:rsidRPr="00201A8D" w:rsidRDefault="00640618" w:rsidP="00640618">
            <w:pPr>
              <w:pStyle w:val="Bezodstpw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Jako cele długofalowe należy wskazać:</w:t>
            </w:r>
          </w:p>
          <w:p w14:paraId="1CF60194" w14:textId="77777777" w:rsidR="00640618" w:rsidRPr="00201A8D" w:rsidRDefault="00640618" w:rsidP="00640618">
            <w:pPr>
              <w:pStyle w:val="Bezodstpw"/>
              <w:numPr>
                <w:ilvl w:val="0"/>
                <w:numId w:val="24"/>
              </w:num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 xml:space="preserve">standaryzację sposobu dokumentowania realizacji zamówień publicznych i elektronicznego fakturowania, </w:t>
            </w:r>
          </w:p>
          <w:p w14:paraId="24A755EC" w14:textId="77777777" w:rsidR="00640618" w:rsidRPr="00201A8D" w:rsidRDefault="00640618" w:rsidP="00640618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obniżenie kosztów funkcjonowania przedsiębiorstw i wzrost ich konkurencyjności.</w:t>
            </w:r>
          </w:p>
          <w:p w14:paraId="4297F954" w14:textId="77777777" w:rsidR="00640618" w:rsidRPr="00201A8D" w:rsidRDefault="00640618" w:rsidP="00640618">
            <w:pPr>
              <w:pStyle w:val="Bezodstpw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Jako potencjalne i spodziewane korzyści należy wskazać:</w:t>
            </w:r>
          </w:p>
          <w:p w14:paraId="5B44E700" w14:textId="77777777" w:rsidR="00640618" w:rsidRPr="00201A8D" w:rsidRDefault="00640618" w:rsidP="00640618">
            <w:pPr>
              <w:pStyle w:val="Bezodstpw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wzrost konkurencyjności polskiej gospodarki, w tym zwiększenie udziału polskich przedsiębiorców w rynkach zamówień publicznych innych państw członkowskich Unii Europejskiej,</w:t>
            </w:r>
          </w:p>
          <w:p w14:paraId="7D5EE2E2" w14:textId="77777777" w:rsidR="00640618" w:rsidRPr="00201A8D" w:rsidRDefault="00640618" w:rsidP="00640618">
            <w:pPr>
              <w:pStyle w:val="Bezodstpw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 xml:space="preserve">obniżenie kosztów transakcyjnych w obrocie gospodarczym i w sprzedaży konsumentom indywidualnym, </w:t>
            </w:r>
          </w:p>
          <w:p w14:paraId="57FC7074" w14:textId="77777777" w:rsidR="00640618" w:rsidRPr="00201A8D" w:rsidRDefault="00640618" w:rsidP="007B422B">
            <w:pPr>
              <w:pStyle w:val="Bezodstpw"/>
              <w:numPr>
                <w:ilvl w:val="0"/>
                <w:numId w:val="22"/>
              </w:num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korzystny wpływ na rozwój krajowego rynku płatności bezgotówkowych.</w:t>
            </w:r>
          </w:p>
          <w:p w14:paraId="05FC2D50" w14:textId="2C829E22" w:rsidR="00F449AE" w:rsidRPr="00201A8D" w:rsidRDefault="00F449AE" w:rsidP="00EC5DBB">
            <w:pPr>
              <w:pStyle w:val="Bezodstpw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 xml:space="preserve">Ze względu na to, że projekt ustawy </w:t>
            </w:r>
            <w:r w:rsidR="00CE2557">
              <w:rPr>
                <w:rFonts w:ascii="Times New Roman" w:hAnsi="Times New Roman"/>
                <w:color w:val="000000"/>
              </w:rPr>
              <w:t>dokonuje transpozycji</w:t>
            </w:r>
            <w:r w:rsidRPr="00201A8D">
              <w:rPr>
                <w:rFonts w:ascii="Times New Roman" w:hAnsi="Times New Roman"/>
                <w:color w:val="000000"/>
              </w:rPr>
              <w:t xml:space="preserve"> przepisów Dyrektywy 2014/55/UE do polskiego porządku prawnego nie ma możliwości rozważenia innej formy interwencji państwa w rozwiązanie problemu niż wprowadz</w:t>
            </w:r>
            <w:r w:rsidR="00CE2557">
              <w:rPr>
                <w:rFonts w:ascii="Times New Roman" w:hAnsi="Times New Roman"/>
                <w:color w:val="000000"/>
              </w:rPr>
              <w:t>enie regulacji w postaci ustawy.</w:t>
            </w:r>
            <w:r w:rsidR="00135046">
              <w:rPr>
                <w:rFonts w:ascii="Times New Roman" w:hAnsi="Times New Roman"/>
                <w:color w:val="000000"/>
              </w:rPr>
              <w:t xml:space="preserve"> Zgodnie z art. 11 ust. 1 wspomnianej Dyrektywy „</w:t>
            </w:r>
            <w:r w:rsidR="00135046" w:rsidRPr="00135046">
              <w:rPr>
                <w:rFonts w:ascii="Times New Roman" w:hAnsi="Times New Roman"/>
                <w:color w:val="000000"/>
              </w:rPr>
              <w:t>Państwa członkowskie przyjmują, publikują i stosują przepisy ustawowe, wykonawcze i administracyjne niezbędne do wykonania niniejszej dyrektywy nie później niż dnia 27 listopada 2018 r. Niezwłocznie przekazują Komisji teksty tych przepisów.</w:t>
            </w:r>
            <w:r w:rsidR="00135046">
              <w:rPr>
                <w:rFonts w:ascii="Times New Roman" w:hAnsi="Times New Roman"/>
                <w:color w:val="000000"/>
              </w:rPr>
              <w:t>”</w:t>
            </w:r>
          </w:p>
        </w:tc>
      </w:tr>
      <w:tr w:rsidR="008953F4" w:rsidRPr="008B4FE6" w14:paraId="1AEBFB57" w14:textId="77777777" w:rsidTr="00081220">
        <w:trPr>
          <w:gridAfter w:val="1"/>
          <w:wAfter w:w="10" w:type="dxa"/>
          <w:trHeight w:val="307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1126DCA9" w14:textId="3E9D5583" w:rsidR="008953F4" w:rsidRPr="00AD59D1" w:rsidRDefault="00640618" w:rsidP="00741B3E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highlight w:val="red"/>
              </w:rPr>
            </w:pPr>
            <w:r w:rsidRPr="00741B3E">
              <w:rPr>
                <w:rFonts w:ascii="Times New Roman" w:hAnsi="Times New Roman"/>
                <w:b/>
                <w:color w:val="000000"/>
              </w:rPr>
              <w:lastRenderedPageBreak/>
              <w:t>Jak problem został rozwiązany w innych krajach, w szczególności krajach członkowskich OECD/UE?</w:t>
            </w:r>
          </w:p>
        </w:tc>
      </w:tr>
      <w:tr w:rsidR="008953F4" w:rsidRPr="008B4FE6" w14:paraId="67DA9E9B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</w:tcPr>
          <w:p w14:paraId="6A15F811" w14:textId="03D92620" w:rsidR="008953F4" w:rsidRPr="00201A8D" w:rsidRDefault="00A06B96" w:rsidP="007B733F">
            <w:pPr>
              <w:spacing w:line="240" w:lineRule="auto"/>
              <w:jc w:val="both"/>
              <w:rPr>
                <w:rFonts w:ascii="Times New Roman" w:hAnsi="Times New Roman"/>
                <w:spacing w:val="-2"/>
                <w:highlight w:val="red"/>
              </w:rPr>
            </w:pPr>
            <w:r w:rsidRPr="00201A8D">
              <w:rPr>
                <w:rFonts w:ascii="Times New Roman" w:hAnsi="Times New Roman"/>
                <w:spacing w:val="-2"/>
              </w:rPr>
              <w:t>Większość państw członkowskich</w:t>
            </w:r>
            <w:r w:rsidR="00AE35E7" w:rsidRPr="00201A8D">
              <w:rPr>
                <w:rFonts w:ascii="Times New Roman" w:hAnsi="Times New Roman"/>
                <w:spacing w:val="-2"/>
              </w:rPr>
              <w:t>,</w:t>
            </w:r>
            <w:r w:rsidRPr="00201A8D">
              <w:rPr>
                <w:rFonts w:ascii="Times New Roman" w:hAnsi="Times New Roman"/>
                <w:spacing w:val="-2"/>
              </w:rPr>
              <w:t xml:space="preserve"> a zwłaszcza n</w:t>
            </w:r>
            <w:r w:rsidR="00AE35E7" w:rsidRPr="00201A8D">
              <w:rPr>
                <w:rFonts w:ascii="Times New Roman" w:hAnsi="Times New Roman"/>
                <w:spacing w:val="-2"/>
              </w:rPr>
              <w:t xml:space="preserve">ajbardziej zaawansowane </w:t>
            </w:r>
            <w:r w:rsidRPr="00201A8D">
              <w:rPr>
                <w:rFonts w:ascii="Times New Roman" w:hAnsi="Times New Roman"/>
                <w:spacing w:val="-2"/>
              </w:rPr>
              <w:t xml:space="preserve">kraje UE, uznając konieczność wsparcia wdrożenia </w:t>
            </w:r>
            <w:r w:rsidR="007B733F">
              <w:rPr>
                <w:rFonts w:ascii="Times New Roman" w:hAnsi="Times New Roman"/>
                <w:spacing w:val="-2"/>
              </w:rPr>
              <w:t>D</w:t>
            </w:r>
            <w:r w:rsidRPr="00201A8D">
              <w:rPr>
                <w:rFonts w:ascii="Times New Roman" w:hAnsi="Times New Roman"/>
                <w:spacing w:val="-2"/>
              </w:rPr>
              <w:t xml:space="preserve">yrektywy w wymiarze organizacyjno-technicznym, wprowadziła lub jest w trakcie wprowadzania regulacji określających sposoby wdrożenia i wykonania nowych przepisów o e-fakturowaniu w dostawach publicznych. M.in. Francja wdrożyła ustawę o obowiązkowych narzędziach odbioru e-faktur (platforma </w:t>
            </w:r>
            <w:proofErr w:type="spellStart"/>
            <w:r w:rsidRPr="00201A8D">
              <w:rPr>
                <w:rFonts w:ascii="Times New Roman" w:hAnsi="Times New Roman"/>
                <w:spacing w:val="-2"/>
              </w:rPr>
              <w:t>Chorus</w:t>
            </w:r>
            <w:proofErr w:type="spellEnd"/>
            <w:r w:rsidRPr="00201A8D">
              <w:rPr>
                <w:rFonts w:ascii="Times New Roman" w:hAnsi="Times New Roman"/>
                <w:spacing w:val="-2"/>
              </w:rPr>
              <w:t xml:space="preserve">) oraz rozłożony do </w:t>
            </w:r>
            <w:r w:rsidR="003712C0" w:rsidRPr="00201A8D">
              <w:rPr>
                <w:rFonts w:ascii="Times New Roman" w:hAnsi="Times New Roman"/>
                <w:spacing w:val="-2"/>
              </w:rPr>
              <w:t xml:space="preserve">wdrożenia do </w:t>
            </w:r>
            <w:r w:rsidRPr="00201A8D">
              <w:rPr>
                <w:rFonts w:ascii="Times New Roman" w:hAnsi="Times New Roman"/>
                <w:spacing w:val="-2"/>
              </w:rPr>
              <w:t xml:space="preserve">2020 roku obowiązek wystawiania faktur elektronicznych przez wszystkich dostawców objętych </w:t>
            </w:r>
            <w:proofErr w:type="spellStart"/>
            <w:r w:rsidRPr="00201A8D">
              <w:rPr>
                <w:rFonts w:ascii="Times New Roman" w:hAnsi="Times New Roman"/>
                <w:spacing w:val="-2"/>
              </w:rPr>
              <w:t>Pzp</w:t>
            </w:r>
            <w:proofErr w:type="spellEnd"/>
            <w:r w:rsidRPr="00201A8D">
              <w:rPr>
                <w:rFonts w:ascii="Times New Roman" w:hAnsi="Times New Roman"/>
                <w:spacing w:val="-2"/>
              </w:rPr>
              <w:t xml:space="preserve">. Włochy, Hiszpania, </w:t>
            </w:r>
            <w:r w:rsidR="00503511" w:rsidRPr="00201A8D">
              <w:rPr>
                <w:rFonts w:ascii="Times New Roman" w:hAnsi="Times New Roman"/>
                <w:spacing w:val="-2"/>
              </w:rPr>
              <w:t xml:space="preserve">Austria, </w:t>
            </w:r>
            <w:r w:rsidRPr="00201A8D">
              <w:rPr>
                <w:rFonts w:ascii="Times New Roman" w:hAnsi="Times New Roman"/>
                <w:spacing w:val="-2"/>
              </w:rPr>
              <w:t>Belgia, Holandia</w:t>
            </w:r>
            <w:r w:rsidR="00503511" w:rsidRPr="00201A8D">
              <w:rPr>
                <w:rFonts w:ascii="Times New Roman" w:hAnsi="Times New Roman"/>
                <w:spacing w:val="-2"/>
              </w:rPr>
              <w:t>, Dania</w:t>
            </w:r>
            <w:r w:rsidRPr="00201A8D">
              <w:rPr>
                <w:rFonts w:ascii="Times New Roman" w:hAnsi="Times New Roman"/>
                <w:spacing w:val="-2"/>
              </w:rPr>
              <w:t xml:space="preserve"> to kolejne kraje wdrażające przepisy Dyrektywy w sposób wspierany przez państwo, które tworzy i udostępnia platformy usług elektronicznych </w:t>
            </w:r>
            <w:r w:rsidR="003712C0" w:rsidRPr="00201A8D">
              <w:rPr>
                <w:rFonts w:ascii="Times New Roman" w:hAnsi="Times New Roman"/>
                <w:spacing w:val="-2"/>
              </w:rPr>
              <w:t>realizujących</w:t>
            </w:r>
            <w:r w:rsidRPr="00201A8D">
              <w:rPr>
                <w:rFonts w:ascii="Times New Roman" w:hAnsi="Times New Roman"/>
                <w:spacing w:val="-2"/>
              </w:rPr>
              <w:t xml:space="preserve"> obsługę dostaw publicznych, w tym e-fakturowanie. </w:t>
            </w:r>
            <w:r w:rsidR="00503511" w:rsidRPr="00201A8D">
              <w:rPr>
                <w:rFonts w:ascii="Times New Roman" w:hAnsi="Times New Roman"/>
                <w:spacing w:val="-2"/>
              </w:rPr>
              <w:t xml:space="preserve">Austria ponadto dopuszcza możliwość zobowiązania dostawców dla jednostek publicznych do przekazywania faktur za dostawy w postaci elektronicznej. Szwecja wprowadza działania, których celem jest całkowita eliminacja papierowych form dokumentów w administracji publicznej. </w:t>
            </w:r>
            <w:r w:rsidR="003712C0" w:rsidRPr="00201A8D">
              <w:rPr>
                <w:rFonts w:ascii="Times New Roman" w:hAnsi="Times New Roman"/>
                <w:spacing w:val="-2"/>
              </w:rPr>
              <w:t xml:space="preserve">Wszystkie kraje wdrażają przepisy krajowe </w:t>
            </w:r>
            <w:r w:rsidR="00F6747A" w:rsidRPr="00201A8D">
              <w:rPr>
                <w:rFonts w:ascii="Times New Roman" w:hAnsi="Times New Roman"/>
                <w:spacing w:val="-2"/>
              </w:rPr>
              <w:t>implementujące</w:t>
            </w:r>
            <w:r w:rsidR="003712C0" w:rsidRPr="00201A8D">
              <w:rPr>
                <w:rFonts w:ascii="Times New Roman" w:hAnsi="Times New Roman"/>
                <w:spacing w:val="-2"/>
              </w:rPr>
              <w:t xml:space="preserve"> postanowienia </w:t>
            </w:r>
            <w:r w:rsidR="007B733F">
              <w:rPr>
                <w:rFonts w:ascii="Times New Roman" w:hAnsi="Times New Roman"/>
                <w:spacing w:val="-2"/>
              </w:rPr>
              <w:t>D</w:t>
            </w:r>
            <w:r w:rsidR="003712C0" w:rsidRPr="00201A8D">
              <w:rPr>
                <w:rFonts w:ascii="Times New Roman" w:hAnsi="Times New Roman"/>
                <w:spacing w:val="-2"/>
              </w:rPr>
              <w:t>yrektywy, ze szczególnym uwzględnieniem nowych wymagań dotyczących europejskiego standardu faktur elektronicznych</w:t>
            </w:r>
            <w:r w:rsidR="00503511" w:rsidRPr="00201A8D">
              <w:rPr>
                <w:rFonts w:ascii="Times New Roman" w:hAnsi="Times New Roman"/>
                <w:spacing w:val="-2"/>
              </w:rPr>
              <w:t>, w tym m.in. wprost wykluczając nieustrukturyzowane formaty tych dokumentów.</w:t>
            </w:r>
          </w:p>
        </w:tc>
      </w:tr>
      <w:tr w:rsidR="008953F4" w:rsidRPr="008B4FE6" w14:paraId="2A0C6074" w14:textId="77777777" w:rsidTr="00081220">
        <w:trPr>
          <w:gridAfter w:val="1"/>
          <w:wAfter w:w="10" w:type="dxa"/>
          <w:trHeight w:val="359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490398DE" w14:textId="77777777" w:rsidR="008953F4" w:rsidRPr="008B4FE6" w:rsidRDefault="008953F4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8953F4" w:rsidRPr="008B4FE6" w14:paraId="7D629548" w14:textId="77777777" w:rsidTr="00081220">
        <w:trPr>
          <w:gridAfter w:val="1"/>
          <w:wAfter w:w="10" w:type="dxa"/>
          <w:trHeight w:val="142"/>
        </w:trPr>
        <w:tc>
          <w:tcPr>
            <w:tcW w:w="1834" w:type="dxa"/>
            <w:gridSpan w:val="2"/>
          </w:tcPr>
          <w:p w14:paraId="37DD19E2" w14:textId="77777777" w:rsidR="008953F4" w:rsidRPr="00201A8D" w:rsidRDefault="008953F4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43" w:type="dxa"/>
            <w:gridSpan w:val="5"/>
          </w:tcPr>
          <w:p w14:paraId="3836C17A" w14:textId="77777777" w:rsidR="008953F4" w:rsidRPr="00201A8D" w:rsidRDefault="008953F4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136" w:type="dxa"/>
            <w:gridSpan w:val="6"/>
          </w:tcPr>
          <w:p w14:paraId="27A93F03" w14:textId="77777777" w:rsidR="008953F4" w:rsidRPr="00201A8D" w:rsidRDefault="008953F4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201A8D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5124" w:type="dxa"/>
            <w:gridSpan w:val="12"/>
          </w:tcPr>
          <w:p w14:paraId="22E319D4" w14:textId="77777777" w:rsidR="008953F4" w:rsidRPr="00201A8D" w:rsidRDefault="008953F4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182A45" w:rsidRPr="008B4FE6" w14:paraId="08DA70A3" w14:textId="77777777" w:rsidTr="00081220">
        <w:trPr>
          <w:gridAfter w:val="1"/>
          <w:wAfter w:w="10" w:type="dxa"/>
          <w:trHeight w:val="142"/>
        </w:trPr>
        <w:tc>
          <w:tcPr>
            <w:tcW w:w="1834" w:type="dxa"/>
            <w:gridSpan w:val="2"/>
          </w:tcPr>
          <w:p w14:paraId="4A05DEFF" w14:textId="73B31F83" w:rsidR="00182A45" w:rsidRPr="00201A8D" w:rsidRDefault="008044C7" w:rsidP="00633F43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</w:rPr>
              <w:t>Z</w:t>
            </w:r>
            <w:r w:rsidR="00182A45" w:rsidRPr="00201A8D">
              <w:rPr>
                <w:rFonts w:ascii="Times New Roman" w:hAnsi="Times New Roman"/>
              </w:rPr>
              <w:t>amawiający</w:t>
            </w:r>
          </w:p>
        </w:tc>
        <w:tc>
          <w:tcPr>
            <w:tcW w:w="1843" w:type="dxa"/>
            <w:gridSpan w:val="5"/>
          </w:tcPr>
          <w:p w14:paraId="39581DFA" w14:textId="77777777" w:rsidR="00182A45" w:rsidRPr="00201A8D" w:rsidRDefault="00182A45" w:rsidP="0041747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35 116</w:t>
            </w:r>
          </w:p>
          <w:p w14:paraId="5E48AF95" w14:textId="77777777" w:rsidR="00182A45" w:rsidRPr="00201A8D" w:rsidRDefault="00182A45" w:rsidP="00633F43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136" w:type="dxa"/>
            <w:gridSpan w:val="6"/>
          </w:tcPr>
          <w:p w14:paraId="0482C4AF" w14:textId="0EA2DDFA" w:rsidR="00182A45" w:rsidRPr="00201A8D" w:rsidRDefault="00AE35E7" w:rsidP="0041747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Sprawozdanie</w:t>
            </w:r>
            <w:r w:rsidRPr="00201A8D">
              <w:rPr>
                <w:rStyle w:val="Odwoanieprzypisudolnego"/>
                <w:rFonts w:ascii="Times New Roman" w:hAnsi="Times New Roman"/>
                <w:spacing w:val="-2"/>
              </w:rPr>
              <w:footnoteReference w:id="3"/>
            </w:r>
            <w:r w:rsidR="00182A45" w:rsidRPr="00201A8D">
              <w:rPr>
                <w:rFonts w:ascii="Times New Roman" w:hAnsi="Times New Roman"/>
                <w:spacing w:val="-2"/>
              </w:rPr>
              <w:t xml:space="preserve"> Prezesa Urzędu Zamówień Publicznych z funkcjonowania systemu zamówień publicznych w 2016 r. </w:t>
            </w:r>
          </w:p>
          <w:p w14:paraId="2584C3E4" w14:textId="77777777" w:rsidR="00182A45" w:rsidRPr="00201A8D" w:rsidRDefault="00182A45" w:rsidP="00633F43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24" w:type="dxa"/>
            <w:gridSpan w:val="12"/>
          </w:tcPr>
          <w:p w14:paraId="27C01E48" w14:textId="4A1BED09" w:rsidR="00182A45" w:rsidRPr="00201A8D" w:rsidRDefault="00182A45" w:rsidP="00417475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 xml:space="preserve">wykonanie przepisów prawa wynikającego z nowej Dyrektywy 2014/55/UE – </w:t>
            </w:r>
            <w:r w:rsidR="00741B3E" w:rsidRPr="00201A8D">
              <w:rPr>
                <w:rFonts w:ascii="Times New Roman" w:hAnsi="Times New Roman"/>
                <w:spacing w:val="-2"/>
              </w:rPr>
              <w:t>obowiązek Państwa członkowskiego w wykonaniu zobowiązań TFUE</w:t>
            </w:r>
          </w:p>
          <w:p w14:paraId="1056662F" w14:textId="33024BD8" w:rsidR="00182A45" w:rsidRPr="00201A8D" w:rsidRDefault="00182A45" w:rsidP="00417475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elektronizacja i automatyzacja procesu fakturowania, która pozwoli zmniejszyć pracochłonność i koszty obsługi administracyjnej w jednostkach sfery finansów publicznych, usprawnić i ułatwić działania</w:t>
            </w:r>
            <w:r w:rsidR="00AE35E7" w:rsidRPr="00201A8D">
              <w:rPr>
                <w:rFonts w:ascii="Times New Roman" w:hAnsi="Times New Roman"/>
                <w:spacing w:val="-2"/>
              </w:rPr>
              <w:t xml:space="preserve"> – konieczność dostosowania się do wymogów platformy elektronicznego fakturowania i normy europejskiej EN 16931</w:t>
            </w:r>
          </w:p>
          <w:p w14:paraId="5D9ACB20" w14:textId="77777777" w:rsidR="00182A45" w:rsidRPr="00201A8D" w:rsidRDefault="00182A45" w:rsidP="00417475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 xml:space="preserve"> możliwość pełnej obsługi zamówienia publicznego </w:t>
            </w:r>
            <w:r w:rsidRPr="00201A8D">
              <w:rPr>
                <w:rFonts w:ascii="Times New Roman" w:hAnsi="Times New Roman"/>
                <w:spacing w:val="-2"/>
              </w:rPr>
              <w:lastRenderedPageBreak/>
              <w:t>oraz monitorowania  realizację dostaw publicznych poprzez automatyzację towarzyszących fakturowaniu procesów zamawiania oraz rozliczania fizycznych dostaw,</w:t>
            </w:r>
          </w:p>
          <w:p w14:paraId="758EF859" w14:textId="0587FE93" w:rsidR="00182A45" w:rsidRPr="00201A8D" w:rsidRDefault="00182A45" w:rsidP="00A21CFA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  <w:spacing w:val="-2"/>
              </w:rPr>
              <w:t>spójność i integracja procesów realizacji zamówienia publicznego umożliwiająca:</w:t>
            </w:r>
            <w:r w:rsidR="00A21CFA" w:rsidRPr="00201A8D">
              <w:rPr>
                <w:rFonts w:ascii="Times New Roman" w:hAnsi="Times New Roman"/>
                <w:spacing w:val="-2"/>
              </w:rPr>
              <w:t xml:space="preserve"> </w:t>
            </w:r>
            <w:r w:rsidRPr="00201A8D">
              <w:rPr>
                <w:rFonts w:ascii="Times New Roman" w:hAnsi="Times New Roman"/>
                <w:spacing w:val="-2"/>
              </w:rPr>
              <w:t>eliminowanie błędów w realizacji poszczególnych etapów zamówienia publicznego oraz fakturowania i płatności, pilnowanie terminów realizacji zamówień i skuteczne przeciwdziałanie opóźnieniem, elektroni</w:t>
            </w:r>
            <w:r w:rsidR="00A21CFA" w:rsidRPr="00201A8D">
              <w:rPr>
                <w:rFonts w:ascii="Times New Roman" w:hAnsi="Times New Roman"/>
                <w:spacing w:val="-2"/>
              </w:rPr>
              <w:t xml:space="preserve">czne kompletowanie dokumentacji, </w:t>
            </w:r>
            <w:r w:rsidRPr="00201A8D">
              <w:rPr>
                <w:rFonts w:ascii="Times New Roman" w:hAnsi="Times New Roman"/>
                <w:spacing w:val="-2"/>
              </w:rPr>
              <w:t>pełną transparentność i kontrolę procesu realizacji zamówień publicznych.</w:t>
            </w:r>
          </w:p>
        </w:tc>
      </w:tr>
      <w:tr w:rsidR="00182A45" w:rsidRPr="008B4FE6" w14:paraId="54AF0E96" w14:textId="77777777" w:rsidTr="00081220">
        <w:trPr>
          <w:gridAfter w:val="1"/>
          <w:wAfter w:w="10" w:type="dxa"/>
          <w:trHeight w:val="142"/>
        </w:trPr>
        <w:tc>
          <w:tcPr>
            <w:tcW w:w="1834" w:type="dxa"/>
            <w:gridSpan w:val="2"/>
          </w:tcPr>
          <w:p w14:paraId="3F1FCBE5" w14:textId="14DA4F15" w:rsidR="00182A45" w:rsidRPr="00201A8D" w:rsidRDefault="00182A45" w:rsidP="00633F43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color w:val="000000"/>
              </w:rPr>
              <w:lastRenderedPageBreak/>
              <w:t>Przedsiębiorcy (wykonawcy w rozumieniu ustawy PZP)</w:t>
            </w:r>
          </w:p>
        </w:tc>
        <w:tc>
          <w:tcPr>
            <w:tcW w:w="1843" w:type="dxa"/>
            <w:gridSpan w:val="5"/>
          </w:tcPr>
          <w:p w14:paraId="41DDF040" w14:textId="1618A270" w:rsidR="00182A45" w:rsidRPr="00201A8D" w:rsidRDefault="00182A45" w:rsidP="00633F43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18166 (od 30 000 EUR)</w:t>
            </w:r>
          </w:p>
        </w:tc>
        <w:tc>
          <w:tcPr>
            <w:tcW w:w="2136" w:type="dxa"/>
            <w:gridSpan w:val="6"/>
          </w:tcPr>
          <w:p w14:paraId="7A569BD7" w14:textId="4A1C52F1" w:rsidR="00182A45" w:rsidRPr="00201A8D" w:rsidRDefault="00182A45" w:rsidP="00633F43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Sprawozdanie Prezesa Urzędu Zamówień Publicznych z funkcjonowania systemu zamówień publicznych w 2016 r.</w:t>
            </w:r>
          </w:p>
        </w:tc>
        <w:tc>
          <w:tcPr>
            <w:tcW w:w="5124" w:type="dxa"/>
            <w:gridSpan w:val="12"/>
          </w:tcPr>
          <w:p w14:paraId="3BA6C07E" w14:textId="2B89866C" w:rsidR="00182A45" w:rsidRPr="00201A8D" w:rsidRDefault="00AE35E7" w:rsidP="00AE35E7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m</w:t>
            </w:r>
            <w:r w:rsidR="00182A45" w:rsidRPr="00201A8D">
              <w:rPr>
                <w:rFonts w:ascii="Times New Roman" w:hAnsi="Times New Roman"/>
                <w:spacing w:val="-2"/>
              </w:rPr>
              <w:t>ożliwość wystawiania i przekazywania do zamawiających ustrukturyzowanych faktur elektronicznych po wejściu ustawy w życie, nie  później niż do 26 listopada 2018 r. (data transpozycji)</w:t>
            </w:r>
            <w:r w:rsidRPr="00201A8D">
              <w:rPr>
                <w:rFonts w:ascii="Times New Roman" w:hAnsi="Times New Roman"/>
                <w:spacing w:val="-2"/>
              </w:rPr>
              <w:t xml:space="preserve"> - konieczność dostosowania się do wymogów platformy elektronicznego fakturowania i normy europejskiej EN 16931</w:t>
            </w:r>
          </w:p>
          <w:p w14:paraId="67A58A14" w14:textId="7BB5152A" w:rsidR="00182A45" w:rsidRPr="00201A8D" w:rsidRDefault="00182A45" w:rsidP="005C5EA9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82A45" w:rsidRPr="008B4FE6" w14:paraId="52F834AD" w14:textId="77777777" w:rsidTr="00081220">
        <w:trPr>
          <w:gridAfter w:val="1"/>
          <w:wAfter w:w="10" w:type="dxa"/>
          <w:trHeight w:val="142"/>
        </w:trPr>
        <w:tc>
          <w:tcPr>
            <w:tcW w:w="1834" w:type="dxa"/>
            <w:gridSpan w:val="2"/>
          </w:tcPr>
          <w:p w14:paraId="5ACF6ADB" w14:textId="5AD841B3" w:rsidR="00182A45" w:rsidRPr="00201A8D" w:rsidRDefault="00182A45" w:rsidP="00633F43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color w:val="000000"/>
              </w:rPr>
              <w:t>Przedsiębiorcy – dostawcy oprogramowania</w:t>
            </w:r>
          </w:p>
        </w:tc>
        <w:tc>
          <w:tcPr>
            <w:tcW w:w="1843" w:type="dxa"/>
            <w:gridSpan w:val="5"/>
          </w:tcPr>
          <w:p w14:paraId="355D601F" w14:textId="77777777" w:rsidR="00182A45" w:rsidRPr="00201A8D" w:rsidRDefault="00182A45" w:rsidP="0041747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Istnieje trudność w oszacowaniu liczby podmiotów IT dostarczających systemy informatyczne dla administracji.</w:t>
            </w:r>
          </w:p>
          <w:p w14:paraId="62432FA5" w14:textId="77777777" w:rsidR="00182A45" w:rsidRPr="00201A8D" w:rsidRDefault="00182A45" w:rsidP="00633F43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136" w:type="dxa"/>
            <w:gridSpan w:val="6"/>
          </w:tcPr>
          <w:p w14:paraId="4687AFD9" w14:textId="77777777" w:rsidR="00182A45" w:rsidRPr="00201A8D" w:rsidRDefault="00182A45" w:rsidP="00633F43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5124" w:type="dxa"/>
            <w:gridSpan w:val="12"/>
          </w:tcPr>
          <w:p w14:paraId="5E71E8AE" w14:textId="494C8AB3" w:rsidR="00182A45" w:rsidRPr="00201A8D" w:rsidRDefault="00AE35E7" w:rsidP="00AE35E7">
            <w:pPr>
              <w:pStyle w:val="Akapitzlist"/>
              <w:numPr>
                <w:ilvl w:val="0"/>
                <w:numId w:val="28"/>
              </w:num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</w:rPr>
              <w:t>d</w:t>
            </w:r>
            <w:r w:rsidR="00182A45" w:rsidRPr="00201A8D">
              <w:rPr>
                <w:rFonts w:ascii="Times New Roman" w:hAnsi="Times New Roman"/>
              </w:rPr>
              <w:t xml:space="preserve">o kosztów </w:t>
            </w:r>
            <w:r w:rsidR="00182A45" w:rsidRPr="00201A8D">
              <w:rPr>
                <w:rFonts w:ascii="Times New Roman" w:hAnsi="Times New Roman"/>
                <w:color w:val="000000"/>
              </w:rPr>
              <w:t xml:space="preserve">przedsiębiorców dostawców oprogramowania wspierającego elektroniczne fakturowanie </w:t>
            </w:r>
            <w:r w:rsidR="00182A45" w:rsidRPr="00201A8D">
              <w:rPr>
                <w:rFonts w:ascii="Times New Roman" w:hAnsi="Times New Roman"/>
              </w:rPr>
              <w:t>należy zaliczyć koszty związane z przystosowaniem oferowanych  systemów (koszty przygotowania, dostosowania i wdrożenia zmian wymaganych</w:t>
            </w:r>
            <w:r w:rsidRPr="00201A8D">
              <w:rPr>
                <w:rFonts w:ascii="Times New Roman" w:hAnsi="Times New Roman"/>
              </w:rPr>
              <w:t xml:space="preserve"> ustawą) -  konieczność dostosowania się do wymogów platformy elektronicznego fakturowania i normy europejskiej EN 16931</w:t>
            </w:r>
          </w:p>
        </w:tc>
      </w:tr>
      <w:tr w:rsidR="00B555F1" w:rsidRPr="008B4FE6" w14:paraId="401E9592" w14:textId="77777777" w:rsidTr="00081220">
        <w:trPr>
          <w:gridAfter w:val="1"/>
          <w:wAfter w:w="10" w:type="dxa"/>
          <w:trHeight w:val="30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6F16288D" w14:textId="77777777" w:rsidR="00B555F1" w:rsidRPr="008B4FE6" w:rsidRDefault="00B555F1" w:rsidP="00B555F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B555F1" w:rsidRPr="008B4FE6" w14:paraId="3F6C8CD4" w14:textId="77777777" w:rsidTr="00081220">
        <w:trPr>
          <w:gridAfter w:val="1"/>
          <w:wAfter w:w="10" w:type="dxa"/>
          <w:trHeight w:val="342"/>
        </w:trPr>
        <w:tc>
          <w:tcPr>
            <w:tcW w:w="10937" w:type="dxa"/>
            <w:gridSpan w:val="25"/>
            <w:shd w:val="clear" w:color="auto" w:fill="FFFFFF"/>
          </w:tcPr>
          <w:p w14:paraId="55C00975" w14:textId="386B3085" w:rsidR="0066388C" w:rsidRPr="00201A8D" w:rsidRDefault="0066388C" w:rsidP="00182A4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Projekt ustawy został przygotowany w oparciu o założenia</w:t>
            </w:r>
            <w:r w:rsidRPr="00201A8D">
              <w:rPr>
                <w:rStyle w:val="Odwoanieprzypisudolnego"/>
                <w:rFonts w:ascii="Times New Roman" w:hAnsi="Times New Roman"/>
              </w:rPr>
              <w:footnoteReference w:id="4"/>
            </w:r>
            <w:r w:rsidRPr="00201A8D">
              <w:rPr>
                <w:rFonts w:ascii="Times New Roman" w:hAnsi="Times New Roman"/>
              </w:rPr>
              <w:t xml:space="preserve"> (2016 r., numer w wykazie prac RM ZC-7), które podlegały uzgodnieniom w ramach rządowego procesu legislacyjnego (w tym także konsultacjom społecznym/publicznym)</w:t>
            </w:r>
          </w:p>
          <w:p w14:paraId="16BEED3E" w14:textId="1A4BBA37" w:rsidR="00182A45" w:rsidRPr="00201A8D" w:rsidRDefault="00182A45" w:rsidP="00182A4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Dla projektu założeń projektu ustawy nie prowadzono formalnych konsultacji przed rozpoczęciem rządowego procesu legislacyjnego</w:t>
            </w:r>
            <w:r w:rsidR="00727545" w:rsidRPr="00201A8D">
              <w:rPr>
                <w:rFonts w:ascii="Times New Roman" w:hAnsi="Times New Roman"/>
              </w:rPr>
              <w:t xml:space="preserve"> (tzw. </w:t>
            </w:r>
            <w:proofErr w:type="spellStart"/>
            <w:r w:rsidR="00727545" w:rsidRPr="00201A8D">
              <w:rPr>
                <w:rFonts w:ascii="Times New Roman" w:hAnsi="Times New Roman"/>
              </w:rPr>
              <w:t>prekonsultacji</w:t>
            </w:r>
            <w:proofErr w:type="spellEnd"/>
            <w:r w:rsidR="00727545" w:rsidRPr="00201A8D">
              <w:rPr>
                <w:rFonts w:ascii="Times New Roman" w:hAnsi="Times New Roman"/>
              </w:rPr>
              <w:t>)</w:t>
            </w:r>
            <w:r w:rsidRPr="00201A8D">
              <w:rPr>
                <w:rFonts w:ascii="Times New Roman" w:hAnsi="Times New Roman"/>
              </w:rPr>
              <w:t>.</w:t>
            </w:r>
          </w:p>
          <w:p w14:paraId="35A02A42" w14:textId="2D497C42" w:rsidR="00182A45" w:rsidRPr="00201A8D" w:rsidRDefault="00182A45" w:rsidP="00182A4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 xml:space="preserve">W ramach konsultacji publicznych projektu ustawy </w:t>
            </w:r>
            <w:r w:rsidR="00926BCC" w:rsidRPr="00201A8D">
              <w:rPr>
                <w:rFonts w:ascii="Times New Roman" w:hAnsi="Times New Roman"/>
              </w:rPr>
              <w:t xml:space="preserve">prowadzonych </w:t>
            </w:r>
            <w:r w:rsidRPr="00201A8D">
              <w:rPr>
                <w:rFonts w:ascii="Times New Roman" w:hAnsi="Times New Roman"/>
              </w:rPr>
              <w:t xml:space="preserve">Ministerstwo </w:t>
            </w:r>
            <w:r w:rsidR="00926BCC" w:rsidRPr="00201A8D">
              <w:rPr>
                <w:rFonts w:ascii="Times New Roman" w:hAnsi="Times New Roman"/>
              </w:rPr>
              <w:t>Przedsiębiorczości i Technologii</w:t>
            </w:r>
            <w:r w:rsidR="0066388C" w:rsidRPr="00201A8D">
              <w:rPr>
                <w:rFonts w:ascii="Times New Roman" w:hAnsi="Times New Roman"/>
              </w:rPr>
              <w:t xml:space="preserve"> jest planowane przekazanie projektu ustawy partnerom społecznym, a w szczególności</w:t>
            </w:r>
            <w:r w:rsidRPr="00201A8D">
              <w:rPr>
                <w:rFonts w:ascii="Times New Roman" w:hAnsi="Times New Roman"/>
              </w:rPr>
              <w:t>:</w:t>
            </w:r>
          </w:p>
          <w:p w14:paraId="4A25979A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a.</w:t>
            </w:r>
            <w:r w:rsidRPr="00201A8D">
              <w:rPr>
                <w:rFonts w:ascii="Times New Roman" w:hAnsi="Times New Roman"/>
              </w:rPr>
              <w:tab/>
              <w:t>Komisji Krajowej NSZZ „Solidarność,</w:t>
            </w:r>
          </w:p>
          <w:p w14:paraId="1F35C1AB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b.</w:t>
            </w:r>
            <w:r w:rsidRPr="00201A8D">
              <w:rPr>
                <w:rFonts w:ascii="Times New Roman" w:hAnsi="Times New Roman"/>
              </w:rPr>
              <w:tab/>
              <w:t xml:space="preserve">Pracodawcom Rzeczypospolitej Polskiej, </w:t>
            </w:r>
          </w:p>
          <w:p w14:paraId="6C5384FA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c.</w:t>
            </w:r>
            <w:r w:rsidRPr="00201A8D">
              <w:rPr>
                <w:rFonts w:ascii="Times New Roman" w:hAnsi="Times New Roman"/>
              </w:rPr>
              <w:tab/>
              <w:t xml:space="preserve">Związkowi Pracodawców Business Centre Club, </w:t>
            </w:r>
          </w:p>
          <w:p w14:paraId="5B214C13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d.</w:t>
            </w:r>
            <w:r w:rsidRPr="00201A8D">
              <w:rPr>
                <w:rFonts w:ascii="Times New Roman" w:hAnsi="Times New Roman"/>
              </w:rPr>
              <w:tab/>
              <w:t xml:space="preserve">Konfederacji Lewiatan, </w:t>
            </w:r>
          </w:p>
          <w:p w14:paraId="27706C6A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e.</w:t>
            </w:r>
            <w:r w:rsidRPr="00201A8D">
              <w:rPr>
                <w:rFonts w:ascii="Times New Roman" w:hAnsi="Times New Roman"/>
              </w:rPr>
              <w:tab/>
              <w:t xml:space="preserve">Związkowi Rzemiosła Polskiego, </w:t>
            </w:r>
          </w:p>
          <w:p w14:paraId="1EFBED7C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f.</w:t>
            </w:r>
            <w:r w:rsidRPr="00201A8D">
              <w:rPr>
                <w:rFonts w:ascii="Times New Roman" w:hAnsi="Times New Roman"/>
              </w:rPr>
              <w:tab/>
            </w:r>
            <w:r w:rsidRPr="00201A8D">
              <w:rPr>
                <w:rFonts w:ascii="Times New Roman" w:hAnsi="Times New Roman"/>
              </w:rPr>
              <w:tab/>
              <w:t>Ogólnopolskiemu Porozumieniu Związków Zawodowych,</w:t>
            </w:r>
          </w:p>
          <w:p w14:paraId="41D272C2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g.</w:t>
            </w:r>
            <w:r w:rsidRPr="00201A8D">
              <w:rPr>
                <w:rFonts w:ascii="Times New Roman" w:hAnsi="Times New Roman"/>
              </w:rPr>
              <w:tab/>
              <w:t>Forum Związków Zawodowych,</w:t>
            </w:r>
          </w:p>
          <w:p w14:paraId="4189459B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h.</w:t>
            </w:r>
            <w:r w:rsidRPr="00201A8D">
              <w:rPr>
                <w:rFonts w:ascii="Times New Roman" w:hAnsi="Times New Roman"/>
              </w:rPr>
              <w:tab/>
              <w:t>Unii Metropolii Polskich,</w:t>
            </w:r>
          </w:p>
          <w:p w14:paraId="4A402FF0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i.</w:t>
            </w:r>
            <w:r w:rsidRPr="00201A8D">
              <w:rPr>
                <w:rFonts w:ascii="Times New Roman" w:hAnsi="Times New Roman"/>
              </w:rPr>
              <w:tab/>
            </w:r>
            <w:r w:rsidRPr="00201A8D">
              <w:rPr>
                <w:rFonts w:ascii="Times New Roman" w:hAnsi="Times New Roman"/>
              </w:rPr>
              <w:tab/>
              <w:t>Związkowi Gmin Wiejskich Rzeczypospolitej Polskiej,</w:t>
            </w:r>
          </w:p>
          <w:p w14:paraId="1B7BE1DB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j.</w:t>
            </w:r>
            <w:r w:rsidRPr="00201A8D">
              <w:rPr>
                <w:rFonts w:ascii="Times New Roman" w:hAnsi="Times New Roman"/>
              </w:rPr>
              <w:tab/>
            </w:r>
            <w:r w:rsidRPr="00201A8D">
              <w:rPr>
                <w:rFonts w:ascii="Times New Roman" w:hAnsi="Times New Roman"/>
              </w:rPr>
              <w:tab/>
              <w:t>Związkowi Miast Polskich,</w:t>
            </w:r>
          </w:p>
          <w:p w14:paraId="7A9455F6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k.</w:t>
            </w:r>
            <w:r w:rsidRPr="00201A8D">
              <w:rPr>
                <w:rFonts w:ascii="Times New Roman" w:hAnsi="Times New Roman"/>
              </w:rPr>
              <w:tab/>
              <w:t>Krajowej Izbie Gospodarczej,</w:t>
            </w:r>
          </w:p>
          <w:p w14:paraId="27B2C28B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l.</w:t>
            </w:r>
            <w:r w:rsidRPr="00201A8D">
              <w:rPr>
                <w:rFonts w:ascii="Times New Roman" w:hAnsi="Times New Roman"/>
              </w:rPr>
              <w:tab/>
            </w:r>
            <w:r w:rsidRPr="00201A8D">
              <w:rPr>
                <w:rFonts w:ascii="Times New Roman" w:hAnsi="Times New Roman"/>
              </w:rPr>
              <w:tab/>
              <w:t>Polskiej Izbie Informatyki i Telekomunikacji,</w:t>
            </w:r>
          </w:p>
          <w:p w14:paraId="0FDE11DC" w14:textId="77777777" w:rsidR="00182A45" w:rsidRPr="00201A8D" w:rsidRDefault="00182A45" w:rsidP="00182A45">
            <w:pPr>
              <w:pStyle w:val="Bezodstpw"/>
              <w:ind w:left="426" w:hanging="142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m.</w:t>
            </w:r>
            <w:r w:rsidRPr="00201A8D">
              <w:rPr>
                <w:rFonts w:ascii="Times New Roman" w:hAnsi="Times New Roman"/>
              </w:rPr>
              <w:tab/>
              <w:t>Krajowej Izby Gospodarczej Elektroniki i Telekomunikacji,</w:t>
            </w:r>
          </w:p>
          <w:p w14:paraId="555FE3B6" w14:textId="77777777" w:rsidR="00182A45" w:rsidRPr="00201A8D" w:rsidRDefault="00182A45" w:rsidP="00182A45">
            <w:pPr>
              <w:pStyle w:val="Bezodstpw"/>
              <w:ind w:left="284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n.</w:t>
            </w:r>
            <w:r w:rsidRPr="00201A8D">
              <w:rPr>
                <w:rFonts w:ascii="Times New Roman" w:hAnsi="Times New Roman"/>
              </w:rPr>
              <w:tab/>
              <w:t>Związkowi Banków Polskich,</w:t>
            </w:r>
          </w:p>
          <w:p w14:paraId="5AAF9F32" w14:textId="77777777" w:rsidR="00182A45" w:rsidRPr="00201A8D" w:rsidRDefault="00182A45" w:rsidP="00182A45">
            <w:pPr>
              <w:pStyle w:val="Bezodstpw"/>
              <w:ind w:left="284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o.</w:t>
            </w:r>
            <w:r w:rsidRPr="00201A8D">
              <w:rPr>
                <w:rFonts w:ascii="Times New Roman" w:hAnsi="Times New Roman"/>
              </w:rPr>
              <w:tab/>
              <w:t>Stowarzyszeniu Księgowych w Polsce,</w:t>
            </w:r>
          </w:p>
          <w:p w14:paraId="1E7B3874" w14:textId="77777777" w:rsidR="00182A45" w:rsidRPr="00201A8D" w:rsidRDefault="00182A45" w:rsidP="00182A45">
            <w:pPr>
              <w:pStyle w:val="Bezodstpw"/>
              <w:ind w:left="284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p.</w:t>
            </w:r>
            <w:r w:rsidRPr="00201A8D">
              <w:rPr>
                <w:rFonts w:ascii="Times New Roman" w:hAnsi="Times New Roman"/>
              </w:rPr>
              <w:tab/>
              <w:t>Polskiej Izbie Biur Rachunkowych,</w:t>
            </w:r>
          </w:p>
          <w:p w14:paraId="7402C543" w14:textId="389810AE" w:rsidR="00700D22" w:rsidRPr="00201A8D" w:rsidRDefault="00700D22" w:rsidP="00700D22">
            <w:pPr>
              <w:pStyle w:val="Bezodstpw"/>
              <w:ind w:left="284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q.</w:t>
            </w:r>
            <w:r w:rsidRPr="00201A8D">
              <w:rPr>
                <w:rFonts w:ascii="Times New Roman" w:hAnsi="Times New Roman"/>
              </w:rPr>
              <w:tab/>
              <w:t>Polskiej Izbie Handlu</w:t>
            </w:r>
          </w:p>
          <w:p w14:paraId="4A8AC8AE" w14:textId="720514BC" w:rsidR="00700D22" w:rsidRPr="00201A8D" w:rsidRDefault="00700D22" w:rsidP="00700D22">
            <w:pPr>
              <w:pStyle w:val="Bezodstpw"/>
              <w:ind w:left="284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 xml:space="preserve">r. </w:t>
            </w:r>
            <w:r w:rsidR="003168E7" w:rsidRPr="00201A8D">
              <w:rPr>
                <w:rFonts w:ascii="Times New Roman" w:hAnsi="Times New Roman"/>
              </w:rPr>
              <w:t xml:space="preserve">    </w:t>
            </w:r>
            <w:r w:rsidRPr="00201A8D">
              <w:rPr>
                <w:rFonts w:ascii="Times New Roman" w:hAnsi="Times New Roman"/>
              </w:rPr>
              <w:t>Związkowi Przedsiębiorców i Pracodawców.</w:t>
            </w:r>
          </w:p>
          <w:p w14:paraId="5963750E" w14:textId="47F965B6" w:rsidR="00700D22" w:rsidRPr="00201A8D" w:rsidRDefault="003168E7" w:rsidP="00700D22">
            <w:pPr>
              <w:pStyle w:val="Bezodstpw"/>
              <w:ind w:left="284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lastRenderedPageBreak/>
              <w:t>s.    Związek Województw RP.</w:t>
            </w:r>
          </w:p>
          <w:p w14:paraId="33E9078A" w14:textId="77777777" w:rsidR="003168E7" w:rsidRPr="00201A8D" w:rsidRDefault="003168E7" w:rsidP="00A95842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14:paraId="108D39E7" w14:textId="1ED72334" w:rsidR="00A95842" w:rsidRPr="00201A8D" w:rsidRDefault="00A95842" w:rsidP="00A95842">
            <w:pPr>
              <w:pStyle w:val="Bezodstpw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Planowany okres konsultacji to 14 dni, gdyż projekt ustawy oparty jest i nie wykracza poza założenia, które były już uprzednio konsultowane w 2016 roku.</w:t>
            </w:r>
          </w:p>
          <w:p w14:paraId="5C890B8E" w14:textId="77777777" w:rsidR="00A95842" w:rsidRPr="00201A8D" w:rsidRDefault="00A95842" w:rsidP="00A95842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14:paraId="752B7DBE" w14:textId="40DDD066" w:rsidR="00F5165E" w:rsidRPr="00201A8D" w:rsidRDefault="00F5165E" w:rsidP="00F5165E">
            <w:pPr>
              <w:pStyle w:val="Bezodstpw"/>
              <w:spacing w:after="120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Projekt ustawy zostanie przekazany do zaopiniowania Komisji Wspólnej Rządu i Samorządu Terytorialnego oraz Radzie Dialogu Społecznego.</w:t>
            </w:r>
          </w:p>
          <w:p w14:paraId="30AB8726" w14:textId="2BB1C939" w:rsidR="00B555F1" w:rsidRPr="00375E3D" w:rsidRDefault="0066388C" w:rsidP="00926BC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</w:rPr>
              <w:t>Ponadto planowane jest omówienie projektu ustawy</w:t>
            </w:r>
            <w:r w:rsidR="00182A45" w:rsidRPr="00201A8D">
              <w:rPr>
                <w:rFonts w:ascii="Times New Roman" w:hAnsi="Times New Roman"/>
              </w:rPr>
              <w:t xml:space="preserve"> na spotkani</w:t>
            </w:r>
            <w:r w:rsidRPr="00201A8D">
              <w:rPr>
                <w:rFonts w:ascii="Times New Roman" w:hAnsi="Times New Roman"/>
              </w:rPr>
              <w:t>u</w:t>
            </w:r>
            <w:r w:rsidR="00A95842" w:rsidRPr="00201A8D">
              <w:rPr>
                <w:rFonts w:ascii="Times New Roman" w:hAnsi="Times New Roman"/>
              </w:rPr>
              <w:t xml:space="preserve"> </w:t>
            </w:r>
            <w:r w:rsidR="00182A45" w:rsidRPr="00201A8D">
              <w:rPr>
                <w:rFonts w:ascii="Times New Roman" w:hAnsi="Times New Roman"/>
              </w:rPr>
              <w:t>Krajowego Wielostronnego Forum Elektronicznego Fakturowania</w:t>
            </w:r>
            <w:r w:rsidRPr="00201A8D">
              <w:rPr>
                <w:rFonts w:ascii="Times New Roman" w:hAnsi="Times New Roman"/>
              </w:rPr>
              <w:t xml:space="preserve"> w </w:t>
            </w:r>
            <w:r w:rsidR="00926BCC" w:rsidRPr="00201A8D">
              <w:rPr>
                <w:rFonts w:ascii="Times New Roman" w:hAnsi="Times New Roman"/>
              </w:rPr>
              <w:t>lutym</w:t>
            </w:r>
            <w:r w:rsidRPr="00201A8D">
              <w:rPr>
                <w:rFonts w:ascii="Times New Roman" w:hAnsi="Times New Roman"/>
              </w:rPr>
              <w:t xml:space="preserve"> 2018 r.</w:t>
            </w:r>
            <w:r w:rsidR="00182A45" w:rsidRPr="00201A8D">
              <w:rPr>
                <w:rFonts w:ascii="Times New Roman" w:hAnsi="Times New Roman"/>
              </w:rPr>
              <w:t xml:space="preserve"> (Krajowe Wielostronne Forum Elektronicznego Fakturowania</w:t>
            </w:r>
            <w:r w:rsidR="00182A45" w:rsidRPr="00201A8D" w:rsidDel="00254EBA">
              <w:rPr>
                <w:rFonts w:ascii="Times New Roman" w:hAnsi="Times New Roman"/>
              </w:rPr>
              <w:t xml:space="preserve"> </w:t>
            </w:r>
            <w:r w:rsidR="00182A45" w:rsidRPr="00201A8D">
              <w:rPr>
                <w:rFonts w:ascii="Times New Roman" w:hAnsi="Times New Roman"/>
              </w:rPr>
              <w:t>jest częścią Europejskiego Wielostronnego Forum Elektronicznego Fakturowania, które obecnie funkcjonuje na podstawie decyzji C(2014) 4142 Komisji Europejskiej z 25 czerwca 2014 r.).</w:t>
            </w:r>
          </w:p>
        </w:tc>
      </w:tr>
      <w:tr w:rsidR="00B555F1" w:rsidRPr="008B4FE6" w14:paraId="7D6175BF" w14:textId="77777777" w:rsidTr="00081220">
        <w:trPr>
          <w:gridAfter w:val="1"/>
          <w:wAfter w:w="10" w:type="dxa"/>
          <w:trHeight w:val="363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42637A8E" w14:textId="77777777" w:rsidR="00B555F1" w:rsidRPr="008B4FE6" w:rsidRDefault="00B555F1" w:rsidP="00B555F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B555F1" w:rsidRPr="008B4FE6" w14:paraId="10593AE4" w14:textId="77777777" w:rsidTr="00081220">
        <w:trPr>
          <w:gridAfter w:val="1"/>
          <w:wAfter w:w="10" w:type="dxa"/>
          <w:trHeight w:val="142"/>
        </w:trPr>
        <w:tc>
          <w:tcPr>
            <w:tcW w:w="2543" w:type="dxa"/>
            <w:gridSpan w:val="4"/>
            <w:vMerge w:val="restart"/>
            <w:shd w:val="clear" w:color="auto" w:fill="FFFFFF"/>
          </w:tcPr>
          <w:p w14:paraId="1EEF0A43" w14:textId="77777777" w:rsidR="00B555F1" w:rsidRPr="00C53F26" w:rsidRDefault="00B555F1" w:rsidP="00B555F1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2017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8394" w:type="dxa"/>
            <w:gridSpan w:val="21"/>
            <w:shd w:val="clear" w:color="auto" w:fill="FFFFFF"/>
          </w:tcPr>
          <w:p w14:paraId="53697924" w14:textId="77777777" w:rsidR="00B555F1" w:rsidRPr="00C53F26" w:rsidRDefault="00B555F1" w:rsidP="00B555F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447581" w:rsidRPr="008B4FE6" w14:paraId="028A0A0F" w14:textId="77777777" w:rsidTr="00081220">
        <w:trPr>
          <w:gridAfter w:val="1"/>
          <w:wAfter w:w="10" w:type="dxa"/>
          <w:trHeight w:val="142"/>
        </w:trPr>
        <w:tc>
          <w:tcPr>
            <w:tcW w:w="2543" w:type="dxa"/>
            <w:gridSpan w:val="4"/>
            <w:vMerge/>
            <w:shd w:val="clear" w:color="auto" w:fill="FFFFFF"/>
          </w:tcPr>
          <w:p w14:paraId="4A34E404" w14:textId="77777777" w:rsidR="00B555F1" w:rsidRPr="00C53F26" w:rsidRDefault="00B555F1" w:rsidP="00B555F1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A1C4737" w14:textId="77777777" w:rsidR="00B555F1" w:rsidRPr="00447581" w:rsidRDefault="00B555F1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  <w:r w:rsidRPr="00447581">
              <w:rPr>
                <w:rFonts w:ascii="Times New Roman" w:hAnsi="Times New Roman"/>
                <w:color w:val="000000"/>
                <w:sz w:val="18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9E4FA0C" w14:textId="77777777" w:rsidR="00B555F1" w:rsidRPr="00447581" w:rsidRDefault="00B555F1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  <w:r w:rsidRPr="00447581">
              <w:rPr>
                <w:rFonts w:ascii="Times New Roman" w:hAnsi="Times New Roman"/>
                <w:color w:val="000000"/>
                <w:sz w:val="18"/>
                <w:szCs w:val="21"/>
              </w:rPr>
              <w:t>1</w:t>
            </w:r>
          </w:p>
        </w:tc>
        <w:tc>
          <w:tcPr>
            <w:tcW w:w="711" w:type="dxa"/>
            <w:gridSpan w:val="2"/>
            <w:shd w:val="clear" w:color="auto" w:fill="FFFFFF"/>
          </w:tcPr>
          <w:p w14:paraId="40597BDF" w14:textId="77777777" w:rsidR="00B555F1" w:rsidRPr="00447581" w:rsidRDefault="00B555F1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  <w:r w:rsidRPr="00447581">
              <w:rPr>
                <w:rFonts w:ascii="Times New Roman" w:hAnsi="Times New Roman"/>
                <w:color w:val="000000"/>
                <w:sz w:val="18"/>
                <w:szCs w:val="21"/>
              </w:rPr>
              <w:t>2</w:t>
            </w:r>
          </w:p>
        </w:tc>
        <w:tc>
          <w:tcPr>
            <w:tcW w:w="716" w:type="dxa"/>
            <w:gridSpan w:val="2"/>
            <w:shd w:val="clear" w:color="auto" w:fill="FFFFFF"/>
          </w:tcPr>
          <w:p w14:paraId="43F1E7DD" w14:textId="77777777" w:rsidR="00B555F1" w:rsidRPr="00447581" w:rsidRDefault="00B555F1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  <w:r w:rsidRPr="00447581">
              <w:rPr>
                <w:rFonts w:ascii="Times New Roman" w:hAnsi="Times New Roman"/>
                <w:color w:val="000000"/>
                <w:sz w:val="18"/>
                <w:szCs w:val="21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258D88F" w14:textId="77777777" w:rsidR="00B555F1" w:rsidRPr="00447581" w:rsidRDefault="00B555F1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  <w:r w:rsidRPr="00447581">
              <w:rPr>
                <w:rFonts w:ascii="Times New Roman" w:hAnsi="Times New Roman"/>
                <w:color w:val="000000"/>
                <w:sz w:val="18"/>
                <w:szCs w:val="21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14:paraId="1578C689" w14:textId="77777777" w:rsidR="00B555F1" w:rsidRPr="00447581" w:rsidRDefault="00B555F1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  <w:r w:rsidRPr="00447581">
              <w:rPr>
                <w:rFonts w:ascii="Times New Roman" w:hAnsi="Times New Roman"/>
                <w:color w:val="000000"/>
                <w:sz w:val="18"/>
                <w:szCs w:val="21"/>
              </w:rPr>
              <w:t>5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55652E6A" w14:textId="77777777" w:rsidR="00B555F1" w:rsidRPr="00447581" w:rsidRDefault="00B555F1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  <w:r w:rsidRPr="00447581">
              <w:rPr>
                <w:rFonts w:ascii="Times New Roman" w:hAnsi="Times New Roman"/>
                <w:color w:val="000000"/>
                <w:sz w:val="18"/>
                <w:szCs w:val="21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5B27EA3" w14:textId="77777777" w:rsidR="00B555F1" w:rsidRPr="00447581" w:rsidRDefault="00B555F1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  <w:r w:rsidRPr="00447581">
              <w:rPr>
                <w:rFonts w:ascii="Times New Roman" w:hAnsi="Times New Roman"/>
                <w:color w:val="000000"/>
                <w:sz w:val="18"/>
                <w:szCs w:val="21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BB0FCCB" w14:textId="77777777" w:rsidR="00B555F1" w:rsidRPr="00447581" w:rsidRDefault="00B555F1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  <w:r w:rsidRPr="00447581">
              <w:rPr>
                <w:rFonts w:ascii="Times New Roman" w:hAnsi="Times New Roman"/>
                <w:color w:val="000000"/>
                <w:sz w:val="18"/>
                <w:szCs w:val="21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14:paraId="5FDEDFD2" w14:textId="77777777" w:rsidR="00B555F1" w:rsidRPr="00447581" w:rsidRDefault="00B555F1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  <w:r w:rsidRPr="00447581">
              <w:rPr>
                <w:rFonts w:ascii="Times New Roman" w:hAnsi="Times New Roman"/>
                <w:color w:val="000000"/>
                <w:sz w:val="18"/>
                <w:szCs w:val="21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043D6099" w14:textId="77777777" w:rsidR="00B555F1" w:rsidRPr="00447581" w:rsidRDefault="00B555F1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1"/>
              </w:rPr>
            </w:pPr>
            <w:r w:rsidRPr="00447581">
              <w:rPr>
                <w:rFonts w:ascii="Times New Roman" w:hAnsi="Times New Roman"/>
                <w:color w:val="000000"/>
                <w:sz w:val="18"/>
                <w:szCs w:val="21"/>
              </w:rPr>
              <w:t>10</w:t>
            </w:r>
          </w:p>
        </w:tc>
        <w:tc>
          <w:tcPr>
            <w:tcW w:w="872" w:type="dxa"/>
            <w:shd w:val="clear" w:color="auto" w:fill="FFFFFF"/>
          </w:tcPr>
          <w:p w14:paraId="41AF70E0" w14:textId="77777777" w:rsidR="00B555F1" w:rsidRPr="00447581" w:rsidRDefault="00B555F1" w:rsidP="00B555F1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8"/>
                <w:szCs w:val="21"/>
              </w:rPr>
            </w:pPr>
            <w:r w:rsidRPr="00447581">
              <w:rPr>
                <w:rFonts w:ascii="Times New Roman" w:hAnsi="Times New Roman"/>
                <w:i/>
                <w:color w:val="000000"/>
                <w:spacing w:val="-2"/>
                <w:sz w:val="16"/>
                <w:szCs w:val="21"/>
              </w:rPr>
              <w:t>Łącznie (0-10)</w:t>
            </w:r>
          </w:p>
        </w:tc>
      </w:tr>
      <w:tr w:rsidR="00447581" w:rsidRPr="008B4FE6" w14:paraId="4C038EB1" w14:textId="77777777" w:rsidTr="00081220">
        <w:trPr>
          <w:trHeight w:val="321"/>
        </w:trPr>
        <w:tc>
          <w:tcPr>
            <w:tcW w:w="2543" w:type="dxa"/>
            <w:gridSpan w:val="4"/>
            <w:shd w:val="clear" w:color="auto" w:fill="FFFFFF"/>
            <w:vAlign w:val="center"/>
          </w:tcPr>
          <w:p w14:paraId="04B09C46" w14:textId="3108CFA3" w:rsidR="00447581" w:rsidRPr="00201A8D" w:rsidRDefault="00447581" w:rsidP="00447581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Dochody ogółem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67CD1A" w14:textId="6D60909D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734143C" w14:textId="7EE4EC90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03F91C6B" w14:textId="4D6E6EA2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06C3E08F" w14:textId="5F1D782B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38A7D75" w14:textId="4AACA19C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2FBAB20" w14:textId="0C698176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5BE0B840" w14:textId="5BCB2D3B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7094FFB" w14:textId="531FED05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4E3D22" w14:textId="1CF0878B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38BF8E0" w14:textId="760ECAB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D773B4" w14:textId="394114B2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237EA16D" w14:textId="4011C17F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pacing w:val="-2"/>
                <w:sz w:val="16"/>
                <w:szCs w:val="16"/>
              </w:rPr>
              <w:t>663,20</w:t>
            </w:r>
          </w:p>
        </w:tc>
      </w:tr>
      <w:tr w:rsidR="00447581" w:rsidRPr="008B4FE6" w14:paraId="500286E8" w14:textId="77777777" w:rsidTr="00081220">
        <w:trPr>
          <w:trHeight w:val="321"/>
        </w:trPr>
        <w:tc>
          <w:tcPr>
            <w:tcW w:w="2543" w:type="dxa"/>
            <w:gridSpan w:val="4"/>
            <w:shd w:val="clear" w:color="auto" w:fill="FFFFFF"/>
            <w:vAlign w:val="center"/>
          </w:tcPr>
          <w:p w14:paraId="3F85E9B4" w14:textId="17FF80FD" w:rsidR="00447581" w:rsidRPr="00201A8D" w:rsidRDefault="00447581" w:rsidP="0044758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budżet państwa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F636A39" w14:textId="7AEAB97C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3EEB949" w14:textId="782C3AD3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284728A5" w14:textId="628AA60F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4CEF16FC" w14:textId="445AE08B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B51A19C" w14:textId="5A08FDB9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5B18BE7" w14:textId="15A3A7F7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1750F988" w14:textId="47A40B1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8819D5E" w14:textId="5BE5CA9E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F7ED326" w14:textId="66C49CE6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F7734E3" w14:textId="40ED6E8C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73,70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B34F1BC" w14:textId="53207FF9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592A8A25" w14:textId="742A1361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663,20</w:t>
            </w:r>
          </w:p>
        </w:tc>
      </w:tr>
      <w:tr w:rsidR="00447581" w:rsidRPr="008B4FE6" w14:paraId="3876B506" w14:textId="77777777" w:rsidTr="00081220">
        <w:trPr>
          <w:trHeight w:val="344"/>
        </w:trPr>
        <w:tc>
          <w:tcPr>
            <w:tcW w:w="2543" w:type="dxa"/>
            <w:gridSpan w:val="4"/>
            <w:shd w:val="clear" w:color="auto" w:fill="FFFFFF"/>
            <w:vAlign w:val="center"/>
          </w:tcPr>
          <w:p w14:paraId="0BFE477A" w14:textId="7A794855" w:rsidR="00447581" w:rsidRPr="00201A8D" w:rsidRDefault="00447581" w:rsidP="0044758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JST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08DAF4" w14:textId="19D8DA5E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FC48EFE" w14:textId="2F3E1ACC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22AE83A3" w14:textId="7C96C4FE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1BFCC422" w14:textId="3F10500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AFCFD81" w14:textId="6FDA7A26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6961DB2" w14:textId="2B8CF5B2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27FE1BB8" w14:textId="59BA8B19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A7A2474" w14:textId="64772B53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AD56257" w14:textId="4AC608E9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72A622D" w14:textId="2A50B2DB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04FF2A" w14:textId="74EA37B9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5ABDA52E" w14:textId="5868AEF0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47581" w:rsidRPr="008B4FE6" w14:paraId="68EA1858" w14:textId="77777777" w:rsidTr="00081220">
        <w:trPr>
          <w:trHeight w:val="344"/>
        </w:trPr>
        <w:tc>
          <w:tcPr>
            <w:tcW w:w="2543" w:type="dxa"/>
            <w:gridSpan w:val="4"/>
            <w:shd w:val="clear" w:color="auto" w:fill="FFFFFF"/>
            <w:vAlign w:val="center"/>
          </w:tcPr>
          <w:p w14:paraId="3D0B6A51" w14:textId="4284460A" w:rsidR="00447581" w:rsidRPr="00201A8D" w:rsidRDefault="00447581" w:rsidP="0044758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pozostałe jednostki (oddzielnie)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FA75AC" w14:textId="677FBEA1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88135EE" w14:textId="2AC10DE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2FFEBB69" w14:textId="4B3EB0C7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5A687DB7" w14:textId="3F10B10A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5ABB5C3" w14:textId="7E6491F0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768E356" w14:textId="733FA510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6DE650DA" w14:textId="6BAC40D5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7B8A9A4" w14:textId="4A402C7B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50C887" w14:textId="1AF7435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029B59E" w14:textId="1ADE9C6C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292851" w14:textId="6923A9D5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04FC94EE" w14:textId="18373EFA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47581" w:rsidRPr="008B4FE6" w14:paraId="1921D9E2" w14:textId="77777777" w:rsidTr="00081220">
        <w:trPr>
          <w:trHeight w:val="330"/>
        </w:trPr>
        <w:tc>
          <w:tcPr>
            <w:tcW w:w="2543" w:type="dxa"/>
            <w:gridSpan w:val="4"/>
            <w:shd w:val="clear" w:color="auto" w:fill="FFFFFF"/>
            <w:vAlign w:val="center"/>
          </w:tcPr>
          <w:p w14:paraId="77B4D669" w14:textId="7D489E8E" w:rsidR="00447581" w:rsidRPr="00201A8D" w:rsidRDefault="00447581" w:rsidP="00447581">
            <w:pPr>
              <w:spacing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Wydatki ogółem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F92704E" w14:textId="666357B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FEB4B68" w14:textId="0655FC65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60B8C459" w14:textId="0CF90F0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96,29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2B5175EE" w14:textId="273AD2AA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13,26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F25FF01" w14:textId="0C0E9CA2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FB4B783" w14:textId="1C1FF578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72F0D0AA" w14:textId="7FD05E89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B81ECD1" w14:textId="44C2C01A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266C67F" w14:textId="6E8983B6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D9D54C" w14:textId="7C078FFC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ED89250" w14:textId="2E92C41D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10,90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2571C867" w14:textId="24D8EC82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190,81</w:t>
            </w:r>
          </w:p>
        </w:tc>
      </w:tr>
      <w:tr w:rsidR="00447581" w:rsidRPr="008B4FE6" w14:paraId="465E6701" w14:textId="77777777" w:rsidTr="00081220">
        <w:trPr>
          <w:trHeight w:val="330"/>
        </w:trPr>
        <w:tc>
          <w:tcPr>
            <w:tcW w:w="2543" w:type="dxa"/>
            <w:gridSpan w:val="4"/>
            <w:shd w:val="clear" w:color="auto" w:fill="FFFFFF"/>
            <w:vAlign w:val="center"/>
          </w:tcPr>
          <w:p w14:paraId="42B06B00" w14:textId="66B81BDC" w:rsidR="00447581" w:rsidRPr="00201A8D" w:rsidRDefault="00447581" w:rsidP="0044758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budżet państwa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05A5D0" w14:textId="03591C16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44B6C2A0" w14:textId="20DB303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32555875" w14:textId="6EAED0F1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96,29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0F2F3C4D" w14:textId="6B7A09CB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13,26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2290781" w14:textId="1D0A5AB7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B1195D0" w14:textId="07C2F538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0CAD1E03" w14:textId="65586047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651D92" w14:textId="63E5DA56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A2C6AFF" w14:textId="0F688D35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5115CE6" w14:textId="7D24CCA1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25E075" w14:textId="1AC48566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5620E0D6" w14:textId="722B40D3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190,81</w:t>
            </w:r>
          </w:p>
        </w:tc>
      </w:tr>
      <w:tr w:rsidR="00447581" w:rsidRPr="008B4FE6" w14:paraId="21417089" w14:textId="77777777" w:rsidTr="00081220">
        <w:trPr>
          <w:trHeight w:val="351"/>
        </w:trPr>
        <w:tc>
          <w:tcPr>
            <w:tcW w:w="2543" w:type="dxa"/>
            <w:gridSpan w:val="4"/>
            <w:shd w:val="clear" w:color="auto" w:fill="FFFFFF"/>
            <w:vAlign w:val="center"/>
          </w:tcPr>
          <w:p w14:paraId="2EA27578" w14:textId="69FE4F48" w:rsidR="00447581" w:rsidRPr="00201A8D" w:rsidRDefault="00447581" w:rsidP="0044758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JST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98149D9" w14:textId="5C346B00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FFAC7B9" w14:textId="61F9D22A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32CCDF65" w14:textId="48007611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78A301B3" w14:textId="54BE37BA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0853254" w14:textId="206CB456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0E8958F" w14:textId="054F11F3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65BE6F01" w14:textId="45704E6D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5B57452" w14:textId="007D797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D3C4A67" w14:textId="68A9000D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FF185F" w14:textId="3673D34F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56F53D" w14:textId="147E41D0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600B0165" w14:textId="4AAF804F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47581" w:rsidRPr="008B4FE6" w14:paraId="21A582DD" w14:textId="77777777" w:rsidTr="00081220">
        <w:trPr>
          <w:trHeight w:val="351"/>
        </w:trPr>
        <w:tc>
          <w:tcPr>
            <w:tcW w:w="2543" w:type="dxa"/>
            <w:gridSpan w:val="4"/>
            <w:shd w:val="clear" w:color="auto" w:fill="FFFFFF"/>
            <w:vAlign w:val="center"/>
          </w:tcPr>
          <w:p w14:paraId="6687005F" w14:textId="5353E67E" w:rsidR="00447581" w:rsidRPr="00201A8D" w:rsidRDefault="00447581" w:rsidP="0044758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pozostałe jednostki (oddzielnie)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263D16" w14:textId="54BE535A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A026982" w14:textId="24908CE6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39966503" w14:textId="587A07EE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59ADF430" w14:textId="5C8F0E06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17DB5F3" w14:textId="7719F0D7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EB9DCF4" w14:textId="39396131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4B5E66E4" w14:textId="69525CA8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F9E0D7E" w14:textId="17B97A4A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D78A4B7" w14:textId="419539E1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853E9C1" w14:textId="14DA542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3B72E5" w14:textId="16DAB608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41B3969B" w14:textId="5F861949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47581" w:rsidRPr="008B4FE6" w14:paraId="7A1E5CC1" w14:textId="77777777" w:rsidTr="00081220">
        <w:trPr>
          <w:trHeight w:val="360"/>
        </w:trPr>
        <w:tc>
          <w:tcPr>
            <w:tcW w:w="2543" w:type="dxa"/>
            <w:gridSpan w:val="4"/>
            <w:shd w:val="clear" w:color="auto" w:fill="FFFFFF"/>
            <w:vAlign w:val="center"/>
          </w:tcPr>
          <w:p w14:paraId="659A27DB" w14:textId="2525BF51" w:rsidR="00447581" w:rsidRPr="00201A8D" w:rsidRDefault="00447581" w:rsidP="0044758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Saldo ogółem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F7F903" w14:textId="2F0C08A8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-1,11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7518DCFA" w14:textId="660080E8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-3,85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55E24A72" w14:textId="0656A7A8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-22,60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654ED958" w14:textId="21EA1DBF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60,43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CF4EE52" w14:textId="3B424928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B678219" w14:textId="2CAE8345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4CF6EFC5" w14:textId="094785AF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859279E" w14:textId="1393698C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F51A413" w14:textId="04772D5C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105847" w14:textId="74D35546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62,80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175A6F" w14:textId="1788DA05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0AF52879" w14:textId="171EA3AC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472,39</w:t>
            </w:r>
          </w:p>
        </w:tc>
      </w:tr>
      <w:tr w:rsidR="00447581" w:rsidRPr="008B4FE6" w14:paraId="3705D1A9" w14:textId="77777777" w:rsidTr="00081220">
        <w:trPr>
          <w:trHeight w:val="360"/>
        </w:trPr>
        <w:tc>
          <w:tcPr>
            <w:tcW w:w="2543" w:type="dxa"/>
            <w:gridSpan w:val="4"/>
            <w:shd w:val="clear" w:color="auto" w:fill="FFFFFF"/>
            <w:vAlign w:val="center"/>
          </w:tcPr>
          <w:p w14:paraId="79D95E28" w14:textId="1121D80F" w:rsidR="00447581" w:rsidRPr="00201A8D" w:rsidRDefault="00447581" w:rsidP="0044758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budżet państwa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FE2316" w14:textId="40A8CB5B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-1,11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A94D4E4" w14:textId="37BF8DB2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-3,85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0AB7F6C3" w14:textId="38D6156F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-22,60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4E8258B4" w14:textId="2D0AEE77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60,43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991BE44" w14:textId="04ECF00B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73D1E7A" w14:textId="69FD8D0F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2EC71E31" w14:textId="4EFCF2ED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7DDF88C" w14:textId="7B9DCACE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994D5ED" w14:textId="3D10118F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DF8804" w14:textId="06D26368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62,80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71CDA7" w14:textId="355F9449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62,79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6FEB7574" w14:textId="5ADCE13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472,39</w:t>
            </w:r>
          </w:p>
        </w:tc>
      </w:tr>
      <w:tr w:rsidR="00447581" w:rsidRPr="008B4FE6" w14:paraId="791837A9" w14:textId="77777777" w:rsidTr="00081220">
        <w:trPr>
          <w:trHeight w:val="357"/>
        </w:trPr>
        <w:tc>
          <w:tcPr>
            <w:tcW w:w="2543" w:type="dxa"/>
            <w:gridSpan w:val="4"/>
            <w:shd w:val="clear" w:color="auto" w:fill="FFFFFF"/>
            <w:vAlign w:val="center"/>
          </w:tcPr>
          <w:p w14:paraId="7549173C" w14:textId="4A3F57F8" w:rsidR="00447581" w:rsidRPr="00201A8D" w:rsidRDefault="00447581" w:rsidP="0044758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JST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0D46A5" w14:textId="7B1E968A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85BE681" w14:textId="5F8216FB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28A6D668" w14:textId="1CB875ED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237C0AB5" w14:textId="6B90B74C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B37AB2" w14:textId="29D4D346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87700AA" w14:textId="64B9F739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18615938" w14:textId="4D4E3AE5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9A87C8D" w14:textId="4D36405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FBF2ACD" w14:textId="354EA7E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3D9E4CB" w14:textId="258B9359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2B365C" w14:textId="76A075AD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49D12F81" w14:textId="04CF5E78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47581" w:rsidRPr="008B4FE6" w14:paraId="31E3A7CA" w14:textId="77777777" w:rsidTr="00081220">
        <w:trPr>
          <w:trHeight w:val="357"/>
        </w:trPr>
        <w:tc>
          <w:tcPr>
            <w:tcW w:w="2543" w:type="dxa"/>
            <w:gridSpan w:val="4"/>
            <w:shd w:val="clear" w:color="auto" w:fill="FFFFFF"/>
            <w:vAlign w:val="center"/>
          </w:tcPr>
          <w:p w14:paraId="311C3965" w14:textId="047164B3" w:rsidR="00447581" w:rsidRPr="00201A8D" w:rsidRDefault="00447581" w:rsidP="0044758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pozostałe jednostki (oddzielnie)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D299DB" w14:textId="0D30C993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046528F3" w14:textId="23B1B5C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14:paraId="37E0A335" w14:textId="7396DDDE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3FE1F32F" w14:textId="7DCA7A4B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A3B1E20" w14:textId="5BC277C5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8FF997A" w14:textId="4E79A964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shd w:val="clear" w:color="auto" w:fill="FFFFFF"/>
            <w:vAlign w:val="center"/>
          </w:tcPr>
          <w:p w14:paraId="70AFADB7" w14:textId="2C643F97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EA841DD" w14:textId="1CE84AAA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7F382D8" w14:textId="16852830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3EF5DDB" w14:textId="0D637768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F055AD" w14:textId="3BE88C93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7F13B3BF" w14:textId="6365BB4B" w:rsidR="00447581" w:rsidRPr="00201A8D" w:rsidRDefault="00447581" w:rsidP="0044758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1A8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555F1" w:rsidRPr="008B4FE6" w14:paraId="5A1B18AB" w14:textId="77777777" w:rsidTr="00081220">
        <w:trPr>
          <w:gridAfter w:val="1"/>
          <w:wAfter w:w="10" w:type="dxa"/>
          <w:trHeight w:val="348"/>
        </w:trPr>
        <w:tc>
          <w:tcPr>
            <w:tcW w:w="2232" w:type="dxa"/>
            <w:gridSpan w:val="3"/>
            <w:shd w:val="clear" w:color="auto" w:fill="FFFFFF"/>
            <w:vAlign w:val="center"/>
          </w:tcPr>
          <w:p w14:paraId="05A8BE89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705" w:type="dxa"/>
            <w:gridSpan w:val="22"/>
            <w:shd w:val="clear" w:color="auto" w:fill="FFFFFF"/>
            <w:vAlign w:val="center"/>
          </w:tcPr>
          <w:p w14:paraId="35A2528E" w14:textId="77777777" w:rsidR="00B555F1" w:rsidRPr="00201A8D" w:rsidRDefault="00B555F1" w:rsidP="00B555F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878DA07" w14:textId="77777777" w:rsidR="00A40BBC" w:rsidRDefault="007B733F" w:rsidP="00B555F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 latach 2017 – 2019 finansowanie działań będzie zapewnione przede wszystkim ze środków</w:t>
            </w:r>
            <w:r w:rsidR="00B555F1" w:rsidRPr="00201A8D">
              <w:rPr>
                <w:rFonts w:ascii="Times New Roman" w:hAnsi="Times New Roman"/>
                <w:color w:val="000000"/>
              </w:rPr>
              <w:t xml:space="preserve"> </w:t>
            </w:r>
            <w:r w:rsidR="007B3040" w:rsidRPr="00201A8D">
              <w:rPr>
                <w:rFonts w:ascii="Times New Roman" w:hAnsi="Times New Roman"/>
                <w:color w:val="000000"/>
              </w:rPr>
              <w:t xml:space="preserve">funduszy strukturalnych </w:t>
            </w:r>
            <w:r w:rsidR="00B555F1" w:rsidRPr="00201A8D">
              <w:rPr>
                <w:rFonts w:ascii="Times New Roman" w:hAnsi="Times New Roman"/>
                <w:color w:val="000000"/>
              </w:rPr>
              <w:t xml:space="preserve">z </w:t>
            </w:r>
            <w:r w:rsidR="00B555F1" w:rsidRPr="00201A8D">
              <w:rPr>
                <w:rFonts w:ascii="Times New Roman" w:hAnsi="Times New Roman"/>
              </w:rPr>
              <w:t>Programu Operacyjnego Polska Cyfrowa</w:t>
            </w:r>
            <w:r w:rsidR="00B555F1" w:rsidRPr="00201A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Pewne koszty, przede wszystkim związane z członkostwem w stowarzyszeniu </w:t>
            </w:r>
            <w:proofErr w:type="spellStart"/>
            <w:r>
              <w:rPr>
                <w:rFonts w:ascii="Times New Roman" w:hAnsi="Times New Roman"/>
                <w:color w:val="000000"/>
              </w:rPr>
              <w:t>OpenPeppol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będą finansowane z budżetu państwa. Ze względu na zakończenie projektu w 2019 r. </w:t>
            </w:r>
            <w:r w:rsidR="007E4998">
              <w:rPr>
                <w:rFonts w:ascii="Times New Roman" w:hAnsi="Times New Roman"/>
                <w:color w:val="000000"/>
              </w:rPr>
              <w:t xml:space="preserve">wszystkie </w:t>
            </w:r>
            <w:r>
              <w:rPr>
                <w:rFonts w:ascii="Times New Roman" w:hAnsi="Times New Roman"/>
                <w:color w:val="000000"/>
              </w:rPr>
              <w:t xml:space="preserve">wydatki na utrzymanie i zapewnienie działania platformy elektronicznego fakturowania </w:t>
            </w:r>
            <w:r w:rsidR="007E4998">
              <w:rPr>
                <w:rFonts w:ascii="Times New Roman" w:hAnsi="Times New Roman"/>
                <w:color w:val="000000"/>
              </w:rPr>
              <w:t xml:space="preserve">począwszy od 2020 r. </w:t>
            </w:r>
            <w:r>
              <w:rPr>
                <w:rFonts w:ascii="Times New Roman" w:hAnsi="Times New Roman"/>
                <w:color w:val="000000"/>
              </w:rPr>
              <w:t xml:space="preserve">ponosić będzie w wysokości 10,9 mln zł </w:t>
            </w:r>
            <w:r w:rsidR="007E4998">
              <w:rPr>
                <w:rFonts w:ascii="Times New Roman" w:hAnsi="Times New Roman"/>
                <w:color w:val="000000"/>
              </w:rPr>
              <w:t xml:space="preserve">rocznie </w:t>
            </w:r>
            <w:r>
              <w:rPr>
                <w:rFonts w:ascii="Times New Roman" w:hAnsi="Times New Roman"/>
                <w:color w:val="000000"/>
              </w:rPr>
              <w:t>budżet państwa</w:t>
            </w:r>
            <w:r w:rsidR="00B0099A">
              <w:rPr>
                <w:rFonts w:ascii="Times New Roman" w:hAnsi="Times New Roman"/>
                <w:color w:val="000000"/>
              </w:rPr>
              <w:t>, w ramach cz. 20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2F45E1B0" w14:textId="1D1F5550" w:rsidR="00B555F1" w:rsidRPr="00201A8D" w:rsidRDefault="00A40BBC" w:rsidP="00B555F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Coroczne koszty działania krajowej jednostki nadzorującej w ramach stowarzyszenia </w:t>
            </w:r>
            <w:proofErr w:type="spellStart"/>
            <w:r>
              <w:rPr>
                <w:rFonts w:ascii="Times New Roman" w:hAnsi="Times New Roman"/>
                <w:color w:val="000000"/>
              </w:rPr>
              <w:t>OpenPEPPOL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wynosić będą 360 tys. zł (w tym 15 tys. euro corocznej składki) i będą ponoszone przez ministra właściwego do spraw gospodarki w ramach cz. 20 budżetu państwa w ramach wspomnianych w zdaniu powyżej wydatków.</w:t>
            </w:r>
          </w:p>
          <w:p w14:paraId="26EFD715" w14:textId="77777777" w:rsidR="00B555F1" w:rsidRPr="00201A8D" w:rsidRDefault="00B555F1" w:rsidP="00B555F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81220" w:rsidRPr="007B3040" w14:paraId="440701D0" w14:textId="77777777" w:rsidTr="00081220">
        <w:trPr>
          <w:gridAfter w:val="1"/>
          <w:wAfter w:w="10" w:type="dxa"/>
          <w:trHeight w:val="1926"/>
        </w:trPr>
        <w:tc>
          <w:tcPr>
            <w:tcW w:w="2232" w:type="dxa"/>
            <w:gridSpan w:val="3"/>
            <w:shd w:val="clear" w:color="auto" w:fill="FFFFFF"/>
          </w:tcPr>
          <w:p w14:paraId="5C8E425E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705" w:type="dxa"/>
            <w:gridSpan w:val="22"/>
            <w:shd w:val="clear" w:color="auto" w:fill="FFFFFF"/>
          </w:tcPr>
          <w:p w14:paraId="1A61F2EF" w14:textId="77777777" w:rsidR="00B555F1" w:rsidRPr="00201A8D" w:rsidRDefault="00B555F1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W tabeli ujęto koszty realizacji projektu Programu Operacyjnego Polska Cyfrowa – Platforma elektronicznego fakturowania dla sfery finansów publicznych.</w:t>
            </w:r>
          </w:p>
          <w:p w14:paraId="350ABDC8" w14:textId="77777777" w:rsidR="007B3040" w:rsidRPr="00201A8D" w:rsidRDefault="007B3040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5470799" w14:textId="7D153A38" w:rsidR="00741B3E" w:rsidRPr="00201A8D" w:rsidRDefault="00741B3E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 xml:space="preserve">Wykazane w poz. Dochody ogółem to oszczędności sektora finansów publicznych, które zostaną zrealizowane po wdrożeniu </w:t>
            </w:r>
            <w:r w:rsidR="00135046">
              <w:rPr>
                <w:rFonts w:ascii="Times New Roman" w:hAnsi="Times New Roman"/>
              </w:rPr>
              <w:t>wynikającego z Dyrektywy</w:t>
            </w:r>
            <w:r w:rsidRPr="00201A8D">
              <w:rPr>
                <w:rFonts w:ascii="Times New Roman" w:hAnsi="Times New Roman"/>
              </w:rPr>
              <w:t xml:space="preserve"> obowiązku odbioru ustrukturyzowanych faktur elektronicznych. </w:t>
            </w:r>
            <w:r w:rsidR="00F2281E" w:rsidRPr="00201A8D">
              <w:rPr>
                <w:rFonts w:ascii="Times New Roman" w:hAnsi="Times New Roman"/>
              </w:rPr>
              <w:t>Wartość oszczędności została ustalona na podstawie następujących założeń:</w:t>
            </w:r>
          </w:p>
          <w:p w14:paraId="7451B3F6" w14:textId="26924B23" w:rsidR="00F2281E" w:rsidRPr="00201A8D" w:rsidRDefault="00F2281E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 xml:space="preserve">- do obliczeń przyjęto liczbę podmiotów publicznych wykazanych w sprawozdaniu Prezesa UZP jako Zamawiających w kontraktach publicznych powyżej progu 30 000 euro oraz liczbę </w:t>
            </w:r>
            <w:r w:rsidR="007B3040" w:rsidRPr="00201A8D">
              <w:rPr>
                <w:rFonts w:ascii="Times New Roman" w:hAnsi="Times New Roman"/>
              </w:rPr>
              <w:t>wykonawców</w:t>
            </w:r>
            <w:r w:rsidRPr="00201A8D">
              <w:rPr>
                <w:rFonts w:ascii="Times New Roman" w:hAnsi="Times New Roman"/>
              </w:rPr>
              <w:t xml:space="preserve"> realizujących te </w:t>
            </w:r>
            <w:r w:rsidR="007B3040" w:rsidRPr="00201A8D">
              <w:rPr>
                <w:rFonts w:ascii="Times New Roman" w:hAnsi="Times New Roman"/>
              </w:rPr>
              <w:t>umowy,</w:t>
            </w:r>
          </w:p>
          <w:p w14:paraId="09C93949" w14:textId="26E4F8F9" w:rsidR="00552227" w:rsidRPr="00201A8D" w:rsidRDefault="00552227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- przyjęto wartość uśrednionego czasu obsługi transakcji realizowanej metodami tradycyjnymi (dokumenty papierowe), rozpoczynającej się od wpływu zlecenia dostawy a kończącej na wystawieniu faktury</w:t>
            </w:r>
          </w:p>
          <w:p w14:paraId="7DF0E560" w14:textId="5559463F" w:rsidR="00F2281E" w:rsidRPr="00201A8D" w:rsidRDefault="00F2281E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 xml:space="preserve">- przyjęto wartość uśrednionego czasu obsługi transakcji realizowanej przy wsparciu elektronicznym (dokumenty w postaci elektronicznej i elektroniczna realizacja </w:t>
            </w:r>
            <w:r w:rsidR="00552227" w:rsidRPr="00201A8D">
              <w:rPr>
                <w:rFonts w:ascii="Times New Roman" w:hAnsi="Times New Roman"/>
              </w:rPr>
              <w:t xml:space="preserve">obsługi </w:t>
            </w:r>
            <w:r w:rsidRPr="00201A8D">
              <w:rPr>
                <w:rFonts w:ascii="Times New Roman" w:hAnsi="Times New Roman"/>
              </w:rPr>
              <w:lastRenderedPageBreak/>
              <w:t>procesów</w:t>
            </w:r>
            <w:r w:rsidR="00552227" w:rsidRPr="00201A8D">
              <w:rPr>
                <w:rFonts w:ascii="Times New Roman" w:hAnsi="Times New Roman"/>
              </w:rPr>
              <w:t xml:space="preserve"> przetwarzania)</w:t>
            </w:r>
            <w:r w:rsidRPr="00201A8D">
              <w:rPr>
                <w:rFonts w:ascii="Times New Roman" w:hAnsi="Times New Roman"/>
              </w:rPr>
              <w:t xml:space="preserve"> , rozpoczynającej się od wpływu </w:t>
            </w:r>
            <w:r w:rsidR="00552227" w:rsidRPr="00201A8D">
              <w:rPr>
                <w:rFonts w:ascii="Times New Roman" w:hAnsi="Times New Roman"/>
              </w:rPr>
              <w:t xml:space="preserve">elektronicznego </w:t>
            </w:r>
            <w:r w:rsidRPr="00201A8D">
              <w:rPr>
                <w:rFonts w:ascii="Times New Roman" w:hAnsi="Times New Roman"/>
              </w:rPr>
              <w:t xml:space="preserve">zlecenia dostawy </w:t>
            </w:r>
            <w:r w:rsidR="00552227" w:rsidRPr="00201A8D">
              <w:rPr>
                <w:rFonts w:ascii="Times New Roman" w:hAnsi="Times New Roman"/>
              </w:rPr>
              <w:t>a kończącej na</w:t>
            </w:r>
            <w:r w:rsidRPr="00201A8D">
              <w:rPr>
                <w:rFonts w:ascii="Times New Roman" w:hAnsi="Times New Roman"/>
              </w:rPr>
              <w:t xml:space="preserve"> wystawieni</w:t>
            </w:r>
            <w:r w:rsidR="00552227" w:rsidRPr="00201A8D">
              <w:rPr>
                <w:rFonts w:ascii="Times New Roman" w:hAnsi="Times New Roman"/>
              </w:rPr>
              <w:t>u</w:t>
            </w:r>
            <w:r w:rsidRPr="00201A8D">
              <w:rPr>
                <w:rFonts w:ascii="Times New Roman" w:hAnsi="Times New Roman"/>
              </w:rPr>
              <w:t xml:space="preserve"> </w:t>
            </w:r>
            <w:r w:rsidR="00552227" w:rsidRPr="00201A8D">
              <w:rPr>
                <w:rFonts w:ascii="Times New Roman" w:hAnsi="Times New Roman"/>
              </w:rPr>
              <w:t xml:space="preserve">elektronicznej </w:t>
            </w:r>
            <w:r w:rsidRPr="00201A8D">
              <w:rPr>
                <w:rFonts w:ascii="Times New Roman" w:hAnsi="Times New Roman"/>
              </w:rPr>
              <w:t>faktury</w:t>
            </w:r>
            <w:r w:rsidR="007B3040" w:rsidRPr="00201A8D">
              <w:rPr>
                <w:rFonts w:ascii="Times New Roman" w:hAnsi="Times New Roman"/>
              </w:rPr>
              <w:t>,</w:t>
            </w:r>
          </w:p>
          <w:p w14:paraId="22FECC46" w14:textId="5CE8B221" w:rsidR="00552227" w:rsidRPr="00201A8D" w:rsidRDefault="00552227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- na podstawie statystycznych sprawozdań GUS przyjęto znormalizowane koszty pracochłonności związanej z obsługą transakcji</w:t>
            </w:r>
            <w:r w:rsidR="007B3040" w:rsidRPr="00201A8D">
              <w:rPr>
                <w:rFonts w:ascii="Times New Roman" w:hAnsi="Times New Roman"/>
              </w:rPr>
              <w:t>,</w:t>
            </w:r>
          </w:p>
          <w:p w14:paraId="3E0F66A6" w14:textId="4E1C9564" w:rsidR="00552227" w:rsidRPr="00201A8D" w:rsidRDefault="00552227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- obliczono uśrednione koszty obsługi t</w:t>
            </w:r>
            <w:r w:rsidR="007B3040" w:rsidRPr="00201A8D">
              <w:rPr>
                <w:rFonts w:ascii="Times New Roman" w:hAnsi="Times New Roman"/>
              </w:rPr>
              <w:t>ransakcji metodami tradycyjnymi,</w:t>
            </w:r>
          </w:p>
          <w:p w14:paraId="04386287" w14:textId="399BEC14" w:rsidR="00552227" w:rsidRPr="00201A8D" w:rsidRDefault="00552227" w:rsidP="0055222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- obliczono uśrednione koszty obsługi transakcji metodami elektronicznymi</w:t>
            </w:r>
            <w:r w:rsidR="007B3040" w:rsidRPr="00201A8D">
              <w:rPr>
                <w:rFonts w:ascii="Times New Roman" w:hAnsi="Times New Roman"/>
              </w:rPr>
              <w:t>,</w:t>
            </w:r>
            <w:r w:rsidRPr="00201A8D">
              <w:rPr>
                <w:rFonts w:ascii="Times New Roman" w:hAnsi="Times New Roman"/>
              </w:rPr>
              <w:t xml:space="preserve"> </w:t>
            </w:r>
          </w:p>
          <w:p w14:paraId="46808F20" w14:textId="0D8E39BC" w:rsidR="00552227" w:rsidRPr="00201A8D" w:rsidRDefault="00552227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 xml:space="preserve">- wyliczono różnicę kosztów transakcji realizowanych tradycyjnie oraz osobno elektronicznie w ujęciu rocznym dla poszczególnych lat w okresie 10 lat od wejścia w życie </w:t>
            </w:r>
            <w:r w:rsidR="00135046">
              <w:rPr>
                <w:rFonts w:ascii="Times New Roman" w:hAnsi="Times New Roman"/>
              </w:rPr>
              <w:t>ustawy z przepisami wykonawczymi</w:t>
            </w:r>
          </w:p>
          <w:p w14:paraId="5A3F9A34" w14:textId="29A2738A" w:rsidR="00552227" w:rsidRPr="00201A8D" w:rsidRDefault="00552227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- ze względu na brak danych statystycznych dotyczących udziału JST w dostawach powyżej progu przetargowego, dla tych jednostek ni</w:t>
            </w:r>
            <w:r w:rsidR="00F6747A" w:rsidRPr="00201A8D">
              <w:rPr>
                <w:rFonts w:ascii="Times New Roman" w:hAnsi="Times New Roman"/>
              </w:rPr>
              <w:t>e ustalono osobnych wyliczeń (są</w:t>
            </w:r>
            <w:r w:rsidRPr="00201A8D">
              <w:rPr>
                <w:rFonts w:ascii="Times New Roman" w:hAnsi="Times New Roman"/>
              </w:rPr>
              <w:t xml:space="preserve"> uwzgl</w:t>
            </w:r>
            <w:r w:rsidR="00A95842" w:rsidRPr="00201A8D">
              <w:rPr>
                <w:rFonts w:ascii="Times New Roman" w:hAnsi="Times New Roman"/>
              </w:rPr>
              <w:t>ędnione w wyliczeniu globalnym).</w:t>
            </w:r>
          </w:p>
          <w:p w14:paraId="583744A1" w14:textId="77777777" w:rsidR="00A95842" w:rsidRPr="00201A8D" w:rsidRDefault="00A95842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EE54772" w14:textId="234DA778" w:rsidR="00A95842" w:rsidRPr="00201A8D" w:rsidRDefault="007B3040" w:rsidP="00A9584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 xml:space="preserve">Tabela zawiera łączne koszty wdrożenia ustawy pochodzące z środków krajowych i funduszy strukturalnych z Programu Operacyjnego Polska Cyfrowa </w:t>
            </w:r>
            <w:r w:rsidR="006A6CA2" w:rsidRPr="00201A8D">
              <w:rPr>
                <w:rFonts w:ascii="Times New Roman" w:hAnsi="Times New Roman"/>
              </w:rPr>
              <w:t>POPC.02.01.00-00-0047/16</w:t>
            </w:r>
            <w:r w:rsidRPr="00201A8D">
              <w:rPr>
                <w:rFonts w:ascii="Times New Roman" w:hAnsi="Times New Roman"/>
              </w:rPr>
              <w:t xml:space="preserve"> </w:t>
            </w:r>
            <w:r w:rsidRPr="00201A8D">
              <w:rPr>
                <w:rFonts w:ascii="Times New Roman" w:hAnsi="Times New Roman"/>
                <w:i/>
              </w:rPr>
              <w:t>Platforma pośrednicząca elektronicznego fakturowania dla sfery finansów publicznych</w:t>
            </w:r>
            <w:r w:rsidR="00A95842" w:rsidRPr="00201A8D">
              <w:rPr>
                <w:rFonts w:ascii="Times New Roman" w:hAnsi="Times New Roman"/>
              </w:rPr>
              <w:t>. W ramach kosztów budżetu państwa ujęto koszty projektu oraz koszty administracji państwowej  związane z budową i funkcjonowaniem platformy elektronicznego fakturowania, szacowanymi kosztami dostosowania oprogramowania finansowo-księgowego oraz szkoleniami.</w:t>
            </w:r>
          </w:p>
          <w:p w14:paraId="6722FB13" w14:textId="5391793F" w:rsidR="00F6747A" w:rsidRPr="00201A8D" w:rsidRDefault="00F6747A" w:rsidP="006A6CA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55F1" w:rsidRPr="008B4FE6" w14:paraId="54601A42" w14:textId="77777777" w:rsidTr="00081220">
        <w:trPr>
          <w:gridAfter w:val="1"/>
          <w:wAfter w:w="10" w:type="dxa"/>
          <w:trHeight w:val="345"/>
        </w:trPr>
        <w:tc>
          <w:tcPr>
            <w:tcW w:w="10937" w:type="dxa"/>
            <w:gridSpan w:val="25"/>
            <w:shd w:val="clear" w:color="auto" w:fill="99CCFF"/>
          </w:tcPr>
          <w:p w14:paraId="5BDD5058" w14:textId="5B50C9F9" w:rsidR="00B555F1" w:rsidRPr="008B4FE6" w:rsidRDefault="00B555F1" w:rsidP="00B555F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B555F1" w:rsidRPr="008B4FE6" w14:paraId="6A6E1EBE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05DC2B19" w14:textId="77777777" w:rsidR="00B555F1" w:rsidRPr="00301959" w:rsidRDefault="00B555F1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82A45" w:rsidRPr="008B4FE6" w14:paraId="6ACB632C" w14:textId="77777777" w:rsidTr="00081220">
        <w:trPr>
          <w:gridAfter w:val="1"/>
          <w:wAfter w:w="10" w:type="dxa"/>
          <w:trHeight w:val="142"/>
        </w:trPr>
        <w:tc>
          <w:tcPr>
            <w:tcW w:w="3878" w:type="dxa"/>
            <w:gridSpan w:val="8"/>
            <w:shd w:val="clear" w:color="auto" w:fill="FFFFFF"/>
          </w:tcPr>
          <w:p w14:paraId="1D9E55DD" w14:textId="77777777" w:rsidR="00182A45" w:rsidRPr="00301959" w:rsidRDefault="00182A45" w:rsidP="00B555F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659" w:type="dxa"/>
            <w:gridSpan w:val="2"/>
            <w:shd w:val="clear" w:color="auto" w:fill="FFFFFF"/>
          </w:tcPr>
          <w:p w14:paraId="669A8A3A" w14:textId="77777777" w:rsidR="00182A45" w:rsidRPr="005A5793" w:rsidRDefault="00182A45" w:rsidP="004174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5793">
              <w:rPr>
                <w:rFonts w:ascii="Times New Roman" w:hAnsi="Times New Roman"/>
              </w:rPr>
              <w:t>0</w:t>
            </w:r>
          </w:p>
          <w:p w14:paraId="51B5D332" w14:textId="77777777" w:rsidR="00182A45" w:rsidRPr="005A5793" w:rsidRDefault="00182A45" w:rsidP="004174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E50B5E8" w14:textId="4774163B" w:rsidR="00182A45" w:rsidRPr="00301959" w:rsidRDefault="00182A45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5793">
              <w:rPr>
                <w:rFonts w:ascii="Times New Roman" w:hAnsi="Times New Roman"/>
                <w:sz w:val="16"/>
              </w:rPr>
              <w:t>2017</w:t>
            </w:r>
          </w:p>
        </w:tc>
        <w:tc>
          <w:tcPr>
            <w:tcW w:w="1216" w:type="dxa"/>
            <w:gridSpan w:val="2"/>
            <w:shd w:val="clear" w:color="auto" w:fill="FFFFFF"/>
          </w:tcPr>
          <w:p w14:paraId="632EBBC3" w14:textId="77777777" w:rsidR="00182A45" w:rsidRPr="005A5793" w:rsidRDefault="00182A45" w:rsidP="004174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5793">
              <w:rPr>
                <w:rFonts w:ascii="Times New Roman" w:hAnsi="Times New Roman"/>
              </w:rPr>
              <w:t>1</w:t>
            </w:r>
          </w:p>
          <w:p w14:paraId="12E61D7B" w14:textId="77777777" w:rsidR="00182A45" w:rsidRPr="005A5793" w:rsidRDefault="00182A45" w:rsidP="004174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95F6F14" w14:textId="2105B1E8" w:rsidR="00182A45" w:rsidRPr="00301959" w:rsidRDefault="00182A45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5793">
              <w:rPr>
                <w:rFonts w:ascii="Times New Roman" w:hAnsi="Times New Roman"/>
                <w:sz w:val="16"/>
              </w:rPr>
              <w:t>2018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7FD6F3A" w14:textId="77777777" w:rsidR="00182A45" w:rsidRPr="005A5793" w:rsidRDefault="00182A45" w:rsidP="004174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5793">
              <w:rPr>
                <w:rFonts w:ascii="Times New Roman" w:hAnsi="Times New Roman"/>
              </w:rPr>
              <w:t>2</w:t>
            </w:r>
          </w:p>
          <w:p w14:paraId="10A0CDBA" w14:textId="77777777" w:rsidR="00182A45" w:rsidRPr="005A5793" w:rsidRDefault="00182A45" w:rsidP="004174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D353E63" w14:textId="04012141" w:rsidR="00182A45" w:rsidRPr="00301959" w:rsidRDefault="00182A45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5793">
              <w:rPr>
                <w:rFonts w:ascii="Times New Roman" w:hAnsi="Times New Roman"/>
                <w:sz w:val="16"/>
              </w:rPr>
              <w:t>2019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156ED5A" w14:textId="77777777" w:rsidR="00182A45" w:rsidRPr="005A5793" w:rsidRDefault="00182A45" w:rsidP="004174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5793">
              <w:rPr>
                <w:rFonts w:ascii="Times New Roman" w:hAnsi="Times New Roman"/>
              </w:rPr>
              <w:t>3</w:t>
            </w:r>
          </w:p>
          <w:p w14:paraId="5EDC8137" w14:textId="77777777" w:rsidR="00182A45" w:rsidRPr="005A5793" w:rsidRDefault="00182A45" w:rsidP="004174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EA739ED" w14:textId="4C560DEC" w:rsidR="00182A45" w:rsidRPr="00301959" w:rsidRDefault="00182A45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5793">
              <w:rPr>
                <w:rFonts w:ascii="Times New Roman" w:hAnsi="Times New Roman"/>
                <w:sz w:val="16"/>
              </w:rPr>
              <w:t>2020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4BE36121" w14:textId="77777777" w:rsidR="00182A45" w:rsidRPr="005A5793" w:rsidRDefault="00182A45" w:rsidP="004174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5793">
              <w:rPr>
                <w:rFonts w:ascii="Times New Roman" w:hAnsi="Times New Roman"/>
              </w:rPr>
              <w:t>4</w:t>
            </w:r>
          </w:p>
          <w:p w14:paraId="6D1207A0" w14:textId="77777777" w:rsidR="00182A45" w:rsidRPr="005A5793" w:rsidRDefault="00182A45" w:rsidP="004174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0660A65" w14:textId="67BB80C1" w:rsidR="00182A45" w:rsidRPr="00301959" w:rsidRDefault="00182A45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5793">
              <w:rPr>
                <w:rFonts w:ascii="Times New Roman" w:hAnsi="Times New Roman"/>
                <w:sz w:val="16"/>
              </w:rPr>
              <w:t>2021</w:t>
            </w:r>
          </w:p>
        </w:tc>
        <w:tc>
          <w:tcPr>
            <w:tcW w:w="1499" w:type="dxa"/>
            <w:gridSpan w:val="3"/>
            <w:shd w:val="clear" w:color="auto" w:fill="FFFFFF"/>
          </w:tcPr>
          <w:p w14:paraId="1069C43E" w14:textId="77777777" w:rsidR="00182A45" w:rsidRPr="005A5793" w:rsidRDefault="00182A45" w:rsidP="004174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5793">
              <w:rPr>
                <w:rFonts w:ascii="Times New Roman" w:hAnsi="Times New Roman"/>
              </w:rPr>
              <w:t>5-10</w:t>
            </w:r>
          </w:p>
          <w:p w14:paraId="449A2DA7" w14:textId="77777777" w:rsidR="00182A45" w:rsidRPr="005A5793" w:rsidRDefault="00182A45" w:rsidP="004174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5A9A19A" w14:textId="69D6432C" w:rsidR="00182A45" w:rsidRPr="00301959" w:rsidRDefault="00182A45" w:rsidP="00B5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5793">
              <w:rPr>
                <w:rFonts w:ascii="Times New Roman" w:hAnsi="Times New Roman"/>
                <w:sz w:val="16"/>
              </w:rPr>
              <w:t>2022 - 2026</w:t>
            </w:r>
          </w:p>
        </w:tc>
        <w:tc>
          <w:tcPr>
            <w:tcW w:w="872" w:type="dxa"/>
            <w:shd w:val="clear" w:color="auto" w:fill="FFFFFF"/>
          </w:tcPr>
          <w:p w14:paraId="67A973C6" w14:textId="77777777" w:rsidR="00182A45" w:rsidRPr="001B3460" w:rsidRDefault="00182A45" w:rsidP="00B555F1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182A45" w:rsidRPr="008B4FE6" w14:paraId="4CD38259" w14:textId="77777777" w:rsidTr="00081220">
        <w:trPr>
          <w:gridAfter w:val="1"/>
          <w:wAfter w:w="10" w:type="dxa"/>
          <w:trHeight w:val="142"/>
        </w:trPr>
        <w:tc>
          <w:tcPr>
            <w:tcW w:w="1590" w:type="dxa"/>
            <w:vMerge w:val="restart"/>
            <w:shd w:val="clear" w:color="auto" w:fill="FFFFFF"/>
          </w:tcPr>
          <w:p w14:paraId="4241BA64" w14:textId="77777777" w:rsidR="00201A8D" w:rsidRPr="00201A8D" w:rsidRDefault="00201A8D" w:rsidP="00201A8D">
            <w:pPr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6E987833" w14:textId="77777777" w:rsidR="00201A8D" w:rsidRPr="00201A8D" w:rsidRDefault="00201A8D" w:rsidP="00201A8D">
            <w:pPr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3ADC4E47" w14:textId="69FEAFC4" w:rsidR="00182A45" w:rsidRPr="00201A8D" w:rsidRDefault="00201A8D" w:rsidP="00201A8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spacing w:val="-2"/>
              </w:rPr>
              <w:t>ceny stałe z 2017 r.)</w:t>
            </w:r>
          </w:p>
        </w:tc>
        <w:tc>
          <w:tcPr>
            <w:tcW w:w="2288" w:type="dxa"/>
            <w:gridSpan w:val="7"/>
            <w:shd w:val="clear" w:color="auto" w:fill="FFFFFF"/>
          </w:tcPr>
          <w:p w14:paraId="30B3DC1A" w14:textId="0C22772C" w:rsidR="00182A45" w:rsidRPr="00201A8D" w:rsidRDefault="00201A8D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659" w:type="dxa"/>
            <w:gridSpan w:val="2"/>
            <w:shd w:val="clear" w:color="auto" w:fill="FFFFFF"/>
            <w:vAlign w:val="center"/>
          </w:tcPr>
          <w:p w14:paraId="7F0F90E8" w14:textId="77777777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216" w:type="dxa"/>
            <w:gridSpan w:val="2"/>
            <w:shd w:val="clear" w:color="auto" w:fill="FFFFFF"/>
            <w:vAlign w:val="center"/>
          </w:tcPr>
          <w:p w14:paraId="13370EB8" w14:textId="70B32871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23C54D4" w14:textId="5498459B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F8F1465" w14:textId="6F777389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4F0E3631" w14:textId="77777777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6F41C4EC" w14:textId="77777777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14:paraId="492C8ABE" w14:textId="3D68905F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  <w:spacing w:val="-2"/>
              </w:rPr>
            </w:pPr>
          </w:p>
        </w:tc>
      </w:tr>
      <w:tr w:rsidR="00201A8D" w:rsidRPr="008B4FE6" w14:paraId="5615A2AD" w14:textId="77777777" w:rsidTr="00081220">
        <w:trPr>
          <w:gridAfter w:val="1"/>
          <w:wAfter w:w="10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6FB41881" w14:textId="77777777" w:rsidR="00201A8D" w:rsidRPr="00201A8D" w:rsidRDefault="00201A8D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2288" w:type="dxa"/>
            <w:gridSpan w:val="7"/>
            <w:shd w:val="clear" w:color="auto" w:fill="FFFFFF"/>
          </w:tcPr>
          <w:p w14:paraId="6B1CF829" w14:textId="4466CD97" w:rsidR="00201A8D" w:rsidRPr="00201A8D" w:rsidRDefault="00201A8D" w:rsidP="00B555F1">
            <w:pPr>
              <w:spacing w:line="240" w:lineRule="auto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659" w:type="dxa"/>
            <w:gridSpan w:val="2"/>
            <w:shd w:val="clear" w:color="auto" w:fill="FFFFFF"/>
          </w:tcPr>
          <w:p w14:paraId="51691AEE" w14:textId="77777777" w:rsidR="00201A8D" w:rsidRPr="00201A8D" w:rsidRDefault="00201A8D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216" w:type="dxa"/>
            <w:gridSpan w:val="2"/>
            <w:shd w:val="clear" w:color="auto" w:fill="FFFFFF"/>
          </w:tcPr>
          <w:p w14:paraId="483AF4CD" w14:textId="77777777" w:rsidR="00201A8D" w:rsidRPr="00201A8D" w:rsidRDefault="00201A8D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CE3C3C" w14:textId="77777777" w:rsidR="00201A8D" w:rsidRPr="00201A8D" w:rsidRDefault="00201A8D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AE98285" w14:textId="77777777" w:rsidR="00201A8D" w:rsidRPr="00201A8D" w:rsidRDefault="00201A8D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2B40EF0D" w14:textId="77777777" w:rsidR="00201A8D" w:rsidRPr="00201A8D" w:rsidRDefault="00201A8D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14:paraId="751F8B2E" w14:textId="77777777" w:rsidR="00201A8D" w:rsidRPr="00201A8D" w:rsidRDefault="00201A8D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872" w:type="dxa"/>
            <w:shd w:val="clear" w:color="auto" w:fill="FFFFFF"/>
          </w:tcPr>
          <w:p w14:paraId="562B4C29" w14:textId="77777777" w:rsidR="00201A8D" w:rsidRPr="00201A8D" w:rsidRDefault="00201A8D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  <w:spacing w:val="-2"/>
              </w:rPr>
            </w:pPr>
          </w:p>
        </w:tc>
      </w:tr>
      <w:tr w:rsidR="00182A45" w:rsidRPr="008B4FE6" w14:paraId="6C3A19CE" w14:textId="77777777" w:rsidTr="00081220">
        <w:trPr>
          <w:gridAfter w:val="1"/>
          <w:wAfter w:w="10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5904B025" w14:textId="77777777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2288" w:type="dxa"/>
            <w:gridSpan w:val="7"/>
            <w:shd w:val="clear" w:color="auto" w:fill="FFFFFF"/>
          </w:tcPr>
          <w:p w14:paraId="23E66CA9" w14:textId="77BDBF4D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659" w:type="dxa"/>
            <w:gridSpan w:val="2"/>
            <w:shd w:val="clear" w:color="auto" w:fill="FFFFFF"/>
          </w:tcPr>
          <w:p w14:paraId="59E3547A" w14:textId="77777777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216" w:type="dxa"/>
            <w:gridSpan w:val="2"/>
            <w:shd w:val="clear" w:color="auto" w:fill="FFFFFF"/>
          </w:tcPr>
          <w:p w14:paraId="012CB84C" w14:textId="77777777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BA6E545" w14:textId="77777777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CB6619B" w14:textId="77777777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BCB5EF9" w14:textId="77777777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1499" w:type="dxa"/>
            <w:gridSpan w:val="3"/>
            <w:shd w:val="clear" w:color="auto" w:fill="FFFFFF"/>
          </w:tcPr>
          <w:p w14:paraId="04074895" w14:textId="77777777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</w:rPr>
            </w:pPr>
          </w:p>
        </w:tc>
        <w:tc>
          <w:tcPr>
            <w:tcW w:w="872" w:type="dxa"/>
            <w:shd w:val="clear" w:color="auto" w:fill="FFFFFF"/>
          </w:tcPr>
          <w:p w14:paraId="2678329B" w14:textId="77777777" w:rsidR="00182A45" w:rsidRPr="00201A8D" w:rsidRDefault="00182A45" w:rsidP="00B555F1">
            <w:pPr>
              <w:spacing w:line="240" w:lineRule="auto"/>
              <w:rPr>
                <w:rFonts w:ascii="Times New Roman" w:hAnsi="Times New Roman"/>
                <w:strike/>
                <w:color w:val="000000"/>
                <w:spacing w:val="-2"/>
              </w:rPr>
            </w:pPr>
          </w:p>
        </w:tc>
      </w:tr>
      <w:tr w:rsidR="00081220" w:rsidRPr="008B4FE6" w14:paraId="7324EF27" w14:textId="77777777" w:rsidTr="00467038">
        <w:trPr>
          <w:gridAfter w:val="1"/>
          <w:wAfter w:w="10" w:type="dxa"/>
          <w:trHeight w:val="966"/>
        </w:trPr>
        <w:tc>
          <w:tcPr>
            <w:tcW w:w="1590" w:type="dxa"/>
            <w:vMerge w:val="restart"/>
            <w:shd w:val="clear" w:color="auto" w:fill="FFFFFF"/>
          </w:tcPr>
          <w:p w14:paraId="2AF453C5" w14:textId="569A3AA3" w:rsidR="00081220" w:rsidRPr="00201A8D" w:rsidRDefault="00081220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Niepieniężne</w:t>
            </w:r>
          </w:p>
        </w:tc>
        <w:tc>
          <w:tcPr>
            <w:tcW w:w="2288" w:type="dxa"/>
            <w:gridSpan w:val="7"/>
            <w:shd w:val="clear" w:color="auto" w:fill="FFFFFF"/>
          </w:tcPr>
          <w:p w14:paraId="201653D5" w14:textId="3A0E2AE1" w:rsidR="00081220" w:rsidRPr="00201A8D" w:rsidRDefault="00081220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duże przedsiębiorstwa,</w:t>
            </w:r>
          </w:p>
          <w:p w14:paraId="7A3E849B" w14:textId="1379E94C" w:rsidR="00081220" w:rsidRPr="00201A8D" w:rsidRDefault="00081220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9" w:type="dxa"/>
            <w:gridSpan w:val="17"/>
            <w:shd w:val="clear" w:color="auto" w:fill="FFFFFF"/>
          </w:tcPr>
          <w:p w14:paraId="62888364" w14:textId="77777777" w:rsidR="00081220" w:rsidRPr="00201A8D" w:rsidRDefault="00081220" w:rsidP="0008122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Dla przedsiębiorców skrócenie czasu obsługi transakcji oznaczać będzie przyspieszenie terminów płatności</w:t>
            </w:r>
          </w:p>
          <w:p w14:paraId="2A2590C2" w14:textId="77777777" w:rsidR="00081220" w:rsidRPr="00201A8D" w:rsidRDefault="00081220" w:rsidP="0008122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Wdrożenie międzynarodowych standardów komunikacji biznesowej spowoduje wzrost konkurencyjności gospodarki oraz szersze otwarcie rynków zagranicznych dla przedsiębiorców – ułatwienie dostępu do rynków zamówień publicznych w innych państwach członkowskich UE</w:t>
            </w:r>
          </w:p>
          <w:p w14:paraId="4B72188E" w14:textId="4AADE1A5" w:rsidR="00081220" w:rsidRPr="00201A8D" w:rsidRDefault="00081220" w:rsidP="007B733F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 xml:space="preserve">Wprowadzenie obowiązków </w:t>
            </w:r>
            <w:r w:rsidR="007B733F">
              <w:rPr>
                <w:rFonts w:ascii="Times New Roman" w:hAnsi="Times New Roman"/>
                <w:spacing w:val="-2"/>
              </w:rPr>
              <w:t>wynikających z przepisów ustawy i aktów wykonawczych</w:t>
            </w:r>
            <w:r w:rsidRPr="00201A8D">
              <w:rPr>
                <w:rFonts w:ascii="Times New Roman" w:hAnsi="Times New Roman"/>
                <w:spacing w:val="-2"/>
              </w:rPr>
              <w:t xml:space="preserve"> spowoduje wzrost popytu na produkty i usługi informatyczne, czego skutkiem będzie powstawanie nowych przedsiębiorstw, produktów i usług, co wywoła wzrost ich podaży a tym samym  poprawę dostępu do tych produktów i usługi oraz obniżenie ich kosztów dla jednostek publicznych i przedsiębiorców.</w:t>
            </w:r>
          </w:p>
        </w:tc>
      </w:tr>
      <w:tr w:rsidR="00A95842" w:rsidRPr="008B4FE6" w14:paraId="07A2E031" w14:textId="77777777" w:rsidTr="00081220">
        <w:trPr>
          <w:gridAfter w:val="1"/>
          <w:wAfter w:w="10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4F8065A2" w14:textId="77777777" w:rsidR="00A95842" w:rsidRPr="00201A8D" w:rsidRDefault="00A95842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7"/>
            <w:shd w:val="clear" w:color="auto" w:fill="FFFFFF"/>
          </w:tcPr>
          <w:p w14:paraId="0BC7CD59" w14:textId="46F7C992" w:rsidR="00A95842" w:rsidRPr="00201A8D" w:rsidRDefault="00A95842" w:rsidP="00B555F1">
            <w:pPr>
              <w:spacing w:line="240" w:lineRule="auto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59" w:type="dxa"/>
            <w:gridSpan w:val="17"/>
            <w:shd w:val="clear" w:color="auto" w:fill="FFFFFF"/>
          </w:tcPr>
          <w:p w14:paraId="0B1D8C7A" w14:textId="2AFCD263" w:rsidR="00A95842" w:rsidRPr="00201A8D" w:rsidRDefault="00A95842" w:rsidP="005B791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Jak wyżej.</w:t>
            </w:r>
          </w:p>
        </w:tc>
      </w:tr>
      <w:tr w:rsidR="00081220" w:rsidRPr="008B4FE6" w14:paraId="4CAB84D2" w14:textId="77777777" w:rsidTr="00081220">
        <w:trPr>
          <w:gridAfter w:val="1"/>
          <w:wAfter w:w="10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253F79DE" w14:textId="77777777" w:rsidR="00081220" w:rsidRPr="00201A8D" w:rsidRDefault="00081220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7"/>
            <w:shd w:val="clear" w:color="auto" w:fill="FFFFFF"/>
          </w:tcPr>
          <w:p w14:paraId="0F3301CF" w14:textId="3EFDA9B3" w:rsidR="00081220" w:rsidRPr="00201A8D" w:rsidRDefault="00081220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59" w:type="dxa"/>
            <w:gridSpan w:val="17"/>
            <w:shd w:val="clear" w:color="auto" w:fill="FFFFFF"/>
          </w:tcPr>
          <w:p w14:paraId="32D9129B" w14:textId="401FEC78" w:rsidR="00081220" w:rsidRPr="00201A8D" w:rsidRDefault="00A95842" w:rsidP="005B791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Brak oddziaływania.</w:t>
            </w:r>
          </w:p>
        </w:tc>
      </w:tr>
      <w:tr w:rsidR="008044C7" w:rsidRPr="008B4FE6" w14:paraId="3F9CE6E7" w14:textId="77777777" w:rsidTr="00081220">
        <w:trPr>
          <w:gridAfter w:val="1"/>
          <w:wAfter w:w="10" w:type="dxa"/>
          <w:trHeight w:val="142"/>
        </w:trPr>
        <w:tc>
          <w:tcPr>
            <w:tcW w:w="1590" w:type="dxa"/>
            <w:vMerge w:val="restart"/>
            <w:shd w:val="clear" w:color="auto" w:fill="FFFFFF"/>
          </w:tcPr>
          <w:p w14:paraId="14BE1CDF" w14:textId="77777777" w:rsidR="008044C7" w:rsidRPr="00201A8D" w:rsidRDefault="008044C7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88" w:type="dxa"/>
            <w:gridSpan w:val="7"/>
            <w:shd w:val="clear" w:color="auto" w:fill="FFFFFF"/>
          </w:tcPr>
          <w:p w14:paraId="5C665D11" w14:textId="5EA4B923" w:rsidR="008044C7" w:rsidRPr="00201A8D" w:rsidRDefault="008044C7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59" w:type="dxa"/>
            <w:gridSpan w:val="17"/>
            <w:shd w:val="clear" w:color="auto" w:fill="FFFFFF"/>
          </w:tcPr>
          <w:p w14:paraId="7E0FE106" w14:textId="77777777" w:rsidR="005B791B" w:rsidRPr="00201A8D" w:rsidRDefault="005B791B" w:rsidP="005B791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Oszczędności wynikające ze zmniejszenia kosztów przesyłania faktur papierowych.</w:t>
            </w:r>
          </w:p>
          <w:p w14:paraId="5E0D4F02" w14:textId="705F6A66" w:rsidR="008044C7" w:rsidRPr="00201A8D" w:rsidRDefault="008044C7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Koszty jednorazowego dostosowania wykorzystywanych komputerowych systemów finansowo-księgowych do wystawiania ustrukturyzowanych faktur elektronicznych i współpracy z platformą elektronicznego fakturowania.</w:t>
            </w:r>
          </w:p>
        </w:tc>
      </w:tr>
      <w:tr w:rsidR="008044C7" w:rsidRPr="008B4FE6" w14:paraId="59611039" w14:textId="77777777" w:rsidTr="00081220">
        <w:trPr>
          <w:gridAfter w:val="1"/>
          <w:wAfter w:w="10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01530A55" w14:textId="77777777" w:rsidR="008044C7" w:rsidRPr="00201A8D" w:rsidRDefault="008044C7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7"/>
            <w:shd w:val="clear" w:color="auto" w:fill="FFFFFF"/>
          </w:tcPr>
          <w:p w14:paraId="69C00D42" w14:textId="67C18758" w:rsidR="008044C7" w:rsidRPr="00201A8D" w:rsidRDefault="008044C7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59" w:type="dxa"/>
            <w:gridSpan w:val="17"/>
            <w:shd w:val="clear" w:color="auto" w:fill="FFFFFF"/>
          </w:tcPr>
          <w:p w14:paraId="06722D50" w14:textId="77777777" w:rsidR="008044C7" w:rsidRPr="00201A8D" w:rsidRDefault="008044C7" w:rsidP="008044C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Oszczędności wynikające ze zmniejszenia kosztów przesyłania faktur papierowych.</w:t>
            </w:r>
          </w:p>
          <w:p w14:paraId="07C98788" w14:textId="65411094" w:rsidR="008044C7" w:rsidRPr="00201A8D" w:rsidRDefault="008044C7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 xml:space="preserve">Koszty jednorazowego dostosowania wykorzystywanych komputerowych </w:t>
            </w:r>
            <w:r w:rsidRPr="00201A8D">
              <w:rPr>
                <w:rFonts w:ascii="Times New Roman" w:hAnsi="Times New Roman"/>
                <w:spacing w:val="-2"/>
              </w:rPr>
              <w:lastRenderedPageBreak/>
              <w:t>systemów finansowo-księgowych do wystawiania ustrukturyzowanych faktur elektronicznych i współpracy z platformą elektronicznego fakturowania.</w:t>
            </w:r>
          </w:p>
        </w:tc>
      </w:tr>
      <w:tr w:rsidR="008044C7" w:rsidRPr="008B4FE6" w14:paraId="51DD0F00" w14:textId="77777777" w:rsidTr="00081220">
        <w:trPr>
          <w:gridAfter w:val="1"/>
          <w:wAfter w:w="10" w:type="dxa"/>
          <w:trHeight w:val="142"/>
        </w:trPr>
        <w:tc>
          <w:tcPr>
            <w:tcW w:w="1590" w:type="dxa"/>
            <w:vMerge/>
            <w:shd w:val="clear" w:color="auto" w:fill="FFFFFF"/>
          </w:tcPr>
          <w:p w14:paraId="029A41F5" w14:textId="77777777" w:rsidR="008044C7" w:rsidRPr="00201A8D" w:rsidRDefault="008044C7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8" w:type="dxa"/>
            <w:gridSpan w:val="7"/>
            <w:shd w:val="clear" w:color="auto" w:fill="FFFFFF"/>
          </w:tcPr>
          <w:p w14:paraId="72E1121E" w14:textId="0C25F8A7" w:rsidR="008044C7" w:rsidRPr="00201A8D" w:rsidRDefault="008044C7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</w:rPr>
              <w:t>rodzina, obywatele oraz gospodarstwa domowe</w:t>
            </w:r>
            <w:r w:rsidRPr="00201A8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59" w:type="dxa"/>
            <w:gridSpan w:val="17"/>
            <w:shd w:val="clear" w:color="auto" w:fill="FFFFFF"/>
          </w:tcPr>
          <w:p w14:paraId="3F80F8FE" w14:textId="1B71B92A" w:rsidR="008044C7" w:rsidRPr="00201A8D" w:rsidRDefault="006A6CA2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color w:val="000000"/>
                <w:spacing w:val="-2"/>
              </w:rPr>
              <w:t>Brak oddziaływania.</w:t>
            </w:r>
          </w:p>
        </w:tc>
      </w:tr>
      <w:tr w:rsidR="00B555F1" w:rsidRPr="008B4FE6" w14:paraId="7AE33A34" w14:textId="77777777" w:rsidTr="00081220">
        <w:trPr>
          <w:gridAfter w:val="1"/>
          <w:wAfter w:w="10" w:type="dxa"/>
          <w:trHeight w:val="1643"/>
        </w:trPr>
        <w:tc>
          <w:tcPr>
            <w:tcW w:w="2232" w:type="dxa"/>
            <w:gridSpan w:val="3"/>
            <w:shd w:val="clear" w:color="auto" w:fill="FFFFFF"/>
          </w:tcPr>
          <w:p w14:paraId="7BB82DCD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5" w:type="dxa"/>
            <w:gridSpan w:val="22"/>
            <w:shd w:val="clear" w:color="auto" w:fill="FFFFFF"/>
            <w:vAlign w:val="center"/>
          </w:tcPr>
          <w:p w14:paraId="61CFD1C9" w14:textId="6730809A" w:rsidR="00B555F1" w:rsidRPr="00201A8D" w:rsidRDefault="006A6CA2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 xml:space="preserve">Brak jest możliwości </w:t>
            </w:r>
            <w:r w:rsidR="005C5EA9" w:rsidRPr="00201A8D">
              <w:rPr>
                <w:rFonts w:ascii="Times New Roman" w:hAnsi="Times New Roman"/>
              </w:rPr>
              <w:t>precyzyjnego oszacowania zysków i kosztów dla przedsiębiorców ze względu na fakt, że elektroniczne fakturowanie w zamówieniach publicznych w odniesieniu do przedsiębiorc</w:t>
            </w:r>
            <w:r w:rsidR="00081220" w:rsidRPr="00201A8D">
              <w:rPr>
                <w:rFonts w:ascii="Times New Roman" w:hAnsi="Times New Roman"/>
              </w:rPr>
              <w:t>ów będzie całkowicie dobrowolne.</w:t>
            </w:r>
          </w:p>
          <w:p w14:paraId="51BDBA66" w14:textId="77777777" w:rsidR="00201A8D" w:rsidRPr="00201A8D" w:rsidRDefault="00201A8D" w:rsidP="00201A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Dla wykonawców projekt może wiązać się z kosztami ze względu na konieczność dostosowania się do wymogów platformy elektronicznego fakturowania i normy europejskiej EN 16931, o ile podejmą decyzję o wykorzystaniu możliwości przekazywania faktur elektronicznych do zamawiających.</w:t>
            </w:r>
          </w:p>
          <w:p w14:paraId="76A4C274" w14:textId="77777777" w:rsidR="00201A8D" w:rsidRPr="00201A8D" w:rsidRDefault="00201A8D" w:rsidP="00201A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Wprowadzenie nowych możliwości przekazywania e-faktur do zamawiających wygeneruje oszczędności po stronie wykonawców ze względu na brak konieczności wydruku i przesyłania faktur za pomocą tradycyjnej poczty.</w:t>
            </w:r>
          </w:p>
          <w:p w14:paraId="31C37715" w14:textId="29C4CF75" w:rsidR="00201A8D" w:rsidRPr="00201A8D" w:rsidRDefault="00201A8D" w:rsidP="00201A8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Skala kosztów i oszczędności dla wykonawców trudna do oszacowania ze względu na dobrowolność korzystania z nowych możliwości.</w:t>
            </w:r>
          </w:p>
          <w:p w14:paraId="5F3A835A" w14:textId="4CC631EB" w:rsidR="005C5EA9" w:rsidRPr="00201A8D" w:rsidRDefault="005C5EA9" w:rsidP="005C5EA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 xml:space="preserve">Dla ustawy przewidywane jest przygotowanie OSR ex-post po dwóch latach wejścia ustawy w życie, ponadto w związku z realizacją projektu PO PC </w:t>
            </w:r>
            <w:r w:rsidRPr="00201A8D">
              <w:rPr>
                <w:rFonts w:ascii="Times New Roman" w:hAnsi="Times New Roman"/>
                <w:i/>
                <w:spacing w:val="-2"/>
              </w:rPr>
              <w:t>Platformy elektronicznego fakturowania dla sfery finansów publicznych</w:t>
            </w:r>
            <w:r w:rsidRPr="00201A8D">
              <w:rPr>
                <w:rFonts w:ascii="Times New Roman" w:hAnsi="Times New Roman"/>
                <w:spacing w:val="-2"/>
              </w:rPr>
              <w:t xml:space="preserve"> prowadzona będzie ewaluacja realizacji mierników projektu oraz stopnia akceptacji i adaptacji przedsiębiorców do e-fakturowania, co może pozwolić na </w:t>
            </w:r>
            <w:r w:rsidR="00201A8D" w:rsidRPr="00201A8D">
              <w:rPr>
                <w:rFonts w:ascii="Times New Roman" w:hAnsi="Times New Roman"/>
                <w:spacing w:val="-2"/>
              </w:rPr>
              <w:t>rozważenie dalszych działań legislacyjnych</w:t>
            </w:r>
            <w:r w:rsidRPr="00201A8D">
              <w:rPr>
                <w:rFonts w:ascii="Times New Roman" w:hAnsi="Times New Roman"/>
                <w:spacing w:val="-2"/>
              </w:rPr>
              <w:t xml:space="preserve"> polegające np. na wprowadzeniu obowiązku wystawiania e-faktur przez wykonawców zamówień publicznych. </w:t>
            </w:r>
          </w:p>
          <w:p w14:paraId="7B614FAC" w14:textId="77777777" w:rsidR="005C5EA9" w:rsidRPr="00201A8D" w:rsidRDefault="005C5EA9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CAFE508" w14:textId="77777777" w:rsidR="00B555F1" w:rsidRPr="00201A8D" w:rsidRDefault="00B555F1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2F25C05" w14:textId="77777777" w:rsidR="00B555F1" w:rsidRPr="00201A8D" w:rsidRDefault="00B555F1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6C0E5E3" w14:textId="77777777" w:rsidR="00B555F1" w:rsidRPr="00201A8D" w:rsidRDefault="00B555F1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140068A" w14:textId="77777777" w:rsidR="00B555F1" w:rsidRPr="00201A8D" w:rsidRDefault="00B555F1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047BB25" w14:textId="77777777" w:rsidR="00B555F1" w:rsidRPr="00201A8D" w:rsidRDefault="00B555F1" w:rsidP="00B555F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55F1" w:rsidRPr="008B4FE6" w14:paraId="098AEF9C" w14:textId="77777777" w:rsidTr="00081220">
        <w:trPr>
          <w:gridAfter w:val="1"/>
          <w:wAfter w:w="10" w:type="dxa"/>
          <w:trHeight w:val="342"/>
        </w:trPr>
        <w:tc>
          <w:tcPr>
            <w:tcW w:w="10937" w:type="dxa"/>
            <w:gridSpan w:val="25"/>
            <w:shd w:val="clear" w:color="auto" w:fill="99CCFF"/>
            <w:vAlign w:val="center"/>
          </w:tcPr>
          <w:p w14:paraId="7A3CCCD5" w14:textId="77777777" w:rsidR="00B555F1" w:rsidRPr="008B4FE6" w:rsidRDefault="00B555F1" w:rsidP="00B555F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555F1" w:rsidRPr="008B4FE6" w14:paraId="31C004B9" w14:textId="77777777" w:rsidTr="00081220">
        <w:trPr>
          <w:gridAfter w:val="1"/>
          <w:wAfter w:w="10" w:type="dxa"/>
          <w:trHeight w:val="151"/>
        </w:trPr>
        <w:tc>
          <w:tcPr>
            <w:tcW w:w="10937" w:type="dxa"/>
            <w:gridSpan w:val="25"/>
            <w:shd w:val="clear" w:color="auto" w:fill="FFFFFF"/>
          </w:tcPr>
          <w:p w14:paraId="3216DA43" w14:textId="00B1623C" w:rsidR="00B555F1" w:rsidRPr="00201A8D" w:rsidRDefault="00411F59" w:rsidP="0072754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MS Gothic" w:eastAsia="MS Gothic" w:hAnsi="MS Gothic" w:hint="eastAsia"/>
                <w:color w:val="000000"/>
              </w:rPr>
              <w:t>☐</w:t>
            </w:r>
            <w:r w:rsidR="00B555F1" w:rsidRPr="00201A8D">
              <w:rPr>
                <w:rFonts w:ascii="Times New Roman" w:hAnsi="Times New Roman"/>
              </w:rPr>
              <w:t xml:space="preserve"> </w:t>
            </w:r>
            <w:r w:rsidR="00727545" w:rsidRPr="00201A8D">
              <w:rPr>
                <w:rFonts w:ascii="Times New Roman" w:hAnsi="Times New Roman"/>
              </w:rPr>
              <w:t xml:space="preserve"> </w:t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201A8D">
              <w:rPr>
                <w:rFonts w:ascii="Times New Roman" w:hAnsi="Times New Roman"/>
              </w:rPr>
              <w:t xml:space="preserve"> </w:t>
            </w:r>
            <w:r w:rsidR="00B555F1" w:rsidRPr="00201A8D">
              <w:rPr>
                <w:rFonts w:ascii="Times New Roman" w:hAnsi="Times New Roman"/>
                <w:color w:val="000000"/>
                <w:spacing w:val="-2"/>
              </w:rPr>
              <w:t>dotyczy</w:t>
            </w:r>
          </w:p>
        </w:tc>
      </w:tr>
      <w:tr w:rsidR="00B555F1" w:rsidRPr="008B4FE6" w14:paraId="58AB6064" w14:textId="77777777" w:rsidTr="00081220">
        <w:trPr>
          <w:gridAfter w:val="1"/>
          <w:wAfter w:w="10" w:type="dxa"/>
          <w:trHeight w:val="946"/>
        </w:trPr>
        <w:tc>
          <w:tcPr>
            <w:tcW w:w="5104" w:type="dxa"/>
            <w:gridSpan w:val="11"/>
            <w:shd w:val="clear" w:color="auto" w:fill="FFFFFF"/>
          </w:tcPr>
          <w:p w14:paraId="2E81F284" w14:textId="77777777" w:rsidR="00B555F1" w:rsidRPr="00201A8D" w:rsidRDefault="00B555F1" w:rsidP="00B555F1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201A8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33" w:type="dxa"/>
            <w:gridSpan w:val="14"/>
            <w:shd w:val="clear" w:color="auto" w:fill="FFFFFF"/>
          </w:tcPr>
          <w:p w14:paraId="4A418C77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MS Gothic" w:eastAsia="MS Gothic" w:hAnsi="MS Gothic" w:hint="eastAsia"/>
                <w:color w:val="000000"/>
              </w:rPr>
              <w:t>☐</w:t>
            </w:r>
            <w:r w:rsidRPr="00201A8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FB69B41" w14:textId="077C7A81" w:rsidR="00B555F1" w:rsidRPr="00201A8D" w:rsidRDefault="00276334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A8D">
              <w:rPr>
                <w:rFonts w:ascii="Times New Roman" w:hAnsi="Times New Roman"/>
              </w:rPr>
              <w:instrText xml:space="preserve"> FORMCHECKBOX </w:instrText>
            </w:r>
            <w:r w:rsidR="00EC5DBB">
              <w:rPr>
                <w:rFonts w:ascii="Times New Roman" w:hAnsi="Times New Roman"/>
              </w:rPr>
            </w:r>
            <w:r w:rsidR="00EC5DBB">
              <w:rPr>
                <w:rFonts w:ascii="Times New Roman" w:hAnsi="Times New Roman"/>
              </w:rPr>
              <w:fldChar w:fldCharType="separate"/>
            </w:r>
            <w:r w:rsidRPr="00201A8D">
              <w:rPr>
                <w:rFonts w:ascii="Times New Roman" w:hAnsi="Times New Roman"/>
              </w:rPr>
              <w:fldChar w:fldCharType="end"/>
            </w:r>
            <w:r w:rsidRPr="00201A8D">
              <w:rPr>
                <w:rFonts w:ascii="Times New Roman" w:hAnsi="Times New Roman"/>
                <w:color w:val="000000"/>
              </w:rPr>
              <w:t xml:space="preserve"> </w:t>
            </w:r>
            <w:r w:rsidR="00B555F1" w:rsidRPr="00201A8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B6EE747" w14:textId="4D744B47" w:rsidR="00B555F1" w:rsidRPr="00201A8D" w:rsidRDefault="00276334" w:rsidP="00B555F1">
            <w:pPr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MS Gothic" w:eastAsia="MS Gothic" w:hAnsi="MS Gothic" w:hint="eastAsia"/>
                <w:color w:val="000000"/>
              </w:rPr>
              <w:t>☐</w:t>
            </w:r>
            <w:r w:rsidR="00B555F1" w:rsidRPr="00201A8D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B555F1" w:rsidRPr="008B4FE6" w14:paraId="08AF0CD0" w14:textId="77777777" w:rsidTr="00081220">
        <w:trPr>
          <w:gridAfter w:val="1"/>
          <w:wAfter w:w="10" w:type="dxa"/>
          <w:trHeight w:val="1245"/>
        </w:trPr>
        <w:tc>
          <w:tcPr>
            <w:tcW w:w="5104" w:type="dxa"/>
            <w:gridSpan w:val="11"/>
            <w:shd w:val="clear" w:color="auto" w:fill="FFFFFF"/>
          </w:tcPr>
          <w:p w14:paraId="419DAEC0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MS Gothic" w:eastAsia="MS Gothic" w:hAnsi="MS Gothic" w:hint="eastAsia"/>
                <w:color w:val="000000"/>
                <w:spacing w:val="-2"/>
              </w:rPr>
              <w:t>☐</w:t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 zmniejszenie liczby dokumentów </w:t>
            </w:r>
          </w:p>
          <w:p w14:paraId="5945CE18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A8D">
              <w:rPr>
                <w:rFonts w:ascii="Times New Roman" w:hAnsi="Times New Roman"/>
              </w:rPr>
              <w:instrText xml:space="preserve"> FORMCHECKBOX </w:instrText>
            </w:r>
            <w:r w:rsidR="00EC5DBB">
              <w:rPr>
                <w:rFonts w:ascii="Times New Roman" w:hAnsi="Times New Roman"/>
              </w:rPr>
            </w:r>
            <w:r w:rsidR="00EC5DBB">
              <w:rPr>
                <w:rFonts w:ascii="Times New Roman" w:hAnsi="Times New Roman"/>
              </w:rPr>
              <w:fldChar w:fldCharType="separate"/>
            </w:r>
            <w:r w:rsidRPr="00201A8D">
              <w:rPr>
                <w:rFonts w:ascii="Times New Roman" w:hAnsi="Times New Roman"/>
              </w:rPr>
              <w:fldChar w:fldCharType="end"/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 zmniejszenie liczby procedur</w:t>
            </w:r>
          </w:p>
          <w:p w14:paraId="66006075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A8D">
              <w:rPr>
                <w:rFonts w:ascii="Times New Roman" w:hAnsi="Times New Roman"/>
              </w:rPr>
              <w:instrText xml:space="preserve"> FORMCHECKBOX </w:instrText>
            </w:r>
            <w:r w:rsidR="00EC5DBB">
              <w:rPr>
                <w:rFonts w:ascii="Times New Roman" w:hAnsi="Times New Roman"/>
              </w:rPr>
            </w:r>
            <w:r w:rsidR="00EC5DBB">
              <w:rPr>
                <w:rFonts w:ascii="Times New Roman" w:hAnsi="Times New Roman"/>
              </w:rPr>
              <w:fldChar w:fldCharType="separate"/>
            </w:r>
            <w:r w:rsidRPr="00201A8D">
              <w:rPr>
                <w:rFonts w:ascii="Times New Roman" w:hAnsi="Times New Roman"/>
              </w:rPr>
              <w:fldChar w:fldCharType="end"/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 skrócenie czasu na załatwienie sprawy</w:t>
            </w:r>
          </w:p>
          <w:p w14:paraId="37815E5E" w14:textId="77777777" w:rsidR="00B555F1" w:rsidRPr="00201A8D" w:rsidRDefault="00B555F1" w:rsidP="00B555F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1A8D">
              <w:rPr>
                <w:rFonts w:ascii="MS Gothic" w:eastAsia="MS Gothic" w:hAnsi="MS Gothic" w:hint="eastAsia"/>
                <w:color w:val="000000"/>
                <w:spacing w:val="-2"/>
              </w:rPr>
              <w:t>☐</w:t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Pr="00201A8D">
              <w:rPr>
                <w:rFonts w:ascii="Times New Roman" w:hAnsi="Times New Roman"/>
                <w:color w:val="000000"/>
              </w:rPr>
              <w:t xml:space="preserve"> …</w:t>
            </w:r>
          </w:p>
        </w:tc>
        <w:tc>
          <w:tcPr>
            <w:tcW w:w="5833" w:type="dxa"/>
            <w:gridSpan w:val="14"/>
            <w:shd w:val="clear" w:color="auto" w:fill="FFFFFF"/>
          </w:tcPr>
          <w:p w14:paraId="790E0B45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MS Gothic" w:eastAsia="MS Gothic" w:hAnsi="MS Gothic" w:hint="eastAsia"/>
                <w:color w:val="000000"/>
                <w:spacing w:val="-2"/>
              </w:rPr>
              <w:t>☐</w:t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 zwiększenie liczby dokumentów</w:t>
            </w:r>
          </w:p>
          <w:p w14:paraId="2AD34F14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MS Gothic" w:eastAsia="MS Gothic" w:hAnsi="MS Gothic" w:hint="eastAsia"/>
                <w:color w:val="000000"/>
              </w:rPr>
              <w:t>☐</w:t>
            </w:r>
            <w:r w:rsidRPr="00201A8D">
              <w:rPr>
                <w:rFonts w:ascii="Times New Roman" w:hAnsi="Times New Roman"/>
                <w:color w:val="000000"/>
              </w:rPr>
              <w:t xml:space="preserve"> </w:t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78D733B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MS Gothic" w:eastAsia="MS Gothic" w:hAnsi="MS Gothic" w:hint="eastAsia"/>
                <w:color w:val="000000"/>
                <w:spacing w:val="-2"/>
              </w:rPr>
              <w:t>☐</w:t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 wydłużenie czasu na załatwienie sprawy</w:t>
            </w:r>
          </w:p>
          <w:p w14:paraId="588A646A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MS Gothic" w:eastAsia="MS Gothic" w:hAnsi="MS Gothic" w:hint="eastAsia"/>
                <w:color w:val="000000"/>
                <w:spacing w:val="-2"/>
              </w:rPr>
              <w:t>☐</w:t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 inne:</w:t>
            </w:r>
            <w:r w:rsidRPr="00201A8D">
              <w:rPr>
                <w:rFonts w:ascii="Times New Roman" w:hAnsi="Times New Roman"/>
                <w:color w:val="000000"/>
              </w:rPr>
              <w:t xml:space="preserve"> …</w:t>
            </w:r>
          </w:p>
          <w:p w14:paraId="503B295F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55F1" w:rsidRPr="008B4FE6" w14:paraId="730E01E9" w14:textId="77777777" w:rsidTr="00081220">
        <w:trPr>
          <w:gridAfter w:val="1"/>
          <w:wAfter w:w="10" w:type="dxa"/>
          <w:trHeight w:val="870"/>
        </w:trPr>
        <w:tc>
          <w:tcPr>
            <w:tcW w:w="5104" w:type="dxa"/>
            <w:gridSpan w:val="11"/>
            <w:shd w:val="clear" w:color="auto" w:fill="FFFFFF"/>
          </w:tcPr>
          <w:p w14:paraId="3E8B3F3C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33" w:type="dxa"/>
            <w:gridSpan w:val="14"/>
            <w:shd w:val="clear" w:color="auto" w:fill="FFFFFF"/>
          </w:tcPr>
          <w:p w14:paraId="7F05B90F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A8D">
              <w:rPr>
                <w:rFonts w:ascii="Times New Roman" w:hAnsi="Times New Roman"/>
              </w:rPr>
              <w:instrText xml:space="preserve"> FORMCHECKBOX </w:instrText>
            </w:r>
            <w:r w:rsidR="00EC5DBB">
              <w:rPr>
                <w:rFonts w:ascii="Times New Roman" w:hAnsi="Times New Roman"/>
              </w:rPr>
            </w:r>
            <w:r w:rsidR="00EC5DBB">
              <w:rPr>
                <w:rFonts w:ascii="Times New Roman" w:hAnsi="Times New Roman"/>
              </w:rPr>
              <w:fldChar w:fldCharType="separate"/>
            </w:r>
            <w:r w:rsidRPr="00201A8D">
              <w:rPr>
                <w:rFonts w:ascii="Times New Roman" w:hAnsi="Times New Roman"/>
              </w:rPr>
              <w:fldChar w:fldCharType="end"/>
            </w:r>
            <w:r w:rsidRPr="00201A8D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999739B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MS Gothic" w:eastAsia="MS Gothic" w:hAnsi="MS Gothic" w:hint="eastAsia"/>
                <w:color w:val="000000"/>
              </w:rPr>
              <w:t>☐</w:t>
            </w:r>
            <w:r w:rsidRPr="00201A8D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EF4BE3A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MS Gothic" w:eastAsia="MS Gothic" w:hAnsi="MS Gothic" w:hint="eastAsia"/>
                <w:color w:val="000000"/>
              </w:rPr>
              <w:t>☐</w:t>
            </w:r>
            <w:r w:rsidRPr="00201A8D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E328465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555F1" w:rsidRPr="008B4FE6" w14:paraId="3737B6AB" w14:textId="77777777" w:rsidTr="00081220">
        <w:trPr>
          <w:gridAfter w:val="1"/>
          <w:wAfter w:w="10" w:type="dxa"/>
          <w:trHeight w:val="630"/>
        </w:trPr>
        <w:tc>
          <w:tcPr>
            <w:tcW w:w="10937" w:type="dxa"/>
            <w:gridSpan w:val="25"/>
            <w:shd w:val="clear" w:color="auto" w:fill="FFFFFF"/>
          </w:tcPr>
          <w:p w14:paraId="7B6C4525" w14:textId="77777777" w:rsidR="00B555F1" w:rsidRPr="00201A8D" w:rsidRDefault="00B555F1" w:rsidP="00B555F1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Komentarz:</w:t>
            </w:r>
          </w:p>
          <w:p w14:paraId="3D75A658" w14:textId="3E1C3F4D" w:rsidR="00182A45" w:rsidRPr="00201A8D" w:rsidRDefault="00182A45" w:rsidP="00182A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 xml:space="preserve">Przewiduje się zmniejszenie kosztów i obciążeń regulacyjnych, pomimo wprowadzenia obowiązku </w:t>
            </w:r>
            <w:r w:rsidR="00F43D4B">
              <w:rPr>
                <w:rFonts w:ascii="Times New Roman" w:hAnsi="Times New Roman"/>
              </w:rPr>
              <w:t>odbierania</w:t>
            </w:r>
            <w:r w:rsidRPr="00201A8D">
              <w:rPr>
                <w:rFonts w:ascii="Times New Roman" w:hAnsi="Times New Roman"/>
              </w:rPr>
              <w:t xml:space="preserve"> ustrukturyzowanych faktur elektronicznych </w:t>
            </w:r>
            <w:r w:rsidR="00F43D4B">
              <w:rPr>
                <w:rFonts w:ascii="Times New Roman" w:hAnsi="Times New Roman"/>
              </w:rPr>
              <w:t xml:space="preserve">przez zamawiających </w:t>
            </w:r>
            <w:r w:rsidRPr="00201A8D">
              <w:rPr>
                <w:rFonts w:ascii="Times New Roman" w:hAnsi="Times New Roman"/>
              </w:rPr>
              <w:t>w zamówieniach publicznych.</w:t>
            </w:r>
          </w:p>
          <w:p w14:paraId="5DDB97B8" w14:textId="77777777" w:rsidR="00B555F1" w:rsidRPr="00201A8D" w:rsidRDefault="00182A45" w:rsidP="0027633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 xml:space="preserve">Wykonawcy i zamawiający lub inni przedsiębiorcy już w tej chwili wystawiają i księgują faktury, w przeważającej mierze, z wykorzystaniem komputerowych systemów finansowo-księgowych. Jeżeli faktura ma postać papierową, to dochodzą do tego koszty związane z jej wydrukiem i przekazaniem za pośrednictwem tradycyjnej poczty. </w:t>
            </w:r>
            <w:r w:rsidR="00276334" w:rsidRPr="00201A8D">
              <w:rPr>
                <w:rFonts w:ascii="Times New Roman" w:hAnsi="Times New Roman"/>
              </w:rPr>
              <w:t>W</w:t>
            </w:r>
            <w:r w:rsidRPr="00201A8D">
              <w:rPr>
                <w:rFonts w:ascii="Times New Roman" w:hAnsi="Times New Roman"/>
              </w:rPr>
              <w:t>ystawianie i księgowanie faktur będzie się odbywało tak jak dotychczas, znacząco zmniejszą się koszty związane z ich drukowaniem i przesyłaniem, albowiem będzie to automatyczna komunikacja pomiędzy</w:t>
            </w:r>
            <w:r w:rsidR="00F6747A" w:rsidRPr="00201A8D">
              <w:rPr>
                <w:rFonts w:ascii="Times New Roman" w:hAnsi="Times New Roman"/>
              </w:rPr>
              <w:t xml:space="preserve"> systemami teleinformatycznymi.</w:t>
            </w:r>
          </w:p>
          <w:p w14:paraId="4C585C36" w14:textId="77777777" w:rsidR="00276334" w:rsidRPr="00201A8D" w:rsidRDefault="00276334" w:rsidP="0027633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2D52D4D" w14:textId="7366DC45" w:rsidR="00276334" w:rsidRPr="00201A8D" w:rsidRDefault="00276334" w:rsidP="0027633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1A8D">
              <w:rPr>
                <w:rFonts w:ascii="Times New Roman" w:hAnsi="Times New Roman"/>
              </w:rPr>
              <w:t>Dla przedsiębiorców nowa ustawa nie wprowadza nowych obciążeń , gdyż przedsiębiorcy będą mogli wybrać najbardziej odpowiednią dla siebie formę przesyłania faktur.</w:t>
            </w:r>
          </w:p>
        </w:tc>
      </w:tr>
      <w:tr w:rsidR="00B555F1" w:rsidRPr="008B4FE6" w14:paraId="739F7126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6F6793D6" w14:textId="520AECB2" w:rsidR="00B555F1" w:rsidRPr="008B4FE6" w:rsidRDefault="00276334" w:rsidP="00B555F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Wpływ na rynek pracy</w:t>
            </w:r>
          </w:p>
        </w:tc>
      </w:tr>
      <w:tr w:rsidR="00B555F1" w:rsidRPr="008B4FE6" w14:paraId="044B0834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</w:tcPr>
          <w:p w14:paraId="46C4BB1C" w14:textId="77777777" w:rsidR="00B555F1" w:rsidRPr="008B4FE6" w:rsidRDefault="00B555F1" w:rsidP="00B555F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6E2">
              <w:rPr>
                <w:rFonts w:ascii="Times New Roman" w:hAnsi="Times New Roman"/>
                <w:color w:val="000000"/>
              </w:rPr>
              <w:t xml:space="preserve">Ustawa nie wpłynie negatywnie na rynek pracy. Autorom projektu ustawy nie są znane naukowe opracowania i badania wskazujące na bezpośredni wpływ wprowadzenia elektronicznego fakturowania na rynek pracy. Automatyzacja </w:t>
            </w:r>
            <w:r w:rsidRPr="004C16E2">
              <w:rPr>
                <w:rFonts w:ascii="Times New Roman" w:hAnsi="Times New Roman"/>
                <w:color w:val="000000"/>
              </w:rPr>
              <w:lastRenderedPageBreak/>
              <w:t>procesów wpłynie pozytywnie na wydajność pracowników.</w:t>
            </w:r>
          </w:p>
        </w:tc>
      </w:tr>
      <w:tr w:rsidR="00B555F1" w:rsidRPr="008B4FE6" w14:paraId="36AAA5FD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4D865D00" w14:textId="77777777" w:rsidR="00B555F1" w:rsidRPr="008B4FE6" w:rsidRDefault="00B555F1" w:rsidP="00B555F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B555F1" w:rsidRPr="008B4FE6" w14:paraId="0C887011" w14:textId="77777777" w:rsidTr="00081220">
        <w:trPr>
          <w:gridAfter w:val="1"/>
          <w:wAfter w:w="10" w:type="dxa"/>
          <w:trHeight w:val="1031"/>
        </w:trPr>
        <w:tc>
          <w:tcPr>
            <w:tcW w:w="3536" w:type="dxa"/>
            <w:gridSpan w:val="6"/>
            <w:shd w:val="clear" w:color="auto" w:fill="FFFFFF"/>
          </w:tcPr>
          <w:p w14:paraId="4BAE9E58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4FD8218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A8D">
              <w:rPr>
                <w:rFonts w:ascii="Times New Roman" w:hAnsi="Times New Roman"/>
              </w:rPr>
              <w:instrText xml:space="preserve"> FORMCHECKBOX </w:instrText>
            </w:r>
            <w:r w:rsidR="00EC5DBB">
              <w:rPr>
                <w:rFonts w:ascii="Times New Roman" w:hAnsi="Times New Roman"/>
              </w:rPr>
            </w:r>
            <w:r w:rsidR="00EC5DBB">
              <w:rPr>
                <w:rFonts w:ascii="Times New Roman" w:hAnsi="Times New Roman"/>
              </w:rPr>
              <w:fldChar w:fldCharType="separate"/>
            </w:r>
            <w:r w:rsidRPr="00201A8D">
              <w:rPr>
                <w:rFonts w:ascii="Times New Roman" w:hAnsi="Times New Roman"/>
              </w:rPr>
              <w:fldChar w:fldCharType="end"/>
            </w:r>
            <w:r w:rsidRPr="00201A8D">
              <w:rPr>
                <w:rFonts w:ascii="Times New Roman" w:hAnsi="Times New Roman"/>
                <w:color w:val="000000"/>
              </w:rPr>
              <w:t xml:space="preserve"> </w:t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C748A52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MS Gothic" w:eastAsia="MS Gothic" w:hAnsi="MS Gothic" w:hint="eastAsia"/>
                <w:color w:val="000000"/>
              </w:rPr>
              <w:t>☐</w:t>
            </w:r>
            <w:r w:rsidRPr="00201A8D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DEB16B8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MS Gothic" w:eastAsia="MS Gothic" w:hAnsi="MS Gothic" w:hint="eastAsia"/>
                <w:color w:val="000000"/>
                <w:spacing w:val="-2"/>
              </w:rPr>
              <w:t>☐</w:t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Pr="00201A8D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1"/>
            <w:shd w:val="clear" w:color="auto" w:fill="FFFFFF"/>
          </w:tcPr>
          <w:p w14:paraId="6ED3941E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5E625BB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MS Gothic" w:eastAsia="MS Gothic" w:hAnsi="MS Gothic" w:hint="eastAsia"/>
                <w:color w:val="000000"/>
                <w:spacing w:val="-2"/>
              </w:rPr>
              <w:t>☐</w:t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294240E4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MS Gothic" w:eastAsia="MS Gothic" w:hAnsi="MS Gothic" w:hint="eastAsia"/>
                <w:color w:val="000000"/>
              </w:rPr>
              <w:t>☐</w:t>
            </w:r>
            <w:r w:rsidRPr="00201A8D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14" w:type="dxa"/>
            <w:gridSpan w:val="8"/>
            <w:shd w:val="clear" w:color="auto" w:fill="FFFFFF"/>
          </w:tcPr>
          <w:p w14:paraId="6DC02904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F27583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A8D">
              <w:rPr>
                <w:rFonts w:ascii="Times New Roman" w:hAnsi="Times New Roman"/>
              </w:rPr>
              <w:instrText xml:space="preserve"> FORMCHECKBOX </w:instrText>
            </w:r>
            <w:r w:rsidR="00EC5DBB">
              <w:rPr>
                <w:rFonts w:ascii="Times New Roman" w:hAnsi="Times New Roman"/>
              </w:rPr>
            </w:r>
            <w:r w:rsidR="00EC5DBB">
              <w:rPr>
                <w:rFonts w:ascii="Times New Roman" w:hAnsi="Times New Roman"/>
              </w:rPr>
              <w:fldChar w:fldCharType="separate"/>
            </w:r>
            <w:r w:rsidRPr="00201A8D">
              <w:rPr>
                <w:rFonts w:ascii="Times New Roman" w:hAnsi="Times New Roman"/>
              </w:rPr>
              <w:fldChar w:fldCharType="end"/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 informatyzacja</w:t>
            </w:r>
          </w:p>
          <w:p w14:paraId="1393148F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MS Gothic" w:eastAsia="MS Gothic" w:hAnsi="MS Gothic" w:hint="eastAsia"/>
                <w:color w:val="000000"/>
                <w:spacing w:val="-2"/>
              </w:rPr>
              <w:t>☐</w:t>
            </w:r>
            <w:r w:rsidRPr="00201A8D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B555F1" w:rsidRPr="008B4FE6" w14:paraId="05D56E16" w14:textId="77777777" w:rsidTr="00081220">
        <w:trPr>
          <w:gridAfter w:val="1"/>
          <w:wAfter w:w="10" w:type="dxa"/>
          <w:trHeight w:val="712"/>
        </w:trPr>
        <w:tc>
          <w:tcPr>
            <w:tcW w:w="2232" w:type="dxa"/>
            <w:gridSpan w:val="3"/>
            <w:shd w:val="clear" w:color="auto" w:fill="FFFFFF"/>
            <w:vAlign w:val="center"/>
          </w:tcPr>
          <w:p w14:paraId="694005E7" w14:textId="77777777" w:rsidR="00B555F1" w:rsidRPr="00201A8D" w:rsidRDefault="00B555F1" w:rsidP="00B555F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1A8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05" w:type="dxa"/>
            <w:gridSpan w:val="22"/>
            <w:shd w:val="clear" w:color="auto" w:fill="FFFFFF"/>
            <w:vAlign w:val="center"/>
          </w:tcPr>
          <w:p w14:paraId="582F64EE" w14:textId="77777777" w:rsidR="00B555F1" w:rsidRPr="00201A8D" w:rsidRDefault="00B555F1" w:rsidP="00B555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D3FDB86" w14:textId="77777777" w:rsidR="00B555F1" w:rsidRPr="00201A8D" w:rsidRDefault="00B555F1" w:rsidP="00B555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color w:val="000000"/>
                <w:spacing w:val="-2"/>
              </w:rPr>
              <w:t>Korzystny wpływ na środowisko naturalne z powodu zmniejszenia zużycia papieru (ograniczenie wycinki lasów).</w:t>
            </w:r>
          </w:p>
        </w:tc>
      </w:tr>
      <w:tr w:rsidR="00B555F1" w:rsidRPr="008B4FE6" w14:paraId="0AB115D4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67ED03A1" w14:textId="77777777" w:rsidR="00B555F1" w:rsidRPr="00627221" w:rsidRDefault="00B555F1" w:rsidP="00B555F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555F1" w:rsidRPr="008B4FE6" w14:paraId="5F4AFE68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5F882C63" w14:textId="03AB3EF7" w:rsidR="00182A45" w:rsidRPr="00201A8D" w:rsidRDefault="00182A45" w:rsidP="00182A4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 xml:space="preserve">1. Wprowadzenie obowiązku przyjmowania ustrukturyzowanych faktur elektronicznych przez zamawiających </w:t>
            </w:r>
            <w:r w:rsidR="007B733F">
              <w:rPr>
                <w:rFonts w:ascii="Times New Roman" w:hAnsi="Times New Roman"/>
                <w:spacing w:val="-2"/>
              </w:rPr>
              <w:t>– w odniesieniu do centralnych zamawiających – 17 kwietnia 2019 r. oraz pozostałych jednostek – od 1 kwietnia 2020 r. (wejście ustawy w życie do 27 listopada 2018 r.).</w:t>
            </w:r>
          </w:p>
          <w:p w14:paraId="5ED2FD44" w14:textId="175EA109" w:rsidR="00B555F1" w:rsidRPr="00B37C80" w:rsidRDefault="004E3566" w:rsidP="00182A4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>2</w:t>
            </w:r>
            <w:r w:rsidR="00182A45" w:rsidRPr="00201A8D">
              <w:rPr>
                <w:rFonts w:ascii="Times New Roman" w:hAnsi="Times New Roman"/>
                <w:spacing w:val="-2"/>
              </w:rPr>
              <w:t>. Uruchomienie systemu teleinformatycznego platformy elektronicznego fakturowania dla sfery finansów publicznych – równocześnie z wejściem ustawy w życie.</w:t>
            </w:r>
          </w:p>
        </w:tc>
      </w:tr>
      <w:tr w:rsidR="00B555F1" w:rsidRPr="008B4FE6" w14:paraId="5F125E28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5B0EBA6A" w14:textId="77777777" w:rsidR="00B555F1" w:rsidRPr="008B4FE6" w:rsidRDefault="00B555F1" w:rsidP="00B555F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555F1" w:rsidRPr="008B4FE6" w14:paraId="75FF661F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60593E59" w14:textId="77777777" w:rsidR="00182A45" w:rsidRPr="00201A8D" w:rsidRDefault="00182A45" w:rsidP="00182A4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 xml:space="preserve">Dla ustawy przewidywane jest przygotowanie OSR ex-post po dwóch latach wejścia ustawy w życie, ponadto w związku z realizacją projektu PO PC </w:t>
            </w:r>
            <w:r w:rsidRPr="00201A8D">
              <w:rPr>
                <w:rFonts w:ascii="Times New Roman" w:hAnsi="Times New Roman"/>
                <w:i/>
                <w:spacing w:val="-2"/>
              </w:rPr>
              <w:t>Platformy elektronicznego fakturowania dla sfery finansów publicznych</w:t>
            </w:r>
            <w:r w:rsidRPr="00201A8D">
              <w:rPr>
                <w:rFonts w:ascii="Times New Roman" w:hAnsi="Times New Roman"/>
                <w:spacing w:val="-2"/>
              </w:rPr>
              <w:t xml:space="preserve"> prowadzona będzie ewaluacja realizacji mierników projektu.</w:t>
            </w:r>
          </w:p>
          <w:p w14:paraId="147C0CB0" w14:textId="715A23AB" w:rsidR="00B555F1" w:rsidRPr="00B37C80" w:rsidRDefault="00182A45" w:rsidP="002763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1A8D">
              <w:rPr>
                <w:rFonts w:ascii="Times New Roman" w:hAnsi="Times New Roman"/>
                <w:spacing w:val="-2"/>
              </w:rPr>
              <w:t xml:space="preserve">OSR ex-post </w:t>
            </w:r>
            <w:r w:rsidR="00727545" w:rsidRPr="00201A8D">
              <w:rPr>
                <w:rFonts w:ascii="Times New Roman" w:hAnsi="Times New Roman"/>
                <w:spacing w:val="-2"/>
              </w:rPr>
              <w:t>będzie także zawierała zbadane</w:t>
            </w:r>
            <w:r w:rsidRPr="00201A8D">
              <w:rPr>
                <w:rFonts w:ascii="Times New Roman" w:hAnsi="Times New Roman"/>
                <w:spacing w:val="-2"/>
              </w:rPr>
              <w:t xml:space="preserve"> koszty i korzyści projektu.</w:t>
            </w:r>
            <w:r w:rsidRPr="006E6F13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B555F1" w:rsidRPr="008B4FE6" w14:paraId="589EFECF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99CCFF"/>
          </w:tcPr>
          <w:p w14:paraId="61FD9737" w14:textId="77777777" w:rsidR="00B555F1" w:rsidRPr="008B4FE6" w:rsidRDefault="00B555F1" w:rsidP="00B555F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555F1" w:rsidRPr="008B4FE6" w14:paraId="64B57777" w14:textId="77777777" w:rsidTr="00081220">
        <w:trPr>
          <w:gridAfter w:val="1"/>
          <w:wAfter w:w="10" w:type="dxa"/>
          <w:trHeight w:val="142"/>
        </w:trPr>
        <w:tc>
          <w:tcPr>
            <w:tcW w:w="10937" w:type="dxa"/>
            <w:gridSpan w:val="25"/>
            <w:shd w:val="clear" w:color="auto" w:fill="FFFFFF"/>
          </w:tcPr>
          <w:p w14:paraId="66A21F44" w14:textId="77777777" w:rsidR="00B555F1" w:rsidRPr="00B37C80" w:rsidRDefault="00B555F1" w:rsidP="00B555F1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14:paraId="3F7ACA73" w14:textId="77777777" w:rsidR="00B555F1" w:rsidRPr="00B37C80" w:rsidRDefault="00B555F1" w:rsidP="0008122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515620A7" w14:textId="5B476ADD" w:rsidR="008953F4" w:rsidRPr="00522D94" w:rsidRDefault="008953F4" w:rsidP="00276334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8953F4" w:rsidRPr="00522D94" w:rsidSect="00725D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13F12C" w15:done="0"/>
  <w15:commentEx w15:paraId="0C334DD8" w15:done="0"/>
  <w15:commentEx w15:paraId="41AF1DFE" w15:paraIdParent="0C334DD8" w15:done="0"/>
  <w15:commentEx w15:paraId="663399EF" w15:done="0"/>
  <w15:commentEx w15:paraId="1FB6AACD" w15:done="0"/>
  <w15:commentEx w15:paraId="5B171129" w15:done="0"/>
  <w15:commentEx w15:paraId="5BD7AFF9" w15:done="0"/>
  <w15:commentEx w15:paraId="0741D833" w15:done="0"/>
  <w15:commentEx w15:paraId="5BABCA30" w15:done="0"/>
  <w15:commentEx w15:paraId="75793D16" w15:done="0"/>
  <w15:commentEx w15:paraId="41048B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D849A" w14:textId="77777777" w:rsidR="0065217C" w:rsidRDefault="0065217C" w:rsidP="00044739">
      <w:pPr>
        <w:spacing w:line="240" w:lineRule="auto"/>
      </w:pPr>
      <w:r>
        <w:separator/>
      </w:r>
    </w:p>
  </w:endnote>
  <w:endnote w:type="continuationSeparator" w:id="0">
    <w:p w14:paraId="6E8BE6A6" w14:textId="77777777" w:rsidR="0065217C" w:rsidRDefault="0065217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A4BDA" w14:textId="77777777" w:rsidR="00AE35E7" w:rsidRDefault="00AE35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5ABF" w14:textId="77777777" w:rsidR="00AE35E7" w:rsidRDefault="00AE35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DC75" w14:textId="77777777" w:rsidR="00AE35E7" w:rsidRDefault="00AE3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43A10" w14:textId="77777777" w:rsidR="0065217C" w:rsidRDefault="0065217C" w:rsidP="00044739">
      <w:pPr>
        <w:spacing w:line="240" w:lineRule="auto"/>
      </w:pPr>
      <w:r>
        <w:separator/>
      </w:r>
    </w:p>
  </w:footnote>
  <w:footnote w:type="continuationSeparator" w:id="0">
    <w:p w14:paraId="757F9E6D" w14:textId="77777777" w:rsidR="0065217C" w:rsidRDefault="0065217C" w:rsidP="00044739">
      <w:pPr>
        <w:spacing w:line="240" w:lineRule="auto"/>
      </w:pPr>
      <w:r>
        <w:continuationSeparator/>
      </w:r>
    </w:p>
  </w:footnote>
  <w:footnote w:id="1">
    <w:p w14:paraId="289AA8AA" w14:textId="375D0D39" w:rsidR="005B610F" w:rsidRDefault="005B610F">
      <w:pPr>
        <w:pStyle w:val="Tekstprzypisudolnego"/>
      </w:pPr>
      <w:r>
        <w:rPr>
          <w:rStyle w:val="Odwoanieprzypisudolnego"/>
        </w:rPr>
        <w:footnoteRef/>
      </w:r>
      <w:r w:rsidRPr="005B610F">
        <w:rPr>
          <w:rFonts w:ascii="Times New Roman" w:hAnsi="Times New Roman"/>
        </w:rPr>
        <w:t>https://stat.gov.pl/download/gfx/portalinformacyjny/pl/defaultaktualnosci/5497/3/13/1/wykorzystanie_ict_w_przedsiebiorstwach_2015.zip</w:t>
      </w:r>
    </w:p>
  </w:footnote>
  <w:footnote w:id="2">
    <w:p w14:paraId="2FD643CA" w14:textId="44352F8A" w:rsidR="005B610F" w:rsidRDefault="005B61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6E90">
        <w:rPr>
          <w:rFonts w:ascii="Times New Roman" w:hAnsi="Times New Roman"/>
        </w:rPr>
        <w:t>https://danepubliczne.gov.pl/dataset/608bae3b-5d5b-4b5e-9682-9eff53ae3011/resource/3a5c8887-0807-4ad0-abbf-82b18ce09510/download/PBSMACCyfryzacjaFIN2014.pdf</w:t>
      </w:r>
    </w:p>
  </w:footnote>
  <w:footnote w:id="3">
    <w:p w14:paraId="192A87FB" w14:textId="03EBC7C6" w:rsidR="00AE35E7" w:rsidRDefault="00AE35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610F">
        <w:rPr>
          <w:rFonts w:ascii="Times New Roman" w:hAnsi="Times New Roman"/>
        </w:rPr>
        <w:t>https://www.uzp.gov.pl/__data/assets/pdf_file/0024/35178/Sprawozdanie-UZP-za-2016.pdf</w:t>
      </w:r>
    </w:p>
  </w:footnote>
  <w:footnote w:id="4">
    <w:p w14:paraId="7D7E1E78" w14:textId="09BB822B" w:rsidR="0066388C" w:rsidRDefault="006638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388C">
        <w:rPr>
          <w:rFonts w:ascii="Times New Roman" w:hAnsi="Times New Roman"/>
        </w:rPr>
        <w:t>https://legislacja.rcl.gov.pl/projekt/12283301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EB5D" w14:textId="77777777" w:rsidR="00AE35E7" w:rsidRDefault="00AE35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AA384" w14:textId="77777777" w:rsidR="00AE35E7" w:rsidRDefault="00AE35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7BC2E" w14:textId="77777777" w:rsidR="00AE35E7" w:rsidRDefault="00AE35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3">
    <w:nsid w:val="1BB52039"/>
    <w:multiLevelType w:val="hybridMultilevel"/>
    <w:tmpl w:val="BC5C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8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2A41E7"/>
    <w:multiLevelType w:val="hybridMultilevel"/>
    <w:tmpl w:val="12E8C73E"/>
    <w:lvl w:ilvl="0" w:tplc="3B86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1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C87D89"/>
    <w:multiLevelType w:val="hybridMultilevel"/>
    <w:tmpl w:val="892E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5">
    <w:nsid w:val="4D4875FE"/>
    <w:multiLevelType w:val="hybridMultilevel"/>
    <w:tmpl w:val="B25CF6F0"/>
    <w:lvl w:ilvl="0" w:tplc="6D4A26CC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5F57321"/>
    <w:multiLevelType w:val="hybridMultilevel"/>
    <w:tmpl w:val="0F942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9F41EA2"/>
    <w:multiLevelType w:val="hybridMultilevel"/>
    <w:tmpl w:val="C4D6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4">
    <w:nsid w:val="64071AC0"/>
    <w:multiLevelType w:val="multilevel"/>
    <w:tmpl w:val="F7DE900A"/>
    <w:lvl w:ilvl="0">
      <w:start w:val="1"/>
      <w:numFmt w:val="decimal"/>
      <w:pStyle w:val="MMTopic1"/>
      <w:lvlText w:val="%1."/>
      <w:lvlJc w:val="left"/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D6A25D0"/>
    <w:multiLevelType w:val="hybridMultilevel"/>
    <w:tmpl w:val="E2825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2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6"/>
  </w:num>
  <w:num w:numId="10">
    <w:abstractNumId w:val="11"/>
  </w:num>
  <w:num w:numId="11">
    <w:abstractNumId w:val="14"/>
  </w:num>
  <w:num w:numId="12">
    <w:abstractNumId w:val="2"/>
  </w:num>
  <w:num w:numId="13">
    <w:abstractNumId w:val="10"/>
  </w:num>
  <w:num w:numId="14">
    <w:abstractNumId w:val="23"/>
  </w:num>
  <w:num w:numId="15">
    <w:abstractNumId w:val="18"/>
  </w:num>
  <w:num w:numId="16">
    <w:abstractNumId w:val="21"/>
  </w:num>
  <w:num w:numId="17">
    <w:abstractNumId w:val="6"/>
  </w:num>
  <w:num w:numId="18">
    <w:abstractNumId w:val="25"/>
  </w:num>
  <w:num w:numId="19">
    <w:abstractNumId w:val="26"/>
  </w:num>
  <w:num w:numId="20">
    <w:abstractNumId w:val="20"/>
  </w:num>
  <w:num w:numId="21">
    <w:abstractNumId w:val="7"/>
  </w:num>
  <w:num w:numId="22">
    <w:abstractNumId w:val="13"/>
  </w:num>
  <w:num w:numId="23">
    <w:abstractNumId w:val="19"/>
  </w:num>
  <w:num w:numId="24">
    <w:abstractNumId w:val="3"/>
  </w:num>
  <w:num w:numId="25">
    <w:abstractNumId w:val="24"/>
  </w:num>
  <w:num w:numId="26">
    <w:abstractNumId w:val="15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4BFA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3C38"/>
    <w:rsid w:val="000756E5"/>
    <w:rsid w:val="0007704E"/>
    <w:rsid w:val="00080EC8"/>
    <w:rsid w:val="00081220"/>
    <w:rsid w:val="00087784"/>
    <w:rsid w:val="000944AC"/>
    <w:rsid w:val="00094CB9"/>
    <w:rsid w:val="000956B2"/>
    <w:rsid w:val="000969E7"/>
    <w:rsid w:val="000A23DE"/>
    <w:rsid w:val="000A4020"/>
    <w:rsid w:val="000B54FB"/>
    <w:rsid w:val="000B5F18"/>
    <w:rsid w:val="000C29B0"/>
    <w:rsid w:val="000C76FC"/>
    <w:rsid w:val="000D38FC"/>
    <w:rsid w:val="000D4D90"/>
    <w:rsid w:val="000D772A"/>
    <w:rsid w:val="000E2175"/>
    <w:rsid w:val="000E2D10"/>
    <w:rsid w:val="000F3204"/>
    <w:rsid w:val="001032BF"/>
    <w:rsid w:val="0010548B"/>
    <w:rsid w:val="0010647C"/>
    <w:rsid w:val="001072D1"/>
    <w:rsid w:val="00117017"/>
    <w:rsid w:val="00130E8E"/>
    <w:rsid w:val="00131266"/>
    <w:rsid w:val="0013216E"/>
    <w:rsid w:val="00135046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12C7"/>
    <w:rsid w:val="00182A4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5FDA"/>
    <w:rsid w:val="001B3460"/>
    <w:rsid w:val="001B4CA1"/>
    <w:rsid w:val="001B75D8"/>
    <w:rsid w:val="001C1060"/>
    <w:rsid w:val="001C2A31"/>
    <w:rsid w:val="001C3C63"/>
    <w:rsid w:val="001C3FBA"/>
    <w:rsid w:val="001D4732"/>
    <w:rsid w:val="001D6A3C"/>
    <w:rsid w:val="001D6D51"/>
    <w:rsid w:val="001E4486"/>
    <w:rsid w:val="001F653A"/>
    <w:rsid w:val="001F6979"/>
    <w:rsid w:val="00200E00"/>
    <w:rsid w:val="00201A8D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36686"/>
    <w:rsid w:val="00252B4F"/>
    <w:rsid w:val="00254DED"/>
    <w:rsid w:val="00254EBA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49D4"/>
    <w:rsid w:val="00276334"/>
    <w:rsid w:val="002776ED"/>
    <w:rsid w:val="00281453"/>
    <w:rsid w:val="0028214F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8C0"/>
    <w:rsid w:val="003168E7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12C0"/>
    <w:rsid w:val="00371857"/>
    <w:rsid w:val="00375E3D"/>
    <w:rsid w:val="00375EB2"/>
    <w:rsid w:val="00376AC9"/>
    <w:rsid w:val="00393032"/>
    <w:rsid w:val="00393861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0364"/>
    <w:rsid w:val="00403E6E"/>
    <w:rsid w:val="00411F59"/>
    <w:rsid w:val="004129B4"/>
    <w:rsid w:val="00414F91"/>
    <w:rsid w:val="00417475"/>
    <w:rsid w:val="00417EF0"/>
    <w:rsid w:val="00422181"/>
    <w:rsid w:val="004244A8"/>
    <w:rsid w:val="00425672"/>
    <w:rsid w:val="00425F72"/>
    <w:rsid w:val="00427736"/>
    <w:rsid w:val="00441787"/>
    <w:rsid w:val="00444F2D"/>
    <w:rsid w:val="00447581"/>
    <w:rsid w:val="00452034"/>
    <w:rsid w:val="00455FA6"/>
    <w:rsid w:val="00466C70"/>
    <w:rsid w:val="004702C9"/>
    <w:rsid w:val="00472E45"/>
    <w:rsid w:val="00473FEA"/>
    <w:rsid w:val="0047579D"/>
    <w:rsid w:val="00483262"/>
    <w:rsid w:val="00483552"/>
    <w:rsid w:val="00484107"/>
    <w:rsid w:val="00484195"/>
    <w:rsid w:val="00485CC5"/>
    <w:rsid w:val="0049343F"/>
    <w:rsid w:val="004964FC"/>
    <w:rsid w:val="004A145E"/>
    <w:rsid w:val="004A1F15"/>
    <w:rsid w:val="004A2A81"/>
    <w:rsid w:val="004A2DC2"/>
    <w:rsid w:val="004A7BD7"/>
    <w:rsid w:val="004C15C2"/>
    <w:rsid w:val="004C16E2"/>
    <w:rsid w:val="004C36D8"/>
    <w:rsid w:val="004C4ACF"/>
    <w:rsid w:val="004D1248"/>
    <w:rsid w:val="004D1E3C"/>
    <w:rsid w:val="004D200D"/>
    <w:rsid w:val="004D4169"/>
    <w:rsid w:val="004D6E14"/>
    <w:rsid w:val="004E3566"/>
    <w:rsid w:val="004F0575"/>
    <w:rsid w:val="004F18DF"/>
    <w:rsid w:val="004F37EC"/>
    <w:rsid w:val="004F3F61"/>
    <w:rsid w:val="004F4E17"/>
    <w:rsid w:val="0050082F"/>
    <w:rsid w:val="00500C56"/>
    <w:rsid w:val="00501713"/>
    <w:rsid w:val="00503511"/>
    <w:rsid w:val="00506568"/>
    <w:rsid w:val="0051551B"/>
    <w:rsid w:val="00520C57"/>
    <w:rsid w:val="00522D94"/>
    <w:rsid w:val="00527DFF"/>
    <w:rsid w:val="00533D89"/>
    <w:rsid w:val="00536564"/>
    <w:rsid w:val="00537495"/>
    <w:rsid w:val="00544597"/>
    <w:rsid w:val="00544FFE"/>
    <w:rsid w:val="005473F5"/>
    <w:rsid w:val="005477E7"/>
    <w:rsid w:val="00552227"/>
    <w:rsid w:val="00552794"/>
    <w:rsid w:val="00552E7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779B6"/>
    <w:rsid w:val="00595E83"/>
    <w:rsid w:val="00596530"/>
    <w:rsid w:val="005967F3"/>
    <w:rsid w:val="00596BBD"/>
    <w:rsid w:val="005A06DF"/>
    <w:rsid w:val="005A31DA"/>
    <w:rsid w:val="005A5527"/>
    <w:rsid w:val="005A5AE6"/>
    <w:rsid w:val="005B08EA"/>
    <w:rsid w:val="005B1206"/>
    <w:rsid w:val="005B37E8"/>
    <w:rsid w:val="005B610F"/>
    <w:rsid w:val="005B791B"/>
    <w:rsid w:val="005C0056"/>
    <w:rsid w:val="005C5EA9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21FC"/>
    <w:rsid w:val="00623CFE"/>
    <w:rsid w:val="00627221"/>
    <w:rsid w:val="00627EE8"/>
    <w:rsid w:val="0063060B"/>
    <w:rsid w:val="006316FA"/>
    <w:rsid w:val="0063275A"/>
    <w:rsid w:val="00633F43"/>
    <w:rsid w:val="0063691D"/>
    <w:rsid w:val="006370D2"/>
    <w:rsid w:val="006371F8"/>
    <w:rsid w:val="00640618"/>
    <w:rsid w:val="0064074F"/>
    <w:rsid w:val="00640E6F"/>
    <w:rsid w:val="00641F55"/>
    <w:rsid w:val="00642825"/>
    <w:rsid w:val="00645E4A"/>
    <w:rsid w:val="0065019F"/>
    <w:rsid w:val="0065217C"/>
    <w:rsid w:val="00653688"/>
    <w:rsid w:val="0066091B"/>
    <w:rsid w:val="0066388C"/>
    <w:rsid w:val="006660E9"/>
    <w:rsid w:val="00667249"/>
    <w:rsid w:val="00667558"/>
    <w:rsid w:val="00671523"/>
    <w:rsid w:val="006738EE"/>
    <w:rsid w:val="00674590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6CA2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709B"/>
    <w:rsid w:val="006F78C4"/>
    <w:rsid w:val="00700D22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330"/>
    <w:rsid w:val="00727545"/>
    <w:rsid w:val="007318DD"/>
    <w:rsid w:val="0073273A"/>
    <w:rsid w:val="00733167"/>
    <w:rsid w:val="00740D2C"/>
    <w:rsid w:val="007415D0"/>
    <w:rsid w:val="00741B3E"/>
    <w:rsid w:val="0074268D"/>
    <w:rsid w:val="00744BF9"/>
    <w:rsid w:val="00752623"/>
    <w:rsid w:val="00760F1F"/>
    <w:rsid w:val="00763FA0"/>
    <w:rsid w:val="0076423E"/>
    <w:rsid w:val="007646CB"/>
    <w:rsid w:val="0076658F"/>
    <w:rsid w:val="0077040A"/>
    <w:rsid w:val="00772D64"/>
    <w:rsid w:val="0078492C"/>
    <w:rsid w:val="00792609"/>
    <w:rsid w:val="00792887"/>
    <w:rsid w:val="007943E2"/>
    <w:rsid w:val="00794F2C"/>
    <w:rsid w:val="007A2391"/>
    <w:rsid w:val="007A3BC7"/>
    <w:rsid w:val="007A5AC4"/>
    <w:rsid w:val="007B0FDD"/>
    <w:rsid w:val="007B2317"/>
    <w:rsid w:val="007B3040"/>
    <w:rsid w:val="007B422B"/>
    <w:rsid w:val="007B4802"/>
    <w:rsid w:val="007B6668"/>
    <w:rsid w:val="007B6B33"/>
    <w:rsid w:val="007B733F"/>
    <w:rsid w:val="007C0060"/>
    <w:rsid w:val="007C2701"/>
    <w:rsid w:val="007C73C6"/>
    <w:rsid w:val="007D2192"/>
    <w:rsid w:val="007E4998"/>
    <w:rsid w:val="007F0021"/>
    <w:rsid w:val="007F2F52"/>
    <w:rsid w:val="00801551"/>
    <w:rsid w:val="00801F71"/>
    <w:rsid w:val="008044C7"/>
    <w:rsid w:val="00805F28"/>
    <w:rsid w:val="0080749F"/>
    <w:rsid w:val="00811D46"/>
    <w:rsid w:val="008125B0"/>
    <w:rsid w:val="008144CB"/>
    <w:rsid w:val="00821717"/>
    <w:rsid w:val="00824210"/>
    <w:rsid w:val="008263C0"/>
    <w:rsid w:val="00837186"/>
    <w:rsid w:val="00841422"/>
    <w:rsid w:val="00841D3B"/>
    <w:rsid w:val="0084314C"/>
    <w:rsid w:val="00843171"/>
    <w:rsid w:val="008557A1"/>
    <w:rsid w:val="00856799"/>
    <w:rsid w:val="008575C3"/>
    <w:rsid w:val="0086398C"/>
    <w:rsid w:val="00863D28"/>
    <w:rsid w:val="008648C3"/>
    <w:rsid w:val="00880F26"/>
    <w:rsid w:val="00893D30"/>
    <w:rsid w:val="008953F4"/>
    <w:rsid w:val="00896C2E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74B0"/>
    <w:rsid w:val="008F4AAC"/>
    <w:rsid w:val="009008A8"/>
    <w:rsid w:val="009063B0"/>
    <w:rsid w:val="00907106"/>
    <w:rsid w:val="009107FD"/>
    <w:rsid w:val="0091137C"/>
    <w:rsid w:val="00911567"/>
    <w:rsid w:val="00917AAE"/>
    <w:rsid w:val="009251A9"/>
    <w:rsid w:val="00926BCC"/>
    <w:rsid w:val="00930699"/>
    <w:rsid w:val="00931F69"/>
    <w:rsid w:val="00934123"/>
    <w:rsid w:val="00935E03"/>
    <w:rsid w:val="0095466E"/>
    <w:rsid w:val="00955774"/>
    <w:rsid w:val="009560B5"/>
    <w:rsid w:val="00967A70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29A"/>
    <w:rsid w:val="009B2BCF"/>
    <w:rsid w:val="009B2FF8"/>
    <w:rsid w:val="009B5BA3"/>
    <w:rsid w:val="009C1DF1"/>
    <w:rsid w:val="009D0027"/>
    <w:rsid w:val="009D0655"/>
    <w:rsid w:val="009E1E98"/>
    <w:rsid w:val="009E3ABE"/>
    <w:rsid w:val="009E3C4B"/>
    <w:rsid w:val="009E3D94"/>
    <w:rsid w:val="009E626D"/>
    <w:rsid w:val="009F0637"/>
    <w:rsid w:val="009F56EC"/>
    <w:rsid w:val="009F62A6"/>
    <w:rsid w:val="009F674F"/>
    <w:rsid w:val="009F799E"/>
    <w:rsid w:val="00A02020"/>
    <w:rsid w:val="00A056CB"/>
    <w:rsid w:val="00A06B96"/>
    <w:rsid w:val="00A07A29"/>
    <w:rsid w:val="00A10FF1"/>
    <w:rsid w:val="00A1506B"/>
    <w:rsid w:val="00A17CB2"/>
    <w:rsid w:val="00A21CFA"/>
    <w:rsid w:val="00A23191"/>
    <w:rsid w:val="00A319C0"/>
    <w:rsid w:val="00A33560"/>
    <w:rsid w:val="00A356E2"/>
    <w:rsid w:val="00A364E4"/>
    <w:rsid w:val="00A371A5"/>
    <w:rsid w:val="00A40BBC"/>
    <w:rsid w:val="00A45CA1"/>
    <w:rsid w:val="00A47BDF"/>
    <w:rsid w:val="00A51CD7"/>
    <w:rsid w:val="00A52ADB"/>
    <w:rsid w:val="00A531C7"/>
    <w:rsid w:val="00A533E8"/>
    <w:rsid w:val="00A542D9"/>
    <w:rsid w:val="00A569B5"/>
    <w:rsid w:val="00A56E64"/>
    <w:rsid w:val="00A624C3"/>
    <w:rsid w:val="00A6610C"/>
    <w:rsid w:val="00A6641C"/>
    <w:rsid w:val="00A70262"/>
    <w:rsid w:val="00A767D2"/>
    <w:rsid w:val="00A77616"/>
    <w:rsid w:val="00A805DA"/>
    <w:rsid w:val="00A811B4"/>
    <w:rsid w:val="00A84452"/>
    <w:rsid w:val="00A87CDE"/>
    <w:rsid w:val="00A92BAF"/>
    <w:rsid w:val="00A94737"/>
    <w:rsid w:val="00A94BA3"/>
    <w:rsid w:val="00A95842"/>
    <w:rsid w:val="00A96CBA"/>
    <w:rsid w:val="00AB1ACD"/>
    <w:rsid w:val="00AB277F"/>
    <w:rsid w:val="00AB4099"/>
    <w:rsid w:val="00AB449A"/>
    <w:rsid w:val="00AD14F9"/>
    <w:rsid w:val="00AD35D6"/>
    <w:rsid w:val="00AD58C5"/>
    <w:rsid w:val="00AD59D1"/>
    <w:rsid w:val="00AE35E7"/>
    <w:rsid w:val="00AE36C4"/>
    <w:rsid w:val="00AE472C"/>
    <w:rsid w:val="00AE5375"/>
    <w:rsid w:val="00AE6CF8"/>
    <w:rsid w:val="00AF4CAC"/>
    <w:rsid w:val="00AF7751"/>
    <w:rsid w:val="00B0099A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55F1"/>
    <w:rsid w:val="00B57E5E"/>
    <w:rsid w:val="00B61F37"/>
    <w:rsid w:val="00B754B3"/>
    <w:rsid w:val="00B7770F"/>
    <w:rsid w:val="00B77A89"/>
    <w:rsid w:val="00B77B27"/>
    <w:rsid w:val="00B8134E"/>
    <w:rsid w:val="00B81B55"/>
    <w:rsid w:val="00B84613"/>
    <w:rsid w:val="00B8506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6B80"/>
    <w:rsid w:val="00BC2F9C"/>
    <w:rsid w:val="00BC3773"/>
    <w:rsid w:val="00BC381A"/>
    <w:rsid w:val="00BC3F55"/>
    <w:rsid w:val="00BC6E90"/>
    <w:rsid w:val="00BD0962"/>
    <w:rsid w:val="00BD1EED"/>
    <w:rsid w:val="00BE1A1F"/>
    <w:rsid w:val="00BF0DA2"/>
    <w:rsid w:val="00BF109C"/>
    <w:rsid w:val="00BF34FA"/>
    <w:rsid w:val="00C004B6"/>
    <w:rsid w:val="00C047A7"/>
    <w:rsid w:val="00C05DE5"/>
    <w:rsid w:val="00C33027"/>
    <w:rsid w:val="00C37667"/>
    <w:rsid w:val="00C435DB"/>
    <w:rsid w:val="00C44D73"/>
    <w:rsid w:val="00C45328"/>
    <w:rsid w:val="00C46EFF"/>
    <w:rsid w:val="00C50B42"/>
    <w:rsid w:val="00C516FF"/>
    <w:rsid w:val="00C52BFA"/>
    <w:rsid w:val="00C53D1D"/>
    <w:rsid w:val="00C53F26"/>
    <w:rsid w:val="00C540BC"/>
    <w:rsid w:val="00C5499D"/>
    <w:rsid w:val="00C5619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2557"/>
    <w:rsid w:val="00CE308F"/>
    <w:rsid w:val="00CE734F"/>
    <w:rsid w:val="00CE74BC"/>
    <w:rsid w:val="00CF112E"/>
    <w:rsid w:val="00CF2044"/>
    <w:rsid w:val="00CF5F4F"/>
    <w:rsid w:val="00D04711"/>
    <w:rsid w:val="00D218DC"/>
    <w:rsid w:val="00D24E56"/>
    <w:rsid w:val="00D31643"/>
    <w:rsid w:val="00D31AEB"/>
    <w:rsid w:val="00D32ECD"/>
    <w:rsid w:val="00D361E4"/>
    <w:rsid w:val="00D36765"/>
    <w:rsid w:val="00D42A8F"/>
    <w:rsid w:val="00D439F6"/>
    <w:rsid w:val="00D44249"/>
    <w:rsid w:val="00D459C6"/>
    <w:rsid w:val="00D50729"/>
    <w:rsid w:val="00D50C19"/>
    <w:rsid w:val="00D5379E"/>
    <w:rsid w:val="00D62643"/>
    <w:rsid w:val="00D641F4"/>
    <w:rsid w:val="00D64C0F"/>
    <w:rsid w:val="00D72EFE"/>
    <w:rsid w:val="00D753D5"/>
    <w:rsid w:val="00D76227"/>
    <w:rsid w:val="00D77DF1"/>
    <w:rsid w:val="00D86AFF"/>
    <w:rsid w:val="00D95A44"/>
    <w:rsid w:val="00D95D16"/>
    <w:rsid w:val="00D97C76"/>
    <w:rsid w:val="00DA3687"/>
    <w:rsid w:val="00DB02B4"/>
    <w:rsid w:val="00DB538D"/>
    <w:rsid w:val="00DC275C"/>
    <w:rsid w:val="00DC4B0D"/>
    <w:rsid w:val="00DC7FE1"/>
    <w:rsid w:val="00DD0F7A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54DE"/>
    <w:rsid w:val="00E26523"/>
    <w:rsid w:val="00E26809"/>
    <w:rsid w:val="00E3412D"/>
    <w:rsid w:val="00E42341"/>
    <w:rsid w:val="00E57322"/>
    <w:rsid w:val="00E628CB"/>
    <w:rsid w:val="00E62AD9"/>
    <w:rsid w:val="00E638C8"/>
    <w:rsid w:val="00E654F2"/>
    <w:rsid w:val="00E7509B"/>
    <w:rsid w:val="00E8002A"/>
    <w:rsid w:val="00E86590"/>
    <w:rsid w:val="00E907FF"/>
    <w:rsid w:val="00EA42D1"/>
    <w:rsid w:val="00EA42EF"/>
    <w:rsid w:val="00EB2DD1"/>
    <w:rsid w:val="00EB6B37"/>
    <w:rsid w:val="00EC29FE"/>
    <w:rsid w:val="00EC3C70"/>
    <w:rsid w:val="00EC5DBB"/>
    <w:rsid w:val="00ED3A3D"/>
    <w:rsid w:val="00ED538A"/>
    <w:rsid w:val="00ED6FBC"/>
    <w:rsid w:val="00EE137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281E"/>
    <w:rsid w:val="00F2555C"/>
    <w:rsid w:val="00F31DF3"/>
    <w:rsid w:val="00F33AE5"/>
    <w:rsid w:val="00F3597D"/>
    <w:rsid w:val="00F4376D"/>
    <w:rsid w:val="00F43D4B"/>
    <w:rsid w:val="00F449AE"/>
    <w:rsid w:val="00F44A79"/>
    <w:rsid w:val="00F45399"/>
    <w:rsid w:val="00F465EA"/>
    <w:rsid w:val="00F5165E"/>
    <w:rsid w:val="00F54E7B"/>
    <w:rsid w:val="00F55A88"/>
    <w:rsid w:val="00F6747A"/>
    <w:rsid w:val="00F74005"/>
    <w:rsid w:val="00F76884"/>
    <w:rsid w:val="00F8374A"/>
    <w:rsid w:val="00F83D24"/>
    <w:rsid w:val="00F83DD9"/>
    <w:rsid w:val="00F83F40"/>
    <w:rsid w:val="00F94ECB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BB5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C16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73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02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27330"/>
    <w:rPr>
      <w:rFonts w:ascii="Cambria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rFonts w:cs="Times New Roman"/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rFonts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rFonts w:cs="Times New Roman"/>
      <w:color w:val="808080"/>
    </w:rPr>
  </w:style>
  <w:style w:type="character" w:styleId="Pogrubienie">
    <w:name w:val="Strong"/>
    <w:basedOn w:val="Domylnaczcionkaakapitu"/>
    <w:uiPriority w:val="99"/>
    <w:qFormat/>
    <w:locked/>
    <w:rsid w:val="00236686"/>
    <w:rPr>
      <w:rFonts w:cs="Times New Roman"/>
      <w:b/>
      <w:bCs/>
    </w:rPr>
  </w:style>
  <w:style w:type="paragraph" w:styleId="Bezodstpw">
    <w:name w:val="No Spacing"/>
    <w:uiPriority w:val="99"/>
    <w:qFormat/>
    <w:rsid w:val="00D641F4"/>
    <w:rPr>
      <w:lang w:eastAsia="en-US"/>
    </w:rPr>
  </w:style>
  <w:style w:type="paragraph" w:customStyle="1" w:styleId="MMTopic1">
    <w:name w:val="MM Topic 1"/>
    <w:basedOn w:val="Nagwek1"/>
    <w:uiPriority w:val="99"/>
    <w:rsid w:val="004C16E2"/>
    <w:pPr>
      <w:keepLines/>
      <w:numPr>
        <w:numId w:val="25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MMTopic2">
    <w:name w:val="MM Topic 2"/>
    <w:basedOn w:val="Nagwek2"/>
    <w:uiPriority w:val="99"/>
    <w:rsid w:val="004C16E2"/>
    <w:pPr>
      <w:keepLines/>
      <w:numPr>
        <w:ilvl w:val="1"/>
        <w:numId w:val="25"/>
      </w:numPr>
      <w:spacing w:before="200" w:after="0"/>
    </w:pPr>
    <w:rPr>
      <w:rFonts w:ascii="Cambria" w:eastAsia="Times New Roman" w:hAnsi="Cambria" w:cs="Times New Roman"/>
      <w:i w:val="0"/>
      <w:iCs w:val="0"/>
      <w:color w:val="4F81BD"/>
      <w:sz w:val="26"/>
      <w:szCs w:val="26"/>
    </w:rPr>
  </w:style>
  <w:style w:type="paragraph" w:customStyle="1" w:styleId="MMTopic3">
    <w:name w:val="MM Topic 3"/>
    <w:basedOn w:val="Nagwek3"/>
    <w:link w:val="MMTopic3Znak"/>
    <w:uiPriority w:val="99"/>
    <w:rsid w:val="004C16E2"/>
    <w:pPr>
      <w:keepLines/>
      <w:numPr>
        <w:ilvl w:val="2"/>
        <w:numId w:val="25"/>
      </w:numPr>
      <w:spacing w:before="200" w:after="0" w:line="276" w:lineRule="auto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Znak">
    <w:name w:val="MM Topic 3 Znak"/>
    <w:basedOn w:val="Nagwek3Znak"/>
    <w:link w:val="MMTopic3"/>
    <w:uiPriority w:val="99"/>
    <w:locked/>
    <w:rsid w:val="004C16E2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AkapitzlistZnak">
    <w:name w:val="Akapit z listą Znak"/>
    <w:link w:val="Akapitzlist"/>
    <w:uiPriority w:val="34"/>
    <w:rsid w:val="00182A4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C16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73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02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27330"/>
    <w:rPr>
      <w:rFonts w:ascii="Cambria" w:hAnsi="Cambria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rFonts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rFonts w:cs="Times New Roman"/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rFonts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rFonts w:cs="Times New Roman"/>
      <w:color w:val="808080"/>
    </w:rPr>
  </w:style>
  <w:style w:type="character" w:styleId="Pogrubienie">
    <w:name w:val="Strong"/>
    <w:basedOn w:val="Domylnaczcionkaakapitu"/>
    <w:uiPriority w:val="99"/>
    <w:qFormat/>
    <w:locked/>
    <w:rsid w:val="00236686"/>
    <w:rPr>
      <w:rFonts w:cs="Times New Roman"/>
      <w:b/>
      <w:bCs/>
    </w:rPr>
  </w:style>
  <w:style w:type="paragraph" w:styleId="Bezodstpw">
    <w:name w:val="No Spacing"/>
    <w:uiPriority w:val="99"/>
    <w:qFormat/>
    <w:rsid w:val="00D641F4"/>
    <w:rPr>
      <w:lang w:eastAsia="en-US"/>
    </w:rPr>
  </w:style>
  <w:style w:type="paragraph" w:customStyle="1" w:styleId="MMTopic1">
    <w:name w:val="MM Topic 1"/>
    <w:basedOn w:val="Nagwek1"/>
    <w:uiPriority w:val="99"/>
    <w:rsid w:val="004C16E2"/>
    <w:pPr>
      <w:keepLines/>
      <w:numPr>
        <w:numId w:val="25"/>
      </w:numPr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MMTopic2">
    <w:name w:val="MM Topic 2"/>
    <w:basedOn w:val="Nagwek2"/>
    <w:uiPriority w:val="99"/>
    <w:rsid w:val="004C16E2"/>
    <w:pPr>
      <w:keepLines/>
      <w:numPr>
        <w:ilvl w:val="1"/>
        <w:numId w:val="25"/>
      </w:numPr>
      <w:spacing w:before="200" w:after="0"/>
    </w:pPr>
    <w:rPr>
      <w:rFonts w:ascii="Cambria" w:eastAsia="Times New Roman" w:hAnsi="Cambria" w:cs="Times New Roman"/>
      <w:i w:val="0"/>
      <w:iCs w:val="0"/>
      <w:color w:val="4F81BD"/>
      <w:sz w:val="26"/>
      <w:szCs w:val="26"/>
    </w:rPr>
  </w:style>
  <w:style w:type="paragraph" w:customStyle="1" w:styleId="MMTopic3">
    <w:name w:val="MM Topic 3"/>
    <w:basedOn w:val="Nagwek3"/>
    <w:link w:val="MMTopic3Znak"/>
    <w:uiPriority w:val="99"/>
    <w:rsid w:val="004C16E2"/>
    <w:pPr>
      <w:keepLines/>
      <w:numPr>
        <w:ilvl w:val="2"/>
        <w:numId w:val="25"/>
      </w:numPr>
      <w:spacing w:before="200" w:after="0" w:line="276" w:lineRule="auto"/>
    </w:pPr>
    <w:rPr>
      <w:rFonts w:ascii="Cambria" w:hAnsi="Cambria" w:cs="Times New Roman"/>
      <w:color w:val="4F81BD"/>
      <w:sz w:val="22"/>
      <w:szCs w:val="22"/>
      <w:lang w:eastAsia="en-US"/>
    </w:rPr>
  </w:style>
  <w:style w:type="character" w:customStyle="1" w:styleId="MMTopic3Znak">
    <w:name w:val="MM Topic 3 Znak"/>
    <w:basedOn w:val="Nagwek3Znak"/>
    <w:link w:val="MMTopic3"/>
    <w:uiPriority w:val="99"/>
    <w:locked/>
    <w:rsid w:val="004C16E2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AkapitzlistZnak">
    <w:name w:val="Akapit z listą Znak"/>
    <w:link w:val="Akapitzlist"/>
    <w:uiPriority w:val="34"/>
    <w:rsid w:val="00182A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zej.jarzewski@mr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wojciech.trusz@m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ianna.sidoroff@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1DF9-2332-4F45-974D-7414D377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19653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2018-03-08T11:49:00Z</dcterms:created>
  <dcterms:modified xsi:type="dcterms:W3CDTF">2018-04-24T09:00:00Z</dcterms:modified>
</cp:coreProperties>
</file>