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
        <w:gridCol w:w="1392"/>
        <w:gridCol w:w="321"/>
        <w:gridCol w:w="127"/>
        <w:gridCol w:w="11"/>
        <w:gridCol w:w="534"/>
        <w:gridCol w:w="595"/>
        <w:gridCol w:w="255"/>
        <w:gridCol w:w="724"/>
        <w:gridCol w:w="410"/>
        <w:gridCol w:w="425"/>
        <w:gridCol w:w="579"/>
        <w:gridCol w:w="224"/>
        <w:gridCol w:w="47"/>
        <w:gridCol w:w="520"/>
        <w:gridCol w:w="205"/>
        <w:gridCol w:w="646"/>
        <w:gridCol w:w="78"/>
        <w:gridCol w:w="178"/>
        <w:gridCol w:w="547"/>
        <w:gridCol w:w="47"/>
        <w:gridCol w:w="142"/>
        <w:gridCol w:w="121"/>
        <w:gridCol w:w="414"/>
        <w:gridCol w:w="457"/>
        <w:gridCol w:w="268"/>
        <w:gridCol w:w="725"/>
        <w:gridCol w:w="1021"/>
      </w:tblGrid>
      <w:tr w:rsidR="00F9477F" w:rsidRPr="008D6E94" w:rsidTr="002A37BC">
        <w:trPr>
          <w:trHeight w:val="1611"/>
        </w:trPr>
        <w:tc>
          <w:tcPr>
            <w:tcW w:w="7297" w:type="dxa"/>
            <w:gridSpan w:val="19"/>
          </w:tcPr>
          <w:p w:rsidR="00F9477F" w:rsidRPr="00613FA0" w:rsidRDefault="00F9477F" w:rsidP="00613FA0">
            <w:pPr>
              <w:spacing w:line="240" w:lineRule="auto"/>
              <w:ind w:left="34"/>
              <w:rPr>
                <w:rFonts w:ascii="Times New Roman" w:hAnsi="Times New Roman"/>
                <w:b/>
                <w:color w:val="000000"/>
              </w:rPr>
            </w:pPr>
            <w:bookmarkStart w:id="0" w:name="t1"/>
            <w:r w:rsidRPr="00613FA0">
              <w:rPr>
                <w:rFonts w:ascii="Times New Roman" w:hAnsi="Times New Roman"/>
                <w:b/>
                <w:color w:val="000000"/>
              </w:rPr>
              <w:t>Nazwa projektu</w:t>
            </w:r>
          </w:p>
          <w:p w:rsidR="00DE59EF" w:rsidRPr="004B4C6E" w:rsidRDefault="00DE59EF" w:rsidP="002318CA">
            <w:pPr>
              <w:spacing w:after="120" w:line="240" w:lineRule="auto"/>
              <w:ind w:left="34"/>
              <w:jc w:val="both"/>
              <w:rPr>
                <w:rFonts w:ascii="Times New Roman" w:hAnsi="Times New Roman"/>
                <w:color w:val="000000"/>
              </w:rPr>
            </w:pPr>
            <w:r w:rsidRPr="004B4C6E">
              <w:rPr>
                <w:rFonts w:ascii="Times New Roman" w:hAnsi="Times New Roman"/>
                <w:color w:val="000000"/>
              </w:rPr>
              <w:t xml:space="preserve">Projekt ustawy o </w:t>
            </w:r>
            <w:r w:rsidR="00180E55" w:rsidRPr="004B4C6E">
              <w:rPr>
                <w:rFonts w:ascii="Times New Roman" w:hAnsi="Times New Roman"/>
                <w:color w:val="000000"/>
              </w:rPr>
              <w:t xml:space="preserve">dopłatach do oprocentowania kredytów bankowych udzielanych na zapewnienie płynności </w:t>
            </w:r>
            <w:r w:rsidR="00F317FA">
              <w:rPr>
                <w:rFonts w:ascii="Times New Roman" w:hAnsi="Times New Roman"/>
                <w:color w:val="000000"/>
              </w:rPr>
              <w:t xml:space="preserve">finansowej </w:t>
            </w:r>
            <w:r w:rsidR="00180E55" w:rsidRPr="004B4C6E">
              <w:rPr>
                <w:rFonts w:ascii="Times New Roman" w:hAnsi="Times New Roman"/>
                <w:color w:val="000000"/>
              </w:rPr>
              <w:t xml:space="preserve">przedsiębiorcom dotkniętym skutkami COVID-19 </w:t>
            </w:r>
            <w:r w:rsidR="00277F1F">
              <w:rPr>
                <w:rFonts w:ascii="Times New Roman" w:hAnsi="Times New Roman"/>
                <w:color w:val="000000"/>
              </w:rPr>
              <w:t>oraz o zmianie niektórych innych ustaw</w:t>
            </w:r>
          </w:p>
          <w:p w:rsidR="00F9477F" w:rsidRPr="004B4C6E" w:rsidRDefault="00F9477F" w:rsidP="002318CA">
            <w:pPr>
              <w:spacing w:line="240" w:lineRule="auto"/>
              <w:ind w:left="34"/>
              <w:rPr>
                <w:rFonts w:ascii="Times New Roman" w:hAnsi="Times New Roman"/>
                <w:b/>
                <w:color w:val="000000"/>
              </w:rPr>
            </w:pPr>
            <w:r w:rsidRPr="004B4C6E">
              <w:rPr>
                <w:rFonts w:ascii="Times New Roman" w:hAnsi="Times New Roman"/>
                <w:b/>
                <w:color w:val="000000"/>
              </w:rPr>
              <w:t>Ministerstwo wiodące i ministerstwa współpracujące</w:t>
            </w:r>
            <w:bookmarkEnd w:id="0"/>
          </w:p>
          <w:p w:rsidR="00042423" w:rsidRPr="004506F6" w:rsidRDefault="000A3A05" w:rsidP="002318CA">
            <w:pPr>
              <w:spacing w:line="240" w:lineRule="auto"/>
              <w:ind w:left="34"/>
              <w:rPr>
                <w:rFonts w:ascii="Times New Roman" w:hAnsi="Times New Roman"/>
                <w:color w:val="000000"/>
              </w:rPr>
            </w:pPr>
            <w:r w:rsidRPr="004506F6">
              <w:rPr>
                <w:rFonts w:ascii="Times New Roman" w:hAnsi="Times New Roman"/>
                <w:color w:val="000000"/>
              </w:rPr>
              <w:t>Ministerstwo Rozwoju we współpracy z</w:t>
            </w:r>
            <w:r w:rsidR="00042423" w:rsidRPr="004506F6">
              <w:rPr>
                <w:rFonts w:ascii="Times New Roman" w:hAnsi="Times New Roman"/>
                <w:color w:val="000000"/>
              </w:rPr>
              <w:t>:</w:t>
            </w:r>
          </w:p>
          <w:p w:rsidR="0070665C" w:rsidRPr="004506F6" w:rsidRDefault="0070665C" w:rsidP="0070665C">
            <w:pPr>
              <w:spacing w:line="240" w:lineRule="auto"/>
              <w:ind w:left="34"/>
              <w:rPr>
                <w:rFonts w:ascii="Times New Roman" w:hAnsi="Times New Roman"/>
                <w:color w:val="000000"/>
              </w:rPr>
            </w:pPr>
            <w:r w:rsidRPr="004506F6">
              <w:rPr>
                <w:rFonts w:ascii="Times New Roman" w:hAnsi="Times New Roman"/>
                <w:color w:val="000000"/>
              </w:rPr>
              <w:t>Kancelarią Prezesa Rady Ministrów,</w:t>
            </w:r>
          </w:p>
          <w:p w:rsidR="0070665C" w:rsidRPr="004506F6" w:rsidRDefault="0070665C" w:rsidP="0070665C">
            <w:pPr>
              <w:spacing w:line="240" w:lineRule="auto"/>
              <w:ind w:left="34"/>
              <w:rPr>
                <w:rFonts w:ascii="Times New Roman" w:hAnsi="Times New Roman"/>
                <w:color w:val="000000"/>
              </w:rPr>
            </w:pPr>
            <w:r w:rsidRPr="004506F6">
              <w:rPr>
                <w:rFonts w:ascii="Times New Roman" w:hAnsi="Times New Roman"/>
                <w:color w:val="000000"/>
              </w:rPr>
              <w:t>Ministerstwem Klimatu,</w:t>
            </w:r>
          </w:p>
          <w:p w:rsidR="0070665C" w:rsidRPr="004506F6" w:rsidRDefault="0070665C" w:rsidP="0070665C">
            <w:pPr>
              <w:spacing w:line="240" w:lineRule="auto"/>
              <w:ind w:left="34"/>
              <w:rPr>
                <w:rFonts w:ascii="Times New Roman" w:hAnsi="Times New Roman"/>
                <w:color w:val="000000"/>
              </w:rPr>
            </w:pPr>
            <w:r w:rsidRPr="004506F6">
              <w:rPr>
                <w:rFonts w:ascii="Times New Roman" w:hAnsi="Times New Roman"/>
                <w:color w:val="000000"/>
              </w:rPr>
              <w:t>Ministerstwem Sprawiedliwości,</w:t>
            </w:r>
          </w:p>
          <w:p w:rsidR="0070665C" w:rsidRPr="004506F6" w:rsidRDefault="0070665C" w:rsidP="0070665C">
            <w:pPr>
              <w:spacing w:line="240" w:lineRule="auto"/>
              <w:ind w:left="34"/>
              <w:rPr>
                <w:rFonts w:ascii="Times New Roman" w:hAnsi="Times New Roman"/>
                <w:color w:val="000000"/>
              </w:rPr>
            </w:pPr>
            <w:r w:rsidRPr="004506F6">
              <w:rPr>
                <w:rFonts w:ascii="Times New Roman" w:hAnsi="Times New Roman"/>
                <w:color w:val="000000"/>
              </w:rPr>
              <w:t>Ministerstwem Środowiska,</w:t>
            </w:r>
          </w:p>
          <w:p w:rsidR="0070665C" w:rsidRPr="004506F6" w:rsidRDefault="0070665C" w:rsidP="0070665C">
            <w:pPr>
              <w:spacing w:line="240" w:lineRule="auto"/>
              <w:ind w:left="34"/>
              <w:rPr>
                <w:rFonts w:ascii="Times New Roman" w:hAnsi="Times New Roman"/>
                <w:color w:val="000000"/>
              </w:rPr>
            </w:pPr>
            <w:r w:rsidRPr="004506F6">
              <w:rPr>
                <w:rFonts w:ascii="Times New Roman" w:hAnsi="Times New Roman"/>
                <w:color w:val="000000"/>
              </w:rPr>
              <w:t>Pełnomocnikiem Rządu ds. Strategicznej Infrastruktury Energetycznej,</w:t>
            </w:r>
          </w:p>
          <w:p w:rsidR="00042423" w:rsidRPr="004506F6" w:rsidRDefault="000A3A05" w:rsidP="0070665C">
            <w:pPr>
              <w:spacing w:line="240" w:lineRule="auto"/>
              <w:ind w:left="34"/>
              <w:rPr>
                <w:rFonts w:ascii="Times New Roman" w:hAnsi="Times New Roman"/>
                <w:color w:val="000000"/>
              </w:rPr>
            </w:pPr>
            <w:r w:rsidRPr="004506F6">
              <w:rPr>
                <w:rFonts w:ascii="Times New Roman" w:hAnsi="Times New Roman"/>
                <w:color w:val="000000"/>
              </w:rPr>
              <w:t>Ministerstwem Finansów</w:t>
            </w:r>
            <w:r w:rsidR="00C02A94" w:rsidRPr="004506F6">
              <w:rPr>
                <w:rFonts w:ascii="Times New Roman" w:hAnsi="Times New Roman"/>
                <w:color w:val="000000"/>
              </w:rPr>
              <w:t xml:space="preserve">, </w:t>
            </w:r>
          </w:p>
          <w:p w:rsidR="00042423" w:rsidRPr="009233E4" w:rsidRDefault="00042423" w:rsidP="002318CA">
            <w:pPr>
              <w:spacing w:line="240" w:lineRule="auto"/>
              <w:ind w:left="34"/>
              <w:rPr>
                <w:rFonts w:ascii="Times New Roman" w:hAnsi="Times New Roman"/>
                <w:sz w:val="21"/>
                <w:szCs w:val="24"/>
              </w:rPr>
            </w:pPr>
            <w:r w:rsidRPr="009233E4">
              <w:rPr>
                <w:rFonts w:ascii="Times New Roman" w:hAnsi="Times New Roman"/>
                <w:sz w:val="21"/>
                <w:szCs w:val="24"/>
              </w:rPr>
              <w:t>Ministerstwem Spraw Wewnętrznych i Administracji</w:t>
            </w:r>
            <w:r w:rsidR="003A0C2D" w:rsidRPr="009233E4">
              <w:rPr>
                <w:rFonts w:ascii="Times New Roman" w:hAnsi="Times New Roman"/>
                <w:sz w:val="21"/>
                <w:szCs w:val="24"/>
              </w:rPr>
              <w:t>,</w:t>
            </w:r>
          </w:p>
          <w:p w:rsidR="00042423" w:rsidRPr="009233E4" w:rsidRDefault="00042423" w:rsidP="002318CA">
            <w:pPr>
              <w:spacing w:line="240" w:lineRule="auto"/>
              <w:ind w:left="34"/>
              <w:rPr>
                <w:rFonts w:ascii="Times New Roman" w:hAnsi="Times New Roman"/>
                <w:sz w:val="21"/>
                <w:szCs w:val="24"/>
              </w:rPr>
            </w:pPr>
            <w:r w:rsidRPr="009233E4">
              <w:rPr>
                <w:rFonts w:ascii="Times New Roman" w:hAnsi="Times New Roman"/>
                <w:sz w:val="21"/>
                <w:szCs w:val="24"/>
              </w:rPr>
              <w:t>Ministerstwem Infrastruktury</w:t>
            </w:r>
            <w:r w:rsidR="003A0C2D" w:rsidRPr="009233E4">
              <w:rPr>
                <w:rFonts w:ascii="Times New Roman" w:hAnsi="Times New Roman"/>
                <w:sz w:val="21"/>
                <w:szCs w:val="24"/>
              </w:rPr>
              <w:t>,</w:t>
            </w:r>
          </w:p>
          <w:p w:rsidR="00042423" w:rsidRPr="009233E4" w:rsidRDefault="00042423" w:rsidP="002318CA">
            <w:pPr>
              <w:spacing w:line="240" w:lineRule="auto"/>
              <w:ind w:left="34"/>
              <w:rPr>
                <w:rFonts w:ascii="Times New Roman" w:hAnsi="Times New Roman"/>
              </w:rPr>
            </w:pPr>
            <w:r w:rsidRPr="009233E4">
              <w:rPr>
                <w:rFonts w:ascii="Times New Roman" w:hAnsi="Times New Roman"/>
              </w:rPr>
              <w:t>Ministerstwem Gospodarki Morskiej i Żeglugi Śródlądowej</w:t>
            </w:r>
            <w:r w:rsidR="003A0C2D" w:rsidRPr="009233E4">
              <w:rPr>
                <w:rFonts w:ascii="Times New Roman" w:hAnsi="Times New Roman"/>
              </w:rPr>
              <w:t>,</w:t>
            </w:r>
          </w:p>
          <w:p w:rsidR="00042423" w:rsidRPr="009233E4" w:rsidRDefault="00042423" w:rsidP="002318CA">
            <w:pPr>
              <w:spacing w:line="240" w:lineRule="auto"/>
              <w:ind w:left="34"/>
              <w:rPr>
                <w:rFonts w:ascii="Times New Roman" w:hAnsi="Times New Roman"/>
              </w:rPr>
            </w:pPr>
            <w:r w:rsidRPr="009233E4">
              <w:rPr>
                <w:rFonts w:ascii="Times New Roman" w:hAnsi="Times New Roman"/>
              </w:rPr>
              <w:t>Ministerstwem Funduszy i Polityki Regionalnej</w:t>
            </w:r>
            <w:r w:rsidR="003A0C2D" w:rsidRPr="009233E4">
              <w:rPr>
                <w:rFonts w:ascii="Times New Roman" w:hAnsi="Times New Roman"/>
              </w:rPr>
              <w:t>,</w:t>
            </w:r>
          </w:p>
          <w:p w:rsidR="003F30AB" w:rsidRPr="009233E4" w:rsidRDefault="003F30AB" w:rsidP="002318CA">
            <w:pPr>
              <w:spacing w:line="240" w:lineRule="auto"/>
              <w:ind w:left="34"/>
              <w:rPr>
                <w:rFonts w:ascii="Times New Roman" w:hAnsi="Times New Roman"/>
              </w:rPr>
            </w:pPr>
            <w:r w:rsidRPr="009233E4">
              <w:rPr>
                <w:rFonts w:ascii="Times New Roman" w:hAnsi="Times New Roman"/>
              </w:rPr>
              <w:t>Ministerstwem Rodziny, Pracy i Polityki Społecznej,</w:t>
            </w:r>
          </w:p>
          <w:p w:rsidR="003F30AB" w:rsidRDefault="003F30AB" w:rsidP="002318CA">
            <w:pPr>
              <w:spacing w:line="240" w:lineRule="auto"/>
              <w:ind w:left="34"/>
              <w:rPr>
                <w:rFonts w:ascii="Times New Roman" w:hAnsi="Times New Roman"/>
              </w:rPr>
            </w:pPr>
            <w:r w:rsidRPr="009233E4">
              <w:rPr>
                <w:rFonts w:ascii="Times New Roman" w:hAnsi="Times New Roman"/>
              </w:rPr>
              <w:t>Ministerstwem Aktywów Państwowych,</w:t>
            </w:r>
          </w:p>
          <w:p w:rsidR="004506F6" w:rsidRPr="004506F6" w:rsidRDefault="004506F6" w:rsidP="002318CA">
            <w:pPr>
              <w:spacing w:line="240" w:lineRule="auto"/>
              <w:ind w:left="34"/>
              <w:rPr>
                <w:rFonts w:ascii="Times New Roman" w:hAnsi="Times New Roman"/>
                <w:sz w:val="21"/>
                <w:szCs w:val="24"/>
              </w:rPr>
            </w:pPr>
            <w:r>
              <w:rPr>
                <w:rFonts w:ascii="Times New Roman" w:hAnsi="Times New Roman"/>
              </w:rPr>
              <w:t>Ministerstwem Rolnictwa i Rozwoju Wsi,</w:t>
            </w:r>
          </w:p>
          <w:p w:rsidR="00042423" w:rsidRPr="004506F6" w:rsidRDefault="00042423" w:rsidP="002318CA">
            <w:pPr>
              <w:spacing w:line="240" w:lineRule="auto"/>
              <w:ind w:left="34"/>
              <w:rPr>
                <w:rFonts w:ascii="Times New Roman" w:hAnsi="Times New Roman"/>
              </w:rPr>
            </w:pPr>
            <w:r w:rsidRPr="004506F6">
              <w:rPr>
                <w:rFonts w:ascii="Times New Roman" w:hAnsi="Times New Roman"/>
              </w:rPr>
              <w:t>Urzędem Zamówień Publicznych</w:t>
            </w:r>
            <w:r w:rsidR="003A0C2D" w:rsidRPr="004506F6">
              <w:rPr>
                <w:rFonts w:ascii="Times New Roman" w:hAnsi="Times New Roman"/>
              </w:rPr>
              <w:t>,</w:t>
            </w:r>
          </w:p>
          <w:p w:rsidR="00042423" w:rsidRPr="004506F6" w:rsidRDefault="00042423" w:rsidP="002318CA">
            <w:pPr>
              <w:spacing w:line="240" w:lineRule="auto"/>
              <w:ind w:left="34"/>
              <w:rPr>
                <w:rFonts w:ascii="Times New Roman" w:hAnsi="Times New Roman"/>
                <w:color w:val="000000"/>
              </w:rPr>
            </w:pPr>
            <w:r w:rsidRPr="004506F6">
              <w:rPr>
                <w:rFonts w:ascii="Times New Roman" w:hAnsi="Times New Roman"/>
                <w:color w:val="000000"/>
              </w:rPr>
              <w:t>Urzędem Ochrony Konkurencji i Konsumentów</w:t>
            </w:r>
            <w:r w:rsidR="003A0C2D" w:rsidRPr="004506F6">
              <w:rPr>
                <w:rFonts w:ascii="Times New Roman" w:hAnsi="Times New Roman"/>
                <w:color w:val="000000"/>
              </w:rPr>
              <w:t>,</w:t>
            </w:r>
          </w:p>
          <w:p w:rsidR="00AE3782" w:rsidRPr="004506F6" w:rsidRDefault="000A3A05" w:rsidP="00AE3782">
            <w:pPr>
              <w:spacing w:line="240" w:lineRule="auto"/>
              <w:ind w:left="34"/>
              <w:rPr>
                <w:rFonts w:ascii="Times New Roman" w:hAnsi="Times New Roman"/>
                <w:color w:val="000000"/>
              </w:rPr>
            </w:pPr>
            <w:r w:rsidRPr="004506F6">
              <w:rPr>
                <w:rFonts w:ascii="Times New Roman" w:hAnsi="Times New Roman"/>
                <w:color w:val="000000"/>
              </w:rPr>
              <w:t>Bankiem Gospodarstwa Krajowego</w:t>
            </w:r>
            <w:r w:rsidR="00C02A94" w:rsidRPr="004506F6">
              <w:rPr>
                <w:rFonts w:ascii="Times New Roman" w:hAnsi="Times New Roman"/>
                <w:color w:val="000000"/>
              </w:rPr>
              <w:t xml:space="preserve">, </w:t>
            </w:r>
          </w:p>
          <w:p w:rsidR="003B646D" w:rsidRPr="004506F6" w:rsidRDefault="00E45EC8" w:rsidP="003B646D">
            <w:pPr>
              <w:spacing w:line="240" w:lineRule="auto"/>
              <w:ind w:left="34"/>
              <w:rPr>
                <w:rFonts w:ascii="Times New Roman" w:hAnsi="Times New Roman"/>
                <w:color w:val="000000"/>
              </w:rPr>
            </w:pPr>
            <w:r w:rsidRPr="004506F6">
              <w:rPr>
                <w:rFonts w:ascii="Times New Roman" w:hAnsi="Times New Roman"/>
                <w:color w:val="000000"/>
              </w:rPr>
              <w:t xml:space="preserve">Urzędem </w:t>
            </w:r>
            <w:r w:rsidR="00C02A94" w:rsidRPr="004506F6">
              <w:rPr>
                <w:rFonts w:ascii="Times New Roman" w:hAnsi="Times New Roman"/>
                <w:color w:val="000000"/>
              </w:rPr>
              <w:t>Komisj</w:t>
            </w:r>
            <w:r w:rsidRPr="004506F6">
              <w:rPr>
                <w:rFonts w:ascii="Times New Roman" w:hAnsi="Times New Roman"/>
                <w:color w:val="000000"/>
              </w:rPr>
              <w:t>i</w:t>
            </w:r>
            <w:r w:rsidR="00C02A94" w:rsidRPr="004506F6">
              <w:rPr>
                <w:rFonts w:ascii="Times New Roman" w:hAnsi="Times New Roman"/>
                <w:color w:val="000000"/>
              </w:rPr>
              <w:t xml:space="preserve"> Nadzoru Finansowego</w:t>
            </w:r>
            <w:r w:rsidR="00125584" w:rsidRPr="004506F6">
              <w:rPr>
                <w:rFonts w:ascii="Times New Roman" w:hAnsi="Times New Roman"/>
                <w:color w:val="000000"/>
              </w:rPr>
              <w:t>,</w:t>
            </w:r>
          </w:p>
          <w:p w:rsidR="001854DF" w:rsidRDefault="003B646D" w:rsidP="00ED694A">
            <w:pPr>
              <w:spacing w:after="120" w:line="240" w:lineRule="auto"/>
              <w:ind w:left="34"/>
              <w:rPr>
                <w:rFonts w:ascii="Times New Roman" w:hAnsi="Times New Roman"/>
                <w:color w:val="000000"/>
              </w:rPr>
            </w:pPr>
            <w:r w:rsidRPr="004506F6">
              <w:rPr>
                <w:rFonts w:ascii="Times New Roman" w:hAnsi="Times New Roman"/>
                <w:color w:val="000000"/>
              </w:rPr>
              <w:t>Zakład</w:t>
            </w:r>
            <w:r w:rsidR="00045BCE" w:rsidRPr="004506F6">
              <w:rPr>
                <w:rFonts w:ascii="Times New Roman" w:hAnsi="Times New Roman"/>
                <w:color w:val="000000"/>
              </w:rPr>
              <w:t>em</w:t>
            </w:r>
            <w:r w:rsidRPr="004506F6">
              <w:rPr>
                <w:rFonts w:ascii="Times New Roman" w:hAnsi="Times New Roman"/>
                <w:color w:val="000000"/>
              </w:rPr>
              <w:t xml:space="preserve"> Ubezpieczeń Społecznych</w:t>
            </w:r>
          </w:p>
          <w:p w:rsidR="000A3A05" w:rsidRPr="004B4C6E" w:rsidRDefault="00F9477F" w:rsidP="002318CA">
            <w:pPr>
              <w:spacing w:line="240" w:lineRule="auto"/>
              <w:ind w:left="34"/>
              <w:rPr>
                <w:rFonts w:ascii="Times New Roman" w:hAnsi="Times New Roman"/>
                <w:b/>
              </w:rPr>
            </w:pPr>
            <w:r w:rsidRPr="004B4C6E">
              <w:rPr>
                <w:rFonts w:ascii="Times New Roman" w:hAnsi="Times New Roman"/>
                <w:b/>
              </w:rPr>
              <w:t>Osoba odpowiedzialna za projekt</w:t>
            </w:r>
          </w:p>
          <w:p w:rsidR="00810EF2" w:rsidRPr="00135654" w:rsidRDefault="00042423" w:rsidP="004530E6">
            <w:pPr>
              <w:spacing w:after="120" w:line="240" w:lineRule="auto"/>
              <w:ind w:left="34"/>
              <w:rPr>
                <w:rFonts w:ascii="Times New Roman" w:hAnsi="Times New Roman"/>
              </w:rPr>
            </w:pPr>
            <w:r>
              <w:rPr>
                <w:rFonts w:ascii="Times New Roman" w:hAnsi="Times New Roman"/>
              </w:rPr>
              <w:t>Minister Rozwoju</w:t>
            </w:r>
          </w:p>
          <w:p w:rsidR="00F9477F" w:rsidRDefault="00F9477F" w:rsidP="002318CA">
            <w:pPr>
              <w:spacing w:line="240" w:lineRule="auto"/>
              <w:ind w:left="34"/>
              <w:rPr>
                <w:rFonts w:ascii="Times New Roman" w:hAnsi="Times New Roman"/>
                <w:b/>
                <w:color w:val="000000"/>
              </w:rPr>
            </w:pPr>
            <w:r w:rsidRPr="004B4C6E">
              <w:rPr>
                <w:rFonts w:ascii="Times New Roman" w:hAnsi="Times New Roman"/>
                <w:b/>
                <w:color w:val="000000"/>
              </w:rPr>
              <w:t>Kontakt do opiekuna merytorycznego projektu</w:t>
            </w:r>
          </w:p>
          <w:p w:rsidR="00DE72D8" w:rsidRPr="00AE3782" w:rsidRDefault="00DE72D8" w:rsidP="004530E6">
            <w:pPr>
              <w:spacing w:line="240" w:lineRule="auto"/>
              <w:ind w:left="34"/>
              <w:rPr>
                <w:rFonts w:ascii="Times New Roman" w:hAnsi="Times New Roman"/>
              </w:rPr>
            </w:pPr>
          </w:p>
        </w:tc>
        <w:tc>
          <w:tcPr>
            <w:tcW w:w="3742" w:type="dxa"/>
            <w:gridSpan w:val="9"/>
            <w:shd w:val="clear" w:color="auto" w:fill="FFFFFF"/>
          </w:tcPr>
          <w:p w:rsidR="00F9477F" w:rsidRPr="004B4C6E" w:rsidRDefault="00F9477F" w:rsidP="005504A7">
            <w:pPr>
              <w:spacing w:line="240" w:lineRule="auto"/>
              <w:rPr>
                <w:rFonts w:ascii="Times New Roman" w:hAnsi="Times New Roman"/>
                <w:b/>
              </w:rPr>
            </w:pPr>
            <w:r w:rsidRPr="004B4C6E">
              <w:rPr>
                <w:rFonts w:ascii="Times New Roman" w:hAnsi="Times New Roman"/>
                <w:b/>
              </w:rPr>
              <w:t>Data sporządzenia</w:t>
            </w:r>
          </w:p>
          <w:p w:rsidR="000A3A05" w:rsidRPr="004B4C6E" w:rsidRDefault="00221105" w:rsidP="005504A7">
            <w:pPr>
              <w:spacing w:line="240" w:lineRule="auto"/>
              <w:rPr>
                <w:rFonts w:ascii="Times New Roman" w:hAnsi="Times New Roman"/>
              </w:rPr>
            </w:pPr>
            <w:r>
              <w:rPr>
                <w:rFonts w:ascii="Times New Roman" w:hAnsi="Times New Roman"/>
              </w:rPr>
              <w:t>20</w:t>
            </w:r>
            <w:r w:rsidR="000A3A05" w:rsidRPr="004B4C6E">
              <w:rPr>
                <w:rFonts w:ascii="Times New Roman" w:hAnsi="Times New Roman"/>
              </w:rPr>
              <w:t>.0</w:t>
            </w:r>
            <w:r w:rsidR="0085725D">
              <w:rPr>
                <w:rFonts w:ascii="Times New Roman" w:hAnsi="Times New Roman"/>
              </w:rPr>
              <w:t>5</w:t>
            </w:r>
            <w:r w:rsidR="000A3A05" w:rsidRPr="004B4C6E">
              <w:rPr>
                <w:rFonts w:ascii="Times New Roman" w:hAnsi="Times New Roman"/>
              </w:rPr>
              <w:t>.2020</w:t>
            </w:r>
          </w:p>
          <w:p w:rsidR="00F9477F" w:rsidRPr="004B4C6E" w:rsidRDefault="00F9477F" w:rsidP="005504A7">
            <w:pPr>
              <w:spacing w:line="240" w:lineRule="auto"/>
              <w:rPr>
                <w:rFonts w:ascii="Times New Roman" w:hAnsi="Times New Roman"/>
                <w:b/>
              </w:rPr>
            </w:pPr>
          </w:p>
          <w:p w:rsidR="00F9477F" w:rsidRPr="004B4C6E" w:rsidRDefault="00F9477F" w:rsidP="005504A7">
            <w:pPr>
              <w:spacing w:line="240" w:lineRule="auto"/>
              <w:rPr>
                <w:rFonts w:ascii="Times New Roman" w:hAnsi="Times New Roman"/>
                <w:b/>
              </w:rPr>
            </w:pPr>
            <w:r w:rsidRPr="004B4C6E">
              <w:rPr>
                <w:rFonts w:ascii="Times New Roman" w:hAnsi="Times New Roman"/>
                <w:b/>
              </w:rPr>
              <w:t xml:space="preserve">Źródło: </w:t>
            </w:r>
            <w:bookmarkStart w:id="1" w:name="Lista1"/>
          </w:p>
          <w:bookmarkEnd w:id="1"/>
          <w:p w:rsidR="00F9477F" w:rsidRPr="004B4C6E" w:rsidRDefault="00F9477F" w:rsidP="005504A7">
            <w:pPr>
              <w:spacing w:line="240" w:lineRule="auto"/>
              <w:jc w:val="both"/>
              <w:rPr>
                <w:rFonts w:ascii="Times New Roman" w:hAnsi="Times New Roman"/>
              </w:rPr>
            </w:pPr>
            <w:r w:rsidRPr="004B4C6E">
              <w:rPr>
                <w:rFonts w:ascii="Times New Roman" w:hAnsi="Times New Roman"/>
              </w:rPr>
              <w:t>Inicjatywa własna</w:t>
            </w:r>
            <w:r w:rsidR="00810EF2">
              <w:rPr>
                <w:rFonts w:ascii="Times New Roman" w:hAnsi="Times New Roman"/>
              </w:rPr>
              <w:t xml:space="preserve"> (dot. COVID-19)</w:t>
            </w:r>
          </w:p>
          <w:p w:rsidR="00F9477F" w:rsidRPr="004B4C6E" w:rsidRDefault="00F9477F" w:rsidP="005504A7">
            <w:pPr>
              <w:spacing w:line="240" w:lineRule="auto"/>
              <w:jc w:val="both"/>
              <w:rPr>
                <w:rFonts w:ascii="Times New Roman" w:hAnsi="Times New Roman"/>
              </w:rPr>
            </w:pPr>
          </w:p>
          <w:p w:rsidR="00F9477F" w:rsidRDefault="00F9477F" w:rsidP="005504A7">
            <w:pPr>
              <w:spacing w:line="240" w:lineRule="auto"/>
              <w:rPr>
                <w:rFonts w:ascii="Times New Roman" w:hAnsi="Times New Roman"/>
                <w:b/>
                <w:color w:val="000000"/>
              </w:rPr>
            </w:pPr>
            <w:r w:rsidRPr="004B4C6E">
              <w:rPr>
                <w:rFonts w:ascii="Times New Roman" w:hAnsi="Times New Roman"/>
                <w:b/>
                <w:color w:val="000000"/>
              </w:rPr>
              <w:t>Nr w wykazie prac RM:</w:t>
            </w:r>
          </w:p>
          <w:p w:rsidR="00F9477F" w:rsidRPr="004B4C6E" w:rsidRDefault="00941F40" w:rsidP="00A61328">
            <w:pPr>
              <w:spacing w:line="240" w:lineRule="auto"/>
              <w:rPr>
                <w:rFonts w:ascii="Times New Roman" w:hAnsi="Times New Roman"/>
                <w:color w:val="000000"/>
              </w:rPr>
            </w:pPr>
            <w:r>
              <w:rPr>
                <w:rFonts w:ascii="Times New Roman" w:hAnsi="Times New Roman"/>
                <w:color w:val="000000"/>
              </w:rPr>
              <w:t>UD84</w:t>
            </w:r>
          </w:p>
        </w:tc>
      </w:tr>
      <w:tr w:rsidR="00F9477F" w:rsidRPr="008D6E94" w:rsidTr="002A37BC">
        <w:trPr>
          <w:trHeight w:val="142"/>
        </w:trPr>
        <w:tc>
          <w:tcPr>
            <w:tcW w:w="11039" w:type="dxa"/>
            <w:gridSpan w:val="28"/>
            <w:shd w:val="clear" w:color="auto" w:fill="99CCFF"/>
          </w:tcPr>
          <w:p w:rsidR="00F9477F" w:rsidRPr="004B4C6E" w:rsidRDefault="00F9477F" w:rsidP="005504A7">
            <w:pPr>
              <w:spacing w:line="240" w:lineRule="auto"/>
              <w:ind w:left="57"/>
              <w:jc w:val="center"/>
              <w:rPr>
                <w:rFonts w:ascii="Times New Roman" w:hAnsi="Times New Roman"/>
                <w:b/>
                <w:color w:val="FFFFFF"/>
                <w:sz w:val="32"/>
                <w:szCs w:val="32"/>
              </w:rPr>
            </w:pPr>
            <w:r w:rsidRPr="004B4C6E">
              <w:rPr>
                <w:rFonts w:ascii="Times New Roman" w:hAnsi="Times New Roman"/>
                <w:b/>
                <w:color w:val="FFFFFF"/>
                <w:sz w:val="32"/>
                <w:szCs w:val="32"/>
              </w:rPr>
              <w:t>OCENA SKUTKÓW REGULACJI</w:t>
            </w:r>
          </w:p>
        </w:tc>
      </w:tr>
      <w:tr w:rsidR="00F9477F" w:rsidRPr="008D6E94" w:rsidTr="002A37BC">
        <w:trPr>
          <w:trHeight w:val="333"/>
        </w:trPr>
        <w:tc>
          <w:tcPr>
            <w:tcW w:w="11039" w:type="dxa"/>
            <w:gridSpan w:val="28"/>
            <w:shd w:val="clear" w:color="auto" w:fill="99CCFF"/>
            <w:vAlign w:val="center"/>
          </w:tcPr>
          <w:p w:rsidR="00F9477F" w:rsidRPr="004B4C6E" w:rsidRDefault="00F9477F" w:rsidP="005504A7">
            <w:pPr>
              <w:numPr>
                <w:ilvl w:val="0"/>
                <w:numId w:val="1"/>
              </w:numPr>
              <w:spacing w:line="240" w:lineRule="auto"/>
              <w:ind w:left="318" w:hanging="284"/>
              <w:jc w:val="both"/>
              <w:rPr>
                <w:rFonts w:ascii="Times New Roman" w:hAnsi="Times New Roman"/>
                <w:b/>
                <w:color w:val="000000"/>
              </w:rPr>
            </w:pPr>
            <w:r w:rsidRPr="004B4C6E">
              <w:rPr>
                <w:rFonts w:ascii="Times New Roman" w:hAnsi="Times New Roman"/>
                <w:b/>
              </w:rPr>
              <w:t>Jaki problem jest rozwiązywany?</w:t>
            </w:r>
            <w:bookmarkStart w:id="2" w:name="Wybór1"/>
            <w:bookmarkEnd w:id="2"/>
          </w:p>
        </w:tc>
      </w:tr>
      <w:tr w:rsidR="00F9477F" w:rsidRPr="008D6E94" w:rsidTr="002A37BC">
        <w:trPr>
          <w:trHeight w:val="142"/>
        </w:trPr>
        <w:tc>
          <w:tcPr>
            <w:tcW w:w="11039" w:type="dxa"/>
            <w:gridSpan w:val="28"/>
            <w:shd w:val="clear" w:color="auto" w:fill="FFFFFF"/>
          </w:tcPr>
          <w:p w:rsidR="00003512" w:rsidRDefault="00003512" w:rsidP="00984882">
            <w:pPr>
              <w:spacing w:after="120" w:line="240" w:lineRule="auto"/>
              <w:jc w:val="both"/>
              <w:rPr>
                <w:rFonts w:ascii="Times New Roman" w:hAnsi="Times New Roman"/>
              </w:rPr>
            </w:pPr>
            <w:r>
              <w:rPr>
                <w:rFonts w:ascii="Times New Roman" w:hAnsi="Times New Roman"/>
              </w:rPr>
              <w:t>Rozprzestrzenianie się COVID-19 oddziałuje negatywnie na aktualną sytuację gospodarczą. Zakłócenia procesów gospodarczych wywołane przez COVID-19 wpłynęły w sposób nagły i całkowicie nieprzewidywalny na pogorszenie warunków prowadzenia działalności gospodarczej.</w:t>
            </w:r>
          </w:p>
          <w:p w:rsidR="00003512" w:rsidRPr="004B4C6E" w:rsidRDefault="00003512" w:rsidP="00DD1F89">
            <w:pPr>
              <w:spacing w:after="120" w:line="240" w:lineRule="auto"/>
              <w:jc w:val="both"/>
              <w:rPr>
                <w:rFonts w:ascii="Times New Roman" w:hAnsi="Times New Roman"/>
              </w:rPr>
            </w:pPr>
            <w:r w:rsidRPr="004B4C6E">
              <w:rPr>
                <w:rFonts w:ascii="Times New Roman" w:hAnsi="Times New Roman"/>
              </w:rPr>
              <w:t>Niemalże wszystkie branże zostały dotknięte skutkami pandemii</w:t>
            </w:r>
            <w:r>
              <w:rPr>
                <w:rFonts w:ascii="Times New Roman" w:hAnsi="Times New Roman"/>
              </w:rPr>
              <w:t>,</w:t>
            </w:r>
            <w:r w:rsidRPr="004B4C6E">
              <w:rPr>
                <w:rFonts w:ascii="Times New Roman" w:hAnsi="Times New Roman"/>
              </w:rPr>
              <w:t xml:space="preserve"> m.in. transport, turystyka, branża gastronomiczna, hotele, branża kulturowo-rozrywkowa, branża </w:t>
            </w:r>
            <w:proofErr w:type="spellStart"/>
            <w:r w:rsidRPr="004B4C6E">
              <w:rPr>
                <w:rFonts w:ascii="Times New Roman" w:hAnsi="Times New Roman"/>
              </w:rPr>
              <w:t>eventowa</w:t>
            </w:r>
            <w:proofErr w:type="spellEnd"/>
            <w:r w:rsidRPr="004B4C6E">
              <w:rPr>
                <w:rFonts w:ascii="Times New Roman" w:hAnsi="Times New Roman"/>
              </w:rPr>
              <w:t xml:space="preserve">, branża windykacyjna, produkcja i sprzedaż odzieży, produkcja urządzeń elektrycznych. </w:t>
            </w:r>
            <w:r>
              <w:rPr>
                <w:rFonts w:ascii="Times New Roman" w:hAnsi="Times New Roman"/>
              </w:rPr>
              <w:t xml:space="preserve">Konsekwencją utraty płynności finansowej przedsiębiorców dotkniętych skutkami pandemii choroby COVID-19 będzie ograniczenie skali inwestycji w środki trwałe. </w:t>
            </w:r>
            <w:r w:rsidRPr="004B4C6E">
              <w:rPr>
                <w:rFonts w:ascii="Times New Roman" w:hAnsi="Times New Roman"/>
              </w:rPr>
              <w:t>Zmiany w otoczeniu spowodowane pandemią mogą prowadzić do spadku popytu na produkty przedsiębiorstw oraz problemy z pozyskaniem finansowania zewnętrznego. Spłycenie rynku kapitałowego i w konsekwencji zmniejszenie możliwości pozyskania inwestorów, poprzez m.in. emisje akcji na giełdach, może doprowadzić do utraty płynności. Będzie to szczególnie ważne dla podmiotów, którym zwiększy się zapotrzebowanie na kredyty obrotowe (np. z powodu wydłużających się okresów spłat należności przez odbiorców lub konieczności finansowania wyższych zapasów). Opisane zagrożenia powodują wzrost ryzyka wyraźnego wyhamowania wzrostu gospodarczego. Ograniczanie skali działalności, ograniczanie lub zawieszenie inwestycji w konsekwencji doprowadzi do problemów u producentów dóbr inwestycyjnych, spadku popytu na produkty przedsiębiorców, problem</w:t>
            </w:r>
            <w:r>
              <w:rPr>
                <w:rFonts w:ascii="Times New Roman" w:hAnsi="Times New Roman"/>
              </w:rPr>
              <w:t>ów</w:t>
            </w:r>
            <w:r w:rsidRPr="004B4C6E">
              <w:rPr>
                <w:rFonts w:ascii="Times New Roman" w:hAnsi="Times New Roman"/>
              </w:rPr>
              <w:t xml:space="preserve"> z pozyskaniem finasowania, braku możliwości uregulowania zobowiązań publicznoprawnych, aż do utraty płynności. Zmiany w otoczeniu będą prowadzić do pogorszenia płynności oraz wyników finansowych przedsiębiorstw,</w:t>
            </w:r>
            <w:r>
              <w:rPr>
                <w:rFonts w:ascii="Times New Roman" w:hAnsi="Times New Roman"/>
              </w:rPr>
              <w:t xml:space="preserve"> oraz</w:t>
            </w:r>
            <w:r w:rsidRPr="00ED24A5">
              <w:rPr>
                <w:rFonts w:ascii="Times New Roman" w:hAnsi="Times New Roman"/>
              </w:rPr>
              <w:t xml:space="preserve"> podmiotów </w:t>
            </w:r>
            <w:r w:rsidRPr="006E030C">
              <w:rPr>
                <w:rFonts w:ascii="Times New Roman" w:hAnsi="Times New Roman"/>
                <w:bCs/>
              </w:rPr>
              <w:t>prowadzących działalność w sektorze produkcji podstawowej produktów rolnych</w:t>
            </w:r>
            <w:r>
              <w:rPr>
                <w:rFonts w:ascii="Times New Roman" w:hAnsi="Times New Roman"/>
              </w:rPr>
              <w:t>,</w:t>
            </w:r>
            <w:r w:rsidRPr="004B4C6E">
              <w:rPr>
                <w:rFonts w:ascii="Times New Roman" w:hAnsi="Times New Roman"/>
              </w:rPr>
              <w:t xml:space="preserve"> a co za tym idzie do trudności w pozyskaniu lub odnowieniu finansowania zewnętrznego. W związku z powyższym zwiększy się zapotrzebowanie na kredyty obrotowe. Utrzymanie płynności finansowej w sektorach dotkniętych ekonomicznie </w:t>
            </w:r>
            <w:proofErr w:type="spellStart"/>
            <w:r w:rsidRPr="004B4C6E">
              <w:rPr>
                <w:rFonts w:ascii="Times New Roman" w:hAnsi="Times New Roman"/>
              </w:rPr>
              <w:t>koronawirusem</w:t>
            </w:r>
            <w:proofErr w:type="spellEnd"/>
            <w:r w:rsidRPr="004B4C6E">
              <w:rPr>
                <w:rFonts w:ascii="Times New Roman" w:hAnsi="Times New Roman"/>
              </w:rPr>
              <w:t xml:space="preserve"> jest kluczowe do zachowania równowagi ekonomicznej gospodarki.</w:t>
            </w:r>
            <w:r w:rsidR="00BC0425">
              <w:rPr>
                <w:rFonts w:ascii="Times New Roman" w:hAnsi="Times New Roman"/>
              </w:rPr>
              <w:t xml:space="preserve"> W celu ograniczenia negatywnych skutków </w:t>
            </w:r>
            <w:r w:rsidR="008831BA">
              <w:rPr>
                <w:rFonts w:ascii="Times New Roman" w:hAnsi="Times New Roman"/>
              </w:rPr>
              <w:t>konieczne jest wprowadzenie szczególnych rozwiązań, umożl</w:t>
            </w:r>
            <w:r w:rsidR="0082178E">
              <w:rPr>
                <w:rFonts w:ascii="Times New Roman" w:hAnsi="Times New Roman"/>
              </w:rPr>
              <w:t>i</w:t>
            </w:r>
            <w:r w:rsidR="008831BA">
              <w:rPr>
                <w:rFonts w:ascii="Times New Roman" w:hAnsi="Times New Roman"/>
              </w:rPr>
              <w:t>wiających podejmowanie działań minimalizujących skutki utraty płynności finansowej przedsiębiorców dotkniętych skutkami pandemii choroby COVID-19.</w:t>
            </w:r>
            <w:r w:rsidR="004957C4">
              <w:rPr>
                <w:rFonts w:ascii="Times New Roman" w:hAnsi="Times New Roman"/>
              </w:rPr>
              <w:t xml:space="preserve"> </w:t>
            </w:r>
            <w:r w:rsidR="004957C4" w:rsidRPr="004957C4">
              <w:rPr>
                <w:rFonts w:ascii="Times New Roman" w:hAnsi="Times New Roman"/>
              </w:rPr>
              <w:t>Wskazuje to na potrzebę wdrożenia programu dopłat do oprocentowania kredytów bankowych udzielanych przedsiębiorcom, którzy znaleźli się w trudnej sytuacji z</w:t>
            </w:r>
            <w:r w:rsidR="00AF69A3">
              <w:rPr>
                <w:rFonts w:ascii="Times New Roman" w:hAnsi="Times New Roman"/>
              </w:rPr>
              <w:t> </w:t>
            </w:r>
            <w:r w:rsidR="004957C4" w:rsidRPr="004957C4">
              <w:rPr>
                <w:rFonts w:ascii="Times New Roman" w:hAnsi="Times New Roman"/>
              </w:rPr>
              <w:t>powodu pandemii COVID-19.</w:t>
            </w:r>
          </w:p>
          <w:p w:rsidR="006F2662" w:rsidRDefault="00277F1F" w:rsidP="009A03C0">
            <w:pPr>
              <w:spacing w:after="120" w:line="240" w:lineRule="auto"/>
              <w:jc w:val="both"/>
              <w:rPr>
                <w:rFonts w:ascii="Times New Roman" w:hAnsi="Times New Roman"/>
              </w:rPr>
            </w:pPr>
            <w:r>
              <w:rPr>
                <w:rFonts w:ascii="Times New Roman" w:hAnsi="Times New Roman"/>
              </w:rPr>
              <w:t xml:space="preserve">Kłopoty związane z realizacją dotychczasowych, jak i pozyskaniem nowych kontraktów, wywołane przez okoliczności związane z COVID-19, powodują obniżanie kondycji finansowej znacznej części przedsiębiorców, w tym tych działających na rynku zamówień publicznych. Efektem pogłębiania się procesu utraty stabilności finansowej przez przedsiębiorców może być upadłość wielu z nich. Zamówienia publiczne postrzegane są jako jeden z głównych instrumentów rynkowych wsparcia przedsiębiorców w obliczu wspomnianych zagrożeń. Jednakże jego skuteczność może ulec osłabieniu na skutek obniżonej kondycji finansowej wykonawców, w związku z czym nie będą oni w stanie ponieść kosztów udziału w procedurze przetargowej, a także zapewnić finansowania niezbędnego do realizacji umowy o udzielenie zamówienia publicznego. </w:t>
            </w:r>
            <w:r w:rsidR="004957C4">
              <w:rPr>
                <w:rFonts w:ascii="Times New Roman" w:hAnsi="Times New Roman"/>
              </w:rPr>
              <w:t>Wskazuje to na potrzebę podjęcia</w:t>
            </w:r>
            <w:r>
              <w:rPr>
                <w:rFonts w:ascii="Times New Roman" w:hAnsi="Times New Roman"/>
              </w:rPr>
              <w:t xml:space="preserve"> działań legislacyjnych </w:t>
            </w:r>
            <w:r w:rsidR="004957C4">
              <w:rPr>
                <w:rFonts w:ascii="Times New Roman" w:hAnsi="Times New Roman"/>
              </w:rPr>
              <w:t>mających na celu</w:t>
            </w:r>
            <w:r>
              <w:rPr>
                <w:rFonts w:ascii="Times New Roman" w:hAnsi="Times New Roman"/>
              </w:rPr>
              <w:t xml:space="preserve"> usunięci</w:t>
            </w:r>
            <w:r w:rsidR="004957C4">
              <w:rPr>
                <w:rFonts w:ascii="Times New Roman" w:hAnsi="Times New Roman"/>
              </w:rPr>
              <w:t>e</w:t>
            </w:r>
            <w:r>
              <w:rPr>
                <w:rFonts w:ascii="Times New Roman" w:hAnsi="Times New Roman"/>
              </w:rPr>
              <w:t xml:space="preserve"> potencjalnych barier w dostępie wykonawców do zamówień publicznych w okresie występowania COVID-19.</w:t>
            </w:r>
          </w:p>
          <w:p w:rsidR="00BF60EF" w:rsidRDefault="004E7534" w:rsidP="009A03C0">
            <w:pPr>
              <w:spacing w:after="120" w:line="240" w:lineRule="auto"/>
              <w:jc w:val="both"/>
              <w:rPr>
                <w:rFonts w:ascii="Times New Roman" w:hAnsi="Times New Roman"/>
                <w:color w:val="000000"/>
              </w:rPr>
            </w:pPr>
            <w:r>
              <w:rPr>
                <w:rFonts w:ascii="Times New Roman" w:hAnsi="Times New Roman"/>
              </w:rPr>
              <w:t xml:space="preserve">Problemy związane z rozprzestrzenianiem się COVID-19 dotykają również jednostki samorządu terytorialnego, które podejmują wysiłki w celu minimalizacji negatywnego wpływu pandemii na ich funkcjonowanie. </w:t>
            </w:r>
            <w:r w:rsidR="00DE72D8" w:rsidRPr="0072514F">
              <w:rPr>
                <w:rFonts w:ascii="Times New Roman" w:hAnsi="Times New Roman"/>
                <w:color w:val="000000"/>
              </w:rPr>
              <w:t xml:space="preserve">Efekty walki </w:t>
            </w:r>
            <w:r>
              <w:rPr>
                <w:rFonts w:ascii="Times New Roman" w:hAnsi="Times New Roman"/>
                <w:color w:val="000000"/>
              </w:rPr>
              <w:t>z</w:t>
            </w:r>
            <w:r w:rsidR="00AF69A3">
              <w:rPr>
                <w:rFonts w:ascii="Times New Roman" w:hAnsi="Times New Roman"/>
                <w:color w:val="000000"/>
              </w:rPr>
              <w:t> </w:t>
            </w:r>
            <w:r>
              <w:rPr>
                <w:rFonts w:ascii="Times New Roman" w:hAnsi="Times New Roman"/>
                <w:color w:val="000000"/>
              </w:rPr>
              <w:t xml:space="preserve">pandemią </w:t>
            </w:r>
            <w:r w:rsidR="00DE72D8" w:rsidRPr="0072514F">
              <w:rPr>
                <w:rFonts w:ascii="Times New Roman" w:hAnsi="Times New Roman"/>
                <w:color w:val="000000"/>
              </w:rPr>
              <w:t>będą widoczne w budżetach samorządów zarówno po stronie kosztowej, wynikającej ze zwiększonych wydatków na opiekę zdrowotną, opiekę nad osobami starszymi i samotnymi, pomoc dla przedsiębiorców czy dezynfekcję, jak i po stronie przychodowej z uwagi na spadek d</w:t>
            </w:r>
            <w:r>
              <w:rPr>
                <w:rFonts w:ascii="Times New Roman" w:hAnsi="Times New Roman"/>
                <w:color w:val="000000"/>
              </w:rPr>
              <w:t>ochodów własnych, wpływów z PIT i</w:t>
            </w:r>
            <w:r w:rsidR="00DE72D8" w:rsidRPr="0072514F">
              <w:rPr>
                <w:rFonts w:ascii="Times New Roman" w:hAnsi="Times New Roman"/>
                <w:color w:val="000000"/>
              </w:rPr>
              <w:t xml:space="preserve"> CIT, sprzedaży biletów, czynszów, podatku od nieruchomości. Lokalne władze obawiają się, że ubytek dochodów własnych JST może wynieść aż 10%, co oznaczałoby skurczenie się budżetów aż o 13,5 mld zł w skali kraju. W związku z tym należy podjąć działania mające na celu </w:t>
            </w:r>
            <w:r w:rsidR="00DE72D8" w:rsidRPr="00AE54DD">
              <w:rPr>
                <w:rFonts w:ascii="Times New Roman" w:hAnsi="Times New Roman"/>
                <w:color w:val="000000"/>
              </w:rPr>
              <w:t>wsparcie</w:t>
            </w:r>
            <w:r w:rsidR="00DE72D8" w:rsidRPr="0072514F">
              <w:rPr>
                <w:rFonts w:ascii="Times New Roman" w:hAnsi="Times New Roman"/>
                <w:color w:val="000000"/>
              </w:rPr>
              <w:t xml:space="preserve"> budżetów jednostek samorządu w wielu aspektach </w:t>
            </w:r>
            <w:r w:rsidR="00DE72D8">
              <w:rPr>
                <w:rFonts w:ascii="Times New Roman" w:hAnsi="Times New Roman"/>
                <w:color w:val="000000"/>
              </w:rPr>
              <w:t>–</w:t>
            </w:r>
            <w:r w:rsidR="00DE72D8" w:rsidRPr="0072514F">
              <w:rPr>
                <w:rFonts w:ascii="Times New Roman" w:hAnsi="Times New Roman"/>
                <w:color w:val="000000"/>
              </w:rPr>
              <w:t xml:space="preserve"> </w:t>
            </w:r>
            <w:r w:rsidR="00DE72D8">
              <w:rPr>
                <w:rFonts w:ascii="Times New Roman" w:hAnsi="Times New Roman"/>
                <w:color w:val="000000"/>
              </w:rPr>
              <w:t>od rozluźnienia rygorów fiskalnych, przez rozwiązania płynnościowe po</w:t>
            </w:r>
            <w:r w:rsidR="00DE72D8" w:rsidRPr="0072514F">
              <w:rPr>
                <w:rFonts w:ascii="Times New Roman" w:hAnsi="Times New Roman"/>
                <w:color w:val="000000"/>
              </w:rPr>
              <w:t xml:space="preserve"> pozyskanie dodatkowych dochodów lub wygenerowanie </w:t>
            </w:r>
            <w:r w:rsidR="00BF60EF" w:rsidRPr="0072514F">
              <w:rPr>
                <w:rFonts w:ascii="Times New Roman" w:hAnsi="Times New Roman"/>
                <w:color w:val="000000"/>
              </w:rPr>
              <w:t xml:space="preserve">oszczędności. </w:t>
            </w:r>
          </w:p>
          <w:p w:rsidR="00157F4D" w:rsidRDefault="00984882" w:rsidP="00157F4D">
            <w:pPr>
              <w:spacing w:after="120" w:line="240" w:lineRule="auto"/>
              <w:jc w:val="both"/>
              <w:rPr>
                <w:rFonts w:ascii="Times New Roman" w:hAnsi="Times New Roman"/>
                <w:color w:val="000000"/>
              </w:rPr>
            </w:pPr>
            <w:r>
              <w:rPr>
                <w:rFonts w:ascii="Times New Roman" w:hAnsi="Times New Roman"/>
                <w:color w:val="000000"/>
              </w:rPr>
              <w:t>W</w:t>
            </w:r>
            <w:r w:rsidR="005A5646" w:rsidRPr="001E216B">
              <w:rPr>
                <w:rFonts w:ascii="Times New Roman" w:hAnsi="Times New Roman"/>
                <w:color w:val="000000"/>
              </w:rPr>
              <w:t xml:space="preserve"> związku z epidemią COVID-19</w:t>
            </w:r>
            <w:r>
              <w:rPr>
                <w:rFonts w:ascii="Times New Roman" w:hAnsi="Times New Roman"/>
                <w:color w:val="000000"/>
              </w:rPr>
              <w:t xml:space="preserve"> w trudnej sytua</w:t>
            </w:r>
            <w:r w:rsidR="00B106F8">
              <w:rPr>
                <w:rFonts w:ascii="Times New Roman" w:hAnsi="Times New Roman"/>
                <w:color w:val="000000"/>
              </w:rPr>
              <w:t>cji znaleźli się kredytobiorcy. Oferowane przede wszystkim przez instytucje finansowe odraczanie terminów spłaty rat kredytów, tzw. „wakacje kredytowe”</w:t>
            </w:r>
            <w:r w:rsidR="002A7092">
              <w:rPr>
                <w:rFonts w:ascii="Times New Roman" w:hAnsi="Times New Roman"/>
                <w:color w:val="000000"/>
              </w:rPr>
              <w:t>,</w:t>
            </w:r>
            <w:r w:rsidR="00B106F8">
              <w:rPr>
                <w:rFonts w:ascii="Times New Roman" w:hAnsi="Times New Roman"/>
                <w:color w:val="000000"/>
              </w:rPr>
              <w:t xml:space="preserve"> nie spełniają w</w:t>
            </w:r>
            <w:r w:rsidR="004D2EEE">
              <w:rPr>
                <w:rFonts w:ascii="Times New Roman" w:hAnsi="Times New Roman"/>
                <w:color w:val="000000"/>
              </w:rPr>
              <w:t> </w:t>
            </w:r>
            <w:r w:rsidR="00B106F8">
              <w:rPr>
                <w:rFonts w:ascii="Times New Roman" w:hAnsi="Times New Roman"/>
                <w:color w:val="000000"/>
              </w:rPr>
              <w:t>oczekiwanym zakresie swojego zadania, jakim jest pomoc tym kredytobiorcom</w:t>
            </w:r>
            <w:r w:rsidR="00157F4D">
              <w:rPr>
                <w:rFonts w:ascii="Times New Roman" w:hAnsi="Times New Roman"/>
                <w:color w:val="000000"/>
              </w:rPr>
              <w:t>, zwłaszcza osobom, które utraciły pracę lub inne główne źródło dochodu w wyniku epidemii.</w:t>
            </w:r>
            <w:r w:rsidR="00157F4D" w:rsidRPr="001E216B">
              <w:rPr>
                <w:rFonts w:ascii="Times New Roman" w:hAnsi="Times New Roman"/>
                <w:color w:val="000000"/>
              </w:rPr>
              <w:t xml:space="preserve"> </w:t>
            </w:r>
            <w:r w:rsidR="00157F4D">
              <w:rPr>
                <w:rFonts w:ascii="Times New Roman" w:hAnsi="Times New Roman"/>
                <w:color w:val="000000"/>
              </w:rPr>
              <w:t>Oszacowanie liczby takich osób jest na obecny moment dość trudne. W Unii Europejskiej w I kwartale 2020 r. PKB spadło o 3,5 % (wstępne dane EUROSTAT). Przewiduje się, że w II kwartale 2020 r. spadek ten będzie jeszcze większy. Zgodnie z prognozami zawartymi w Programie Konwergencji (Aktualizacja 2020) wyraźne osłabienie aktywności gospodarczej w Polsce przełoży się na pogorszenie sytuacji na rynku pracy. Zmniejszy się liczba pracujących, spadnie dynamika nominalnych wynagrodzeń, wzrośnie bezrobocie. W efekcie prognozuje się spadek PKB w 2020 r. o 3,4 %. W związku z tym istnieje potrzeba podjęcia działań mających na celu ułatwienie dostępu do wakacji kredytowych kredytobiorcom, którzy utracili pracę lub inne główne źródło dochodu.</w:t>
            </w:r>
          </w:p>
          <w:p w:rsidR="00AF1BCB" w:rsidRDefault="00904480" w:rsidP="00DC0FE5">
            <w:pPr>
              <w:spacing w:after="120" w:line="240" w:lineRule="auto"/>
              <w:jc w:val="both"/>
              <w:rPr>
                <w:rFonts w:ascii="Times New Roman" w:hAnsi="Times New Roman"/>
                <w:color w:val="000000"/>
              </w:rPr>
            </w:pPr>
            <w:r w:rsidRPr="002A0689">
              <w:rPr>
                <w:rFonts w:ascii="Times New Roman" w:hAnsi="Times New Roman"/>
                <w:color w:val="000000"/>
              </w:rPr>
              <w:t xml:space="preserve">W związku z koniecznością wprowadzenia ograniczeń, związanych bezpośrednio z rozprzestrzenianiem się </w:t>
            </w:r>
            <w:r w:rsidR="002A0689">
              <w:rPr>
                <w:rFonts w:ascii="Times New Roman" w:hAnsi="Times New Roman"/>
                <w:color w:val="000000"/>
              </w:rPr>
              <w:t>COVID-19</w:t>
            </w:r>
            <w:r w:rsidRPr="002A0689">
              <w:rPr>
                <w:rFonts w:ascii="Times New Roman" w:hAnsi="Times New Roman"/>
                <w:color w:val="000000"/>
              </w:rPr>
              <w:t>, wiele przedsiębiorstw (szczególnie z sektora mikro, małych i średnich przedsiębiorstw) spotkało się ze spadkiem obrotów gospodarczych, co w przypadku utrzymywania kosztów pracowniczych na dotychczasowym poziomie może w</w:t>
            </w:r>
            <w:r w:rsidR="00AF69A3">
              <w:rPr>
                <w:rFonts w:ascii="Times New Roman" w:hAnsi="Times New Roman"/>
                <w:color w:val="000000"/>
              </w:rPr>
              <w:t> </w:t>
            </w:r>
            <w:r w:rsidRPr="002A0689">
              <w:rPr>
                <w:rFonts w:ascii="Times New Roman" w:hAnsi="Times New Roman"/>
                <w:color w:val="000000"/>
              </w:rPr>
              <w:t xml:space="preserve">perspektywie kilku- lub kilkunastotygodniowej przełożyć się na utratę płynności finansowej przez przedsiębiorstwa. Szczególnie dotknięta jest branża usługowa i handlowa, gdzie koszty pracy obejmujące wynagrodzenie oraz inne związane z zatrudnieniem stanowią ponad połowę wszystkich kosztów operacyjnych. </w:t>
            </w:r>
            <w:r w:rsidR="00694A36" w:rsidRPr="002A0689">
              <w:rPr>
                <w:rFonts w:ascii="Times New Roman" w:hAnsi="Times New Roman"/>
                <w:color w:val="000000"/>
              </w:rPr>
              <w:t>Przedsiębiorcy, których działalność charakteryzuje się wysokim udziałem funduszu p</w:t>
            </w:r>
            <w:r w:rsidR="00475799">
              <w:rPr>
                <w:rFonts w:ascii="Times New Roman" w:hAnsi="Times New Roman"/>
                <w:color w:val="000000"/>
              </w:rPr>
              <w:t>ł</w:t>
            </w:r>
            <w:r w:rsidR="00694A36" w:rsidRPr="002A0689">
              <w:rPr>
                <w:rFonts w:ascii="Times New Roman" w:hAnsi="Times New Roman"/>
                <w:color w:val="000000"/>
              </w:rPr>
              <w:t xml:space="preserve">ac (udział kosztów wynagrodzeń w przychodach przekracza 30 %) są bowiem szczególnie narażeni w okresie spadku popytu na oferowane przez nich towary i usługi. Istnieje potrzeba dopasowania prowadzonej działalności do obecnych uwarunkowań prawno-gospodarczych, a także zapewnienia ochrony miejsc pracy. </w:t>
            </w:r>
            <w:r w:rsidR="00495190" w:rsidRPr="002A0689">
              <w:rPr>
                <w:rFonts w:ascii="Times New Roman" w:hAnsi="Times New Roman"/>
                <w:color w:val="000000"/>
              </w:rPr>
              <w:t xml:space="preserve">W celu ograniczenia przez przedsiębiorców skutków wystąpienia spadku obrotów gospodarczych oraz ograniczenia do minimum ryzyka zarażenia się COVID-19 wśród pracowników, a także zachowania miejsc pracy i dotychczasowych warunków wynagradzania w wielu branżach niezbędna jest reorganizacja czasu pracy. </w:t>
            </w:r>
          </w:p>
          <w:p w:rsidR="0067661A" w:rsidRDefault="0067661A" w:rsidP="002A0689">
            <w:pPr>
              <w:spacing w:after="120" w:line="240" w:lineRule="auto"/>
              <w:jc w:val="both"/>
              <w:rPr>
                <w:rFonts w:ascii="Times New Roman" w:hAnsi="Times New Roman"/>
                <w:color w:val="000000"/>
              </w:rPr>
            </w:pPr>
            <w:r>
              <w:rPr>
                <w:rFonts w:ascii="Times New Roman" w:hAnsi="Times New Roman"/>
                <w:color w:val="000000"/>
              </w:rPr>
              <w:t>Wprowadzone w trosce o zdrowie publiczne i bezpieczeństwo obywateli ograniczenia w prowadzeniu działalności gospodarczej niosą negatywne konsekwencje dla rozwoju gospodarczego kraju. Dlatego też należy podjąć działania, których efektem będzie zachęcenie przedsiębiorców do podjęcia działalności inwestycyjnej, niwelującej szkody, które poniosła</w:t>
            </w:r>
            <w:r w:rsidR="00AF6CFA">
              <w:rPr>
                <w:rFonts w:ascii="Times New Roman" w:hAnsi="Times New Roman"/>
                <w:color w:val="000000"/>
              </w:rPr>
              <w:t xml:space="preserve"> gospodarka z powodu epidemii.</w:t>
            </w:r>
          </w:p>
          <w:p w:rsidR="00AE7BE3" w:rsidRDefault="00AE7BE3" w:rsidP="002A0689">
            <w:pPr>
              <w:spacing w:after="120" w:line="240" w:lineRule="auto"/>
              <w:jc w:val="both"/>
              <w:rPr>
                <w:rFonts w:ascii="Times New Roman" w:hAnsi="Times New Roman"/>
                <w:color w:val="000000"/>
              </w:rPr>
            </w:pPr>
            <w:r>
              <w:rPr>
                <w:rFonts w:ascii="Times New Roman" w:hAnsi="Times New Roman"/>
                <w:color w:val="000000"/>
              </w:rPr>
              <w:t>Zidentyfikowano ponadto wzrost ryzyka przejęć spółek przez inwestorów zagranicznych w wyniku pogarszającej się sytuacji gospodarczej wywołanej pa</w:t>
            </w:r>
            <w:r w:rsidR="00C57242">
              <w:rPr>
                <w:rFonts w:ascii="Times New Roman" w:hAnsi="Times New Roman"/>
                <w:color w:val="000000"/>
              </w:rPr>
              <w:t>n</w:t>
            </w:r>
            <w:r w:rsidR="00A127B8">
              <w:rPr>
                <w:rFonts w:ascii="Times New Roman" w:hAnsi="Times New Roman"/>
                <w:color w:val="000000"/>
              </w:rPr>
              <w:t>demią CO</w:t>
            </w:r>
            <w:r>
              <w:rPr>
                <w:rFonts w:ascii="Times New Roman" w:hAnsi="Times New Roman"/>
                <w:color w:val="000000"/>
              </w:rPr>
              <w:t>V</w:t>
            </w:r>
            <w:r w:rsidR="00A127B8">
              <w:rPr>
                <w:rFonts w:ascii="Times New Roman" w:hAnsi="Times New Roman"/>
                <w:color w:val="000000"/>
              </w:rPr>
              <w:t>ID</w:t>
            </w:r>
            <w:r>
              <w:rPr>
                <w:rFonts w:ascii="Times New Roman" w:hAnsi="Times New Roman"/>
                <w:color w:val="000000"/>
              </w:rPr>
              <w:t xml:space="preserve">-19, </w:t>
            </w:r>
            <w:r w:rsidR="00A127B8">
              <w:rPr>
                <w:rFonts w:ascii="Times New Roman" w:hAnsi="Times New Roman"/>
                <w:color w:val="000000"/>
              </w:rPr>
              <w:t xml:space="preserve">wpływającą m.in. na zwiększenie ryzyka obniżenia poziomu płynności finansowej przedsiębiorstw, </w:t>
            </w:r>
            <w:r>
              <w:rPr>
                <w:rFonts w:ascii="Times New Roman" w:hAnsi="Times New Roman"/>
                <w:color w:val="000000"/>
              </w:rPr>
              <w:t xml:space="preserve">co jest szczególnie </w:t>
            </w:r>
            <w:r w:rsidR="00C57242">
              <w:rPr>
                <w:rFonts w:ascii="Times New Roman" w:hAnsi="Times New Roman"/>
                <w:color w:val="000000"/>
              </w:rPr>
              <w:t>istotne</w:t>
            </w:r>
            <w:r>
              <w:rPr>
                <w:rFonts w:ascii="Times New Roman" w:hAnsi="Times New Roman"/>
                <w:color w:val="000000"/>
              </w:rPr>
              <w:t xml:space="preserve"> w przypadku spółek o </w:t>
            </w:r>
            <w:r w:rsidR="00761C40">
              <w:rPr>
                <w:rFonts w:ascii="Times New Roman" w:hAnsi="Times New Roman"/>
                <w:color w:val="000000"/>
              </w:rPr>
              <w:t xml:space="preserve">strategicznym </w:t>
            </w:r>
            <w:r>
              <w:rPr>
                <w:rFonts w:ascii="Times New Roman" w:hAnsi="Times New Roman"/>
                <w:color w:val="000000"/>
              </w:rPr>
              <w:t>znaczeniu dla zapewnienia bezpieczeństwa, porządku i zdrowia publicznego.</w:t>
            </w:r>
            <w:r w:rsidR="00C57242">
              <w:rPr>
                <w:rFonts w:ascii="Times New Roman" w:hAnsi="Times New Roman"/>
                <w:color w:val="000000"/>
              </w:rPr>
              <w:t xml:space="preserve"> Działania służące przeciwdziałaniu zjawisku nieuczciwej konkurencji rozpoczęła także Komisja Europejska.</w:t>
            </w:r>
            <w:r w:rsidR="00A127B8">
              <w:rPr>
                <w:rFonts w:ascii="Times New Roman" w:hAnsi="Times New Roman"/>
                <w:color w:val="000000"/>
              </w:rPr>
              <w:t xml:space="preserve"> </w:t>
            </w:r>
          </w:p>
          <w:p w:rsidR="006818D6" w:rsidRDefault="00125584" w:rsidP="000E5496">
            <w:pPr>
              <w:spacing w:after="120" w:line="240" w:lineRule="auto"/>
              <w:jc w:val="both"/>
              <w:rPr>
                <w:rFonts w:ascii="Times New Roman" w:hAnsi="Times New Roman"/>
                <w:color w:val="000000"/>
              </w:rPr>
            </w:pPr>
            <w:r w:rsidRPr="003705F7">
              <w:rPr>
                <w:rFonts w:ascii="Times New Roman" w:hAnsi="Times New Roman"/>
                <w:color w:val="000000"/>
              </w:rPr>
              <w:t>W związku z nadzwyczajnymi okolicznościami wynikającymi z COVID-19 istnieje potrzeba dostosowania aktów prawnych z różnych obszarów do nowego otoczenia społeczno-gospodarczego</w:t>
            </w:r>
            <w:r w:rsidR="00C13EED">
              <w:rPr>
                <w:rFonts w:ascii="Times New Roman" w:hAnsi="Times New Roman"/>
                <w:color w:val="000000"/>
              </w:rPr>
              <w:t>, wyjaśnienia zgłaszanych wątpliwości interpretacyjnych niektórych przepisów</w:t>
            </w:r>
            <w:r w:rsidRPr="003705F7">
              <w:rPr>
                <w:rFonts w:ascii="Times New Roman" w:hAnsi="Times New Roman"/>
                <w:color w:val="000000"/>
              </w:rPr>
              <w:t>.</w:t>
            </w:r>
            <w:r w:rsidR="003705F7">
              <w:rPr>
                <w:rFonts w:ascii="Times New Roman" w:hAnsi="Times New Roman"/>
                <w:color w:val="000000"/>
              </w:rPr>
              <w:t xml:space="preserve"> Przykładowo, a</w:t>
            </w:r>
            <w:r w:rsidR="00131DBA">
              <w:rPr>
                <w:rFonts w:ascii="Times New Roman" w:hAnsi="Times New Roman"/>
                <w:color w:val="000000"/>
              </w:rPr>
              <w:t>ktualnie z tzw. świadczenia postojowego mogą korzystać jedynie przedsiębiorcy, którzy nie podlegają ubezpieczeniu z innego tytułu. Z</w:t>
            </w:r>
            <w:r w:rsidR="003705F7">
              <w:rPr>
                <w:rFonts w:ascii="Times New Roman" w:hAnsi="Times New Roman"/>
                <w:color w:val="000000"/>
              </w:rPr>
              <w:t> </w:t>
            </w:r>
            <w:r w:rsidR="00131DBA">
              <w:rPr>
                <w:rFonts w:ascii="Times New Roman" w:hAnsi="Times New Roman"/>
                <w:color w:val="000000"/>
              </w:rPr>
              <w:t>pomocy nie mogą zatem skorzystać przedsiębiorcy, którzy prowadzą działalność gospodarczą i jednocześnie podlegają ubezpieczeniom społecznym z</w:t>
            </w:r>
            <w:r w:rsidR="00AF69A3">
              <w:rPr>
                <w:rFonts w:ascii="Times New Roman" w:hAnsi="Times New Roman"/>
                <w:color w:val="000000"/>
              </w:rPr>
              <w:t> </w:t>
            </w:r>
            <w:r w:rsidR="00131DBA">
              <w:rPr>
                <w:rFonts w:ascii="Times New Roman" w:hAnsi="Times New Roman"/>
                <w:color w:val="000000"/>
              </w:rPr>
              <w:t>innych tytułów. Co więcej, przedsiębiorca jest zobowiązany do składania co miesiąc oświadczenia o zatrudnianiu w</w:t>
            </w:r>
            <w:r w:rsidR="00AF69A3">
              <w:rPr>
                <w:rFonts w:ascii="Times New Roman" w:hAnsi="Times New Roman"/>
                <w:color w:val="000000"/>
              </w:rPr>
              <w:t> </w:t>
            </w:r>
            <w:r w:rsidR="00131DBA">
              <w:rPr>
                <w:rFonts w:ascii="Times New Roman" w:hAnsi="Times New Roman"/>
                <w:color w:val="000000"/>
              </w:rPr>
              <w:t xml:space="preserve">danym miesiącu pracowników wraz z kosztami wynagrodzeń każdego z pracowników pomimo, że złożył ww. dokument we wniosku o dofinansowanie. </w:t>
            </w:r>
            <w:r w:rsidR="003705F7">
              <w:rPr>
                <w:rFonts w:ascii="Times New Roman" w:hAnsi="Times New Roman"/>
                <w:color w:val="000000"/>
              </w:rPr>
              <w:t>Dokumenty zawierają zazwyczaj</w:t>
            </w:r>
            <w:r w:rsidR="00131DBA" w:rsidRPr="00131DBA">
              <w:rPr>
                <w:rFonts w:ascii="Times New Roman" w:hAnsi="Times New Roman"/>
                <w:color w:val="000000"/>
              </w:rPr>
              <w:t xml:space="preserve"> identyczne dane jak te złożone już raz do wni</w:t>
            </w:r>
            <w:r w:rsidR="003705F7">
              <w:rPr>
                <w:rFonts w:ascii="Times New Roman" w:hAnsi="Times New Roman"/>
                <w:color w:val="000000"/>
              </w:rPr>
              <w:t>osku o dofinansowanie. Ponadto k</w:t>
            </w:r>
            <w:r w:rsidR="00131DBA" w:rsidRPr="00131DBA">
              <w:rPr>
                <w:rFonts w:ascii="Times New Roman" w:hAnsi="Times New Roman"/>
                <w:color w:val="000000"/>
              </w:rPr>
              <w:t>onieczność przedkładania ww. dokumentów na ostatni dzień miesiąca oznacza wydłużenie okresu wypłaty transz co ma istotne znaczenie z punktu widzenia zachowania miejsc pracy i</w:t>
            </w:r>
            <w:r w:rsidR="00AF69A3">
              <w:rPr>
                <w:rFonts w:ascii="Times New Roman" w:hAnsi="Times New Roman"/>
                <w:color w:val="000000"/>
              </w:rPr>
              <w:t> </w:t>
            </w:r>
            <w:r w:rsidR="00131DBA" w:rsidRPr="00131DBA">
              <w:rPr>
                <w:rFonts w:ascii="Times New Roman" w:hAnsi="Times New Roman"/>
                <w:color w:val="000000"/>
              </w:rPr>
              <w:t>przeciwdziałania negatywnym skutkom COVID-19</w:t>
            </w:r>
            <w:r w:rsidR="003705F7">
              <w:rPr>
                <w:rFonts w:ascii="Times New Roman" w:hAnsi="Times New Roman"/>
                <w:color w:val="000000"/>
              </w:rPr>
              <w:t>.</w:t>
            </w:r>
            <w:r w:rsidR="00C13EED">
              <w:rPr>
                <w:rFonts w:ascii="Times New Roman" w:hAnsi="Times New Roman"/>
                <w:color w:val="000000"/>
              </w:rPr>
              <w:t xml:space="preserve"> Zidentyfikowano także nieefektywność procesu składania wniosków do ZUS o zwolnienie ze składek na ubezpieczenia społeczne, dopłaty do świadczenia postojowego i</w:t>
            </w:r>
            <w:r w:rsidR="00AF69A3">
              <w:rPr>
                <w:rFonts w:ascii="Times New Roman" w:hAnsi="Times New Roman"/>
                <w:color w:val="000000"/>
              </w:rPr>
              <w:t> </w:t>
            </w:r>
            <w:r w:rsidR="00C13EED">
              <w:rPr>
                <w:rFonts w:ascii="Times New Roman" w:hAnsi="Times New Roman"/>
                <w:color w:val="000000"/>
              </w:rPr>
              <w:t>przyznania ulg (odroczenie płatności albo rozłożenie jej na raty)</w:t>
            </w:r>
            <w:r w:rsidR="00AC63A3">
              <w:rPr>
                <w:rFonts w:ascii="Times New Roman" w:hAnsi="Times New Roman"/>
                <w:color w:val="000000"/>
              </w:rPr>
              <w:t>.</w:t>
            </w:r>
            <w:r w:rsidR="00C13EED">
              <w:rPr>
                <w:rFonts w:ascii="Times New Roman" w:hAnsi="Times New Roman"/>
                <w:color w:val="000000"/>
              </w:rPr>
              <w:t xml:space="preserve"> Wnioski papierowe są znacznie częściej obarczone błędami, które uniemożliwiają sprawną realizację pomocy, wymagają kontaktu z klientem i ponownego złożenia wniosku (50 % papierowych wniosków zawiera błędy, elektronicznych – 20 %</w:t>
            </w:r>
            <w:r w:rsidR="00C13EED">
              <w:rPr>
                <w:rStyle w:val="Odwoanieprzypisudolnego"/>
                <w:rFonts w:ascii="Times New Roman" w:hAnsi="Times New Roman"/>
                <w:color w:val="000000"/>
              </w:rPr>
              <w:footnoteReference w:id="2"/>
            </w:r>
            <w:r w:rsidR="00C13EED">
              <w:rPr>
                <w:rFonts w:ascii="Times New Roman" w:hAnsi="Times New Roman"/>
                <w:color w:val="000000"/>
              </w:rPr>
              <w:t>).</w:t>
            </w:r>
            <w:r w:rsidR="0021037E">
              <w:rPr>
                <w:rFonts w:ascii="Times New Roman" w:hAnsi="Times New Roman"/>
                <w:color w:val="000000"/>
              </w:rPr>
              <w:t xml:space="preserve"> </w:t>
            </w:r>
            <w:r w:rsidR="0021037E" w:rsidRPr="0021037E">
              <w:rPr>
                <w:rFonts w:ascii="Times New Roman" w:hAnsi="Times New Roman"/>
                <w:color w:val="000000"/>
              </w:rPr>
              <w:t>Dostosowania do obecnych warunków wymaga także ustawa z dnia 6 czerwca 1997 r. – Kodeks postępowania karnego</w:t>
            </w:r>
            <w:r w:rsidR="000E5496">
              <w:rPr>
                <w:rFonts w:ascii="Times New Roman" w:hAnsi="Times New Roman"/>
                <w:color w:val="000000"/>
              </w:rPr>
              <w:t xml:space="preserve"> w zakresie poszerzenia możliwości zdalnego przeprowadzania wybranych czynności postępowania karnego, jak również Kodeks wykroczeń w zakresie penalizacji takich </w:t>
            </w:r>
            <w:proofErr w:type="spellStart"/>
            <w:r w:rsidR="000E5496">
              <w:rPr>
                <w:rFonts w:ascii="Times New Roman" w:hAnsi="Times New Roman"/>
                <w:color w:val="000000"/>
              </w:rPr>
              <w:t>zachowań</w:t>
            </w:r>
            <w:proofErr w:type="spellEnd"/>
            <w:r w:rsidR="000E5496">
              <w:rPr>
                <w:rFonts w:ascii="Times New Roman" w:hAnsi="Times New Roman"/>
                <w:color w:val="000000"/>
              </w:rPr>
              <w:t xml:space="preserve"> jak włamania na wideokonferencje i zajęcia edukacyjne on-line w celu złośliwego zakłócania ich przebiegu poprzez publiczne prezentowanie treści obscenicznych i wulgarnych oraz ochrony osób zaatakowanych zjawiskiem stalkingu w związku z wykonywaną pracą lub okolicznościami związanymi z pandemią</w:t>
            </w:r>
            <w:r w:rsidR="0021037E" w:rsidRPr="0021037E">
              <w:rPr>
                <w:rFonts w:ascii="Times New Roman" w:hAnsi="Times New Roman"/>
                <w:color w:val="000000"/>
              </w:rPr>
              <w:t>.</w:t>
            </w:r>
            <w:r w:rsidR="00910B7F">
              <w:rPr>
                <w:rFonts w:ascii="Times New Roman" w:hAnsi="Times New Roman"/>
                <w:color w:val="000000"/>
              </w:rPr>
              <w:t xml:space="preserve"> Dostrzeżono także problem konsultacji projektów pouczeń w procedurze cywilnej z sędziami, innymi przedstawicielami zawodów prawniczych, jak też ze specjalistami od komunikacji społecznej i językoznawstwa m.in. ze względu na panujący stan epidemii (termin na wydanie rozporządzenia w sprawie wzorów pouczeń mija 7 sierpnia 2020 r.). Ponadto, d</w:t>
            </w:r>
            <w:r w:rsidR="00910B7F" w:rsidRPr="00910B7F">
              <w:rPr>
                <w:rFonts w:ascii="Times New Roman" w:hAnsi="Times New Roman"/>
                <w:color w:val="000000"/>
              </w:rPr>
              <w:t>rukowanie pouczeń przez sądy w każdym przypadku, gdy ustawa tego wymaga, wiązać się będzie ze znacznym nakładem pracy i kosztami materiałowymi, mimo że mogą być one niedostosowane do realnej sytuacji procesowej stron.</w:t>
            </w:r>
          </w:p>
          <w:p w:rsidR="000E5496" w:rsidRPr="00ED694A" w:rsidRDefault="000E5496" w:rsidP="00460448">
            <w:pPr>
              <w:spacing w:after="120" w:line="240" w:lineRule="auto"/>
              <w:jc w:val="both"/>
              <w:rPr>
                <w:rFonts w:ascii="Times New Roman" w:hAnsi="Times New Roman"/>
                <w:color w:val="000000"/>
              </w:rPr>
            </w:pPr>
            <w:r w:rsidRPr="00ED694A">
              <w:rPr>
                <w:rFonts w:ascii="Times New Roman" w:hAnsi="Times New Roman"/>
                <w:color w:val="000000"/>
              </w:rPr>
              <w:t>W wyniku trwającej pandemii COVID-19 wiele spółek akcyjnych i komandytowo-akcyjnych znalazło się w trudnej sytuacji ekonomicznej. Wiele z nich ogłosiło upadłość, co spowodowało konieczność przeprowadzenia dematerializacji akcji. Wiąże się to z przeprowadzeniem wielu czynności przez spółkę oraz nakłada na nią koszty, które, zwłaszcza w przypadku spółek o rozdrobnionym akcjonariacie, mogą być bardzo wysokie. Tymczasem bardzo często w przypadku ogłoszenia upadłości przez spółkę dochodzi do zakończenia bytu jej osoby prawnej i środki przeznaczane na dematerializację akcji mogłyby być użyte do zaspokojenia wierzycieli. W czasie trwającej pandemii i związanych z nią negatywnych skutków dla gospodarki utrzymywanie obciążeń spółek związanych z dematerializacją akcji nie wydaje się zasadne.</w:t>
            </w:r>
          </w:p>
          <w:p w:rsidR="000E5496" w:rsidRPr="00456864" w:rsidRDefault="000E5496" w:rsidP="00460448">
            <w:pPr>
              <w:spacing w:after="120" w:line="240" w:lineRule="auto"/>
              <w:jc w:val="both"/>
              <w:rPr>
                <w:rFonts w:ascii="Times New Roman" w:hAnsi="Times New Roman"/>
              </w:rPr>
            </w:pPr>
            <w:r w:rsidRPr="00ED694A">
              <w:rPr>
                <w:rFonts w:ascii="Times New Roman" w:hAnsi="Times New Roman"/>
                <w:color w:val="000000"/>
              </w:rPr>
              <w:t xml:space="preserve">Szerzenie się </w:t>
            </w:r>
            <w:proofErr w:type="spellStart"/>
            <w:r w:rsidRPr="00ED694A">
              <w:rPr>
                <w:rFonts w:ascii="Times New Roman" w:hAnsi="Times New Roman"/>
                <w:color w:val="000000"/>
              </w:rPr>
              <w:t>koronawirusa</w:t>
            </w:r>
            <w:proofErr w:type="spellEnd"/>
            <w:r w:rsidRPr="00ED694A">
              <w:rPr>
                <w:rFonts w:ascii="Times New Roman" w:hAnsi="Times New Roman"/>
                <w:color w:val="000000"/>
              </w:rPr>
              <w:t xml:space="preserve"> SARS-CoV-2 wywołuje negatywne skutki ekonomiczne, w wyniku których wiele podmiotów gospodarczych będzie wymagało w najbliższym czasie podjęcia szybkich czynności restrukturyzacyjnych. Oznacza to konieczność uproszczenia postępowania restrukturyzacyjnego z zachowaniem jego maksymalnej efektywności.</w:t>
            </w:r>
          </w:p>
        </w:tc>
      </w:tr>
      <w:tr w:rsidR="00F9477F" w:rsidRPr="008D6E94" w:rsidTr="002A37BC">
        <w:trPr>
          <w:trHeight w:val="142"/>
        </w:trPr>
        <w:tc>
          <w:tcPr>
            <w:tcW w:w="11039" w:type="dxa"/>
            <w:gridSpan w:val="28"/>
            <w:shd w:val="clear" w:color="auto" w:fill="99CCFF"/>
            <w:vAlign w:val="center"/>
          </w:tcPr>
          <w:p w:rsidR="00F9477F" w:rsidRPr="004B4C6E" w:rsidRDefault="00F9477F" w:rsidP="005504A7">
            <w:pPr>
              <w:numPr>
                <w:ilvl w:val="0"/>
                <w:numId w:val="1"/>
              </w:numPr>
              <w:spacing w:line="240" w:lineRule="auto"/>
              <w:ind w:left="318" w:hanging="284"/>
              <w:jc w:val="both"/>
              <w:rPr>
                <w:rFonts w:ascii="Times New Roman" w:hAnsi="Times New Roman"/>
                <w:b/>
                <w:color w:val="000000"/>
              </w:rPr>
            </w:pPr>
            <w:r w:rsidRPr="004B4C6E">
              <w:rPr>
                <w:rFonts w:ascii="Times New Roman" w:hAnsi="Times New Roman"/>
                <w:b/>
                <w:color w:val="000000"/>
                <w:spacing w:val="-2"/>
              </w:rPr>
              <w:t>Rekomendowane rozwiązanie, w tym planowane narzędzia interwencji, i oczekiwany efekt</w:t>
            </w:r>
          </w:p>
        </w:tc>
      </w:tr>
      <w:tr w:rsidR="00F9477F" w:rsidRPr="008D6E94" w:rsidTr="002A37BC">
        <w:trPr>
          <w:trHeight w:val="142"/>
        </w:trPr>
        <w:tc>
          <w:tcPr>
            <w:tcW w:w="11039" w:type="dxa"/>
            <w:gridSpan w:val="28"/>
          </w:tcPr>
          <w:p w:rsidR="00CC5D4D" w:rsidRDefault="00CC5D4D" w:rsidP="004B4C6E">
            <w:pPr>
              <w:spacing w:after="120" w:line="240" w:lineRule="auto"/>
              <w:jc w:val="both"/>
              <w:rPr>
                <w:rFonts w:ascii="Times New Roman" w:hAnsi="Times New Roman"/>
              </w:rPr>
            </w:pPr>
            <w:r>
              <w:rPr>
                <w:rFonts w:ascii="Times New Roman" w:hAnsi="Times New Roman"/>
              </w:rPr>
              <w:t xml:space="preserve">W celu poprawy sytuacji przedsiębiorców dotkniętych skutkami rozprzestrzeniania się </w:t>
            </w:r>
            <w:proofErr w:type="spellStart"/>
            <w:r>
              <w:rPr>
                <w:rFonts w:ascii="Times New Roman" w:hAnsi="Times New Roman"/>
              </w:rPr>
              <w:t>koronawirusa</w:t>
            </w:r>
            <w:proofErr w:type="spellEnd"/>
            <w:r>
              <w:rPr>
                <w:rFonts w:ascii="Times New Roman" w:hAnsi="Times New Roman"/>
              </w:rPr>
              <w:t xml:space="preserve"> powodującego chorobę COVID-19, utrzymania płynności finansowej przedsiębiorców, którzy prowadzą działalność gospodarczą w</w:t>
            </w:r>
            <w:r w:rsidR="00AF69A3">
              <w:rPr>
                <w:rFonts w:ascii="Times New Roman" w:hAnsi="Times New Roman"/>
              </w:rPr>
              <w:t> </w:t>
            </w:r>
            <w:r>
              <w:rPr>
                <w:rFonts w:ascii="Times New Roman" w:hAnsi="Times New Roman"/>
              </w:rPr>
              <w:t xml:space="preserve">zakresie szczególnie narażonym na straty ekonomiczne związane z epidemią, ochrony miejsc pracy i minimalizacji innych negatywnych skutków epidemii, proponuje się podjęcie prac legislacyjnych w formie ustawy, </w:t>
            </w:r>
            <w:r w:rsidR="008D4EF5">
              <w:rPr>
                <w:rFonts w:ascii="Times New Roman" w:hAnsi="Times New Roman"/>
              </w:rPr>
              <w:t>wdrażającej kolejnych</w:t>
            </w:r>
            <w:r>
              <w:rPr>
                <w:rFonts w:ascii="Times New Roman" w:hAnsi="Times New Roman"/>
              </w:rPr>
              <w:t xml:space="preserve"> kilkadziesiąt rozwiązań. Projekt stanowi kontynuację wcześniej podjętych inicjatyw legislacyjnych mających na celu poprawę sytuacji przedsiębiorców dotkniętych skutkami COVID-19</w:t>
            </w:r>
            <w:r w:rsidR="00DD1F89">
              <w:rPr>
                <w:rStyle w:val="Odwoanieprzypisudolnego"/>
                <w:rFonts w:ascii="Times New Roman" w:hAnsi="Times New Roman"/>
              </w:rPr>
              <w:footnoteReference w:id="3"/>
            </w:r>
            <w:r>
              <w:rPr>
                <w:rFonts w:ascii="Times New Roman" w:hAnsi="Times New Roman"/>
              </w:rPr>
              <w:t xml:space="preserve">. </w:t>
            </w:r>
          </w:p>
          <w:p w:rsidR="00CC5D4D" w:rsidRDefault="00CC5D4D" w:rsidP="004B4C6E">
            <w:pPr>
              <w:spacing w:after="120" w:line="240" w:lineRule="auto"/>
              <w:jc w:val="both"/>
              <w:rPr>
                <w:rFonts w:ascii="Times New Roman" w:hAnsi="Times New Roman"/>
              </w:rPr>
            </w:pPr>
            <w:r>
              <w:rPr>
                <w:rFonts w:ascii="Times New Roman" w:hAnsi="Times New Roman"/>
                <w:color w:val="000000"/>
              </w:rPr>
              <w:t>Zaproponowane zmiany mają też na celu wsparcie budżetów jednostek samorządu terytorialnego oraz utrzymanie ciągłości procesu inwestycyjnego.</w:t>
            </w:r>
          </w:p>
          <w:p w:rsidR="00CC5D4D" w:rsidRPr="00BF60EF" w:rsidRDefault="00BF60EF" w:rsidP="00030567">
            <w:pPr>
              <w:pStyle w:val="Akapitzlist"/>
              <w:numPr>
                <w:ilvl w:val="0"/>
                <w:numId w:val="32"/>
              </w:numPr>
              <w:spacing w:after="120" w:line="240" w:lineRule="auto"/>
              <w:rPr>
                <w:rFonts w:ascii="Times New Roman" w:hAnsi="Times New Roman"/>
                <w:b/>
              </w:rPr>
            </w:pPr>
            <w:r w:rsidRPr="00BF60EF">
              <w:rPr>
                <w:rFonts w:ascii="Times New Roman" w:hAnsi="Times New Roman"/>
                <w:b/>
              </w:rPr>
              <w:t>Dopłaty do oprocentowania kredytów bankowych</w:t>
            </w:r>
          </w:p>
          <w:p w:rsidR="000A3A05" w:rsidRPr="004B4C6E" w:rsidRDefault="00BF60EF" w:rsidP="004B4C6E">
            <w:pPr>
              <w:spacing w:after="120" w:line="240" w:lineRule="auto"/>
              <w:jc w:val="both"/>
              <w:rPr>
                <w:rFonts w:ascii="Times New Roman" w:hAnsi="Times New Roman"/>
              </w:rPr>
            </w:pPr>
            <w:r>
              <w:rPr>
                <w:rFonts w:ascii="Times New Roman" w:hAnsi="Times New Roman"/>
              </w:rPr>
              <w:t xml:space="preserve">Jednym z celów </w:t>
            </w:r>
            <w:r w:rsidR="000A3A05" w:rsidRPr="004B4C6E">
              <w:rPr>
                <w:rFonts w:ascii="Times New Roman" w:hAnsi="Times New Roman"/>
              </w:rPr>
              <w:t>projektowanej ustawy jest wprowadzenie zasad stosowania dopłat do oprocentowania kredytów bankowych udzielanych przedsiębiorcom,</w:t>
            </w:r>
            <w:r w:rsidR="00FB7BDB">
              <w:rPr>
                <w:rFonts w:ascii="Times New Roman" w:hAnsi="Times New Roman"/>
              </w:rPr>
              <w:t xml:space="preserve"> w rozumieniu przepisów ustawy z dnia 6 marca 2018 r. Prawo przedsiębiorców (Dz. U. z 2019 r. poz. 1292, z </w:t>
            </w:r>
            <w:proofErr w:type="spellStart"/>
            <w:r w:rsidR="00FB7BDB">
              <w:rPr>
                <w:rFonts w:ascii="Times New Roman" w:hAnsi="Times New Roman"/>
              </w:rPr>
              <w:t>późn</w:t>
            </w:r>
            <w:proofErr w:type="spellEnd"/>
            <w:r w:rsidR="00FB7BDB">
              <w:rPr>
                <w:rFonts w:ascii="Times New Roman" w:hAnsi="Times New Roman"/>
              </w:rPr>
              <w:t xml:space="preserve"> zm.)</w:t>
            </w:r>
            <w:r w:rsidR="000A3A05" w:rsidRPr="004B4C6E">
              <w:rPr>
                <w:rFonts w:ascii="Times New Roman" w:hAnsi="Times New Roman"/>
              </w:rPr>
              <w:t xml:space="preserve"> </w:t>
            </w:r>
            <w:r w:rsidR="003134E3">
              <w:rPr>
                <w:rFonts w:ascii="Times New Roman" w:hAnsi="Times New Roman"/>
              </w:rPr>
              <w:t>oraz</w:t>
            </w:r>
            <w:r w:rsidR="00D334FB" w:rsidRPr="00ED24A5">
              <w:rPr>
                <w:rFonts w:ascii="Times New Roman" w:hAnsi="Times New Roman"/>
              </w:rPr>
              <w:t xml:space="preserve"> </w:t>
            </w:r>
            <w:r w:rsidR="00ED24A5" w:rsidRPr="00ED24A5">
              <w:rPr>
                <w:rFonts w:ascii="Times New Roman" w:hAnsi="Times New Roman"/>
              </w:rPr>
              <w:t xml:space="preserve">podmiotom </w:t>
            </w:r>
            <w:r w:rsidR="00ED24A5" w:rsidRPr="006E030C">
              <w:rPr>
                <w:rFonts w:ascii="Times New Roman" w:hAnsi="Times New Roman"/>
                <w:bCs/>
              </w:rPr>
              <w:t>prowadzącym działalność w sektorze produkcji podstawowej produktów rolnych</w:t>
            </w:r>
            <w:r w:rsidR="00727F8F" w:rsidRPr="00ED24A5">
              <w:rPr>
                <w:rFonts w:ascii="Times New Roman" w:hAnsi="Times New Roman"/>
              </w:rPr>
              <w:t>,</w:t>
            </w:r>
            <w:r w:rsidR="00D334FB">
              <w:rPr>
                <w:rFonts w:ascii="Times New Roman" w:hAnsi="Times New Roman"/>
              </w:rPr>
              <w:t xml:space="preserve"> </w:t>
            </w:r>
            <w:r w:rsidR="000A3A05" w:rsidRPr="004B4C6E">
              <w:rPr>
                <w:rFonts w:ascii="Times New Roman" w:hAnsi="Times New Roman"/>
              </w:rPr>
              <w:t xml:space="preserve">którzy znaleźli się w trudnej sytuacji </w:t>
            </w:r>
            <w:r w:rsidR="00F317FA">
              <w:rPr>
                <w:rFonts w:ascii="Times New Roman" w:hAnsi="Times New Roman"/>
              </w:rPr>
              <w:t>finansowej w związku z ponoszeniem negatywnych konsekwencji ekonomicznych wynikających z</w:t>
            </w:r>
            <w:r w:rsidR="00AE3D10">
              <w:rPr>
                <w:rFonts w:ascii="Times New Roman" w:hAnsi="Times New Roman"/>
              </w:rPr>
              <w:t xml:space="preserve"> rozprzestrzeniania się zakażeń</w:t>
            </w:r>
            <w:r w:rsidR="000A3A05" w:rsidRPr="004B4C6E">
              <w:rPr>
                <w:rFonts w:ascii="Times New Roman" w:hAnsi="Times New Roman"/>
              </w:rPr>
              <w:t xml:space="preserve"> wirusem SARS-CoV-2, powodującym chorobę zakaźną, zwaną dalej „COVID-19”, na podstawie umów zawartych do dnia 31 grudnia 2020 r. Dopłaty do oprocentowania będą stosowane do kredytów obrotowych odnawialnych i nieodnawialnych, udzielanych </w:t>
            </w:r>
            <w:r w:rsidR="00DD1F89" w:rsidRPr="004B4C6E">
              <w:rPr>
                <w:rFonts w:ascii="Times New Roman" w:hAnsi="Times New Roman"/>
              </w:rPr>
              <w:t>w</w:t>
            </w:r>
            <w:r w:rsidR="00DD1F89">
              <w:rPr>
                <w:rFonts w:ascii="Times New Roman" w:hAnsi="Times New Roman"/>
              </w:rPr>
              <w:t> </w:t>
            </w:r>
            <w:r w:rsidR="000A3A05" w:rsidRPr="004B4C6E">
              <w:rPr>
                <w:rFonts w:ascii="Times New Roman" w:hAnsi="Times New Roman"/>
              </w:rPr>
              <w:t xml:space="preserve">złotych, w celu zapewnienia płynności finansowej, w szczególności krótkoterminowej i średnioterminowej, utraconej lub zagrożonej utratą w związku z COVID-19. Dopłaty będzie stosować się do kredytów udzielonych na podstawie umów kredytu zawartych od dnia wejścia w życie ustawy a także do kredytów udzielonych przed dniem wejścia </w:t>
            </w:r>
            <w:r w:rsidR="00DD1F89" w:rsidRPr="004B4C6E">
              <w:rPr>
                <w:rFonts w:ascii="Times New Roman" w:hAnsi="Times New Roman"/>
              </w:rPr>
              <w:t>w</w:t>
            </w:r>
            <w:r w:rsidR="00DD1F89">
              <w:rPr>
                <w:rFonts w:ascii="Times New Roman" w:hAnsi="Times New Roman"/>
              </w:rPr>
              <w:t> </w:t>
            </w:r>
            <w:r w:rsidR="000A3A05" w:rsidRPr="004B4C6E">
              <w:rPr>
                <w:rFonts w:ascii="Times New Roman" w:hAnsi="Times New Roman"/>
              </w:rPr>
              <w:t xml:space="preserve">życie ustawy, jeżeli umowy te zostaną dostosowane do warunków określonych w ustawie. </w:t>
            </w:r>
          </w:p>
          <w:p w:rsidR="00E73A3A" w:rsidRDefault="008D6E94" w:rsidP="00FC6925">
            <w:pPr>
              <w:spacing w:after="120" w:line="240" w:lineRule="auto"/>
              <w:jc w:val="both"/>
              <w:rPr>
                <w:rFonts w:ascii="Times New Roman" w:hAnsi="Times New Roman"/>
                <w:bCs/>
              </w:rPr>
            </w:pPr>
            <w:r w:rsidRPr="004B4C6E">
              <w:rPr>
                <w:rFonts w:ascii="Times New Roman" w:hAnsi="Times New Roman"/>
                <w:bCs/>
              </w:rPr>
              <w:t xml:space="preserve">Wdrożenie dopłat do oprocentowania </w:t>
            </w:r>
            <w:r w:rsidR="00742BBA" w:rsidRPr="004B4C6E">
              <w:rPr>
                <w:rFonts w:ascii="Times New Roman" w:hAnsi="Times New Roman"/>
                <w:bCs/>
              </w:rPr>
              <w:t xml:space="preserve">kredytów bankowych </w:t>
            </w:r>
            <w:r w:rsidRPr="004B4C6E">
              <w:rPr>
                <w:rFonts w:ascii="Times New Roman" w:hAnsi="Times New Roman"/>
                <w:bCs/>
              </w:rPr>
              <w:t xml:space="preserve">umożliwi przetrwanie najtrudniejszego okresu przedsiębiorcom. Przepisy </w:t>
            </w:r>
            <w:r w:rsidR="002A6E1B">
              <w:rPr>
                <w:rFonts w:ascii="Times New Roman" w:hAnsi="Times New Roman"/>
                <w:bCs/>
              </w:rPr>
              <w:t xml:space="preserve">projektu </w:t>
            </w:r>
            <w:r w:rsidRPr="004B4C6E">
              <w:rPr>
                <w:rFonts w:ascii="Times New Roman" w:hAnsi="Times New Roman"/>
                <w:bCs/>
              </w:rPr>
              <w:t>ustawy regulują zasady stosowania dopłat do oprocentowania kredytów, udzielanych przez banki kredytujące, na zapewnienie płynności</w:t>
            </w:r>
            <w:r w:rsidR="00E63C98" w:rsidRPr="004B4C6E">
              <w:rPr>
                <w:rFonts w:ascii="Times New Roman" w:hAnsi="Times New Roman"/>
                <w:bCs/>
              </w:rPr>
              <w:t xml:space="preserve"> lub w przypadku zagrożenia jej utraty,</w:t>
            </w:r>
            <w:r w:rsidRPr="004B4C6E">
              <w:rPr>
                <w:rFonts w:ascii="Times New Roman" w:hAnsi="Times New Roman"/>
                <w:bCs/>
              </w:rPr>
              <w:t xml:space="preserve"> przedsiębiorcom dotknięty</w:t>
            </w:r>
            <w:r w:rsidR="005C0816">
              <w:rPr>
                <w:rFonts w:ascii="Times New Roman" w:hAnsi="Times New Roman"/>
                <w:bCs/>
              </w:rPr>
              <w:t>m</w:t>
            </w:r>
            <w:r w:rsidRPr="004B4C6E">
              <w:rPr>
                <w:rFonts w:ascii="Times New Roman" w:hAnsi="Times New Roman"/>
                <w:bCs/>
              </w:rPr>
              <w:t xml:space="preserve"> skutkami pandemii choroby COVID-19.</w:t>
            </w:r>
          </w:p>
          <w:p w:rsidR="008D4EF5" w:rsidRPr="008D4EF5" w:rsidRDefault="008D4EF5" w:rsidP="00030567">
            <w:pPr>
              <w:pStyle w:val="Akapitzlist"/>
              <w:numPr>
                <w:ilvl w:val="0"/>
                <w:numId w:val="32"/>
              </w:numPr>
              <w:spacing w:after="120" w:line="240" w:lineRule="auto"/>
              <w:rPr>
                <w:rFonts w:ascii="Times New Roman" w:hAnsi="Times New Roman"/>
                <w:b/>
              </w:rPr>
            </w:pPr>
            <w:r w:rsidRPr="008D4EF5">
              <w:rPr>
                <w:rFonts w:ascii="Times New Roman" w:hAnsi="Times New Roman"/>
                <w:b/>
              </w:rPr>
              <w:t xml:space="preserve">Ułatwienia w </w:t>
            </w:r>
            <w:r w:rsidR="00FC7E9A">
              <w:rPr>
                <w:rFonts w:ascii="Times New Roman" w:hAnsi="Times New Roman"/>
                <w:b/>
              </w:rPr>
              <w:t>realizacji</w:t>
            </w:r>
            <w:r w:rsidR="00FC7E9A" w:rsidRPr="008D4EF5">
              <w:rPr>
                <w:rFonts w:ascii="Times New Roman" w:hAnsi="Times New Roman"/>
                <w:b/>
              </w:rPr>
              <w:t xml:space="preserve"> </w:t>
            </w:r>
            <w:r w:rsidRPr="008D4EF5">
              <w:rPr>
                <w:rFonts w:ascii="Times New Roman" w:hAnsi="Times New Roman"/>
                <w:b/>
              </w:rPr>
              <w:t>zamówień publicznych</w:t>
            </w:r>
          </w:p>
          <w:p w:rsidR="00277F1F" w:rsidRDefault="00277F1F" w:rsidP="004E5B35">
            <w:pPr>
              <w:spacing w:after="120" w:line="240" w:lineRule="auto"/>
              <w:jc w:val="both"/>
              <w:rPr>
                <w:rFonts w:ascii="Times New Roman" w:hAnsi="Times New Roman"/>
              </w:rPr>
            </w:pPr>
            <w:r>
              <w:rPr>
                <w:rFonts w:ascii="Times New Roman" w:hAnsi="Times New Roman"/>
              </w:rPr>
              <w:t xml:space="preserve">Efektywne wykorzystanie instrumentu wsparcia przedsiębiorców w postaci zamówień publicznych wymaga dostosowania niektórych elementów procesu udzielania zamówienia publicznego do zmian warunków </w:t>
            </w:r>
            <w:proofErr w:type="spellStart"/>
            <w:r>
              <w:rPr>
                <w:rFonts w:ascii="Times New Roman" w:hAnsi="Times New Roman"/>
              </w:rPr>
              <w:t>społeczno</w:t>
            </w:r>
            <w:proofErr w:type="spellEnd"/>
            <w:r>
              <w:rPr>
                <w:rFonts w:ascii="Times New Roman" w:hAnsi="Times New Roman"/>
              </w:rPr>
              <w:t xml:space="preserve"> – gospodarczych wywołanych COVID-19. Kluczowe znaczenie ma wprowadzenie rozwiązań pozwalających na obniżenie kosztów udziału wykonawców w procedurach przetargowych, a także poprawę ich płynności finansowej na etapie realizacji umowy o udzi</w:t>
            </w:r>
            <w:r w:rsidR="00AE3D10">
              <w:rPr>
                <w:rFonts w:ascii="Times New Roman" w:hAnsi="Times New Roman"/>
              </w:rPr>
              <w:t>elenie zamówienia publicznego.</w:t>
            </w:r>
          </w:p>
          <w:p w:rsidR="00277F1F" w:rsidRDefault="00277F1F" w:rsidP="004E5B35">
            <w:pPr>
              <w:spacing w:line="240" w:lineRule="auto"/>
              <w:jc w:val="both"/>
              <w:rPr>
                <w:rFonts w:ascii="Times New Roman" w:hAnsi="Times New Roman"/>
                <w:spacing w:val="-2"/>
              </w:rPr>
            </w:pPr>
            <w:r>
              <w:rPr>
                <w:rFonts w:ascii="Times New Roman" w:hAnsi="Times New Roman"/>
                <w:spacing w:val="-2"/>
              </w:rPr>
              <w:t>Projekt zawiera następujące propozycje:</w:t>
            </w:r>
          </w:p>
          <w:p w:rsidR="00277F1F" w:rsidRDefault="00277F1F"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Zniesienie obowiązku żądania wadium w postępowaniach o szacunkowej wartości powyżej progów unijnych.</w:t>
            </w:r>
          </w:p>
          <w:p w:rsidR="00277F1F" w:rsidRDefault="00277F1F"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Wprowadzenie obowiązku zapłaty wynagrodzenia w częściach lub udzielania zaliczek w przypadku dłuższych umów o udzielenie zamówienia publicznego</w:t>
            </w:r>
            <w:r w:rsidR="00372968">
              <w:rPr>
                <w:rFonts w:ascii="Times New Roman" w:hAnsi="Times New Roman"/>
                <w:spacing w:val="-2"/>
              </w:rPr>
              <w:t xml:space="preserve">, </w:t>
            </w:r>
            <w:r w:rsidR="00372968" w:rsidRPr="00372968">
              <w:rPr>
                <w:rFonts w:ascii="Times New Roman" w:hAnsi="Times New Roman"/>
                <w:spacing w:val="-2"/>
              </w:rPr>
              <w:t xml:space="preserve">z wyjątkiem </w:t>
            </w:r>
            <w:r w:rsidR="00372968" w:rsidRPr="00372968">
              <w:rPr>
                <w:rFonts w:ascii="Times New Roman" w:eastAsiaTheme="minorHAnsi" w:hAnsi="Times New Roman"/>
                <w:iCs/>
              </w:rPr>
              <w:t>zamówień w dziedzinach obronności i</w:t>
            </w:r>
            <w:r w:rsidR="00AF69A3">
              <w:rPr>
                <w:rFonts w:ascii="Times New Roman" w:eastAsiaTheme="minorHAnsi" w:hAnsi="Times New Roman"/>
                <w:iCs/>
              </w:rPr>
              <w:t> </w:t>
            </w:r>
            <w:r w:rsidR="00372968" w:rsidRPr="00372968">
              <w:rPr>
                <w:rFonts w:ascii="Times New Roman" w:eastAsiaTheme="minorHAnsi" w:hAnsi="Times New Roman"/>
                <w:iCs/>
              </w:rPr>
              <w:t>bezpieczeństwa</w:t>
            </w:r>
            <w:r w:rsidRPr="00372968">
              <w:rPr>
                <w:rFonts w:ascii="Times New Roman" w:hAnsi="Times New Roman"/>
                <w:spacing w:val="-2"/>
              </w:rPr>
              <w:t>.</w:t>
            </w:r>
            <w:r>
              <w:rPr>
                <w:rFonts w:ascii="Times New Roman" w:hAnsi="Times New Roman"/>
                <w:spacing w:val="-2"/>
              </w:rPr>
              <w:t xml:space="preserve"> </w:t>
            </w:r>
          </w:p>
          <w:p w:rsidR="00277F1F" w:rsidRDefault="00277F1F"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Obniżenie dopuszczalnej wysokości</w:t>
            </w:r>
            <w:r w:rsidR="00AE3D10">
              <w:rPr>
                <w:rFonts w:ascii="Times New Roman" w:hAnsi="Times New Roman"/>
                <w:spacing w:val="-2"/>
              </w:rPr>
              <w:t xml:space="preserve"> </w:t>
            </w:r>
            <w:r>
              <w:rPr>
                <w:rFonts w:ascii="Times New Roman" w:hAnsi="Times New Roman"/>
                <w:spacing w:val="-2"/>
              </w:rPr>
              <w:t>zabezpieczenia należytego wykonania umowy.</w:t>
            </w:r>
          </w:p>
          <w:p w:rsidR="00277F1F" w:rsidRDefault="00277F1F"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Ograniczenie dopuszczalności dokonywana potrąceń kar umownych z wynagrodzenia wykonawcy lub innej przysługującej mu wierzytelności, a także dochodzenia przez zamawiających zaspokojenia z zabezpieczenia należytego wykonania umowy.</w:t>
            </w:r>
          </w:p>
          <w:p w:rsidR="0043080C" w:rsidRDefault="00ED372B"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Wstrzymanie rozpoczęcia lub z</w:t>
            </w:r>
            <w:r w:rsidR="00277F1F" w:rsidRPr="00046CD3">
              <w:rPr>
                <w:rFonts w:ascii="Times New Roman" w:hAnsi="Times New Roman"/>
                <w:spacing w:val="-2"/>
              </w:rPr>
              <w:t>awieszenie biegu terminu przedawnienia</w:t>
            </w:r>
            <w:r w:rsidR="00277F1F">
              <w:rPr>
                <w:rFonts w:ascii="Times New Roman" w:hAnsi="Times New Roman"/>
                <w:spacing w:val="-2"/>
              </w:rPr>
              <w:t xml:space="preserve"> roszczeń zamawiających z tytułu kar umownych oraz terminu ważności zabezpieczenia należytego wykonania umowy</w:t>
            </w:r>
            <w:r w:rsidR="0043080C">
              <w:rPr>
                <w:rFonts w:ascii="Times New Roman" w:hAnsi="Times New Roman"/>
                <w:spacing w:val="-2"/>
              </w:rPr>
              <w:t>,</w:t>
            </w:r>
          </w:p>
          <w:p w:rsidR="0043080C" w:rsidRDefault="0043080C"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O</w:t>
            </w:r>
            <w:r w:rsidRPr="0043080C">
              <w:rPr>
                <w:rFonts w:ascii="Times New Roman" w:hAnsi="Times New Roman"/>
                <w:spacing w:val="-2"/>
              </w:rPr>
              <w:t>dejście od fakultatywności dokonywania zmiany umowy na rzecz jej obligatoryjności, w sytuacji gdy zamawiający stwierdzi, że okoliczności związane z COVID-19 wskazane przez wykonawcę mają wpływ na należyte wykonanie umowy</w:t>
            </w:r>
            <w:r>
              <w:rPr>
                <w:rFonts w:ascii="Times New Roman" w:hAnsi="Times New Roman"/>
                <w:spacing w:val="-2"/>
              </w:rPr>
              <w:t>.</w:t>
            </w:r>
          </w:p>
          <w:p w:rsidR="00277F1F" w:rsidRDefault="0043080C" w:rsidP="00456864">
            <w:pPr>
              <w:pStyle w:val="Akapitzlist"/>
              <w:numPr>
                <w:ilvl w:val="0"/>
                <w:numId w:val="59"/>
              </w:numPr>
              <w:spacing w:line="240" w:lineRule="auto"/>
              <w:jc w:val="both"/>
              <w:rPr>
                <w:rFonts w:ascii="Times New Roman" w:hAnsi="Times New Roman"/>
                <w:spacing w:val="-2"/>
              </w:rPr>
            </w:pPr>
            <w:r>
              <w:rPr>
                <w:rFonts w:ascii="Times New Roman" w:hAnsi="Times New Roman"/>
                <w:spacing w:val="-2"/>
              </w:rPr>
              <w:t>Rezygnacja z obowiązku zamieszczania ogłoszenia o zamówieniu w miejscu publicznie dostępnym w siedzibie zamawiającego (obowiązkowe pozostanie zamieszczenie tego ogłoszenia na stronie internetowej)</w:t>
            </w:r>
            <w:r w:rsidR="00277F1F">
              <w:rPr>
                <w:rFonts w:ascii="Times New Roman" w:hAnsi="Times New Roman"/>
                <w:spacing w:val="-2"/>
              </w:rPr>
              <w:t>.</w:t>
            </w:r>
          </w:p>
          <w:p w:rsidR="00277F1F" w:rsidRDefault="00277F1F" w:rsidP="004E5B35">
            <w:pPr>
              <w:spacing w:before="120" w:line="240" w:lineRule="auto"/>
              <w:jc w:val="both"/>
              <w:rPr>
                <w:rFonts w:ascii="Times New Roman" w:hAnsi="Times New Roman"/>
              </w:rPr>
            </w:pPr>
            <w:r>
              <w:rPr>
                <w:rFonts w:ascii="Times New Roman" w:hAnsi="Times New Roman"/>
              </w:rPr>
              <w:t>R</w:t>
            </w:r>
            <w:r w:rsidRPr="004F0491">
              <w:rPr>
                <w:rFonts w:ascii="Times New Roman" w:hAnsi="Times New Roman"/>
              </w:rPr>
              <w:t xml:space="preserve">egulacje dot. </w:t>
            </w:r>
            <w:r>
              <w:rPr>
                <w:rFonts w:ascii="Times New Roman" w:hAnsi="Times New Roman"/>
              </w:rPr>
              <w:t>zniesienia obowiązku żądania wadium w niektórych postępowaniach; wprowadzenia obowiązku zapłaty wynagrodzenia w częściach; ograniczenia dopuszczalności dokonywania potrąceń kar umownych</w:t>
            </w:r>
            <w:r w:rsidRPr="004F0491">
              <w:rPr>
                <w:rFonts w:ascii="Times New Roman" w:hAnsi="Times New Roman"/>
              </w:rPr>
              <w:t xml:space="preserve"> będą zachęcały do startu w przetargach. Mo</w:t>
            </w:r>
            <w:r>
              <w:rPr>
                <w:rFonts w:ascii="Times New Roman" w:hAnsi="Times New Roman"/>
              </w:rPr>
              <w:t>żna więc oczekiwać większej iloś</w:t>
            </w:r>
            <w:r w:rsidRPr="004F0491">
              <w:rPr>
                <w:rFonts w:ascii="Times New Roman" w:hAnsi="Times New Roman"/>
              </w:rPr>
              <w:t>ci ofert.</w:t>
            </w:r>
            <w:r>
              <w:rPr>
                <w:rFonts w:ascii="Times New Roman" w:hAnsi="Times New Roman"/>
              </w:rPr>
              <w:t xml:space="preserve"> </w:t>
            </w:r>
            <w:r w:rsidRPr="004F0491">
              <w:rPr>
                <w:rFonts w:ascii="Times New Roman" w:hAnsi="Times New Roman"/>
              </w:rPr>
              <w:t xml:space="preserve">Badania naukowe </w:t>
            </w:r>
            <w:r>
              <w:rPr>
                <w:rFonts w:ascii="Times New Roman" w:hAnsi="Times New Roman"/>
              </w:rPr>
              <w:t>potwierdzają, że większa iloś</w:t>
            </w:r>
            <w:r w:rsidRPr="004F0491">
              <w:rPr>
                <w:rFonts w:ascii="Times New Roman" w:hAnsi="Times New Roman"/>
              </w:rPr>
              <w:t>ć ofert m</w:t>
            </w:r>
            <w:r>
              <w:rPr>
                <w:rFonts w:ascii="Times New Roman" w:hAnsi="Times New Roman"/>
              </w:rPr>
              <w:t>a pozytywny wpływ na to, jakie ś</w:t>
            </w:r>
            <w:r w:rsidRPr="004F0491">
              <w:rPr>
                <w:rFonts w:ascii="Times New Roman" w:hAnsi="Times New Roman"/>
              </w:rPr>
              <w:t>rodki strona publiczna musi</w:t>
            </w:r>
            <w:r>
              <w:rPr>
                <w:rFonts w:ascii="Times New Roman" w:hAnsi="Times New Roman"/>
              </w:rPr>
              <w:t xml:space="preserve"> przeznaczyć na dane zamówienie (</w:t>
            </w:r>
            <w:r w:rsidRPr="004F0491">
              <w:rPr>
                <w:rFonts w:ascii="Times New Roman" w:hAnsi="Times New Roman"/>
              </w:rPr>
              <w:t>generuje oszczędności</w:t>
            </w:r>
            <w:r>
              <w:rPr>
                <w:rFonts w:ascii="Times New Roman" w:hAnsi="Times New Roman"/>
              </w:rPr>
              <w:t>)</w:t>
            </w:r>
            <w:r w:rsidRPr="004F0491">
              <w:rPr>
                <w:rFonts w:ascii="Times New Roman" w:hAnsi="Times New Roman"/>
              </w:rPr>
              <w:t>.</w:t>
            </w:r>
            <w:r>
              <w:rPr>
                <w:rFonts w:ascii="Times New Roman" w:hAnsi="Times New Roman"/>
              </w:rPr>
              <w:t xml:space="preserve"> Różne szacunki wskazują, że</w:t>
            </w:r>
            <w:r w:rsidR="00AE3D10">
              <w:rPr>
                <w:rFonts w:ascii="Times New Roman" w:hAnsi="Times New Roman"/>
              </w:rPr>
              <w:t xml:space="preserve"> </w:t>
            </w:r>
            <w:r>
              <w:rPr>
                <w:rFonts w:ascii="Times New Roman" w:hAnsi="Times New Roman"/>
              </w:rPr>
              <w:t>j</w:t>
            </w:r>
            <w:r w:rsidRPr="004F0491">
              <w:rPr>
                <w:rFonts w:ascii="Times New Roman" w:hAnsi="Times New Roman"/>
              </w:rPr>
              <w:t xml:space="preserve">edna oferta więcej </w:t>
            </w:r>
            <w:r>
              <w:rPr>
                <w:rFonts w:ascii="Times New Roman" w:hAnsi="Times New Roman"/>
              </w:rPr>
              <w:t xml:space="preserve">w przetargu </w:t>
            </w:r>
            <w:r w:rsidRPr="004F0491">
              <w:rPr>
                <w:rFonts w:ascii="Times New Roman" w:hAnsi="Times New Roman"/>
              </w:rPr>
              <w:t>to około 3-5% mniej wydanych publicznych pieniędzy w danym zamówieniu.</w:t>
            </w:r>
          </w:p>
          <w:p w:rsidR="00277F1F" w:rsidRDefault="00277F1F" w:rsidP="007409E1">
            <w:pPr>
              <w:spacing w:after="120" w:line="240" w:lineRule="auto"/>
              <w:jc w:val="both"/>
              <w:rPr>
                <w:rFonts w:ascii="Times New Roman" w:hAnsi="Times New Roman"/>
                <w:color w:val="000000"/>
              </w:rPr>
            </w:pPr>
            <w:r w:rsidRPr="00CC284E">
              <w:rPr>
                <w:rFonts w:ascii="Times New Roman" w:hAnsi="Times New Roman"/>
              </w:rPr>
              <w:t>Propozycje zmian legislacyjnych przewidzianych w projekcie powinny przyczynić się do z</w:t>
            </w:r>
            <w:r w:rsidRPr="2C09C4A9">
              <w:rPr>
                <w:rFonts w:ascii="Times New Roman" w:hAnsi="Times New Roman"/>
              </w:rPr>
              <w:t>mniejszenia</w:t>
            </w:r>
            <w:r>
              <w:rPr>
                <w:rFonts w:ascii="Times New Roman" w:hAnsi="Times New Roman"/>
              </w:rPr>
              <w:t xml:space="preserve"> kosztów udziału przedsiębiorców w postępowaniach</w:t>
            </w:r>
            <w:r w:rsidRPr="2C09C4A9">
              <w:rPr>
                <w:rFonts w:ascii="Times New Roman" w:hAnsi="Times New Roman"/>
              </w:rPr>
              <w:t xml:space="preserve"> oraz </w:t>
            </w:r>
            <w:r>
              <w:rPr>
                <w:rFonts w:ascii="Times New Roman" w:hAnsi="Times New Roman"/>
              </w:rPr>
              <w:t xml:space="preserve">powinny </w:t>
            </w:r>
            <w:r w:rsidRPr="2C09C4A9">
              <w:rPr>
                <w:rFonts w:ascii="Times New Roman" w:hAnsi="Times New Roman"/>
              </w:rPr>
              <w:t>wpłynąć korzystnie na płynność finansową wykonawców.</w:t>
            </w:r>
            <w:r>
              <w:rPr>
                <w:rFonts w:ascii="Times New Roman" w:hAnsi="Times New Roman"/>
              </w:rPr>
              <w:t xml:space="preserve"> Efektem powinno być również z</w:t>
            </w:r>
            <w:r>
              <w:rPr>
                <w:rFonts w:ascii="Times New Roman" w:hAnsi="Times New Roman"/>
                <w:color w:val="000000"/>
              </w:rPr>
              <w:t>większenie dostępu do rynku zamówień publicznych w okresie występowania COVID-19 dla wykonawców, w szczególności tych należących do sektora MŚP.</w:t>
            </w:r>
          </w:p>
          <w:p w:rsidR="00DE72D8" w:rsidRDefault="00FC7E9A" w:rsidP="00910B7F">
            <w:pPr>
              <w:pStyle w:val="Akapitzlist"/>
              <w:numPr>
                <w:ilvl w:val="0"/>
                <w:numId w:val="32"/>
              </w:numPr>
              <w:spacing w:after="120" w:line="240" w:lineRule="auto"/>
              <w:rPr>
                <w:rFonts w:ascii="Times New Roman" w:hAnsi="Times New Roman"/>
                <w:b/>
              </w:rPr>
            </w:pPr>
            <w:r>
              <w:rPr>
                <w:rFonts w:ascii="Times New Roman" w:hAnsi="Times New Roman"/>
                <w:b/>
              </w:rPr>
              <w:t>Pakiet osłonowy dla samorządów (</w:t>
            </w:r>
            <w:r w:rsidR="00DE47AB" w:rsidRPr="00A00763">
              <w:rPr>
                <w:rFonts w:ascii="Times New Roman" w:hAnsi="Times New Roman"/>
                <w:b/>
              </w:rPr>
              <w:t>Tarcza samorządowa</w:t>
            </w:r>
            <w:r>
              <w:rPr>
                <w:rFonts w:ascii="Times New Roman" w:hAnsi="Times New Roman"/>
                <w:b/>
              </w:rPr>
              <w:t>)</w:t>
            </w:r>
          </w:p>
          <w:p w:rsidR="00DE47AB" w:rsidRPr="00A00763" w:rsidRDefault="00DE47AB" w:rsidP="00A00763">
            <w:pPr>
              <w:spacing w:after="120" w:line="240" w:lineRule="auto"/>
              <w:jc w:val="both"/>
              <w:rPr>
                <w:rFonts w:ascii="Times New Roman" w:hAnsi="Times New Roman"/>
              </w:rPr>
            </w:pPr>
            <w:r w:rsidRPr="00A00763">
              <w:rPr>
                <w:rFonts w:ascii="Times New Roman" w:hAnsi="Times New Roman"/>
              </w:rPr>
              <w:t xml:space="preserve">Projekt </w:t>
            </w:r>
            <w:r>
              <w:rPr>
                <w:rFonts w:ascii="Times New Roman" w:hAnsi="Times New Roman"/>
              </w:rPr>
              <w:t xml:space="preserve">ma na celu wsparcie jednostek samorządu terytorialnego w walce z konsekwencjami rozprzestrzeniania się </w:t>
            </w:r>
            <w:proofErr w:type="spellStart"/>
            <w:r>
              <w:rPr>
                <w:rFonts w:ascii="Times New Roman" w:hAnsi="Times New Roman"/>
              </w:rPr>
              <w:t>koronawirusa</w:t>
            </w:r>
            <w:proofErr w:type="spellEnd"/>
            <w:r>
              <w:rPr>
                <w:rFonts w:ascii="Times New Roman" w:hAnsi="Times New Roman"/>
              </w:rPr>
              <w:t xml:space="preserve"> powodującego chorobę COVID-19</w:t>
            </w:r>
            <w:r w:rsidR="00A00763">
              <w:rPr>
                <w:rFonts w:ascii="Times New Roman" w:hAnsi="Times New Roman"/>
              </w:rPr>
              <w:t>. W tym celu projekt zawiera następujące propozycje:</w:t>
            </w:r>
            <w:r>
              <w:rPr>
                <w:rFonts w:ascii="Times New Roman" w:hAnsi="Times New Roman"/>
              </w:rPr>
              <w:t xml:space="preserve"> </w:t>
            </w:r>
          </w:p>
          <w:p w:rsidR="00DE72D8" w:rsidRPr="00A00763" w:rsidRDefault="001A3520" w:rsidP="008E02F3">
            <w:pPr>
              <w:pStyle w:val="Akapitzlist"/>
              <w:numPr>
                <w:ilvl w:val="0"/>
                <w:numId w:val="60"/>
              </w:numPr>
              <w:spacing w:line="240" w:lineRule="auto"/>
              <w:jc w:val="both"/>
              <w:rPr>
                <w:rFonts w:ascii="Times New Roman" w:hAnsi="Times New Roman"/>
                <w:color w:val="000000"/>
                <w:spacing w:val="-2"/>
              </w:rPr>
            </w:pPr>
            <w:r>
              <w:rPr>
                <w:rFonts w:ascii="Times New Roman" w:hAnsi="Times New Roman"/>
                <w:color w:val="000000"/>
                <w:spacing w:val="-2"/>
              </w:rPr>
              <w:t>W</w:t>
            </w:r>
            <w:r w:rsidR="00DE72D8" w:rsidRPr="00A00763">
              <w:rPr>
                <w:rFonts w:ascii="Times New Roman" w:hAnsi="Times New Roman"/>
                <w:color w:val="000000"/>
                <w:spacing w:val="-2"/>
              </w:rPr>
              <w:t>sparcie budżetów jednostek samorządu terytorialnego (JST) poprzez:</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wprowadzenie w 2020 r. możliwości nierównowagi strony bieżącej budżetu JST dodatkowo o wartość planowanego ubytku w dochodach będącego skutkiem wystąpienia COVID-19,</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złagodzenie w 2020 r. reguły fiskalnej ograniczającej zadłużenie o kwotę faktycznego ubytku w</w:t>
            </w:r>
            <w:r w:rsidR="00AF69A3">
              <w:rPr>
                <w:rFonts w:ascii="Times New Roman" w:hAnsi="Times New Roman"/>
                <w:color w:val="000000"/>
                <w:spacing w:val="-2"/>
              </w:rPr>
              <w:t> </w:t>
            </w:r>
            <w:r w:rsidRPr="00A00763">
              <w:rPr>
                <w:rFonts w:ascii="Times New Roman" w:hAnsi="Times New Roman"/>
                <w:color w:val="000000"/>
                <w:spacing w:val="-2"/>
              </w:rPr>
              <w:t>dochodach podatkowych jednostki wynikającym z wystąpienia epidemii COVID-19,</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wprowadzenie możliwości przekazywania w 2020 r. rat części oświatowej, wyrównawczej, równoważącej i regionalnej subwencji ogólnej w terminach wcześniejszych,</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wprowadzenie</w:t>
            </w:r>
            <w:r w:rsidRPr="00A00763">
              <w:rPr>
                <w:rFonts w:ascii="Times New Roman" w:hAnsi="Times New Roman"/>
                <w:color w:val="000000"/>
              </w:rPr>
              <w:t xml:space="preserve"> możliwości przesunięcia na kolejne miesiące wpłat do budżetu państwa dokonywanych przez jednostki o ponadprzeciętnych dochodach podatkowych - raty wpłat przypadające w maju i</w:t>
            </w:r>
            <w:r w:rsidR="00AF69A3">
              <w:rPr>
                <w:rFonts w:ascii="Times New Roman" w:hAnsi="Times New Roman"/>
                <w:color w:val="000000"/>
              </w:rPr>
              <w:t> </w:t>
            </w:r>
            <w:r w:rsidRPr="00A00763">
              <w:rPr>
                <w:rFonts w:ascii="Times New Roman" w:hAnsi="Times New Roman"/>
                <w:color w:val="000000"/>
              </w:rPr>
              <w:t>czerwcu 2020 r. będą mogły zapłacić w drugim półroczu 2020 r.,</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 xml:space="preserve">zwiększenie dochodów samorządu powiatowego z tytułu gospodarowania nieruchomościami Skarbu Państwa z 25% do 50% wpływów w okresie od 1 </w:t>
            </w:r>
            <w:r w:rsidR="0098554C">
              <w:rPr>
                <w:rFonts w:ascii="Times New Roman" w:hAnsi="Times New Roman"/>
                <w:color w:val="000000"/>
                <w:spacing w:val="-2"/>
              </w:rPr>
              <w:t>maja</w:t>
            </w:r>
            <w:r w:rsidR="0098554C" w:rsidRPr="00A00763">
              <w:rPr>
                <w:rFonts w:ascii="Times New Roman" w:hAnsi="Times New Roman"/>
                <w:color w:val="000000"/>
                <w:spacing w:val="-2"/>
              </w:rPr>
              <w:t xml:space="preserve"> </w:t>
            </w:r>
            <w:r w:rsidRPr="00A00763">
              <w:rPr>
                <w:rFonts w:ascii="Times New Roman" w:hAnsi="Times New Roman"/>
                <w:color w:val="000000"/>
                <w:spacing w:val="-2"/>
              </w:rPr>
              <w:t>do 31 grudnia 2020 r.,</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uelastycznienie wydatkowania środków z tzw. „funduszu korkowego” w 2020 r.</w:t>
            </w:r>
            <w:r w:rsidR="00AB142D">
              <w:rPr>
                <w:rFonts w:ascii="Times New Roman" w:hAnsi="Times New Roman"/>
                <w:color w:val="000000"/>
                <w:spacing w:val="-2"/>
              </w:rPr>
              <w:t xml:space="preserve"> - </w:t>
            </w:r>
            <w:r w:rsidR="000A77F8">
              <w:rPr>
                <w:rFonts w:ascii="Times New Roman" w:hAnsi="Times New Roman"/>
                <w:color w:val="000000"/>
                <w:spacing w:val="-2"/>
              </w:rPr>
              <w:t>możliwość</w:t>
            </w:r>
            <w:r w:rsidR="001E40A1" w:rsidRPr="001E40A1">
              <w:rPr>
                <w:rFonts w:ascii="Times New Roman" w:hAnsi="Times New Roman"/>
                <w:color w:val="000000"/>
                <w:spacing w:val="-2"/>
              </w:rPr>
              <w:t xml:space="preserve"> przeznacz</w:t>
            </w:r>
            <w:r w:rsidR="000A77F8">
              <w:rPr>
                <w:rFonts w:ascii="Times New Roman" w:hAnsi="Times New Roman"/>
                <w:color w:val="000000"/>
                <w:spacing w:val="-2"/>
              </w:rPr>
              <w:t>enia tych środków</w:t>
            </w:r>
            <w:r w:rsidR="001E40A1" w:rsidRPr="001E40A1">
              <w:rPr>
                <w:rFonts w:ascii="Times New Roman" w:hAnsi="Times New Roman"/>
                <w:color w:val="000000"/>
                <w:spacing w:val="-2"/>
              </w:rPr>
              <w:t xml:space="preserve"> na </w:t>
            </w:r>
            <w:r w:rsidR="00253589" w:rsidRPr="00253589">
              <w:rPr>
                <w:rFonts w:ascii="Times New Roman" w:hAnsi="Times New Roman"/>
                <w:color w:val="000000"/>
                <w:spacing w:val="-2"/>
              </w:rPr>
              <w:t>działania związane z zapobieganiem, przeciwdziałaniem i zwalczaniem</w:t>
            </w:r>
            <w:r w:rsidR="00AF659E">
              <w:rPr>
                <w:rFonts w:ascii="Times New Roman" w:hAnsi="Times New Roman"/>
                <w:color w:val="000000"/>
                <w:spacing w:val="-2"/>
              </w:rPr>
              <w:t xml:space="preserve"> </w:t>
            </w:r>
            <w:r w:rsidR="001E40A1" w:rsidRPr="001E40A1">
              <w:rPr>
                <w:rFonts w:ascii="Times New Roman" w:hAnsi="Times New Roman"/>
                <w:color w:val="000000"/>
                <w:spacing w:val="-2"/>
              </w:rPr>
              <w:t>COVID-19 oraz wywołan</w:t>
            </w:r>
            <w:r w:rsidR="00253589">
              <w:rPr>
                <w:rFonts w:ascii="Times New Roman" w:hAnsi="Times New Roman"/>
                <w:color w:val="000000"/>
                <w:spacing w:val="-2"/>
              </w:rPr>
              <w:t>ych</w:t>
            </w:r>
            <w:r w:rsidR="001E40A1" w:rsidRPr="001E40A1">
              <w:rPr>
                <w:rFonts w:ascii="Times New Roman" w:hAnsi="Times New Roman"/>
                <w:color w:val="000000"/>
                <w:spacing w:val="-2"/>
              </w:rPr>
              <w:t xml:space="preserve"> nim sytuacj</w:t>
            </w:r>
            <w:r w:rsidR="00253589">
              <w:rPr>
                <w:rFonts w:ascii="Times New Roman" w:hAnsi="Times New Roman"/>
                <w:color w:val="000000"/>
                <w:spacing w:val="-2"/>
              </w:rPr>
              <w:t>i</w:t>
            </w:r>
            <w:r w:rsidR="001E40A1" w:rsidRPr="001E40A1">
              <w:rPr>
                <w:rFonts w:ascii="Times New Roman" w:hAnsi="Times New Roman"/>
                <w:color w:val="000000"/>
                <w:spacing w:val="-2"/>
              </w:rPr>
              <w:t xml:space="preserve"> kryzysow</w:t>
            </w:r>
            <w:r w:rsidR="00253589">
              <w:rPr>
                <w:rFonts w:ascii="Times New Roman" w:hAnsi="Times New Roman"/>
                <w:color w:val="000000"/>
                <w:spacing w:val="-2"/>
              </w:rPr>
              <w:t>ych</w:t>
            </w:r>
            <w:r w:rsidRPr="00A00763">
              <w:rPr>
                <w:rFonts w:ascii="Times New Roman" w:hAnsi="Times New Roman"/>
                <w:color w:val="000000"/>
                <w:spacing w:val="-2"/>
              </w:rPr>
              <w:t>,</w:t>
            </w:r>
          </w:p>
          <w:p w:rsidR="00DE72D8" w:rsidRPr="00A00763" w:rsidRDefault="00DE72D8" w:rsidP="008E02F3">
            <w:pPr>
              <w:pStyle w:val="Akapitzlist"/>
              <w:numPr>
                <w:ilvl w:val="0"/>
                <w:numId w:val="60"/>
              </w:numPr>
              <w:spacing w:line="240" w:lineRule="auto"/>
              <w:jc w:val="both"/>
              <w:rPr>
                <w:rFonts w:ascii="Times New Roman" w:hAnsi="Times New Roman"/>
                <w:color w:val="000000"/>
                <w:spacing w:val="-2"/>
              </w:rPr>
            </w:pPr>
            <w:r w:rsidRPr="00A00763">
              <w:rPr>
                <w:rFonts w:ascii="Times New Roman" w:hAnsi="Times New Roman"/>
                <w:color w:val="000000"/>
                <w:spacing w:val="-2"/>
              </w:rPr>
              <w:t>pokrycie części kosztów związanych z wydawaniem decyzji o warunkach zabudowy poprzez zwiększenie opłaty skarbowej za wydawanie tej decyzji dla osób innych niż właściciel lub użytkownik wieczysty,</w:t>
            </w:r>
          </w:p>
          <w:p w:rsidR="00DE72D8" w:rsidRPr="00A00763" w:rsidRDefault="00DE72D8" w:rsidP="008E02F3">
            <w:pPr>
              <w:pStyle w:val="Akapitzlist"/>
              <w:numPr>
                <w:ilvl w:val="0"/>
                <w:numId w:val="60"/>
              </w:numPr>
              <w:spacing w:after="120" w:line="240" w:lineRule="auto"/>
              <w:contextualSpacing w:val="0"/>
              <w:jc w:val="both"/>
              <w:rPr>
                <w:rFonts w:ascii="Times New Roman" w:hAnsi="Times New Roman"/>
                <w:color w:val="000000"/>
                <w:spacing w:val="-2"/>
              </w:rPr>
            </w:pPr>
            <w:r w:rsidRPr="00A00763">
              <w:rPr>
                <w:rFonts w:ascii="Times New Roman" w:hAnsi="Times New Roman"/>
                <w:color w:val="000000"/>
                <w:spacing w:val="-2"/>
              </w:rPr>
              <w:t xml:space="preserve">wydłużenie </w:t>
            </w:r>
            <w:r w:rsidR="005C0816">
              <w:rPr>
                <w:rFonts w:ascii="Times New Roman" w:hAnsi="Times New Roman"/>
                <w:color w:val="000000"/>
                <w:spacing w:val="-2"/>
              </w:rPr>
              <w:t xml:space="preserve">do 30 czerwca 2021 r. </w:t>
            </w:r>
            <w:r w:rsidRPr="00A00763">
              <w:rPr>
                <w:rFonts w:ascii="Times New Roman" w:hAnsi="Times New Roman"/>
                <w:color w:val="000000"/>
                <w:spacing w:val="-2"/>
              </w:rPr>
              <w:t xml:space="preserve">terminu na osiągnięcie minimalnej liczby punktów ładowania i tankowania CNG oraz zaliczenie do liczby </w:t>
            </w:r>
            <w:r w:rsidRPr="00FB7BDB">
              <w:rPr>
                <w:rFonts w:ascii="Times New Roman" w:hAnsi="Times New Roman"/>
                <w:szCs w:val="24"/>
              </w:rPr>
              <w:t>planowanych punktów ładowania CNG</w:t>
            </w:r>
            <w:r w:rsidRPr="00FB7BDB">
              <w:rPr>
                <w:rFonts w:ascii="Times New Roman" w:hAnsi="Times New Roman"/>
              </w:rPr>
              <w:t xml:space="preserve">, </w:t>
            </w:r>
            <w:r w:rsidRPr="00A03C9E">
              <w:rPr>
                <w:rFonts w:ascii="Times New Roman" w:hAnsi="Times New Roman"/>
                <w:color w:val="000000"/>
                <w:spacing w:val="-2"/>
              </w:rPr>
              <w:t xml:space="preserve">liczby takich punktów zlokalizowanych na obszarze gminy w dniu wejścia ustawy w życie ustawy o </w:t>
            </w:r>
            <w:proofErr w:type="spellStart"/>
            <w:r w:rsidRPr="00A03C9E">
              <w:rPr>
                <w:rFonts w:ascii="Times New Roman" w:hAnsi="Times New Roman"/>
                <w:color w:val="000000"/>
                <w:spacing w:val="-2"/>
              </w:rPr>
              <w:t>ele</w:t>
            </w:r>
            <w:r w:rsidRPr="00A00763">
              <w:rPr>
                <w:rFonts w:ascii="Times New Roman" w:hAnsi="Times New Roman"/>
                <w:color w:val="000000"/>
                <w:spacing w:val="-2"/>
              </w:rPr>
              <w:t>ktromobilności</w:t>
            </w:r>
            <w:proofErr w:type="spellEnd"/>
            <w:r w:rsidRPr="00A00763">
              <w:rPr>
                <w:rFonts w:ascii="Times New Roman" w:hAnsi="Times New Roman"/>
                <w:color w:val="000000"/>
                <w:spacing w:val="-2"/>
              </w:rPr>
              <w:t xml:space="preserve"> i paliwach alternatywnych</w:t>
            </w:r>
            <w:r w:rsidR="001A3520">
              <w:rPr>
                <w:rFonts w:ascii="Times New Roman" w:hAnsi="Times New Roman"/>
                <w:color w:val="000000"/>
                <w:spacing w:val="-2"/>
              </w:rPr>
              <w:t>.</w:t>
            </w:r>
          </w:p>
          <w:p w:rsidR="00DE72D8" w:rsidRDefault="001A3520" w:rsidP="008E02F3">
            <w:pPr>
              <w:pStyle w:val="Akapitzlist"/>
              <w:numPr>
                <w:ilvl w:val="0"/>
                <w:numId w:val="60"/>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DE72D8" w:rsidRPr="000912F4">
              <w:rPr>
                <w:rFonts w:ascii="Times New Roman" w:hAnsi="Times New Roman"/>
                <w:color w:val="000000"/>
                <w:spacing w:val="-2"/>
              </w:rPr>
              <w:t>możliwienie kontynuowania przygotowania inwestycji infrastrukturalnych, w tym budowlanych poprzez cyfryzację procedur planistycznych</w:t>
            </w:r>
            <w:r w:rsidR="00647B55">
              <w:rPr>
                <w:rFonts w:ascii="Times New Roman" w:hAnsi="Times New Roman"/>
                <w:color w:val="000000"/>
                <w:spacing w:val="-2"/>
              </w:rPr>
              <w:t>.</w:t>
            </w:r>
          </w:p>
          <w:p w:rsidR="00DE72D8" w:rsidRPr="007409E1" w:rsidRDefault="001A3520" w:rsidP="008E02F3">
            <w:pPr>
              <w:pStyle w:val="Akapitzlist"/>
              <w:numPr>
                <w:ilvl w:val="0"/>
                <w:numId w:val="60"/>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W</w:t>
            </w:r>
            <w:r w:rsidR="00DE72D8" w:rsidRPr="007409E1">
              <w:rPr>
                <w:rFonts w:ascii="Times New Roman" w:hAnsi="Times New Roman"/>
                <w:color w:val="000000"/>
                <w:spacing w:val="-2"/>
              </w:rPr>
              <w:t xml:space="preserve">prowadzenie możliwości jednostronnej, czasowej zmiany </w:t>
            </w:r>
            <w:r w:rsidR="00AB142D" w:rsidRPr="007409E1">
              <w:rPr>
                <w:rFonts w:ascii="Times New Roman" w:hAnsi="Times New Roman"/>
                <w:color w:val="000000"/>
                <w:spacing w:val="-2"/>
              </w:rPr>
              <w:t xml:space="preserve">przez wójta, burmistrza lub prezydenta miasta, w tym prezydenta miasta na prawach powiatu </w:t>
            </w:r>
            <w:r w:rsidR="00DE72D8" w:rsidRPr="007409E1">
              <w:rPr>
                <w:rFonts w:ascii="Times New Roman" w:hAnsi="Times New Roman"/>
                <w:color w:val="000000"/>
                <w:spacing w:val="-2"/>
              </w:rPr>
              <w:t>zadań dotychczas wykonywanych przez pracownika</w:t>
            </w:r>
            <w:r w:rsidR="00BE42A3">
              <w:rPr>
                <w:rFonts w:ascii="Times New Roman" w:hAnsi="Times New Roman"/>
                <w:color w:val="000000"/>
                <w:spacing w:val="-2"/>
              </w:rPr>
              <w:t xml:space="preserve"> (wymagana będzie zgoda pracownika w przypadku kobiety w ciąży, pracownika opiekującego się dzieckiem do ukończenia przez nie 4 </w:t>
            </w:r>
            <w:r w:rsidR="00C61285">
              <w:rPr>
                <w:rFonts w:ascii="Times New Roman" w:hAnsi="Times New Roman"/>
                <w:color w:val="000000"/>
                <w:spacing w:val="-2"/>
              </w:rPr>
              <w:t>roku życia</w:t>
            </w:r>
            <w:r w:rsidR="00BE42A3">
              <w:rPr>
                <w:rFonts w:ascii="Times New Roman" w:hAnsi="Times New Roman"/>
                <w:color w:val="000000"/>
                <w:spacing w:val="-2"/>
              </w:rPr>
              <w:t>, osoby będącej jedynym opiekunem dziecka w wieku do 15 lat)</w:t>
            </w:r>
            <w:r>
              <w:rPr>
                <w:rFonts w:ascii="Times New Roman" w:hAnsi="Times New Roman"/>
                <w:color w:val="000000"/>
                <w:spacing w:val="-2"/>
              </w:rPr>
              <w:t>.</w:t>
            </w:r>
          </w:p>
          <w:p w:rsidR="00DD16EE" w:rsidRDefault="001A3520" w:rsidP="008E02F3">
            <w:pPr>
              <w:pStyle w:val="Akapitzlist"/>
              <w:numPr>
                <w:ilvl w:val="0"/>
                <w:numId w:val="60"/>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DE72D8" w:rsidRPr="000912F4">
              <w:rPr>
                <w:rFonts w:ascii="Times New Roman" w:hAnsi="Times New Roman"/>
                <w:color w:val="000000"/>
                <w:spacing w:val="-2"/>
              </w:rPr>
              <w:t>sprawnienie funkcjonowania geodezji</w:t>
            </w:r>
            <w:r w:rsidR="00273EC6">
              <w:rPr>
                <w:rFonts w:ascii="Times New Roman" w:hAnsi="Times New Roman"/>
                <w:color w:val="000000"/>
                <w:spacing w:val="-2"/>
              </w:rPr>
              <w:t>.</w:t>
            </w:r>
          </w:p>
          <w:p w:rsidR="004115C2" w:rsidRDefault="001A3520" w:rsidP="008E02F3">
            <w:pPr>
              <w:pStyle w:val="Akapitzlist"/>
              <w:numPr>
                <w:ilvl w:val="0"/>
                <w:numId w:val="60"/>
              </w:numPr>
              <w:spacing w:after="120" w:line="240" w:lineRule="auto"/>
              <w:contextualSpacing w:val="0"/>
              <w:jc w:val="both"/>
              <w:rPr>
                <w:rFonts w:ascii="Times New Roman" w:hAnsi="Times New Roman"/>
                <w:color w:val="000000"/>
                <w:spacing w:val="-2"/>
              </w:rPr>
            </w:pPr>
            <w:r w:rsidRPr="00DD16EE">
              <w:rPr>
                <w:rFonts w:ascii="Times New Roman" w:hAnsi="Times New Roman"/>
                <w:color w:val="000000"/>
                <w:spacing w:val="-2"/>
              </w:rPr>
              <w:t>W</w:t>
            </w:r>
            <w:r w:rsidR="00DE72D8" w:rsidRPr="00DD16EE">
              <w:rPr>
                <w:rFonts w:ascii="Times New Roman" w:hAnsi="Times New Roman"/>
                <w:color w:val="000000"/>
                <w:spacing w:val="-2"/>
              </w:rPr>
              <w:t xml:space="preserve">sparcie dla kredytobiorców spłacających kredyty na podstawie </w:t>
            </w:r>
            <w:r w:rsidR="00DE72D8" w:rsidRPr="00DD16EE">
              <w:rPr>
                <w:rFonts w:ascii="Times New Roman" w:hAnsi="Times New Roman"/>
                <w:i/>
                <w:color w:val="000000"/>
                <w:spacing w:val="-2"/>
              </w:rPr>
              <w:t>ustawy z dnia 30 listopada 1995 r. o pomocy państwa w spłacie niektórych kredytów mieszkaniowych</w:t>
            </w:r>
            <w:r w:rsidR="00AB142D" w:rsidRPr="00DD16EE">
              <w:rPr>
                <w:rFonts w:ascii="Times New Roman" w:hAnsi="Times New Roman"/>
                <w:i/>
                <w:color w:val="000000"/>
                <w:spacing w:val="-2"/>
              </w:rPr>
              <w:t>, udzielaniu premii gwarancyjnych oraz refundacji bankom wypłaconych premii gwarancyjnych</w:t>
            </w:r>
            <w:r w:rsidR="00DE72D8" w:rsidRPr="00DD16EE">
              <w:rPr>
                <w:rFonts w:ascii="Times New Roman" w:hAnsi="Times New Roman"/>
                <w:color w:val="000000"/>
                <w:spacing w:val="-2"/>
              </w:rPr>
              <w:t xml:space="preserve"> </w:t>
            </w:r>
            <w:r w:rsidR="00651142" w:rsidRPr="00DD16EE">
              <w:rPr>
                <w:rFonts w:ascii="Times New Roman" w:hAnsi="Times New Roman"/>
                <w:color w:val="000000"/>
                <w:spacing w:val="-2"/>
              </w:rPr>
              <w:t xml:space="preserve">(zawieszenie spłaty kredytu na okres </w:t>
            </w:r>
            <w:r w:rsidR="00C61285">
              <w:rPr>
                <w:rFonts w:ascii="Times New Roman" w:hAnsi="Times New Roman"/>
                <w:color w:val="000000"/>
                <w:spacing w:val="-2"/>
              </w:rPr>
              <w:t xml:space="preserve">nie dłuższy niż </w:t>
            </w:r>
            <w:r w:rsidR="00651142" w:rsidRPr="00DD16EE">
              <w:rPr>
                <w:rFonts w:ascii="Times New Roman" w:hAnsi="Times New Roman"/>
                <w:color w:val="000000"/>
                <w:spacing w:val="-2"/>
              </w:rPr>
              <w:t>2 kwartał</w:t>
            </w:r>
            <w:r w:rsidR="00C61285">
              <w:rPr>
                <w:rFonts w:ascii="Times New Roman" w:hAnsi="Times New Roman"/>
                <w:color w:val="000000"/>
                <w:spacing w:val="-2"/>
              </w:rPr>
              <w:t>y</w:t>
            </w:r>
            <w:r w:rsidR="00651142" w:rsidRPr="00DD16EE">
              <w:rPr>
                <w:rFonts w:ascii="Times New Roman" w:hAnsi="Times New Roman"/>
                <w:color w:val="000000"/>
                <w:spacing w:val="-2"/>
              </w:rPr>
              <w:t xml:space="preserve">) </w:t>
            </w:r>
            <w:r w:rsidR="00DE72D8" w:rsidRPr="00DD16EE">
              <w:rPr>
                <w:rFonts w:ascii="Times New Roman" w:hAnsi="Times New Roman"/>
                <w:color w:val="000000"/>
                <w:spacing w:val="-2"/>
              </w:rPr>
              <w:t xml:space="preserve">oraz osób uprawnionych do otrzymania dodatku mieszkaniowego </w:t>
            </w:r>
            <w:r w:rsidR="00C61285">
              <w:rPr>
                <w:rFonts w:ascii="Times New Roman" w:hAnsi="Times New Roman"/>
                <w:color w:val="000000"/>
                <w:spacing w:val="-2"/>
              </w:rPr>
              <w:t xml:space="preserve">na podstawie </w:t>
            </w:r>
            <w:r w:rsidR="00C61285" w:rsidRPr="00456864">
              <w:rPr>
                <w:rFonts w:ascii="Times New Roman" w:hAnsi="Times New Roman"/>
                <w:i/>
                <w:color w:val="000000"/>
                <w:spacing w:val="-2"/>
              </w:rPr>
              <w:t>ustawy z dnia 21 czerwca 2001 r. o dodatkach mieszkaniowych</w:t>
            </w:r>
            <w:r w:rsidR="00C61285">
              <w:rPr>
                <w:rFonts w:ascii="Times New Roman" w:hAnsi="Times New Roman"/>
                <w:color w:val="000000"/>
                <w:spacing w:val="-2"/>
              </w:rPr>
              <w:t xml:space="preserve"> </w:t>
            </w:r>
            <w:r w:rsidR="00651142" w:rsidRPr="00DD16EE">
              <w:rPr>
                <w:rFonts w:ascii="Times New Roman" w:hAnsi="Times New Roman"/>
                <w:color w:val="000000"/>
                <w:spacing w:val="-2"/>
              </w:rPr>
              <w:t>(</w:t>
            </w:r>
            <w:r w:rsidR="00DE72D8" w:rsidRPr="00DD16EE">
              <w:rPr>
                <w:rFonts w:ascii="Times New Roman" w:hAnsi="Times New Roman"/>
                <w:color w:val="000000"/>
                <w:spacing w:val="-2"/>
              </w:rPr>
              <w:t>wprowadzenie możliwości przyznania go z mocą wsteczną, w przypadku złożenia wniosku w terminie 30 dni od dnia zakończenia obowiązywania stanu zagrożenia epidemicznego lub stanu epidemii</w:t>
            </w:r>
            <w:r w:rsidR="00651142" w:rsidRPr="00DD16EE">
              <w:rPr>
                <w:rFonts w:ascii="Times New Roman" w:hAnsi="Times New Roman"/>
                <w:color w:val="000000"/>
                <w:spacing w:val="-2"/>
              </w:rPr>
              <w:t>)</w:t>
            </w:r>
            <w:r w:rsidRPr="00DD16EE">
              <w:rPr>
                <w:rFonts w:ascii="Times New Roman" w:hAnsi="Times New Roman"/>
                <w:color w:val="000000"/>
                <w:spacing w:val="-2"/>
              </w:rPr>
              <w:t>.</w:t>
            </w:r>
          </w:p>
          <w:p w:rsidR="00C57242" w:rsidRPr="004115C2" w:rsidRDefault="001A3520" w:rsidP="008E02F3">
            <w:pPr>
              <w:pStyle w:val="Akapitzlist"/>
              <w:numPr>
                <w:ilvl w:val="0"/>
                <w:numId w:val="60"/>
              </w:numPr>
              <w:spacing w:after="120" w:line="240" w:lineRule="auto"/>
              <w:contextualSpacing w:val="0"/>
              <w:jc w:val="both"/>
              <w:rPr>
                <w:rFonts w:ascii="Times New Roman" w:hAnsi="Times New Roman"/>
                <w:color w:val="000000"/>
                <w:spacing w:val="-2"/>
              </w:rPr>
            </w:pPr>
            <w:r w:rsidRPr="004115C2">
              <w:rPr>
                <w:rFonts w:ascii="Times New Roman" w:hAnsi="Times New Roman"/>
                <w:color w:val="000000"/>
                <w:spacing w:val="-2"/>
              </w:rPr>
              <w:t>W</w:t>
            </w:r>
            <w:r w:rsidR="00DE72D8" w:rsidRPr="004115C2">
              <w:rPr>
                <w:rFonts w:ascii="Times New Roman" w:hAnsi="Times New Roman"/>
                <w:color w:val="000000"/>
                <w:spacing w:val="-2"/>
              </w:rPr>
              <w:t>ydłużenie o sześć miesięcy zezwoleń na sprzedaż napojów alkoholowych, których ważność upływa w okresie obowiązywania stanu zagrożenia epidemicznego albo stanu epidemii pod warunkiem wniesienia proporcjonalnej opłaty za wydanie zezwolenia.</w:t>
            </w:r>
          </w:p>
          <w:p w:rsidR="00D238B4" w:rsidRDefault="00C57242" w:rsidP="00910B7F">
            <w:pPr>
              <w:pStyle w:val="Akapitzlist"/>
              <w:numPr>
                <w:ilvl w:val="0"/>
                <w:numId w:val="32"/>
              </w:numPr>
              <w:spacing w:after="120" w:line="240" w:lineRule="auto"/>
              <w:rPr>
                <w:rFonts w:ascii="Times New Roman" w:hAnsi="Times New Roman"/>
                <w:b/>
              </w:rPr>
            </w:pPr>
            <w:r>
              <w:rPr>
                <w:rFonts w:ascii="Times New Roman" w:hAnsi="Times New Roman"/>
                <w:b/>
              </w:rPr>
              <w:t>Ochrona przed przejęciem spółek przez podmioty spoza UE</w:t>
            </w:r>
            <w:r w:rsidR="00A127B8">
              <w:rPr>
                <w:rFonts w:ascii="Times New Roman" w:hAnsi="Times New Roman"/>
                <w:b/>
              </w:rPr>
              <w:t>/EOG</w:t>
            </w:r>
          </w:p>
          <w:p w:rsidR="00D860E5" w:rsidRDefault="00AE7BE3" w:rsidP="00FF65D1">
            <w:pPr>
              <w:spacing w:before="120" w:after="120" w:line="240" w:lineRule="auto"/>
              <w:jc w:val="both"/>
              <w:rPr>
                <w:rFonts w:ascii="Times New Roman" w:hAnsi="Times New Roman"/>
                <w:szCs w:val="20"/>
              </w:rPr>
            </w:pPr>
            <w:r w:rsidRPr="003F76CD">
              <w:rPr>
                <w:rFonts w:ascii="Times New Roman" w:hAnsi="Times New Roman"/>
                <w:szCs w:val="20"/>
              </w:rPr>
              <w:t xml:space="preserve">Jednym z elementów projektu jest wprowadzenie </w:t>
            </w:r>
            <w:r w:rsidR="00A46399">
              <w:rPr>
                <w:rFonts w:ascii="Times New Roman" w:hAnsi="Times New Roman"/>
                <w:szCs w:val="20"/>
              </w:rPr>
              <w:t xml:space="preserve">tymczasowych (na okres 24 miesięcy), </w:t>
            </w:r>
            <w:r w:rsidRPr="003F76CD">
              <w:rPr>
                <w:rFonts w:ascii="Times New Roman" w:hAnsi="Times New Roman"/>
                <w:szCs w:val="20"/>
              </w:rPr>
              <w:t>kompleksow</w:t>
            </w:r>
            <w:r w:rsidR="00A46399">
              <w:rPr>
                <w:rFonts w:ascii="Times New Roman" w:hAnsi="Times New Roman"/>
                <w:szCs w:val="20"/>
              </w:rPr>
              <w:t xml:space="preserve">ych ram kontroli działań, które mogłyby zagrozić </w:t>
            </w:r>
            <w:r w:rsidRPr="003F76CD">
              <w:rPr>
                <w:rFonts w:ascii="Times New Roman" w:hAnsi="Times New Roman"/>
                <w:szCs w:val="20"/>
              </w:rPr>
              <w:t>zapewnieni</w:t>
            </w:r>
            <w:r w:rsidR="00A46399">
              <w:rPr>
                <w:rFonts w:ascii="Times New Roman" w:hAnsi="Times New Roman"/>
                <w:szCs w:val="20"/>
              </w:rPr>
              <w:t>u</w:t>
            </w:r>
            <w:r w:rsidRPr="003F76CD">
              <w:rPr>
                <w:rFonts w:ascii="Times New Roman" w:hAnsi="Times New Roman"/>
                <w:szCs w:val="20"/>
              </w:rPr>
              <w:t xml:space="preserve"> bezpieczeństwa, porządku i zdrowia publicznego przez podmioty spoza obszaru UE oraz EOG, w </w:t>
            </w:r>
            <w:r w:rsidR="000E5952">
              <w:rPr>
                <w:rFonts w:ascii="Times New Roman" w:hAnsi="Times New Roman"/>
                <w:szCs w:val="20"/>
              </w:rPr>
              <w:t>związku z</w:t>
            </w:r>
            <w:r w:rsidR="000E5952" w:rsidRPr="003F76CD">
              <w:rPr>
                <w:rFonts w:ascii="Times New Roman" w:hAnsi="Times New Roman"/>
                <w:szCs w:val="20"/>
              </w:rPr>
              <w:t xml:space="preserve"> </w:t>
            </w:r>
            <w:r w:rsidRPr="003F76CD">
              <w:rPr>
                <w:rFonts w:ascii="Times New Roman" w:hAnsi="Times New Roman"/>
                <w:szCs w:val="20"/>
              </w:rPr>
              <w:t>pogarszając</w:t>
            </w:r>
            <w:r w:rsidR="000E5952">
              <w:rPr>
                <w:rFonts w:ascii="Times New Roman" w:hAnsi="Times New Roman"/>
                <w:szCs w:val="20"/>
              </w:rPr>
              <w:t>ą</w:t>
            </w:r>
            <w:r w:rsidRPr="003F76CD">
              <w:rPr>
                <w:rFonts w:ascii="Times New Roman" w:hAnsi="Times New Roman"/>
                <w:szCs w:val="20"/>
              </w:rPr>
              <w:t xml:space="preserve"> się sytuacj</w:t>
            </w:r>
            <w:r w:rsidR="000E5952">
              <w:rPr>
                <w:rFonts w:ascii="Times New Roman" w:hAnsi="Times New Roman"/>
                <w:szCs w:val="20"/>
              </w:rPr>
              <w:t>ą</w:t>
            </w:r>
            <w:r w:rsidRPr="003F76CD">
              <w:rPr>
                <w:rFonts w:ascii="Times New Roman" w:hAnsi="Times New Roman"/>
                <w:szCs w:val="20"/>
              </w:rPr>
              <w:t xml:space="preserve"> gospodarcz</w:t>
            </w:r>
            <w:r w:rsidR="000E5952">
              <w:rPr>
                <w:rFonts w:ascii="Times New Roman" w:hAnsi="Times New Roman"/>
                <w:szCs w:val="20"/>
              </w:rPr>
              <w:t>ą</w:t>
            </w:r>
            <w:r w:rsidRPr="003F76CD">
              <w:rPr>
                <w:rFonts w:ascii="Times New Roman" w:hAnsi="Times New Roman"/>
                <w:szCs w:val="20"/>
              </w:rPr>
              <w:t xml:space="preserve"> wywołan</w:t>
            </w:r>
            <w:r w:rsidR="000E5952">
              <w:rPr>
                <w:rFonts w:ascii="Times New Roman" w:hAnsi="Times New Roman"/>
                <w:szCs w:val="20"/>
              </w:rPr>
              <w:t>ą</w:t>
            </w:r>
            <w:r w:rsidRPr="003F76CD">
              <w:rPr>
                <w:rFonts w:ascii="Times New Roman" w:hAnsi="Times New Roman"/>
                <w:szCs w:val="20"/>
              </w:rPr>
              <w:t xml:space="preserve"> pandemią COVID-19. Projektowane rozwiązania są zgodne ze stanowiskiem UE akcentującym zasadność wzmocnienia ochrony spółek pochodzących z państw członkowskich poprzez blokowanie tego rodzaju przejęć. Ochrona ma dotyczyć</w:t>
            </w:r>
            <w:r w:rsidRPr="003F76CD">
              <w:rPr>
                <w:rFonts w:ascii="Times New Roman" w:eastAsia="@Arial Unicode MS" w:hAnsi="Times New Roman"/>
                <w:bCs/>
                <w:color w:val="000000"/>
                <w:szCs w:val="20"/>
              </w:rPr>
              <w:t xml:space="preserve"> przedsiębiorcy z siedzibą w Rzeczypospolitej Polskiej, który:</w:t>
            </w:r>
          </w:p>
          <w:p w:rsidR="00761C40" w:rsidRPr="00DD7CB7" w:rsidRDefault="00761C40" w:rsidP="008E02F3">
            <w:pPr>
              <w:pStyle w:val="Akapitzlist"/>
              <w:numPr>
                <w:ilvl w:val="0"/>
                <w:numId w:val="61"/>
              </w:numPr>
              <w:autoSpaceDE w:val="0"/>
              <w:autoSpaceDN w:val="0"/>
              <w:adjustRightInd w:val="0"/>
              <w:spacing w:line="240" w:lineRule="auto"/>
              <w:jc w:val="both"/>
              <w:rPr>
                <w:rFonts w:ascii="Times New Roman" w:eastAsia="@Arial Unicode MS" w:hAnsi="Times New Roman"/>
                <w:color w:val="000000"/>
                <w:szCs w:val="20"/>
              </w:rPr>
            </w:pPr>
            <w:r w:rsidRPr="00DD7CB7">
              <w:rPr>
                <w:rFonts w:ascii="Times New Roman" w:eastAsia="@Arial Unicode MS" w:hAnsi="Times New Roman"/>
                <w:color w:val="000000"/>
                <w:szCs w:val="20"/>
              </w:rPr>
              <w:t>jest spółk</w:t>
            </w:r>
            <w:r w:rsidR="00DD7CB7">
              <w:rPr>
                <w:rFonts w:ascii="Times New Roman" w:eastAsia="@Arial Unicode MS" w:hAnsi="Times New Roman"/>
                <w:color w:val="000000"/>
                <w:szCs w:val="20"/>
              </w:rPr>
              <w:t>ą</w:t>
            </w:r>
            <w:r w:rsidRPr="00DD7CB7">
              <w:rPr>
                <w:rFonts w:ascii="Times New Roman" w:eastAsia="@Arial Unicode MS" w:hAnsi="Times New Roman"/>
                <w:color w:val="000000"/>
                <w:szCs w:val="20"/>
              </w:rPr>
              <w:t xml:space="preserve"> publiczną, lub </w:t>
            </w:r>
          </w:p>
          <w:p w:rsidR="00D860E5" w:rsidRPr="00DD7CB7" w:rsidRDefault="00AE7BE3" w:rsidP="008E02F3">
            <w:pPr>
              <w:pStyle w:val="Akapitzlist"/>
              <w:numPr>
                <w:ilvl w:val="0"/>
                <w:numId w:val="61"/>
              </w:numPr>
              <w:autoSpaceDE w:val="0"/>
              <w:autoSpaceDN w:val="0"/>
              <w:adjustRightInd w:val="0"/>
              <w:spacing w:line="240" w:lineRule="auto"/>
              <w:jc w:val="both"/>
              <w:rPr>
                <w:rFonts w:ascii="Times New Roman" w:eastAsia="@Arial Unicode MS" w:hAnsi="Times New Roman"/>
                <w:color w:val="000000"/>
                <w:szCs w:val="20"/>
              </w:rPr>
            </w:pPr>
            <w:r w:rsidRPr="00DD7CB7">
              <w:rPr>
                <w:rFonts w:ascii="Times New Roman" w:eastAsia="@Arial Unicode MS" w:hAnsi="Times New Roman"/>
                <w:bCs/>
                <w:color w:val="000000"/>
                <w:szCs w:val="20"/>
              </w:rPr>
              <w:t>posiada mienie, które zostało ujawnione w jednolitym wykazie obiektów, instalacji, urządzeń i usług wchodzących w skład</w:t>
            </w:r>
            <w:r w:rsidRPr="00DD7CB7">
              <w:rPr>
                <w:rFonts w:ascii="Times New Roman" w:eastAsia="@Arial Unicode MS" w:hAnsi="Times New Roman"/>
                <w:color w:val="000000"/>
                <w:szCs w:val="20"/>
              </w:rPr>
              <w:t xml:space="preserve"> </w:t>
            </w:r>
            <w:r w:rsidRPr="00DD7CB7">
              <w:rPr>
                <w:rFonts w:ascii="Times New Roman" w:eastAsia="@Arial Unicode MS" w:hAnsi="Times New Roman"/>
                <w:bCs/>
                <w:color w:val="000000"/>
                <w:szCs w:val="20"/>
              </w:rPr>
              <w:t xml:space="preserve">infrastruktury krytycznej, </w:t>
            </w:r>
            <w:r w:rsidRPr="00DD7CB7">
              <w:rPr>
                <w:rFonts w:ascii="Times New Roman" w:eastAsia="@Arial Unicode MS" w:hAnsi="Times New Roman"/>
                <w:color w:val="000000"/>
                <w:szCs w:val="20"/>
              </w:rPr>
              <w:t>o którym mowa w art. 5b ust. 7 pkt 1 ustawy z dnia 26</w:t>
            </w:r>
            <w:r w:rsidR="00AF69A3">
              <w:rPr>
                <w:rFonts w:ascii="Times New Roman" w:eastAsia="@Arial Unicode MS" w:hAnsi="Times New Roman"/>
                <w:color w:val="000000"/>
                <w:szCs w:val="20"/>
              </w:rPr>
              <w:t> </w:t>
            </w:r>
            <w:r w:rsidRPr="00DD7CB7">
              <w:rPr>
                <w:rFonts w:ascii="Times New Roman" w:eastAsia="@Arial Unicode MS" w:hAnsi="Times New Roman"/>
                <w:color w:val="000000"/>
                <w:szCs w:val="20"/>
              </w:rPr>
              <w:t>kwietnia 2007 r. o zarządzaniu kryzysowym</w:t>
            </w:r>
            <w:r w:rsidR="00761C40">
              <w:rPr>
                <w:rFonts w:ascii="Times New Roman" w:eastAsia="@Arial Unicode MS" w:hAnsi="Times New Roman"/>
                <w:color w:val="000000"/>
                <w:szCs w:val="20"/>
              </w:rPr>
              <w:t>,</w:t>
            </w:r>
            <w:r w:rsidRPr="00DD7CB7">
              <w:rPr>
                <w:rFonts w:ascii="Times New Roman" w:eastAsia="@Arial Unicode MS" w:hAnsi="Times New Roman"/>
                <w:color w:val="000000"/>
                <w:szCs w:val="20"/>
              </w:rPr>
              <w:t xml:space="preserve"> lub</w:t>
            </w:r>
          </w:p>
          <w:p w:rsidR="00D860E5" w:rsidRPr="00DD7CB7" w:rsidRDefault="00AE7BE3" w:rsidP="008E02F3">
            <w:pPr>
              <w:pStyle w:val="Akapitzlist"/>
              <w:numPr>
                <w:ilvl w:val="0"/>
                <w:numId w:val="61"/>
              </w:numPr>
              <w:autoSpaceDE w:val="0"/>
              <w:autoSpaceDN w:val="0"/>
              <w:adjustRightInd w:val="0"/>
              <w:spacing w:line="240" w:lineRule="auto"/>
              <w:jc w:val="both"/>
              <w:rPr>
                <w:rFonts w:ascii="Times New Roman" w:eastAsia="@Arial Unicode MS" w:hAnsi="Times New Roman"/>
                <w:color w:val="000000"/>
                <w:szCs w:val="20"/>
              </w:rPr>
            </w:pPr>
            <w:r w:rsidRPr="00DD7CB7">
              <w:rPr>
                <w:rFonts w:ascii="Times New Roman" w:eastAsia="@Arial Unicode MS" w:hAnsi="Times New Roman"/>
                <w:bCs/>
                <w:color w:val="000000"/>
                <w:szCs w:val="20"/>
              </w:rPr>
              <w:t>opracowuje lub modyfikuje oprogramowanie:</w:t>
            </w:r>
            <w:r w:rsidR="003F76CD" w:rsidRPr="00DD7CB7">
              <w:rPr>
                <w:rFonts w:ascii="Times New Roman" w:eastAsia="@Arial Unicode MS" w:hAnsi="Times New Roman"/>
                <w:bCs/>
                <w:color w:val="000000"/>
                <w:szCs w:val="20"/>
              </w:rPr>
              <w:t xml:space="preserve"> </w:t>
            </w:r>
            <w:r w:rsidRPr="00DD7CB7">
              <w:rPr>
                <w:rFonts w:ascii="Times New Roman" w:eastAsia="@Arial Unicode MS" w:hAnsi="Times New Roman"/>
                <w:color w:val="000000"/>
                <w:szCs w:val="20"/>
              </w:rPr>
              <w:t>do sterowania elektrowniami, sieciami lub obsługą obiektów lub systemów zaopatrzenia w energię elektryczną, gaz, paliwo, olej opałowy lub ciepło sieciowe, lub</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 zarządzania, kontrolowania i automatyzacji instalacji zaopatrzenia w wodę pitną lub oczyszczania ścieków, lub</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służące</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 obsługi urządzeń lub systemów wykorzystywanych do transmisji głosu i danych lub do przechowywania i przetwarzania danych, lub</w:t>
            </w:r>
            <w:r w:rsidR="003F76CD"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 obsługi urządzeń lub systemów wykorzystywanych do zaopatrzenia w gotówkę, płatności kartą, transakcji konwencjonalnych, do rozrachunku papierów wartościowych i transakcji pochodnych lub zarządzania nimi lub do świadczenia usług ubezpieczeniowych, lub</w:t>
            </w:r>
            <w:r w:rsidR="003F76CD"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 obsługi szpitalnych systemów informacyjnych, do obsługi urządzeń i systemów wykorzystywanych w</w:t>
            </w:r>
            <w:r w:rsidR="00AF69A3">
              <w:rPr>
                <w:rFonts w:ascii="Times New Roman" w:eastAsia="@Arial Unicode MS" w:hAnsi="Times New Roman"/>
                <w:color w:val="000000"/>
                <w:szCs w:val="20"/>
              </w:rPr>
              <w:t> </w:t>
            </w:r>
            <w:r w:rsidRPr="00DD7CB7">
              <w:rPr>
                <w:rFonts w:ascii="Times New Roman" w:eastAsia="@Arial Unicode MS" w:hAnsi="Times New Roman"/>
                <w:color w:val="000000"/>
                <w:szCs w:val="20"/>
              </w:rPr>
              <w:t>sprzedaży leków na receptę oraz do obsługi laboratoryjnego systemu informacyjnego lub testów laboratoryjnych, lub</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obsługi urządzeń lub systemów używanych w transporcie pasażerów lub towarów drogą powietrzną, kolejową, morską lub żeglugą śródlądową, transportem drogowym, transportem publicznym lub w logistyce, lub</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do</w:t>
            </w:r>
            <w:r w:rsidR="00A46399"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obsługi urządzeń lub systemów wykorzystywanych przy zaopatrywaniu w żywność, lub</w:t>
            </w:r>
            <w:r w:rsidR="003F76CD" w:rsidRPr="00DD7CB7">
              <w:rPr>
                <w:rFonts w:ascii="Times New Roman" w:eastAsia="@Arial Unicode MS" w:hAnsi="Times New Roman"/>
                <w:color w:val="000000"/>
                <w:szCs w:val="20"/>
              </w:rPr>
              <w:t xml:space="preserve"> </w:t>
            </w:r>
            <w:r w:rsidRPr="00DD7CB7">
              <w:rPr>
                <w:rFonts w:ascii="Times New Roman" w:eastAsia="@Arial Unicode MS" w:hAnsi="Times New Roman"/>
                <w:color w:val="000000"/>
                <w:szCs w:val="20"/>
              </w:rPr>
              <w:t>świadczy usługi gromadzenia lub przetwarzania</w:t>
            </w:r>
            <w:r w:rsidR="003F76CD" w:rsidRPr="00DD7CB7">
              <w:rPr>
                <w:rFonts w:ascii="Times New Roman" w:eastAsia="@Arial Unicode MS" w:hAnsi="Times New Roman"/>
                <w:color w:val="000000"/>
                <w:szCs w:val="20"/>
              </w:rPr>
              <w:t xml:space="preserve"> danych w chmurze obliczeniowej,</w:t>
            </w:r>
            <w:r w:rsidR="00761C40">
              <w:rPr>
                <w:rFonts w:ascii="Times New Roman" w:eastAsia="@Arial Unicode MS" w:hAnsi="Times New Roman"/>
                <w:color w:val="000000"/>
                <w:szCs w:val="20"/>
              </w:rPr>
              <w:t xml:space="preserve"> lub</w:t>
            </w:r>
          </w:p>
          <w:p w:rsidR="00D860E5" w:rsidRDefault="00AE7BE3" w:rsidP="008E02F3">
            <w:pPr>
              <w:pStyle w:val="ZPKTzmpktartykuempunktem"/>
              <w:numPr>
                <w:ilvl w:val="0"/>
                <w:numId w:val="61"/>
              </w:numPr>
              <w:spacing w:line="240" w:lineRule="auto"/>
              <w:rPr>
                <w:rFonts w:ascii="Times New Roman" w:hAnsi="Times New Roman" w:cs="Times New Roman"/>
                <w:sz w:val="22"/>
              </w:rPr>
            </w:pPr>
            <w:r w:rsidRPr="003F76CD">
              <w:rPr>
                <w:rFonts w:ascii="Times New Roman" w:eastAsia="@Arial Unicode MS" w:hAnsi="Times New Roman" w:cs="Times New Roman"/>
                <w:bCs w:val="0"/>
                <w:color w:val="000000"/>
                <w:sz w:val="22"/>
                <w:lang w:eastAsia="en-US"/>
              </w:rPr>
              <w:t>prowadzi działalność gospodarczą, której przedmiotem jest wytwarzanie energii elektrycznej</w:t>
            </w:r>
            <w:r w:rsidR="00935BB3">
              <w:rPr>
                <w:rFonts w:ascii="Times New Roman" w:eastAsia="@Arial Unicode MS" w:hAnsi="Times New Roman" w:cs="Times New Roman"/>
                <w:bCs w:val="0"/>
                <w:color w:val="000000"/>
                <w:sz w:val="22"/>
                <w:lang w:eastAsia="en-US"/>
              </w:rPr>
              <w:t>,</w:t>
            </w:r>
            <w:r w:rsidRPr="003F76CD">
              <w:rPr>
                <w:rFonts w:ascii="Times New Roman" w:eastAsia="@Arial Unicode MS" w:hAnsi="Times New Roman" w:cs="Times New Roman"/>
                <w:bCs w:val="0"/>
                <w:color w:val="000000"/>
                <w:sz w:val="22"/>
                <w:lang w:eastAsia="en-US"/>
              </w:rPr>
              <w:t xml:space="preserve"> lub produkcja benzyn silnikowych lub oleju napędowego, lub transport rurociągowy ropy naftowej, benzyn silnikowych lub oleju napędowego, lub magazynowanie i przechowywanie benzyn silnikowych, oleju napędowego, gazu ziemnego, lub podziemne magazynowanie ropy naftowej lub gazu ziemnego, lub</w:t>
            </w:r>
            <w:r w:rsidR="00A46399">
              <w:rPr>
                <w:rFonts w:ascii="Times New Roman" w:eastAsia="@Arial Unicode MS" w:hAnsi="Times New Roman" w:cs="Times New Roman"/>
                <w:bCs w:val="0"/>
                <w:color w:val="000000"/>
                <w:sz w:val="22"/>
                <w:lang w:eastAsia="en-US"/>
              </w:rPr>
              <w:t xml:space="preserve"> </w:t>
            </w:r>
            <w:r w:rsidRPr="003F76CD">
              <w:rPr>
                <w:rFonts w:ascii="Times New Roman" w:eastAsia="@Arial Unicode MS" w:hAnsi="Times New Roman" w:cs="Times New Roman"/>
                <w:bCs w:val="0"/>
                <w:color w:val="000000"/>
                <w:sz w:val="22"/>
                <w:lang w:eastAsia="en-US"/>
              </w:rPr>
              <w:t>produkcja</w:t>
            </w:r>
            <w:r w:rsidR="00A46399">
              <w:rPr>
                <w:rFonts w:ascii="Times New Roman" w:eastAsia="@Arial Unicode MS" w:hAnsi="Times New Roman" w:cs="Times New Roman"/>
                <w:bCs w:val="0"/>
                <w:color w:val="000000"/>
                <w:sz w:val="22"/>
                <w:lang w:eastAsia="en-US"/>
              </w:rPr>
              <w:t xml:space="preserve"> </w:t>
            </w:r>
            <w:r w:rsidRPr="00AE7BE3">
              <w:rPr>
                <w:rFonts w:ascii="Times New Roman" w:eastAsia="@Arial Unicode MS" w:hAnsi="Times New Roman" w:cs="Times New Roman"/>
                <w:bCs w:val="0"/>
                <w:color w:val="000000"/>
                <w:sz w:val="22"/>
                <w:lang w:eastAsia="en-US"/>
              </w:rPr>
              <w:t>chemikaliów,</w:t>
            </w:r>
            <w:r>
              <w:rPr>
                <w:rFonts w:ascii="Times New Roman" w:eastAsia="@Arial Unicode MS" w:hAnsi="Times New Roman" w:cs="Times New Roman"/>
                <w:bCs w:val="0"/>
                <w:color w:val="000000"/>
                <w:sz w:val="22"/>
                <w:lang w:eastAsia="en-US"/>
              </w:rPr>
              <w:t xml:space="preserve"> </w:t>
            </w:r>
            <w:r w:rsidRPr="00E02B81">
              <w:rPr>
                <w:rFonts w:ascii="Times New Roman" w:eastAsia="@Arial Unicode MS" w:hAnsi="Times New Roman" w:cs="Times New Roman"/>
                <w:bCs w:val="0"/>
                <w:color w:val="000000"/>
                <w:sz w:val="22"/>
                <w:lang w:eastAsia="en-US"/>
              </w:rPr>
              <w:t xml:space="preserve">nawozów oraz wyrobów chemicznych, lub wytwarzanie i obrót materiałami wybuchowymi, bronią i amunicją oraz wyrobami technologią o przeznaczeniu wojskowym lub policyjnym, lub </w:t>
            </w:r>
            <w:proofErr w:type="spellStart"/>
            <w:r w:rsidRPr="00E02B81">
              <w:rPr>
                <w:rFonts w:ascii="Times New Roman" w:eastAsia="@Arial Unicode MS" w:hAnsi="Times New Roman" w:cs="Times New Roman"/>
                <w:bCs w:val="0"/>
                <w:color w:val="000000"/>
                <w:sz w:val="22"/>
                <w:lang w:eastAsia="en-US"/>
              </w:rPr>
              <w:t>regazyfikacja</w:t>
            </w:r>
            <w:proofErr w:type="spellEnd"/>
            <w:r w:rsidRPr="00E02B81">
              <w:rPr>
                <w:rFonts w:ascii="Times New Roman" w:eastAsia="@Arial Unicode MS" w:hAnsi="Times New Roman" w:cs="Times New Roman"/>
                <w:bCs w:val="0"/>
                <w:color w:val="000000"/>
                <w:sz w:val="22"/>
                <w:lang w:eastAsia="en-US"/>
              </w:rPr>
              <w:t xml:space="preserve"> lub skraplanie gazu ziemnego, lub przeładunek ropy naftowej i jej produktów w portach morskich, lub</w:t>
            </w:r>
            <w:r w:rsidR="00AF69A3">
              <w:rPr>
                <w:rFonts w:ascii="Times New Roman" w:eastAsia="@Arial Unicode MS" w:hAnsi="Times New Roman" w:cs="Times New Roman"/>
                <w:bCs w:val="0"/>
                <w:color w:val="000000"/>
                <w:sz w:val="22"/>
                <w:lang w:eastAsia="en-US"/>
              </w:rPr>
              <w:t xml:space="preserve"> </w:t>
            </w:r>
            <w:r w:rsidRPr="00E02B81">
              <w:rPr>
                <w:rFonts w:ascii="Times New Roman" w:eastAsia="@Arial Unicode MS" w:hAnsi="Times New Roman" w:cs="Times New Roman"/>
                <w:bCs w:val="0"/>
                <w:color w:val="000000"/>
                <w:sz w:val="22"/>
                <w:lang w:eastAsia="en-US"/>
              </w:rPr>
              <w:t>dystrybucja gazu ziemnego lub energii elektrycznej, lub przeładunek w portach o podstawowym znaczeniu dla gospodarki narodowej w</w:t>
            </w:r>
            <w:r w:rsidR="00AF69A3">
              <w:rPr>
                <w:rFonts w:ascii="Times New Roman" w:eastAsia="@Arial Unicode MS" w:hAnsi="Times New Roman" w:cs="Times New Roman"/>
                <w:bCs w:val="0"/>
                <w:color w:val="000000"/>
                <w:sz w:val="22"/>
                <w:lang w:eastAsia="en-US"/>
              </w:rPr>
              <w:t> </w:t>
            </w:r>
            <w:r w:rsidRPr="00E02B81">
              <w:rPr>
                <w:rFonts w:ascii="Times New Roman" w:eastAsia="@Arial Unicode MS" w:hAnsi="Times New Roman" w:cs="Times New Roman"/>
                <w:bCs w:val="0"/>
                <w:color w:val="000000"/>
                <w:sz w:val="22"/>
                <w:lang w:eastAsia="en-US"/>
              </w:rPr>
              <w:t>rozumieniu art. 2 pkt 3 ustawy z dnia 20 grudnia 1996 r. o portach i przystaniach morskich, lub działalność telekomunikacyjna, lub przesyłanie paliw gazowych, lub produkcja renu, lub wydobywanie i przerób rud metali wykorzystywanych do wytwarzania materiałów wybuchowych, broni i amunicji oraz wyrobów i technologii o</w:t>
            </w:r>
            <w:r w:rsidR="00AF69A3">
              <w:rPr>
                <w:rFonts w:ascii="Times New Roman" w:eastAsia="@Arial Unicode MS" w:hAnsi="Times New Roman" w:cs="Times New Roman"/>
                <w:bCs w:val="0"/>
                <w:color w:val="000000"/>
                <w:sz w:val="22"/>
                <w:lang w:eastAsia="en-US"/>
              </w:rPr>
              <w:t> </w:t>
            </w:r>
            <w:r w:rsidRPr="00E02B81">
              <w:rPr>
                <w:rFonts w:ascii="Times New Roman" w:eastAsia="@Arial Unicode MS" w:hAnsi="Times New Roman" w:cs="Times New Roman"/>
                <w:bCs w:val="0"/>
                <w:color w:val="000000"/>
                <w:sz w:val="22"/>
                <w:lang w:eastAsia="en-US"/>
              </w:rPr>
              <w:t>przeznaczeniu wojskowym lub policyjnym</w:t>
            </w:r>
            <w:r w:rsidR="00935BB3">
              <w:rPr>
                <w:rFonts w:ascii="Times New Roman" w:eastAsia="@Arial Unicode MS" w:hAnsi="Times New Roman" w:cs="Times New Roman"/>
                <w:bCs w:val="0"/>
                <w:color w:val="000000"/>
                <w:sz w:val="22"/>
                <w:lang w:eastAsia="en-US"/>
              </w:rPr>
              <w:t>,</w:t>
            </w:r>
            <w:r w:rsidRPr="00E02B81">
              <w:rPr>
                <w:rFonts w:ascii="Times New Roman" w:eastAsia="@Arial Unicode MS" w:hAnsi="Times New Roman" w:cs="Times New Roman"/>
                <w:bCs w:val="0"/>
                <w:color w:val="000000"/>
                <w:sz w:val="22"/>
                <w:lang w:eastAsia="en-US"/>
              </w:rPr>
              <w:t xml:space="preserve"> </w:t>
            </w:r>
            <w:r w:rsidRPr="00E02B81">
              <w:rPr>
                <w:rFonts w:ascii="Times New Roman" w:hAnsi="Times New Roman" w:cs="Times New Roman"/>
                <w:sz w:val="22"/>
              </w:rPr>
              <w:t>lub produkcja urządzeń, instrumentów oraz wyrobów medycznych, lub produkcja leków i pozostałych wyrobów farmaceutycznych</w:t>
            </w:r>
            <w:r w:rsidR="00A46399">
              <w:rPr>
                <w:rFonts w:ascii="Times New Roman" w:hAnsi="Times New Roman" w:cs="Times New Roman"/>
                <w:sz w:val="22"/>
              </w:rPr>
              <w:t xml:space="preserve">, </w:t>
            </w:r>
            <w:r w:rsidR="00935BB3">
              <w:rPr>
                <w:rFonts w:ascii="Times New Roman" w:hAnsi="Times New Roman" w:cs="Times New Roman"/>
                <w:sz w:val="22"/>
              </w:rPr>
              <w:t xml:space="preserve">lub </w:t>
            </w:r>
            <w:r w:rsidR="00A46399" w:rsidRPr="00A46399">
              <w:rPr>
                <w:rFonts w:ascii="Times New Roman" w:hAnsi="Times New Roman" w:cs="Times New Roman"/>
                <w:sz w:val="22"/>
              </w:rPr>
              <w:t>obrót</w:t>
            </w:r>
            <w:r w:rsidR="00AF69A3">
              <w:rPr>
                <w:rFonts w:ascii="Times New Roman" w:hAnsi="Times New Roman" w:cs="Times New Roman"/>
                <w:sz w:val="22"/>
              </w:rPr>
              <w:t xml:space="preserve"> </w:t>
            </w:r>
            <w:r w:rsidR="00A46399" w:rsidRPr="00A46399">
              <w:rPr>
                <w:rFonts w:ascii="Times New Roman" w:hAnsi="Times New Roman" w:cs="Times New Roman"/>
                <w:sz w:val="22"/>
              </w:rPr>
              <w:t>paliwami</w:t>
            </w:r>
            <w:r w:rsidR="00AF69A3">
              <w:rPr>
                <w:rFonts w:ascii="Times New Roman" w:hAnsi="Times New Roman" w:cs="Times New Roman"/>
                <w:sz w:val="22"/>
              </w:rPr>
              <w:t xml:space="preserve"> </w:t>
            </w:r>
            <w:r w:rsidR="00A46399" w:rsidRPr="00A46399">
              <w:rPr>
                <w:rFonts w:ascii="Times New Roman" w:hAnsi="Times New Roman" w:cs="Times New Roman"/>
                <w:sz w:val="22"/>
              </w:rPr>
              <w:t>gazowymi</w:t>
            </w:r>
            <w:r w:rsidR="00AF69A3">
              <w:rPr>
                <w:rFonts w:ascii="Times New Roman" w:hAnsi="Times New Roman" w:cs="Times New Roman"/>
                <w:sz w:val="22"/>
              </w:rPr>
              <w:t xml:space="preserve"> </w:t>
            </w:r>
            <w:r w:rsidR="00A46399" w:rsidRPr="00A46399">
              <w:rPr>
                <w:rFonts w:ascii="Times New Roman" w:hAnsi="Times New Roman" w:cs="Times New Roman"/>
                <w:sz w:val="22"/>
              </w:rPr>
              <w:t>i</w:t>
            </w:r>
            <w:r w:rsidR="00AF69A3">
              <w:rPr>
                <w:rFonts w:ascii="Times New Roman" w:hAnsi="Times New Roman" w:cs="Times New Roman"/>
                <w:sz w:val="22"/>
              </w:rPr>
              <w:t> </w:t>
            </w:r>
            <w:r w:rsidR="00A46399" w:rsidRPr="00A46399">
              <w:rPr>
                <w:rFonts w:ascii="Times New Roman" w:hAnsi="Times New Roman" w:cs="Times New Roman"/>
                <w:sz w:val="22"/>
              </w:rPr>
              <w:t>gazem</w:t>
            </w:r>
            <w:r w:rsidR="00AF69A3">
              <w:rPr>
                <w:rFonts w:ascii="Times New Roman" w:hAnsi="Times New Roman" w:cs="Times New Roman"/>
                <w:sz w:val="22"/>
              </w:rPr>
              <w:t xml:space="preserve"> </w:t>
            </w:r>
            <w:r w:rsidR="00A46399" w:rsidRPr="00A46399">
              <w:rPr>
                <w:rFonts w:ascii="Times New Roman" w:hAnsi="Times New Roman" w:cs="Times New Roman"/>
                <w:sz w:val="22"/>
              </w:rPr>
              <w:t>z</w:t>
            </w:r>
            <w:r w:rsidR="00AF69A3">
              <w:rPr>
                <w:rFonts w:ascii="Times New Roman" w:hAnsi="Times New Roman" w:cs="Times New Roman"/>
                <w:sz w:val="22"/>
              </w:rPr>
              <w:t xml:space="preserve"> </w:t>
            </w:r>
            <w:r w:rsidR="00A46399" w:rsidRPr="00A46399">
              <w:rPr>
                <w:rFonts w:ascii="Times New Roman" w:hAnsi="Times New Roman" w:cs="Times New Roman"/>
                <w:sz w:val="22"/>
              </w:rPr>
              <w:t xml:space="preserve">zagranicą, </w:t>
            </w:r>
            <w:r w:rsidR="00935BB3">
              <w:rPr>
                <w:rFonts w:ascii="Times New Roman" w:hAnsi="Times New Roman" w:cs="Times New Roman"/>
                <w:sz w:val="22"/>
              </w:rPr>
              <w:t xml:space="preserve">lub </w:t>
            </w:r>
            <w:r w:rsidR="00A46399" w:rsidRPr="00A46399">
              <w:rPr>
                <w:rFonts w:ascii="Times New Roman" w:hAnsi="Times New Roman" w:cs="Times New Roman"/>
                <w:sz w:val="22"/>
              </w:rPr>
              <w:t>wytwarzanie lub przesyłanie lub dystrybucja</w:t>
            </w:r>
            <w:r w:rsidR="00AF69A3">
              <w:rPr>
                <w:rFonts w:ascii="Times New Roman" w:hAnsi="Times New Roman" w:cs="Times New Roman"/>
                <w:sz w:val="22"/>
              </w:rPr>
              <w:t xml:space="preserve"> </w:t>
            </w:r>
            <w:r w:rsidR="00A46399" w:rsidRPr="00A46399">
              <w:rPr>
                <w:rFonts w:ascii="Times New Roman" w:hAnsi="Times New Roman" w:cs="Times New Roman"/>
                <w:sz w:val="22"/>
              </w:rPr>
              <w:t>ciepła,</w:t>
            </w:r>
            <w:r w:rsidR="00AF69A3">
              <w:rPr>
                <w:rFonts w:ascii="Times New Roman" w:hAnsi="Times New Roman" w:cs="Times New Roman"/>
                <w:sz w:val="22"/>
              </w:rPr>
              <w:t xml:space="preserve"> </w:t>
            </w:r>
            <w:r w:rsidR="00935BB3">
              <w:rPr>
                <w:rFonts w:ascii="Times New Roman" w:hAnsi="Times New Roman" w:cs="Times New Roman"/>
                <w:sz w:val="22"/>
              </w:rPr>
              <w:t xml:space="preserve">lub </w:t>
            </w:r>
            <w:r w:rsidR="00A46399" w:rsidRPr="00A46399">
              <w:rPr>
                <w:rFonts w:ascii="Times New Roman" w:hAnsi="Times New Roman" w:cs="Times New Roman"/>
                <w:sz w:val="22"/>
              </w:rPr>
              <w:t>przeładunek</w:t>
            </w:r>
            <w:r w:rsidR="00AF69A3">
              <w:rPr>
                <w:rFonts w:ascii="Times New Roman" w:hAnsi="Times New Roman" w:cs="Times New Roman"/>
                <w:sz w:val="22"/>
              </w:rPr>
              <w:t xml:space="preserve"> </w:t>
            </w:r>
            <w:r w:rsidR="00A46399" w:rsidRPr="00A46399">
              <w:rPr>
                <w:rFonts w:ascii="Times New Roman" w:hAnsi="Times New Roman" w:cs="Times New Roman"/>
                <w:sz w:val="22"/>
              </w:rPr>
              <w:t>w</w:t>
            </w:r>
            <w:r w:rsidR="00AF69A3">
              <w:rPr>
                <w:rFonts w:ascii="Times New Roman" w:hAnsi="Times New Roman" w:cs="Times New Roman"/>
                <w:sz w:val="22"/>
              </w:rPr>
              <w:t xml:space="preserve"> </w:t>
            </w:r>
            <w:r w:rsidR="00A46399" w:rsidRPr="00A46399">
              <w:rPr>
                <w:rFonts w:ascii="Times New Roman" w:hAnsi="Times New Roman" w:cs="Times New Roman"/>
                <w:sz w:val="22"/>
              </w:rPr>
              <w:t>portach śródlądowych,</w:t>
            </w:r>
            <w:r w:rsidR="00935BB3">
              <w:rPr>
                <w:rFonts w:ascii="Times New Roman" w:hAnsi="Times New Roman" w:cs="Times New Roman"/>
                <w:sz w:val="22"/>
              </w:rPr>
              <w:t xml:space="preserve"> lub</w:t>
            </w:r>
            <w:r w:rsidR="00A46399" w:rsidRPr="00A46399">
              <w:rPr>
                <w:rFonts w:ascii="Times New Roman" w:hAnsi="Times New Roman" w:cs="Times New Roman"/>
                <w:sz w:val="22"/>
              </w:rPr>
              <w:t xml:space="preserve"> przetwórstwo</w:t>
            </w:r>
            <w:r w:rsidR="00AF69A3">
              <w:rPr>
                <w:rFonts w:ascii="Times New Roman" w:hAnsi="Times New Roman" w:cs="Times New Roman"/>
                <w:sz w:val="22"/>
              </w:rPr>
              <w:t xml:space="preserve"> </w:t>
            </w:r>
            <w:r w:rsidR="00A46399" w:rsidRPr="00A46399">
              <w:rPr>
                <w:rFonts w:ascii="Times New Roman" w:hAnsi="Times New Roman" w:cs="Times New Roman"/>
                <w:sz w:val="22"/>
              </w:rPr>
              <w:t>mięsa, mleka, zbóż oraz owoców i warzyw</w:t>
            </w:r>
            <w:r w:rsidRPr="00E02B81">
              <w:rPr>
                <w:rFonts w:ascii="Times New Roman" w:hAnsi="Times New Roman" w:cs="Times New Roman"/>
                <w:sz w:val="22"/>
              </w:rPr>
              <w:t>.</w:t>
            </w:r>
          </w:p>
          <w:p w:rsidR="00A46399" w:rsidRDefault="00A46399" w:rsidP="0046334D">
            <w:pPr>
              <w:spacing w:before="120" w:after="120" w:line="240" w:lineRule="auto"/>
              <w:jc w:val="both"/>
              <w:rPr>
                <w:rFonts w:ascii="Times New Roman" w:hAnsi="Times New Roman"/>
                <w:szCs w:val="20"/>
              </w:rPr>
            </w:pPr>
            <w:r w:rsidRPr="00491AC1">
              <w:rPr>
                <w:rFonts w:ascii="Times New Roman" w:hAnsi="Times New Roman"/>
                <w:szCs w:val="20"/>
              </w:rPr>
              <w:t xml:space="preserve">Ochroną zostaną objęte podmioty, których przychód ze sprzedaży i usług </w:t>
            </w:r>
            <w:r w:rsidR="00F75716">
              <w:rPr>
                <w:rFonts w:ascii="Times New Roman" w:hAnsi="Times New Roman"/>
                <w:szCs w:val="20"/>
              </w:rPr>
              <w:t>przekroczył</w:t>
            </w:r>
            <w:r w:rsidRPr="00491AC1">
              <w:rPr>
                <w:rFonts w:ascii="Times New Roman" w:hAnsi="Times New Roman"/>
                <w:szCs w:val="20"/>
              </w:rPr>
              <w:t xml:space="preserve"> na terytorium RP</w:t>
            </w:r>
            <w:r w:rsidR="00491AC1">
              <w:rPr>
                <w:rFonts w:ascii="Times New Roman" w:hAnsi="Times New Roman"/>
                <w:szCs w:val="20"/>
              </w:rPr>
              <w:t>,</w:t>
            </w:r>
            <w:r w:rsidRPr="00491AC1">
              <w:rPr>
                <w:rFonts w:ascii="Times New Roman" w:hAnsi="Times New Roman"/>
                <w:szCs w:val="20"/>
              </w:rPr>
              <w:t xml:space="preserve"> w</w:t>
            </w:r>
            <w:r w:rsidR="00AF69A3">
              <w:rPr>
                <w:rFonts w:ascii="Times New Roman" w:hAnsi="Times New Roman"/>
                <w:szCs w:val="20"/>
              </w:rPr>
              <w:t> </w:t>
            </w:r>
            <w:r w:rsidRPr="00491AC1">
              <w:rPr>
                <w:rFonts w:ascii="Times New Roman" w:hAnsi="Times New Roman"/>
                <w:szCs w:val="20"/>
              </w:rPr>
              <w:t>którymkolwiek z dwóch lat obrotowych poprzedz</w:t>
            </w:r>
            <w:r w:rsidR="00F75716">
              <w:rPr>
                <w:rFonts w:ascii="Times New Roman" w:hAnsi="Times New Roman"/>
                <w:szCs w:val="20"/>
              </w:rPr>
              <w:t>ających zgłoszenie, równowartoś</w:t>
            </w:r>
            <w:r w:rsidR="000E5952">
              <w:rPr>
                <w:rFonts w:ascii="Times New Roman" w:hAnsi="Times New Roman"/>
                <w:szCs w:val="20"/>
              </w:rPr>
              <w:t>ć</w:t>
            </w:r>
            <w:r w:rsidRPr="00491AC1">
              <w:rPr>
                <w:rFonts w:ascii="Times New Roman" w:hAnsi="Times New Roman"/>
                <w:szCs w:val="20"/>
              </w:rPr>
              <w:t xml:space="preserve"> 10 mln euro.</w:t>
            </w:r>
          </w:p>
          <w:p w:rsidR="00EB3BE8" w:rsidRDefault="00EB3BE8" w:rsidP="0046334D">
            <w:pPr>
              <w:spacing w:before="120" w:after="120" w:line="240" w:lineRule="auto"/>
              <w:jc w:val="both"/>
              <w:rPr>
                <w:rFonts w:ascii="Times New Roman" w:hAnsi="Times New Roman"/>
                <w:szCs w:val="20"/>
              </w:rPr>
            </w:pPr>
            <w:r>
              <w:rPr>
                <w:rFonts w:ascii="Times New Roman" w:hAnsi="Times New Roman"/>
                <w:szCs w:val="20"/>
              </w:rPr>
              <w:t xml:space="preserve">Za naruszenie projektowanych przepisów będzie obowiązywała niższa niż w obecnie obowiązujących przepisach ustawy o kontroli niektórych inwestycji kara grzywny. </w:t>
            </w:r>
            <w:r w:rsidRPr="00EB3BE8">
              <w:rPr>
                <w:rFonts w:ascii="Times New Roman" w:hAnsi="Times New Roman"/>
                <w:szCs w:val="20"/>
              </w:rPr>
              <w:t>Niższe w stosunku do obecnych kary są uzasadnione tym, że obowiązek zawiadomienia będzie dotyczył co do zasady inwestycji o mniejszej wartości niż dotychczas kontrolowane na podstawie przepisów ustawy. Zagrożenie karą pozbawienia wolności od 6 miesięcy do 5 lat pozostaje bez zmian w stosunku do obecnych regulacji. Kara grzywy i pozbawienia wolności może być orzeczona łącznie.</w:t>
            </w:r>
          </w:p>
          <w:p w:rsidR="005A5646" w:rsidRPr="00E67654" w:rsidRDefault="00176F22" w:rsidP="00910B7F">
            <w:pPr>
              <w:pStyle w:val="Akapitzlist"/>
              <w:numPr>
                <w:ilvl w:val="0"/>
                <w:numId w:val="32"/>
              </w:numPr>
              <w:spacing w:after="120" w:line="240" w:lineRule="auto"/>
              <w:rPr>
                <w:rFonts w:ascii="Times New Roman" w:hAnsi="Times New Roman"/>
                <w:b/>
              </w:rPr>
            </w:pPr>
            <w:r>
              <w:rPr>
                <w:rFonts w:ascii="Times New Roman" w:hAnsi="Times New Roman"/>
                <w:b/>
              </w:rPr>
              <w:t>Ułatwienie dostępu do</w:t>
            </w:r>
            <w:r w:rsidR="00070FFD">
              <w:rPr>
                <w:rFonts w:ascii="Times New Roman" w:hAnsi="Times New Roman"/>
                <w:b/>
              </w:rPr>
              <w:t xml:space="preserve"> w</w:t>
            </w:r>
            <w:r w:rsidR="005A5646" w:rsidRPr="00E67654">
              <w:rPr>
                <w:rFonts w:ascii="Times New Roman" w:hAnsi="Times New Roman"/>
                <w:b/>
              </w:rPr>
              <w:t>akacj</w:t>
            </w:r>
            <w:r w:rsidR="00070FFD">
              <w:rPr>
                <w:rFonts w:ascii="Times New Roman" w:hAnsi="Times New Roman"/>
                <w:b/>
              </w:rPr>
              <w:t>i</w:t>
            </w:r>
            <w:r w:rsidR="005A5646" w:rsidRPr="00E67654">
              <w:rPr>
                <w:rFonts w:ascii="Times New Roman" w:hAnsi="Times New Roman"/>
                <w:b/>
              </w:rPr>
              <w:t xml:space="preserve"> kredytow</w:t>
            </w:r>
            <w:r w:rsidR="00070FFD">
              <w:rPr>
                <w:rFonts w:ascii="Times New Roman" w:hAnsi="Times New Roman"/>
                <w:b/>
              </w:rPr>
              <w:t>ych</w:t>
            </w:r>
          </w:p>
          <w:p w:rsidR="005A5646" w:rsidRPr="00E67654" w:rsidRDefault="004D2EEE" w:rsidP="00E67654">
            <w:pPr>
              <w:spacing w:after="120" w:line="240" w:lineRule="auto"/>
              <w:jc w:val="both"/>
              <w:rPr>
                <w:rFonts w:ascii="Times New Roman" w:hAnsi="Times New Roman"/>
                <w:color w:val="000000"/>
              </w:rPr>
            </w:pPr>
            <w:r>
              <w:rPr>
                <w:rFonts w:ascii="Times New Roman" w:hAnsi="Times New Roman"/>
              </w:rPr>
              <w:t xml:space="preserve">Projekt przewiduje wprowadzenie </w:t>
            </w:r>
            <w:r w:rsidR="00253589">
              <w:rPr>
                <w:rFonts w:ascii="Times New Roman" w:hAnsi="Times New Roman"/>
              </w:rPr>
              <w:t>jasnych i transparentnych zasad</w:t>
            </w:r>
            <w:r w:rsidR="005A5646" w:rsidRPr="00E67654">
              <w:rPr>
                <w:rFonts w:ascii="Times New Roman" w:hAnsi="Times New Roman"/>
              </w:rPr>
              <w:t xml:space="preserve"> zawieszenia wykonania umowy</w:t>
            </w:r>
            <w:r>
              <w:rPr>
                <w:rFonts w:ascii="Times New Roman" w:hAnsi="Times New Roman"/>
              </w:rPr>
              <w:t xml:space="preserve"> kredytowej</w:t>
            </w:r>
            <w:r w:rsidR="00253589">
              <w:rPr>
                <w:rFonts w:ascii="Times New Roman" w:hAnsi="Times New Roman"/>
              </w:rPr>
              <w:t>. Istotą rozwiązania</w:t>
            </w:r>
            <w:r w:rsidR="005A5646" w:rsidRPr="00E67654">
              <w:rPr>
                <w:rFonts w:ascii="Times New Roman" w:hAnsi="Times New Roman"/>
              </w:rPr>
              <w:t xml:space="preserve"> jest zawieszenie obowiązku dokonywania płatności, do których kredytobiorca zobowiązany jest na podstawie zawartej umowy</w:t>
            </w:r>
            <w:r w:rsidR="00D42A97">
              <w:rPr>
                <w:rFonts w:ascii="Times New Roman" w:hAnsi="Times New Roman"/>
              </w:rPr>
              <w:t xml:space="preserve"> (zarówno</w:t>
            </w:r>
            <w:r w:rsidR="005A5646" w:rsidRPr="00E67654">
              <w:rPr>
                <w:rFonts w:ascii="Times New Roman" w:hAnsi="Times New Roman"/>
              </w:rPr>
              <w:t xml:space="preserve"> części kapitałowej</w:t>
            </w:r>
            <w:r w:rsidR="00B106F8">
              <w:rPr>
                <w:rFonts w:ascii="Times New Roman" w:hAnsi="Times New Roman"/>
              </w:rPr>
              <w:t>,</w:t>
            </w:r>
            <w:r w:rsidR="005A5646" w:rsidRPr="00E67654">
              <w:rPr>
                <w:rFonts w:ascii="Times New Roman" w:hAnsi="Times New Roman"/>
              </w:rPr>
              <w:t xml:space="preserve"> jak i odsetkowej raty</w:t>
            </w:r>
            <w:r w:rsidR="00D42A97">
              <w:rPr>
                <w:rFonts w:ascii="Times New Roman" w:hAnsi="Times New Roman"/>
              </w:rPr>
              <w:t>)</w:t>
            </w:r>
            <w:r w:rsidR="005A5646" w:rsidRPr="00E67654">
              <w:rPr>
                <w:rFonts w:ascii="Times New Roman" w:hAnsi="Times New Roman"/>
              </w:rPr>
              <w:t>. W tym okresie kredyto</w:t>
            </w:r>
            <w:r w:rsidR="00DD1F89">
              <w:rPr>
                <w:rFonts w:ascii="Times New Roman" w:hAnsi="Times New Roman"/>
              </w:rPr>
              <w:t>dawc</w:t>
            </w:r>
            <w:r w:rsidR="005A5646" w:rsidRPr="00E67654">
              <w:rPr>
                <w:rFonts w:ascii="Times New Roman" w:hAnsi="Times New Roman"/>
              </w:rPr>
              <w:t>a nie może pobierać żadnych innych opłat</w:t>
            </w:r>
            <w:r w:rsidR="00485501">
              <w:rPr>
                <w:rFonts w:ascii="Times New Roman" w:hAnsi="Times New Roman"/>
              </w:rPr>
              <w:t>,</w:t>
            </w:r>
            <w:r w:rsidR="005A5646" w:rsidRPr="00E67654">
              <w:rPr>
                <w:rFonts w:ascii="Times New Roman" w:hAnsi="Times New Roman"/>
              </w:rPr>
              <w:t xml:space="preserve"> za wyjątkiem świadczeń pieniężnych, które wynikają z posiadanych przez kredytobiorcę ubezpieczeń powiązanych z umową kredytu. Maksymalny termin zawieszenia wykonania umowy </w:t>
            </w:r>
            <w:r w:rsidR="00253589">
              <w:rPr>
                <w:rFonts w:ascii="Times New Roman" w:hAnsi="Times New Roman"/>
              </w:rPr>
              <w:t>będzie</w:t>
            </w:r>
            <w:r w:rsidR="005A5646" w:rsidRPr="00E67654">
              <w:rPr>
                <w:rFonts w:ascii="Times New Roman" w:hAnsi="Times New Roman"/>
              </w:rPr>
              <w:t xml:space="preserve"> wynosi</w:t>
            </w:r>
            <w:r w:rsidR="00253589">
              <w:rPr>
                <w:rFonts w:ascii="Times New Roman" w:hAnsi="Times New Roman"/>
              </w:rPr>
              <w:t>ł</w:t>
            </w:r>
            <w:r w:rsidR="005A5646" w:rsidRPr="00E67654">
              <w:rPr>
                <w:rFonts w:ascii="Times New Roman" w:hAnsi="Times New Roman"/>
              </w:rPr>
              <w:t xml:space="preserve"> 3 miesiące. </w:t>
            </w:r>
            <w:r w:rsidR="00D42A97">
              <w:rPr>
                <w:rFonts w:ascii="Times New Roman" w:hAnsi="Times New Roman"/>
              </w:rPr>
              <w:t>O</w:t>
            </w:r>
            <w:r w:rsidR="005A5646" w:rsidRPr="00E67654">
              <w:rPr>
                <w:rFonts w:ascii="Times New Roman" w:hAnsi="Times New Roman"/>
              </w:rPr>
              <w:t>kres kredytowania</w:t>
            </w:r>
            <w:r w:rsidR="00B106F8">
              <w:rPr>
                <w:rFonts w:ascii="Times New Roman" w:hAnsi="Times New Roman"/>
              </w:rPr>
              <w:t>,</w:t>
            </w:r>
            <w:r w:rsidR="005A5646" w:rsidRPr="00E67654">
              <w:rPr>
                <w:rFonts w:ascii="Times New Roman" w:hAnsi="Times New Roman"/>
              </w:rPr>
              <w:t xml:space="preserve"> jak i wszystkie terminy przewidziane w umowie kredytu, uleg</w:t>
            </w:r>
            <w:r w:rsidR="00D42A97">
              <w:rPr>
                <w:rFonts w:ascii="Times New Roman" w:hAnsi="Times New Roman"/>
              </w:rPr>
              <w:t>n</w:t>
            </w:r>
            <w:r w:rsidR="005A5646" w:rsidRPr="00E67654">
              <w:rPr>
                <w:rFonts w:ascii="Times New Roman" w:hAnsi="Times New Roman"/>
              </w:rPr>
              <w:t>ą stosownemu przedłużeniu o okres</w:t>
            </w:r>
            <w:r w:rsidR="00D42A97">
              <w:rPr>
                <w:rFonts w:ascii="Times New Roman" w:hAnsi="Times New Roman"/>
              </w:rPr>
              <w:t xml:space="preserve"> </w:t>
            </w:r>
            <w:r w:rsidR="005A5646" w:rsidRPr="00E67654">
              <w:rPr>
                <w:rFonts w:ascii="Times New Roman" w:hAnsi="Times New Roman"/>
              </w:rPr>
              <w:t>zawieszenia.</w:t>
            </w:r>
            <w:r w:rsidR="00157F4D">
              <w:rPr>
                <w:rFonts w:ascii="Times New Roman" w:hAnsi="Times New Roman"/>
              </w:rPr>
              <w:t xml:space="preserve"> P</w:t>
            </w:r>
            <w:r w:rsidR="00157F4D" w:rsidRPr="000D0EA5">
              <w:rPr>
                <w:rFonts w:ascii="Times New Roman" w:hAnsi="Times New Roman"/>
              </w:rPr>
              <w:t xml:space="preserve">rzedmiotowe zawieszenie </w:t>
            </w:r>
            <w:r w:rsidR="00157F4D">
              <w:rPr>
                <w:rFonts w:ascii="Times New Roman" w:hAnsi="Times New Roman"/>
              </w:rPr>
              <w:t xml:space="preserve">będzie </w:t>
            </w:r>
            <w:r w:rsidR="00157F4D" w:rsidRPr="000D0EA5">
              <w:rPr>
                <w:rFonts w:ascii="Times New Roman" w:hAnsi="Times New Roman"/>
              </w:rPr>
              <w:t>przysług</w:t>
            </w:r>
            <w:r w:rsidR="00157F4D">
              <w:rPr>
                <w:rFonts w:ascii="Times New Roman" w:hAnsi="Times New Roman"/>
              </w:rPr>
              <w:t>iwało</w:t>
            </w:r>
            <w:r w:rsidR="00157F4D" w:rsidRPr="000D0EA5">
              <w:rPr>
                <w:rFonts w:ascii="Times New Roman" w:hAnsi="Times New Roman"/>
              </w:rPr>
              <w:t xml:space="preserve"> kredytobiorcy, który po dniu 13 marca 2020 r. utracił pracę lub inne główne źródło dochodu</w:t>
            </w:r>
            <w:r w:rsidR="00157F4D">
              <w:rPr>
                <w:rFonts w:ascii="Times New Roman" w:hAnsi="Times New Roman"/>
              </w:rPr>
              <w:t>.</w:t>
            </w:r>
          </w:p>
          <w:p w:rsidR="005A5646" w:rsidRPr="00E67654" w:rsidRDefault="00253589" w:rsidP="00E67654">
            <w:pPr>
              <w:spacing w:after="120" w:line="240" w:lineRule="auto"/>
              <w:jc w:val="both"/>
              <w:rPr>
                <w:rFonts w:ascii="Times New Roman" w:hAnsi="Times New Roman"/>
                <w:bCs/>
              </w:rPr>
            </w:pPr>
            <w:r w:rsidRPr="000E72A5">
              <w:rPr>
                <w:rFonts w:ascii="Times New Roman" w:hAnsi="Times New Roman"/>
                <w:bCs/>
              </w:rPr>
              <w:t>Dysponentem uprawnienia do zawieszenia wykonania umowy jest wyłącznie kredytobiorca</w:t>
            </w:r>
            <w:r>
              <w:rPr>
                <w:rFonts w:ascii="Times New Roman" w:hAnsi="Times New Roman"/>
                <w:bCs/>
              </w:rPr>
              <w:t xml:space="preserve">, a </w:t>
            </w:r>
            <w:r w:rsidRPr="008603E7">
              <w:rPr>
                <w:rFonts w:ascii="Times New Roman" w:hAnsi="Times New Roman"/>
                <w:bCs/>
              </w:rPr>
              <w:t>kredytodawca jest z</w:t>
            </w:r>
            <w:r w:rsidRPr="005E6839">
              <w:rPr>
                <w:rFonts w:ascii="Times New Roman" w:hAnsi="Times New Roman"/>
                <w:bCs/>
              </w:rPr>
              <w:t>wiązany decyzją kredytobiorcy</w:t>
            </w:r>
            <w:r>
              <w:rPr>
                <w:rFonts w:ascii="Times New Roman" w:hAnsi="Times New Roman"/>
                <w:bCs/>
              </w:rPr>
              <w:t>. P</w:t>
            </w:r>
            <w:r w:rsidR="00D42A97">
              <w:rPr>
                <w:rFonts w:ascii="Times New Roman" w:hAnsi="Times New Roman"/>
                <w:color w:val="000000"/>
              </w:rPr>
              <w:t>ozwol</w:t>
            </w:r>
            <w:r>
              <w:rPr>
                <w:rFonts w:ascii="Times New Roman" w:hAnsi="Times New Roman"/>
                <w:color w:val="000000"/>
              </w:rPr>
              <w:t xml:space="preserve">i </w:t>
            </w:r>
            <w:r w:rsidR="00D42A97">
              <w:rPr>
                <w:rFonts w:ascii="Times New Roman" w:hAnsi="Times New Roman"/>
                <w:color w:val="000000"/>
              </w:rPr>
              <w:t>t</w:t>
            </w:r>
            <w:r>
              <w:rPr>
                <w:rFonts w:ascii="Times New Roman" w:hAnsi="Times New Roman"/>
                <w:color w:val="000000"/>
              </w:rPr>
              <w:t>o</w:t>
            </w:r>
            <w:r w:rsidRPr="001E216B">
              <w:rPr>
                <w:rFonts w:ascii="Times New Roman" w:hAnsi="Times New Roman"/>
                <w:color w:val="000000"/>
              </w:rPr>
              <w:t xml:space="preserve"> na szybkie rozpatrzenie wniosku oraz na elastyczny dobór okresu zawieszenia według wyboru kredytobiorc</w:t>
            </w:r>
            <w:r>
              <w:rPr>
                <w:rFonts w:ascii="Times New Roman" w:hAnsi="Times New Roman"/>
                <w:color w:val="000000"/>
              </w:rPr>
              <w:t>y.</w:t>
            </w:r>
            <w:r>
              <w:rPr>
                <w:rFonts w:ascii="Times New Roman" w:hAnsi="Times New Roman"/>
              </w:rPr>
              <w:t xml:space="preserve"> </w:t>
            </w:r>
            <w:r w:rsidR="00485501">
              <w:rPr>
                <w:rFonts w:ascii="Times New Roman" w:hAnsi="Times New Roman"/>
              </w:rPr>
              <w:t>Z</w:t>
            </w:r>
            <w:r w:rsidR="005A5646" w:rsidRPr="00E67654">
              <w:rPr>
                <w:rFonts w:ascii="Times New Roman" w:hAnsi="Times New Roman"/>
              </w:rPr>
              <w:t xml:space="preserve">awieszenie wykonania umowy </w:t>
            </w:r>
            <w:r w:rsidR="00485501">
              <w:rPr>
                <w:rFonts w:ascii="Times New Roman" w:hAnsi="Times New Roman"/>
              </w:rPr>
              <w:t xml:space="preserve">będzie </w:t>
            </w:r>
            <w:r w:rsidR="005A5646" w:rsidRPr="00E67654">
              <w:rPr>
                <w:rFonts w:ascii="Times New Roman" w:hAnsi="Times New Roman"/>
              </w:rPr>
              <w:t>następowało ze skutkiem ex lege z</w:t>
            </w:r>
            <w:r>
              <w:rPr>
                <w:rFonts w:ascii="Times New Roman" w:hAnsi="Times New Roman"/>
              </w:rPr>
              <w:t> </w:t>
            </w:r>
            <w:r w:rsidR="005A5646" w:rsidRPr="00E67654">
              <w:rPr>
                <w:rFonts w:ascii="Times New Roman" w:hAnsi="Times New Roman"/>
              </w:rPr>
              <w:t xml:space="preserve">chwilą doręczenia kredytodawcy wniosku. </w:t>
            </w:r>
            <w:r w:rsidRPr="00A75398">
              <w:rPr>
                <w:rFonts w:ascii="Times New Roman" w:hAnsi="Times New Roman"/>
                <w:bCs/>
              </w:rPr>
              <w:t xml:space="preserve">W terminie 14 dni od doręczenia wniosku, kredytodawca zobowiązany </w:t>
            </w:r>
            <w:r w:rsidR="00D42A97">
              <w:rPr>
                <w:rFonts w:ascii="Times New Roman" w:hAnsi="Times New Roman"/>
                <w:bCs/>
              </w:rPr>
              <w:t>będzie</w:t>
            </w:r>
            <w:r w:rsidRPr="00A75398">
              <w:rPr>
                <w:rFonts w:ascii="Times New Roman" w:hAnsi="Times New Roman"/>
                <w:bCs/>
              </w:rPr>
              <w:t xml:space="preserve"> przekazać kredytobiorcy</w:t>
            </w:r>
            <w:r>
              <w:rPr>
                <w:rFonts w:ascii="Times New Roman" w:hAnsi="Times New Roman"/>
                <w:bCs/>
              </w:rPr>
              <w:t xml:space="preserve"> </w:t>
            </w:r>
            <w:r w:rsidRPr="00A75398">
              <w:rPr>
                <w:rFonts w:ascii="Times New Roman" w:hAnsi="Times New Roman"/>
                <w:bCs/>
              </w:rPr>
              <w:t xml:space="preserve">potwierdzenie jego otrzymania oraz poinformować o wysokości opłat z tytułu umów ubezpieczenia. </w:t>
            </w:r>
            <w:r w:rsidR="005A5646" w:rsidRPr="00E67654">
              <w:rPr>
                <w:rFonts w:ascii="Times New Roman" w:hAnsi="Times New Roman"/>
                <w:bCs/>
              </w:rPr>
              <w:t xml:space="preserve">W zakresie </w:t>
            </w:r>
            <w:r w:rsidR="004D2EEE" w:rsidRPr="004D2EEE">
              <w:rPr>
                <w:rFonts w:ascii="Times New Roman" w:hAnsi="Times New Roman"/>
                <w:bCs/>
              </w:rPr>
              <w:t>przedmiotowym uprawnienie zosta</w:t>
            </w:r>
            <w:r w:rsidR="004D2EEE">
              <w:rPr>
                <w:rFonts w:ascii="Times New Roman" w:hAnsi="Times New Roman"/>
                <w:bCs/>
              </w:rPr>
              <w:t>nie</w:t>
            </w:r>
            <w:r w:rsidR="005A5646" w:rsidRPr="00E67654">
              <w:rPr>
                <w:rFonts w:ascii="Times New Roman" w:hAnsi="Times New Roman"/>
                <w:bCs/>
              </w:rPr>
              <w:t xml:space="preserve"> ograniczone do umów, które zostały zawarte przed 13</w:t>
            </w:r>
            <w:r>
              <w:rPr>
                <w:rFonts w:ascii="Times New Roman" w:hAnsi="Times New Roman"/>
                <w:bCs/>
              </w:rPr>
              <w:t> </w:t>
            </w:r>
            <w:r w:rsidR="005A5646" w:rsidRPr="00E67654">
              <w:rPr>
                <w:rFonts w:ascii="Times New Roman" w:hAnsi="Times New Roman"/>
                <w:bCs/>
              </w:rPr>
              <w:t xml:space="preserve">marca 2020 r. i co do których zakończenie okresu kredytowania przypada po upływie 6 miesięcy od daty 13 marca 2020 r. Natomiast w przypadku, w którym kredytobiorca posiada kilka kredytów tego samego rodzaju (np. dwa kredyty waloryzowane do CHF) u danego kredytodawcy, przepisy ograniczają możliwość skorzystania z uprawnienia do zawieszenia umowy, tylko w stosunku do jednego z nich, wedle wyboru kredytobiorcy. </w:t>
            </w:r>
          </w:p>
          <w:p w:rsidR="00AF1BCB" w:rsidRPr="008E02F3" w:rsidRDefault="004A5F92" w:rsidP="00910B7F">
            <w:pPr>
              <w:pStyle w:val="Akapitzlist"/>
              <w:numPr>
                <w:ilvl w:val="0"/>
                <w:numId w:val="32"/>
              </w:numPr>
              <w:spacing w:after="120" w:line="240" w:lineRule="auto"/>
              <w:rPr>
                <w:rFonts w:ascii="Times New Roman" w:hAnsi="Times New Roman"/>
                <w:b/>
              </w:rPr>
            </w:pPr>
            <w:r>
              <w:rPr>
                <w:rFonts w:ascii="Times New Roman" w:hAnsi="Times New Roman"/>
                <w:b/>
              </w:rPr>
              <w:t>Dostosowanie</w:t>
            </w:r>
            <w:r w:rsidR="00176F22">
              <w:rPr>
                <w:rFonts w:ascii="Times New Roman" w:hAnsi="Times New Roman"/>
                <w:b/>
              </w:rPr>
              <w:t xml:space="preserve"> rynku pracy do wyzwań COVID-19</w:t>
            </w:r>
          </w:p>
          <w:p w:rsidR="00AF1BCB" w:rsidRDefault="00565221" w:rsidP="00DC0FE5">
            <w:pPr>
              <w:spacing w:after="120" w:line="240" w:lineRule="auto"/>
              <w:jc w:val="both"/>
              <w:rPr>
                <w:rFonts w:ascii="Times New Roman" w:hAnsi="Times New Roman"/>
                <w:bCs/>
              </w:rPr>
            </w:pPr>
            <w:r w:rsidRPr="00EF0D9C">
              <w:rPr>
                <w:rFonts w:ascii="Times New Roman" w:hAnsi="Times New Roman"/>
                <w:bCs/>
              </w:rPr>
              <w:t>W projekcie przewidzian</w:t>
            </w:r>
            <w:r>
              <w:rPr>
                <w:rFonts w:ascii="Times New Roman" w:hAnsi="Times New Roman"/>
                <w:bCs/>
              </w:rPr>
              <w:t xml:space="preserve">e zostały rozwiązania, które </w:t>
            </w:r>
            <w:r w:rsidR="00070FFD">
              <w:rPr>
                <w:rFonts w:ascii="Times New Roman" w:hAnsi="Times New Roman"/>
                <w:bCs/>
              </w:rPr>
              <w:t xml:space="preserve">m.in. </w:t>
            </w:r>
            <w:r>
              <w:rPr>
                <w:rFonts w:ascii="Times New Roman" w:hAnsi="Times New Roman"/>
                <w:bCs/>
              </w:rPr>
              <w:t>mają wesprzeć pracodawców, u których wystąpił spadek obrotów gospodarczych w następstwie wystąpienia COVID-19:</w:t>
            </w:r>
          </w:p>
          <w:p w:rsidR="00917903" w:rsidRDefault="00CC588D" w:rsidP="008E02F3">
            <w:pPr>
              <w:pStyle w:val="Akapitzlist"/>
              <w:numPr>
                <w:ilvl w:val="0"/>
                <w:numId w:val="62"/>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Umożliwienie udzielenia przez pracodawcę pracownikowi, w terminie wskazanym przez pracodawcę, urlopu wypoczynkowego niewykorzystanego w poprzednich latach kalendarzowych, w wymiarze do 30 dni urlopu</w:t>
            </w:r>
            <w:r w:rsidR="00F5103A">
              <w:rPr>
                <w:rFonts w:ascii="Times New Roman" w:hAnsi="Times New Roman"/>
                <w:color w:val="000000"/>
                <w:spacing w:val="-2"/>
              </w:rPr>
              <w:t xml:space="preserve">. </w:t>
            </w:r>
          </w:p>
          <w:p w:rsidR="00917903" w:rsidRPr="00917903" w:rsidRDefault="00917903" w:rsidP="00917903">
            <w:pPr>
              <w:spacing w:after="120" w:line="240" w:lineRule="auto"/>
              <w:jc w:val="both"/>
              <w:rPr>
                <w:rFonts w:ascii="Times New Roman" w:hAnsi="Times New Roman"/>
                <w:color w:val="000000"/>
                <w:spacing w:val="-2"/>
              </w:rPr>
            </w:pPr>
            <w:r>
              <w:rPr>
                <w:rFonts w:ascii="Times New Roman" w:hAnsi="Times New Roman"/>
                <w:color w:val="000000"/>
                <w:spacing w:val="-2"/>
              </w:rPr>
              <w:t xml:space="preserve">Projektowane rozwiązanie ma </w:t>
            </w:r>
            <w:r w:rsidR="00F5103A">
              <w:rPr>
                <w:rFonts w:ascii="Times New Roman" w:hAnsi="Times New Roman"/>
                <w:color w:val="000000"/>
                <w:spacing w:val="-2"/>
              </w:rPr>
              <w:t xml:space="preserve">m.in. </w:t>
            </w:r>
            <w:r>
              <w:rPr>
                <w:rFonts w:ascii="Times New Roman" w:hAnsi="Times New Roman"/>
                <w:color w:val="000000"/>
                <w:spacing w:val="-2"/>
              </w:rPr>
              <w:t>zapobiec kumulacji urlopów niewykorzystanych za zaległe lata oraz urlopów nabytych w bieżącym roku kalendarzowym.</w:t>
            </w:r>
          </w:p>
          <w:p w:rsidR="00565221" w:rsidRPr="00ED372B" w:rsidRDefault="00904480" w:rsidP="008E02F3">
            <w:pPr>
              <w:pStyle w:val="Akapitzlist"/>
              <w:numPr>
                <w:ilvl w:val="0"/>
                <w:numId w:val="62"/>
              </w:numPr>
              <w:spacing w:after="120" w:line="240" w:lineRule="auto"/>
              <w:contextualSpacing w:val="0"/>
              <w:jc w:val="both"/>
              <w:rPr>
                <w:rFonts w:asciiTheme="minorHAnsi" w:hAnsiTheme="minorHAnsi" w:cstheme="minorHAnsi"/>
                <w:bCs/>
                <w:color w:val="FF0000"/>
                <w:sz w:val="18"/>
                <w:szCs w:val="18"/>
              </w:rPr>
            </w:pPr>
            <w:r w:rsidRPr="00ED372B">
              <w:rPr>
                <w:rFonts w:ascii="Times New Roman" w:hAnsi="Times New Roman"/>
                <w:color w:val="000000"/>
                <w:spacing w:val="-2"/>
              </w:rPr>
              <w:t>U</w:t>
            </w:r>
            <w:r w:rsidR="00131B7F" w:rsidRPr="00ED372B">
              <w:rPr>
                <w:rFonts w:ascii="Times New Roman" w:hAnsi="Times New Roman"/>
                <w:color w:val="000000"/>
                <w:spacing w:val="-2"/>
              </w:rPr>
              <w:t>m</w:t>
            </w:r>
            <w:r w:rsidR="002F41AC" w:rsidRPr="00ED372B">
              <w:rPr>
                <w:rFonts w:ascii="Times New Roman" w:hAnsi="Times New Roman"/>
                <w:color w:val="000000"/>
                <w:spacing w:val="-2"/>
              </w:rPr>
              <w:t>ożliwienie</w:t>
            </w:r>
            <w:r w:rsidR="00565221" w:rsidRPr="00ED372B">
              <w:rPr>
                <w:rFonts w:ascii="Times New Roman" w:hAnsi="Times New Roman"/>
                <w:color w:val="000000"/>
                <w:spacing w:val="-2"/>
              </w:rPr>
              <w:t xml:space="preserve"> obniżenia wymiaru czasu pracy pracownika </w:t>
            </w:r>
            <w:r w:rsidR="002F41AC" w:rsidRPr="00ED372B">
              <w:rPr>
                <w:rFonts w:ascii="Times New Roman" w:hAnsi="Times New Roman"/>
                <w:color w:val="000000"/>
                <w:spacing w:val="-2"/>
              </w:rPr>
              <w:t>lub objęcie</w:t>
            </w:r>
            <w:r w:rsidR="00565221" w:rsidRPr="00ED372B">
              <w:rPr>
                <w:rFonts w:ascii="Times New Roman" w:hAnsi="Times New Roman"/>
                <w:color w:val="000000"/>
                <w:spacing w:val="-2"/>
              </w:rPr>
              <w:t xml:space="preserve"> pracownika przestojem ekonomicznym</w:t>
            </w:r>
            <w:r w:rsidR="00131B7F" w:rsidRPr="00ED372B">
              <w:rPr>
                <w:rFonts w:ascii="Times New Roman" w:hAnsi="Times New Roman"/>
                <w:color w:val="000000"/>
                <w:spacing w:val="-2"/>
              </w:rPr>
              <w:t xml:space="preserve"> </w:t>
            </w:r>
            <w:r w:rsidRPr="00ED372B">
              <w:rPr>
                <w:rFonts w:ascii="Times New Roman" w:hAnsi="Times New Roman"/>
                <w:color w:val="000000"/>
                <w:spacing w:val="-2"/>
              </w:rPr>
              <w:t>w</w:t>
            </w:r>
            <w:r w:rsidR="00DC0FE5" w:rsidRPr="00ED372B">
              <w:rPr>
                <w:rFonts w:ascii="Times New Roman" w:hAnsi="Times New Roman"/>
                <w:color w:val="000000"/>
                <w:spacing w:val="-2"/>
              </w:rPr>
              <w:t> </w:t>
            </w:r>
            <w:r w:rsidRPr="00ED372B">
              <w:rPr>
                <w:rFonts w:ascii="Times New Roman" w:hAnsi="Times New Roman"/>
                <w:color w:val="000000"/>
                <w:spacing w:val="-2"/>
              </w:rPr>
              <w:t>przypadku istotnego wzrostu obciążenia wynagrodzeń u pracodawcy.</w:t>
            </w:r>
          </w:p>
          <w:p w:rsidR="00904480" w:rsidRPr="00ED372B" w:rsidRDefault="00904480" w:rsidP="00C97E37">
            <w:pPr>
              <w:spacing w:after="120" w:line="240" w:lineRule="auto"/>
              <w:jc w:val="both"/>
              <w:rPr>
                <w:rFonts w:ascii="Times New Roman" w:hAnsi="Times New Roman"/>
              </w:rPr>
            </w:pPr>
            <w:r w:rsidRPr="00ED372B">
              <w:rPr>
                <w:rFonts w:ascii="Times New Roman" w:hAnsi="Times New Roman"/>
              </w:rPr>
              <w:t xml:space="preserve">Projektowany przepis zapobiegnie negatywnym skutkom gospodarczym związanym z rozprzestrzenianiem się COVID-19, w tym przede wszystkim poprawi płynność finansową przedsiębiorstw, zapewni ochronę miejsc pracy i dochodów pracowników. Przedkładana propozycja obok zapobieżeniu zwolnieniom pracowników, zabezpiecza również ich podstawowy dochód i gwarantuje stabilność zatrudnienia w okresie stanu zagrożenia epidemicznego lub stanu epidemii. </w:t>
            </w:r>
          </w:p>
          <w:p w:rsidR="00131B7F" w:rsidRPr="00ED372B" w:rsidRDefault="00CC588D" w:rsidP="008E02F3">
            <w:pPr>
              <w:pStyle w:val="Akapitzlist"/>
              <w:numPr>
                <w:ilvl w:val="0"/>
                <w:numId w:val="62"/>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Rozszerzenie możliwości</w:t>
            </w:r>
            <w:r w:rsidR="00694A36" w:rsidRPr="00ED372B">
              <w:rPr>
                <w:rFonts w:ascii="Times New Roman" w:hAnsi="Times New Roman"/>
                <w:color w:val="000000"/>
                <w:spacing w:val="-2"/>
              </w:rPr>
              <w:t xml:space="preserve"> wprowadzenia zmian w organizacji i warunkach pracy również do sytuacji istotnego wzrostu obciążenia </w:t>
            </w:r>
            <w:r w:rsidRPr="00ED372B">
              <w:rPr>
                <w:rFonts w:ascii="Times New Roman" w:hAnsi="Times New Roman"/>
                <w:color w:val="000000"/>
                <w:spacing w:val="-2"/>
              </w:rPr>
              <w:t>fundusz</w:t>
            </w:r>
            <w:r>
              <w:rPr>
                <w:rFonts w:ascii="Times New Roman" w:hAnsi="Times New Roman"/>
                <w:color w:val="000000"/>
                <w:spacing w:val="-2"/>
              </w:rPr>
              <w:t>u</w:t>
            </w:r>
            <w:r w:rsidRPr="00ED372B">
              <w:rPr>
                <w:rFonts w:ascii="Times New Roman" w:hAnsi="Times New Roman"/>
                <w:color w:val="000000"/>
                <w:spacing w:val="-2"/>
              </w:rPr>
              <w:t xml:space="preserve"> </w:t>
            </w:r>
            <w:r w:rsidR="00694A36" w:rsidRPr="00ED372B">
              <w:rPr>
                <w:rFonts w:ascii="Times New Roman" w:hAnsi="Times New Roman"/>
                <w:color w:val="000000"/>
                <w:spacing w:val="-2"/>
              </w:rPr>
              <w:t>wynagrodzeń.</w:t>
            </w:r>
          </w:p>
          <w:p w:rsidR="00774292" w:rsidRDefault="00495190" w:rsidP="00C97E37">
            <w:pPr>
              <w:spacing w:after="120" w:line="240" w:lineRule="auto"/>
              <w:jc w:val="both"/>
              <w:rPr>
                <w:rFonts w:ascii="Times New Roman" w:hAnsi="Times New Roman"/>
              </w:rPr>
            </w:pPr>
            <w:r w:rsidRPr="00C97E37">
              <w:rPr>
                <w:rFonts w:ascii="Times New Roman" w:hAnsi="Times New Roman"/>
              </w:rPr>
              <w:t xml:space="preserve">Projektowana regulacja zapewni </w:t>
            </w:r>
            <w:r>
              <w:rPr>
                <w:rFonts w:ascii="Times New Roman" w:hAnsi="Times New Roman"/>
              </w:rPr>
              <w:t>pracodawcom</w:t>
            </w:r>
            <w:r w:rsidRPr="00C97E37">
              <w:rPr>
                <w:rFonts w:ascii="Times New Roman" w:hAnsi="Times New Roman"/>
              </w:rPr>
              <w:t xml:space="preserve"> dodatkową elastyczność wym</w:t>
            </w:r>
            <w:r w:rsidRPr="00DC0FE5">
              <w:rPr>
                <w:rFonts w:ascii="Times New Roman" w:hAnsi="Times New Roman"/>
              </w:rPr>
              <w:t>aganą w czasach dekoniunktury</w:t>
            </w:r>
            <w:r>
              <w:rPr>
                <w:rFonts w:ascii="Times New Roman" w:hAnsi="Times New Roman"/>
              </w:rPr>
              <w:t xml:space="preserve">, dopasowania prowadzonej działalności do obecnych uwarunkowań prawno-gospodarczych. </w:t>
            </w:r>
            <w:r w:rsidR="00774292" w:rsidRPr="007C6393">
              <w:rPr>
                <w:rFonts w:ascii="Times New Roman" w:hAnsi="Times New Roman"/>
              </w:rPr>
              <w:t>Zwiększenie elastyczności poprzez możliwość wydłużenia dobowego wymiaru czasu pracy pozwoli przedsiębiorcom na zachowanie dotychczasowej liczby etatów, a części firmom (szczególnie produkcyjnym) także</w:t>
            </w:r>
            <w:r w:rsidR="00774292">
              <w:rPr>
                <w:rFonts w:ascii="Times New Roman" w:hAnsi="Times New Roman"/>
              </w:rPr>
              <w:t xml:space="preserve"> na wygenerowanie oszczędności.</w:t>
            </w:r>
          </w:p>
          <w:p w:rsidR="00AE4DE0" w:rsidRDefault="00774292" w:rsidP="008E02F3">
            <w:pPr>
              <w:pStyle w:val="Akapitzlist"/>
              <w:numPr>
                <w:ilvl w:val="0"/>
                <w:numId w:val="62"/>
              </w:numPr>
              <w:spacing w:after="120" w:line="240" w:lineRule="auto"/>
              <w:contextualSpacing w:val="0"/>
              <w:jc w:val="both"/>
              <w:rPr>
                <w:rFonts w:ascii="Times New Roman" w:hAnsi="Times New Roman"/>
                <w:color w:val="000000"/>
                <w:spacing w:val="-2"/>
              </w:rPr>
            </w:pPr>
            <w:r w:rsidRPr="00C97E37">
              <w:rPr>
                <w:rFonts w:ascii="Times New Roman" w:hAnsi="Times New Roman"/>
                <w:color w:val="000000"/>
                <w:spacing w:val="-2"/>
              </w:rPr>
              <w:t xml:space="preserve">Doprecyzowanie </w:t>
            </w:r>
            <w:r w:rsidR="00AE4DE0">
              <w:rPr>
                <w:rFonts w:ascii="Times New Roman" w:hAnsi="Times New Roman"/>
                <w:color w:val="000000"/>
                <w:spacing w:val="-2"/>
              </w:rPr>
              <w:t xml:space="preserve">zasad wykonywania </w:t>
            </w:r>
            <w:r w:rsidRPr="00C97E37">
              <w:rPr>
                <w:rFonts w:ascii="Times New Roman" w:hAnsi="Times New Roman"/>
                <w:color w:val="000000"/>
                <w:spacing w:val="-2"/>
              </w:rPr>
              <w:t>pracy zdalnej</w:t>
            </w:r>
            <w:r w:rsidR="001C5A23">
              <w:rPr>
                <w:rFonts w:ascii="Times New Roman" w:hAnsi="Times New Roman"/>
                <w:color w:val="000000"/>
                <w:spacing w:val="-2"/>
              </w:rPr>
              <w:t>.</w:t>
            </w:r>
          </w:p>
          <w:p w:rsidR="00AE4DE0" w:rsidRPr="00070FFD" w:rsidRDefault="00AE4DE0" w:rsidP="00070FFD">
            <w:pPr>
              <w:spacing w:after="120" w:line="240" w:lineRule="auto"/>
              <w:jc w:val="both"/>
              <w:rPr>
                <w:rFonts w:ascii="Times New Roman" w:hAnsi="Times New Roman"/>
                <w:color w:val="000000"/>
                <w:spacing w:val="-2"/>
              </w:rPr>
            </w:pPr>
            <w:r>
              <w:rPr>
                <w:rFonts w:ascii="Times New Roman" w:hAnsi="Times New Roman"/>
                <w:color w:val="000000"/>
                <w:spacing w:val="-2"/>
              </w:rPr>
              <w:t>Projektowane doprecyzowanie ma na celu zapewnienie równego traktowania pracowników i zapobiec ewentualnym nadużyciom m.in. polegającym na tym, że osoby które nie mają warunków do wykonywania pracy zdalnej korzystają z</w:t>
            </w:r>
            <w:r w:rsidR="006D7278">
              <w:rPr>
                <w:rFonts w:ascii="Times New Roman" w:hAnsi="Times New Roman"/>
                <w:color w:val="000000"/>
                <w:spacing w:val="-2"/>
              </w:rPr>
              <w:t> </w:t>
            </w:r>
            <w:r>
              <w:rPr>
                <w:rFonts w:ascii="Times New Roman" w:hAnsi="Times New Roman"/>
                <w:color w:val="000000"/>
                <w:spacing w:val="-2"/>
              </w:rPr>
              <w:t>tego statusu.</w:t>
            </w:r>
          </w:p>
          <w:p w:rsidR="00761C40" w:rsidRDefault="00DD16EE" w:rsidP="008E02F3">
            <w:pPr>
              <w:pStyle w:val="Akapitzlist"/>
              <w:numPr>
                <w:ilvl w:val="0"/>
                <w:numId w:val="62"/>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Ograniczenie</w:t>
            </w:r>
            <w:r w:rsidRPr="00DD16EE">
              <w:rPr>
                <w:rFonts w:ascii="Times New Roman" w:hAnsi="Times New Roman"/>
                <w:color w:val="000000"/>
                <w:spacing w:val="-2"/>
              </w:rPr>
              <w:t xml:space="preserve"> </w:t>
            </w:r>
            <w:r w:rsidR="00625847">
              <w:rPr>
                <w:rFonts w:ascii="Times New Roman" w:hAnsi="Times New Roman"/>
                <w:color w:val="000000"/>
                <w:spacing w:val="-2"/>
              </w:rPr>
              <w:t xml:space="preserve">wysokości </w:t>
            </w:r>
            <w:r w:rsidRPr="00DD16EE">
              <w:rPr>
                <w:rFonts w:ascii="Times New Roman" w:hAnsi="Times New Roman"/>
                <w:color w:val="000000"/>
                <w:spacing w:val="-2"/>
              </w:rPr>
              <w:t>odpraw</w:t>
            </w:r>
            <w:r w:rsidR="003440CE">
              <w:rPr>
                <w:rFonts w:ascii="Times New Roman" w:hAnsi="Times New Roman"/>
                <w:color w:val="000000"/>
                <w:spacing w:val="-2"/>
              </w:rPr>
              <w:t xml:space="preserve"> i </w:t>
            </w:r>
            <w:r w:rsidRPr="00DD16EE">
              <w:rPr>
                <w:rFonts w:ascii="Times New Roman" w:hAnsi="Times New Roman"/>
                <w:color w:val="000000"/>
                <w:spacing w:val="-2"/>
              </w:rPr>
              <w:t xml:space="preserve">odszkodowań </w:t>
            </w:r>
            <w:r w:rsidR="008D2F37" w:rsidRPr="008D2F37">
              <w:rPr>
                <w:rFonts w:ascii="Times New Roman" w:hAnsi="Times New Roman"/>
                <w:color w:val="000000"/>
                <w:spacing w:val="-2"/>
              </w:rPr>
              <w:t xml:space="preserve">lub innego świadczenia pieniężnego wypłacanego przez pracodawcę pracownikowi </w:t>
            </w:r>
            <w:r>
              <w:rPr>
                <w:rFonts w:ascii="Times New Roman" w:hAnsi="Times New Roman"/>
                <w:color w:val="000000"/>
                <w:spacing w:val="-2"/>
              </w:rPr>
              <w:t xml:space="preserve">w </w:t>
            </w:r>
            <w:r w:rsidR="00625847">
              <w:rPr>
                <w:rFonts w:ascii="Times New Roman" w:hAnsi="Times New Roman"/>
                <w:color w:val="000000"/>
                <w:spacing w:val="-2"/>
              </w:rPr>
              <w:t>związku z rozwiązaniem umowy o pracę</w:t>
            </w:r>
            <w:r w:rsidR="0046334D">
              <w:rPr>
                <w:rFonts w:ascii="Times New Roman" w:hAnsi="Times New Roman"/>
                <w:color w:val="000000"/>
                <w:spacing w:val="-2"/>
              </w:rPr>
              <w:t xml:space="preserve">, </w:t>
            </w:r>
            <w:r w:rsidRPr="00DD16EE">
              <w:rPr>
                <w:rFonts w:ascii="Times New Roman" w:hAnsi="Times New Roman"/>
                <w:color w:val="000000"/>
                <w:spacing w:val="-2"/>
              </w:rPr>
              <w:t>umowy agencyjnej, umowy zlecenia, innej umowy o świadczenie usług</w:t>
            </w:r>
            <w:r w:rsidRPr="00DD16EE" w:rsidDel="0055371C">
              <w:rPr>
                <w:rFonts w:ascii="Times New Roman" w:hAnsi="Times New Roman"/>
                <w:color w:val="000000"/>
                <w:spacing w:val="-2"/>
              </w:rPr>
              <w:t xml:space="preserve"> </w:t>
            </w:r>
            <w:r>
              <w:rPr>
                <w:rFonts w:ascii="Times New Roman" w:hAnsi="Times New Roman"/>
                <w:color w:val="000000"/>
                <w:spacing w:val="-2"/>
              </w:rPr>
              <w:t xml:space="preserve">do kwoty 10-krotności minimalnego wynagrodzenia za pracę. </w:t>
            </w:r>
          </w:p>
          <w:p w:rsidR="00DD7CB7" w:rsidRPr="008E02F3" w:rsidRDefault="00761C40" w:rsidP="008E02F3">
            <w:pPr>
              <w:spacing w:after="120" w:line="240" w:lineRule="auto"/>
              <w:jc w:val="both"/>
              <w:rPr>
                <w:rFonts w:ascii="Times New Roman" w:hAnsi="Times New Roman"/>
                <w:color w:val="000000"/>
                <w:spacing w:val="-2"/>
              </w:rPr>
            </w:pPr>
            <w:r w:rsidRPr="00DD7CB7">
              <w:rPr>
                <w:rFonts w:ascii="Times New Roman" w:hAnsi="Times New Roman"/>
                <w:color w:val="000000"/>
                <w:spacing w:val="-2"/>
              </w:rPr>
              <w:t>Projektowana zmiana ma mieć zastosowanie w okresie obowiązywania stanu zagrożenia epidemicznego albo stanu epidemii, ogłoszonego z powodu COVID-19, w przypadku wystąpienia u pracodawcy spadku obrotów gospodarczych lub istotnego wzrostu obciążenia funduszu wynagrodzeń.</w:t>
            </w:r>
            <w:r w:rsidRPr="008E02F3">
              <w:rPr>
                <w:rFonts w:ascii="Times New Roman" w:hAnsi="Times New Roman"/>
                <w:color w:val="000000"/>
                <w:spacing w:val="-2"/>
              </w:rPr>
              <w:t xml:space="preserve"> </w:t>
            </w:r>
          </w:p>
          <w:p w:rsidR="001C5A23" w:rsidRPr="00DD7CB7" w:rsidRDefault="00AD4E27" w:rsidP="008E02F3">
            <w:pPr>
              <w:pStyle w:val="Akapitzlist"/>
              <w:numPr>
                <w:ilvl w:val="0"/>
                <w:numId w:val="62"/>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Możliwość z</w:t>
            </w:r>
            <w:r w:rsidR="001C5A23" w:rsidRPr="00DD7CB7">
              <w:rPr>
                <w:rFonts w:ascii="Times New Roman" w:hAnsi="Times New Roman"/>
                <w:color w:val="000000"/>
                <w:spacing w:val="-2"/>
              </w:rPr>
              <w:t>awieszeni</w:t>
            </w:r>
            <w:r>
              <w:rPr>
                <w:rFonts w:ascii="Times New Roman" w:hAnsi="Times New Roman"/>
                <w:color w:val="000000"/>
                <w:spacing w:val="-2"/>
              </w:rPr>
              <w:t>a</w:t>
            </w:r>
            <w:r w:rsidR="001C5A23" w:rsidRPr="00DD7CB7">
              <w:rPr>
                <w:rFonts w:ascii="Times New Roman" w:hAnsi="Times New Roman"/>
                <w:color w:val="000000"/>
                <w:spacing w:val="-2"/>
              </w:rPr>
              <w:t xml:space="preserve"> </w:t>
            </w:r>
            <w:r w:rsidR="00BE42A3" w:rsidRPr="00DD7CB7">
              <w:rPr>
                <w:rFonts w:ascii="Times New Roman" w:hAnsi="Times New Roman"/>
                <w:color w:val="000000"/>
                <w:spacing w:val="-2"/>
              </w:rPr>
              <w:t>niektórych</w:t>
            </w:r>
            <w:r w:rsidR="001C5A23" w:rsidRPr="00DD7CB7">
              <w:rPr>
                <w:rFonts w:ascii="Times New Roman" w:hAnsi="Times New Roman"/>
                <w:color w:val="000000"/>
                <w:spacing w:val="-2"/>
              </w:rPr>
              <w:t xml:space="preserve"> obowiązków dot. zakładowego funduszu świadczeń socjalnych i innych funduszy mających socjalny charakter, w czasie obowiązywania stanu zagrożenia epidemicznego albo stanu epidemii ogłoszonego z powodu COVID-19, w przypadku wystąpienia u pracodawcy </w:t>
            </w:r>
            <w:r w:rsidR="00F856D7" w:rsidRPr="00DD7CB7">
              <w:rPr>
                <w:rFonts w:ascii="Times New Roman" w:hAnsi="Times New Roman"/>
                <w:color w:val="000000"/>
                <w:spacing w:val="-2"/>
              </w:rPr>
              <w:t xml:space="preserve">określonego </w:t>
            </w:r>
            <w:r w:rsidR="001C5A23" w:rsidRPr="00DD7CB7">
              <w:rPr>
                <w:rFonts w:ascii="Times New Roman" w:hAnsi="Times New Roman"/>
                <w:color w:val="000000"/>
                <w:spacing w:val="-2"/>
              </w:rPr>
              <w:t>spadku obrotów gospodarczych</w:t>
            </w:r>
            <w:r w:rsidR="001854DF" w:rsidRPr="00DD7CB7">
              <w:rPr>
                <w:rFonts w:ascii="Times New Roman" w:hAnsi="Times New Roman"/>
                <w:color w:val="000000"/>
                <w:spacing w:val="-2"/>
              </w:rPr>
              <w:t xml:space="preserve"> lub istotn</w:t>
            </w:r>
            <w:r w:rsidR="003B5F8B">
              <w:rPr>
                <w:rFonts w:ascii="Times New Roman" w:hAnsi="Times New Roman"/>
                <w:color w:val="000000"/>
                <w:spacing w:val="-2"/>
              </w:rPr>
              <w:t>ego</w:t>
            </w:r>
            <w:r w:rsidR="001854DF" w:rsidRPr="00DD7CB7">
              <w:rPr>
                <w:rFonts w:ascii="Times New Roman" w:hAnsi="Times New Roman"/>
                <w:color w:val="000000"/>
                <w:spacing w:val="-2"/>
              </w:rPr>
              <w:t xml:space="preserve"> wzrost</w:t>
            </w:r>
            <w:r w:rsidR="003B5F8B">
              <w:rPr>
                <w:rFonts w:ascii="Times New Roman" w:hAnsi="Times New Roman"/>
                <w:color w:val="000000"/>
                <w:spacing w:val="-2"/>
              </w:rPr>
              <w:t>u</w:t>
            </w:r>
            <w:r w:rsidR="001854DF" w:rsidRPr="00DD7CB7">
              <w:rPr>
                <w:rFonts w:ascii="Times New Roman" w:hAnsi="Times New Roman"/>
                <w:color w:val="000000"/>
                <w:spacing w:val="-2"/>
              </w:rPr>
              <w:t xml:space="preserve"> obciąże</w:t>
            </w:r>
            <w:r w:rsidR="003B5F8B">
              <w:rPr>
                <w:rFonts w:ascii="Times New Roman" w:hAnsi="Times New Roman"/>
                <w:color w:val="000000"/>
                <w:spacing w:val="-2"/>
              </w:rPr>
              <w:t>nia</w:t>
            </w:r>
            <w:r w:rsidR="001854DF" w:rsidRPr="00DD7CB7">
              <w:rPr>
                <w:rFonts w:ascii="Times New Roman" w:hAnsi="Times New Roman"/>
                <w:color w:val="000000"/>
                <w:spacing w:val="-2"/>
              </w:rPr>
              <w:t xml:space="preserve"> </w:t>
            </w:r>
            <w:r w:rsidR="003B5F8B">
              <w:rPr>
                <w:rFonts w:ascii="Times New Roman" w:hAnsi="Times New Roman"/>
                <w:color w:val="000000"/>
                <w:spacing w:val="-2"/>
              </w:rPr>
              <w:t xml:space="preserve">funduszu </w:t>
            </w:r>
            <w:r w:rsidR="001854DF" w:rsidRPr="00DD7CB7">
              <w:rPr>
                <w:rFonts w:ascii="Times New Roman" w:hAnsi="Times New Roman"/>
                <w:color w:val="000000"/>
                <w:spacing w:val="-2"/>
              </w:rPr>
              <w:t>wynagrodze</w:t>
            </w:r>
            <w:r w:rsidR="003B5F8B">
              <w:rPr>
                <w:rFonts w:ascii="Times New Roman" w:hAnsi="Times New Roman"/>
                <w:color w:val="000000"/>
                <w:spacing w:val="-2"/>
              </w:rPr>
              <w:t>ń</w:t>
            </w:r>
            <w:r w:rsidR="001C5A23" w:rsidRPr="00DD7CB7">
              <w:rPr>
                <w:rFonts w:ascii="Times New Roman" w:hAnsi="Times New Roman"/>
                <w:color w:val="000000"/>
                <w:spacing w:val="-2"/>
              </w:rPr>
              <w:t>.</w:t>
            </w:r>
          </w:p>
          <w:p w:rsidR="00872310" w:rsidRPr="00C97E37" w:rsidRDefault="00872310" w:rsidP="00C97E37">
            <w:pPr>
              <w:spacing w:after="120" w:line="240" w:lineRule="auto"/>
              <w:jc w:val="both"/>
              <w:rPr>
                <w:rFonts w:ascii="Times New Roman" w:hAnsi="Times New Roman"/>
              </w:rPr>
            </w:pPr>
            <w:r w:rsidRPr="00C97E37">
              <w:rPr>
                <w:rFonts w:ascii="Times New Roman" w:hAnsi="Times New Roman"/>
              </w:rPr>
              <w:t>Projektowana regulacja umożliwi pracodawcy, w o</w:t>
            </w:r>
            <w:r w:rsidR="00630028" w:rsidRPr="00630028">
              <w:rPr>
                <w:rFonts w:ascii="Times New Roman" w:hAnsi="Times New Roman"/>
              </w:rPr>
              <w:t>kresie trwającej pandemii COVID</w:t>
            </w:r>
            <w:r w:rsidR="00630028">
              <w:rPr>
                <w:rFonts w:ascii="Times New Roman" w:hAnsi="Times New Roman"/>
              </w:rPr>
              <w:t>-</w:t>
            </w:r>
            <w:r w:rsidRPr="00C97E37">
              <w:rPr>
                <w:rFonts w:ascii="Times New Roman" w:hAnsi="Times New Roman"/>
              </w:rPr>
              <w:t>19, przeznaczenie zaoszczędzonych w ten sposób środków na ut</w:t>
            </w:r>
            <w:r w:rsidR="005552B6">
              <w:rPr>
                <w:rFonts w:ascii="Times New Roman" w:hAnsi="Times New Roman"/>
              </w:rPr>
              <w:t>rzymanie miejsc pracy.</w:t>
            </w:r>
          </w:p>
          <w:p w:rsidR="00B21702" w:rsidRPr="00C97E37" w:rsidRDefault="001C5A23" w:rsidP="008E02F3">
            <w:pPr>
              <w:pStyle w:val="Akapitzlist"/>
              <w:numPr>
                <w:ilvl w:val="0"/>
                <w:numId w:val="62"/>
              </w:numPr>
              <w:spacing w:after="120" w:line="240" w:lineRule="auto"/>
              <w:contextualSpacing w:val="0"/>
              <w:jc w:val="both"/>
              <w:rPr>
                <w:rFonts w:asciiTheme="minorHAnsi" w:hAnsiTheme="minorHAnsi" w:cstheme="minorHAnsi"/>
                <w:bCs/>
                <w:color w:val="FF0000"/>
                <w:sz w:val="18"/>
                <w:szCs w:val="18"/>
              </w:rPr>
            </w:pPr>
            <w:r>
              <w:rPr>
                <w:rFonts w:ascii="Times New Roman" w:hAnsi="Times New Roman"/>
                <w:color w:val="000000"/>
                <w:spacing w:val="-2"/>
              </w:rPr>
              <w:t>Umożliwienie wypowiedzenia umów o zakazie konkurencji w okresie obowiązywania stanu zagrożenia epidemicznego albo stanu epidemii.</w:t>
            </w:r>
          </w:p>
          <w:p w:rsidR="00B21702" w:rsidRDefault="00B21702" w:rsidP="00C97E37">
            <w:pPr>
              <w:spacing w:after="120" w:line="240" w:lineRule="auto"/>
              <w:jc w:val="both"/>
              <w:rPr>
                <w:rFonts w:ascii="Times New Roman" w:hAnsi="Times New Roman"/>
              </w:rPr>
            </w:pPr>
            <w:r w:rsidRPr="00B21702">
              <w:rPr>
                <w:rFonts w:ascii="Times New Roman" w:hAnsi="Times New Roman"/>
              </w:rPr>
              <w:t xml:space="preserve">Projektowana regulacja </w:t>
            </w:r>
            <w:r>
              <w:rPr>
                <w:rFonts w:ascii="Times New Roman" w:hAnsi="Times New Roman"/>
              </w:rPr>
              <w:t>zapewni pracodawcom, zleceniodawcom, zamawiającym uprawnienie do jednostronnego wypowiedzenia umowy o zakazie konkurencji obowiązującym po u</w:t>
            </w:r>
            <w:r w:rsidR="00630028">
              <w:rPr>
                <w:rFonts w:ascii="Times New Roman" w:hAnsi="Times New Roman"/>
              </w:rPr>
              <w:t>staniu danego stosunku prawnego,</w:t>
            </w:r>
            <w:r>
              <w:rPr>
                <w:rFonts w:ascii="Times New Roman" w:hAnsi="Times New Roman"/>
              </w:rPr>
              <w:t xml:space="preserve"> </w:t>
            </w:r>
            <w:r w:rsidR="00630028">
              <w:rPr>
                <w:rFonts w:ascii="Times New Roman" w:hAnsi="Times New Roman"/>
              </w:rPr>
              <w:t>p</w:t>
            </w:r>
            <w:r>
              <w:rPr>
                <w:rFonts w:ascii="Times New Roman" w:hAnsi="Times New Roman"/>
              </w:rPr>
              <w:t>rzez to wraz z</w:t>
            </w:r>
            <w:r w:rsidR="006D7278">
              <w:rPr>
                <w:rFonts w:ascii="Times New Roman" w:hAnsi="Times New Roman"/>
              </w:rPr>
              <w:t> </w:t>
            </w:r>
            <w:r>
              <w:rPr>
                <w:rFonts w:ascii="Times New Roman" w:hAnsi="Times New Roman"/>
              </w:rPr>
              <w:t xml:space="preserve">wygaśnięciem umowy wygaśnie ich zobowiązanie do zapłaty odszkodowania ponad </w:t>
            </w:r>
            <w:r w:rsidR="00630028">
              <w:rPr>
                <w:rFonts w:ascii="Times New Roman" w:hAnsi="Times New Roman"/>
              </w:rPr>
              <w:t>okres trwania umowy</w:t>
            </w:r>
            <w:r w:rsidR="00872310">
              <w:rPr>
                <w:rFonts w:ascii="Times New Roman" w:hAnsi="Times New Roman"/>
              </w:rPr>
              <w:t>.</w:t>
            </w:r>
            <w:r>
              <w:rPr>
                <w:rFonts w:ascii="Times New Roman" w:hAnsi="Times New Roman"/>
              </w:rPr>
              <w:t xml:space="preserve"> </w:t>
            </w:r>
          </w:p>
          <w:p w:rsidR="00DC0FE5" w:rsidRPr="008E02F3" w:rsidRDefault="00E45EC8" w:rsidP="008E02F3">
            <w:pPr>
              <w:pStyle w:val="Akapitzlist"/>
              <w:numPr>
                <w:ilvl w:val="0"/>
                <w:numId w:val="32"/>
              </w:numPr>
              <w:spacing w:after="120" w:line="240" w:lineRule="auto"/>
              <w:rPr>
                <w:rFonts w:ascii="Times New Roman" w:hAnsi="Times New Roman"/>
                <w:b/>
              </w:rPr>
            </w:pPr>
            <w:r>
              <w:rPr>
                <w:rFonts w:ascii="Times New Roman" w:hAnsi="Times New Roman"/>
                <w:b/>
              </w:rPr>
              <w:t>Pozostałe rozwiązania</w:t>
            </w:r>
          </w:p>
          <w:p w:rsidR="001E6414" w:rsidRPr="001E6414" w:rsidRDefault="001E6414" w:rsidP="001C6D26">
            <w:pPr>
              <w:pStyle w:val="Akapitzlist"/>
              <w:spacing w:before="120" w:after="120" w:line="240" w:lineRule="auto"/>
              <w:ind w:left="34"/>
              <w:contextualSpacing w:val="0"/>
              <w:jc w:val="both"/>
              <w:rPr>
                <w:rFonts w:asciiTheme="minorHAnsi" w:hAnsiTheme="minorHAnsi" w:cstheme="minorHAnsi"/>
                <w:bCs/>
                <w:color w:val="FF0000"/>
                <w:sz w:val="18"/>
                <w:szCs w:val="18"/>
              </w:rPr>
            </w:pPr>
            <w:r w:rsidRPr="001E6414">
              <w:rPr>
                <w:rFonts w:ascii="Times New Roman" w:hAnsi="Times New Roman"/>
              </w:rPr>
              <w:t xml:space="preserve">Projekt zawiera również kilkadziesiąt innych </w:t>
            </w:r>
            <w:r>
              <w:rPr>
                <w:rFonts w:ascii="Times New Roman" w:hAnsi="Times New Roman"/>
              </w:rPr>
              <w:t xml:space="preserve">propozycji, związanych z dostosowaniem różnych przepisów do </w:t>
            </w:r>
            <w:r w:rsidR="001C6D26">
              <w:rPr>
                <w:rFonts w:ascii="Times New Roman" w:hAnsi="Times New Roman"/>
              </w:rPr>
              <w:t>wyzwań</w:t>
            </w:r>
            <w:r>
              <w:rPr>
                <w:rFonts w:ascii="Times New Roman" w:hAnsi="Times New Roman"/>
              </w:rPr>
              <w:t xml:space="preserve"> </w:t>
            </w:r>
            <w:r w:rsidR="001C6D26">
              <w:rPr>
                <w:rFonts w:ascii="Times New Roman" w:hAnsi="Times New Roman"/>
              </w:rPr>
              <w:t>związanych</w:t>
            </w:r>
            <w:r>
              <w:rPr>
                <w:rFonts w:ascii="Times New Roman" w:hAnsi="Times New Roman"/>
              </w:rPr>
              <w:t xml:space="preserve"> z COVID-19, w tym m.in. następujące rozwiązania:</w:t>
            </w:r>
          </w:p>
          <w:p w:rsidR="005C40CF" w:rsidRPr="00917903" w:rsidRDefault="005C40CF" w:rsidP="008E02F3">
            <w:pPr>
              <w:pStyle w:val="Akapitzlist"/>
              <w:numPr>
                <w:ilvl w:val="0"/>
                <w:numId w:val="63"/>
              </w:numPr>
              <w:spacing w:after="120" w:line="240" w:lineRule="auto"/>
              <w:contextualSpacing w:val="0"/>
              <w:jc w:val="both"/>
              <w:rPr>
                <w:rFonts w:asciiTheme="minorHAnsi" w:hAnsiTheme="minorHAnsi" w:cstheme="minorHAnsi"/>
                <w:bCs/>
                <w:color w:val="FF0000"/>
                <w:sz w:val="18"/>
                <w:szCs w:val="18"/>
              </w:rPr>
            </w:pPr>
            <w:r>
              <w:rPr>
                <w:rFonts w:ascii="Times New Roman" w:hAnsi="Times New Roman"/>
                <w:color w:val="000000"/>
                <w:spacing w:val="-2"/>
              </w:rPr>
              <w:t>U</w:t>
            </w:r>
            <w:r w:rsidRPr="005C40CF">
              <w:rPr>
                <w:rFonts w:ascii="Times New Roman" w:hAnsi="Times New Roman"/>
                <w:color w:val="000000"/>
                <w:spacing w:val="-2"/>
              </w:rPr>
              <w:t>możliwienie otrzymania wsparcia z Funduszu Gwarantowanych Świadczeń Pracowniczych przez te podmioty, które pomimo spadku obrotów gospodarczych w następstwie COVID-19, nie zdecydowały się na objęcie pracowników przestojem ekonomicznym</w:t>
            </w:r>
            <w:r w:rsidR="0069764C">
              <w:rPr>
                <w:rFonts w:ascii="Times New Roman" w:hAnsi="Times New Roman"/>
                <w:color w:val="000000"/>
                <w:spacing w:val="-2"/>
              </w:rPr>
              <w:t>,</w:t>
            </w:r>
            <w:r w:rsidRPr="005C40CF">
              <w:rPr>
                <w:rFonts w:ascii="Times New Roman" w:hAnsi="Times New Roman"/>
                <w:color w:val="000000"/>
                <w:spacing w:val="-2"/>
              </w:rPr>
              <w:t xml:space="preserve"> przestojem wynikającym z art. 81 Kodeksu pracy </w:t>
            </w:r>
            <w:r w:rsidR="0069764C">
              <w:rPr>
                <w:rFonts w:ascii="Times New Roman" w:hAnsi="Times New Roman"/>
                <w:color w:val="000000"/>
                <w:spacing w:val="-2"/>
              </w:rPr>
              <w:t>oraz</w:t>
            </w:r>
            <w:r w:rsidR="0069764C" w:rsidRPr="005C40CF">
              <w:rPr>
                <w:rFonts w:ascii="Times New Roman" w:hAnsi="Times New Roman"/>
                <w:color w:val="000000"/>
                <w:spacing w:val="-2"/>
              </w:rPr>
              <w:t xml:space="preserve"> </w:t>
            </w:r>
            <w:r w:rsidRPr="005C40CF">
              <w:rPr>
                <w:rFonts w:ascii="Times New Roman" w:hAnsi="Times New Roman"/>
                <w:color w:val="000000"/>
                <w:spacing w:val="-2"/>
              </w:rPr>
              <w:t>obniżeniem wymiaru czasu pracy</w:t>
            </w:r>
            <w:r>
              <w:rPr>
                <w:rFonts w:ascii="Times New Roman" w:hAnsi="Times New Roman"/>
                <w:color w:val="000000"/>
                <w:spacing w:val="-2"/>
              </w:rPr>
              <w:t>.</w:t>
            </w:r>
          </w:p>
          <w:p w:rsidR="00F5103A" w:rsidRDefault="00F5103A" w:rsidP="008E02F3">
            <w:pPr>
              <w:pStyle w:val="Akapitzlist"/>
              <w:numPr>
                <w:ilvl w:val="0"/>
                <w:numId w:val="63"/>
              </w:numPr>
              <w:spacing w:after="120" w:line="240" w:lineRule="auto"/>
              <w:contextualSpacing w:val="0"/>
              <w:jc w:val="both"/>
              <w:rPr>
                <w:rFonts w:ascii="Times New Roman" w:hAnsi="Times New Roman"/>
                <w:bCs/>
                <w:szCs w:val="18"/>
              </w:rPr>
            </w:pPr>
            <w:r w:rsidRPr="009233E4">
              <w:rPr>
                <w:rFonts w:ascii="Times New Roman" w:hAnsi="Times New Roman"/>
                <w:bCs/>
                <w:szCs w:val="18"/>
              </w:rPr>
              <w:t xml:space="preserve">Rozszerzenie grupy przedsiębiorców </w:t>
            </w:r>
            <w:r w:rsidR="0038194E" w:rsidRPr="009233E4">
              <w:rPr>
                <w:rFonts w:ascii="Times New Roman" w:hAnsi="Times New Roman"/>
                <w:bCs/>
                <w:szCs w:val="18"/>
              </w:rPr>
              <w:t xml:space="preserve">uprawnionych do tzw. świadczenia postojowego </w:t>
            </w:r>
            <w:r w:rsidRPr="009233E4">
              <w:rPr>
                <w:rFonts w:ascii="Times New Roman" w:hAnsi="Times New Roman"/>
                <w:bCs/>
                <w:szCs w:val="18"/>
              </w:rPr>
              <w:t>o tych, którzy podlegają ubezpieczeniu z innego tytułu i jednocześnie opłacali składki na ubezpieczenie społeczne z tytułu wykonywania działalności gospodarczej.</w:t>
            </w:r>
          </w:p>
          <w:p w:rsidR="00C13EED" w:rsidRDefault="00C13EED" w:rsidP="008E02F3">
            <w:pPr>
              <w:pStyle w:val="Akapitzlist"/>
              <w:numPr>
                <w:ilvl w:val="0"/>
                <w:numId w:val="63"/>
              </w:numPr>
              <w:spacing w:after="120" w:line="240" w:lineRule="auto"/>
              <w:contextualSpacing w:val="0"/>
              <w:jc w:val="both"/>
              <w:rPr>
                <w:rFonts w:ascii="Times New Roman" w:hAnsi="Times New Roman"/>
                <w:bCs/>
                <w:szCs w:val="18"/>
              </w:rPr>
            </w:pPr>
            <w:r>
              <w:rPr>
                <w:rFonts w:ascii="Times New Roman" w:hAnsi="Times New Roman"/>
                <w:bCs/>
                <w:szCs w:val="18"/>
              </w:rPr>
              <w:t xml:space="preserve">Wprowadzenie możliwości składania wniosków do ZUS </w:t>
            </w:r>
            <w:r w:rsidRPr="00C13EED">
              <w:rPr>
                <w:rFonts w:ascii="Times New Roman" w:hAnsi="Times New Roman"/>
                <w:bCs/>
                <w:szCs w:val="18"/>
              </w:rPr>
              <w:t xml:space="preserve">o udzielenie ulgi w spłacie należności z tytułu składek, świadczenie postojowe, zwolnienie z opłacania składek </w:t>
            </w:r>
            <w:r>
              <w:rPr>
                <w:rFonts w:ascii="Times New Roman" w:hAnsi="Times New Roman"/>
                <w:bCs/>
                <w:szCs w:val="18"/>
              </w:rPr>
              <w:t xml:space="preserve">wyłącznie </w:t>
            </w:r>
            <w:r w:rsidRPr="00C13EED">
              <w:rPr>
                <w:rFonts w:ascii="Times New Roman" w:hAnsi="Times New Roman"/>
                <w:bCs/>
                <w:szCs w:val="18"/>
              </w:rPr>
              <w:t xml:space="preserve">w formie </w:t>
            </w:r>
            <w:r>
              <w:rPr>
                <w:rFonts w:ascii="Times New Roman" w:hAnsi="Times New Roman"/>
                <w:bCs/>
                <w:szCs w:val="18"/>
              </w:rPr>
              <w:t>elektronicznej – rozszerzona zostanie przy tym możliwość podpisywania wniosków o sposób potwierdzania pochodzenia oraz integralności danych udostępniony bezpłatnie przez ZUS w systemie teleinformatycznym</w:t>
            </w:r>
            <w:r w:rsidR="00C57242">
              <w:rPr>
                <w:rFonts w:ascii="Times New Roman" w:hAnsi="Times New Roman"/>
                <w:bCs/>
                <w:szCs w:val="18"/>
              </w:rPr>
              <w:t xml:space="preserve"> co znacząco ułatwi składanie wniosków elektronicznych.</w:t>
            </w:r>
          </w:p>
          <w:p w:rsidR="00A3102B" w:rsidRDefault="00A3102B" w:rsidP="008E02F3">
            <w:pPr>
              <w:pStyle w:val="Akapitzlist"/>
              <w:numPr>
                <w:ilvl w:val="0"/>
                <w:numId w:val="63"/>
              </w:numPr>
              <w:spacing w:after="120" w:line="240" w:lineRule="auto"/>
              <w:contextualSpacing w:val="0"/>
              <w:jc w:val="both"/>
              <w:rPr>
                <w:rFonts w:ascii="Times New Roman" w:hAnsi="Times New Roman"/>
                <w:bCs/>
                <w:szCs w:val="18"/>
              </w:rPr>
            </w:pPr>
            <w:r>
              <w:rPr>
                <w:rFonts w:ascii="Times New Roman" w:hAnsi="Times New Roman"/>
                <w:bCs/>
                <w:szCs w:val="18"/>
              </w:rPr>
              <w:t>Ograniczenie liczby oświadczeń dot. zatrudniania i kosztów wynagrodzeń w procedurze ubiegania się o</w:t>
            </w:r>
            <w:r w:rsidR="006D7278">
              <w:rPr>
                <w:rFonts w:ascii="Times New Roman" w:hAnsi="Times New Roman"/>
                <w:bCs/>
                <w:szCs w:val="18"/>
              </w:rPr>
              <w:t> </w:t>
            </w:r>
            <w:r>
              <w:rPr>
                <w:rFonts w:ascii="Times New Roman" w:hAnsi="Times New Roman"/>
                <w:bCs/>
                <w:szCs w:val="18"/>
              </w:rPr>
              <w:t>dofinansowanie wynagrodzeń w celu przyspieszenia procesu ich wypłaty – dokonywanie wypłat będzie następowało na podstawie już raz złożonego wraz z wnioskiem zestawienia, z zachowaniem obowiązku poinformowani</w:t>
            </w:r>
            <w:r w:rsidR="00FA49A4">
              <w:rPr>
                <w:rFonts w:ascii="Times New Roman" w:hAnsi="Times New Roman"/>
                <w:bCs/>
                <w:szCs w:val="18"/>
              </w:rPr>
              <w:t>a</w:t>
            </w:r>
            <w:r>
              <w:rPr>
                <w:rFonts w:ascii="Times New Roman" w:hAnsi="Times New Roman"/>
                <w:bCs/>
                <w:szCs w:val="18"/>
              </w:rPr>
              <w:t xml:space="preserve"> o zmianie danych.</w:t>
            </w:r>
          </w:p>
          <w:p w:rsidR="00FD1A41" w:rsidRPr="009233E4" w:rsidRDefault="00FD1A41" w:rsidP="008E02F3">
            <w:pPr>
              <w:pStyle w:val="Akapitzlist"/>
              <w:numPr>
                <w:ilvl w:val="0"/>
                <w:numId w:val="63"/>
              </w:numPr>
              <w:spacing w:after="120" w:line="240" w:lineRule="auto"/>
              <w:contextualSpacing w:val="0"/>
              <w:jc w:val="both"/>
              <w:rPr>
                <w:rFonts w:ascii="Times New Roman" w:hAnsi="Times New Roman"/>
                <w:bCs/>
                <w:szCs w:val="18"/>
              </w:rPr>
            </w:pPr>
            <w:r>
              <w:rPr>
                <w:rFonts w:ascii="Times New Roman" w:hAnsi="Times New Roman"/>
                <w:bCs/>
                <w:szCs w:val="18"/>
              </w:rPr>
              <w:t>Ujednolicenie zasad obliczania terminów, od których liczy się spadek obrotów jako przesłanka decydująca o</w:t>
            </w:r>
            <w:r w:rsidR="006D7278">
              <w:rPr>
                <w:rFonts w:ascii="Times New Roman" w:hAnsi="Times New Roman"/>
                <w:bCs/>
                <w:szCs w:val="18"/>
              </w:rPr>
              <w:t> </w:t>
            </w:r>
            <w:r>
              <w:rPr>
                <w:rFonts w:ascii="Times New Roman" w:hAnsi="Times New Roman"/>
                <w:bCs/>
                <w:szCs w:val="18"/>
              </w:rPr>
              <w:t>możliwości skorzystania ze wsparcia - u</w:t>
            </w:r>
            <w:r w:rsidRPr="00FD1A41">
              <w:rPr>
                <w:rFonts w:ascii="Times New Roman" w:hAnsi="Times New Roman"/>
                <w:bCs/>
                <w:szCs w:val="18"/>
              </w:rPr>
              <w:t>możliwienie porównania obrotów w</w:t>
            </w:r>
            <w:r>
              <w:rPr>
                <w:rFonts w:ascii="Times New Roman" w:hAnsi="Times New Roman"/>
                <w:bCs/>
                <w:szCs w:val="18"/>
              </w:rPr>
              <w:t xml:space="preserve"> </w:t>
            </w:r>
            <w:r w:rsidRPr="00FD1A41">
              <w:rPr>
                <w:rFonts w:ascii="Times New Roman" w:hAnsi="Times New Roman"/>
                <w:bCs/>
                <w:szCs w:val="18"/>
              </w:rPr>
              <w:t>ciągu dowolnie wskazanych 2</w:t>
            </w:r>
            <w:r w:rsidR="006D7278">
              <w:rPr>
                <w:rFonts w:ascii="Times New Roman" w:hAnsi="Times New Roman"/>
                <w:bCs/>
                <w:szCs w:val="18"/>
              </w:rPr>
              <w:t> </w:t>
            </w:r>
            <w:r w:rsidRPr="00FD1A41">
              <w:rPr>
                <w:rFonts w:ascii="Times New Roman" w:hAnsi="Times New Roman"/>
                <w:bCs/>
                <w:szCs w:val="18"/>
              </w:rPr>
              <w:t>kolejnych miesięcy kalendarzowych, przypadających w okresie po dniu 31 grudnia 2019 r. do dnia poprzedzającego dzień złożenia wniosku w porównaniu do łącznych obrotów z analogicznych 2 kolejnych miesięcy.</w:t>
            </w:r>
          </w:p>
          <w:p w:rsidR="00DC0FE5" w:rsidRPr="00C97E37" w:rsidRDefault="00DC0FE5" w:rsidP="008E02F3">
            <w:pPr>
              <w:pStyle w:val="Akapitzlist"/>
              <w:numPr>
                <w:ilvl w:val="0"/>
                <w:numId w:val="63"/>
              </w:numPr>
              <w:spacing w:after="120" w:line="240" w:lineRule="auto"/>
              <w:contextualSpacing w:val="0"/>
              <w:jc w:val="both"/>
              <w:rPr>
                <w:rFonts w:asciiTheme="minorHAnsi" w:hAnsiTheme="minorHAnsi" w:cstheme="minorHAnsi"/>
                <w:bCs/>
                <w:color w:val="FF0000"/>
                <w:sz w:val="18"/>
                <w:szCs w:val="18"/>
              </w:rPr>
            </w:pPr>
            <w:r>
              <w:rPr>
                <w:rFonts w:ascii="Times New Roman" w:hAnsi="Times New Roman"/>
                <w:color w:val="000000"/>
                <w:spacing w:val="-2"/>
              </w:rPr>
              <w:t>P</w:t>
            </w:r>
            <w:r w:rsidRPr="00DC0FE5">
              <w:rPr>
                <w:rFonts w:ascii="Times New Roman" w:hAnsi="Times New Roman"/>
                <w:color w:val="000000"/>
                <w:spacing w:val="-2"/>
              </w:rPr>
              <w:t>rzesunięcie terminu płatności opłaty rocznej z tytułu użytkowania wieczystego nieruchomości Skarbu Państwa i</w:t>
            </w:r>
            <w:r w:rsidR="006D7278">
              <w:rPr>
                <w:rFonts w:ascii="Times New Roman" w:hAnsi="Times New Roman"/>
                <w:color w:val="000000"/>
                <w:spacing w:val="-2"/>
              </w:rPr>
              <w:t> </w:t>
            </w:r>
            <w:r w:rsidRPr="00DC0FE5">
              <w:rPr>
                <w:rFonts w:ascii="Times New Roman" w:hAnsi="Times New Roman"/>
                <w:color w:val="000000"/>
                <w:spacing w:val="-2"/>
              </w:rPr>
              <w:t xml:space="preserve">nieruchomości jednostek samorządu terytorialnego za rok 2020 na dzień 31 stycznia 2021 r. </w:t>
            </w:r>
            <w:r>
              <w:rPr>
                <w:rFonts w:ascii="Times New Roman" w:hAnsi="Times New Roman"/>
                <w:color w:val="000000"/>
                <w:spacing w:val="-2"/>
              </w:rPr>
              <w:t>oraz z</w:t>
            </w:r>
            <w:r w:rsidRPr="00DC0FE5">
              <w:rPr>
                <w:rFonts w:ascii="Times New Roman" w:hAnsi="Times New Roman"/>
                <w:color w:val="000000"/>
                <w:spacing w:val="-2"/>
              </w:rPr>
              <w:t>mniejszenie obciążeń przedsiębiorców</w:t>
            </w:r>
            <w:r w:rsidR="00AB74DE">
              <w:rPr>
                <w:rFonts w:ascii="Times New Roman" w:hAnsi="Times New Roman"/>
                <w:color w:val="000000"/>
                <w:spacing w:val="-2"/>
              </w:rPr>
              <w:t>, jak również organizacji pozarządowych i państwowych osób prawnych,</w:t>
            </w:r>
            <w:r w:rsidRPr="00DC0FE5">
              <w:rPr>
                <w:rFonts w:ascii="Times New Roman" w:hAnsi="Times New Roman"/>
                <w:color w:val="000000"/>
                <w:spacing w:val="-2"/>
              </w:rPr>
              <w:t xml:space="preserve"> wynikających z zawartych umów użytkowania wieczystego</w:t>
            </w:r>
            <w:r>
              <w:rPr>
                <w:rFonts w:ascii="Times New Roman" w:hAnsi="Times New Roman"/>
                <w:color w:val="000000"/>
                <w:spacing w:val="-2"/>
              </w:rPr>
              <w:t>, których kondycja finansowa uległa istotnemu pogorszeniu w</w:t>
            </w:r>
            <w:r w:rsidR="006D7278">
              <w:rPr>
                <w:rFonts w:ascii="Times New Roman" w:hAnsi="Times New Roman"/>
                <w:color w:val="000000"/>
                <w:spacing w:val="-2"/>
              </w:rPr>
              <w:t> </w:t>
            </w:r>
            <w:r>
              <w:rPr>
                <w:rFonts w:ascii="Times New Roman" w:hAnsi="Times New Roman"/>
                <w:color w:val="000000"/>
                <w:spacing w:val="-2"/>
              </w:rPr>
              <w:t>związku z COVID-19.</w:t>
            </w:r>
          </w:p>
          <w:p w:rsidR="00045BCE" w:rsidRPr="00B92FC7" w:rsidRDefault="00045BCE" w:rsidP="008E02F3">
            <w:pPr>
              <w:pStyle w:val="Akapitzlist"/>
              <w:numPr>
                <w:ilvl w:val="0"/>
                <w:numId w:val="63"/>
              </w:numPr>
              <w:spacing w:after="120" w:line="240" w:lineRule="auto"/>
              <w:contextualSpacing w:val="0"/>
              <w:jc w:val="both"/>
              <w:rPr>
                <w:rFonts w:ascii="Times New Roman" w:hAnsi="Times New Roman"/>
                <w:color w:val="000000"/>
                <w:spacing w:val="-2"/>
              </w:rPr>
            </w:pPr>
            <w:r>
              <w:rPr>
                <w:rFonts w:ascii="Times New Roman" w:hAnsi="Times New Roman"/>
                <w:color w:val="000000"/>
                <w:spacing w:val="-2"/>
              </w:rPr>
              <w:t>U</w:t>
            </w:r>
            <w:r w:rsidRPr="00B92FC7">
              <w:rPr>
                <w:rFonts w:ascii="Times New Roman" w:hAnsi="Times New Roman"/>
                <w:color w:val="000000"/>
                <w:spacing w:val="-2"/>
              </w:rPr>
              <w:t xml:space="preserve">poważnienie rady gminy do uchwalenia zwolnienia z opłaty </w:t>
            </w:r>
            <w:r>
              <w:rPr>
                <w:rFonts w:ascii="Times New Roman" w:hAnsi="Times New Roman"/>
                <w:color w:val="000000"/>
                <w:spacing w:val="-2"/>
              </w:rPr>
              <w:t xml:space="preserve">w 2020 r. </w:t>
            </w:r>
            <w:r w:rsidRPr="00B92FC7">
              <w:rPr>
                <w:rFonts w:ascii="Times New Roman" w:hAnsi="Times New Roman"/>
                <w:color w:val="000000"/>
                <w:spacing w:val="-2"/>
              </w:rPr>
              <w:t>za korzystanie z zezwolenia na sprzedaż napojów alkoholowych przeznaczonych do spożycia w miejscu sprzedaży bądź przedłużenia terminu na jej wniesienie</w:t>
            </w:r>
            <w:r>
              <w:rPr>
                <w:rFonts w:ascii="Times New Roman" w:hAnsi="Times New Roman"/>
                <w:color w:val="000000"/>
                <w:spacing w:val="-2"/>
              </w:rPr>
              <w:t>. U</w:t>
            </w:r>
            <w:r w:rsidRPr="00B92FC7">
              <w:rPr>
                <w:rFonts w:ascii="Times New Roman" w:hAnsi="Times New Roman"/>
                <w:color w:val="000000"/>
                <w:spacing w:val="-2"/>
              </w:rPr>
              <w:t>znaniu organu gminy</w:t>
            </w:r>
            <w:r>
              <w:rPr>
                <w:rFonts w:ascii="Times New Roman" w:hAnsi="Times New Roman"/>
                <w:color w:val="000000"/>
                <w:spacing w:val="-2"/>
              </w:rPr>
              <w:t xml:space="preserve"> pozostawione będzie</w:t>
            </w:r>
            <w:r w:rsidRPr="00B92FC7">
              <w:rPr>
                <w:rFonts w:ascii="Times New Roman" w:hAnsi="Times New Roman"/>
                <w:color w:val="000000"/>
                <w:spacing w:val="-2"/>
              </w:rPr>
              <w:t xml:space="preserve">, czy z tego upoważnienia skorzysta, biorąc pod uwagę sytuację finansową gminy związaną z epidemią COVID -19 oraz kondycję finansową przedsiębiorców działających w branży restauracyjnej na terenie gminy, ale także konieczność pozyskiwania przez gminę środków na finansowanie działań związanych z przeciwdziałaniem alkoholizmowi i profilaktyką w tym zakresie. </w:t>
            </w:r>
          </w:p>
          <w:p w:rsidR="00993301" w:rsidRPr="001F58F5" w:rsidRDefault="00993301" w:rsidP="008E02F3">
            <w:pPr>
              <w:pStyle w:val="Akapitzlist"/>
              <w:numPr>
                <w:ilvl w:val="0"/>
                <w:numId w:val="63"/>
              </w:numPr>
              <w:spacing w:after="120" w:line="240" w:lineRule="auto"/>
              <w:contextualSpacing w:val="0"/>
              <w:jc w:val="both"/>
              <w:rPr>
                <w:rFonts w:asciiTheme="minorHAnsi" w:hAnsiTheme="minorHAnsi" w:cstheme="minorHAnsi"/>
                <w:bCs/>
                <w:color w:val="FF0000"/>
                <w:sz w:val="16"/>
                <w:szCs w:val="18"/>
              </w:rPr>
            </w:pPr>
            <w:r w:rsidRPr="001F58F5">
              <w:rPr>
                <w:rFonts w:ascii="Times New Roman" w:hAnsi="Times New Roman"/>
                <w:color w:val="000000"/>
                <w:szCs w:val="24"/>
              </w:rPr>
              <w:t>Automatyczne przedłużenie ważności certyfikatów wydanych na podstawie art. 139 ust. 2 ustawy z dnia 20</w:t>
            </w:r>
            <w:r w:rsidR="006D7278" w:rsidRPr="001F58F5">
              <w:rPr>
                <w:rFonts w:ascii="Times New Roman" w:hAnsi="Times New Roman"/>
                <w:color w:val="000000"/>
                <w:szCs w:val="24"/>
              </w:rPr>
              <w:t> </w:t>
            </w:r>
            <w:r w:rsidRPr="001F58F5">
              <w:rPr>
                <w:rFonts w:ascii="Times New Roman" w:hAnsi="Times New Roman"/>
                <w:color w:val="000000"/>
                <w:szCs w:val="24"/>
              </w:rPr>
              <w:t>lutego 2015 r. o odnawialnych źródłach energii do 60 dni od dnia odwołania stanu zagrożenia epidemicznego</w:t>
            </w:r>
            <w:r w:rsidR="00AE3D10" w:rsidRPr="001F58F5">
              <w:rPr>
                <w:rFonts w:ascii="Times New Roman" w:hAnsi="Times New Roman"/>
                <w:color w:val="000000"/>
                <w:szCs w:val="24"/>
              </w:rPr>
              <w:t xml:space="preserve"> </w:t>
            </w:r>
            <w:r w:rsidRPr="001F58F5">
              <w:rPr>
                <w:rFonts w:ascii="Times New Roman" w:hAnsi="Times New Roman"/>
                <w:color w:val="000000"/>
                <w:szCs w:val="24"/>
              </w:rPr>
              <w:t>albo stanu epidemii</w:t>
            </w:r>
            <w:r w:rsidR="001F58F5" w:rsidRPr="001F58F5">
              <w:rPr>
                <w:rFonts w:ascii="Times New Roman" w:hAnsi="Times New Roman"/>
                <w:color w:val="000000"/>
                <w:szCs w:val="24"/>
              </w:rPr>
              <w:t xml:space="preserve"> oraz</w:t>
            </w:r>
            <w:r w:rsidR="001F58F5">
              <w:rPr>
                <w:rFonts w:ascii="Times New Roman" w:hAnsi="Times New Roman"/>
                <w:color w:val="000000"/>
                <w:szCs w:val="24"/>
              </w:rPr>
              <w:t xml:space="preserve"> z</w:t>
            </w:r>
            <w:r w:rsidRPr="001F58F5">
              <w:rPr>
                <w:rFonts w:ascii="Times New Roman" w:hAnsi="Times New Roman"/>
                <w:color w:val="000000"/>
                <w:szCs w:val="24"/>
              </w:rPr>
              <w:t>awieszenie terminu złożenia przez instalatora egzaminu, który to powinien być zdany przez instalatora, nie później niż w terminie 12 miesięcy od dnia ukończenia szkolenia podstawowego.</w:t>
            </w:r>
          </w:p>
          <w:p w:rsidR="005F27A5" w:rsidRPr="00AE4DE0" w:rsidRDefault="005F27A5" w:rsidP="008E02F3">
            <w:pPr>
              <w:pStyle w:val="Akapitzlist"/>
              <w:numPr>
                <w:ilvl w:val="0"/>
                <w:numId w:val="63"/>
              </w:numPr>
              <w:spacing w:after="120" w:line="240" w:lineRule="auto"/>
              <w:contextualSpacing w:val="0"/>
              <w:jc w:val="both"/>
              <w:rPr>
                <w:rFonts w:asciiTheme="minorHAnsi" w:hAnsiTheme="minorHAnsi" w:cstheme="minorHAnsi"/>
                <w:bCs/>
                <w:color w:val="FF0000"/>
                <w:sz w:val="16"/>
                <w:szCs w:val="18"/>
              </w:rPr>
            </w:pPr>
            <w:r>
              <w:rPr>
                <w:rFonts w:ascii="Times New Roman" w:hAnsi="Times New Roman"/>
                <w:color w:val="000000"/>
                <w:szCs w:val="24"/>
              </w:rPr>
              <w:t>Z</w:t>
            </w:r>
            <w:r w:rsidRPr="005F27A5">
              <w:rPr>
                <w:rFonts w:ascii="Times New Roman" w:hAnsi="Times New Roman"/>
                <w:color w:val="000000"/>
                <w:szCs w:val="24"/>
              </w:rPr>
              <w:t>apewnienie, mimo trwającego stanu epidemii, możliwości sprawdzenia kwalifikacji osób do obsługi urządzeń technicznych, w branżach kluczowych dla zapewnienia środków do życia i zdrowia ludzi</w:t>
            </w:r>
            <w:r w:rsidR="001F58F5">
              <w:rPr>
                <w:rFonts w:ascii="Times New Roman" w:hAnsi="Times New Roman"/>
                <w:color w:val="000000"/>
                <w:szCs w:val="24"/>
              </w:rPr>
              <w:t xml:space="preserve"> (nie będzie powoływana komisja kwalifikacyjna, a egzamin przeprowadzi jednoosobowo egzaminator powołany przez organ właściwej jednostki dozoru technicznego, możliwe będzie przeprowadzenie egzaminu zdalnego)</w:t>
            </w:r>
            <w:r>
              <w:rPr>
                <w:rFonts w:ascii="Times New Roman" w:hAnsi="Times New Roman"/>
                <w:color w:val="000000"/>
                <w:szCs w:val="24"/>
              </w:rPr>
              <w:t>.</w:t>
            </w:r>
          </w:p>
          <w:p w:rsidR="000D3DD1" w:rsidRPr="004536C1" w:rsidRDefault="000D3DD1" w:rsidP="008E02F3">
            <w:pPr>
              <w:pStyle w:val="Akapitzlist"/>
              <w:numPr>
                <w:ilvl w:val="0"/>
                <w:numId w:val="63"/>
              </w:numPr>
              <w:spacing w:after="120" w:line="240" w:lineRule="auto"/>
              <w:contextualSpacing w:val="0"/>
              <w:jc w:val="both"/>
              <w:rPr>
                <w:rFonts w:ascii="Times New Roman" w:hAnsi="Times New Roman"/>
                <w:color w:val="000000"/>
                <w:szCs w:val="24"/>
              </w:rPr>
            </w:pPr>
            <w:r>
              <w:rPr>
                <w:rFonts w:ascii="Times New Roman" w:hAnsi="Times New Roman"/>
                <w:color w:val="000000"/>
                <w:szCs w:val="24"/>
              </w:rPr>
              <w:t>Uszczegółowienie i uzupełnienie zapisu dotychczasowego dotyczącego legalizacji ponownej</w:t>
            </w:r>
            <w:r w:rsidR="00CF5CD5">
              <w:rPr>
                <w:rFonts w:ascii="Times New Roman" w:hAnsi="Times New Roman"/>
                <w:color w:val="000000"/>
                <w:szCs w:val="24"/>
              </w:rPr>
              <w:t xml:space="preserve"> w Prawie o miarach</w:t>
            </w:r>
            <w:r>
              <w:rPr>
                <w:rFonts w:ascii="Times New Roman" w:hAnsi="Times New Roman"/>
                <w:color w:val="000000"/>
                <w:szCs w:val="24"/>
              </w:rPr>
              <w:t>.</w:t>
            </w:r>
            <w:r w:rsidR="00DB2D29">
              <w:rPr>
                <w:rFonts w:ascii="Times New Roman" w:hAnsi="Times New Roman"/>
                <w:color w:val="000000"/>
                <w:szCs w:val="24"/>
              </w:rPr>
              <w:t xml:space="preserve"> U</w:t>
            </w:r>
            <w:r w:rsidR="00DB2D29" w:rsidRPr="00DB2D29">
              <w:rPr>
                <w:rFonts w:ascii="Times New Roman" w:hAnsi="Times New Roman"/>
                <w:color w:val="000000"/>
                <w:szCs w:val="24"/>
              </w:rPr>
              <w:t>możliwieni</w:t>
            </w:r>
            <w:r w:rsidR="00DB2D29">
              <w:rPr>
                <w:rFonts w:ascii="Times New Roman" w:hAnsi="Times New Roman"/>
                <w:color w:val="000000"/>
                <w:szCs w:val="24"/>
              </w:rPr>
              <w:t>e</w:t>
            </w:r>
            <w:r w:rsidR="00DB2D29" w:rsidRPr="00DB2D29">
              <w:rPr>
                <w:rFonts w:ascii="Times New Roman" w:hAnsi="Times New Roman"/>
                <w:color w:val="000000"/>
                <w:szCs w:val="24"/>
              </w:rPr>
              <w:t xml:space="preserve"> w</w:t>
            </w:r>
            <w:r w:rsidR="006D7278">
              <w:rPr>
                <w:rFonts w:ascii="Times New Roman" w:hAnsi="Times New Roman"/>
                <w:color w:val="000000"/>
                <w:szCs w:val="24"/>
              </w:rPr>
              <w:t> </w:t>
            </w:r>
            <w:r w:rsidR="00DB2D29" w:rsidRPr="00DB2D29">
              <w:rPr>
                <w:rFonts w:ascii="Times New Roman" w:hAnsi="Times New Roman"/>
                <w:color w:val="000000"/>
                <w:szCs w:val="24"/>
              </w:rPr>
              <w:t>2020 r. organom administracji miar odraczania terminu dokonania legalizacji i zezwalania na dalsze użytkowanie przyrządów pomiarowych</w:t>
            </w:r>
            <w:r w:rsidR="00DB2D29">
              <w:rPr>
                <w:rFonts w:ascii="Times New Roman" w:hAnsi="Times New Roman"/>
                <w:color w:val="000000"/>
                <w:szCs w:val="24"/>
              </w:rPr>
              <w:t>,</w:t>
            </w:r>
            <w:r w:rsidR="00DB2D29" w:rsidRPr="00DB2D29">
              <w:rPr>
                <w:rFonts w:ascii="Times New Roman" w:hAnsi="Times New Roman"/>
                <w:color w:val="000000"/>
                <w:szCs w:val="24"/>
              </w:rPr>
              <w:t xml:space="preserve"> wobec których dokonano takiego odroczenia przez okres nie dłuższy niż </w:t>
            </w:r>
            <w:r w:rsidR="00FE4743">
              <w:rPr>
                <w:rFonts w:ascii="Times New Roman" w:hAnsi="Times New Roman"/>
                <w:color w:val="000000"/>
                <w:szCs w:val="24"/>
              </w:rPr>
              <w:t>12</w:t>
            </w:r>
            <w:r w:rsidR="00FE4743" w:rsidRPr="00DB2D29">
              <w:rPr>
                <w:rFonts w:ascii="Times New Roman" w:hAnsi="Times New Roman"/>
                <w:color w:val="000000"/>
                <w:szCs w:val="24"/>
              </w:rPr>
              <w:t xml:space="preserve"> </w:t>
            </w:r>
            <w:r w:rsidR="00DB2D29" w:rsidRPr="00DB2D29">
              <w:rPr>
                <w:rFonts w:ascii="Times New Roman" w:hAnsi="Times New Roman"/>
                <w:color w:val="000000"/>
                <w:szCs w:val="24"/>
              </w:rPr>
              <w:t>miesięcy, również wobec przyrządów pomiarowych, wprowadzonych do obrotu lub użytkowania po dokonaniu oceny zgodności.</w:t>
            </w:r>
            <w:r w:rsidR="004536C1">
              <w:rPr>
                <w:rFonts w:ascii="Times New Roman" w:hAnsi="Times New Roman"/>
                <w:color w:val="000000"/>
                <w:szCs w:val="24"/>
              </w:rPr>
              <w:t xml:space="preserve"> </w:t>
            </w:r>
            <w:r w:rsidR="001E6414">
              <w:rPr>
                <w:rFonts w:ascii="Times New Roman" w:hAnsi="Times New Roman"/>
                <w:color w:val="000000"/>
                <w:szCs w:val="24"/>
              </w:rPr>
              <w:t>Ponadto, w</w:t>
            </w:r>
            <w:r w:rsidR="004536C1" w:rsidRPr="00C2736E">
              <w:rPr>
                <w:rFonts w:ascii="Times New Roman" w:hAnsi="Times New Roman"/>
                <w:color w:val="000000"/>
                <w:szCs w:val="24"/>
              </w:rPr>
              <w:t xml:space="preserve">ydłużenie do </w:t>
            </w:r>
            <w:r w:rsidR="004536C1">
              <w:rPr>
                <w:rFonts w:ascii="Times New Roman" w:hAnsi="Times New Roman"/>
                <w:color w:val="000000"/>
                <w:szCs w:val="24"/>
              </w:rPr>
              <w:t>nie dłużej niż 12 miesięcy</w:t>
            </w:r>
            <w:r w:rsidR="004536C1" w:rsidRPr="00C2736E">
              <w:rPr>
                <w:rFonts w:ascii="Times New Roman" w:hAnsi="Times New Roman"/>
                <w:color w:val="000000"/>
                <w:szCs w:val="24"/>
              </w:rPr>
              <w:t xml:space="preserve"> okresu </w:t>
            </w:r>
            <w:r w:rsidR="004536C1" w:rsidRPr="00E46503">
              <w:rPr>
                <w:rFonts w:ascii="Times New Roman" w:hAnsi="Times New Roman"/>
                <w:color w:val="000000"/>
                <w:szCs w:val="24"/>
              </w:rPr>
              <w:t>po którym gazomierze miechowe powinny być zgłaszane do legalizacji ponownej dla gazomierzy, które powinny zostać wymienione w 2020 r.</w:t>
            </w:r>
          </w:p>
          <w:p w:rsidR="00AE4DE0" w:rsidRPr="00070FFD" w:rsidRDefault="00CA1938" w:rsidP="008E02F3">
            <w:pPr>
              <w:pStyle w:val="Akapitzlist"/>
              <w:numPr>
                <w:ilvl w:val="0"/>
                <w:numId w:val="63"/>
              </w:numPr>
              <w:spacing w:after="120" w:line="240" w:lineRule="auto"/>
              <w:contextualSpacing w:val="0"/>
              <w:jc w:val="both"/>
              <w:rPr>
                <w:rFonts w:asciiTheme="minorHAnsi" w:hAnsiTheme="minorHAnsi" w:cstheme="minorHAnsi"/>
                <w:bCs/>
                <w:color w:val="FF0000"/>
                <w:sz w:val="16"/>
                <w:szCs w:val="18"/>
              </w:rPr>
            </w:pPr>
            <w:r>
              <w:rPr>
                <w:rFonts w:ascii="Times New Roman" w:hAnsi="Times New Roman"/>
                <w:color w:val="000000"/>
                <w:szCs w:val="24"/>
              </w:rPr>
              <w:t xml:space="preserve">Rozwiązania zapewniające ciągłość funkcjonowania Polskiego Centrum Akredytacji – możliwość rozliczenia ewentualnej straty netto </w:t>
            </w:r>
            <w:r w:rsidR="00FE4743">
              <w:rPr>
                <w:rFonts w:ascii="Times New Roman" w:hAnsi="Times New Roman"/>
                <w:color w:val="000000"/>
                <w:szCs w:val="24"/>
              </w:rPr>
              <w:t xml:space="preserve">poniesionej </w:t>
            </w:r>
            <w:r w:rsidR="00DA3EFF">
              <w:rPr>
                <w:rFonts w:ascii="Times New Roman" w:hAnsi="Times New Roman"/>
                <w:color w:val="000000"/>
                <w:szCs w:val="24"/>
              </w:rPr>
              <w:t xml:space="preserve">w 2020 r. </w:t>
            </w:r>
            <w:r>
              <w:rPr>
                <w:rFonts w:ascii="Times New Roman" w:hAnsi="Times New Roman"/>
                <w:color w:val="000000"/>
                <w:szCs w:val="24"/>
              </w:rPr>
              <w:t>poprzez zmniejszenie funduszu podstawowego, uprawnienie dla Dyrektora PCA do odroczenia lub rozłożenia na raty należności z tytułu opłat związanych z akredytacją.</w:t>
            </w:r>
          </w:p>
          <w:p w:rsidR="0038194E" w:rsidRDefault="0067661A" w:rsidP="008E02F3">
            <w:pPr>
              <w:pStyle w:val="Akapitzlist"/>
              <w:numPr>
                <w:ilvl w:val="0"/>
                <w:numId w:val="63"/>
              </w:numPr>
              <w:spacing w:before="120" w:after="120" w:line="240" w:lineRule="auto"/>
              <w:contextualSpacing w:val="0"/>
              <w:jc w:val="both"/>
              <w:rPr>
                <w:rFonts w:ascii="Times New Roman" w:hAnsi="Times New Roman"/>
                <w:color w:val="000000"/>
                <w:spacing w:val="-2"/>
              </w:rPr>
            </w:pPr>
            <w:r w:rsidRPr="00653AE1">
              <w:rPr>
                <w:rFonts w:ascii="Times New Roman" w:hAnsi="Times New Roman"/>
              </w:rPr>
              <w:t>Zmiany zachęcające przedsiębiorców do inwestycji</w:t>
            </w:r>
            <w:r w:rsidR="00314249" w:rsidRPr="00653AE1">
              <w:rPr>
                <w:rFonts w:ascii="Times New Roman" w:hAnsi="Times New Roman"/>
              </w:rPr>
              <w:t>, w tym</w:t>
            </w:r>
            <w:r w:rsidR="0038194E" w:rsidRPr="00653AE1">
              <w:rPr>
                <w:rFonts w:ascii="Times New Roman" w:hAnsi="Times New Roman"/>
              </w:rPr>
              <w:t xml:space="preserve"> m.in.</w:t>
            </w:r>
            <w:r w:rsidR="0038194E">
              <w:rPr>
                <w:rFonts w:ascii="Times New Roman" w:hAnsi="Times New Roman"/>
              </w:rPr>
              <w:t xml:space="preserve"> </w:t>
            </w:r>
            <w:r w:rsidR="0038194E" w:rsidRPr="00653AE1">
              <w:rPr>
                <w:rFonts w:ascii="Times New Roman" w:hAnsi="Times New Roman"/>
                <w:color w:val="000000"/>
                <w:spacing w:val="-2"/>
              </w:rPr>
              <w:t>z</w:t>
            </w:r>
            <w:r w:rsidR="00AE4DE0" w:rsidRPr="00653AE1">
              <w:rPr>
                <w:rFonts w:ascii="Times New Roman" w:hAnsi="Times New Roman"/>
                <w:color w:val="000000"/>
                <w:spacing w:val="-2"/>
              </w:rPr>
              <w:t>miana definicji „nowej inwestycji”, która u</w:t>
            </w:r>
            <w:r w:rsidRPr="00653AE1">
              <w:rPr>
                <w:rFonts w:ascii="Times New Roman" w:hAnsi="Times New Roman"/>
                <w:color w:val="000000"/>
                <w:spacing w:val="-2"/>
              </w:rPr>
              <w:t>możliwi skorzystanie z pomocy publicznej inwestycjom polegającym na nabyciu aktywów należących do zakładu, który został zamknięty lub zostałby zamknięty, gdyby zakup nie nastąpił, przy czym aktywa nabywane są przez przedsiębiorcę niezwiązanego ze sprzedawcą i wyklucza się samo nabycie akcj</w:t>
            </w:r>
            <w:r w:rsidR="00AE4DE0" w:rsidRPr="00653AE1">
              <w:rPr>
                <w:rFonts w:ascii="Times New Roman" w:hAnsi="Times New Roman"/>
                <w:color w:val="000000"/>
                <w:spacing w:val="-2"/>
              </w:rPr>
              <w:t xml:space="preserve">i lub udziałów przedsiębiorstwa. </w:t>
            </w:r>
          </w:p>
          <w:p w:rsidR="00EA4B06" w:rsidRPr="00C83335" w:rsidRDefault="00EA4B06" w:rsidP="008E02F3">
            <w:pPr>
              <w:pStyle w:val="Akapitzlist"/>
              <w:numPr>
                <w:ilvl w:val="0"/>
                <w:numId w:val="63"/>
              </w:numPr>
              <w:spacing w:before="120" w:after="120" w:line="240" w:lineRule="auto"/>
              <w:contextualSpacing w:val="0"/>
              <w:jc w:val="both"/>
              <w:rPr>
                <w:rFonts w:ascii="Times New Roman" w:hAnsi="Times New Roman"/>
                <w:color w:val="000000"/>
              </w:rPr>
            </w:pPr>
            <w:r w:rsidRPr="00C83335">
              <w:rPr>
                <w:rFonts w:ascii="Times New Roman" w:hAnsi="Times New Roman"/>
                <w:color w:val="000000"/>
                <w:szCs w:val="24"/>
              </w:rPr>
              <w:t>U</w:t>
            </w:r>
            <w:r w:rsidRPr="00C83335">
              <w:rPr>
                <w:rFonts w:ascii="Times New Roman" w:hAnsi="Times New Roman"/>
                <w:color w:val="000000"/>
              </w:rPr>
              <w:t>możliwienie podmiotom zaangażowanym w realizację umów offsetowych</w:t>
            </w:r>
            <w:r w:rsidRPr="00C83335">
              <w:rPr>
                <w:rFonts w:ascii="Times New Roman" w:hAnsi="Times New Roman"/>
                <w:color w:val="000000"/>
                <w:szCs w:val="24"/>
              </w:rPr>
              <w:t xml:space="preserve"> </w:t>
            </w:r>
            <w:r w:rsidRPr="00C83335">
              <w:rPr>
                <w:rFonts w:ascii="Times New Roman" w:hAnsi="Times New Roman"/>
              </w:rPr>
              <w:t>zawartych na podsta</w:t>
            </w:r>
            <w:r w:rsidR="005552B6">
              <w:rPr>
                <w:rFonts w:ascii="Times New Roman" w:hAnsi="Times New Roman"/>
              </w:rPr>
              <w:t>wie ustawy offsetowej z 1999 r.</w:t>
            </w:r>
            <w:r w:rsidRPr="00C83335">
              <w:rPr>
                <w:rFonts w:ascii="Times New Roman" w:hAnsi="Times New Roman"/>
              </w:rPr>
              <w:t xml:space="preserve"> na ewentualną modyfikację, w uzgodnieniu z ministrem właściwym do spraw gospodarki, sposobu i terminu realizacji umowy offsetowej w przypadku wystąpienia trudności w realizacji umowy spowodowanych epidemią COVID-19.</w:t>
            </w:r>
          </w:p>
          <w:p w:rsidR="00A615D2" w:rsidRPr="00C83335" w:rsidRDefault="00A615D2" w:rsidP="008E02F3">
            <w:pPr>
              <w:pStyle w:val="Akapitzlist"/>
              <w:numPr>
                <w:ilvl w:val="0"/>
                <w:numId w:val="63"/>
              </w:numPr>
              <w:spacing w:after="120" w:line="240" w:lineRule="auto"/>
              <w:contextualSpacing w:val="0"/>
              <w:jc w:val="both"/>
              <w:rPr>
                <w:rFonts w:ascii="Times New Roman" w:hAnsi="Times New Roman"/>
                <w:color w:val="000000"/>
                <w:szCs w:val="24"/>
              </w:rPr>
            </w:pPr>
            <w:r w:rsidRPr="00A615D2">
              <w:rPr>
                <w:rFonts w:ascii="Times New Roman" w:hAnsi="Times New Roman"/>
                <w:color w:val="000000"/>
                <w:szCs w:val="24"/>
              </w:rPr>
              <w:t>Zmiana w ustaw</w:t>
            </w:r>
            <w:r>
              <w:rPr>
                <w:rFonts w:ascii="Times New Roman" w:hAnsi="Times New Roman"/>
                <w:color w:val="000000"/>
                <w:szCs w:val="24"/>
              </w:rPr>
              <w:t>ie</w:t>
            </w:r>
            <w:r w:rsidRPr="00A615D2">
              <w:rPr>
                <w:rFonts w:ascii="Times New Roman" w:hAnsi="Times New Roman"/>
                <w:color w:val="000000"/>
                <w:szCs w:val="24"/>
              </w:rPr>
              <w:t xml:space="preserve"> </w:t>
            </w:r>
            <w:r w:rsidRPr="00C83335">
              <w:rPr>
                <w:rFonts w:ascii="Times New Roman" w:hAnsi="Times New Roman"/>
              </w:rPr>
              <w:t xml:space="preserve">z dnia 8 marca 2013 r. o przeciwdziałaniu nadmiernym opóźnieniom w transakcjach handlowych </w:t>
            </w:r>
            <w:r>
              <w:rPr>
                <w:rFonts w:ascii="Times New Roman" w:hAnsi="Times New Roman"/>
                <w:color w:val="000000"/>
                <w:szCs w:val="24"/>
              </w:rPr>
              <w:t xml:space="preserve">ma na celu </w:t>
            </w:r>
            <w:r w:rsidR="00E15DD4">
              <w:rPr>
                <w:rFonts w:ascii="Times New Roman" w:hAnsi="Times New Roman"/>
                <w:color w:val="000000"/>
                <w:szCs w:val="24"/>
              </w:rPr>
              <w:t xml:space="preserve">ułatwienie dużym przedsiębiorcom możliwości pomocy swoim mniejszym dłużnikom poprzez </w:t>
            </w:r>
            <w:r w:rsidR="00E15DD4" w:rsidRPr="00DB7A34">
              <w:rPr>
                <w:rFonts w:ascii="Times New Roman" w:hAnsi="Times New Roman"/>
                <w:color w:val="000000"/>
                <w:szCs w:val="24"/>
              </w:rPr>
              <w:t>uwolni</w:t>
            </w:r>
            <w:r w:rsidR="00E15DD4">
              <w:rPr>
                <w:rFonts w:ascii="Times New Roman" w:hAnsi="Times New Roman"/>
                <w:color w:val="000000"/>
                <w:szCs w:val="24"/>
              </w:rPr>
              <w:t>enie</w:t>
            </w:r>
            <w:r w:rsidR="00E15DD4" w:rsidRPr="00DB7A34">
              <w:rPr>
                <w:rFonts w:ascii="Times New Roman" w:hAnsi="Times New Roman"/>
                <w:color w:val="000000"/>
                <w:szCs w:val="24"/>
              </w:rPr>
              <w:t xml:space="preserve"> dłużników z sektora MŚP od ewentualnych negatywnych podatkowych skutków wydłużenia terminu płatności</w:t>
            </w:r>
            <w:r w:rsidR="00E15DD4">
              <w:rPr>
                <w:rFonts w:ascii="Times New Roman" w:hAnsi="Times New Roman"/>
                <w:color w:val="000000"/>
                <w:szCs w:val="24"/>
              </w:rPr>
              <w:t xml:space="preserve"> przez </w:t>
            </w:r>
            <w:r>
              <w:rPr>
                <w:rFonts w:ascii="Times New Roman" w:hAnsi="Times New Roman"/>
                <w:color w:val="000000"/>
                <w:szCs w:val="24"/>
              </w:rPr>
              <w:t>duży</w:t>
            </w:r>
            <w:r w:rsidR="00E15DD4">
              <w:rPr>
                <w:rFonts w:ascii="Times New Roman" w:hAnsi="Times New Roman"/>
                <w:color w:val="000000"/>
                <w:szCs w:val="24"/>
              </w:rPr>
              <w:t>ch</w:t>
            </w:r>
            <w:r>
              <w:rPr>
                <w:rFonts w:ascii="Times New Roman" w:hAnsi="Times New Roman"/>
                <w:color w:val="000000"/>
                <w:szCs w:val="24"/>
              </w:rPr>
              <w:t xml:space="preserve"> przedsiębiorc</w:t>
            </w:r>
            <w:r w:rsidR="00E15DD4">
              <w:rPr>
                <w:rFonts w:ascii="Times New Roman" w:hAnsi="Times New Roman"/>
                <w:color w:val="000000"/>
                <w:szCs w:val="24"/>
              </w:rPr>
              <w:t>ów</w:t>
            </w:r>
            <w:r w:rsidRPr="00C83335">
              <w:rPr>
                <w:rFonts w:ascii="Times New Roman" w:hAnsi="Times New Roman"/>
                <w:color w:val="000000"/>
                <w:szCs w:val="24"/>
              </w:rPr>
              <w:t>.</w:t>
            </w:r>
            <w:r w:rsidR="00E15DD4">
              <w:rPr>
                <w:rFonts w:ascii="Times New Roman" w:hAnsi="Times New Roman"/>
                <w:color w:val="000000"/>
                <w:szCs w:val="24"/>
              </w:rPr>
              <w:t xml:space="preserve"> </w:t>
            </w:r>
          </w:p>
          <w:p w:rsidR="0067661A" w:rsidRPr="009233E4" w:rsidRDefault="000874FC" w:rsidP="008E02F3">
            <w:pPr>
              <w:pStyle w:val="Akapitzlist"/>
              <w:numPr>
                <w:ilvl w:val="0"/>
                <w:numId w:val="63"/>
              </w:numPr>
              <w:spacing w:after="120" w:line="240" w:lineRule="auto"/>
              <w:contextualSpacing w:val="0"/>
              <w:jc w:val="both"/>
              <w:rPr>
                <w:rFonts w:ascii="Times New Roman" w:hAnsi="Times New Roman"/>
                <w:color w:val="000000"/>
                <w:szCs w:val="24"/>
              </w:rPr>
            </w:pPr>
            <w:r w:rsidRPr="009233E4">
              <w:rPr>
                <w:rFonts w:ascii="Times New Roman" w:hAnsi="Times New Roman"/>
                <w:color w:val="000000"/>
                <w:szCs w:val="24"/>
              </w:rPr>
              <w:t>Zmiana w zakresie ustawy z dnia 20 czerwca 2000 r. Prawo własności przemysłowej ma</w:t>
            </w:r>
            <w:r w:rsidR="00251FCB" w:rsidRPr="009233E4">
              <w:rPr>
                <w:rFonts w:ascii="Times New Roman" w:hAnsi="Times New Roman"/>
                <w:color w:val="000000"/>
                <w:szCs w:val="24"/>
              </w:rPr>
              <w:t>jąca</w:t>
            </w:r>
            <w:r w:rsidRPr="009233E4">
              <w:rPr>
                <w:rFonts w:ascii="Times New Roman" w:hAnsi="Times New Roman"/>
                <w:color w:val="000000"/>
                <w:szCs w:val="24"/>
              </w:rPr>
              <w:t xml:space="preserve"> na celu umożliwieni</w:t>
            </w:r>
            <w:r w:rsidR="009233E4">
              <w:rPr>
                <w:rFonts w:ascii="Times New Roman" w:hAnsi="Times New Roman"/>
                <w:color w:val="000000"/>
                <w:szCs w:val="24"/>
              </w:rPr>
              <w:t>e</w:t>
            </w:r>
            <w:r w:rsidRPr="009233E4">
              <w:rPr>
                <w:rFonts w:ascii="Times New Roman" w:hAnsi="Times New Roman"/>
                <w:color w:val="000000"/>
                <w:szCs w:val="24"/>
              </w:rPr>
              <w:t xml:space="preserve"> wydawani</w:t>
            </w:r>
            <w:r w:rsidR="009233E4">
              <w:rPr>
                <w:rFonts w:ascii="Times New Roman" w:hAnsi="Times New Roman"/>
                <w:color w:val="000000"/>
                <w:szCs w:val="24"/>
              </w:rPr>
              <w:t>a</w:t>
            </w:r>
            <w:r w:rsidRPr="009233E4">
              <w:rPr>
                <w:rFonts w:ascii="Times New Roman" w:hAnsi="Times New Roman"/>
                <w:color w:val="000000"/>
                <w:szCs w:val="24"/>
              </w:rPr>
              <w:t xml:space="preserve"> przez Urząd Patentowy uprawnionym dokumentów potwierdzających udzielenie praw wyłącznych i dowodów pierwszeństwa w formie elektronicznej, co jak dotąd nie jest możliwe.</w:t>
            </w:r>
            <w:r w:rsidR="00AE3D10">
              <w:rPr>
                <w:rFonts w:ascii="Times New Roman" w:hAnsi="Times New Roman"/>
                <w:color w:val="000000"/>
                <w:szCs w:val="24"/>
              </w:rPr>
              <w:t xml:space="preserve"> </w:t>
            </w:r>
          </w:p>
          <w:p w:rsidR="00C57242" w:rsidRDefault="009233E4" w:rsidP="008E02F3">
            <w:pPr>
              <w:pStyle w:val="Akapitzlist"/>
              <w:numPr>
                <w:ilvl w:val="0"/>
                <w:numId w:val="63"/>
              </w:numPr>
              <w:spacing w:after="120" w:line="240" w:lineRule="auto"/>
              <w:contextualSpacing w:val="0"/>
              <w:jc w:val="both"/>
              <w:rPr>
                <w:rFonts w:ascii="Times New Roman" w:hAnsi="Times New Roman"/>
                <w:color w:val="000000"/>
                <w:szCs w:val="24"/>
              </w:rPr>
            </w:pPr>
            <w:r w:rsidRPr="003F76CD">
              <w:rPr>
                <w:rFonts w:ascii="Times New Roman" w:hAnsi="Times New Roman"/>
                <w:color w:val="000000"/>
                <w:szCs w:val="24"/>
              </w:rPr>
              <w:t>Zmiana</w:t>
            </w:r>
            <w:r w:rsidR="00AD28AE" w:rsidRPr="003F76CD">
              <w:rPr>
                <w:rFonts w:ascii="Times New Roman" w:hAnsi="Times New Roman"/>
                <w:color w:val="000000"/>
                <w:szCs w:val="24"/>
              </w:rPr>
              <w:t xml:space="preserve"> w ustawie z dnia 10 kwietnia 1997 r. – Prawo energetyczne ma</w:t>
            </w:r>
            <w:r w:rsidR="00251FCB" w:rsidRPr="003F76CD">
              <w:rPr>
                <w:rFonts w:ascii="Times New Roman" w:hAnsi="Times New Roman"/>
                <w:color w:val="000000"/>
                <w:szCs w:val="24"/>
              </w:rPr>
              <w:t>jąca</w:t>
            </w:r>
            <w:r w:rsidR="00AD28AE" w:rsidRPr="003F76CD">
              <w:rPr>
                <w:rFonts w:ascii="Times New Roman" w:hAnsi="Times New Roman"/>
                <w:color w:val="000000"/>
                <w:szCs w:val="24"/>
              </w:rPr>
              <w:t xml:space="preserve"> na celu </w:t>
            </w:r>
            <w:r w:rsidR="00251FCB" w:rsidRPr="002443B2">
              <w:rPr>
                <w:rFonts w:ascii="Times New Roman" w:hAnsi="Times New Roman"/>
                <w:color w:val="000000"/>
                <w:szCs w:val="24"/>
              </w:rPr>
              <w:t>określenie, że</w:t>
            </w:r>
            <w:r w:rsidR="007978C7" w:rsidRPr="002443B2">
              <w:rPr>
                <w:rFonts w:ascii="Times New Roman" w:hAnsi="Times New Roman"/>
                <w:color w:val="000000"/>
                <w:szCs w:val="24"/>
              </w:rPr>
              <w:t xml:space="preserve"> </w:t>
            </w:r>
            <w:r w:rsidR="00AD28AE" w:rsidRPr="002443B2">
              <w:rPr>
                <w:rFonts w:ascii="Times New Roman" w:hAnsi="Times New Roman"/>
                <w:color w:val="000000"/>
                <w:szCs w:val="24"/>
              </w:rPr>
              <w:t>możliwoś</w:t>
            </w:r>
            <w:r w:rsidR="00A41CAC" w:rsidRPr="002443B2">
              <w:rPr>
                <w:rFonts w:ascii="Times New Roman" w:hAnsi="Times New Roman"/>
                <w:color w:val="000000"/>
                <w:szCs w:val="24"/>
              </w:rPr>
              <w:t>ci</w:t>
            </w:r>
            <w:r w:rsidR="00AD28AE" w:rsidRPr="00A127B8">
              <w:rPr>
                <w:rFonts w:ascii="Times New Roman" w:hAnsi="Times New Roman"/>
                <w:color w:val="000000"/>
                <w:szCs w:val="24"/>
              </w:rPr>
              <w:t xml:space="preserve"> zaprzestania dostaw paliw gazowych, energii elektrycznej lub ciepła </w:t>
            </w:r>
            <w:r w:rsidR="001854DF">
              <w:rPr>
                <w:rFonts w:ascii="Times New Roman" w:hAnsi="Times New Roman"/>
                <w:color w:val="000000"/>
                <w:szCs w:val="24"/>
              </w:rPr>
              <w:t xml:space="preserve">przez dostawców paliw gazowych, energii elektrycznej lub ciepła </w:t>
            </w:r>
            <w:r w:rsidR="007978C7" w:rsidRPr="00710DB8">
              <w:rPr>
                <w:rFonts w:ascii="Times New Roman" w:hAnsi="Times New Roman"/>
                <w:color w:val="000000"/>
                <w:szCs w:val="24"/>
              </w:rPr>
              <w:t xml:space="preserve">nie stosuje się </w:t>
            </w:r>
            <w:r w:rsidR="00AD28AE" w:rsidRPr="00710DB8">
              <w:rPr>
                <w:rFonts w:ascii="Times New Roman" w:hAnsi="Times New Roman"/>
                <w:color w:val="000000"/>
                <w:szCs w:val="24"/>
              </w:rPr>
              <w:t xml:space="preserve">do odbiorców </w:t>
            </w:r>
            <w:r w:rsidR="00A41CAC" w:rsidRPr="00710DB8">
              <w:rPr>
                <w:rFonts w:ascii="Times New Roman" w:hAnsi="Times New Roman"/>
                <w:color w:val="000000"/>
                <w:szCs w:val="24"/>
              </w:rPr>
              <w:t xml:space="preserve">najbardziej wrażliwych, tj. odbiorców </w:t>
            </w:r>
            <w:r w:rsidR="00AD28AE" w:rsidRPr="00710DB8">
              <w:rPr>
                <w:rFonts w:ascii="Times New Roman" w:hAnsi="Times New Roman"/>
                <w:color w:val="000000"/>
                <w:szCs w:val="24"/>
              </w:rPr>
              <w:t xml:space="preserve">w gospodarstwach domowych oraz tych, którym wstrzymano prowadzenie działalności na podstawie przepisów ogólnych. </w:t>
            </w:r>
          </w:p>
          <w:p w:rsidR="008A7DAA" w:rsidRDefault="001E6414" w:rsidP="008E02F3">
            <w:pPr>
              <w:pStyle w:val="Akapitzlist"/>
              <w:numPr>
                <w:ilvl w:val="0"/>
                <w:numId w:val="63"/>
              </w:numPr>
              <w:spacing w:line="240" w:lineRule="auto"/>
              <w:contextualSpacing w:val="0"/>
              <w:jc w:val="both"/>
              <w:rPr>
                <w:rFonts w:ascii="Times New Roman" w:hAnsi="Times New Roman"/>
                <w:color w:val="000000"/>
                <w:szCs w:val="24"/>
              </w:rPr>
            </w:pPr>
            <w:r>
              <w:rPr>
                <w:rFonts w:ascii="Times New Roman" w:hAnsi="Times New Roman"/>
                <w:color w:val="000000"/>
                <w:szCs w:val="24"/>
              </w:rPr>
              <w:t xml:space="preserve">Dostosowanie niektórych przepisów </w:t>
            </w:r>
            <w:r w:rsidR="000E7B29">
              <w:rPr>
                <w:rFonts w:ascii="Times New Roman" w:hAnsi="Times New Roman"/>
                <w:color w:val="000000"/>
                <w:szCs w:val="24"/>
              </w:rPr>
              <w:t xml:space="preserve">dot. </w:t>
            </w:r>
            <w:r>
              <w:rPr>
                <w:rFonts w:ascii="Times New Roman" w:hAnsi="Times New Roman"/>
                <w:color w:val="000000"/>
                <w:szCs w:val="24"/>
              </w:rPr>
              <w:t>podatk</w:t>
            </w:r>
            <w:r w:rsidR="000E7B29">
              <w:rPr>
                <w:rFonts w:ascii="Times New Roman" w:hAnsi="Times New Roman"/>
                <w:color w:val="000000"/>
                <w:szCs w:val="24"/>
              </w:rPr>
              <w:t>ów dochodowych</w:t>
            </w:r>
            <w:r>
              <w:rPr>
                <w:rFonts w:ascii="Times New Roman" w:hAnsi="Times New Roman"/>
                <w:color w:val="000000"/>
                <w:szCs w:val="24"/>
              </w:rPr>
              <w:t xml:space="preserve"> do </w:t>
            </w:r>
            <w:r w:rsidR="001C6D26">
              <w:rPr>
                <w:rFonts w:ascii="Times New Roman" w:hAnsi="Times New Roman"/>
                <w:color w:val="000000"/>
                <w:szCs w:val="24"/>
              </w:rPr>
              <w:t>wyzwań</w:t>
            </w:r>
            <w:r>
              <w:rPr>
                <w:rFonts w:ascii="Times New Roman" w:hAnsi="Times New Roman"/>
                <w:color w:val="000000"/>
                <w:szCs w:val="24"/>
              </w:rPr>
              <w:t xml:space="preserve"> związanych z COVID-19:</w:t>
            </w:r>
          </w:p>
          <w:p w:rsidR="00085200" w:rsidRDefault="0080751C" w:rsidP="008E02F3">
            <w:pPr>
              <w:pStyle w:val="Akapitzlist"/>
              <w:numPr>
                <w:ilvl w:val="0"/>
                <w:numId w:val="58"/>
              </w:numPr>
              <w:spacing w:after="120" w:line="240" w:lineRule="auto"/>
              <w:ind w:left="1027"/>
              <w:contextualSpacing w:val="0"/>
              <w:jc w:val="both"/>
              <w:rPr>
                <w:rFonts w:ascii="Times New Roman" w:hAnsi="Times New Roman"/>
                <w:color w:val="000000"/>
                <w:szCs w:val="24"/>
              </w:rPr>
            </w:pPr>
            <w:r>
              <w:rPr>
                <w:rFonts w:ascii="Times New Roman" w:hAnsi="Times New Roman"/>
                <w:color w:val="000000"/>
                <w:szCs w:val="24"/>
              </w:rPr>
              <w:t>uregulowanie</w:t>
            </w:r>
            <w:r w:rsidR="00085200">
              <w:rPr>
                <w:rFonts w:ascii="Times New Roman" w:hAnsi="Times New Roman"/>
                <w:color w:val="000000"/>
                <w:szCs w:val="24"/>
              </w:rPr>
              <w:t xml:space="preserve">, że w przypadku schematu podatkowego transgranicznego </w:t>
            </w:r>
            <w:r w:rsidR="00085200" w:rsidRPr="00085200">
              <w:rPr>
                <w:rFonts w:ascii="Times New Roman" w:hAnsi="Times New Roman"/>
                <w:color w:val="000000"/>
                <w:szCs w:val="24"/>
              </w:rPr>
              <w:t>terminy</w:t>
            </w:r>
            <w:r w:rsidR="00DC70FE">
              <w:rPr>
                <w:rFonts w:ascii="Times New Roman" w:hAnsi="Times New Roman"/>
                <w:color w:val="000000"/>
                <w:szCs w:val="24"/>
              </w:rPr>
              <w:t xml:space="preserve"> wskazane w dziale III rozdziału</w:t>
            </w:r>
            <w:r w:rsidR="00085200" w:rsidRPr="00085200">
              <w:rPr>
                <w:rFonts w:ascii="Times New Roman" w:hAnsi="Times New Roman"/>
                <w:color w:val="000000"/>
                <w:szCs w:val="24"/>
              </w:rPr>
              <w:t xml:space="preserve"> 11a ustawy Ordyn</w:t>
            </w:r>
            <w:r w:rsidR="00085200">
              <w:rPr>
                <w:rFonts w:ascii="Times New Roman" w:hAnsi="Times New Roman"/>
                <w:color w:val="000000"/>
                <w:szCs w:val="24"/>
              </w:rPr>
              <w:t>acja podatkowa nie rozpoczynają</w:t>
            </w:r>
            <w:r w:rsidR="00DC70FE">
              <w:rPr>
                <w:rFonts w:ascii="Times New Roman" w:hAnsi="Times New Roman"/>
                <w:color w:val="000000"/>
                <w:szCs w:val="24"/>
              </w:rPr>
              <w:t xml:space="preserve"> się a rozpoczęte podlegają</w:t>
            </w:r>
            <w:r w:rsidR="00085200" w:rsidRPr="00085200">
              <w:rPr>
                <w:rFonts w:ascii="Times New Roman" w:hAnsi="Times New Roman"/>
                <w:color w:val="000000"/>
                <w:szCs w:val="24"/>
              </w:rPr>
              <w:t xml:space="preserve"> zawieszeniu w</w:t>
            </w:r>
            <w:r w:rsidR="002A37BC">
              <w:rPr>
                <w:rFonts w:ascii="Times New Roman" w:hAnsi="Times New Roman"/>
                <w:color w:val="000000"/>
                <w:szCs w:val="24"/>
              </w:rPr>
              <w:t> </w:t>
            </w:r>
            <w:r w:rsidR="00085200" w:rsidRPr="00085200">
              <w:rPr>
                <w:rFonts w:ascii="Times New Roman" w:hAnsi="Times New Roman"/>
                <w:color w:val="000000"/>
                <w:szCs w:val="24"/>
              </w:rPr>
              <w:t>okresie od dnia 31 marca 2020 r. do trzydziestego dnia następującego po dniu odwołania stanu zagrożenia epidemicznego i stanu epidemii ogłoszonego w związku z COVID-19</w:t>
            </w:r>
            <w:r w:rsidR="00BF086E">
              <w:rPr>
                <w:rFonts w:ascii="Times New Roman" w:hAnsi="Times New Roman"/>
                <w:color w:val="000000"/>
                <w:szCs w:val="24"/>
              </w:rPr>
              <w:t>,</w:t>
            </w:r>
          </w:p>
          <w:p w:rsidR="00DC70FE" w:rsidRPr="00926E8B"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r</w:t>
            </w:r>
            <w:r w:rsidR="00DC70FE" w:rsidRPr="00926E8B">
              <w:rPr>
                <w:rFonts w:ascii="Times New Roman" w:hAnsi="Times New Roman"/>
                <w:color w:val="000000"/>
              </w:rPr>
              <w:t>ozszerzenie zakresu darowizn podlegających odliczeniu od podstawy obliczenia podatku</w:t>
            </w:r>
            <w:r w:rsidR="00926E8B" w:rsidRPr="00926E8B">
              <w:rPr>
                <w:rFonts w:ascii="Times New Roman" w:hAnsi="Times New Roman"/>
                <w:color w:val="000000"/>
              </w:rPr>
              <w:t xml:space="preserve"> dochodowego, w</w:t>
            </w:r>
            <w:r w:rsidR="006D7278">
              <w:rPr>
                <w:rFonts w:ascii="Times New Roman" w:hAnsi="Times New Roman"/>
                <w:color w:val="000000"/>
              </w:rPr>
              <w:t> </w:t>
            </w:r>
            <w:r w:rsidR="00926E8B" w:rsidRPr="00926E8B">
              <w:rPr>
                <w:rFonts w:ascii="Times New Roman" w:hAnsi="Times New Roman"/>
                <w:color w:val="000000"/>
              </w:rPr>
              <w:t xml:space="preserve">tym </w:t>
            </w:r>
            <w:r w:rsidR="0080751C">
              <w:rPr>
                <w:rFonts w:ascii="Times New Roman" w:hAnsi="Times New Roman"/>
                <w:color w:val="000000"/>
              </w:rPr>
              <w:t xml:space="preserve">na </w:t>
            </w:r>
            <w:r w:rsidR="00926E8B" w:rsidRPr="00926E8B">
              <w:rPr>
                <w:rFonts w:ascii="Times New Roman" w:hAnsi="Times New Roman"/>
                <w:color w:val="000000"/>
              </w:rPr>
              <w:t>darowizn</w:t>
            </w:r>
            <w:r w:rsidR="0080751C">
              <w:rPr>
                <w:rFonts w:ascii="Times New Roman" w:hAnsi="Times New Roman"/>
                <w:color w:val="000000"/>
              </w:rPr>
              <w:t>y</w:t>
            </w:r>
            <w:r w:rsidR="00926E8B" w:rsidRPr="00926E8B">
              <w:rPr>
                <w:rFonts w:ascii="Times New Roman" w:hAnsi="Times New Roman"/>
                <w:color w:val="000000"/>
              </w:rPr>
              <w:t xml:space="preserve"> przekazan</w:t>
            </w:r>
            <w:r w:rsidR="0080751C">
              <w:rPr>
                <w:rFonts w:ascii="Times New Roman" w:hAnsi="Times New Roman"/>
                <w:color w:val="000000"/>
              </w:rPr>
              <w:t>e</w:t>
            </w:r>
            <w:r w:rsidR="00926E8B" w:rsidRPr="00926E8B">
              <w:rPr>
                <w:rFonts w:ascii="Times New Roman" w:hAnsi="Times New Roman"/>
                <w:color w:val="000000"/>
              </w:rPr>
              <w:t xml:space="preserve"> na rzecz domu dla matek z małoletnimi dziećmi i kobiet w ciąży, </w:t>
            </w:r>
            <w:r w:rsidR="00976A1B">
              <w:rPr>
                <w:rFonts w:ascii="Times New Roman" w:hAnsi="Times New Roman"/>
              </w:rPr>
              <w:t>noclegowni, schronisk</w:t>
            </w:r>
            <w:r w:rsidR="00926E8B" w:rsidRPr="00926E8B">
              <w:rPr>
                <w:rFonts w:ascii="Times New Roman" w:hAnsi="Times New Roman"/>
              </w:rPr>
              <w:t xml:space="preserve"> dla osób bezdomnych w tym </w:t>
            </w:r>
            <w:r w:rsidR="00976A1B">
              <w:rPr>
                <w:rFonts w:ascii="Times New Roman" w:hAnsi="Times New Roman"/>
              </w:rPr>
              <w:t>z usługami opiekuńczymi, ośrodków</w:t>
            </w:r>
            <w:r w:rsidR="00926E8B" w:rsidRPr="00926E8B">
              <w:rPr>
                <w:rFonts w:ascii="Times New Roman" w:hAnsi="Times New Roman"/>
              </w:rPr>
              <w:t xml:space="preserve"> wsparcia, rodzinnego domu pomocy, domu pomocy społecznej</w:t>
            </w:r>
            <w:r w:rsidR="005E4E44">
              <w:rPr>
                <w:rFonts w:ascii="Times New Roman" w:hAnsi="Times New Roman"/>
              </w:rPr>
              <w:t>,</w:t>
            </w:r>
          </w:p>
          <w:p w:rsidR="00DC70FE"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u</w:t>
            </w:r>
            <w:r w:rsidR="00926E8B">
              <w:rPr>
                <w:rFonts w:ascii="Times New Roman" w:hAnsi="Times New Roman"/>
                <w:color w:val="000000"/>
              </w:rPr>
              <w:t xml:space="preserve">łatwienia w skorzystaniu z tzw. ulgi na złe długi przy zatorach płatniczych przez podatników ponoszących </w:t>
            </w:r>
            <w:r w:rsidR="00926E8B" w:rsidRPr="00926E8B">
              <w:rPr>
                <w:rFonts w:ascii="Times New Roman" w:hAnsi="Times New Roman"/>
                <w:color w:val="000000"/>
              </w:rPr>
              <w:t>negatywne konsekwencje ekonomiczne z powodu COVID-19</w:t>
            </w:r>
            <w:r w:rsidR="00926E8B">
              <w:rPr>
                <w:rFonts w:ascii="Times New Roman" w:hAnsi="Times New Roman"/>
                <w:color w:val="000000"/>
              </w:rPr>
              <w:t>,</w:t>
            </w:r>
            <w:r w:rsidR="00926E8B" w:rsidRPr="00926E8B">
              <w:rPr>
                <w:rFonts w:ascii="Times New Roman" w:hAnsi="Times New Roman"/>
                <w:color w:val="000000"/>
              </w:rPr>
              <w:t xml:space="preserve"> w tym wprowadzenie ulgi dla podatników, którzy na 2020 r. wybrali uproszczoną formę wpłacania zaliczek</w:t>
            </w:r>
            <w:r w:rsidR="00926E8B">
              <w:rPr>
                <w:rFonts w:ascii="Times New Roman" w:hAnsi="Times New Roman"/>
                <w:color w:val="000000"/>
              </w:rPr>
              <w:t xml:space="preserve"> na podatek dochodowy</w:t>
            </w:r>
            <w:r w:rsidR="006B330B">
              <w:rPr>
                <w:rFonts w:ascii="Times New Roman" w:hAnsi="Times New Roman"/>
                <w:color w:val="000000"/>
              </w:rPr>
              <w:t>,</w:t>
            </w:r>
          </w:p>
          <w:p w:rsidR="00976A1B" w:rsidRPr="00976A1B"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u</w:t>
            </w:r>
            <w:r w:rsidR="00976A1B">
              <w:rPr>
                <w:rFonts w:ascii="Times New Roman" w:hAnsi="Times New Roman"/>
                <w:color w:val="000000"/>
              </w:rPr>
              <w:t>możliwienie odliczenia</w:t>
            </w:r>
            <w:r w:rsidR="00DC760A">
              <w:rPr>
                <w:rFonts w:ascii="Times New Roman" w:hAnsi="Times New Roman"/>
                <w:color w:val="000000"/>
              </w:rPr>
              <w:t xml:space="preserve"> przez podatników</w:t>
            </w:r>
            <w:r w:rsidR="00976A1B" w:rsidRPr="00976A1B">
              <w:rPr>
                <w:rFonts w:ascii="Times New Roman" w:hAnsi="Times New Roman"/>
                <w:color w:val="000000"/>
              </w:rPr>
              <w:t>, w tym podatników prowadzących działalność gospodarczą (na ogólnych zasadach przy zastosowaniu skali podatkowej lu</w:t>
            </w:r>
            <w:r w:rsidR="0080751C">
              <w:rPr>
                <w:rFonts w:ascii="Times New Roman" w:hAnsi="Times New Roman"/>
                <w:color w:val="000000"/>
              </w:rPr>
              <w:t xml:space="preserve">b liniowej 19% stawki podatku), </w:t>
            </w:r>
            <w:r w:rsidR="00976A1B" w:rsidRPr="00976A1B">
              <w:rPr>
                <w:rFonts w:ascii="Times New Roman" w:hAnsi="Times New Roman"/>
                <w:color w:val="000000"/>
              </w:rPr>
              <w:t xml:space="preserve">darowizn rzeczowych w formie </w:t>
            </w:r>
            <w:r w:rsidR="000E7B29">
              <w:rPr>
                <w:rFonts w:ascii="Times New Roman" w:hAnsi="Times New Roman"/>
                <w:color w:val="000000"/>
              </w:rPr>
              <w:t>komputerów</w:t>
            </w:r>
            <w:r w:rsidR="00976A1B" w:rsidRPr="00976A1B">
              <w:rPr>
                <w:rFonts w:ascii="Times New Roman" w:hAnsi="Times New Roman"/>
                <w:color w:val="000000"/>
              </w:rPr>
              <w:t xml:space="preserve"> (zdatnych do użytku i nie starszych niż 3 lata) przekazanych od 1 stycznia 2020 do 30 września 2020 r. wskazanym podmiotom</w:t>
            </w:r>
            <w:r w:rsidR="00B56336">
              <w:rPr>
                <w:rFonts w:ascii="Times New Roman" w:hAnsi="Times New Roman"/>
                <w:color w:val="000000"/>
              </w:rPr>
              <w:t>, m.in. placówkom oświatowym</w:t>
            </w:r>
            <w:r w:rsidR="005E4E44">
              <w:rPr>
                <w:rFonts w:ascii="Times New Roman" w:hAnsi="Times New Roman"/>
                <w:color w:val="000000"/>
              </w:rPr>
              <w:t>,</w:t>
            </w:r>
          </w:p>
          <w:p w:rsidR="00976A1B" w:rsidRPr="00976A1B"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u</w:t>
            </w:r>
            <w:r w:rsidR="00976A1B" w:rsidRPr="00976A1B">
              <w:rPr>
                <w:rFonts w:ascii="Times New Roman" w:hAnsi="Times New Roman"/>
                <w:color w:val="000000"/>
              </w:rPr>
              <w:t>możliwi</w:t>
            </w:r>
            <w:r w:rsidR="00976A1B">
              <w:rPr>
                <w:rFonts w:ascii="Times New Roman" w:hAnsi="Times New Roman"/>
                <w:color w:val="000000"/>
              </w:rPr>
              <w:t>enie</w:t>
            </w:r>
            <w:r w:rsidR="00976A1B" w:rsidRPr="00976A1B">
              <w:rPr>
                <w:rFonts w:ascii="Times New Roman" w:hAnsi="Times New Roman"/>
                <w:color w:val="000000"/>
              </w:rPr>
              <w:t xml:space="preserve"> zaliczeni</w:t>
            </w:r>
            <w:r w:rsidR="00976A1B">
              <w:rPr>
                <w:rFonts w:ascii="Times New Roman" w:hAnsi="Times New Roman"/>
                <w:color w:val="000000"/>
              </w:rPr>
              <w:t>a</w:t>
            </w:r>
            <w:r w:rsidR="00976A1B" w:rsidRPr="00976A1B">
              <w:rPr>
                <w:rFonts w:ascii="Times New Roman" w:hAnsi="Times New Roman"/>
                <w:color w:val="000000"/>
              </w:rPr>
              <w:t xml:space="preserve"> do kosztów uzyskania przychodów kosztu wytworzenia lub ceny nabycia rzeczy lub praw, które następnie podatnik przekaże w formie darowizny</w:t>
            </w:r>
            <w:r w:rsidR="00B04B92">
              <w:rPr>
                <w:rFonts w:ascii="Times New Roman" w:hAnsi="Times New Roman"/>
                <w:color w:val="000000"/>
              </w:rPr>
              <w:t>,</w:t>
            </w:r>
            <w:r w:rsidR="00AF69A3">
              <w:rPr>
                <w:rFonts w:ascii="Times New Roman" w:hAnsi="Times New Roman"/>
                <w:color w:val="000000"/>
              </w:rPr>
              <w:t xml:space="preserve"> </w:t>
            </w:r>
            <w:r w:rsidR="00B04B92" w:rsidRPr="00976A1B">
              <w:rPr>
                <w:rFonts w:ascii="Times New Roman" w:hAnsi="Times New Roman"/>
                <w:color w:val="000000"/>
              </w:rPr>
              <w:t>w terminie od dnia 1 stycznia 2020 r. do dnia 30 września 2020 r.</w:t>
            </w:r>
            <w:r w:rsidR="00B04B92">
              <w:rPr>
                <w:rFonts w:ascii="Times New Roman" w:hAnsi="Times New Roman"/>
                <w:color w:val="000000"/>
              </w:rPr>
              <w:t>,</w:t>
            </w:r>
            <w:r w:rsidR="00B04B92" w:rsidRPr="00976A1B">
              <w:rPr>
                <w:rFonts w:ascii="Times New Roman" w:hAnsi="Times New Roman"/>
                <w:color w:val="000000"/>
              </w:rPr>
              <w:t xml:space="preserve"> </w:t>
            </w:r>
            <w:r w:rsidR="00976A1B" w:rsidRPr="00976A1B">
              <w:rPr>
                <w:rFonts w:ascii="Times New Roman" w:hAnsi="Times New Roman"/>
                <w:color w:val="000000"/>
              </w:rPr>
              <w:t>np. na przeciwdziałanie COVID-19 podmiotom wykonującym działalność leczniczą, albo placówce oświatowej</w:t>
            </w:r>
            <w:r w:rsidR="005E4E44">
              <w:rPr>
                <w:rFonts w:ascii="Times New Roman" w:hAnsi="Times New Roman"/>
                <w:color w:val="000000"/>
              </w:rPr>
              <w:t>,</w:t>
            </w:r>
            <w:r w:rsidR="00976A1B" w:rsidRPr="00976A1B">
              <w:rPr>
                <w:rFonts w:ascii="Times New Roman" w:hAnsi="Times New Roman"/>
                <w:color w:val="000000"/>
              </w:rPr>
              <w:t xml:space="preserve"> </w:t>
            </w:r>
          </w:p>
          <w:p w:rsidR="00B04B92" w:rsidRPr="00B04B92"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w</w:t>
            </w:r>
            <w:r w:rsidR="00B04B92">
              <w:rPr>
                <w:rFonts w:ascii="Times New Roman" w:hAnsi="Times New Roman"/>
                <w:color w:val="000000"/>
              </w:rPr>
              <w:t>yłączenie</w:t>
            </w:r>
            <w:r w:rsidR="00B04B92" w:rsidRPr="00B04B92">
              <w:rPr>
                <w:rFonts w:ascii="Times New Roman" w:hAnsi="Times New Roman"/>
                <w:color w:val="000000"/>
              </w:rPr>
              <w:t xml:space="preserve"> z przychodów z pozarolniczej działalności gospodarczej wartości darowizn otrzymanych od dnia 1 stycznia 2020 r. do dnia 30 września 2020 r. przez placówki medyczne (m.in. szpitale) oraz placówki oświatowe, w związku z COVID-19, które nie podlegają z tytułu otrzymanych darowizn podatkowi od spadków i darowizn</w:t>
            </w:r>
            <w:r w:rsidR="005E4E44">
              <w:rPr>
                <w:rFonts w:ascii="Times New Roman" w:hAnsi="Times New Roman"/>
                <w:color w:val="000000"/>
              </w:rPr>
              <w:t>,</w:t>
            </w:r>
          </w:p>
          <w:p w:rsidR="00B04B92" w:rsidRDefault="005E4E44" w:rsidP="008E02F3">
            <w:pPr>
              <w:pStyle w:val="Akapitzlist"/>
              <w:numPr>
                <w:ilvl w:val="0"/>
                <w:numId w:val="58"/>
              </w:numPr>
              <w:spacing w:after="120" w:line="240" w:lineRule="auto"/>
              <w:ind w:left="1027"/>
              <w:contextualSpacing w:val="0"/>
              <w:jc w:val="both"/>
              <w:rPr>
                <w:rFonts w:ascii="Times New Roman" w:hAnsi="Times New Roman"/>
                <w:color w:val="000000"/>
              </w:rPr>
            </w:pPr>
            <w:r w:rsidRPr="00B56336">
              <w:rPr>
                <w:rFonts w:ascii="Times New Roman" w:hAnsi="Times New Roman"/>
                <w:color w:val="000000"/>
              </w:rPr>
              <w:t>umożliwienie</w:t>
            </w:r>
            <w:r w:rsidR="00B04B92" w:rsidRPr="00B56336">
              <w:rPr>
                <w:rFonts w:ascii="Times New Roman" w:hAnsi="Times New Roman"/>
                <w:color w:val="000000"/>
              </w:rPr>
              <w:t xml:space="preserve"> </w:t>
            </w:r>
            <w:r w:rsidRPr="00B56336">
              <w:rPr>
                <w:rFonts w:ascii="Times New Roman" w:hAnsi="Times New Roman"/>
                <w:color w:val="000000"/>
              </w:rPr>
              <w:t>podatnikom</w:t>
            </w:r>
            <w:r w:rsidR="00B04B92" w:rsidRPr="00B56336">
              <w:rPr>
                <w:rFonts w:ascii="Times New Roman" w:hAnsi="Times New Roman"/>
                <w:color w:val="000000"/>
              </w:rPr>
              <w:t xml:space="preserve"> </w:t>
            </w:r>
            <w:r w:rsidRPr="00B56336">
              <w:rPr>
                <w:rFonts w:ascii="Times New Roman" w:hAnsi="Times New Roman"/>
                <w:color w:val="000000"/>
              </w:rPr>
              <w:t>uwzględniania</w:t>
            </w:r>
            <w:r w:rsidR="00B04B92" w:rsidRPr="00B56336">
              <w:rPr>
                <w:rFonts w:ascii="Times New Roman" w:hAnsi="Times New Roman"/>
                <w:color w:val="000000"/>
              </w:rPr>
              <w:t xml:space="preserve"> </w:t>
            </w:r>
            <w:r w:rsidR="00B56336" w:rsidRPr="00B56336">
              <w:rPr>
                <w:rFonts w:ascii="Times New Roman" w:hAnsi="Times New Roman"/>
                <w:color w:val="000000"/>
              </w:rPr>
              <w:t xml:space="preserve">w kosztach uzyskania przychodów </w:t>
            </w:r>
            <w:r w:rsidR="00B04B92" w:rsidRPr="00B56336">
              <w:rPr>
                <w:rFonts w:ascii="Times New Roman" w:hAnsi="Times New Roman"/>
                <w:color w:val="000000"/>
              </w:rPr>
              <w:t>kar umown</w:t>
            </w:r>
            <w:r w:rsidRPr="00B56336">
              <w:rPr>
                <w:rFonts w:ascii="Times New Roman" w:hAnsi="Times New Roman"/>
                <w:color w:val="000000"/>
              </w:rPr>
              <w:t>ych</w:t>
            </w:r>
            <w:r w:rsidR="00B04B92" w:rsidRPr="00B56336">
              <w:rPr>
                <w:rFonts w:ascii="Times New Roman" w:hAnsi="Times New Roman"/>
                <w:color w:val="000000"/>
              </w:rPr>
              <w:t xml:space="preserve"> i odszkodowa</w:t>
            </w:r>
            <w:r w:rsidRPr="00B56336">
              <w:rPr>
                <w:rFonts w:ascii="Times New Roman" w:hAnsi="Times New Roman"/>
                <w:color w:val="000000"/>
              </w:rPr>
              <w:t>ń zapłaconych</w:t>
            </w:r>
            <w:r w:rsidR="00B56336" w:rsidRPr="00B56336">
              <w:rPr>
                <w:rFonts w:ascii="Times New Roman" w:hAnsi="Times New Roman"/>
                <w:color w:val="000000"/>
              </w:rPr>
              <w:t>,</w:t>
            </w:r>
            <w:r w:rsidR="00B04B92" w:rsidRPr="00ED4685">
              <w:rPr>
                <w:rFonts w:ascii="Times New Roman" w:hAnsi="Times New Roman"/>
                <w:color w:val="000000"/>
              </w:rPr>
              <w:t xml:space="preserve"> </w:t>
            </w:r>
            <w:r w:rsidR="00B56336" w:rsidRPr="00ED4685">
              <w:rPr>
                <w:rFonts w:ascii="Times New Roman" w:hAnsi="Times New Roman"/>
                <w:color w:val="000000"/>
              </w:rPr>
              <w:t>jeżeli wada dostarczonych towarów, wykonanych robót i usług oraz zwłoka w dostarczeniu towaru wolnego od wad lub zwłoka w usunięciu wad towarów albo wykona</w:t>
            </w:r>
            <w:r w:rsidR="00B56336" w:rsidRPr="00867EF2">
              <w:rPr>
                <w:rFonts w:ascii="Times New Roman" w:hAnsi="Times New Roman"/>
                <w:color w:val="000000"/>
              </w:rPr>
              <w:t>nych robót i usług, powstała w</w:t>
            </w:r>
            <w:r w:rsidR="002A37BC">
              <w:rPr>
                <w:rFonts w:ascii="Times New Roman" w:hAnsi="Times New Roman"/>
                <w:color w:val="000000"/>
              </w:rPr>
              <w:t> </w:t>
            </w:r>
            <w:r w:rsidR="00B56336" w:rsidRPr="00867EF2">
              <w:rPr>
                <w:rFonts w:ascii="Times New Roman" w:hAnsi="Times New Roman"/>
                <w:color w:val="000000"/>
              </w:rPr>
              <w:t>związku ze stanem zagrożenia epidemicznego lub stanem epidemii ogłoszonego z powodu COVID-19</w:t>
            </w:r>
            <w:r w:rsidR="00B56336" w:rsidRPr="00B56336">
              <w:rPr>
                <w:rFonts w:ascii="Times New Roman" w:hAnsi="Times New Roman"/>
                <w:color w:val="000000"/>
              </w:rPr>
              <w:t>,</w:t>
            </w:r>
          </w:p>
          <w:p w:rsidR="000E7B29" w:rsidRPr="000E7B29" w:rsidRDefault="000E7B29"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 xml:space="preserve">umożliwienie zastosowania </w:t>
            </w:r>
            <w:r w:rsidRPr="000E7B29">
              <w:rPr>
                <w:rFonts w:ascii="Times New Roman" w:hAnsi="Times New Roman"/>
                <w:color w:val="000000"/>
              </w:rPr>
              <w:t>przepis</w:t>
            </w:r>
            <w:r>
              <w:rPr>
                <w:rFonts w:ascii="Times New Roman" w:hAnsi="Times New Roman"/>
                <w:color w:val="000000"/>
              </w:rPr>
              <w:t>ów</w:t>
            </w:r>
            <w:r w:rsidRPr="000E7B29">
              <w:rPr>
                <w:rFonts w:ascii="Times New Roman" w:hAnsi="Times New Roman"/>
                <w:color w:val="000000"/>
              </w:rPr>
              <w:t xml:space="preserve"> w zakresie przerwy w prowadzeniu działalności gospodarczej do podatników korzystających z opodatkowania w formie karty podatkowej, którzy z uwagi na wprowadzony z</w:t>
            </w:r>
            <w:r w:rsidR="002A37BC">
              <w:rPr>
                <w:rFonts w:ascii="Times New Roman" w:hAnsi="Times New Roman"/>
                <w:color w:val="000000"/>
              </w:rPr>
              <w:t> </w:t>
            </w:r>
            <w:r w:rsidRPr="000E7B29">
              <w:rPr>
                <w:rFonts w:ascii="Times New Roman" w:hAnsi="Times New Roman"/>
                <w:color w:val="000000"/>
              </w:rPr>
              <w:t>powodu COVID-19 przez władze publiczne czasowy zakaz prowadzenia działalności gospodarczej, nie mogą jej prowadzić. Wprowadzany przepis zwalnia podatników z obowiązku zawiadamiania naczelnika urzędu skarbowego o okresie przerwy w prowadzeniu działalności gospodarczej</w:t>
            </w:r>
            <w:r>
              <w:rPr>
                <w:rFonts w:ascii="Times New Roman" w:hAnsi="Times New Roman"/>
                <w:color w:val="000000"/>
              </w:rPr>
              <w:t>.</w:t>
            </w:r>
            <w:r w:rsidRPr="000E7B29">
              <w:rPr>
                <w:rFonts w:ascii="Times New Roman" w:hAnsi="Times New Roman"/>
                <w:color w:val="000000"/>
              </w:rPr>
              <w:t xml:space="preserve"> W efekcie tej zmiany, z</w:t>
            </w:r>
            <w:r w:rsidR="002A37BC">
              <w:rPr>
                <w:rFonts w:ascii="Times New Roman" w:hAnsi="Times New Roman"/>
                <w:color w:val="000000"/>
              </w:rPr>
              <w:t> </w:t>
            </w:r>
            <w:r w:rsidRPr="000E7B29">
              <w:rPr>
                <w:rFonts w:ascii="Times New Roman" w:hAnsi="Times New Roman"/>
                <w:color w:val="000000"/>
              </w:rPr>
              <w:t>mocy prawa, podatnicy opodatkowani kartą podatkową nie będą obowiązani do zapłaty podatku dochodowego za okres nieprowadzenia działalności gospodarczej spowodowany wprow</w:t>
            </w:r>
            <w:r w:rsidR="0080751C">
              <w:rPr>
                <w:rFonts w:ascii="Times New Roman" w:hAnsi="Times New Roman"/>
                <w:color w:val="000000"/>
              </w:rPr>
              <w:t>adzonym zakazem jej prowadzenia,</w:t>
            </w:r>
          </w:p>
          <w:p w:rsidR="00DC760A" w:rsidRDefault="00BF086E" w:rsidP="008E02F3">
            <w:pPr>
              <w:pStyle w:val="Akapitzlist"/>
              <w:numPr>
                <w:ilvl w:val="0"/>
                <w:numId w:val="58"/>
              </w:numPr>
              <w:spacing w:after="120" w:line="240" w:lineRule="auto"/>
              <w:ind w:left="1027"/>
              <w:contextualSpacing w:val="0"/>
              <w:jc w:val="both"/>
              <w:rPr>
                <w:rFonts w:ascii="Times New Roman" w:hAnsi="Times New Roman"/>
                <w:color w:val="000000"/>
              </w:rPr>
            </w:pPr>
            <w:r>
              <w:rPr>
                <w:rFonts w:ascii="Times New Roman" w:hAnsi="Times New Roman"/>
                <w:color w:val="000000"/>
              </w:rPr>
              <w:t>z</w:t>
            </w:r>
            <w:r w:rsidR="00B04B92">
              <w:rPr>
                <w:rFonts w:ascii="Times New Roman" w:hAnsi="Times New Roman"/>
                <w:color w:val="000000"/>
              </w:rPr>
              <w:t>aniechanie ustalania przychodu od przekazywanych Agencji Rozwoju Przemysłu skarbowych papierów wartościowych na dofinansowanie zadań związanych z COVID-19.</w:t>
            </w:r>
          </w:p>
          <w:p w:rsidR="00AD4E27" w:rsidRPr="00A3754A" w:rsidRDefault="00A3754A" w:rsidP="008E02F3">
            <w:pPr>
              <w:pStyle w:val="Akapitzlist"/>
              <w:numPr>
                <w:ilvl w:val="0"/>
                <w:numId w:val="63"/>
              </w:numPr>
              <w:spacing w:after="120" w:line="240" w:lineRule="auto"/>
              <w:contextualSpacing w:val="0"/>
              <w:jc w:val="both"/>
              <w:rPr>
                <w:rFonts w:ascii="Times New Roman" w:hAnsi="Times New Roman"/>
                <w:color w:val="000000"/>
              </w:rPr>
            </w:pPr>
            <w:r w:rsidRPr="00A3754A">
              <w:rPr>
                <w:rFonts w:ascii="Times New Roman" w:hAnsi="Times New Roman"/>
                <w:color w:val="000000"/>
                <w:szCs w:val="24"/>
              </w:rPr>
              <w:t>Rozszerzenie zakresu przedmiotowego przeznaczenia środków z Funduszu Przeciwdziałania COVID-19, w</w:t>
            </w:r>
            <w:r w:rsidR="002A37BC">
              <w:rPr>
                <w:rFonts w:ascii="Times New Roman" w:hAnsi="Times New Roman"/>
                <w:color w:val="000000"/>
                <w:szCs w:val="24"/>
              </w:rPr>
              <w:t> </w:t>
            </w:r>
            <w:r w:rsidRPr="00A3754A">
              <w:rPr>
                <w:rFonts w:ascii="Times New Roman" w:hAnsi="Times New Roman"/>
                <w:color w:val="000000"/>
                <w:szCs w:val="24"/>
              </w:rPr>
              <w:t>tym m.in. uregulowanie, że p</w:t>
            </w:r>
            <w:r w:rsidRPr="000825DE">
              <w:rPr>
                <w:rFonts w:ascii="Times New Roman" w:hAnsi="Times New Roman"/>
                <w:color w:val="000000"/>
                <w:szCs w:val="24"/>
              </w:rPr>
              <w:t>odmioty, które poniosły wydatki w związku z realizacją zadań związanych ze zwalczaniem zakażenia, zapobieganiem rozprzestrzenianiu się, profilaktyką oraz zwalczaniem skutków, w tym społeczno-gospodarczych, choroby COVID-19 będą mogły otrzymać zwrot wydatków z tego Funduszu.</w:t>
            </w:r>
          </w:p>
          <w:p w:rsidR="00A3754A" w:rsidRDefault="00A3754A"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szCs w:val="24"/>
              </w:rPr>
              <w:t>Usprawnienie</w:t>
            </w:r>
            <w:r w:rsidRPr="00A3754A">
              <w:rPr>
                <w:rFonts w:ascii="Times New Roman" w:hAnsi="Times New Roman"/>
                <w:color w:val="000000"/>
                <w:szCs w:val="24"/>
              </w:rPr>
              <w:t xml:space="preserve"> procesu wdrożenia programu Pracowniczych Planów Kapitałowych (PPK) przez jednostki wchodzące w skład sektora finansów publicznych, w tym jednostki samorządu terytorialnego poprzez</w:t>
            </w:r>
            <w:r w:rsidR="00AF69A3">
              <w:rPr>
                <w:rFonts w:ascii="Times New Roman" w:hAnsi="Times New Roman"/>
                <w:color w:val="000000"/>
                <w:szCs w:val="24"/>
              </w:rPr>
              <w:t xml:space="preserve"> </w:t>
            </w:r>
            <w:r w:rsidRPr="00E529E0">
              <w:rPr>
                <w:rFonts w:ascii="Times New Roman" w:hAnsi="Times New Roman"/>
                <w:color w:val="000000"/>
                <w:szCs w:val="24"/>
              </w:rPr>
              <w:t>doprecyzowanie, że do umów o zarządzanie PPK oraz umów o prowadzenie PPK nie stosuje się reżimu ustawy - Prawo zamówień publicznych w przypadku, gdy wartość zamówienia jest niższa niż progi unijne określone w</w:t>
            </w:r>
            <w:r w:rsidR="002A37BC">
              <w:rPr>
                <w:rFonts w:ascii="Times New Roman" w:hAnsi="Times New Roman"/>
                <w:color w:val="000000"/>
                <w:szCs w:val="24"/>
              </w:rPr>
              <w:t> </w:t>
            </w:r>
            <w:r w:rsidRPr="00E529E0">
              <w:rPr>
                <w:rFonts w:ascii="Times New Roman" w:hAnsi="Times New Roman"/>
                <w:color w:val="000000"/>
                <w:szCs w:val="24"/>
              </w:rPr>
              <w:t>tej ustawie oraz poprzez wprowadzenie możliwości, aby wójt, burmistrz, prezydent miasta (jako organ zarządzający gminy), zarząd powiatu (jako organ zarządzający powiatu) albo zarząd województwa (jako organ zarządzający województwa) mógł dokonać wyboru instytucji finansowej, z którą zostaną zawarte umowy o</w:t>
            </w:r>
            <w:r w:rsidR="002A37BC">
              <w:rPr>
                <w:rFonts w:ascii="Times New Roman" w:hAnsi="Times New Roman"/>
                <w:color w:val="000000"/>
                <w:szCs w:val="24"/>
              </w:rPr>
              <w:t> </w:t>
            </w:r>
            <w:r w:rsidRPr="00E529E0">
              <w:rPr>
                <w:rFonts w:ascii="Times New Roman" w:hAnsi="Times New Roman"/>
                <w:color w:val="000000"/>
                <w:szCs w:val="24"/>
              </w:rPr>
              <w:t>zarządzanie PPK, w imieniu podmiotów zatrudniających będących jednostkami organizacyjnymi danej jednostki samorządu terytorialnego.</w:t>
            </w:r>
          </w:p>
          <w:p w:rsidR="009E31E5" w:rsidRPr="00613FA0" w:rsidRDefault="00A3754A" w:rsidP="008E02F3">
            <w:pPr>
              <w:pStyle w:val="Akapitzlist"/>
              <w:numPr>
                <w:ilvl w:val="0"/>
                <w:numId w:val="63"/>
              </w:numPr>
              <w:spacing w:after="120" w:line="240" w:lineRule="auto"/>
              <w:contextualSpacing w:val="0"/>
              <w:jc w:val="both"/>
              <w:rPr>
                <w:rFonts w:ascii="Times New Roman" w:hAnsi="Times New Roman"/>
                <w:bCs/>
              </w:rPr>
            </w:pPr>
            <w:r w:rsidRPr="00A90562">
              <w:rPr>
                <w:rFonts w:ascii="Times New Roman" w:eastAsiaTheme="minorHAnsi" w:hAnsi="Times New Roman"/>
                <w:color w:val="000000"/>
              </w:rPr>
              <w:t>Dotychczasowa regulacja pozwalająca na zmniejszenie zatrudnienia oraz możliwość wprowadzenia ograniczeń skutkujących mniej korzystnymi warunkami zatrudnienia pracowników niż wynikające z podstawy nawiązania stosunku pracy – obowiązująca wobec osób zatrudnionych na podstawie stosunku pracy w Kancelarii Prezesa Rady Ministrów, urzędach obsługujących członków Rady Ministrów, urzędach obsługujących organy administracji rządowej w województwie, a także w jednostkach podległych i nadzorowanych przez Prezesa Rady Ministrów, ministra kierującego działem administracji rządowej lub wojewodę – została rozciągnięta na osoby zatrudnione w pozostałych jednostkach sektora finansów publicznych.</w:t>
            </w:r>
          </w:p>
          <w:p w:rsidR="009E31E5" w:rsidRPr="00366A5A" w:rsidRDefault="002827F6" w:rsidP="008E02F3">
            <w:pPr>
              <w:pStyle w:val="Akapitzlist"/>
              <w:numPr>
                <w:ilvl w:val="0"/>
                <w:numId w:val="63"/>
              </w:numPr>
              <w:spacing w:after="120" w:line="240" w:lineRule="auto"/>
              <w:contextualSpacing w:val="0"/>
              <w:jc w:val="both"/>
              <w:rPr>
                <w:rFonts w:ascii="Times New Roman" w:eastAsiaTheme="minorHAnsi" w:hAnsi="Times New Roman"/>
                <w:color w:val="000000"/>
              </w:rPr>
            </w:pPr>
            <w:r w:rsidRPr="00366A5A">
              <w:rPr>
                <w:rFonts w:ascii="Times New Roman" w:eastAsiaTheme="minorHAnsi" w:hAnsi="Times New Roman"/>
                <w:color w:val="000000"/>
              </w:rPr>
              <w:t xml:space="preserve">Poszerzenie </w:t>
            </w:r>
            <w:r w:rsidR="009E31E5" w:rsidRPr="00366A5A">
              <w:rPr>
                <w:rFonts w:ascii="Times New Roman" w:eastAsiaTheme="minorHAnsi" w:hAnsi="Times New Roman"/>
                <w:color w:val="000000"/>
              </w:rPr>
              <w:t xml:space="preserve">możliwości zdalnego przeprowadzania wybranych </w:t>
            </w:r>
            <w:r w:rsidR="0021037E" w:rsidRPr="00366A5A">
              <w:rPr>
                <w:rFonts w:ascii="Times New Roman" w:eastAsiaTheme="minorHAnsi" w:hAnsi="Times New Roman"/>
                <w:color w:val="000000"/>
              </w:rPr>
              <w:t>czynności postępowania karnego</w:t>
            </w:r>
            <w:r w:rsidR="00E4195C">
              <w:rPr>
                <w:rFonts w:ascii="Times New Roman" w:eastAsiaTheme="minorHAnsi" w:hAnsi="Times New Roman"/>
                <w:color w:val="000000"/>
              </w:rPr>
              <w:t>, w tym m.in.</w:t>
            </w:r>
            <w:r w:rsidRPr="00366A5A">
              <w:rPr>
                <w:rFonts w:ascii="Times New Roman" w:eastAsiaTheme="minorHAnsi" w:hAnsi="Times New Roman"/>
                <w:color w:val="000000"/>
              </w:rPr>
              <w:t>:</w:t>
            </w:r>
          </w:p>
          <w:p w:rsidR="00E4195C" w:rsidRDefault="00E4195C" w:rsidP="008E02F3">
            <w:pPr>
              <w:pStyle w:val="Akapitzlist"/>
              <w:numPr>
                <w:ilvl w:val="0"/>
                <w:numId w:val="57"/>
              </w:numPr>
              <w:spacing w:after="120" w:line="240" w:lineRule="auto"/>
              <w:ind w:left="1027"/>
              <w:contextualSpacing w:val="0"/>
              <w:jc w:val="both"/>
              <w:rPr>
                <w:rFonts w:ascii="Times New Roman" w:hAnsi="Times New Roman"/>
                <w:color w:val="000000"/>
              </w:rPr>
            </w:pPr>
            <w:r>
              <w:rPr>
                <w:rFonts w:ascii="Times New Roman" w:hAnsi="Times New Roman"/>
                <w:color w:val="000000"/>
              </w:rPr>
              <w:t>wprowadzenie obowiązku doręczenia oskarżonemu postanowienia o zastosowaniu tymczasowego aresztowania (art. 100 k.p.k.),</w:t>
            </w:r>
          </w:p>
          <w:p w:rsidR="009E31E5" w:rsidRDefault="0021037E" w:rsidP="008E02F3">
            <w:pPr>
              <w:pStyle w:val="Akapitzlist"/>
              <w:numPr>
                <w:ilvl w:val="0"/>
                <w:numId w:val="57"/>
              </w:numPr>
              <w:spacing w:after="120" w:line="240" w:lineRule="auto"/>
              <w:ind w:left="1027"/>
              <w:contextualSpacing w:val="0"/>
              <w:jc w:val="both"/>
              <w:rPr>
                <w:rFonts w:ascii="Times New Roman" w:hAnsi="Times New Roman"/>
                <w:color w:val="000000"/>
              </w:rPr>
            </w:pPr>
            <w:r w:rsidRPr="00366A5A">
              <w:rPr>
                <w:rFonts w:ascii="Times New Roman" w:hAnsi="Times New Roman"/>
                <w:color w:val="000000"/>
              </w:rPr>
              <w:t>poszerzenie</w:t>
            </w:r>
            <w:r w:rsidR="009E31E5" w:rsidRPr="00366A5A">
              <w:rPr>
                <w:rFonts w:ascii="Times New Roman" w:hAnsi="Times New Roman"/>
                <w:color w:val="000000"/>
              </w:rPr>
              <w:t xml:space="preserve"> możliwości przesłuchania świadka poprzez powiększenie </w:t>
            </w:r>
            <w:r w:rsidR="00E4195C">
              <w:rPr>
                <w:rFonts w:ascii="Times New Roman" w:hAnsi="Times New Roman"/>
                <w:color w:val="000000"/>
              </w:rPr>
              <w:t>kręgu</w:t>
            </w:r>
            <w:r w:rsidR="00E4195C" w:rsidRPr="00366A5A">
              <w:rPr>
                <w:rFonts w:ascii="Times New Roman" w:hAnsi="Times New Roman"/>
                <w:color w:val="000000"/>
              </w:rPr>
              <w:t xml:space="preserve"> </w:t>
            </w:r>
            <w:r w:rsidR="009E31E5" w:rsidRPr="00366A5A">
              <w:rPr>
                <w:rFonts w:ascii="Times New Roman" w:hAnsi="Times New Roman"/>
                <w:color w:val="000000"/>
              </w:rPr>
              <w:t xml:space="preserve">osób </w:t>
            </w:r>
            <w:r w:rsidR="00E4195C">
              <w:rPr>
                <w:rFonts w:ascii="Times New Roman" w:hAnsi="Times New Roman"/>
                <w:color w:val="000000"/>
              </w:rPr>
              <w:t>biorących udział w czynności przesłuchania świadka w celu zagwarantowania należytego przebiegu tej czynności (art. 177 k.p.k.)</w:t>
            </w:r>
            <w:r w:rsidRPr="00366A5A">
              <w:rPr>
                <w:rFonts w:ascii="Times New Roman" w:hAnsi="Times New Roman"/>
                <w:color w:val="000000"/>
              </w:rPr>
              <w:t>,</w:t>
            </w:r>
          </w:p>
          <w:p w:rsidR="00E4195C" w:rsidRPr="00E4195C" w:rsidRDefault="00E4195C" w:rsidP="008E02F3">
            <w:pPr>
              <w:pStyle w:val="Akapitzlist"/>
              <w:numPr>
                <w:ilvl w:val="0"/>
                <w:numId w:val="57"/>
              </w:numPr>
              <w:spacing w:after="120" w:line="240" w:lineRule="auto"/>
              <w:ind w:left="1027"/>
              <w:contextualSpacing w:val="0"/>
              <w:jc w:val="both"/>
              <w:rPr>
                <w:rFonts w:ascii="Times New Roman" w:hAnsi="Times New Roman"/>
                <w:color w:val="000000"/>
              </w:rPr>
            </w:pPr>
            <w:r>
              <w:rPr>
                <w:rFonts w:ascii="Times New Roman" w:hAnsi="Times New Roman"/>
                <w:color w:val="000000"/>
              </w:rPr>
              <w:t xml:space="preserve">wprowadzenie obowiązku zwolnienia zatrzymanego jeżeli w przypadku jego udziału w posiedzeniu sądu </w:t>
            </w:r>
            <w:r w:rsidRPr="00E4195C">
              <w:rPr>
                <w:rFonts w:ascii="Times New Roman" w:hAnsi="Times New Roman"/>
                <w:color w:val="000000"/>
              </w:rPr>
              <w:t>trybie określonym w art. 250 § 3b nie ogłoszono mu w ciągu 24 godzin od przekazania do dyspozycji sądu postanowienia o zastosowania wobec niego tymczasowego aresztowania</w:t>
            </w:r>
            <w:r>
              <w:rPr>
                <w:rFonts w:ascii="Times New Roman" w:hAnsi="Times New Roman"/>
                <w:color w:val="000000"/>
              </w:rPr>
              <w:t xml:space="preserve"> (art. 248 k.p.k.)</w:t>
            </w:r>
            <w:r w:rsidRPr="00E4195C">
              <w:rPr>
                <w:rFonts w:ascii="Times New Roman" w:hAnsi="Times New Roman"/>
                <w:color w:val="000000"/>
              </w:rPr>
              <w:t xml:space="preserve">; </w:t>
            </w:r>
          </w:p>
          <w:p w:rsidR="00E4195C" w:rsidRPr="008E02F3" w:rsidRDefault="00E4195C" w:rsidP="008E02F3">
            <w:pPr>
              <w:pStyle w:val="Akapitzlist"/>
              <w:numPr>
                <w:ilvl w:val="0"/>
                <w:numId w:val="57"/>
              </w:numPr>
              <w:spacing w:after="120" w:line="240" w:lineRule="auto"/>
              <w:ind w:left="1027"/>
              <w:contextualSpacing w:val="0"/>
              <w:jc w:val="both"/>
              <w:rPr>
                <w:rFonts w:ascii="Times New Roman" w:hAnsi="Times New Roman"/>
                <w:color w:val="000000"/>
              </w:rPr>
            </w:pPr>
            <w:r w:rsidRPr="00366A5A">
              <w:rPr>
                <w:rFonts w:ascii="Times New Roman" w:hAnsi="Times New Roman"/>
                <w:color w:val="000000"/>
              </w:rPr>
              <w:t>wprowadzenie możliwości udziału podejrzanego w posiedzeniu w przedmiocie zastosowania tymczasowego aresztowania z</w:t>
            </w:r>
            <w:r>
              <w:rPr>
                <w:rFonts w:ascii="Times New Roman" w:hAnsi="Times New Roman"/>
                <w:color w:val="000000"/>
              </w:rPr>
              <w:t xml:space="preserve"> wykorzystaniem</w:t>
            </w:r>
            <w:r w:rsidRPr="00366A5A">
              <w:rPr>
                <w:rFonts w:ascii="Times New Roman" w:hAnsi="Times New Roman"/>
                <w:color w:val="000000"/>
              </w:rPr>
              <w:t xml:space="preserve"> urządzeń technicznych pozwalających na </w:t>
            </w:r>
            <w:r>
              <w:rPr>
                <w:rFonts w:ascii="Times New Roman" w:hAnsi="Times New Roman"/>
                <w:color w:val="000000"/>
              </w:rPr>
              <w:t xml:space="preserve">bezpośrednie i jednoczesne </w:t>
            </w:r>
            <w:r w:rsidRPr="00366A5A">
              <w:rPr>
                <w:rFonts w:ascii="Times New Roman" w:hAnsi="Times New Roman"/>
                <w:color w:val="000000"/>
              </w:rPr>
              <w:t xml:space="preserve">przekazywanie obrazu </w:t>
            </w:r>
            <w:r>
              <w:rPr>
                <w:rFonts w:ascii="Times New Roman" w:hAnsi="Times New Roman"/>
                <w:color w:val="000000"/>
              </w:rPr>
              <w:t xml:space="preserve">i </w:t>
            </w:r>
            <w:r w:rsidRPr="00366A5A">
              <w:rPr>
                <w:rFonts w:ascii="Times New Roman" w:hAnsi="Times New Roman"/>
                <w:color w:val="000000"/>
              </w:rPr>
              <w:t>dźwięku</w:t>
            </w:r>
            <w:r>
              <w:rPr>
                <w:rFonts w:ascii="Times New Roman" w:hAnsi="Times New Roman"/>
                <w:color w:val="000000"/>
              </w:rPr>
              <w:t xml:space="preserve">. </w:t>
            </w:r>
            <w:r w:rsidRPr="008E02F3">
              <w:rPr>
                <w:rFonts w:ascii="Times New Roman" w:hAnsi="Times New Roman"/>
                <w:color w:val="000000"/>
              </w:rPr>
              <w:t>Przepisy te będą mogły znajdować zastosowanie w sytuacjach, w których sędzia uzna, że doprowadzanie podejrzanego do sądu, w szczególności przebywającego w jednostce penitencjarnej (np. w związku z odbywaną karą pozbawienia wolności) jest niecelowe albo może służyć ograniczeniu zagrożeń dla uczestników posiedzenia, w tym związanych ze stanem epidemii</w:t>
            </w:r>
            <w:r>
              <w:rPr>
                <w:rFonts w:ascii="Times New Roman" w:hAnsi="Times New Roman"/>
                <w:color w:val="000000"/>
              </w:rPr>
              <w:t xml:space="preserve"> (art. 250 k.p.k.)</w:t>
            </w:r>
            <w:r w:rsidRPr="008E02F3">
              <w:rPr>
                <w:rFonts w:ascii="Times New Roman" w:hAnsi="Times New Roman"/>
                <w:color w:val="000000"/>
              </w:rPr>
              <w:t>;</w:t>
            </w:r>
          </w:p>
          <w:p w:rsidR="00E4195C" w:rsidRPr="00E4195C" w:rsidRDefault="00E4195C" w:rsidP="008E02F3">
            <w:pPr>
              <w:pStyle w:val="Akapitzlist"/>
              <w:numPr>
                <w:ilvl w:val="0"/>
                <w:numId w:val="57"/>
              </w:numPr>
              <w:spacing w:after="120" w:line="240" w:lineRule="auto"/>
              <w:ind w:left="1027"/>
              <w:contextualSpacing w:val="0"/>
              <w:jc w:val="both"/>
              <w:rPr>
                <w:rFonts w:ascii="Times New Roman" w:hAnsi="Times New Roman"/>
                <w:color w:val="000000"/>
              </w:rPr>
            </w:pPr>
            <w:r w:rsidRPr="00E4195C">
              <w:rPr>
                <w:rFonts w:ascii="Times New Roman" w:hAnsi="Times New Roman"/>
                <w:color w:val="000000"/>
              </w:rPr>
              <w:t>doda</w:t>
            </w:r>
            <w:r>
              <w:rPr>
                <w:rFonts w:ascii="Times New Roman" w:hAnsi="Times New Roman"/>
                <w:color w:val="000000"/>
              </w:rPr>
              <w:t>nie</w:t>
            </w:r>
            <w:r w:rsidRPr="00E4195C">
              <w:rPr>
                <w:rFonts w:ascii="Times New Roman" w:hAnsi="Times New Roman"/>
                <w:color w:val="000000"/>
              </w:rPr>
              <w:t xml:space="preserve"> art. 276 § 1a k.p.k., zgodnie z którym wobec sprawcy uporczywego nękania popełnionego z powodu wykonywanego zawodu pokrzywdzonego można zastosować zakaz zbliżania się do pokrzywdzonego na wskazaną odległość, zakaz kontaktów lub zakaz publikacji, w tym za pośrednictwem systemów informatycznych lub sieci telekomunikacyjnych treści godzących w prawnie</w:t>
            </w:r>
            <w:r w:rsidR="00030567">
              <w:rPr>
                <w:rFonts w:ascii="Times New Roman" w:hAnsi="Times New Roman"/>
                <w:color w:val="000000"/>
              </w:rPr>
              <w:t xml:space="preserve"> chronione dobra pokrzywdzonego;</w:t>
            </w:r>
          </w:p>
          <w:p w:rsidR="00E4195C" w:rsidRPr="008E02F3" w:rsidRDefault="00030567" w:rsidP="008E02F3">
            <w:pPr>
              <w:pStyle w:val="Akapitzlist"/>
              <w:numPr>
                <w:ilvl w:val="0"/>
                <w:numId w:val="57"/>
              </w:numPr>
              <w:spacing w:after="120" w:line="240" w:lineRule="auto"/>
              <w:ind w:left="1027"/>
              <w:contextualSpacing w:val="0"/>
              <w:jc w:val="both"/>
              <w:rPr>
                <w:rFonts w:ascii="Times New Roman" w:hAnsi="Times New Roman"/>
                <w:color w:val="000000"/>
              </w:rPr>
            </w:pPr>
            <w:r>
              <w:rPr>
                <w:rFonts w:ascii="Times New Roman" w:hAnsi="Times New Roman"/>
                <w:color w:val="000000"/>
              </w:rPr>
              <w:t>wprowadzenie m.in. nowych kompetencji</w:t>
            </w:r>
            <w:r w:rsidR="00E4195C" w:rsidRPr="00E4195C">
              <w:rPr>
                <w:rFonts w:ascii="Times New Roman" w:hAnsi="Times New Roman"/>
                <w:color w:val="000000"/>
              </w:rPr>
              <w:t xml:space="preserve"> przewodniczącego w zakresie kwestii obecności oskarżonego w rozprawie (dotyczy przede wszystkim udziału w rozprawie przy użyciu urządzeń technicznych umożliwiających jednoczesny bezpośredni przekaz obrazu i dźwięku na odległość)</w:t>
            </w:r>
            <w:r>
              <w:rPr>
                <w:rFonts w:ascii="Times New Roman" w:hAnsi="Times New Roman"/>
                <w:color w:val="000000"/>
              </w:rPr>
              <w:t xml:space="preserve"> (art. 374 k.p.k.).</w:t>
            </w:r>
          </w:p>
          <w:p w:rsidR="00E66814" w:rsidRPr="008E02F3" w:rsidRDefault="00E66814"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rPr>
              <w:t>Zmiana ustawy z dnia 12 maja 2011 r. o Krajowej Radzie Sądownictwa mająca na celu skrócenie czasu doręczenia,</w:t>
            </w:r>
            <w:r w:rsidRPr="0007561A">
              <w:rPr>
                <w:rFonts w:ascii="Times New Roman" w:hAnsi="Times New Roman"/>
                <w:color w:val="000000"/>
                <w:spacing w:val="-2"/>
              </w:rPr>
              <w:t xml:space="preserve"> a tym samym procesu nominacji sędziowskich, poprzez wyeliminowanie pośrednictwa KRS w przesłaniu korespondencji z SN, który będzie korzystał z tego samego systemu teleinformatycznego, z którego korzysta Rada, bezpośrednio doręczając przesyłki adresatom.</w:t>
            </w:r>
          </w:p>
          <w:p w:rsidR="00C934F8" w:rsidRPr="008E02F3" w:rsidRDefault="00910B7F"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spacing w:val="-2"/>
              </w:rPr>
              <w:t>Uchylenie delegacji ustawowej do</w:t>
            </w:r>
            <w:r w:rsidR="00C934F8">
              <w:rPr>
                <w:rFonts w:ascii="Times New Roman" w:hAnsi="Times New Roman"/>
                <w:color w:val="000000"/>
                <w:spacing w:val="-2"/>
              </w:rPr>
              <w:t xml:space="preserve"> wydania rozporządzenia Ministra Sprawiedliwości w sprawie wzorów pouczeń, których udzielania na piśmie wymaga kodeks postępowania cywilnego (k.p.c.), jak również </w:t>
            </w:r>
            <w:r>
              <w:rPr>
                <w:rFonts w:ascii="Times New Roman" w:hAnsi="Times New Roman"/>
                <w:color w:val="000000"/>
                <w:spacing w:val="-2"/>
              </w:rPr>
              <w:t xml:space="preserve">przepisu określającego </w:t>
            </w:r>
            <w:r w:rsidR="00C934F8">
              <w:rPr>
                <w:rFonts w:ascii="Times New Roman" w:hAnsi="Times New Roman"/>
                <w:color w:val="000000"/>
                <w:spacing w:val="-2"/>
              </w:rPr>
              <w:t>udostępniani</w:t>
            </w:r>
            <w:r>
              <w:rPr>
                <w:rFonts w:ascii="Times New Roman" w:hAnsi="Times New Roman"/>
                <w:color w:val="000000"/>
                <w:spacing w:val="-2"/>
              </w:rPr>
              <w:t>e</w:t>
            </w:r>
            <w:r w:rsidR="00C934F8">
              <w:rPr>
                <w:rFonts w:ascii="Times New Roman" w:hAnsi="Times New Roman"/>
                <w:color w:val="000000"/>
                <w:spacing w:val="-2"/>
              </w:rPr>
              <w:t xml:space="preserve"> na stronie internetowej urzędu wzorów pouczeń wraz z ich tłumaczeniami na języki obce. </w:t>
            </w:r>
            <w:r w:rsidR="00C934F8" w:rsidRPr="00C934F8">
              <w:rPr>
                <w:rFonts w:ascii="Times New Roman" w:hAnsi="Times New Roman"/>
                <w:color w:val="000000"/>
                <w:spacing w:val="-2"/>
              </w:rPr>
              <w:t xml:space="preserve">Jednocześnie Ministerstwo Sprawiedliwości będzie kontynuowało prace w przedmiotowym kierunku, czego skutkiem będzie publikowanie wzorów pouczeń wymaganych przez k.p.c. na stronie internetowej </w:t>
            </w:r>
            <w:r>
              <w:rPr>
                <w:rFonts w:ascii="Times New Roman" w:hAnsi="Times New Roman"/>
                <w:color w:val="000000"/>
                <w:spacing w:val="-2"/>
              </w:rPr>
              <w:t>urzędu</w:t>
            </w:r>
            <w:r w:rsidR="00C934F8" w:rsidRPr="00C934F8">
              <w:rPr>
                <w:rFonts w:ascii="Times New Roman" w:hAnsi="Times New Roman"/>
                <w:color w:val="000000"/>
                <w:spacing w:val="-2"/>
              </w:rPr>
              <w:t>, w najczęściej występujących sytuacjach procesowych. Umożliwi to Ministrowi Sprawiedliwości szybkie adaptowanie się do realnie występujących w sądach potrzeb i reagowanie na zmiany legislacyjne bez konieczności każdorazowej zmiany rozporządzenia.</w:t>
            </w:r>
          </w:p>
          <w:p w:rsidR="00E66814" w:rsidRDefault="00E66814" w:rsidP="008E02F3">
            <w:pPr>
              <w:pStyle w:val="Akapitzlist"/>
              <w:numPr>
                <w:ilvl w:val="0"/>
                <w:numId w:val="63"/>
              </w:numPr>
              <w:spacing w:after="120" w:line="240" w:lineRule="auto"/>
              <w:contextualSpacing w:val="0"/>
              <w:jc w:val="both"/>
              <w:rPr>
                <w:rFonts w:ascii="Times New Roman" w:hAnsi="Times New Roman"/>
                <w:color w:val="000000"/>
              </w:rPr>
            </w:pPr>
            <w:r w:rsidRPr="008E02F3">
              <w:rPr>
                <w:rFonts w:ascii="Times New Roman" w:hAnsi="Times New Roman"/>
                <w:color w:val="000000"/>
              </w:rPr>
              <w:t>Zawieszenie przepisów dotyczących dematerializacji akcji wobec spółek w upadłości, które na dzień 30 września 2020 r. nie dokonają pierwszego wezwania do składania akcji w spółce, na czas trwania postępowania upadłościowego. Jeśli po ukończeniu postępowania upadłościowego spółka będzie kontynuowała działalność, będzie miała obowiązek ukończenia procedury dematerializacji akcji. Czynności dotychczas dokonane przez spółkę w związku z dematerializacją akcji pozostaną w mocy, a dokumenty akcji pozostaną ważne przez rok od dnia prawomocnego ukończenia, zakończenia, umorzenia albo uchylenia postępowania upadłościowego. W stosunkach wewnętrznych akcje papierowe zachowają ważność przez 5 lat. Dzięki temu spółka będzie miała czas na ukończenie procedury dematerializacji.</w:t>
            </w:r>
          </w:p>
          <w:p w:rsidR="00030567" w:rsidRDefault="00030567"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rPr>
              <w:t>Wprowadzenie uproszczonego postępowania restrukturyzacyjnego, a w szczególności:</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Wprowadzenie m</w:t>
            </w:r>
            <w:r w:rsidR="00A972FB">
              <w:rPr>
                <w:rFonts w:ascii="Times New Roman" w:hAnsi="Times New Roman"/>
              </w:rPr>
              <w:t>ożliwości otwarcia postępowania</w:t>
            </w:r>
            <w:r w:rsidRPr="0007561A">
              <w:rPr>
                <w:rFonts w:ascii="Times New Roman" w:hAnsi="Times New Roman"/>
              </w:rPr>
              <w:t xml:space="preserve"> przez opublikowanie obwieszczenia w Monitorze Sądowym i Gospodarczym na podstawie decyzji przedsiębiorcy, który zawarł umowę z doradcą restrukturyzacyjnym przez opublikowanie obwieszczenia w Monitorze Sądowym i Gospodarczym. Nie będzie to zależne od decyzji sądu, ale jeśli działanie było na szkodę wierzycieli dłużnika, sąd będzie mógł wyłączyć skutki otwarcia postępowania.</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Wierzyciel, dłużnik lub nadzorca układu będą mogli wystąpić o uchylenie skutków otwarcia postępowania.</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Czas trwania postępowa</w:t>
            </w:r>
            <w:r>
              <w:rPr>
                <w:rFonts w:ascii="Times New Roman" w:hAnsi="Times New Roman"/>
              </w:rPr>
              <w:t>ń</w:t>
            </w:r>
            <w:r w:rsidRPr="0007561A">
              <w:rPr>
                <w:rFonts w:ascii="Times New Roman" w:hAnsi="Times New Roman"/>
              </w:rPr>
              <w:t xml:space="preserve"> zostanie ograniczony do 4 miesięcy.</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Możliwość zawieszenia egzekucji wierzytelności objętej z mocy prawa układem oraz wierzytelności rzeczowych i wierzytelności zabezpieczonych przez przewłaszczenie na zabezpieczenie. W przypadku gdy dłużnik przewiduje objęcie tych wierzytelności układem, musi wykazać w propozycjach układowych, że układ przewiduje albo pełne zaspokojenie tych wierzytelności albo ich zaspokojenie w stopniu nie niższym od tego, jakiego można się spodziewać w przypadku dochodzenia wierzytelności wraz z należnościami ubocznymi z przedmiotu zabezpieczenia.</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Brak możliwości wypowiadani</w:t>
            </w:r>
            <w:r>
              <w:rPr>
                <w:rFonts w:ascii="Times New Roman" w:hAnsi="Times New Roman"/>
              </w:rPr>
              <w:t>a</w:t>
            </w:r>
            <w:r w:rsidRPr="0007561A">
              <w:rPr>
                <w:rFonts w:ascii="Times New Roman" w:hAnsi="Times New Roman"/>
              </w:rPr>
              <w:t xml:space="preserve"> umów najmu lub dzierżawy i spełniania świadczeń wynikających z wierzytelności, które z mocy prawa objęte są układem, na zasadach obecnie obowiązujących w przyśpieszonym postępowaniu restrukturyzacyjnym.</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Nadzorca układu będzie mógł zwołać zgromadzenie wierzycieli w miejscu zamiast zbierania głosów. Zgromadzenie będzie mogło być przeprowadzone z wykorzystaniem elektronicznych środków komunikacji.</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Jeżeli dłużnikiem jest mikro lub małym przedsiębiorc</w:t>
            </w:r>
            <w:r>
              <w:rPr>
                <w:rFonts w:ascii="Times New Roman" w:hAnsi="Times New Roman"/>
              </w:rPr>
              <w:t>a</w:t>
            </w:r>
            <w:r w:rsidRPr="0007561A">
              <w:rPr>
                <w:rFonts w:ascii="Times New Roman" w:hAnsi="Times New Roman"/>
              </w:rPr>
              <w:t xml:space="preserve"> wysokość wynagrodzenia doradcy restrukturyzacyjnego zostanie ograniczona do maksymalnie 15 % kwoty przeznaczonej dla wierzycieli zgodnie z postanowieniami układu.</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W czasie trwania postępowania dłużnik nie będzie mógł dokonywać bez zgody nadzorcy układu czynności przekraczających zwykły zarząd.</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Za zgodą nadzorcy układu dłużnik będzie mógł pozyskać nowe finansowanie.</w:t>
            </w:r>
          </w:p>
          <w:p w:rsidR="00030567" w:rsidRPr="0007561A" w:rsidRDefault="00030567" w:rsidP="008E02F3">
            <w:pPr>
              <w:pStyle w:val="Akapitzlist"/>
              <w:numPr>
                <w:ilvl w:val="0"/>
                <w:numId w:val="56"/>
              </w:numPr>
              <w:spacing w:before="120" w:after="120" w:line="240" w:lineRule="auto"/>
              <w:ind w:left="1027"/>
              <w:jc w:val="both"/>
              <w:rPr>
                <w:rFonts w:ascii="Times New Roman" w:hAnsi="Times New Roman"/>
              </w:rPr>
            </w:pPr>
            <w:r w:rsidRPr="0007561A">
              <w:rPr>
                <w:rFonts w:ascii="Times New Roman" w:hAnsi="Times New Roman"/>
              </w:rPr>
              <w:t xml:space="preserve">Dłużnik działający w dobrej wierze będzie chroniony </w:t>
            </w:r>
            <w:r>
              <w:rPr>
                <w:rFonts w:ascii="Times New Roman" w:hAnsi="Times New Roman"/>
              </w:rPr>
              <w:t>przed roszczeniami wynikającymi</w:t>
            </w:r>
            <w:r w:rsidRPr="0007561A">
              <w:rPr>
                <w:rFonts w:ascii="Times New Roman" w:hAnsi="Times New Roman"/>
              </w:rPr>
              <w:t xml:space="preserve"> z prawa upadłościowego, </w:t>
            </w:r>
            <w:r>
              <w:rPr>
                <w:rFonts w:ascii="Times New Roman" w:hAnsi="Times New Roman"/>
              </w:rPr>
              <w:t>K</w:t>
            </w:r>
            <w:r w:rsidRPr="0007561A">
              <w:rPr>
                <w:rFonts w:ascii="Times New Roman" w:hAnsi="Times New Roman"/>
              </w:rPr>
              <w:t>odeksu spółek handlowych i ustawy – Ordynacja podatkowa z tytułu nieterminowego złożenia wniosku o ogłoszenie upadłości, pod warunkiem otwarcia postępowania i zawarcia układu. Jeśli będzie to niemożliwe, w ciągu 7 dni dłużnik będzie musiał złożyć wniosek o ogłoszenie upadłości albo o otwarcie postępowania restrukturyzacyjnego.</w:t>
            </w:r>
          </w:p>
          <w:p w:rsidR="00030567" w:rsidRPr="00910B7F" w:rsidRDefault="00030567" w:rsidP="008E02F3">
            <w:pPr>
              <w:pStyle w:val="Akapitzlist"/>
              <w:numPr>
                <w:ilvl w:val="0"/>
                <w:numId w:val="56"/>
              </w:numPr>
              <w:spacing w:after="120" w:line="240" w:lineRule="auto"/>
              <w:ind w:left="1027" w:hanging="357"/>
              <w:contextualSpacing w:val="0"/>
              <w:jc w:val="both"/>
              <w:rPr>
                <w:rFonts w:ascii="Times New Roman" w:hAnsi="Times New Roman"/>
              </w:rPr>
            </w:pPr>
            <w:r w:rsidRPr="0007561A">
              <w:rPr>
                <w:rFonts w:ascii="Times New Roman" w:hAnsi="Times New Roman"/>
              </w:rPr>
              <w:t>Jeśli dłużnik działał w złej wierze, wierzycielowi, a także osobie trzeciej będzie przysługiwało roszczenie o naprawienie szkody.</w:t>
            </w:r>
          </w:p>
          <w:p w:rsidR="00E66814" w:rsidRDefault="00E66814"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rPr>
              <w:t>Modyfikacja</w:t>
            </w:r>
            <w:r w:rsidRPr="00E66814">
              <w:rPr>
                <w:rFonts w:ascii="Times New Roman" w:hAnsi="Times New Roman"/>
                <w:color w:val="000000"/>
              </w:rPr>
              <w:t xml:space="preserve"> załącznika nr 1 do ustawy z dnia 5 sierpnia 2015 r. o nieodpłatnej pomocy prawnej, nieodpłatnym poradnictwie oby</w:t>
            </w:r>
            <w:r>
              <w:rPr>
                <w:rFonts w:ascii="Times New Roman" w:hAnsi="Times New Roman"/>
                <w:color w:val="000000"/>
              </w:rPr>
              <w:t xml:space="preserve">watelskim oraz edukacji prawnej. </w:t>
            </w:r>
            <w:r w:rsidRPr="00E66814">
              <w:rPr>
                <w:rFonts w:ascii="Times New Roman" w:hAnsi="Times New Roman"/>
                <w:color w:val="000000"/>
              </w:rPr>
              <w:t>Przedmiotowy załącznik w nowym brzmieniu uwzględnia dodatkowo oświadczenie o niezatrudnianiu innych osób w ciągu ostatniego roku przez osoby korzystającej z nieodpłatnej pomocy prawnej lub nieodpłatnego poradnictwa obywatelskiego w zakresie prowadzonej działalności gospodarczej.</w:t>
            </w:r>
          </w:p>
          <w:p w:rsidR="00030567" w:rsidRPr="008E02F3" w:rsidRDefault="00030567"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color w:val="000000"/>
              </w:rPr>
              <w:t xml:space="preserve">Dodanie </w:t>
            </w:r>
            <w:r w:rsidRPr="00616658">
              <w:rPr>
                <w:rFonts w:ascii="Times New Roman" w:hAnsi="Times New Roman"/>
              </w:rPr>
              <w:t xml:space="preserve">do ustawy z dnia 20 maja 1971 r. – Kodeks wykroczeń nowego typu wykroczenia polegającego na włączeniu się w transmisję danych prowadzoną przy użyciu systemu teleinformatycznego w celu utrudnienia lub udaremnienia użytkownikowi tego systemu przekazywania informacji. </w:t>
            </w:r>
          </w:p>
          <w:p w:rsidR="00E11331" w:rsidRPr="008E02F3" w:rsidRDefault="00E11331"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rPr>
              <w:t>Przywrócenie zasad łączenia kar obowiązujących w prawie karnym do dnia 30 czerwca 2015 r.</w:t>
            </w:r>
            <w:r w:rsidR="00527E71">
              <w:rPr>
                <w:rFonts w:ascii="Times New Roman" w:hAnsi="Times New Roman"/>
              </w:rPr>
              <w:t xml:space="preserve">, a zmienionych ustawą z dnia 20 lutego 2015 r. o zmianie ustawy – Kodeks karny oraz niektórych innych ustaw (Dz. U. poz. 396). </w:t>
            </w:r>
          </w:p>
          <w:p w:rsidR="000D6ED0" w:rsidRPr="00366A5A" w:rsidRDefault="000B1AE6" w:rsidP="008E02F3">
            <w:pPr>
              <w:pStyle w:val="Akapitzlist"/>
              <w:numPr>
                <w:ilvl w:val="0"/>
                <w:numId w:val="63"/>
              </w:numPr>
              <w:spacing w:after="120" w:line="240" w:lineRule="auto"/>
              <w:contextualSpacing w:val="0"/>
              <w:jc w:val="both"/>
              <w:rPr>
                <w:rFonts w:ascii="Times New Roman" w:hAnsi="Times New Roman"/>
                <w:color w:val="000000"/>
              </w:rPr>
            </w:pPr>
            <w:r>
              <w:rPr>
                <w:rFonts w:ascii="Times New Roman" w:hAnsi="Times New Roman"/>
              </w:rPr>
              <w:t xml:space="preserve">Zmiany w zakresie </w:t>
            </w:r>
            <w:r w:rsidR="000D6ED0">
              <w:rPr>
                <w:rFonts w:ascii="Times New Roman" w:hAnsi="Times New Roman"/>
              </w:rPr>
              <w:t xml:space="preserve"> dodatkowego zasiłku opiekuńczego </w:t>
            </w:r>
            <w:r>
              <w:rPr>
                <w:rFonts w:ascii="Times New Roman" w:hAnsi="Times New Roman"/>
              </w:rPr>
              <w:t xml:space="preserve">– uprawnienie dla </w:t>
            </w:r>
            <w:r w:rsidR="000D6ED0">
              <w:rPr>
                <w:rFonts w:ascii="Times New Roman" w:hAnsi="Times New Roman"/>
              </w:rPr>
              <w:t>rodziców i opiekunów dzieci do lat 8, którzy podejmą decyzję o osobistym sprawowaniu opieki zarówno w przypadku otwarcia żłobka, klubu dziecięcego, przedszkola, szkoły lub innej placówki. Proponuje się, by przepisy dotyczące prawa do dodatkowego zasiłku opiekuńczego obowiązywały do 28 czerwca 2020 r.</w:t>
            </w:r>
          </w:p>
          <w:p w:rsidR="009E31E5" w:rsidRPr="00366A5A" w:rsidRDefault="009E31E5" w:rsidP="00366A5A">
            <w:pPr>
              <w:spacing w:after="120" w:line="240" w:lineRule="auto"/>
              <w:ind w:left="34"/>
              <w:jc w:val="both"/>
              <w:rPr>
                <w:rFonts w:ascii="Times New Roman" w:hAnsi="Times New Roman"/>
                <w:bCs/>
              </w:rPr>
            </w:pPr>
            <w:r w:rsidRPr="00366A5A">
              <w:rPr>
                <w:rFonts w:ascii="Times New Roman" w:hAnsi="Times New Roman"/>
                <w:color w:val="000000"/>
                <w:szCs w:val="24"/>
              </w:rPr>
              <w:t>Brak jest możliwości osiągnięcia celu projektowanych zmian za pomocą innych środków niż interwencja ustawodawcza. Projekt został przygotowany w ramach tzw. pakietu osłonowego dla firm, stanowiącego realizację Tarczy Antykryzysowej ogłoszonej przez Prezesa Rady Ministrów.</w:t>
            </w:r>
          </w:p>
        </w:tc>
      </w:tr>
      <w:tr w:rsidR="00F9477F" w:rsidRPr="008D6E94" w:rsidTr="002A37BC">
        <w:trPr>
          <w:trHeight w:val="307"/>
        </w:trPr>
        <w:tc>
          <w:tcPr>
            <w:tcW w:w="11039" w:type="dxa"/>
            <w:gridSpan w:val="28"/>
            <w:shd w:val="clear" w:color="auto" w:fill="99CCFF"/>
            <w:vAlign w:val="center"/>
          </w:tcPr>
          <w:p w:rsidR="00F9477F" w:rsidRPr="004B4C6E" w:rsidRDefault="00F9477F" w:rsidP="005504A7">
            <w:pPr>
              <w:numPr>
                <w:ilvl w:val="0"/>
                <w:numId w:val="1"/>
              </w:numPr>
              <w:spacing w:line="240" w:lineRule="auto"/>
              <w:ind w:left="318" w:hanging="284"/>
              <w:jc w:val="both"/>
              <w:rPr>
                <w:rFonts w:ascii="Times New Roman" w:hAnsi="Times New Roman"/>
                <w:b/>
                <w:color w:val="000000"/>
              </w:rPr>
            </w:pPr>
            <w:r w:rsidRPr="004B4C6E">
              <w:rPr>
                <w:rFonts w:ascii="Times New Roman" w:hAnsi="Times New Roman"/>
                <w:b/>
                <w:spacing w:val="-2"/>
              </w:rPr>
              <w:t>Jak problem został rozwiązany w innych krajach, w szczególności krajach członkowskich OECD/UE</w:t>
            </w:r>
            <w:r w:rsidRPr="004B4C6E">
              <w:rPr>
                <w:rFonts w:ascii="Times New Roman" w:hAnsi="Times New Roman"/>
                <w:b/>
                <w:color w:val="000000"/>
              </w:rPr>
              <w:t>?</w:t>
            </w:r>
            <w:r w:rsidRPr="004B4C6E">
              <w:rPr>
                <w:rFonts w:ascii="Times New Roman" w:hAnsi="Times New Roman"/>
                <w:i/>
                <w:color w:val="000000"/>
              </w:rPr>
              <w:t xml:space="preserve"> </w:t>
            </w:r>
          </w:p>
        </w:tc>
      </w:tr>
      <w:tr w:rsidR="00F9477F" w:rsidRPr="008D6E94" w:rsidTr="002A37BC">
        <w:trPr>
          <w:trHeight w:val="142"/>
        </w:trPr>
        <w:tc>
          <w:tcPr>
            <w:tcW w:w="11039" w:type="dxa"/>
            <w:gridSpan w:val="28"/>
          </w:tcPr>
          <w:p w:rsidR="00442696" w:rsidRPr="00BF60EF" w:rsidRDefault="00442696" w:rsidP="00C57242">
            <w:pPr>
              <w:pStyle w:val="Akapitzlist"/>
              <w:numPr>
                <w:ilvl w:val="0"/>
                <w:numId w:val="18"/>
              </w:numPr>
              <w:spacing w:before="120" w:after="120" w:line="240" w:lineRule="auto"/>
              <w:rPr>
                <w:rFonts w:ascii="Times New Roman" w:hAnsi="Times New Roman"/>
                <w:b/>
              </w:rPr>
            </w:pPr>
            <w:r w:rsidRPr="00BF60EF">
              <w:rPr>
                <w:rFonts w:ascii="Times New Roman" w:hAnsi="Times New Roman"/>
                <w:b/>
              </w:rPr>
              <w:t>Dopłaty do oprocentowania kredytów bankowych</w:t>
            </w:r>
          </w:p>
          <w:p w:rsidR="00BD54D0" w:rsidRPr="00BD54D0" w:rsidRDefault="00BD54D0" w:rsidP="00BD54D0">
            <w:pPr>
              <w:spacing w:line="100" w:lineRule="atLeast"/>
              <w:jc w:val="both"/>
              <w:rPr>
                <w:rFonts w:ascii="Times New Roman" w:hAnsi="Times New Roman"/>
                <w:spacing w:val="-2"/>
              </w:rPr>
            </w:pPr>
            <w:r w:rsidRPr="00BD54D0">
              <w:rPr>
                <w:rFonts w:ascii="Times New Roman" w:hAnsi="Times New Roman"/>
                <w:spacing w:val="-2"/>
              </w:rPr>
              <w:t>Z danych udostępnionych przez DG GROW (Dyrekcję Generaln</w:t>
            </w:r>
            <w:r w:rsidR="007D70C1">
              <w:rPr>
                <w:rFonts w:ascii="Times New Roman" w:hAnsi="Times New Roman"/>
                <w:spacing w:val="-2"/>
              </w:rPr>
              <w:t>ą</w:t>
            </w:r>
            <w:r w:rsidRPr="00BD54D0">
              <w:rPr>
                <w:rFonts w:ascii="Times New Roman" w:hAnsi="Times New Roman"/>
                <w:spacing w:val="-2"/>
              </w:rPr>
              <w:t xml:space="preserve"> Komisji Europejskiej odpowiedzialn</w:t>
            </w:r>
            <w:r w:rsidR="001F1791">
              <w:rPr>
                <w:rFonts w:ascii="Times New Roman" w:hAnsi="Times New Roman"/>
                <w:spacing w:val="-2"/>
              </w:rPr>
              <w:t>ą</w:t>
            </w:r>
            <w:r w:rsidRPr="00BD54D0">
              <w:rPr>
                <w:rFonts w:ascii="Times New Roman" w:hAnsi="Times New Roman"/>
                <w:spacing w:val="-2"/>
              </w:rPr>
              <w:t xml:space="preserve"> za politykę UE w</w:t>
            </w:r>
            <w:r w:rsidR="001C17F3">
              <w:rPr>
                <w:rFonts w:ascii="Times New Roman" w:hAnsi="Times New Roman"/>
                <w:spacing w:val="-2"/>
              </w:rPr>
              <w:t> </w:t>
            </w:r>
            <w:r w:rsidRPr="00BD54D0">
              <w:rPr>
                <w:rFonts w:ascii="Times New Roman" w:hAnsi="Times New Roman"/>
                <w:spacing w:val="-2"/>
              </w:rPr>
              <w:t>obszarze jednolitego rynku, przemysłu, przedsiębiorczości i małych przedsiębiorstw) wg stanu na 24 marca 2020</w:t>
            </w:r>
            <w:r>
              <w:rPr>
                <w:rFonts w:ascii="Times New Roman" w:hAnsi="Times New Roman"/>
                <w:spacing w:val="-2"/>
              </w:rPr>
              <w:t xml:space="preserve"> </w:t>
            </w:r>
            <w:r w:rsidRPr="00BD54D0">
              <w:rPr>
                <w:rFonts w:ascii="Times New Roman" w:hAnsi="Times New Roman"/>
                <w:spacing w:val="-2"/>
              </w:rPr>
              <w:t>r. wynika, że jednym ze spos</w:t>
            </w:r>
            <w:r w:rsidR="001F1791">
              <w:rPr>
                <w:rFonts w:ascii="Times New Roman" w:hAnsi="Times New Roman"/>
                <w:spacing w:val="-2"/>
              </w:rPr>
              <w:t>ob</w:t>
            </w:r>
            <w:r w:rsidRPr="00BD54D0">
              <w:rPr>
                <w:rFonts w:ascii="Times New Roman" w:hAnsi="Times New Roman"/>
                <w:spacing w:val="-2"/>
              </w:rPr>
              <w:t>ó</w:t>
            </w:r>
            <w:r w:rsidR="001F1791">
              <w:rPr>
                <w:rFonts w:ascii="Times New Roman" w:hAnsi="Times New Roman"/>
                <w:spacing w:val="-2"/>
              </w:rPr>
              <w:t>w</w:t>
            </w:r>
            <w:r w:rsidRPr="00BD54D0">
              <w:rPr>
                <w:rFonts w:ascii="Times New Roman" w:hAnsi="Times New Roman"/>
                <w:spacing w:val="-2"/>
              </w:rPr>
              <w:t xml:space="preserve"> łagodzenia skutków gospodarczych pandemii COVID 19 jest udzielanie przedsiębiorcom pożyczek. Do 24 marca 2020 r. działania w tym kierunku podjęło 15 państw członkowskich.</w:t>
            </w:r>
            <w:r w:rsidR="001F1791">
              <w:rPr>
                <w:rFonts w:ascii="Times New Roman" w:hAnsi="Times New Roman"/>
                <w:spacing w:val="-2"/>
              </w:rPr>
              <w:t xml:space="preserve"> </w:t>
            </w:r>
            <w:r w:rsidRPr="00BD54D0">
              <w:rPr>
                <w:rFonts w:ascii="Times New Roman" w:hAnsi="Times New Roman"/>
                <w:spacing w:val="-2"/>
              </w:rPr>
              <w:t>Państwa te ustanawiają nowe programy pożyczek lub współpracują z bankami w celu ułatwienia nowych pożyczek, których głównym celem jest zapewnien</w:t>
            </w:r>
            <w:r>
              <w:rPr>
                <w:rFonts w:ascii="Times New Roman" w:hAnsi="Times New Roman"/>
                <w:spacing w:val="-2"/>
              </w:rPr>
              <w:t>ie płynności finansowej przedsię</w:t>
            </w:r>
            <w:r w:rsidRPr="00BD54D0">
              <w:rPr>
                <w:rFonts w:ascii="Times New Roman" w:hAnsi="Times New Roman"/>
                <w:spacing w:val="-2"/>
              </w:rPr>
              <w:t xml:space="preserve">biorstw, w szczególności w sektorze MŚP. </w:t>
            </w:r>
          </w:p>
          <w:p w:rsidR="00BD54D0" w:rsidRPr="00BD54D0" w:rsidRDefault="00BD54D0" w:rsidP="00374D13">
            <w:pPr>
              <w:spacing w:after="120" w:line="100" w:lineRule="atLeast"/>
              <w:jc w:val="both"/>
              <w:rPr>
                <w:rFonts w:ascii="Times New Roman" w:hAnsi="Times New Roman"/>
              </w:rPr>
            </w:pPr>
            <w:r w:rsidRPr="00BD54D0">
              <w:rPr>
                <w:rFonts w:ascii="Times New Roman" w:hAnsi="Times New Roman"/>
                <w:spacing w:val="-2"/>
              </w:rPr>
              <w:t>Dodatkowym środk</w:t>
            </w:r>
            <w:r>
              <w:rPr>
                <w:rFonts w:ascii="Times New Roman" w:hAnsi="Times New Roman"/>
                <w:spacing w:val="-2"/>
              </w:rPr>
              <w:t>iem zaradczym jest także odracza</w:t>
            </w:r>
            <w:r w:rsidRPr="00BD54D0">
              <w:rPr>
                <w:rFonts w:ascii="Times New Roman" w:hAnsi="Times New Roman"/>
                <w:spacing w:val="-2"/>
              </w:rPr>
              <w:t>nie spłaty pożyczek, zapowiedziane przez co najmniej 11 państw UE. Działania Państw członkowskich koncentrują się więc zarówno na odroczeniu spłaty dotychczas udzielonych pożyczek, jak i na udzielaniu nowych pożyczek z korzystnymi warunkami spłaty. Przykłady działań (podjętych lub wprowadzanych):</w:t>
            </w:r>
          </w:p>
          <w:p w:rsidR="00BD54D0" w:rsidRPr="00374D13" w:rsidRDefault="00BD54D0" w:rsidP="00BD54D0">
            <w:pPr>
              <w:spacing w:line="100" w:lineRule="atLeast"/>
              <w:jc w:val="both"/>
              <w:rPr>
                <w:rFonts w:ascii="Times New Roman" w:hAnsi="Times New Roman"/>
                <w:spacing w:val="-2"/>
                <w:u w:val="single"/>
              </w:rPr>
            </w:pPr>
            <w:r w:rsidRPr="00374D13">
              <w:rPr>
                <w:rFonts w:ascii="Times New Roman" w:hAnsi="Times New Roman"/>
                <w:spacing w:val="-2"/>
                <w:u w:val="single"/>
              </w:rPr>
              <w:t>Chorwacja:</w:t>
            </w:r>
          </w:p>
          <w:p w:rsidR="00BD54D0" w:rsidRPr="00BD54D0" w:rsidRDefault="00BD54D0" w:rsidP="00BD54D0">
            <w:pPr>
              <w:spacing w:line="100" w:lineRule="atLeast"/>
              <w:jc w:val="both"/>
              <w:rPr>
                <w:rFonts w:ascii="Times New Roman" w:hAnsi="Times New Roman"/>
                <w:spacing w:val="-2"/>
              </w:rPr>
            </w:pPr>
            <w:r w:rsidRPr="00BD54D0">
              <w:rPr>
                <w:rFonts w:ascii="Times New Roman" w:hAnsi="Times New Roman"/>
                <w:spacing w:val="-2"/>
              </w:rPr>
              <w:t>Ustanowiono nowy instrument finansowy w postaci pożyczek na poprawę płynności finansowej dla mikro przedsiębiorców z obszarów wiejskich (skrócono proces decyzyjny, wprowadzono karencje w spłatach oraz niższe oprocentowanie).</w:t>
            </w:r>
          </w:p>
          <w:p w:rsidR="00BD54D0" w:rsidRPr="00BD54D0" w:rsidRDefault="00BD54D0" w:rsidP="00FC6925">
            <w:pPr>
              <w:spacing w:after="120" w:line="100" w:lineRule="atLeast"/>
              <w:jc w:val="both"/>
              <w:rPr>
                <w:rFonts w:ascii="Times New Roman" w:hAnsi="Times New Roman"/>
              </w:rPr>
            </w:pPr>
            <w:r w:rsidRPr="00BD54D0">
              <w:rPr>
                <w:rFonts w:ascii="Times New Roman" w:hAnsi="Times New Roman"/>
                <w:spacing w:val="-2"/>
              </w:rPr>
              <w:t>Ogłoszono program pożyczkowy w kwocie 380 mln HRK (ok. 227 mln zł), którego celem jest zapewnienie środków oraz poprawa płynności finansowej MŚP. Operatorem programu będzie agencja rządowa: Chorwacka Agencja Małych Firm, Innowacji i Inwestycji (HAMAG-BICRO)</w:t>
            </w:r>
            <w:r w:rsidR="00C32039">
              <w:rPr>
                <w:rFonts w:ascii="Times New Roman" w:hAnsi="Times New Roman"/>
                <w:spacing w:val="-2"/>
              </w:rPr>
              <w:t>.</w:t>
            </w:r>
          </w:p>
          <w:p w:rsidR="00BD54D0" w:rsidRPr="00374D13" w:rsidRDefault="00BD54D0" w:rsidP="00BD54D0">
            <w:pPr>
              <w:spacing w:line="100" w:lineRule="atLeast"/>
              <w:jc w:val="both"/>
              <w:rPr>
                <w:rFonts w:ascii="Times New Roman" w:hAnsi="Times New Roman"/>
                <w:u w:val="single"/>
              </w:rPr>
            </w:pPr>
            <w:r w:rsidRPr="00374D13">
              <w:rPr>
                <w:rFonts w:ascii="Times New Roman" w:hAnsi="Times New Roman"/>
                <w:spacing w:val="-2"/>
                <w:u w:val="single"/>
              </w:rPr>
              <w:t>Czechy</w:t>
            </w:r>
          </w:p>
          <w:p w:rsidR="00BD54D0" w:rsidRPr="00BD54D0" w:rsidRDefault="00BD54D0" w:rsidP="00FC6925">
            <w:pPr>
              <w:spacing w:after="120" w:line="100" w:lineRule="atLeast"/>
              <w:jc w:val="both"/>
              <w:rPr>
                <w:rFonts w:ascii="Times New Roman" w:hAnsi="Times New Roman"/>
              </w:rPr>
            </w:pPr>
            <w:r w:rsidRPr="00BD54D0">
              <w:rPr>
                <w:rFonts w:ascii="Times New Roman" w:hAnsi="Times New Roman"/>
              </w:rPr>
              <w:t xml:space="preserve">Ogłoszono „Program pożyczek COVID”, aby ułatwić </w:t>
            </w:r>
            <w:r w:rsidR="007F22F7">
              <w:rPr>
                <w:rFonts w:ascii="Times New Roman" w:hAnsi="Times New Roman"/>
              </w:rPr>
              <w:t>MŚP dostęp do finansowania dział</w:t>
            </w:r>
            <w:r w:rsidRPr="00BD54D0">
              <w:rPr>
                <w:rFonts w:ascii="Times New Roman" w:hAnsi="Times New Roman"/>
              </w:rPr>
              <w:t xml:space="preserve">alności operacyjnej. Nieoprocentowane pożyczki z odroczeniem spłat dla MŚP dotkniętych przez </w:t>
            </w:r>
            <w:proofErr w:type="spellStart"/>
            <w:r w:rsidRPr="00BD54D0">
              <w:rPr>
                <w:rFonts w:ascii="Times New Roman" w:hAnsi="Times New Roman"/>
              </w:rPr>
              <w:t>koronawirusa</w:t>
            </w:r>
            <w:proofErr w:type="spellEnd"/>
            <w:r w:rsidRPr="00BD54D0">
              <w:rPr>
                <w:rFonts w:ascii="Times New Roman" w:hAnsi="Times New Roman"/>
              </w:rPr>
              <w:t xml:space="preserve"> udzielanych przez Czeski Morawski Bank Gwarancji i Rozwoju. Pożyczki w wysokości 0,5 - 15 mln CZK (ok 83 tys</w:t>
            </w:r>
            <w:r w:rsidR="002E319D">
              <w:rPr>
                <w:rFonts w:ascii="Times New Roman" w:hAnsi="Times New Roman"/>
              </w:rPr>
              <w:t>.</w:t>
            </w:r>
            <w:r w:rsidRPr="00BD54D0">
              <w:rPr>
                <w:rFonts w:ascii="Times New Roman" w:hAnsi="Times New Roman"/>
              </w:rPr>
              <w:t xml:space="preserve"> zł – 2,5 mln zł), z możliwością spłaty w ciągu 2 lat, i możliwością odroczenia spłaty do 12 miesięcy. Popyt znacznie przekracza początkowe oczekiwania. Na pożyczki zabezpieczono ok</w:t>
            </w:r>
            <w:r w:rsidR="007D70C1">
              <w:rPr>
                <w:rFonts w:ascii="Times New Roman" w:hAnsi="Times New Roman"/>
              </w:rPr>
              <w:t>.</w:t>
            </w:r>
            <w:r w:rsidRPr="00BD54D0">
              <w:rPr>
                <w:rFonts w:ascii="Times New Roman" w:hAnsi="Times New Roman"/>
              </w:rPr>
              <w:t xml:space="preserve"> 1 mld CZK (ok</w:t>
            </w:r>
            <w:r w:rsidR="007D70C1">
              <w:rPr>
                <w:rFonts w:ascii="Times New Roman" w:hAnsi="Times New Roman"/>
              </w:rPr>
              <w:t>.</w:t>
            </w:r>
            <w:r w:rsidRPr="00BD54D0">
              <w:rPr>
                <w:rFonts w:ascii="Times New Roman" w:hAnsi="Times New Roman"/>
              </w:rPr>
              <w:t xml:space="preserve"> 167 mln zł). </w:t>
            </w:r>
          </w:p>
          <w:p w:rsidR="00BD54D0" w:rsidRPr="00374D13" w:rsidRDefault="00BD54D0" w:rsidP="00BD54D0">
            <w:pPr>
              <w:spacing w:line="100" w:lineRule="atLeast"/>
              <w:jc w:val="both"/>
              <w:rPr>
                <w:rFonts w:ascii="Times New Roman" w:hAnsi="Times New Roman"/>
                <w:u w:val="single"/>
              </w:rPr>
            </w:pPr>
            <w:r w:rsidRPr="00374D13">
              <w:rPr>
                <w:rFonts w:ascii="Times New Roman" w:hAnsi="Times New Roman"/>
                <w:u w:val="single"/>
              </w:rPr>
              <w:t>Dania</w:t>
            </w:r>
          </w:p>
          <w:p w:rsidR="00BD54D0" w:rsidRPr="00BD54D0" w:rsidRDefault="00BD54D0" w:rsidP="00BD54D0">
            <w:pPr>
              <w:spacing w:line="100" w:lineRule="atLeast"/>
              <w:jc w:val="both"/>
              <w:rPr>
                <w:rFonts w:ascii="Times New Roman" w:hAnsi="Times New Roman"/>
              </w:rPr>
            </w:pPr>
            <w:proofErr w:type="spellStart"/>
            <w:r w:rsidRPr="00374D13">
              <w:rPr>
                <w:rFonts w:ascii="Times New Roman" w:hAnsi="Times New Roman"/>
                <w:i/>
              </w:rPr>
              <w:t>Danmarks</w:t>
            </w:r>
            <w:proofErr w:type="spellEnd"/>
            <w:r w:rsidRPr="00374D13">
              <w:rPr>
                <w:rFonts w:ascii="Times New Roman" w:hAnsi="Times New Roman"/>
                <w:i/>
              </w:rPr>
              <w:t xml:space="preserve"> </w:t>
            </w:r>
            <w:proofErr w:type="spellStart"/>
            <w:r w:rsidRPr="00374D13">
              <w:rPr>
                <w:rFonts w:ascii="Times New Roman" w:hAnsi="Times New Roman"/>
                <w:i/>
              </w:rPr>
              <w:t>Nationalbanken</w:t>
            </w:r>
            <w:proofErr w:type="spellEnd"/>
            <w:r w:rsidRPr="00BD54D0">
              <w:rPr>
                <w:rFonts w:ascii="Times New Roman" w:hAnsi="Times New Roman"/>
              </w:rPr>
              <w:t xml:space="preserve"> obniżył stopy procentowe i pozwala bankom zaciągać pożyczki w wysokości -0,5% zamiast zwykłej stopy oprocentowania wynoszącej 0%, co ma na celu ograniczenie stóp procentowych kredytów.</w:t>
            </w:r>
          </w:p>
          <w:p w:rsidR="00BD54D0" w:rsidRPr="00BD54D0" w:rsidRDefault="00BD54D0" w:rsidP="00FC6925">
            <w:pPr>
              <w:spacing w:after="120" w:line="100" w:lineRule="atLeast"/>
              <w:jc w:val="both"/>
              <w:rPr>
                <w:rFonts w:ascii="Times New Roman" w:hAnsi="Times New Roman"/>
              </w:rPr>
            </w:pPr>
            <w:r w:rsidRPr="00BD54D0">
              <w:rPr>
                <w:rFonts w:ascii="Times New Roman" w:hAnsi="Times New Roman"/>
              </w:rPr>
              <w:t xml:space="preserve">W sumie 1,25 mld DKK (766 mln zł) w postaci dodatkowych kredytów eksportowych zostanie udostępnionych małym i średnim przedsiębiorstwom eksportowym. </w:t>
            </w:r>
          </w:p>
          <w:p w:rsidR="00BD54D0" w:rsidRPr="00374D13" w:rsidRDefault="00BD54D0" w:rsidP="00BD54D0">
            <w:pPr>
              <w:spacing w:line="100" w:lineRule="atLeast"/>
              <w:jc w:val="both"/>
              <w:rPr>
                <w:rFonts w:ascii="Times New Roman" w:hAnsi="Times New Roman"/>
                <w:u w:val="single"/>
              </w:rPr>
            </w:pPr>
            <w:r w:rsidRPr="00374D13">
              <w:rPr>
                <w:rFonts w:ascii="Times New Roman" w:hAnsi="Times New Roman"/>
                <w:u w:val="single"/>
              </w:rPr>
              <w:t>Francja</w:t>
            </w:r>
          </w:p>
          <w:p w:rsidR="00BD54D0" w:rsidRPr="00BD54D0" w:rsidRDefault="00BD54D0" w:rsidP="00FC6925">
            <w:pPr>
              <w:spacing w:after="120" w:line="100" w:lineRule="atLeast"/>
              <w:jc w:val="both"/>
              <w:rPr>
                <w:rFonts w:ascii="Times New Roman" w:hAnsi="Times New Roman"/>
              </w:rPr>
            </w:pPr>
            <w:r w:rsidRPr="00BD54D0">
              <w:rPr>
                <w:rFonts w:ascii="Times New Roman" w:hAnsi="Times New Roman"/>
              </w:rPr>
              <w:t>Utworzono specjalny fundusz w wysokości 300 mln EUR, aby zagwarantować pożyczki na zapewnienie płynności finansowej, kontynuowanie działalności i zachowanie miejsc pracy. Zapewniono usługę mediacji kredytowej, aby pomóc MŚP pragnącym renegocjować warunki kredytu.</w:t>
            </w:r>
          </w:p>
          <w:p w:rsidR="00BD54D0" w:rsidRPr="00374D13" w:rsidRDefault="00BD54D0" w:rsidP="00BD54D0">
            <w:pPr>
              <w:spacing w:line="100" w:lineRule="atLeast"/>
              <w:jc w:val="both"/>
              <w:rPr>
                <w:rFonts w:ascii="Times New Roman" w:hAnsi="Times New Roman"/>
                <w:u w:val="single"/>
              </w:rPr>
            </w:pPr>
            <w:r w:rsidRPr="00374D13">
              <w:rPr>
                <w:rFonts w:ascii="Times New Roman" w:hAnsi="Times New Roman"/>
                <w:u w:val="single"/>
              </w:rPr>
              <w:t>Niemcy</w:t>
            </w:r>
          </w:p>
          <w:p w:rsidR="00BD54D0" w:rsidRPr="00BD54D0" w:rsidRDefault="00BD54D0" w:rsidP="00FC6925">
            <w:pPr>
              <w:spacing w:after="120" w:line="100" w:lineRule="atLeast"/>
              <w:jc w:val="both"/>
              <w:rPr>
                <w:rFonts w:ascii="Times New Roman" w:hAnsi="Times New Roman"/>
              </w:rPr>
            </w:pPr>
            <w:r w:rsidRPr="00BD54D0">
              <w:rPr>
                <w:rFonts w:ascii="Times New Roman" w:hAnsi="Times New Roman"/>
              </w:rPr>
              <w:t xml:space="preserve">Rząd upoważnił bank </w:t>
            </w:r>
            <w:proofErr w:type="spellStart"/>
            <w:r w:rsidRPr="00BD54D0">
              <w:rPr>
                <w:rFonts w:ascii="Times New Roman" w:hAnsi="Times New Roman"/>
              </w:rPr>
              <w:t>KfW</w:t>
            </w:r>
            <w:proofErr w:type="spellEnd"/>
            <w:r w:rsidRPr="00BD54D0">
              <w:rPr>
                <w:rFonts w:ascii="Times New Roman" w:hAnsi="Times New Roman"/>
              </w:rPr>
              <w:t xml:space="preserve"> (</w:t>
            </w:r>
            <w:proofErr w:type="spellStart"/>
            <w:r w:rsidRPr="00BD54D0">
              <w:rPr>
                <w:rFonts w:ascii="Times New Roman" w:hAnsi="Times New Roman"/>
                <w:i/>
              </w:rPr>
              <w:t>Kreditanstalt</w:t>
            </w:r>
            <w:proofErr w:type="spellEnd"/>
            <w:r w:rsidRPr="00BD54D0">
              <w:rPr>
                <w:rFonts w:ascii="Times New Roman" w:hAnsi="Times New Roman"/>
                <w:i/>
              </w:rPr>
              <w:t xml:space="preserve"> </w:t>
            </w:r>
            <w:proofErr w:type="spellStart"/>
            <w:r w:rsidRPr="00BD54D0">
              <w:rPr>
                <w:rFonts w:ascii="Times New Roman" w:hAnsi="Times New Roman"/>
                <w:i/>
              </w:rPr>
              <w:t>für</w:t>
            </w:r>
            <w:proofErr w:type="spellEnd"/>
            <w:r w:rsidRPr="00BD54D0">
              <w:rPr>
                <w:rFonts w:ascii="Times New Roman" w:hAnsi="Times New Roman"/>
                <w:i/>
              </w:rPr>
              <w:t xml:space="preserve"> </w:t>
            </w:r>
            <w:proofErr w:type="spellStart"/>
            <w:r w:rsidRPr="00BD54D0">
              <w:rPr>
                <w:rFonts w:ascii="Times New Roman" w:hAnsi="Times New Roman"/>
                <w:i/>
              </w:rPr>
              <w:t>Wiederaufbau</w:t>
            </w:r>
            <w:proofErr w:type="spellEnd"/>
            <w:r w:rsidRPr="00BD54D0">
              <w:rPr>
                <w:rFonts w:ascii="Times New Roman" w:hAnsi="Times New Roman"/>
              </w:rPr>
              <w:t xml:space="preserve"> – niemiecki</w:t>
            </w:r>
            <w:r w:rsidR="00AE3D10">
              <w:rPr>
                <w:rFonts w:ascii="Times New Roman" w:hAnsi="Times New Roman"/>
              </w:rPr>
              <w:t xml:space="preserve"> </w:t>
            </w:r>
            <w:r w:rsidRPr="00BD54D0">
              <w:rPr>
                <w:rFonts w:ascii="Times New Roman" w:hAnsi="Times New Roman"/>
              </w:rPr>
              <w:t xml:space="preserve">państwowy bank rozwoju) do udzielania przedsiębiorstwom pożyczek do kwoty 610 mld USD, na złagodzenie skutków </w:t>
            </w:r>
            <w:proofErr w:type="spellStart"/>
            <w:r w:rsidRPr="00BD54D0">
              <w:rPr>
                <w:rFonts w:ascii="Times New Roman" w:hAnsi="Times New Roman"/>
              </w:rPr>
              <w:t>koronawirusa</w:t>
            </w:r>
            <w:proofErr w:type="spellEnd"/>
            <w:r w:rsidRPr="00BD54D0">
              <w:rPr>
                <w:rFonts w:ascii="Times New Roman" w:hAnsi="Times New Roman"/>
              </w:rPr>
              <w:t>.</w:t>
            </w:r>
          </w:p>
          <w:p w:rsidR="00BD54D0" w:rsidRPr="00374D13" w:rsidRDefault="00BD54D0" w:rsidP="00BD54D0">
            <w:pPr>
              <w:spacing w:line="100" w:lineRule="atLeast"/>
              <w:jc w:val="both"/>
              <w:rPr>
                <w:rFonts w:ascii="Times New Roman" w:hAnsi="Times New Roman"/>
                <w:u w:val="single"/>
              </w:rPr>
            </w:pPr>
            <w:r w:rsidRPr="00374D13">
              <w:rPr>
                <w:rFonts w:ascii="Times New Roman" w:hAnsi="Times New Roman"/>
                <w:u w:val="single"/>
              </w:rPr>
              <w:t>Grecja</w:t>
            </w:r>
          </w:p>
          <w:p w:rsidR="00BD54D0" w:rsidRPr="00BD54D0" w:rsidRDefault="00BD54D0" w:rsidP="00BD54D0">
            <w:pPr>
              <w:spacing w:line="100" w:lineRule="atLeast"/>
              <w:jc w:val="both"/>
              <w:rPr>
                <w:rFonts w:ascii="Times New Roman" w:hAnsi="Times New Roman"/>
              </w:rPr>
            </w:pPr>
            <w:r w:rsidRPr="00BD54D0">
              <w:rPr>
                <w:rFonts w:ascii="Times New Roman" w:hAnsi="Times New Roman"/>
              </w:rPr>
              <w:t>We współpracy z Europejskim Funduszem Inwestycyjnym (EFI) ustanowiono nowy program o wartości 500 mln EUR aby zniwelować lukę finansową napotykaną przez MŚP, która prawdopodobnie pojawi się w kontekście</w:t>
            </w:r>
            <w:r w:rsidR="00AE3D10">
              <w:rPr>
                <w:rFonts w:ascii="Times New Roman" w:hAnsi="Times New Roman"/>
              </w:rPr>
              <w:t xml:space="preserve"> </w:t>
            </w:r>
            <w:proofErr w:type="spellStart"/>
            <w:r w:rsidRPr="00BD54D0">
              <w:rPr>
                <w:rFonts w:ascii="Times New Roman" w:hAnsi="Times New Roman"/>
              </w:rPr>
              <w:t>koronawirusa</w:t>
            </w:r>
            <w:proofErr w:type="spellEnd"/>
            <w:r w:rsidR="00FC6925">
              <w:rPr>
                <w:rFonts w:ascii="Times New Roman" w:hAnsi="Times New Roman"/>
              </w:rPr>
              <w:t>.</w:t>
            </w:r>
            <w:r w:rsidRPr="00BD54D0">
              <w:rPr>
                <w:rFonts w:ascii="Times New Roman" w:hAnsi="Times New Roman"/>
              </w:rPr>
              <w:t xml:space="preserve"> </w:t>
            </w:r>
          </w:p>
          <w:p w:rsidR="00BD54D0" w:rsidRPr="00BD54D0" w:rsidRDefault="00BD54D0" w:rsidP="00BD54D0">
            <w:pPr>
              <w:spacing w:line="100" w:lineRule="atLeast"/>
              <w:jc w:val="both"/>
              <w:rPr>
                <w:rFonts w:ascii="Times New Roman" w:hAnsi="Times New Roman"/>
              </w:rPr>
            </w:pPr>
          </w:p>
          <w:p w:rsidR="00810EF2" w:rsidRPr="00374D13" w:rsidRDefault="00374D13" w:rsidP="00C57242">
            <w:pPr>
              <w:pStyle w:val="Akapitzlist"/>
              <w:numPr>
                <w:ilvl w:val="0"/>
                <w:numId w:val="18"/>
              </w:numPr>
              <w:spacing w:after="120" w:line="240" w:lineRule="auto"/>
              <w:rPr>
                <w:rFonts w:ascii="Times New Roman" w:hAnsi="Times New Roman"/>
                <w:b/>
              </w:rPr>
            </w:pPr>
            <w:r w:rsidRPr="00374D13">
              <w:rPr>
                <w:rFonts w:ascii="Times New Roman" w:hAnsi="Times New Roman"/>
                <w:b/>
              </w:rPr>
              <w:t xml:space="preserve">Ułatwienia w </w:t>
            </w:r>
            <w:r w:rsidR="00B11DEC">
              <w:rPr>
                <w:rFonts w:ascii="Times New Roman" w:hAnsi="Times New Roman"/>
                <w:b/>
              </w:rPr>
              <w:t>realizacji</w:t>
            </w:r>
            <w:r w:rsidR="00B11DEC" w:rsidRPr="00374D13">
              <w:rPr>
                <w:rFonts w:ascii="Times New Roman" w:hAnsi="Times New Roman"/>
                <w:b/>
              </w:rPr>
              <w:t xml:space="preserve"> </w:t>
            </w:r>
            <w:r w:rsidRPr="00374D13">
              <w:rPr>
                <w:rFonts w:ascii="Times New Roman" w:hAnsi="Times New Roman"/>
                <w:b/>
              </w:rPr>
              <w:t>zamówień publicznych</w:t>
            </w:r>
          </w:p>
          <w:p w:rsidR="00374D13" w:rsidRDefault="00374D13" w:rsidP="002B5EDE">
            <w:pPr>
              <w:autoSpaceDE w:val="0"/>
              <w:autoSpaceDN w:val="0"/>
              <w:adjustRightInd w:val="0"/>
              <w:spacing w:after="120" w:line="240" w:lineRule="auto"/>
              <w:jc w:val="both"/>
              <w:rPr>
                <w:rFonts w:ascii="Times New Roman" w:hAnsi="Times New Roman"/>
                <w:lang w:eastAsia="pl-PL"/>
              </w:rPr>
            </w:pPr>
            <w:r>
              <w:rPr>
                <w:rFonts w:ascii="Times New Roman" w:hAnsi="Times New Roman"/>
                <w:lang w:eastAsia="pl-PL"/>
              </w:rPr>
              <w:t>Większość projektowanych przepisów nie ma odniesienia w innych systemach prawnych, gdyż są to rozwiązania o charakterze wyjątkowym, ukierunkowane wyłącznie na walkę z negatywnymi skutkami gospodarczymi rozprzestrzeniania się COVID-19</w:t>
            </w:r>
            <w:r w:rsidR="00AE3D10">
              <w:rPr>
                <w:rFonts w:ascii="Times New Roman" w:hAnsi="Times New Roman"/>
                <w:lang w:eastAsia="pl-PL"/>
              </w:rPr>
              <w:t xml:space="preserve"> </w:t>
            </w:r>
            <w:r>
              <w:rPr>
                <w:rFonts w:ascii="Times New Roman" w:hAnsi="Times New Roman"/>
                <w:lang w:eastAsia="pl-PL"/>
              </w:rPr>
              <w:t xml:space="preserve">dla uczestników rynku zamówień publicznych. Czas ich obowiązywania jest ściśle skorelowany z okresem istnienia zagrożenia COVID-19. Rozwiązania przygotowywane w poszczególnych krajach, w tym krajach członkowskich UE, opracowywane są w oparciu o analizę sytuacji </w:t>
            </w:r>
            <w:proofErr w:type="spellStart"/>
            <w:r>
              <w:rPr>
                <w:rFonts w:ascii="Times New Roman" w:hAnsi="Times New Roman"/>
                <w:lang w:eastAsia="pl-PL"/>
              </w:rPr>
              <w:t>społeczno</w:t>
            </w:r>
            <w:proofErr w:type="spellEnd"/>
            <w:r>
              <w:rPr>
                <w:rFonts w:ascii="Times New Roman" w:hAnsi="Times New Roman"/>
                <w:lang w:eastAsia="pl-PL"/>
              </w:rPr>
              <w:t xml:space="preserve"> – gospodarczej danego kraju wywołanej rozprzestrzenianiem się COVID-19. </w:t>
            </w:r>
          </w:p>
          <w:p w:rsidR="00374D13" w:rsidRPr="001D1B5B" w:rsidRDefault="00374D13" w:rsidP="001D1B5B">
            <w:pPr>
              <w:spacing w:after="120" w:line="240" w:lineRule="auto"/>
              <w:jc w:val="both"/>
              <w:rPr>
                <w:rFonts w:ascii="Times New Roman" w:eastAsia="Times New Roman" w:hAnsi="Times New Roman"/>
              </w:rPr>
            </w:pPr>
            <w:r w:rsidRPr="001D1B5B">
              <w:rPr>
                <w:rFonts w:ascii="Times New Roman" w:eastAsia="Times New Roman" w:hAnsi="Times New Roman"/>
              </w:rPr>
              <w:t xml:space="preserve">Z danych udostępnionych przez DG GROW (Dyrekcję Generalną ds. Rynku Wewnętrznego Komisji Europejskiej) wynika, że uproszczenia w systemie zamówień publicznych w następstwie COVID-19 wdrożono m.in. w następujących krajach: </w:t>
            </w:r>
          </w:p>
          <w:p w:rsidR="00374D13" w:rsidRPr="00374D13" w:rsidRDefault="00374D13" w:rsidP="00374D13">
            <w:pPr>
              <w:jc w:val="both"/>
              <w:rPr>
                <w:rFonts w:ascii="Times New Roman" w:eastAsia="Times New Roman" w:hAnsi="Times New Roman"/>
                <w:u w:val="single"/>
              </w:rPr>
            </w:pPr>
            <w:r w:rsidRPr="00374D13">
              <w:rPr>
                <w:rFonts w:ascii="Times New Roman" w:eastAsia="Times New Roman" w:hAnsi="Times New Roman"/>
                <w:u w:val="single"/>
              </w:rPr>
              <w:t>Dania</w:t>
            </w:r>
          </w:p>
          <w:p w:rsidR="00374D13" w:rsidRDefault="00374D13" w:rsidP="00917158">
            <w:pPr>
              <w:spacing w:after="120" w:line="240" w:lineRule="auto"/>
              <w:jc w:val="both"/>
              <w:rPr>
                <w:rFonts w:ascii="Times New Roman" w:eastAsia="Times New Roman" w:hAnsi="Times New Roman"/>
              </w:rPr>
            </w:pPr>
            <w:r>
              <w:rPr>
                <w:rFonts w:ascii="Times New Roman" w:eastAsia="Times New Roman" w:hAnsi="Times New Roman"/>
              </w:rPr>
              <w:t>Z</w:t>
            </w:r>
            <w:r w:rsidRPr="5A578C1C">
              <w:rPr>
                <w:rFonts w:ascii="Times New Roman" w:eastAsia="Times New Roman" w:hAnsi="Times New Roman"/>
              </w:rPr>
              <w:t>miany w systemie zaliczek na towary i usługi, zniesienie sankcji wynikających z systemu zamówień publicznych</w:t>
            </w:r>
            <w:r>
              <w:rPr>
                <w:rFonts w:ascii="Times New Roman" w:eastAsia="Times New Roman" w:hAnsi="Times New Roman"/>
              </w:rPr>
              <w:t>.</w:t>
            </w:r>
            <w:r w:rsidRPr="5A578C1C">
              <w:rPr>
                <w:rFonts w:ascii="Times New Roman" w:eastAsia="Times New Roman" w:hAnsi="Times New Roman"/>
              </w:rPr>
              <w:t xml:space="preserve"> </w:t>
            </w:r>
          </w:p>
          <w:p w:rsidR="00374D13" w:rsidRPr="00374D13" w:rsidRDefault="00374D13" w:rsidP="00917158">
            <w:pPr>
              <w:spacing w:line="240" w:lineRule="auto"/>
              <w:jc w:val="both"/>
              <w:rPr>
                <w:rFonts w:ascii="Times New Roman" w:eastAsia="Times New Roman" w:hAnsi="Times New Roman"/>
                <w:u w:val="single"/>
              </w:rPr>
            </w:pPr>
            <w:r w:rsidRPr="00374D13">
              <w:rPr>
                <w:rFonts w:ascii="Times New Roman" w:eastAsia="Times New Roman" w:hAnsi="Times New Roman"/>
                <w:u w:val="single"/>
              </w:rPr>
              <w:t xml:space="preserve">Litwa </w:t>
            </w:r>
          </w:p>
          <w:p w:rsidR="00374D13" w:rsidRDefault="00374D13" w:rsidP="00917158">
            <w:pPr>
              <w:spacing w:after="120" w:line="240" w:lineRule="auto"/>
              <w:jc w:val="both"/>
              <w:rPr>
                <w:rFonts w:ascii="Times New Roman" w:eastAsia="Times New Roman" w:hAnsi="Times New Roman"/>
              </w:rPr>
            </w:pPr>
            <w:r>
              <w:rPr>
                <w:rFonts w:ascii="Times New Roman" w:eastAsia="Times New Roman" w:hAnsi="Times New Roman"/>
              </w:rPr>
              <w:t>U</w:t>
            </w:r>
            <w:r w:rsidRPr="5A578C1C">
              <w:rPr>
                <w:rFonts w:ascii="Times New Roman" w:eastAsia="Times New Roman" w:hAnsi="Times New Roman"/>
              </w:rPr>
              <w:t>proszczenie niektórych zasad udzielania zamówień w celu ułatwienia zakupów rządowych - ma na celu ułatwienie zakupu towarów strategicznych przez rząd - ale przyniesie również korzyści dla MŚP</w:t>
            </w:r>
            <w:r>
              <w:rPr>
                <w:rFonts w:ascii="Times New Roman" w:eastAsia="Times New Roman" w:hAnsi="Times New Roman"/>
              </w:rPr>
              <w:t>.</w:t>
            </w:r>
          </w:p>
          <w:p w:rsidR="00374D13" w:rsidRPr="00374D13" w:rsidRDefault="00374D13" w:rsidP="00917158">
            <w:pPr>
              <w:autoSpaceDE w:val="0"/>
              <w:autoSpaceDN w:val="0"/>
              <w:adjustRightInd w:val="0"/>
              <w:spacing w:line="240" w:lineRule="auto"/>
              <w:jc w:val="both"/>
              <w:rPr>
                <w:rFonts w:ascii="Times New Roman" w:eastAsia="Times New Roman" w:hAnsi="Times New Roman"/>
                <w:u w:val="single"/>
              </w:rPr>
            </w:pPr>
            <w:r w:rsidRPr="00374D13">
              <w:rPr>
                <w:rFonts w:ascii="Times New Roman" w:eastAsia="Times New Roman" w:hAnsi="Times New Roman"/>
                <w:u w:val="single"/>
              </w:rPr>
              <w:t xml:space="preserve">Łotwa </w:t>
            </w:r>
          </w:p>
          <w:p w:rsidR="00374D13" w:rsidRDefault="00374D13" w:rsidP="00917158">
            <w:pPr>
              <w:autoSpaceDE w:val="0"/>
              <w:autoSpaceDN w:val="0"/>
              <w:adjustRightInd w:val="0"/>
              <w:spacing w:after="240" w:line="240" w:lineRule="auto"/>
              <w:jc w:val="both"/>
              <w:rPr>
                <w:rFonts w:ascii="Times New Roman" w:eastAsia="Times New Roman" w:hAnsi="Times New Roman"/>
              </w:rPr>
            </w:pPr>
            <w:r>
              <w:rPr>
                <w:rFonts w:ascii="Times New Roman" w:eastAsia="Times New Roman" w:hAnsi="Times New Roman"/>
              </w:rPr>
              <w:t>P</w:t>
            </w:r>
            <w:r w:rsidRPr="5A578C1C">
              <w:rPr>
                <w:rFonts w:ascii="Times New Roman" w:eastAsia="Times New Roman" w:hAnsi="Times New Roman"/>
              </w:rPr>
              <w:t>rocedury zamówień publicznych zostały tymczasowo zawieszone w interesie publicznym, jeżeli są powiązane z dostawami związanymi z COVID-19</w:t>
            </w:r>
            <w:r>
              <w:rPr>
                <w:rFonts w:ascii="Times New Roman" w:eastAsia="Times New Roman" w:hAnsi="Times New Roman"/>
              </w:rPr>
              <w:t>.</w:t>
            </w:r>
          </w:p>
          <w:p w:rsidR="00B11DEC" w:rsidRDefault="00B11DEC" w:rsidP="00C57242">
            <w:pPr>
              <w:pStyle w:val="Akapitzlist"/>
              <w:numPr>
                <w:ilvl w:val="0"/>
                <w:numId w:val="18"/>
              </w:numPr>
              <w:spacing w:after="120" w:line="240" w:lineRule="auto"/>
              <w:rPr>
                <w:rFonts w:ascii="Times New Roman" w:hAnsi="Times New Roman"/>
                <w:b/>
              </w:rPr>
            </w:pPr>
            <w:r>
              <w:rPr>
                <w:rFonts w:ascii="Times New Roman" w:hAnsi="Times New Roman"/>
                <w:b/>
              </w:rPr>
              <w:t>Pakiet osłonowy dla samorządów (</w:t>
            </w:r>
            <w:r w:rsidRPr="00A00763">
              <w:rPr>
                <w:rFonts w:ascii="Times New Roman" w:hAnsi="Times New Roman"/>
                <w:b/>
              </w:rPr>
              <w:t>Tarcza samorządowa</w:t>
            </w:r>
            <w:r>
              <w:rPr>
                <w:rFonts w:ascii="Times New Roman" w:hAnsi="Times New Roman"/>
                <w:b/>
              </w:rPr>
              <w:t>)</w:t>
            </w:r>
          </w:p>
          <w:p w:rsidR="00DE72D8" w:rsidRDefault="00DE72D8" w:rsidP="002B5EDE">
            <w:pPr>
              <w:spacing w:after="120" w:line="240" w:lineRule="auto"/>
              <w:jc w:val="both"/>
              <w:rPr>
                <w:rFonts w:ascii="Times New Roman" w:hAnsi="Times New Roman"/>
                <w:color w:val="000000"/>
                <w:spacing w:val="-2"/>
              </w:rPr>
            </w:pPr>
            <w:r>
              <w:rPr>
                <w:rFonts w:ascii="Times New Roman" w:hAnsi="Times New Roman"/>
                <w:color w:val="000000"/>
                <w:spacing w:val="-2"/>
              </w:rPr>
              <w:t>Obecnie nie ma dostępu do szczególnych rozwiązań, jakie kraje U</w:t>
            </w:r>
            <w:r w:rsidR="002B5EDE">
              <w:rPr>
                <w:rFonts w:ascii="Times New Roman" w:hAnsi="Times New Roman"/>
                <w:color w:val="000000"/>
                <w:spacing w:val="-2"/>
              </w:rPr>
              <w:t>E</w:t>
            </w:r>
            <w:r>
              <w:rPr>
                <w:rFonts w:ascii="Times New Roman" w:hAnsi="Times New Roman"/>
                <w:color w:val="000000"/>
                <w:spacing w:val="-2"/>
              </w:rPr>
              <w:t xml:space="preserve"> lub OECD wprowadzałyby do swoich porządków prawnych w celu usprawnienia procesu inwestycyjnego.</w:t>
            </w:r>
          </w:p>
          <w:p w:rsidR="00DE72D8" w:rsidRDefault="00DE72D8" w:rsidP="00DE72D8">
            <w:pPr>
              <w:spacing w:line="240" w:lineRule="auto"/>
              <w:jc w:val="both"/>
              <w:rPr>
                <w:rFonts w:ascii="Times New Roman" w:hAnsi="Times New Roman"/>
                <w:color w:val="000000"/>
                <w:spacing w:val="-2"/>
              </w:rPr>
            </w:pPr>
            <w:r>
              <w:rPr>
                <w:rFonts w:ascii="Times New Roman" w:hAnsi="Times New Roman"/>
                <w:color w:val="000000"/>
                <w:spacing w:val="-2"/>
              </w:rPr>
              <w:t xml:space="preserve">W styczniu 2020 r. Organizacja Narodów Zjednoczonych wydała przegląd trendów jakościowych związanych z e-administracją. E-administrację </w:t>
            </w:r>
            <w:r w:rsidRPr="0053515B">
              <w:rPr>
                <w:rFonts w:ascii="Times New Roman" w:hAnsi="Times New Roman"/>
                <w:color w:val="000000"/>
                <w:spacing w:val="-2"/>
              </w:rPr>
              <w:t>można zdefiniować jako imperatyw dla rządów, aby dotrzeć do wszystkich obywateli. Od początku e-administracji istniała obawa, że technologie cyfrowe nie docierają do niektórych grup ludności, a usługi cyfrowe nie są jednakowo przyjazne dla wszystkich grup w populacji. Obawy związane z przepaścią cyfrową opartą na dostępności infrastruktury IT (na przykład dostęp do Internetu lub mobilny) ustąpiły miejsca koncepcji wielu podziałów, która obejmuje zarówno kwestie związane z dostępnością i dostępem, jak i kwestie zróżnicowanej umiejętności cyfrowych i umiejętności (patrz poniżej). Czasami określa się to mianem „e-integracji”. Chociaż obawy te są ważne przy ocenie powodzenia inicjatyw e-uczestnictwa, dotyczą one odrębnej koncepcji i nie będą głównym przedmiotem niniejszego dokumentu.</w:t>
            </w:r>
          </w:p>
          <w:p w:rsidR="00DE72D8" w:rsidRDefault="00DE72D8" w:rsidP="00DE72D8">
            <w:pPr>
              <w:spacing w:line="240" w:lineRule="auto"/>
              <w:jc w:val="both"/>
              <w:rPr>
                <w:rFonts w:ascii="Times New Roman" w:hAnsi="Times New Roman"/>
                <w:color w:val="000000"/>
                <w:spacing w:val="-2"/>
              </w:rPr>
            </w:pPr>
          </w:p>
          <w:p w:rsidR="00DE72D8" w:rsidRDefault="00DE72D8" w:rsidP="002B5EDE">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zakresie rozwiązań partycypacji społecznej podczas stanowienia prawa miejscowego należy wskazać na zróżnicowany poziom elektronizacji procesu inwestycyjnego w różnych krajach </w:t>
            </w:r>
            <w:r w:rsidR="002B5EDE">
              <w:rPr>
                <w:rFonts w:ascii="Times New Roman" w:hAnsi="Times New Roman"/>
                <w:color w:val="000000"/>
                <w:spacing w:val="-2"/>
              </w:rPr>
              <w:t>UE i OECD</w:t>
            </w:r>
            <w:r>
              <w:rPr>
                <w:rFonts w:ascii="Times New Roman" w:hAnsi="Times New Roman"/>
                <w:color w:val="000000"/>
                <w:spacing w:val="-2"/>
              </w:rPr>
              <w:t xml:space="preserve">. </w:t>
            </w:r>
          </w:p>
          <w:p w:rsidR="002B5EDE" w:rsidRPr="002B5EDE" w:rsidRDefault="002B5EDE" w:rsidP="002B5EDE">
            <w:pPr>
              <w:spacing w:line="240" w:lineRule="auto"/>
              <w:jc w:val="both"/>
              <w:rPr>
                <w:rFonts w:ascii="Times New Roman" w:hAnsi="Times New Roman"/>
                <w:color w:val="000000"/>
                <w:spacing w:val="-2"/>
                <w:u w:val="single"/>
              </w:rPr>
            </w:pPr>
            <w:r w:rsidRPr="002B5EDE">
              <w:rPr>
                <w:rFonts w:ascii="Times New Roman" w:hAnsi="Times New Roman"/>
                <w:color w:val="000000"/>
                <w:spacing w:val="-2"/>
                <w:u w:val="single"/>
              </w:rPr>
              <w:t>Francja</w:t>
            </w:r>
          </w:p>
          <w:p w:rsidR="00DE72D8" w:rsidRDefault="00DE72D8" w:rsidP="002B5EDE">
            <w:pPr>
              <w:spacing w:after="120" w:line="240" w:lineRule="auto"/>
              <w:jc w:val="both"/>
              <w:rPr>
                <w:rFonts w:ascii="Times New Roman" w:hAnsi="Times New Roman"/>
                <w:color w:val="000000"/>
                <w:spacing w:val="-2"/>
              </w:rPr>
            </w:pPr>
            <w:r>
              <w:rPr>
                <w:rFonts w:ascii="Times New Roman" w:hAnsi="Times New Roman"/>
                <w:color w:val="000000"/>
                <w:spacing w:val="-2"/>
              </w:rPr>
              <w:t xml:space="preserve">We Francji </w:t>
            </w:r>
            <w:proofErr w:type="spellStart"/>
            <w:r w:rsidRPr="00745C27">
              <w:rPr>
                <w:rFonts w:ascii="Times New Roman" w:hAnsi="Times New Roman"/>
                <w:i/>
                <w:color w:val="000000"/>
                <w:spacing w:val="-2"/>
              </w:rPr>
              <w:t>code</w:t>
            </w:r>
            <w:proofErr w:type="spellEnd"/>
            <w:r w:rsidRPr="00745C27">
              <w:rPr>
                <w:rFonts w:ascii="Times New Roman" w:hAnsi="Times New Roman"/>
                <w:i/>
                <w:color w:val="000000"/>
                <w:spacing w:val="-2"/>
              </w:rPr>
              <w:t xml:space="preserve"> de </w:t>
            </w:r>
            <w:proofErr w:type="spellStart"/>
            <w:r w:rsidRPr="00745C27">
              <w:rPr>
                <w:rFonts w:ascii="Times New Roman" w:hAnsi="Times New Roman"/>
                <w:i/>
                <w:color w:val="000000"/>
                <w:spacing w:val="-2"/>
              </w:rPr>
              <w:t>l’urbanisme</w:t>
            </w:r>
            <w:proofErr w:type="spellEnd"/>
            <w:r>
              <w:rPr>
                <w:rFonts w:ascii="Times New Roman" w:hAnsi="Times New Roman"/>
                <w:color w:val="000000"/>
                <w:spacing w:val="-2"/>
              </w:rPr>
              <w:t xml:space="preserve"> dość ogólnie opisuje partycypacj</w:t>
            </w:r>
            <w:r w:rsidR="004D4B2C">
              <w:rPr>
                <w:rFonts w:ascii="Times New Roman" w:hAnsi="Times New Roman"/>
                <w:color w:val="000000"/>
                <w:spacing w:val="-2"/>
              </w:rPr>
              <w:t>ę</w:t>
            </w:r>
            <w:r>
              <w:rPr>
                <w:rFonts w:ascii="Times New Roman" w:hAnsi="Times New Roman"/>
                <w:color w:val="000000"/>
                <w:spacing w:val="-2"/>
              </w:rPr>
              <w:t xml:space="preserve"> społeczną oraz uzgodnienia z wymaganymi urzędami. Duże znaczenie ma praktyka. </w:t>
            </w:r>
            <w:r w:rsidRPr="00E610AF">
              <w:rPr>
                <w:rFonts w:ascii="Times New Roman" w:hAnsi="Times New Roman"/>
                <w:color w:val="000000"/>
                <w:spacing w:val="-2"/>
              </w:rPr>
              <w:t xml:space="preserve">Od 1 stycznia 2020 r. </w:t>
            </w:r>
            <w:r w:rsidR="004D4B2C">
              <w:rPr>
                <w:rFonts w:ascii="Times New Roman" w:hAnsi="Times New Roman"/>
                <w:color w:val="000000"/>
                <w:spacing w:val="-2"/>
              </w:rPr>
              <w:t>k</w:t>
            </w:r>
            <w:r w:rsidRPr="00E610AF">
              <w:rPr>
                <w:rFonts w:ascii="Times New Roman" w:hAnsi="Times New Roman"/>
                <w:color w:val="000000"/>
                <w:spacing w:val="-2"/>
              </w:rPr>
              <w:t xml:space="preserve">ażda nowa wersja dokumentów urbanistycznych musi być publikowana w </w:t>
            </w:r>
            <w:proofErr w:type="spellStart"/>
            <w:r w:rsidRPr="00E610AF">
              <w:rPr>
                <w:rFonts w:ascii="Times New Roman" w:hAnsi="Times New Roman"/>
                <w:color w:val="000000"/>
                <w:spacing w:val="-2"/>
              </w:rPr>
              <w:t>Geoportalu</w:t>
            </w:r>
            <w:proofErr w:type="spellEnd"/>
            <w:r w:rsidRPr="00E610AF">
              <w:rPr>
                <w:rFonts w:ascii="Times New Roman" w:hAnsi="Times New Roman"/>
                <w:color w:val="000000"/>
                <w:spacing w:val="-2"/>
              </w:rPr>
              <w:t xml:space="preserve"> urbanistycznym</w:t>
            </w:r>
            <w:r>
              <w:rPr>
                <w:rFonts w:ascii="Times New Roman" w:hAnsi="Times New Roman"/>
                <w:color w:val="000000"/>
                <w:spacing w:val="-2"/>
              </w:rPr>
              <w:t xml:space="preserve"> (</w:t>
            </w:r>
            <w:hyperlink r:id="rId9" w:history="1">
              <w:r w:rsidRPr="00BE7A4F">
                <w:rPr>
                  <w:rStyle w:val="Hipercze"/>
                  <w:rFonts w:ascii="Times New Roman" w:hAnsi="Times New Roman"/>
                  <w:spacing w:val="-2"/>
                </w:rPr>
                <w:t>https://www.geoportail-urbanisme.gouv.fr/</w:t>
              </w:r>
            </w:hyperlink>
            <w:r>
              <w:rPr>
                <w:rFonts w:ascii="Times New Roman" w:hAnsi="Times New Roman"/>
                <w:color w:val="000000"/>
                <w:spacing w:val="-2"/>
              </w:rPr>
              <w:t xml:space="preserve">), jednak do tej pory opublikowane zostało ok. </w:t>
            </w:r>
            <w:r w:rsidRPr="00E610AF">
              <w:rPr>
                <w:rFonts w:ascii="Times New Roman" w:hAnsi="Times New Roman"/>
                <w:color w:val="000000"/>
                <w:spacing w:val="-2"/>
              </w:rPr>
              <w:t xml:space="preserve">40% dokumentów urbanistycznych obowiązujących </w:t>
            </w:r>
            <w:r>
              <w:rPr>
                <w:rFonts w:ascii="Times New Roman" w:hAnsi="Times New Roman"/>
                <w:color w:val="000000"/>
                <w:spacing w:val="-2"/>
              </w:rPr>
              <w:t xml:space="preserve">w kraju. Poza tym nie ma szczegółowych regulacji związanych z e-partycypacją społeczną. </w:t>
            </w:r>
          </w:p>
          <w:p w:rsidR="002B5EDE" w:rsidRPr="002B5EDE" w:rsidRDefault="002B5EDE" w:rsidP="00DE72D8">
            <w:pPr>
              <w:spacing w:line="240" w:lineRule="auto"/>
              <w:jc w:val="both"/>
              <w:rPr>
                <w:rFonts w:ascii="Times New Roman" w:hAnsi="Times New Roman"/>
                <w:color w:val="000000"/>
                <w:spacing w:val="-2"/>
                <w:u w:val="single"/>
              </w:rPr>
            </w:pPr>
            <w:r w:rsidRPr="002B5EDE">
              <w:rPr>
                <w:rFonts w:ascii="Times New Roman" w:hAnsi="Times New Roman"/>
                <w:color w:val="000000"/>
                <w:spacing w:val="-2"/>
                <w:u w:val="single"/>
              </w:rPr>
              <w:t>Wielka Brytania</w:t>
            </w:r>
          </w:p>
          <w:p w:rsidR="00DE72D8" w:rsidRDefault="00DE72D8" w:rsidP="00DE72D8">
            <w:pPr>
              <w:spacing w:line="240" w:lineRule="auto"/>
              <w:jc w:val="both"/>
              <w:rPr>
                <w:rFonts w:ascii="Times New Roman" w:hAnsi="Times New Roman"/>
                <w:color w:val="000000"/>
                <w:spacing w:val="-2"/>
              </w:rPr>
            </w:pPr>
            <w:r>
              <w:rPr>
                <w:rFonts w:ascii="Times New Roman" w:hAnsi="Times New Roman"/>
                <w:color w:val="000000"/>
                <w:spacing w:val="-2"/>
              </w:rPr>
              <w:t>W Wielkiej Brytanii udział w konsultacja</w:t>
            </w:r>
            <w:r w:rsidR="004D4B2C">
              <w:rPr>
                <w:rFonts w:ascii="Times New Roman" w:hAnsi="Times New Roman"/>
                <w:color w:val="000000"/>
                <w:spacing w:val="-2"/>
              </w:rPr>
              <w:t>ch</w:t>
            </w:r>
            <w:r>
              <w:rPr>
                <w:rFonts w:ascii="Times New Roman" w:hAnsi="Times New Roman"/>
                <w:color w:val="000000"/>
                <w:spacing w:val="-2"/>
              </w:rPr>
              <w:t xml:space="preserve"> społecznych </w:t>
            </w:r>
            <w:r w:rsidR="00A60234">
              <w:rPr>
                <w:rFonts w:ascii="Times New Roman" w:hAnsi="Times New Roman"/>
                <w:color w:val="000000"/>
                <w:spacing w:val="-2"/>
              </w:rPr>
              <w:t xml:space="preserve">ze stroną samorządową </w:t>
            </w:r>
            <w:r>
              <w:rPr>
                <w:rFonts w:ascii="Times New Roman" w:hAnsi="Times New Roman"/>
                <w:color w:val="000000"/>
                <w:spacing w:val="-2"/>
              </w:rPr>
              <w:t xml:space="preserve">za pomocą mediów elektronicznych jest codzienną praktyką, jednak stanowi to uzupełnienie praktyki tradycyjnej. Przykładem może być składanie wniosków do planu za pomocą formularza internetowego, który jest dostępny na stronie samorządu. </w:t>
            </w:r>
          </w:p>
          <w:p w:rsidR="00DE72D8" w:rsidRDefault="00DE72D8" w:rsidP="00DE72D8">
            <w:pPr>
              <w:spacing w:line="240" w:lineRule="auto"/>
              <w:jc w:val="both"/>
              <w:rPr>
                <w:rFonts w:ascii="Times New Roman" w:hAnsi="Times New Roman"/>
                <w:color w:val="000000"/>
                <w:spacing w:val="-2"/>
              </w:rPr>
            </w:pPr>
            <w:r>
              <w:rPr>
                <w:rFonts w:ascii="Times New Roman" w:hAnsi="Times New Roman"/>
                <w:color w:val="000000"/>
                <w:spacing w:val="-2"/>
              </w:rPr>
              <w:t>W związku z epidemią COVID-19 miasta brytyjskie informują mieszkańców o utrudnieniach oraz zmianach proceduralnych takich jak:</w:t>
            </w:r>
          </w:p>
          <w:p w:rsidR="00DE72D8" w:rsidRPr="004A5F92" w:rsidRDefault="00DE72D8" w:rsidP="003F76CD">
            <w:pPr>
              <w:pStyle w:val="Akapitzlist"/>
              <w:numPr>
                <w:ilvl w:val="0"/>
                <w:numId w:val="45"/>
              </w:numPr>
              <w:suppressAutoHyphens/>
              <w:spacing w:line="240" w:lineRule="auto"/>
              <w:jc w:val="both"/>
              <w:rPr>
                <w:rFonts w:ascii="Times New Roman" w:hAnsi="Times New Roman"/>
                <w:color w:val="000000"/>
                <w:spacing w:val="-2"/>
              </w:rPr>
            </w:pPr>
            <w:r w:rsidRPr="004A5F92">
              <w:rPr>
                <w:rFonts w:ascii="Times New Roman" w:hAnsi="Times New Roman"/>
                <w:color w:val="000000"/>
                <w:spacing w:val="-2"/>
              </w:rPr>
              <w:t>zniesienie obowiązku fizycznej publikacji dokumentów,</w:t>
            </w:r>
          </w:p>
          <w:p w:rsidR="00DE72D8" w:rsidRPr="004A5F92" w:rsidRDefault="00DE72D8" w:rsidP="003F76CD">
            <w:pPr>
              <w:pStyle w:val="Akapitzlist"/>
              <w:numPr>
                <w:ilvl w:val="0"/>
                <w:numId w:val="45"/>
              </w:numPr>
              <w:suppressAutoHyphens/>
              <w:spacing w:line="240" w:lineRule="auto"/>
              <w:jc w:val="both"/>
              <w:rPr>
                <w:rFonts w:ascii="Times New Roman" w:hAnsi="Times New Roman"/>
                <w:color w:val="000000"/>
                <w:spacing w:val="-2"/>
              </w:rPr>
            </w:pPr>
            <w:r w:rsidRPr="004A5F92">
              <w:rPr>
                <w:rFonts w:ascii="Times New Roman" w:hAnsi="Times New Roman"/>
                <w:color w:val="000000"/>
                <w:spacing w:val="-2"/>
              </w:rPr>
              <w:t xml:space="preserve">wymóg co najmniej jednego wydarzenia publicznego w ramach konsultacji </w:t>
            </w:r>
            <w:proofErr w:type="spellStart"/>
            <w:r w:rsidRPr="004A5F92">
              <w:rPr>
                <w:rFonts w:ascii="Times New Roman" w:hAnsi="Times New Roman"/>
                <w:color w:val="000000"/>
                <w:spacing w:val="-2"/>
              </w:rPr>
              <w:t>przedaplikacyjnych</w:t>
            </w:r>
            <w:proofErr w:type="spellEnd"/>
            <w:r w:rsidRPr="004A5F92">
              <w:rPr>
                <w:rFonts w:ascii="Times New Roman" w:hAnsi="Times New Roman"/>
                <w:color w:val="000000"/>
                <w:spacing w:val="-2"/>
              </w:rPr>
              <w:t xml:space="preserve"> dotyczących głównych i krajowych wydarzeń może zostać tymczasowo zawieszony, </w:t>
            </w:r>
          </w:p>
          <w:p w:rsidR="00DE72D8" w:rsidRPr="004A5F92" w:rsidRDefault="00DE72D8" w:rsidP="003F76CD">
            <w:pPr>
              <w:pStyle w:val="Akapitzlist"/>
              <w:numPr>
                <w:ilvl w:val="0"/>
                <w:numId w:val="45"/>
              </w:numPr>
              <w:suppressAutoHyphens/>
              <w:spacing w:line="240" w:lineRule="auto"/>
              <w:jc w:val="both"/>
              <w:rPr>
                <w:rFonts w:ascii="Times New Roman" w:hAnsi="Times New Roman"/>
                <w:color w:val="000000"/>
                <w:spacing w:val="-2"/>
              </w:rPr>
            </w:pPr>
            <w:r w:rsidRPr="004A5F92">
              <w:rPr>
                <w:rFonts w:ascii="Times New Roman" w:hAnsi="Times New Roman"/>
                <w:color w:val="000000"/>
                <w:spacing w:val="-2"/>
              </w:rPr>
              <w:t xml:space="preserve">istniejące aplikacje, w przypadku których powiadomienie o sąsiedztwie zakończyło się w określonym czasie, będzie kontynuowane w celu ustalenia, gdzie jest to możliwe, aplikacje, w przypadku których powiadomienie dzielnicy kończy się po określonym czasie, nie mogą zostać wykonane do odwołania. Wynika to z faktu, że listy nie mogą zostać wysłane ze względu na zamknięcie biur. Strony nie mają szansy zapoznać się z procedowanymi planami i decyzjami. Nieuwzględnienie otrzymanych oświadczeń spowodowałoby, że decyzja w sprawie planowania byłaby nieuzasadniona z prawnego punktu widzenia, a zatem mogłaby zostać zaskarżona. </w:t>
            </w:r>
          </w:p>
          <w:p w:rsidR="00DE72D8" w:rsidRDefault="00DE72D8" w:rsidP="002B5EDE">
            <w:pPr>
              <w:spacing w:after="120" w:line="240" w:lineRule="auto"/>
              <w:jc w:val="both"/>
              <w:rPr>
                <w:rFonts w:ascii="Times New Roman" w:hAnsi="Times New Roman"/>
                <w:color w:val="000000"/>
                <w:spacing w:val="-2"/>
              </w:rPr>
            </w:pPr>
            <w:r>
              <w:rPr>
                <w:rFonts w:ascii="Times New Roman" w:hAnsi="Times New Roman"/>
                <w:color w:val="000000"/>
                <w:spacing w:val="-2"/>
              </w:rPr>
              <w:t xml:space="preserve">Należy przez to rozumieć, że na czas epidemii sprawy związane z procedowaniem postępowań administracyjnych związanych z przygotowaniem podstaw formalnych do realizacji inwestycji jest zawieszone. </w:t>
            </w:r>
          </w:p>
          <w:p w:rsidR="002B5EDE" w:rsidRPr="002B5EDE" w:rsidRDefault="002B5EDE" w:rsidP="002B5EDE">
            <w:pPr>
              <w:spacing w:line="240" w:lineRule="auto"/>
              <w:jc w:val="both"/>
              <w:rPr>
                <w:rFonts w:ascii="Times New Roman" w:hAnsi="Times New Roman"/>
                <w:color w:val="000000"/>
                <w:spacing w:val="-2"/>
                <w:u w:val="single"/>
              </w:rPr>
            </w:pPr>
            <w:r w:rsidRPr="002B5EDE">
              <w:rPr>
                <w:rFonts w:ascii="Times New Roman" w:hAnsi="Times New Roman"/>
                <w:color w:val="000000"/>
                <w:spacing w:val="-2"/>
                <w:u w:val="single"/>
              </w:rPr>
              <w:t>Irlandia</w:t>
            </w:r>
          </w:p>
          <w:p w:rsidR="00DE72D8" w:rsidRDefault="00DE72D8" w:rsidP="002B5EDE">
            <w:pPr>
              <w:spacing w:after="120" w:line="240" w:lineRule="auto"/>
              <w:jc w:val="both"/>
              <w:rPr>
                <w:rFonts w:ascii="Times New Roman" w:hAnsi="Times New Roman"/>
                <w:color w:val="000000"/>
                <w:spacing w:val="-2"/>
              </w:rPr>
            </w:pPr>
            <w:r>
              <w:rPr>
                <w:rFonts w:ascii="Times New Roman" w:hAnsi="Times New Roman"/>
                <w:color w:val="000000"/>
                <w:spacing w:val="-2"/>
              </w:rPr>
              <w:t>W Irlandii sprawy procedowane są podobnie jak w Wielkiej Brytanii. Na podstawie s</w:t>
            </w:r>
            <w:r w:rsidRPr="006F7158">
              <w:rPr>
                <w:rFonts w:ascii="Times New Roman" w:hAnsi="Times New Roman"/>
                <w:color w:val="000000"/>
                <w:spacing w:val="-2"/>
              </w:rPr>
              <w:t>ekcj</w:t>
            </w:r>
            <w:r>
              <w:rPr>
                <w:rFonts w:ascii="Times New Roman" w:hAnsi="Times New Roman"/>
                <w:color w:val="000000"/>
                <w:spacing w:val="-2"/>
              </w:rPr>
              <w:t>i</w:t>
            </w:r>
            <w:r w:rsidRPr="006F7158">
              <w:rPr>
                <w:rFonts w:ascii="Times New Roman" w:hAnsi="Times New Roman"/>
                <w:color w:val="000000"/>
                <w:spacing w:val="-2"/>
              </w:rPr>
              <w:t xml:space="preserve"> 251A ustawy o planowaniu i rozwoju z 2000 r., która w procesie planowania przewiduje, że okres od 29 marca 2020 r. </w:t>
            </w:r>
            <w:r w:rsidR="004D4B2C">
              <w:rPr>
                <w:rFonts w:ascii="Times New Roman" w:hAnsi="Times New Roman"/>
                <w:color w:val="000000"/>
                <w:spacing w:val="-2"/>
              </w:rPr>
              <w:t>d</w:t>
            </w:r>
            <w:r w:rsidRPr="006F7158">
              <w:rPr>
                <w:rFonts w:ascii="Times New Roman" w:hAnsi="Times New Roman"/>
                <w:color w:val="000000"/>
                <w:spacing w:val="-2"/>
              </w:rPr>
              <w:t xml:space="preserve">o 20 kwietnia 2020 r. </w:t>
            </w:r>
            <w:r>
              <w:rPr>
                <w:rFonts w:ascii="Times New Roman" w:hAnsi="Times New Roman"/>
                <w:color w:val="000000"/>
                <w:spacing w:val="-2"/>
              </w:rPr>
              <w:t>w</w:t>
            </w:r>
            <w:r w:rsidRPr="006F7158">
              <w:rPr>
                <w:rFonts w:ascii="Times New Roman" w:hAnsi="Times New Roman"/>
                <w:color w:val="000000"/>
                <w:spacing w:val="-2"/>
              </w:rPr>
              <w:t>łącznie może zostać pominięty przy obliczaniu jakichkolwiek określonych ustawowych terminów w ustawach planistycznych i powiązane przepisy.</w:t>
            </w:r>
          </w:p>
          <w:p w:rsidR="00DE72D8" w:rsidRDefault="00DE72D8" w:rsidP="00E67654">
            <w:pPr>
              <w:spacing w:after="120" w:line="240" w:lineRule="auto"/>
              <w:jc w:val="both"/>
              <w:rPr>
                <w:rFonts w:ascii="Times New Roman" w:hAnsi="Times New Roman"/>
                <w:color w:val="000000"/>
                <w:spacing w:val="-2"/>
              </w:rPr>
            </w:pPr>
            <w:r>
              <w:rPr>
                <w:rFonts w:ascii="Times New Roman" w:hAnsi="Times New Roman"/>
                <w:color w:val="000000"/>
                <w:spacing w:val="-2"/>
              </w:rPr>
              <w:t>Miasto Dublin opublikowało, że w związku z COVID-19 sprawy, które zostały przekazane do 11 marca 2020</w:t>
            </w:r>
            <w:r w:rsidR="004D4B2C">
              <w:rPr>
                <w:rFonts w:ascii="Times New Roman" w:hAnsi="Times New Roman"/>
                <w:color w:val="000000"/>
                <w:spacing w:val="-2"/>
              </w:rPr>
              <w:t xml:space="preserve"> </w:t>
            </w:r>
            <w:r>
              <w:rPr>
                <w:rFonts w:ascii="Times New Roman" w:hAnsi="Times New Roman"/>
                <w:color w:val="000000"/>
                <w:spacing w:val="-2"/>
              </w:rPr>
              <w:t>r. są publikowane na stronie miasta. Wnioski otrzymane od 12 do 29 marca 2020 r. są tylko streszczone i ich publikacja zostaje odłożona do czasu, gdy można je zeskanować i opublikować. Wnioski złożone po 29 marca 2020</w:t>
            </w:r>
            <w:r w:rsidR="004D4B2C">
              <w:rPr>
                <w:rFonts w:ascii="Times New Roman" w:hAnsi="Times New Roman"/>
                <w:color w:val="000000"/>
                <w:spacing w:val="-2"/>
              </w:rPr>
              <w:t xml:space="preserve"> </w:t>
            </w:r>
            <w:r>
              <w:rPr>
                <w:rFonts w:ascii="Times New Roman" w:hAnsi="Times New Roman"/>
                <w:color w:val="000000"/>
                <w:spacing w:val="-2"/>
              </w:rPr>
              <w:t>r. zostają zachowane i będą procedowane w kolejności chronologiczne</w:t>
            </w:r>
            <w:r w:rsidR="002B5EDE">
              <w:rPr>
                <w:rFonts w:ascii="Times New Roman" w:hAnsi="Times New Roman"/>
                <w:color w:val="000000"/>
                <w:spacing w:val="-2"/>
              </w:rPr>
              <w:t>j wpływu po ustaniu zagrożenia.</w:t>
            </w:r>
          </w:p>
          <w:p w:rsidR="00C57242" w:rsidRDefault="00C57242" w:rsidP="00C57242">
            <w:pPr>
              <w:pStyle w:val="Akapitzlist"/>
              <w:numPr>
                <w:ilvl w:val="0"/>
                <w:numId w:val="18"/>
              </w:numPr>
              <w:spacing w:after="120" w:line="240" w:lineRule="auto"/>
              <w:rPr>
                <w:rFonts w:ascii="Times New Roman" w:hAnsi="Times New Roman"/>
                <w:b/>
              </w:rPr>
            </w:pPr>
            <w:r>
              <w:rPr>
                <w:rFonts w:ascii="Times New Roman" w:hAnsi="Times New Roman"/>
                <w:b/>
              </w:rPr>
              <w:t>Ochrona przed przejęciem spółek przez podmioty spoza UE</w:t>
            </w:r>
            <w:r w:rsidR="00A127B8">
              <w:rPr>
                <w:rFonts w:ascii="Times New Roman" w:hAnsi="Times New Roman"/>
                <w:b/>
              </w:rPr>
              <w:t>/EOG</w:t>
            </w:r>
            <w:r w:rsidR="001A03F1">
              <w:rPr>
                <w:rStyle w:val="Odwoanieprzypisudolnego"/>
                <w:rFonts w:ascii="Times New Roman" w:hAnsi="Times New Roman"/>
                <w:b/>
              </w:rPr>
              <w:footnoteReference w:id="4"/>
            </w:r>
          </w:p>
          <w:p w:rsidR="00C57242" w:rsidRPr="003F76CD" w:rsidRDefault="00C57242" w:rsidP="003F76CD">
            <w:pPr>
              <w:spacing w:after="120" w:line="240" w:lineRule="auto"/>
              <w:jc w:val="both"/>
              <w:rPr>
                <w:rFonts w:ascii="Times New Roman" w:hAnsi="Times New Roman"/>
                <w:u w:val="single"/>
              </w:rPr>
            </w:pPr>
            <w:r w:rsidRPr="003F76CD">
              <w:rPr>
                <w:rFonts w:ascii="Times New Roman" w:hAnsi="Times New Roman"/>
                <w:u w:val="single"/>
              </w:rPr>
              <w:t>Niemcy</w:t>
            </w:r>
          </w:p>
          <w:p w:rsidR="00C57242" w:rsidRPr="003F76CD" w:rsidRDefault="00C57242" w:rsidP="003F76CD">
            <w:pPr>
              <w:spacing w:after="120" w:line="240" w:lineRule="auto"/>
              <w:jc w:val="both"/>
              <w:rPr>
                <w:rFonts w:ascii="Times New Roman" w:hAnsi="Times New Roman"/>
              </w:rPr>
            </w:pPr>
            <w:r w:rsidRPr="003F76CD">
              <w:rPr>
                <w:rFonts w:ascii="Times New Roman" w:hAnsi="Times New Roman"/>
              </w:rPr>
              <w:t>8 kwietnia 2020 r. niemiecki rząd przyjął projekt nowelizacji ustawy o stosunkach gospodarczych z zagranicą (</w:t>
            </w:r>
            <w:proofErr w:type="spellStart"/>
            <w:r w:rsidRPr="003F76CD">
              <w:rPr>
                <w:rFonts w:ascii="Times New Roman" w:hAnsi="Times New Roman"/>
              </w:rPr>
              <w:t>Aussenwirtschafstgesetz</w:t>
            </w:r>
            <w:proofErr w:type="spellEnd"/>
            <w:r w:rsidRPr="003F76CD">
              <w:rPr>
                <w:rFonts w:ascii="Times New Roman" w:hAnsi="Times New Roman"/>
              </w:rPr>
              <w:t xml:space="preserve"> – AWG). Głównym z</w:t>
            </w:r>
            <w:r w:rsidR="003F76CD">
              <w:rPr>
                <w:rFonts w:ascii="Times New Roman" w:hAnsi="Times New Roman"/>
              </w:rPr>
              <w:t>a</w:t>
            </w:r>
            <w:r w:rsidRPr="003F76CD">
              <w:rPr>
                <w:rFonts w:ascii="Times New Roman" w:hAnsi="Times New Roman"/>
              </w:rPr>
              <w:t>łożeniem nowelizacji jest zapewnienie ochrony niemieckim przedsiębiorstwom przed ewentualnym przejęciem przez podmioty zagraniczne. Nowelizacja umożliwia zablokowanie transakcji istotnych dla porządku publicznego do momentu aż zostanie dokonana weryfikacja, czy dana transakcja nie stanowi zagrożenia. Dotychczas rząd mógł zablokować przejęcie przedsiębiorstwa, gdy obawa prze</w:t>
            </w:r>
            <w:r w:rsidR="003F76CD">
              <w:rPr>
                <w:rFonts w:ascii="Times New Roman" w:hAnsi="Times New Roman"/>
              </w:rPr>
              <w:t>d</w:t>
            </w:r>
            <w:r w:rsidRPr="003F76CD">
              <w:rPr>
                <w:rFonts w:ascii="Times New Roman" w:hAnsi="Times New Roman"/>
              </w:rPr>
              <w:t xml:space="preserve"> przejęciem miała charakter rzeczywisty. Po nowelizacji takie działanie będzie mogło być podjęte także gdy niebezpieczeństwo ma charakter spodziewany. Ponadto przy wydawaniu zezwolenia na przejęcie będzie brane pod uwagę bezpieczeństwo partnerów z UE. </w:t>
            </w:r>
          </w:p>
          <w:p w:rsidR="00C57242" w:rsidRDefault="00C57242" w:rsidP="003F76CD">
            <w:pPr>
              <w:spacing w:after="120" w:line="240" w:lineRule="auto"/>
              <w:jc w:val="both"/>
              <w:rPr>
                <w:rFonts w:ascii="Times New Roman" w:hAnsi="Times New Roman"/>
              </w:rPr>
            </w:pPr>
            <w:r w:rsidRPr="003F76CD">
              <w:rPr>
                <w:rFonts w:ascii="Times New Roman" w:hAnsi="Times New Roman"/>
              </w:rPr>
              <w:t xml:space="preserve">Zapowiedziana została także zmiana rozporządzenia wykonawczego do ustawy o stosunkach gospodarczych z zagranicą. Stworzony zostanie katalog „technologii krytycznych”, które szczególnie warto chronić. Obecnie ministerstwo gospodarki Niemiec zakłada, że znajdą się tam: sztuczna inteligencja, robotyka, półprzewodniki, biotechnologia i technologia kwantowa. Nabywanie ponad 10 proc. udziałów w firmach z tych branż ma być zgłaszane. </w:t>
            </w:r>
          </w:p>
          <w:p w:rsidR="001A03F1" w:rsidRPr="008E02F3" w:rsidRDefault="001A03F1" w:rsidP="001A03F1">
            <w:pPr>
              <w:spacing w:after="120" w:line="240" w:lineRule="auto"/>
              <w:jc w:val="both"/>
              <w:rPr>
                <w:rFonts w:ascii="Times New Roman" w:hAnsi="Times New Roman"/>
                <w:u w:val="single"/>
              </w:rPr>
            </w:pPr>
            <w:r w:rsidRPr="008E02F3">
              <w:rPr>
                <w:rFonts w:ascii="Times New Roman" w:hAnsi="Times New Roman"/>
                <w:u w:val="single"/>
              </w:rPr>
              <w:t>Włochy</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 xml:space="preserve">8 kwietnia br. wszedł w życie Dekret z mocą ustawy nr 23 </w:t>
            </w:r>
            <w:r w:rsidRPr="008E02F3">
              <w:rPr>
                <w:rFonts w:ascii="Times New Roman" w:hAnsi="Times New Roman"/>
                <w:i/>
              </w:rPr>
              <w:t>Pilne środki w przedmiocie zapewnienia dostępu do kredytu i regulacji zobowiązań podatkowych przedsiębiorstw, specjalnych prerogatyw w sektorach strategicznych, działań na rzecz ochrony zdrowia i rynku pracy oraz przedłużenia terminów administracyjnych i proceduralnych</w:t>
            </w:r>
            <w:r w:rsidRPr="001A03F1">
              <w:rPr>
                <w:rFonts w:ascii="Times New Roman" w:hAnsi="Times New Roman"/>
              </w:rPr>
              <w:t>, znany jako „</w:t>
            </w:r>
            <w:proofErr w:type="spellStart"/>
            <w:r w:rsidRPr="001A03F1">
              <w:rPr>
                <w:rFonts w:ascii="Times New Roman" w:hAnsi="Times New Roman"/>
              </w:rPr>
              <w:t>Decreto</w:t>
            </w:r>
            <w:proofErr w:type="spellEnd"/>
            <w:r w:rsidRPr="001A03F1">
              <w:rPr>
                <w:rFonts w:ascii="Times New Roman" w:hAnsi="Times New Roman"/>
              </w:rPr>
              <w:t xml:space="preserve"> </w:t>
            </w:r>
            <w:proofErr w:type="spellStart"/>
            <w:r w:rsidRPr="001A03F1">
              <w:rPr>
                <w:rFonts w:ascii="Times New Roman" w:hAnsi="Times New Roman"/>
              </w:rPr>
              <w:t>liquidità</w:t>
            </w:r>
            <w:proofErr w:type="spellEnd"/>
            <w:r w:rsidRPr="001A03F1">
              <w:rPr>
                <w:rFonts w:ascii="Times New Roman" w:hAnsi="Times New Roman"/>
              </w:rPr>
              <w:t xml:space="preserve">”  („dekret płynnościowy”), drugi </w:t>
            </w:r>
            <w:proofErr w:type="spellStart"/>
            <w:r w:rsidRPr="001A03F1">
              <w:rPr>
                <w:rFonts w:ascii="Times New Roman" w:hAnsi="Times New Roman"/>
              </w:rPr>
              <w:t>superdekret</w:t>
            </w:r>
            <w:proofErr w:type="spellEnd"/>
            <w:r w:rsidRPr="001A03F1">
              <w:rPr>
                <w:rFonts w:ascii="Times New Roman" w:hAnsi="Times New Roman"/>
              </w:rPr>
              <w:t xml:space="preserve"> na rzecz walki ze skutkami kryzysu w związk</w:t>
            </w:r>
            <w:r>
              <w:rPr>
                <w:rFonts w:ascii="Times New Roman" w:hAnsi="Times New Roman"/>
              </w:rPr>
              <w:t>u z COVID-19 obok „</w:t>
            </w:r>
            <w:proofErr w:type="spellStart"/>
            <w:r>
              <w:rPr>
                <w:rFonts w:ascii="Times New Roman" w:hAnsi="Times New Roman"/>
              </w:rPr>
              <w:t>Cura</w:t>
            </w:r>
            <w:proofErr w:type="spellEnd"/>
            <w:r>
              <w:rPr>
                <w:rFonts w:ascii="Times New Roman" w:hAnsi="Times New Roman"/>
              </w:rPr>
              <w:t xml:space="preserve"> Italia”.</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Jednym z celów jest wzmocnienie specjalnych prerogatyw rządowych w odniesieniu do sektorów strategicznych i wymogów transparencji finansowej</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Zakres wprowadzanych rozwiązań</w:t>
            </w:r>
            <w:r>
              <w:rPr>
                <w:rFonts w:ascii="Times New Roman" w:hAnsi="Times New Roman"/>
              </w:rPr>
              <w:t>:</w:t>
            </w:r>
          </w:p>
          <w:p w:rsidR="001A03F1" w:rsidRPr="001A03F1"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 xml:space="preserve">Dekret w celu ochrony, osłabionych skutkami COVID-19, włoskich przedsiębiorstw przed wrogimi przejęciami ze strony kapitału zagranicznego poszerza tzw. </w:t>
            </w:r>
            <w:proofErr w:type="spellStart"/>
            <w:r w:rsidRPr="001A03F1">
              <w:rPr>
                <w:rFonts w:ascii="Times New Roman" w:hAnsi="Times New Roman"/>
              </w:rPr>
              <w:t>golden</w:t>
            </w:r>
            <w:proofErr w:type="spellEnd"/>
            <w:r w:rsidRPr="001A03F1">
              <w:rPr>
                <w:rFonts w:ascii="Times New Roman" w:hAnsi="Times New Roman"/>
              </w:rPr>
              <w:t xml:space="preserve"> </w:t>
            </w:r>
            <w:proofErr w:type="spellStart"/>
            <w:r w:rsidRPr="001A03F1">
              <w:rPr>
                <w:rFonts w:ascii="Times New Roman" w:hAnsi="Times New Roman"/>
              </w:rPr>
              <w:t>power</w:t>
            </w:r>
            <w:proofErr w:type="spellEnd"/>
            <w:r w:rsidRPr="001A03F1">
              <w:rPr>
                <w:rFonts w:ascii="Times New Roman" w:hAnsi="Times New Roman"/>
              </w:rPr>
              <w:t xml:space="preserve">, tj. specjalne uprawnienia rządu IT w zakresie nadzoru nad operacjami rynku w odniesieniu do sektorów strategicznych (prawo do sprzeciwu wobec planów zakupu udziałów, do zawetowania uchwał zgromadzenia akcjonariuszy, do obwarowania możliwości przeprowadzenia transakcji dodatkowymi wymogami i warunkami). Szersze zastosowanie znajdują również przewidziane prawnie wymogi transparencji. </w:t>
            </w:r>
          </w:p>
          <w:p w:rsidR="001A03F1" w:rsidRPr="001A03F1"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Katalog środków obejmuje:</w:t>
            </w:r>
          </w:p>
          <w:p w:rsidR="001A03F1" w:rsidRPr="001A03F1"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Antycypujące wydanie dekretu implementująceg</w:t>
            </w:r>
            <w:r>
              <w:rPr>
                <w:rFonts w:ascii="Times New Roman" w:hAnsi="Times New Roman"/>
              </w:rPr>
              <w:t>o</w:t>
            </w:r>
            <w:r w:rsidRPr="001A03F1">
              <w:rPr>
                <w:rFonts w:ascii="Times New Roman" w:hAnsi="Times New Roman"/>
              </w:rPr>
              <w:t xml:space="preserve"> Rozporządzenie PE i Rady UE 2019/452 z 19 marca 2019 r. ustanawiające ramy monitorowania bezpośrednich inwestycji zagranicznych w Unii, niezwłoczne rozszerzenie zastosowania </w:t>
            </w:r>
            <w:proofErr w:type="spellStart"/>
            <w:r w:rsidRPr="001A03F1">
              <w:rPr>
                <w:rFonts w:ascii="Times New Roman" w:hAnsi="Times New Roman"/>
              </w:rPr>
              <w:t>golden</w:t>
            </w:r>
            <w:proofErr w:type="spellEnd"/>
            <w:r w:rsidRPr="001A03F1">
              <w:rPr>
                <w:rFonts w:ascii="Times New Roman" w:hAnsi="Times New Roman"/>
              </w:rPr>
              <w:t xml:space="preserve"> </w:t>
            </w:r>
            <w:proofErr w:type="spellStart"/>
            <w:r w:rsidRPr="001A03F1">
              <w:rPr>
                <w:rFonts w:ascii="Times New Roman" w:hAnsi="Times New Roman"/>
              </w:rPr>
              <w:t>power</w:t>
            </w:r>
            <w:proofErr w:type="spellEnd"/>
            <w:r w:rsidRPr="001A03F1">
              <w:rPr>
                <w:rFonts w:ascii="Times New Roman" w:hAnsi="Times New Roman"/>
              </w:rPr>
              <w:t xml:space="preserve"> w odniesieniu do sektorów o charakterze strategicznym. Wprowadzenie wymogu uprzedniej autoryzacji w odniesieniu m.in. do sektorów finansowego, bankowego i ubezpieczeniowego, infrastruktur i technologii krytycznych (w tym energetycznych, wodnych, transportowych i sanitarnych), bezpieczeństwa żywnościowego, dostępu do informacji wrażliwych (w tym danych osobowych), sztucznej inteligencji, robotyki, półprzewodników, </w:t>
            </w:r>
            <w:proofErr w:type="spellStart"/>
            <w:r w:rsidRPr="001A03F1">
              <w:rPr>
                <w:rFonts w:ascii="Times New Roman" w:hAnsi="Times New Roman"/>
              </w:rPr>
              <w:t>cyberbezpieczeństwa</w:t>
            </w:r>
            <w:proofErr w:type="spellEnd"/>
            <w:r w:rsidRPr="001A03F1">
              <w:rPr>
                <w:rFonts w:ascii="Times New Roman" w:hAnsi="Times New Roman"/>
              </w:rPr>
              <w:t>, nanotechnologii i biotechnologii;</w:t>
            </w:r>
          </w:p>
          <w:p w:rsidR="001A03F1" w:rsidRPr="001A03F1"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Możliwość wszczęcia przez rząd IT postępowania z urzędu w przypadku niezadośćuczynienia przez przedsiębiorstwo przewidzianym prawem wymogom notyfikacji;</w:t>
            </w:r>
          </w:p>
          <w:p w:rsidR="001A03F1" w:rsidRPr="001A03F1"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 xml:space="preserve">Czasowe (do 31 grudnia 2020 r.) rozszerzenie zastosowania prerogatyw specjalnych także na operacje </w:t>
            </w:r>
            <w:proofErr w:type="spellStart"/>
            <w:r w:rsidRPr="001A03F1">
              <w:rPr>
                <w:rFonts w:ascii="Times New Roman" w:hAnsi="Times New Roman"/>
              </w:rPr>
              <w:t>wewnątrzeuropejskie</w:t>
            </w:r>
            <w:proofErr w:type="spellEnd"/>
            <w:r w:rsidRPr="001A03F1">
              <w:rPr>
                <w:rFonts w:ascii="Times New Roman" w:hAnsi="Times New Roman"/>
              </w:rPr>
              <w:t xml:space="preserve"> – wymóg uzyskania uprzedniej autoryzacji przy nabyciu udziałów w ww. sektorach strategicznych. W przypadku inwestorów pozaeuropejskich dodatkowo czasowe rozszerzenie wymogu autoryzacji na wszelkie przejęcia pow. 10% udziałów, jeśli wartość operacji przekracza 1 mln EUR;</w:t>
            </w:r>
          </w:p>
          <w:p w:rsidR="001A03F1" w:rsidRPr="003F76CD" w:rsidRDefault="001A03F1" w:rsidP="001A03F1">
            <w:pPr>
              <w:spacing w:after="120" w:line="240" w:lineRule="auto"/>
              <w:jc w:val="both"/>
              <w:rPr>
                <w:rFonts w:ascii="Times New Roman" w:hAnsi="Times New Roman"/>
              </w:rPr>
            </w:pPr>
            <w:r>
              <w:rPr>
                <w:rFonts w:ascii="Times New Roman" w:hAnsi="Times New Roman"/>
              </w:rPr>
              <w:t xml:space="preserve">- </w:t>
            </w:r>
            <w:r w:rsidRPr="001A03F1">
              <w:rPr>
                <w:rFonts w:ascii="Times New Roman" w:hAnsi="Times New Roman"/>
              </w:rPr>
              <w:t>Czasowe upoważnienie Włoskiej Komisji Papierów Wartościowych i Giełd (CONSOB) do rozszerzenia wymogów transparencji płynących z art. 120 Kodeksu finansowego (</w:t>
            </w:r>
            <w:proofErr w:type="spellStart"/>
            <w:r w:rsidRPr="001A03F1">
              <w:rPr>
                <w:rFonts w:ascii="Times New Roman" w:hAnsi="Times New Roman"/>
              </w:rPr>
              <w:t>Testo</w:t>
            </w:r>
            <w:proofErr w:type="spellEnd"/>
            <w:r w:rsidRPr="001A03F1">
              <w:rPr>
                <w:rFonts w:ascii="Times New Roman" w:hAnsi="Times New Roman"/>
              </w:rPr>
              <w:t xml:space="preserve"> </w:t>
            </w:r>
            <w:proofErr w:type="spellStart"/>
            <w:r w:rsidRPr="001A03F1">
              <w:rPr>
                <w:rFonts w:ascii="Times New Roman" w:hAnsi="Times New Roman"/>
              </w:rPr>
              <w:t>Unico</w:t>
            </w:r>
            <w:proofErr w:type="spellEnd"/>
            <w:r w:rsidRPr="001A03F1">
              <w:rPr>
                <w:rFonts w:ascii="Times New Roman" w:hAnsi="Times New Roman"/>
              </w:rPr>
              <w:t xml:space="preserve"> </w:t>
            </w:r>
            <w:proofErr w:type="spellStart"/>
            <w:r w:rsidRPr="001A03F1">
              <w:rPr>
                <w:rFonts w:ascii="Times New Roman" w:hAnsi="Times New Roman"/>
              </w:rPr>
              <w:t>Finanza</w:t>
            </w:r>
            <w:proofErr w:type="spellEnd"/>
            <w:r w:rsidRPr="001A03F1">
              <w:rPr>
                <w:rFonts w:ascii="Times New Roman" w:hAnsi="Times New Roman"/>
              </w:rPr>
              <w:t>) na przejęcia kapitałowe w wys. co najmniej 5% udziałów (dotychczas co najmniej 10%), również w odniesieniu do spółek publicznych.</w:t>
            </w:r>
          </w:p>
          <w:p w:rsidR="00C57242" w:rsidRPr="003F76CD" w:rsidRDefault="00C57242" w:rsidP="003F76CD">
            <w:pPr>
              <w:spacing w:after="120" w:line="240" w:lineRule="auto"/>
              <w:jc w:val="both"/>
              <w:rPr>
                <w:rFonts w:ascii="Times New Roman" w:hAnsi="Times New Roman"/>
                <w:u w:val="single"/>
              </w:rPr>
            </w:pPr>
            <w:r w:rsidRPr="003F76CD">
              <w:rPr>
                <w:rFonts w:ascii="Times New Roman" w:hAnsi="Times New Roman"/>
                <w:u w:val="single"/>
              </w:rPr>
              <w:t>Kanada</w:t>
            </w:r>
          </w:p>
          <w:p w:rsidR="00EB3BE8" w:rsidRDefault="00EB3BE8" w:rsidP="00EB3BE8">
            <w:pPr>
              <w:spacing w:after="120" w:line="240" w:lineRule="auto"/>
              <w:jc w:val="both"/>
              <w:rPr>
                <w:rFonts w:ascii="Times New Roman" w:hAnsi="Times New Roman"/>
              </w:rPr>
            </w:pPr>
            <w:r>
              <w:rPr>
                <w:rFonts w:ascii="Times New Roman" w:hAnsi="Times New Roman"/>
              </w:rPr>
              <w:t>18 kwietnia 2020 r.</w:t>
            </w:r>
            <w:r w:rsidRPr="00EB3BE8">
              <w:rPr>
                <w:rFonts w:ascii="Times New Roman" w:hAnsi="Times New Roman"/>
              </w:rPr>
              <w:t xml:space="preserve"> na oficjalnej stronie rządowej pojawiło się oświadczenie dotyczące wprowadzenia nadzwyczajnych środków w związku z pandemią COVID-19. Powołując się na zdrowie, bezpieczeństwo obywateli oraz konieczność zapewnienia stabilnej sytuacji gospodarczej w kraju, poinformowano o wdrożeniu bardziej rygorystycznych wymogów w odniesieniu do inwestycji zagranicznych napływających do Kanady.  Podstawowym celem regulacji jest zabezpieczenie przed niekontrolowanymi przejęciami kanadyjskich przedsiębiorstw, które znalazły się w szczególnie trudnej sytuacji w związku z pandemią. </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 xml:space="preserve">Kluczowym aktem prawnym regulującym politykę inwestycyjną Kanady jest Investment Canada </w:t>
            </w:r>
            <w:proofErr w:type="spellStart"/>
            <w:r w:rsidRPr="00EB3BE8">
              <w:rPr>
                <w:rFonts w:ascii="Times New Roman" w:hAnsi="Times New Roman"/>
              </w:rPr>
              <w:t>Act</w:t>
            </w:r>
            <w:proofErr w:type="spellEnd"/>
            <w:r w:rsidRPr="00EB3BE8">
              <w:rPr>
                <w:rFonts w:ascii="Times New Roman" w:hAnsi="Times New Roman"/>
              </w:rPr>
              <w:t xml:space="preserve"> (ICA). Akt prawny dopuszcza zastosowanie ograniczeń w napływie inwestycji z uwagi na względy bezpieczeństwa narodowego. Pojęcie bezpieczeństwa narodowego nie zostało ściśle zdefiniowane w ramach ICA, co pozostawia ministrowi właściwemu duży zakres swobody w określaniu, które przedsiębiorstwa i podmioty oraz jakie operacje mogą zostać objęte zaostrzonymi wymogami. </w:t>
            </w:r>
          </w:p>
          <w:p w:rsidR="00EB3BE8" w:rsidRPr="00EB3BE8" w:rsidRDefault="00EB3BE8" w:rsidP="00EB3BE8">
            <w:pPr>
              <w:spacing w:after="120" w:line="240" w:lineRule="auto"/>
              <w:jc w:val="both"/>
              <w:rPr>
                <w:rFonts w:ascii="Times New Roman" w:hAnsi="Times New Roman"/>
              </w:rPr>
            </w:pPr>
            <w:r>
              <w:rPr>
                <w:rFonts w:ascii="Times New Roman" w:hAnsi="Times New Roman"/>
              </w:rPr>
              <w:t>W oświadczeniu z 18 kwietnia</w:t>
            </w:r>
            <w:r w:rsidRPr="00EB3BE8">
              <w:rPr>
                <w:rFonts w:ascii="Times New Roman" w:hAnsi="Times New Roman"/>
              </w:rPr>
              <w:t xml:space="preserve"> kładzie się nacisk na podmioty związane z sektorem zdrowia, jak również zaangażowane w dostarczanie towarów i usług kluczowych z punktu widzenia zabezpieczenia potrzeb obywateli Kanady i państwa </w:t>
            </w:r>
            <w:r w:rsidRPr="008E02F3">
              <w:rPr>
                <w:rFonts w:ascii="Times New Roman" w:hAnsi="Times New Roman"/>
                <w:i/>
              </w:rPr>
              <w:t>(„</w:t>
            </w:r>
            <w:proofErr w:type="spellStart"/>
            <w:r w:rsidRPr="008E02F3">
              <w:rPr>
                <w:rFonts w:ascii="Times New Roman" w:hAnsi="Times New Roman"/>
                <w:i/>
              </w:rPr>
              <w:t>related</w:t>
            </w:r>
            <w:proofErr w:type="spellEnd"/>
            <w:r w:rsidRPr="008E02F3">
              <w:rPr>
                <w:rFonts w:ascii="Times New Roman" w:hAnsi="Times New Roman"/>
                <w:i/>
              </w:rPr>
              <w:t xml:space="preserve"> to public </w:t>
            </w:r>
            <w:proofErr w:type="spellStart"/>
            <w:r w:rsidRPr="008E02F3">
              <w:rPr>
                <w:rFonts w:ascii="Times New Roman" w:hAnsi="Times New Roman"/>
                <w:i/>
              </w:rPr>
              <w:t>health</w:t>
            </w:r>
            <w:proofErr w:type="spellEnd"/>
            <w:r w:rsidRPr="008E02F3">
              <w:rPr>
                <w:rFonts w:ascii="Times New Roman" w:hAnsi="Times New Roman"/>
                <w:i/>
              </w:rPr>
              <w:t xml:space="preserve"> </w:t>
            </w:r>
            <w:proofErr w:type="spellStart"/>
            <w:r w:rsidRPr="008E02F3">
              <w:rPr>
                <w:rFonts w:ascii="Times New Roman" w:hAnsi="Times New Roman"/>
                <w:i/>
              </w:rPr>
              <w:t>or</w:t>
            </w:r>
            <w:proofErr w:type="spellEnd"/>
            <w:r w:rsidRPr="008E02F3">
              <w:rPr>
                <w:rFonts w:ascii="Times New Roman" w:hAnsi="Times New Roman"/>
                <w:i/>
              </w:rPr>
              <w:t xml:space="preserve"> </w:t>
            </w:r>
            <w:proofErr w:type="spellStart"/>
            <w:r w:rsidRPr="008E02F3">
              <w:rPr>
                <w:rFonts w:ascii="Times New Roman" w:hAnsi="Times New Roman"/>
                <w:i/>
              </w:rPr>
              <w:t>involved</w:t>
            </w:r>
            <w:proofErr w:type="spellEnd"/>
            <w:r w:rsidRPr="008E02F3">
              <w:rPr>
                <w:rFonts w:ascii="Times New Roman" w:hAnsi="Times New Roman"/>
                <w:i/>
              </w:rPr>
              <w:t xml:space="preserve"> in the </w:t>
            </w:r>
            <w:proofErr w:type="spellStart"/>
            <w:r w:rsidRPr="008E02F3">
              <w:rPr>
                <w:rFonts w:ascii="Times New Roman" w:hAnsi="Times New Roman"/>
                <w:i/>
              </w:rPr>
              <w:t>supply</w:t>
            </w:r>
            <w:proofErr w:type="spellEnd"/>
            <w:r w:rsidRPr="008E02F3">
              <w:rPr>
                <w:rFonts w:ascii="Times New Roman" w:hAnsi="Times New Roman"/>
                <w:i/>
              </w:rPr>
              <w:t xml:space="preserve"> of </w:t>
            </w:r>
            <w:proofErr w:type="spellStart"/>
            <w:r w:rsidRPr="008E02F3">
              <w:rPr>
                <w:rFonts w:ascii="Times New Roman" w:hAnsi="Times New Roman"/>
                <w:i/>
              </w:rPr>
              <w:t>critical</w:t>
            </w:r>
            <w:proofErr w:type="spellEnd"/>
            <w:r w:rsidRPr="008E02F3">
              <w:rPr>
                <w:rFonts w:ascii="Times New Roman" w:hAnsi="Times New Roman"/>
                <w:i/>
              </w:rPr>
              <w:t xml:space="preserve"> </w:t>
            </w:r>
            <w:proofErr w:type="spellStart"/>
            <w:r w:rsidRPr="008E02F3">
              <w:rPr>
                <w:rFonts w:ascii="Times New Roman" w:hAnsi="Times New Roman"/>
                <w:i/>
              </w:rPr>
              <w:t>goods</w:t>
            </w:r>
            <w:proofErr w:type="spellEnd"/>
            <w:r w:rsidRPr="008E02F3">
              <w:rPr>
                <w:rFonts w:ascii="Times New Roman" w:hAnsi="Times New Roman"/>
                <w:i/>
              </w:rPr>
              <w:t xml:space="preserve"> and services to </w:t>
            </w:r>
            <w:proofErr w:type="spellStart"/>
            <w:r w:rsidRPr="008E02F3">
              <w:rPr>
                <w:rFonts w:ascii="Times New Roman" w:hAnsi="Times New Roman"/>
                <w:i/>
              </w:rPr>
              <w:t>Canadians</w:t>
            </w:r>
            <w:proofErr w:type="spellEnd"/>
            <w:r w:rsidRPr="008E02F3">
              <w:rPr>
                <w:rFonts w:ascii="Times New Roman" w:hAnsi="Times New Roman"/>
                <w:i/>
              </w:rPr>
              <w:t xml:space="preserve"> </w:t>
            </w:r>
            <w:proofErr w:type="spellStart"/>
            <w:r w:rsidRPr="008E02F3">
              <w:rPr>
                <w:rFonts w:ascii="Times New Roman" w:hAnsi="Times New Roman"/>
                <w:i/>
              </w:rPr>
              <w:t>or</w:t>
            </w:r>
            <w:proofErr w:type="spellEnd"/>
            <w:r w:rsidRPr="008E02F3">
              <w:rPr>
                <w:rFonts w:ascii="Times New Roman" w:hAnsi="Times New Roman"/>
                <w:i/>
              </w:rPr>
              <w:t xml:space="preserve"> to the </w:t>
            </w:r>
            <w:proofErr w:type="spellStart"/>
            <w:r w:rsidRPr="008E02F3">
              <w:rPr>
                <w:rFonts w:ascii="Times New Roman" w:hAnsi="Times New Roman"/>
                <w:i/>
              </w:rPr>
              <w:t>Government</w:t>
            </w:r>
            <w:proofErr w:type="spellEnd"/>
            <w:r w:rsidRPr="008E02F3">
              <w:rPr>
                <w:rFonts w:ascii="Times New Roman" w:hAnsi="Times New Roman"/>
                <w:i/>
              </w:rPr>
              <w:t>”</w:t>
            </w:r>
            <w:r w:rsidRPr="00EB3BE8">
              <w:rPr>
                <w:rFonts w:ascii="Times New Roman" w:hAnsi="Times New Roman"/>
              </w:rPr>
              <w:t xml:space="preserve">). Katalog usług uznanych za krytyczne w kontekście zwalczania skutków COVID-19 jest bardzo szeroki i obejmuje m.in. sektor zdrowia, sektor finansowy, transport, technologie informacyjne, energetykę.  Na oficjalnej stronie rządu Kanady można również zapoznać się z wykazem sektorów zaliczanych do infrastruktury krytycznej. </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 xml:space="preserve">Ponadto w oświadczeniu zwrócono uwagę na specyfikę inwestorów państwowych oraz firmy prywatne posiadające powiązania z sektorem publicznym. Wymienione powyżej kategorie podmiotów również będą podlegać szczególnej weryfikacji. </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 xml:space="preserve">W praktyce dla potencjalnego inwestora może to oznaczać m.in. wydłużenie czasu rozpatrywania wniosków, konieczność przedstawienia dodatkowych informacji, czy dokumentów. Bez względu na wielkość i charakter inwestycji, rząd federalny może podjąć decyzję o jej zablokowaniu, warunkowym dopuszczeniu, bądź stwierdzić nieważność już wdrożonej umowy. Nowe zasady będą obowiązywać do odwołania (nie wskazano konkretnej daty). </w:t>
            </w:r>
          </w:p>
          <w:p w:rsidR="00C57242" w:rsidRDefault="00EB3BE8" w:rsidP="00EB3BE8">
            <w:pPr>
              <w:spacing w:after="120" w:line="240" w:lineRule="auto"/>
              <w:jc w:val="both"/>
              <w:rPr>
                <w:rFonts w:ascii="Times New Roman" w:hAnsi="Times New Roman"/>
              </w:rPr>
            </w:pPr>
            <w:r w:rsidRPr="00EB3BE8">
              <w:rPr>
                <w:rFonts w:ascii="Times New Roman" w:hAnsi="Times New Roman"/>
              </w:rPr>
              <w:t xml:space="preserve">Z uwagi na zaostrzenie zasad potencjalni inwestorzy są zachęcani do kontaktu z </w:t>
            </w:r>
            <w:proofErr w:type="spellStart"/>
            <w:r w:rsidRPr="00EB3BE8">
              <w:rPr>
                <w:rFonts w:ascii="Times New Roman" w:hAnsi="Times New Roman"/>
              </w:rPr>
              <w:t>Innovation</w:t>
            </w:r>
            <w:proofErr w:type="spellEnd"/>
            <w:r w:rsidRPr="00EB3BE8">
              <w:rPr>
                <w:rFonts w:ascii="Times New Roman" w:hAnsi="Times New Roman"/>
              </w:rPr>
              <w:t xml:space="preserve">, Science and </w:t>
            </w:r>
            <w:proofErr w:type="spellStart"/>
            <w:r w:rsidRPr="00EB3BE8">
              <w:rPr>
                <w:rFonts w:ascii="Times New Roman" w:hAnsi="Times New Roman"/>
              </w:rPr>
              <w:t>Economic</w:t>
            </w:r>
            <w:proofErr w:type="spellEnd"/>
            <w:r w:rsidRPr="00EB3BE8">
              <w:rPr>
                <w:rFonts w:ascii="Times New Roman" w:hAnsi="Times New Roman"/>
              </w:rPr>
              <w:t xml:space="preserve"> Development Canada na możliwie wczesnym etapie procesu inwestycyjnego. </w:t>
            </w:r>
            <w:r w:rsidR="00C57242" w:rsidRPr="003F76CD">
              <w:rPr>
                <w:rFonts w:ascii="Times New Roman" w:hAnsi="Times New Roman"/>
              </w:rPr>
              <w:t>Wzmocniona kontrola inwestycji będzie obowiązywać do chwili uzyskania pełnej stabilności gospodarczej po kryzysie epidemicznym.</w:t>
            </w:r>
          </w:p>
          <w:p w:rsidR="00EB3BE8" w:rsidRPr="008E02F3" w:rsidRDefault="00EB3BE8" w:rsidP="00EB3BE8">
            <w:pPr>
              <w:spacing w:after="120" w:line="240" w:lineRule="auto"/>
              <w:jc w:val="both"/>
              <w:rPr>
                <w:rFonts w:ascii="Times New Roman" w:hAnsi="Times New Roman"/>
                <w:u w:val="single"/>
              </w:rPr>
            </w:pPr>
            <w:r w:rsidRPr="008E02F3">
              <w:rPr>
                <w:rFonts w:ascii="Times New Roman" w:hAnsi="Times New Roman"/>
                <w:u w:val="single"/>
              </w:rPr>
              <w:t>USA</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Wpływ inwestycji zagranicznych na bezpieczeństwo narodowe w Stanach Zjednoczonych nadzoruje Komitet Inwestycji Zagranicznych (CFIUS). CFIUS dokonuje przeglądu transakcji na podstawie powiadomień złożonych przez strony lub z własnej inicjatywy. Jeżeli CFIUS stwierdzi, że nie można rozwiązać problemów związanych z bezpieczeństwem narodowym, a strony nie wycofają się z transakcji, Komitet zaleci, aby przewodniczący Komitetu  zabronił inwestycji. W praktyce oznacza to możliwość zablokowania każdej transakcji, którą Komitet uzna za zagrażającą bezpieczeństwu publicznemu.</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W  latach 2018- 2019  znowelizowano przepisy dotyczące nadzoru nad inwestycjami zagranicznymi w USA, głównie w związku z  zagrożeniami  związanymi  z chińskim kapitałem.  Zmiany dotyczą rozszerzenia mandatu CFIUS, w celu bardziej kompleksowej oceny wpływu kombinacji transakcji. Ponadto CFIUS jest obecnie zobowiązany do analizy wpływu niektórych rodzajów transakcji na rynek nieruchomości i wpływu inwestycji zagranicznych w spółki typu start-</w:t>
            </w:r>
            <w:proofErr w:type="spellStart"/>
            <w:r w:rsidRPr="00EB3BE8">
              <w:rPr>
                <w:rFonts w:ascii="Times New Roman" w:hAnsi="Times New Roman"/>
              </w:rPr>
              <w:t>up</w:t>
            </w:r>
            <w:proofErr w:type="spellEnd"/>
            <w:r w:rsidRPr="00EB3BE8">
              <w:rPr>
                <w:rFonts w:ascii="Times New Roman" w:hAnsi="Times New Roman"/>
              </w:rPr>
              <w:t xml:space="preserve"> technologiczny. </w:t>
            </w:r>
          </w:p>
          <w:p w:rsidR="00EB3BE8" w:rsidRDefault="00EB3BE8" w:rsidP="00EB3BE8">
            <w:pPr>
              <w:spacing w:after="120" w:line="240" w:lineRule="auto"/>
              <w:jc w:val="both"/>
              <w:rPr>
                <w:rFonts w:ascii="Times New Roman" w:hAnsi="Times New Roman"/>
              </w:rPr>
            </w:pPr>
            <w:r w:rsidRPr="00EB3BE8">
              <w:rPr>
                <w:rFonts w:ascii="Times New Roman" w:hAnsi="Times New Roman"/>
              </w:rPr>
              <w:t xml:space="preserve">System </w:t>
            </w:r>
            <w:proofErr w:type="spellStart"/>
            <w:r w:rsidRPr="00EB3BE8">
              <w:rPr>
                <w:rFonts w:ascii="Times New Roman" w:hAnsi="Times New Roman"/>
              </w:rPr>
              <w:t>screening`u</w:t>
            </w:r>
            <w:proofErr w:type="spellEnd"/>
            <w:r w:rsidRPr="00EB3BE8">
              <w:rPr>
                <w:rFonts w:ascii="Times New Roman" w:hAnsi="Times New Roman"/>
              </w:rPr>
              <w:t xml:space="preserve">  bezpośrednich inwestycji zagranicznych w Stanach Zjednoczonych nie uległ  zmianie z powodu COVID-19. Odnotować jednak należy, że jeszcze przed pandemią zwiększono ochronę sektorów kluczowych technologii,  w tym związanych z opieką zdrowotną i biotechnologią.</w:t>
            </w:r>
          </w:p>
          <w:p w:rsidR="00EB3BE8" w:rsidRPr="008E02F3" w:rsidRDefault="00EB3BE8" w:rsidP="00EB3BE8">
            <w:pPr>
              <w:spacing w:after="120" w:line="240" w:lineRule="auto"/>
              <w:jc w:val="both"/>
              <w:rPr>
                <w:rFonts w:ascii="Times New Roman" w:hAnsi="Times New Roman"/>
                <w:u w:val="single"/>
              </w:rPr>
            </w:pPr>
            <w:r w:rsidRPr="008E02F3">
              <w:rPr>
                <w:rFonts w:ascii="Times New Roman" w:hAnsi="Times New Roman"/>
                <w:u w:val="single"/>
              </w:rPr>
              <w:t>Australia</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29 marca br. rząd Australii ogłosił tymczasowe zaostrzenie zasad dotyczących zagranicznych inwestycji, które mają na celu ochronę narodowych interesów. Wszystkie zagraniczne propozycje przejęć i inwestycji, niezależnie od wartości lub charakteru inwestora zagranicznego, będą badane przez Radę ds. Przeglądu Inwestycji Zagranicznych (</w:t>
            </w:r>
            <w:proofErr w:type="spellStart"/>
            <w:r w:rsidRPr="008E02F3">
              <w:rPr>
                <w:rFonts w:ascii="Times New Roman" w:hAnsi="Times New Roman"/>
                <w:i/>
              </w:rPr>
              <w:t>Foreign</w:t>
            </w:r>
            <w:proofErr w:type="spellEnd"/>
            <w:r w:rsidRPr="008E02F3">
              <w:rPr>
                <w:rFonts w:ascii="Times New Roman" w:hAnsi="Times New Roman"/>
                <w:i/>
              </w:rPr>
              <w:t xml:space="preserve"> Investment </w:t>
            </w:r>
            <w:proofErr w:type="spellStart"/>
            <w:r w:rsidRPr="008E02F3">
              <w:rPr>
                <w:rFonts w:ascii="Times New Roman" w:hAnsi="Times New Roman"/>
                <w:i/>
              </w:rPr>
              <w:t>Review</w:t>
            </w:r>
            <w:proofErr w:type="spellEnd"/>
            <w:r w:rsidRPr="008E02F3">
              <w:rPr>
                <w:rFonts w:ascii="Times New Roman" w:hAnsi="Times New Roman"/>
                <w:i/>
              </w:rPr>
              <w:t xml:space="preserve"> Board - FIRB</w:t>
            </w:r>
            <w:r w:rsidRPr="00EB3BE8">
              <w:rPr>
                <w:rFonts w:ascii="Times New Roman" w:hAnsi="Times New Roman"/>
              </w:rPr>
              <w:t xml:space="preserve">) w Ministerstwie Skarbu. Wcześniej rząd Australii nie sprawdzał większości zagranicznych przejęć prywatnych firm, chyba że były one warte więcej niż 1,1 mld AUD. </w:t>
            </w:r>
          </w:p>
          <w:p w:rsidR="00EB3BE8" w:rsidRPr="00EB3BE8" w:rsidRDefault="00EB3BE8" w:rsidP="00EB3BE8">
            <w:pPr>
              <w:spacing w:after="120" w:line="240" w:lineRule="auto"/>
              <w:jc w:val="both"/>
              <w:rPr>
                <w:rFonts w:ascii="Times New Roman" w:hAnsi="Times New Roman"/>
              </w:rPr>
            </w:pPr>
            <w:r w:rsidRPr="00EB3BE8">
              <w:rPr>
                <w:rFonts w:ascii="Times New Roman" w:hAnsi="Times New Roman"/>
              </w:rPr>
              <w:t>Tymczasowe zmiany przepisów będą miały zastosowanie do wszystkich nowych propozycji inwestycji zagranicznych, a także tych, które są obecnie w trakcie realizacji. Rząd przedłużył również termin przeglądu ofert z 30 dni do sześciu miesięcy.</w:t>
            </w:r>
          </w:p>
          <w:p w:rsidR="00EB3BE8" w:rsidRDefault="00EB3BE8" w:rsidP="00EB3BE8">
            <w:pPr>
              <w:spacing w:after="120" w:line="240" w:lineRule="auto"/>
              <w:jc w:val="both"/>
              <w:rPr>
                <w:rFonts w:ascii="Times New Roman" w:hAnsi="Times New Roman"/>
              </w:rPr>
            </w:pPr>
            <w:r w:rsidRPr="00EB3BE8">
              <w:rPr>
                <w:rFonts w:ascii="Times New Roman" w:hAnsi="Times New Roman"/>
              </w:rPr>
              <w:t>Rząd będzie traktował priorytetowo wnioski o inwestycje, które chronią miejsca pracy i wspierają australijską gospodarkę oraz gwarantują długoterminowy sukces i stabilność finansową. Natomiast transakcje w strategicznych sektorach takich jak np. produkcja wyrobów medycznych i leków mogą podlegać większej kontroli i być przedmiotem przedłużającego się procesu zatwierdzania, a także zostać potencjalnie zablokowane, jeśli będą postrzegane jako sprzeczne z interesem narodowym Australii.</w:t>
            </w:r>
          </w:p>
          <w:p w:rsidR="001A03F1" w:rsidRPr="008E02F3" w:rsidRDefault="001A03F1" w:rsidP="001A03F1">
            <w:pPr>
              <w:spacing w:after="120" w:line="240" w:lineRule="auto"/>
              <w:jc w:val="both"/>
              <w:rPr>
                <w:rFonts w:ascii="Times New Roman" w:hAnsi="Times New Roman"/>
                <w:u w:val="single"/>
              </w:rPr>
            </w:pPr>
            <w:r w:rsidRPr="008E02F3">
              <w:rPr>
                <w:rFonts w:ascii="Times New Roman" w:hAnsi="Times New Roman"/>
                <w:u w:val="single"/>
              </w:rPr>
              <w:t>Japonia</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Rząd Japonii opublikował</w:t>
            </w:r>
            <w:r>
              <w:rPr>
                <w:rFonts w:ascii="Times New Roman" w:hAnsi="Times New Roman"/>
              </w:rPr>
              <w:t xml:space="preserve"> </w:t>
            </w:r>
            <w:r w:rsidRPr="001A03F1">
              <w:rPr>
                <w:rFonts w:ascii="Times New Roman" w:hAnsi="Times New Roman"/>
              </w:rPr>
              <w:t xml:space="preserve">8 maja br. listę firm, w przypadku których będą obowiązywały bardziej restrykcyjne reguły dotyczące zaangażowania zagranicznych inwestorów. Lista opublikowana przez Ministerstwo Finansów zawiera 518 z ok. 3,8 tys. giełdowych japońskich spółek, które działają w 12 wskazanych przez rząd branżach, kluczowych dla bezpieczeństwa narodowego (m.in. przemysł naftowy, energetyka jądrowa, koleje, lotnictwo, telekomunikacja, </w:t>
            </w:r>
            <w:proofErr w:type="spellStart"/>
            <w:r w:rsidRPr="001A03F1">
              <w:rPr>
                <w:rFonts w:ascii="Times New Roman" w:hAnsi="Times New Roman"/>
              </w:rPr>
              <w:t>cyberbezpieczeństwo</w:t>
            </w:r>
            <w:proofErr w:type="spellEnd"/>
            <w:r w:rsidRPr="001A03F1">
              <w:rPr>
                <w:rFonts w:ascii="Times New Roman" w:hAnsi="Times New Roman"/>
              </w:rPr>
              <w:t xml:space="preserve">). Na liście znajdują się m.in. Toyota Motor, Sony, </w:t>
            </w:r>
            <w:proofErr w:type="spellStart"/>
            <w:r w:rsidRPr="001A03F1">
              <w:rPr>
                <w:rFonts w:ascii="Times New Roman" w:hAnsi="Times New Roman"/>
              </w:rPr>
              <w:t>SoftBank</w:t>
            </w:r>
            <w:proofErr w:type="spellEnd"/>
            <w:r w:rsidRPr="001A03F1">
              <w:rPr>
                <w:rFonts w:ascii="Times New Roman" w:hAnsi="Times New Roman"/>
              </w:rPr>
              <w:t xml:space="preserve"> </w:t>
            </w:r>
            <w:proofErr w:type="spellStart"/>
            <w:r w:rsidRPr="001A03F1">
              <w:rPr>
                <w:rFonts w:ascii="Times New Roman" w:hAnsi="Times New Roman"/>
              </w:rPr>
              <w:t>Group</w:t>
            </w:r>
            <w:proofErr w:type="spellEnd"/>
            <w:r w:rsidRPr="001A03F1">
              <w:rPr>
                <w:rFonts w:ascii="Times New Roman" w:hAnsi="Times New Roman"/>
              </w:rPr>
              <w:t xml:space="preserve"> Corp. </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Według doniesień prasowych od lipca br. do listy 12 strategicznych branż wskazanych przez rząd zostanie dodany również sektor medyczny. Pod ścisłą ochroną przed zagranicznym przejęciem znajdą się producenci zaawansowanego sprzętu medycznego, takiego jak respiratory, sztuczne płuca i dializatory, a także twórcy i producenci składników farmaceutycznych i surowic krwi. Producenci szczepionek należą już do pierwotnej grupy 12 branż.</w:t>
            </w:r>
          </w:p>
          <w:p w:rsidR="001A03F1" w:rsidRPr="001A03F1" w:rsidRDefault="001A03F1" w:rsidP="001A03F1">
            <w:pPr>
              <w:spacing w:after="120" w:line="240" w:lineRule="auto"/>
              <w:jc w:val="both"/>
              <w:rPr>
                <w:rFonts w:ascii="Times New Roman" w:hAnsi="Times New Roman"/>
              </w:rPr>
            </w:pPr>
            <w:r w:rsidRPr="001A03F1">
              <w:rPr>
                <w:rFonts w:ascii="Times New Roman" w:hAnsi="Times New Roman"/>
              </w:rPr>
              <w:t xml:space="preserve">Zagraniczny inwestor kupując 1% lub więcej akcji japońskiej spółki działającej w jednej z tych branż, będzie podlegał automatycznemu „prześwietleniu”. Wcześniej działo się to po przekroczeniu 10%. Nowe prawo zacznie w pełni obowiązywać od 7 czerwca br. po 30-dniowym okresie przejściowym. </w:t>
            </w:r>
          </w:p>
          <w:p w:rsidR="001A03F1" w:rsidRPr="002443B2" w:rsidRDefault="001A03F1" w:rsidP="001A03F1">
            <w:pPr>
              <w:spacing w:after="120" w:line="240" w:lineRule="auto"/>
              <w:jc w:val="both"/>
              <w:rPr>
                <w:rFonts w:ascii="Times New Roman" w:hAnsi="Times New Roman"/>
              </w:rPr>
            </w:pPr>
            <w:r w:rsidRPr="001A03F1">
              <w:rPr>
                <w:rFonts w:ascii="Times New Roman" w:hAnsi="Times New Roman"/>
              </w:rPr>
              <w:t>Zmiany są podyktowane nasilającymi się w JP obawami przed rosnącym wpływem Chin w przemysłach uznawanych za kluczowe dla bezpieczeństwa państwa. Zagraniczni inwestorzy mają ok. 30% japońskiego rynku akcji i generują ok. 60% obrotów giełdowych.</w:t>
            </w:r>
          </w:p>
          <w:p w:rsidR="00856585" w:rsidRPr="00856585" w:rsidRDefault="00856585" w:rsidP="00C57242">
            <w:pPr>
              <w:pStyle w:val="Akapitzlist"/>
              <w:numPr>
                <w:ilvl w:val="0"/>
                <w:numId w:val="18"/>
              </w:numPr>
              <w:spacing w:after="120" w:line="240" w:lineRule="auto"/>
              <w:rPr>
                <w:rFonts w:ascii="Times New Roman" w:hAnsi="Times New Roman"/>
                <w:b/>
              </w:rPr>
            </w:pPr>
            <w:r w:rsidRPr="00856585">
              <w:rPr>
                <w:rFonts w:ascii="Times New Roman" w:hAnsi="Times New Roman"/>
                <w:b/>
              </w:rPr>
              <w:t>Ułatwienie dostępu do wakacji kredytowych</w:t>
            </w:r>
          </w:p>
          <w:p w:rsidR="000F5E12" w:rsidRPr="000F5E12" w:rsidRDefault="005A5646" w:rsidP="000F5E12">
            <w:pPr>
              <w:spacing w:line="240" w:lineRule="auto"/>
              <w:jc w:val="both"/>
              <w:rPr>
                <w:rFonts w:ascii="Times New Roman" w:hAnsi="Times New Roman"/>
                <w:color w:val="000000"/>
                <w:spacing w:val="-2"/>
              </w:rPr>
            </w:pPr>
            <w:r w:rsidRPr="000F5E12">
              <w:rPr>
                <w:rFonts w:ascii="Times New Roman" w:hAnsi="Times New Roman"/>
                <w:color w:val="000000"/>
                <w:spacing w:val="-2"/>
              </w:rPr>
              <w:t xml:space="preserve">Problem związany z tym, że klasyczna formuła wakacji kredytowych w wersji rynkowej może nie być ulgą dla konsumentów a wręcz wiązać się z dodatkowymi obciążeniami, w tym naliczaniem odsetek od odsetek, jest obecnie sygnalizowany na arenie międzynarodowej, w różnych </w:t>
            </w:r>
            <w:r w:rsidRPr="006A5F5E">
              <w:rPr>
                <w:rFonts w:ascii="Times New Roman" w:hAnsi="Times New Roman"/>
                <w:color w:val="000000"/>
                <w:spacing w:val="-2"/>
              </w:rPr>
              <w:t xml:space="preserve">krajach OECD. </w:t>
            </w:r>
            <w:r w:rsidR="000F5E12" w:rsidRPr="000F5E12">
              <w:rPr>
                <w:rFonts w:ascii="Times New Roman" w:hAnsi="Times New Roman"/>
                <w:color w:val="000000"/>
                <w:spacing w:val="-2"/>
              </w:rPr>
              <w:t>2 kwietnia 2020</w:t>
            </w:r>
            <w:r w:rsidR="00856585">
              <w:rPr>
                <w:rFonts w:ascii="Times New Roman" w:hAnsi="Times New Roman"/>
                <w:color w:val="000000"/>
                <w:spacing w:val="-2"/>
              </w:rPr>
              <w:t xml:space="preserve"> r.</w:t>
            </w:r>
            <w:r w:rsidR="000F5E12" w:rsidRPr="000F5E12">
              <w:rPr>
                <w:rFonts w:ascii="Times New Roman" w:hAnsi="Times New Roman"/>
                <w:color w:val="000000"/>
                <w:spacing w:val="-2"/>
              </w:rPr>
              <w:t xml:space="preserve"> Europejski Urząd Nadzoru Bankowego opublikował Wytyczne (EBA/GL/2020/02)</w:t>
            </w:r>
            <w:r w:rsidR="002117C2">
              <w:rPr>
                <w:rFonts w:ascii="Times New Roman" w:hAnsi="Times New Roman"/>
                <w:color w:val="000000"/>
                <w:spacing w:val="-2"/>
              </w:rPr>
              <w:t xml:space="preserve"> </w:t>
            </w:r>
            <w:r w:rsidR="000F5E12" w:rsidRPr="000F5E12">
              <w:rPr>
                <w:rFonts w:ascii="Times New Roman" w:hAnsi="Times New Roman"/>
                <w:color w:val="000000"/>
                <w:spacing w:val="-2"/>
              </w:rPr>
              <w:t>dotyczące odraczania spłat kredytów w obliczu kryzysu spowodowanego COVID-19. Zgodnie z jego treścią zasady odroczenia terminów spłaty rat kredytowych powinny spełniać kilka przesłanek:</w:t>
            </w:r>
          </w:p>
          <w:p w:rsidR="000F5E12" w:rsidRPr="000F5E12" w:rsidRDefault="002117C2" w:rsidP="002443B2">
            <w:pPr>
              <w:pStyle w:val="Akapitzlist"/>
              <w:numPr>
                <w:ilvl w:val="0"/>
                <w:numId w:val="46"/>
              </w:numPr>
              <w:suppressAutoHyphens/>
              <w:spacing w:line="240" w:lineRule="auto"/>
              <w:jc w:val="both"/>
              <w:rPr>
                <w:rFonts w:ascii="Times New Roman" w:hAnsi="Times New Roman"/>
                <w:color w:val="000000"/>
                <w:spacing w:val="-2"/>
              </w:rPr>
            </w:pPr>
            <w:r>
              <w:rPr>
                <w:rFonts w:ascii="Times New Roman" w:hAnsi="Times New Roman"/>
                <w:color w:val="000000"/>
                <w:spacing w:val="-2"/>
              </w:rPr>
              <w:t>m</w:t>
            </w:r>
            <w:r w:rsidR="000F5E12" w:rsidRPr="000F5E12">
              <w:rPr>
                <w:rFonts w:ascii="Times New Roman" w:hAnsi="Times New Roman"/>
                <w:color w:val="000000"/>
                <w:spacing w:val="-2"/>
              </w:rPr>
              <w:t>a zastosowanie do szerokiego grona kredytobiorców;</w:t>
            </w:r>
          </w:p>
          <w:p w:rsidR="000F5E12" w:rsidRPr="000F5E12" w:rsidRDefault="002117C2" w:rsidP="002443B2">
            <w:pPr>
              <w:pStyle w:val="Akapitzlist"/>
              <w:numPr>
                <w:ilvl w:val="0"/>
                <w:numId w:val="46"/>
              </w:numPr>
              <w:suppressAutoHyphens/>
              <w:spacing w:line="240" w:lineRule="auto"/>
              <w:jc w:val="both"/>
              <w:rPr>
                <w:rFonts w:ascii="Times New Roman" w:hAnsi="Times New Roman"/>
                <w:color w:val="000000"/>
                <w:spacing w:val="-2"/>
              </w:rPr>
            </w:pPr>
            <w:r>
              <w:rPr>
                <w:rFonts w:ascii="Times New Roman" w:hAnsi="Times New Roman"/>
                <w:color w:val="000000"/>
                <w:spacing w:val="-2"/>
              </w:rPr>
              <w:t>n</w:t>
            </w:r>
            <w:r w:rsidR="000F5E12" w:rsidRPr="000F5E12">
              <w:rPr>
                <w:rFonts w:ascii="Times New Roman" w:hAnsi="Times New Roman"/>
                <w:color w:val="000000"/>
                <w:spacing w:val="-2"/>
              </w:rPr>
              <w:t>ie zawiera uwarunkowań w zakresie jego zastosowania w zależności od oceny wiarygodności kredytowej - nie powinno odnosić się wyłącznie do kredytobiorców posiadających trudności finansowe w okresie przed pandemią COVID-19;</w:t>
            </w:r>
          </w:p>
          <w:p w:rsidR="000F5E12" w:rsidRPr="000F5E12" w:rsidRDefault="002117C2" w:rsidP="002443B2">
            <w:pPr>
              <w:pStyle w:val="Akapitzlist"/>
              <w:numPr>
                <w:ilvl w:val="0"/>
                <w:numId w:val="46"/>
              </w:numPr>
              <w:suppressAutoHyphens/>
              <w:spacing w:line="240" w:lineRule="auto"/>
              <w:jc w:val="both"/>
              <w:rPr>
                <w:rFonts w:ascii="Times New Roman" w:hAnsi="Times New Roman"/>
                <w:color w:val="000000"/>
                <w:spacing w:val="-2"/>
              </w:rPr>
            </w:pPr>
            <w:r>
              <w:rPr>
                <w:rFonts w:ascii="Times New Roman" w:hAnsi="Times New Roman"/>
                <w:color w:val="000000"/>
                <w:spacing w:val="-2"/>
              </w:rPr>
              <w:t>d</w:t>
            </w:r>
            <w:r w:rsidR="000F5E12" w:rsidRPr="000F5E12">
              <w:rPr>
                <w:rFonts w:ascii="Times New Roman" w:hAnsi="Times New Roman"/>
                <w:color w:val="000000"/>
                <w:spacing w:val="-2"/>
              </w:rPr>
              <w:t>otyczy zmian harmonogramu płatności w zakresie odroczenia, redukowania, zawieszenia płatności, ale w pozostałym zakresie warunki umowne nie powinny być zmieniane, w szczególności w zakresie wysokości oprocentowania;</w:t>
            </w:r>
          </w:p>
          <w:p w:rsidR="000F5E12" w:rsidRDefault="002117C2" w:rsidP="002443B2">
            <w:pPr>
              <w:pStyle w:val="Akapitzlist"/>
              <w:numPr>
                <w:ilvl w:val="0"/>
                <w:numId w:val="46"/>
              </w:numPr>
              <w:suppressAutoHyphens/>
              <w:spacing w:line="240" w:lineRule="auto"/>
              <w:jc w:val="both"/>
              <w:rPr>
                <w:rFonts w:ascii="Times New Roman" w:hAnsi="Times New Roman"/>
                <w:color w:val="000000"/>
                <w:spacing w:val="-2"/>
              </w:rPr>
            </w:pPr>
            <w:r>
              <w:rPr>
                <w:rFonts w:ascii="Times New Roman" w:hAnsi="Times New Roman"/>
                <w:color w:val="000000"/>
                <w:spacing w:val="-2"/>
              </w:rPr>
              <w:t>n</w:t>
            </w:r>
            <w:r w:rsidR="000F5E12" w:rsidRPr="000F5E12">
              <w:rPr>
                <w:rFonts w:ascii="Times New Roman" w:hAnsi="Times New Roman"/>
                <w:color w:val="000000"/>
                <w:spacing w:val="-2"/>
              </w:rPr>
              <w:t>ie dotyczy nowych ekspozycji kredytowych udzielonych po wybuchu epidemii COVID-19.</w:t>
            </w:r>
            <w:r w:rsidR="000F5E12" w:rsidRPr="000F5E12">
              <w:rPr>
                <w:rFonts w:ascii="Times New Roman" w:hAnsi="Times New Roman"/>
                <w:color w:val="000000"/>
                <w:spacing w:val="-2"/>
              </w:rPr>
              <w:cr/>
            </w:r>
          </w:p>
          <w:p w:rsidR="000D2E1F" w:rsidRPr="00856585" w:rsidRDefault="00856585" w:rsidP="00C57242">
            <w:pPr>
              <w:pStyle w:val="Akapitzlist"/>
              <w:numPr>
                <w:ilvl w:val="0"/>
                <w:numId w:val="18"/>
              </w:numPr>
              <w:spacing w:after="120" w:line="240" w:lineRule="auto"/>
              <w:rPr>
                <w:rFonts w:ascii="Times New Roman" w:hAnsi="Times New Roman"/>
                <w:b/>
              </w:rPr>
            </w:pPr>
            <w:r>
              <w:rPr>
                <w:rFonts w:ascii="Times New Roman" w:hAnsi="Times New Roman"/>
                <w:b/>
              </w:rPr>
              <w:t>Dostosowanie rynku pracy do wyzwań COVID-19</w:t>
            </w:r>
          </w:p>
          <w:p w:rsidR="000D2E1F" w:rsidRPr="00F6069B" w:rsidRDefault="000D2E1F" w:rsidP="00F6069B">
            <w:pPr>
              <w:spacing w:after="120" w:line="240" w:lineRule="auto"/>
              <w:jc w:val="both"/>
              <w:rPr>
                <w:rFonts w:ascii="Times New Roman" w:eastAsia="Times New Roman" w:hAnsi="Times New Roman"/>
                <w:lang w:eastAsia="pl-PL"/>
              </w:rPr>
            </w:pPr>
            <w:r w:rsidRPr="00F6069B">
              <w:rPr>
                <w:rFonts w:ascii="Times New Roman" w:eastAsia="Times New Roman" w:hAnsi="Times New Roman"/>
                <w:lang w:eastAsia="pl-PL"/>
              </w:rPr>
              <w:t>Przykładowe działania podejmowane w innych państwach UE:</w:t>
            </w:r>
          </w:p>
          <w:p w:rsidR="000D2E1F" w:rsidRPr="00F6069B" w:rsidRDefault="000D2E1F" w:rsidP="00F6069B">
            <w:pPr>
              <w:spacing w:line="240" w:lineRule="auto"/>
              <w:jc w:val="both"/>
              <w:rPr>
                <w:rFonts w:ascii="Times New Roman" w:eastAsia="Times New Roman" w:hAnsi="Times New Roman"/>
                <w:u w:val="single"/>
                <w:lang w:eastAsia="pl-PL"/>
              </w:rPr>
            </w:pPr>
            <w:r w:rsidRPr="00F6069B">
              <w:rPr>
                <w:rFonts w:ascii="Times New Roman" w:eastAsia="Times New Roman" w:hAnsi="Times New Roman"/>
                <w:u w:val="single"/>
                <w:lang w:eastAsia="pl-PL"/>
              </w:rPr>
              <w:t>Grecja</w:t>
            </w:r>
          </w:p>
          <w:p w:rsidR="000D2E1F" w:rsidRPr="00F6069B" w:rsidRDefault="000D2E1F" w:rsidP="00F6069B">
            <w:pPr>
              <w:spacing w:after="120" w:line="240" w:lineRule="auto"/>
              <w:jc w:val="both"/>
              <w:rPr>
                <w:rFonts w:ascii="Times New Roman" w:eastAsia="Times New Roman" w:hAnsi="Times New Roman"/>
                <w:lang w:eastAsia="pl-PL"/>
              </w:rPr>
            </w:pPr>
            <w:r w:rsidRPr="00F6069B">
              <w:rPr>
                <w:rFonts w:ascii="Times New Roman" w:eastAsia="Times New Roman" w:hAnsi="Times New Roman"/>
                <w:lang w:eastAsia="pl-PL"/>
              </w:rPr>
              <w:t xml:space="preserve">Umożliwiono firmom przenoszenie pracowników z części firmy, która musiała zostać zamknięta, do innych części, a także ułatwiono zmianę wymiaru czasu pracy. </w:t>
            </w:r>
          </w:p>
          <w:p w:rsidR="000D2E1F" w:rsidRPr="00F6069B" w:rsidRDefault="000D2E1F" w:rsidP="00F6069B">
            <w:pPr>
              <w:spacing w:line="240" w:lineRule="auto"/>
              <w:jc w:val="both"/>
              <w:rPr>
                <w:rFonts w:ascii="Times New Roman" w:eastAsia="Times New Roman" w:hAnsi="Times New Roman"/>
                <w:u w:val="single"/>
                <w:lang w:eastAsia="pl-PL"/>
              </w:rPr>
            </w:pPr>
            <w:r w:rsidRPr="00F6069B">
              <w:rPr>
                <w:rFonts w:ascii="Times New Roman" w:eastAsia="Times New Roman" w:hAnsi="Times New Roman"/>
                <w:u w:val="single"/>
                <w:lang w:eastAsia="pl-PL"/>
              </w:rPr>
              <w:t>Szwecja</w:t>
            </w:r>
          </w:p>
          <w:p w:rsidR="000D2E1F" w:rsidRPr="00F6069B" w:rsidRDefault="000D2E1F" w:rsidP="00F6069B">
            <w:pPr>
              <w:spacing w:line="240" w:lineRule="auto"/>
              <w:jc w:val="both"/>
              <w:rPr>
                <w:rFonts w:ascii="Times New Roman" w:eastAsia="Times New Roman" w:hAnsi="Times New Roman"/>
                <w:lang w:eastAsia="pl-PL"/>
              </w:rPr>
            </w:pPr>
            <w:r w:rsidRPr="00F6069B">
              <w:rPr>
                <w:rFonts w:ascii="Times New Roman" w:eastAsia="Times New Roman" w:hAnsi="Times New Roman"/>
                <w:lang w:eastAsia="pl-PL"/>
              </w:rPr>
              <w:t>Wprowadzono system krótkoterminowych zwolnień/postojowe (</w:t>
            </w:r>
            <w:proofErr w:type="spellStart"/>
            <w:r w:rsidRPr="00F6069B">
              <w:rPr>
                <w:rFonts w:ascii="Times New Roman" w:eastAsia="Times New Roman" w:hAnsi="Times New Roman"/>
                <w:lang w:eastAsia="pl-PL"/>
              </w:rPr>
              <w:t>short</w:t>
            </w:r>
            <w:proofErr w:type="spellEnd"/>
            <w:r w:rsidRPr="00F6069B">
              <w:rPr>
                <w:rFonts w:ascii="Times New Roman" w:eastAsia="Times New Roman" w:hAnsi="Times New Roman"/>
                <w:lang w:eastAsia="pl-PL"/>
              </w:rPr>
              <w:t xml:space="preserve">-term </w:t>
            </w:r>
            <w:proofErr w:type="spellStart"/>
            <w:r w:rsidRPr="00F6069B">
              <w:rPr>
                <w:rFonts w:ascii="Times New Roman" w:eastAsia="Times New Roman" w:hAnsi="Times New Roman"/>
                <w:lang w:eastAsia="pl-PL"/>
              </w:rPr>
              <w:t>layoffs</w:t>
            </w:r>
            <w:proofErr w:type="spellEnd"/>
            <w:r w:rsidRPr="00F6069B">
              <w:rPr>
                <w:rFonts w:ascii="Times New Roman" w:eastAsia="Times New Roman" w:hAnsi="Times New Roman"/>
                <w:lang w:eastAsia="pl-PL"/>
              </w:rPr>
              <w:t xml:space="preserve">). Propozycja ta pozwala ograniczyć przedsiębiorstwom koszty wynagrodzeń o połowę, a i tak większą część kosztów pokryje rząd. W trakcie przestoju pracownik otrzymuje 90% wynagrodzenia. </w:t>
            </w:r>
          </w:p>
          <w:p w:rsidR="000D2E1F" w:rsidRPr="00F6069B" w:rsidRDefault="000D2E1F" w:rsidP="00F6069B">
            <w:pPr>
              <w:spacing w:after="120" w:line="240" w:lineRule="auto"/>
              <w:jc w:val="both"/>
              <w:rPr>
                <w:rFonts w:ascii="Times New Roman" w:eastAsia="Times New Roman" w:hAnsi="Times New Roman"/>
                <w:lang w:eastAsia="pl-PL"/>
              </w:rPr>
            </w:pPr>
            <w:r w:rsidRPr="00F6069B">
              <w:rPr>
                <w:rFonts w:ascii="Times New Roman" w:eastAsia="Times New Roman" w:hAnsi="Times New Roman"/>
                <w:lang w:eastAsia="pl-PL"/>
              </w:rPr>
              <w:t>Rząd przejmuje finansowanie wynagrodzenia chorobowego.</w:t>
            </w:r>
          </w:p>
          <w:p w:rsidR="000D2E1F" w:rsidRPr="00F6069B" w:rsidRDefault="000D2E1F" w:rsidP="00F6069B">
            <w:pPr>
              <w:spacing w:line="240" w:lineRule="auto"/>
              <w:jc w:val="both"/>
              <w:rPr>
                <w:rFonts w:ascii="Times New Roman" w:eastAsia="Times New Roman" w:hAnsi="Times New Roman"/>
                <w:u w:val="single"/>
                <w:lang w:eastAsia="pl-PL"/>
              </w:rPr>
            </w:pPr>
            <w:r w:rsidRPr="00F6069B">
              <w:rPr>
                <w:rFonts w:ascii="Times New Roman" w:eastAsia="Times New Roman" w:hAnsi="Times New Roman"/>
                <w:u w:val="single"/>
                <w:lang w:eastAsia="pl-PL"/>
              </w:rPr>
              <w:t>Portugalia</w:t>
            </w:r>
          </w:p>
          <w:p w:rsidR="000D2E1F" w:rsidRPr="00F6069B" w:rsidRDefault="000D2E1F" w:rsidP="00F6069B">
            <w:pPr>
              <w:spacing w:after="120" w:line="240" w:lineRule="auto"/>
              <w:jc w:val="both"/>
              <w:rPr>
                <w:rFonts w:ascii="Times New Roman" w:eastAsia="Times New Roman" w:hAnsi="Times New Roman"/>
                <w:lang w:eastAsia="pl-PL"/>
              </w:rPr>
            </w:pPr>
            <w:r w:rsidRPr="00F6069B">
              <w:rPr>
                <w:rFonts w:ascii="Times New Roman" w:eastAsia="Times New Roman" w:hAnsi="Times New Roman"/>
                <w:lang w:eastAsia="pl-PL"/>
              </w:rPr>
              <w:t xml:space="preserve">Wprowadzono uproszczony program zwolnień do natychmiastowego zastosowania przez 3 miesiące. Zwiększono zakres możliwości przedsiębiorców. Zwalniani pracownicy otrzymują 2/3 swojego wynagrodzenia, z czego 70% płaci system zabezpieczenia społecznego, a 30% pracodawca, będąc zwolnionym ze składek na ubezpieczenie społeczne. </w:t>
            </w:r>
          </w:p>
          <w:p w:rsidR="009233E4" w:rsidRPr="009233E4" w:rsidRDefault="00836D56" w:rsidP="00836D56">
            <w:pPr>
              <w:spacing w:line="240" w:lineRule="auto"/>
              <w:jc w:val="both"/>
              <w:rPr>
                <w:rFonts w:ascii="Times New Roman" w:hAnsi="Times New Roman"/>
                <w:color w:val="000000"/>
                <w:spacing w:val="-2"/>
                <w:u w:val="single"/>
              </w:rPr>
            </w:pPr>
            <w:r w:rsidRPr="009233E4">
              <w:rPr>
                <w:rFonts w:ascii="Times New Roman" w:hAnsi="Times New Roman"/>
                <w:color w:val="000000"/>
                <w:spacing w:val="-2"/>
                <w:u w:val="single"/>
              </w:rPr>
              <w:t>Francja</w:t>
            </w:r>
          </w:p>
          <w:p w:rsidR="00836D56" w:rsidRDefault="009233E4" w:rsidP="008E02F3">
            <w:pPr>
              <w:spacing w:after="120" w:line="240" w:lineRule="auto"/>
              <w:jc w:val="both"/>
              <w:rPr>
                <w:rFonts w:ascii="Times New Roman" w:hAnsi="Times New Roman"/>
                <w:color w:val="000000"/>
                <w:spacing w:val="-2"/>
              </w:rPr>
            </w:pPr>
            <w:r>
              <w:rPr>
                <w:rFonts w:ascii="Times New Roman" w:hAnsi="Times New Roman"/>
                <w:color w:val="000000"/>
                <w:spacing w:val="-2"/>
              </w:rPr>
              <w:t>U</w:t>
            </w:r>
            <w:r w:rsidR="00836D56" w:rsidRPr="00836D56">
              <w:rPr>
                <w:rFonts w:ascii="Times New Roman" w:hAnsi="Times New Roman"/>
                <w:color w:val="000000"/>
                <w:spacing w:val="-2"/>
              </w:rPr>
              <w:t>jednolic</w:t>
            </w:r>
            <w:r>
              <w:rPr>
                <w:rFonts w:ascii="Times New Roman" w:hAnsi="Times New Roman"/>
                <w:color w:val="000000"/>
                <w:spacing w:val="-2"/>
              </w:rPr>
              <w:t>ono i uproszczono</w:t>
            </w:r>
            <w:r w:rsidR="00836D56" w:rsidRPr="00836D56">
              <w:rPr>
                <w:rFonts w:ascii="Times New Roman" w:hAnsi="Times New Roman"/>
                <w:color w:val="000000"/>
                <w:spacing w:val="-2"/>
              </w:rPr>
              <w:t xml:space="preserve"> programy STW </w:t>
            </w:r>
            <w:r>
              <w:rPr>
                <w:rFonts w:ascii="Times New Roman" w:hAnsi="Times New Roman"/>
                <w:color w:val="000000"/>
                <w:spacing w:val="-2"/>
              </w:rPr>
              <w:t>(</w:t>
            </w:r>
            <w:proofErr w:type="spellStart"/>
            <w:r>
              <w:rPr>
                <w:rFonts w:ascii="Times New Roman" w:hAnsi="Times New Roman"/>
                <w:color w:val="000000"/>
                <w:spacing w:val="-2"/>
              </w:rPr>
              <w:t>short</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time</w:t>
            </w:r>
            <w:proofErr w:type="spellEnd"/>
            <w:r>
              <w:rPr>
                <w:rFonts w:ascii="Times New Roman" w:hAnsi="Times New Roman"/>
                <w:color w:val="000000"/>
                <w:spacing w:val="-2"/>
              </w:rPr>
              <w:t xml:space="preserve"> </w:t>
            </w:r>
            <w:proofErr w:type="spellStart"/>
            <w:r>
              <w:rPr>
                <w:rFonts w:ascii="Times New Roman" w:hAnsi="Times New Roman"/>
                <w:color w:val="000000"/>
                <w:spacing w:val="-2"/>
              </w:rPr>
              <w:t>working</w:t>
            </w:r>
            <w:proofErr w:type="spellEnd"/>
            <w:r>
              <w:rPr>
                <w:rFonts w:ascii="Times New Roman" w:hAnsi="Times New Roman"/>
                <w:color w:val="000000"/>
                <w:spacing w:val="-2"/>
              </w:rPr>
              <w:t xml:space="preserve">) oraz </w:t>
            </w:r>
            <w:r w:rsidR="00836D56" w:rsidRPr="00836D56">
              <w:rPr>
                <w:rFonts w:ascii="Times New Roman" w:hAnsi="Times New Roman"/>
                <w:color w:val="000000"/>
                <w:spacing w:val="-2"/>
              </w:rPr>
              <w:t>rozszerz</w:t>
            </w:r>
            <w:r>
              <w:rPr>
                <w:rFonts w:ascii="Times New Roman" w:hAnsi="Times New Roman"/>
                <w:color w:val="000000"/>
                <w:spacing w:val="-2"/>
              </w:rPr>
              <w:t>ono</w:t>
            </w:r>
            <w:r w:rsidR="00836D56" w:rsidRPr="00836D56">
              <w:rPr>
                <w:rFonts w:ascii="Times New Roman" w:hAnsi="Times New Roman"/>
                <w:color w:val="000000"/>
                <w:spacing w:val="-2"/>
              </w:rPr>
              <w:t xml:space="preserve"> je na wszystkich pracowników, stosując stawkę zastępczą w wysokości 84% wynagrodzenia brutto (100%, jeśli pracownicy uczestniczą w szkoleniach lub otrzymują wy</w:t>
            </w:r>
            <w:r>
              <w:rPr>
                <w:rFonts w:ascii="Times New Roman" w:hAnsi="Times New Roman"/>
                <w:color w:val="000000"/>
                <w:spacing w:val="-2"/>
              </w:rPr>
              <w:t>nagrodzenie minimalne)</w:t>
            </w:r>
            <w:r w:rsidR="00836D56" w:rsidRPr="00836D56">
              <w:rPr>
                <w:rFonts w:ascii="Times New Roman" w:hAnsi="Times New Roman"/>
                <w:color w:val="000000"/>
                <w:spacing w:val="-2"/>
              </w:rPr>
              <w:t xml:space="preserve">. </w:t>
            </w:r>
          </w:p>
          <w:p w:rsidR="00910B7F" w:rsidRPr="008E02F3" w:rsidRDefault="00910B7F" w:rsidP="008E02F3">
            <w:pPr>
              <w:pStyle w:val="Akapitzlist"/>
              <w:numPr>
                <w:ilvl w:val="0"/>
                <w:numId w:val="18"/>
              </w:numPr>
              <w:spacing w:after="120" w:line="240" w:lineRule="auto"/>
              <w:rPr>
                <w:rFonts w:ascii="Times New Roman" w:hAnsi="Times New Roman"/>
                <w:b/>
              </w:rPr>
            </w:pPr>
            <w:r w:rsidRPr="008E02F3">
              <w:rPr>
                <w:rFonts w:ascii="Times New Roman" w:hAnsi="Times New Roman"/>
                <w:b/>
              </w:rPr>
              <w:t>Zmiany w Prawie upadłościowym</w:t>
            </w:r>
          </w:p>
          <w:p w:rsidR="00910B7F" w:rsidRDefault="00910B7F" w:rsidP="008E02F3">
            <w:pPr>
              <w:spacing w:after="120" w:line="240" w:lineRule="auto"/>
              <w:jc w:val="both"/>
              <w:rPr>
                <w:rFonts w:ascii="Times New Roman" w:hAnsi="Times New Roman"/>
                <w:color w:val="000000"/>
                <w:spacing w:val="-2"/>
              </w:rPr>
            </w:pPr>
            <w:r w:rsidRPr="008E02F3">
              <w:rPr>
                <w:rFonts w:ascii="Times New Roman" w:hAnsi="Times New Roman"/>
                <w:color w:val="000000"/>
                <w:spacing w:val="-2"/>
              </w:rPr>
              <w:t>Państwa Unii Europejskiej nie przyjęły jednolitej koncepcji legislacyjnej dotyczącej zmian w prawie upadłościowym, jednak widać pewne aspekty wspólne.</w:t>
            </w:r>
            <w:r w:rsidRPr="00962724">
              <w:rPr>
                <w:rFonts w:ascii="Times New Roman" w:hAnsi="Times New Roman"/>
                <w:color w:val="000000"/>
                <w:spacing w:val="-2"/>
              </w:rPr>
              <w:t xml:space="preserve"> </w:t>
            </w:r>
            <w:r w:rsidRPr="008E02F3">
              <w:rPr>
                <w:rFonts w:ascii="Times New Roman" w:hAnsi="Times New Roman"/>
                <w:color w:val="000000"/>
                <w:spacing w:val="-2"/>
              </w:rPr>
              <w:t>Państwa, które zdecydowały się na wprowadzanie zmian, koncentrują się na dążeniu do poprawy sytuacji dłużnika przy jednoczesnym uszczuplaniu praw wierzyciela</w:t>
            </w:r>
            <w:r w:rsidRPr="00962724">
              <w:rPr>
                <w:rFonts w:ascii="Times New Roman" w:hAnsi="Times New Roman"/>
                <w:color w:val="000000"/>
                <w:spacing w:val="-2"/>
              </w:rPr>
              <w:t xml:space="preserve">. Z uwagi na dużą zmienność towarzyszącą przebiegowi pandemii w różnych krajach należy się spodziewać, że przyjęte dotychczas </w:t>
            </w:r>
            <w:r>
              <w:rPr>
                <w:rFonts w:ascii="Times New Roman" w:hAnsi="Times New Roman"/>
                <w:color w:val="000000"/>
                <w:spacing w:val="-2"/>
              </w:rPr>
              <w:t>rozwiązania</w:t>
            </w:r>
            <w:r w:rsidRPr="00962724">
              <w:rPr>
                <w:rFonts w:ascii="Times New Roman" w:hAnsi="Times New Roman"/>
                <w:color w:val="000000"/>
                <w:spacing w:val="-2"/>
              </w:rPr>
              <w:t xml:space="preserve"> będą ulegać dalszym zmianom. </w:t>
            </w:r>
          </w:p>
          <w:p w:rsidR="00910B7F" w:rsidRPr="00962724" w:rsidRDefault="00910B7F" w:rsidP="008E02F3">
            <w:pPr>
              <w:spacing w:after="120" w:line="240" w:lineRule="auto"/>
              <w:jc w:val="both"/>
              <w:rPr>
                <w:rFonts w:ascii="Times New Roman" w:hAnsi="Times New Roman"/>
                <w:color w:val="000000"/>
                <w:spacing w:val="-2"/>
              </w:rPr>
            </w:pPr>
            <w:r w:rsidRPr="00962724">
              <w:rPr>
                <w:rFonts w:ascii="Times New Roman" w:hAnsi="Times New Roman"/>
                <w:color w:val="000000"/>
                <w:spacing w:val="-2"/>
              </w:rPr>
              <w:t>Poniżej zaprezentowan</w:t>
            </w:r>
            <w:r>
              <w:rPr>
                <w:rFonts w:ascii="Times New Roman" w:hAnsi="Times New Roman"/>
                <w:color w:val="000000"/>
                <w:spacing w:val="-2"/>
              </w:rPr>
              <w:t>e zostały</w:t>
            </w:r>
            <w:r w:rsidRPr="00962724">
              <w:rPr>
                <w:rFonts w:ascii="Times New Roman" w:hAnsi="Times New Roman"/>
                <w:color w:val="000000"/>
                <w:spacing w:val="-2"/>
              </w:rPr>
              <w:t xml:space="preserve"> rozwiąza</w:t>
            </w:r>
            <w:r>
              <w:rPr>
                <w:rFonts w:ascii="Times New Roman" w:hAnsi="Times New Roman"/>
                <w:color w:val="000000"/>
                <w:spacing w:val="-2"/>
              </w:rPr>
              <w:t>nia</w:t>
            </w:r>
            <w:r w:rsidRPr="00962724">
              <w:rPr>
                <w:rFonts w:ascii="Times New Roman" w:hAnsi="Times New Roman"/>
                <w:color w:val="000000"/>
                <w:spacing w:val="-2"/>
              </w:rPr>
              <w:t xml:space="preserve"> legislacyjn</w:t>
            </w:r>
            <w:r>
              <w:rPr>
                <w:rFonts w:ascii="Times New Roman" w:hAnsi="Times New Roman"/>
                <w:color w:val="000000"/>
                <w:spacing w:val="-2"/>
              </w:rPr>
              <w:t>e</w:t>
            </w:r>
            <w:r w:rsidRPr="00962724">
              <w:rPr>
                <w:rFonts w:ascii="Times New Roman" w:hAnsi="Times New Roman"/>
                <w:color w:val="000000"/>
                <w:spacing w:val="-2"/>
              </w:rPr>
              <w:t xml:space="preserve"> wybranych krajów członkowskich dotycząc</w:t>
            </w:r>
            <w:r>
              <w:rPr>
                <w:rFonts w:ascii="Times New Roman" w:hAnsi="Times New Roman"/>
                <w:color w:val="000000"/>
                <w:spacing w:val="-2"/>
              </w:rPr>
              <w:t>e</w:t>
            </w:r>
            <w:r w:rsidRPr="00962724">
              <w:rPr>
                <w:rFonts w:ascii="Times New Roman" w:hAnsi="Times New Roman"/>
                <w:color w:val="000000"/>
                <w:spacing w:val="-2"/>
              </w:rPr>
              <w:t xml:space="preserve"> problemów </w:t>
            </w:r>
            <w:r>
              <w:rPr>
                <w:rFonts w:ascii="Times New Roman" w:hAnsi="Times New Roman"/>
                <w:color w:val="000000"/>
                <w:spacing w:val="-2"/>
              </w:rPr>
              <w:br/>
            </w:r>
            <w:r w:rsidRPr="00962724">
              <w:rPr>
                <w:rFonts w:ascii="Times New Roman" w:hAnsi="Times New Roman"/>
                <w:color w:val="000000"/>
                <w:spacing w:val="-2"/>
              </w:rPr>
              <w:t>z niewypłacalnością i upadłością</w:t>
            </w:r>
            <w:r>
              <w:rPr>
                <w:rFonts w:ascii="Times New Roman" w:hAnsi="Times New Roman"/>
                <w:color w:val="000000"/>
                <w:spacing w:val="-2"/>
              </w:rPr>
              <w:t xml:space="preserve"> w wyniku  pandemii </w:t>
            </w:r>
            <w:proofErr w:type="spellStart"/>
            <w:r>
              <w:rPr>
                <w:rFonts w:ascii="Times New Roman" w:hAnsi="Times New Roman"/>
                <w:color w:val="000000"/>
                <w:spacing w:val="-2"/>
              </w:rPr>
              <w:t>koronawirusa</w:t>
            </w:r>
            <w:proofErr w:type="spellEnd"/>
            <w:r>
              <w:rPr>
                <w:rStyle w:val="Odwoanieprzypisudolnego"/>
                <w:rFonts w:ascii="Times New Roman" w:hAnsi="Times New Roman"/>
                <w:color w:val="000000"/>
                <w:spacing w:val="-2"/>
              </w:rPr>
              <w:footnoteReference w:id="5"/>
            </w:r>
            <w:r w:rsidRPr="00962724">
              <w:rPr>
                <w:rFonts w:ascii="Times New Roman" w:hAnsi="Times New Roman"/>
                <w:color w:val="000000"/>
                <w:spacing w:val="-2"/>
              </w:rPr>
              <w:t>.</w:t>
            </w:r>
          </w:p>
          <w:p w:rsidR="00910B7F" w:rsidRPr="008E02F3" w:rsidRDefault="00910B7F" w:rsidP="008E02F3">
            <w:pPr>
              <w:spacing w:line="240" w:lineRule="auto"/>
              <w:jc w:val="both"/>
              <w:rPr>
                <w:rFonts w:ascii="Times New Roman" w:hAnsi="Times New Roman"/>
                <w:color w:val="000000"/>
                <w:spacing w:val="-2"/>
                <w:u w:val="single"/>
              </w:rPr>
            </w:pPr>
            <w:r w:rsidRPr="008E02F3">
              <w:rPr>
                <w:rFonts w:ascii="Times New Roman" w:hAnsi="Times New Roman"/>
                <w:color w:val="000000"/>
                <w:spacing w:val="-2"/>
                <w:u w:val="single"/>
              </w:rPr>
              <w:t>Francja</w:t>
            </w:r>
          </w:p>
          <w:p w:rsidR="00910B7F" w:rsidRPr="008E02F3" w:rsidRDefault="00910B7F" w:rsidP="008E02F3">
            <w:pPr>
              <w:spacing w:after="120" w:line="240" w:lineRule="auto"/>
              <w:jc w:val="both"/>
              <w:rPr>
                <w:rFonts w:ascii="Times New Roman" w:hAnsi="Times New Roman"/>
                <w:color w:val="000000"/>
                <w:spacing w:val="-2"/>
              </w:rPr>
            </w:pPr>
            <w:r w:rsidRPr="008E02F3">
              <w:rPr>
                <w:rFonts w:ascii="Times New Roman" w:hAnsi="Times New Roman"/>
                <w:color w:val="000000"/>
                <w:spacing w:val="-2"/>
              </w:rPr>
              <w:t>W związku z nadzwyczajną sytuacją powodującą ograniczony dostęp do sądów, poza pewnymi wyjątkami ograniczono możliwość otwierania nowych postepowań upadłościowych czy ugodowych. Wprowadzono rozwiązanie polegające na ograniczeniu praw wierzycieli obejmujące okres od 12 marca br. do miesiąca liczonego od momentu, który zostanie uznany za zakończenie okresu epidemii.</w:t>
            </w:r>
          </w:p>
          <w:p w:rsidR="00910B7F" w:rsidRPr="00942087"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Niemcy</w:t>
            </w:r>
          </w:p>
          <w:p w:rsidR="00910B7F" w:rsidRPr="000E5F99" w:rsidRDefault="00910B7F" w:rsidP="008E02F3">
            <w:pPr>
              <w:spacing w:after="120" w:line="240" w:lineRule="auto"/>
              <w:jc w:val="both"/>
              <w:rPr>
                <w:rFonts w:ascii="Times New Roman" w:hAnsi="Times New Roman"/>
                <w:color w:val="000000"/>
                <w:spacing w:val="-2"/>
              </w:rPr>
            </w:pPr>
            <w:r>
              <w:rPr>
                <w:rFonts w:ascii="Times New Roman" w:hAnsi="Times New Roman"/>
                <w:color w:val="000000"/>
                <w:spacing w:val="-2"/>
              </w:rPr>
              <w:t>Z</w:t>
            </w:r>
            <w:r w:rsidRPr="000E5F99">
              <w:rPr>
                <w:rFonts w:ascii="Times New Roman" w:hAnsi="Times New Roman"/>
                <w:color w:val="000000"/>
                <w:spacing w:val="-2"/>
              </w:rPr>
              <w:t xml:space="preserve">godnie z przyjętym już rozwiązaniem legislacyjnym wierzyciel może złożyć wniosek o ogłoszenie upadłości dłużnika, wyłącznie jeżeli stan niewypłacalności dłużnika ziścił się przed 1 marca 2020 r. Wprowadzona regulacja z mocą wsteczną od 1 marca 2020 </w:t>
            </w:r>
            <w:r w:rsidR="00DE738A">
              <w:rPr>
                <w:rFonts w:ascii="Times New Roman" w:hAnsi="Times New Roman"/>
                <w:color w:val="000000"/>
                <w:spacing w:val="-2"/>
              </w:rPr>
              <w:t xml:space="preserve">r. </w:t>
            </w:r>
            <w:r w:rsidRPr="000E5F99">
              <w:rPr>
                <w:rFonts w:ascii="Times New Roman" w:hAnsi="Times New Roman"/>
                <w:color w:val="000000"/>
                <w:spacing w:val="-2"/>
              </w:rPr>
              <w:t xml:space="preserve">istotnie zmienia pozycję dłużnika. Do 30 września br. czasowo zawiesza obowiązek zgłoszenia przez dłużnika wniosku o upadłość w związku z jego niewypłacalnością. Jednakże, to zawieszenie nie dotyczy przypadków, gdy niewypłacalność nie ma związku z pandemią </w:t>
            </w:r>
            <w:proofErr w:type="spellStart"/>
            <w:r w:rsidRPr="000E5F99">
              <w:rPr>
                <w:rFonts w:ascii="Times New Roman" w:hAnsi="Times New Roman"/>
                <w:color w:val="000000"/>
                <w:spacing w:val="-2"/>
              </w:rPr>
              <w:t>koronawirusa</w:t>
            </w:r>
            <w:proofErr w:type="spellEnd"/>
            <w:r w:rsidRPr="000E5F99">
              <w:rPr>
                <w:rFonts w:ascii="Times New Roman" w:hAnsi="Times New Roman"/>
                <w:color w:val="000000"/>
                <w:spacing w:val="-2"/>
              </w:rPr>
              <w:t>, oraz sytuacji, gdy stan niewypłacalności jest trwały i nie ma możliwości zmiany tej sytuacji. Istotnym ułatwieniem dla dłużnika jest wprowadzone wzruszalne domniemanie, iż jeżeli dłużnik nie był niewypłacalny na dzień 31 grudnia 2019 roku, to późniejszy stan jego niewypłacalności związany jest z pandemią Covid-19. Ciężar obalenia tego domniemania spoczywa na wierzycielu.</w:t>
            </w:r>
          </w:p>
          <w:p w:rsidR="00910B7F" w:rsidRPr="000E5F99"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Luksemburg</w:t>
            </w:r>
          </w:p>
          <w:p w:rsidR="00910B7F" w:rsidRPr="000E5F99" w:rsidRDefault="00910B7F" w:rsidP="008E02F3">
            <w:pPr>
              <w:spacing w:after="120" w:line="240" w:lineRule="auto"/>
              <w:jc w:val="both"/>
              <w:rPr>
                <w:rFonts w:ascii="Times New Roman" w:hAnsi="Times New Roman"/>
                <w:color w:val="000000"/>
                <w:spacing w:val="-2"/>
              </w:rPr>
            </w:pPr>
            <w:r>
              <w:rPr>
                <w:rFonts w:ascii="Times New Roman" w:hAnsi="Times New Roman"/>
                <w:color w:val="000000"/>
                <w:spacing w:val="-2"/>
              </w:rPr>
              <w:t>Z</w:t>
            </w:r>
            <w:r w:rsidRPr="000E5F99">
              <w:rPr>
                <w:rFonts w:ascii="Times New Roman" w:hAnsi="Times New Roman"/>
                <w:color w:val="000000"/>
                <w:spacing w:val="-2"/>
              </w:rPr>
              <w:t xml:space="preserve">awieszone zostały ustawowe wymogi dla menedżerów w zakresie obowiązku zgłoszenia wniosku o upadłość </w:t>
            </w:r>
            <w:r>
              <w:rPr>
                <w:rFonts w:ascii="Times New Roman" w:hAnsi="Times New Roman"/>
                <w:color w:val="000000"/>
                <w:spacing w:val="-2"/>
              </w:rPr>
              <w:br/>
            </w:r>
            <w:r w:rsidRPr="000E5F99">
              <w:rPr>
                <w:rFonts w:ascii="Times New Roman" w:hAnsi="Times New Roman"/>
                <w:color w:val="000000"/>
                <w:spacing w:val="-2"/>
              </w:rPr>
              <w:t>w przypadku spełnienia się przesłanek upadłościowych. Za wyjątkiem spraw nadzwyczajnie pilnych wszystkie sprawy dotyczące upadłości są odroczone.</w:t>
            </w:r>
          </w:p>
          <w:p w:rsidR="00910B7F" w:rsidRPr="000E5F99"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Holandia</w:t>
            </w:r>
          </w:p>
          <w:p w:rsidR="00910B7F" w:rsidRPr="000E5F99" w:rsidRDefault="00910B7F" w:rsidP="008E02F3">
            <w:pPr>
              <w:spacing w:after="120" w:line="240" w:lineRule="auto"/>
              <w:jc w:val="both"/>
              <w:rPr>
                <w:rFonts w:ascii="Times New Roman" w:hAnsi="Times New Roman"/>
                <w:color w:val="000000"/>
                <w:spacing w:val="-2"/>
              </w:rPr>
            </w:pPr>
            <w:r>
              <w:rPr>
                <w:rFonts w:ascii="Times New Roman" w:hAnsi="Times New Roman"/>
                <w:color w:val="000000"/>
                <w:spacing w:val="-2"/>
              </w:rPr>
              <w:t>Z</w:t>
            </w:r>
            <w:r w:rsidRPr="000E5F99">
              <w:rPr>
                <w:rFonts w:ascii="Times New Roman" w:hAnsi="Times New Roman"/>
                <w:color w:val="000000"/>
                <w:spacing w:val="-2"/>
              </w:rPr>
              <w:t xml:space="preserve">asadniczo brak dodatkowych regulacji upadłościowych na okres kryzysu. Co do zasady sądy są zamknięte, jednak </w:t>
            </w:r>
            <w:r>
              <w:rPr>
                <w:rFonts w:ascii="Times New Roman" w:hAnsi="Times New Roman"/>
                <w:color w:val="000000"/>
                <w:spacing w:val="-2"/>
              </w:rPr>
              <w:br/>
            </w:r>
            <w:r w:rsidRPr="000E5F99">
              <w:rPr>
                <w:rFonts w:ascii="Times New Roman" w:hAnsi="Times New Roman"/>
                <w:color w:val="000000"/>
                <w:spacing w:val="-2"/>
              </w:rPr>
              <w:t>za wyjątkiem spraw pilnych, w tym procedur upadłościowych. Sytuację płynnościową holenderskich przedsiębiorstw istotnie poprawia rozwiązanie przyjęte powszechnie przez tamtejszy s</w:t>
            </w:r>
            <w:r w:rsidR="00F46615">
              <w:rPr>
                <w:rFonts w:ascii="Times New Roman" w:hAnsi="Times New Roman"/>
                <w:color w:val="000000"/>
                <w:spacing w:val="-2"/>
              </w:rPr>
              <w:t>ektor bankowy, zgodnie z którym</w:t>
            </w:r>
            <w:r w:rsidRPr="000E5F99">
              <w:rPr>
                <w:rFonts w:ascii="Times New Roman" w:hAnsi="Times New Roman"/>
                <w:color w:val="000000"/>
                <w:spacing w:val="-2"/>
              </w:rPr>
              <w:t xml:space="preserve"> obowiązują zaplanowane na 6 miesięcy udogodnienia w zakresie zawieszenia spłaty zobowiązań korporacyjnych.</w:t>
            </w:r>
          </w:p>
          <w:p w:rsidR="00910B7F" w:rsidRPr="000E5F99"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Portugalia</w:t>
            </w:r>
          </w:p>
          <w:p w:rsidR="00910B7F" w:rsidRPr="000E5F99" w:rsidRDefault="00910B7F" w:rsidP="008E02F3">
            <w:pPr>
              <w:spacing w:after="120" w:line="240" w:lineRule="auto"/>
              <w:jc w:val="both"/>
              <w:rPr>
                <w:rFonts w:ascii="Times New Roman" w:hAnsi="Times New Roman"/>
                <w:color w:val="000000"/>
                <w:spacing w:val="-2"/>
              </w:rPr>
            </w:pPr>
            <w:r>
              <w:rPr>
                <w:rFonts w:ascii="Times New Roman" w:hAnsi="Times New Roman"/>
                <w:color w:val="000000"/>
                <w:spacing w:val="-2"/>
              </w:rPr>
              <w:t>W</w:t>
            </w:r>
            <w:r w:rsidRPr="000E5F99">
              <w:rPr>
                <w:rFonts w:ascii="Times New Roman" w:hAnsi="Times New Roman"/>
                <w:color w:val="000000"/>
                <w:spacing w:val="-2"/>
              </w:rPr>
              <w:t xml:space="preserve">prowadzono czasowe moratorium, którego obowiązywanie ograniczono do 30 września 2020 r. Uregulowanie </w:t>
            </w:r>
            <w:r>
              <w:rPr>
                <w:rFonts w:ascii="Times New Roman" w:hAnsi="Times New Roman"/>
                <w:color w:val="000000"/>
                <w:spacing w:val="-2"/>
              </w:rPr>
              <w:br/>
            </w:r>
            <w:r w:rsidRPr="000E5F99">
              <w:rPr>
                <w:rFonts w:ascii="Times New Roman" w:hAnsi="Times New Roman"/>
                <w:color w:val="000000"/>
                <w:spacing w:val="-2"/>
              </w:rPr>
              <w:t>to obejmuje w szczególności: ograniczenia w zakresie praw wierzycieli, odroczenie zobowiązań płatniczych, w tym podatkowych oraz rozszerzenie akcji finansowania z możliwością jednorazowej spłaty w dacie zapadalności kredytu. Moratorium nie obejmuje ograniczeń praw wierzycieli w przypadku orzeczenia upadłości czy poddaniu się podmiotu procedurom restrukturyzacyjnym. Tym niemniej w praktyce aktualnie większość postępowań przed portugalskimi sądami jest zawieszona. Poza rządowymi regulacjami, również istotna część banków portugalskich wprowadziła odroczenia w spłatach zobowiązań.</w:t>
            </w:r>
          </w:p>
          <w:p w:rsidR="00910B7F" w:rsidRPr="000E5F99"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Hiszpania</w:t>
            </w:r>
          </w:p>
          <w:p w:rsidR="00910B7F" w:rsidRDefault="00910B7F" w:rsidP="008E02F3">
            <w:pPr>
              <w:spacing w:after="120" w:line="240" w:lineRule="auto"/>
              <w:jc w:val="both"/>
              <w:rPr>
                <w:rFonts w:ascii="Times New Roman" w:hAnsi="Times New Roman"/>
                <w:color w:val="000000"/>
                <w:spacing w:val="-2"/>
              </w:rPr>
            </w:pPr>
            <w:r>
              <w:rPr>
                <w:rFonts w:ascii="Times New Roman" w:hAnsi="Times New Roman"/>
                <w:color w:val="000000"/>
                <w:spacing w:val="-2"/>
              </w:rPr>
              <w:t>Z</w:t>
            </w:r>
            <w:r w:rsidRPr="000E5F99">
              <w:rPr>
                <w:rFonts w:ascii="Times New Roman" w:hAnsi="Times New Roman"/>
                <w:color w:val="000000"/>
                <w:spacing w:val="-2"/>
              </w:rPr>
              <w:t>ablokowano prawo wierzycieli do składania wniosków o upadłość dłużnika, aż do dwóch miesięcy po zakończeniu stanu zagrożenia. Ponadto wniosek dłużnika w tym zakresie będzie miał pierwszeństwo, nawet jeżeli zostanie złożony później.</w:t>
            </w:r>
          </w:p>
          <w:p w:rsidR="00910B7F" w:rsidRPr="000E5F99" w:rsidRDefault="00910B7F" w:rsidP="008E02F3">
            <w:pPr>
              <w:spacing w:after="120" w:line="240" w:lineRule="auto"/>
              <w:jc w:val="both"/>
              <w:rPr>
                <w:rFonts w:ascii="Times New Roman" w:hAnsi="Times New Roman"/>
                <w:color w:val="000000"/>
                <w:spacing w:val="-2"/>
              </w:rPr>
            </w:pPr>
            <w:r w:rsidRPr="000E5F99">
              <w:rPr>
                <w:rFonts w:ascii="Times New Roman" w:hAnsi="Times New Roman"/>
                <w:color w:val="000000"/>
                <w:spacing w:val="-2"/>
              </w:rPr>
              <w:t xml:space="preserve">Podjęto również szereg działań ochronnych w zakresie </w:t>
            </w:r>
            <w:proofErr w:type="spellStart"/>
            <w:r w:rsidRPr="000E5F99">
              <w:rPr>
                <w:rFonts w:ascii="Times New Roman" w:hAnsi="Times New Roman"/>
                <w:color w:val="000000"/>
                <w:spacing w:val="-2"/>
              </w:rPr>
              <w:t>odroczeń</w:t>
            </w:r>
            <w:proofErr w:type="spellEnd"/>
            <w:r w:rsidRPr="000E5F99">
              <w:rPr>
                <w:rFonts w:ascii="Times New Roman" w:hAnsi="Times New Roman"/>
                <w:color w:val="000000"/>
                <w:spacing w:val="-2"/>
              </w:rPr>
              <w:t xml:space="preserve"> spłat rat kredytowych, zwłaszcza hipotecznych. Początkowo zakładano termin trwania pomocy do miesiąca po ustaniu stanu zagrożenia, jednak aktualnie zakłada się proporcjonalne wydłużenie tego okresu w zależności od tego jak długo stan epidemiologiczny będzie się utrzymywał. W tym czasie wierzyciele nie mogą domagać się spłaty zobowiązania, zarówno w części kapitałowej jak i odsetkowej. Te same środki wsparcia obejmą również poręczycieli kredytów.</w:t>
            </w:r>
          </w:p>
          <w:p w:rsidR="00910B7F" w:rsidRPr="000E5F99" w:rsidRDefault="00910B7F" w:rsidP="008E02F3">
            <w:pPr>
              <w:spacing w:line="240" w:lineRule="auto"/>
              <w:jc w:val="both"/>
              <w:rPr>
                <w:rFonts w:ascii="Times New Roman" w:hAnsi="Times New Roman"/>
                <w:b/>
                <w:bCs/>
                <w:color w:val="000000"/>
                <w:spacing w:val="-2"/>
              </w:rPr>
            </w:pPr>
            <w:r w:rsidRPr="008E02F3">
              <w:rPr>
                <w:rFonts w:ascii="Times New Roman" w:hAnsi="Times New Roman"/>
                <w:color w:val="000000"/>
                <w:spacing w:val="-2"/>
                <w:u w:val="single"/>
              </w:rPr>
              <w:t>Szwecja</w:t>
            </w:r>
          </w:p>
          <w:p w:rsidR="00715B7C" w:rsidRPr="00715B7C" w:rsidRDefault="00910B7F" w:rsidP="008E02F3">
            <w:pPr>
              <w:spacing w:after="120" w:line="240" w:lineRule="auto"/>
              <w:jc w:val="both"/>
              <w:rPr>
                <w:rFonts w:ascii="Times New Roman" w:hAnsi="Times New Roman"/>
                <w:color w:val="000000"/>
                <w:spacing w:val="-2"/>
                <w:highlight w:val="yellow"/>
              </w:rPr>
            </w:pPr>
            <w:r>
              <w:rPr>
                <w:rFonts w:ascii="Times New Roman" w:hAnsi="Times New Roman"/>
                <w:color w:val="000000"/>
                <w:spacing w:val="-2"/>
              </w:rPr>
              <w:t>D</w:t>
            </w:r>
            <w:r w:rsidRPr="000E5F99">
              <w:rPr>
                <w:rFonts w:ascii="Times New Roman" w:hAnsi="Times New Roman"/>
                <w:color w:val="000000"/>
                <w:spacing w:val="-2"/>
              </w:rPr>
              <w:t>o tej pory nie wprowadzono ograniczeń praw wierzycieli. Nie ma również zawieszenia obowiązku zgłoszenia wniosku o upadłość w przypadku niewypłacalności przedsiębiorstwa, gdy stan niemożności regulowania zobowiązań ma charakter trwały. Przyjęto, iż aktualnie obowiązujące przepisy prawa upadłościowego są na tyle elastyczne, że nie ma powodu do ich nadzwyczajnej nowelizacji.</w:t>
            </w:r>
          </w:p>
        </w:tc>
      </w:tr>
      <w:tr w:rsidR="00F9477F" w:rsidRPr="008D6E94" w:rsidTr="002A37BC">
        <w:trPr>
          <w:trHeight w:val="359"/>
        </w:trPr>
        <w:tc>
          <w:tcPr>
            <w:tcW w:w="11039" w:type="dxa"/>
            <w:gridSpan w:val="28"/>
            <w:shd w:val="clear" w:color="auto" w:fill="99CCFF"/>
            <w:vAlign w:val="center"/>
          </w:tcPr>
          <w:p w:rsidR="00F9477F" w:rsidRPr="004B4C6E" w:rsidRDefault="00F9477F" w:rsidP="005504A7">
            <w:pPr>
              <w:numPr>
                <w:ilvl w:val="0"/>
                <w:numId w:val="1"/>
              </w:numPr>
              <w:spacing w:line="240" w:lineRule="auto"/>
              <w:ind w:left="318" w:hanging="284"/>
              <w:jc w:val="both"/>
              <w:rPr>
                <w:rFonts w:ascii="Times New Roman" w:hAnsi="Times New Roman"/>
                <w:b/>
                <w:color w:val="000000"/>
              </w:rPr>
            </w:pPr>
            <w:r w:rsidRPr="004B4C6E">
              <w:rPr>
                <w:rFonts w:ascii="Times New Roman" w:hAnsi="Times New Roman"/>
                <w:b/>
                <w:color w:val="000000"/>
              </w:rPr>
              <w:t>Podmioty, na które oddziałuje projekt</w:t>
            </w:r>
          </w:p>
        </w:tc>
      </w:tr>
      <w:tr w:rsidR="00F9477F" w:rsidRPr="008D6E94" w:rsidTr="002A37BC">
        <w:trPr>
          <w:trHeight w:val="142"/>
        </w:trPr>
        <w:tc>
          <w:tcPr>
            <w:tcW w:w="2411" w:type="dxa"/>
            <w:gridSpan w:val="6"/>
          </w:tcPr>
          <w:p w:rsidR="00F9477F" w:rsidRPr="004B4C6E" w:rsidRDefault="00F9477F" w:rsidP="005504A7">
            <w:pPr>
              <w:spacing w:line="240" w:lineRule="auto"/>
              <w:jc w:val="center"/>
              <w:rPr>
                <w:rFonts w:ascii="Times New Roman" w:hAnsi="Times New Roman"/>
                <w:color w:val="000000"/>
                <w:spacing w:val="-2"/>
              </w:rPr>
            </w:pPr>
            <w:r w:rsidRPr="004B4C6E">
              <w:rPr>
                <w:rFonts w:ascii="Times New Roman" w:hAnsi="Times New Roman"/>
                <w:color w:val="000000"/>
                <w:spacing w:val="-2"/>
              </w:rPr>
              <w:t>Grupa</w:t>
            </w:r>
          </w:p>
        </w:tc>
        <w:tc>
          <w:tcPr>
            <w:tcW w:w="3212" w:type="dxa"/>
            <w:gridSpan w:val="7"/>
          </w:tcPr>
          <w:p w:rsidR="00F9477F" w:rsidRPr="004B4C6E" w:rsidRDefault="00F9477F" w:rsidP="005504A7">
            <w:pPr>
              <w:spacing w:line="240" w:lineRule="auto"/>
              <w:jc w:val="center"/>
              <w:rPr>
                <w:rFonts w:ascii="Times New Roman" w:hAnsi="Times New Roman"/>
                <w:color w:val="000000"/>
                <w:spacing w:val="-2"/>
              </w:rPr>
            </w:pPr>
            <w:r w:rsidRPr="004B4C6E">
              <w:rPr>
                <w:rFonts w:ascii="Times New Roman" w:hAnsi="Times New Roman"/>
                <w:color w:val="000000"/>
                <w:spacing w:val="-2"/>
              </w:rPr>
              <w:t>Wielkość</w:t>
            </w:r>
          </w:p>
        </w:tc>
        <w:tc>
          <w:tcPr>
            <w:tcW w:w="2268" w:type="dxa"/>
            <w:gridSpan w:val="8"/>
          </w:tcPr>
          <w:p w:rsidR="00F9477F" w:rsidRPr="004B4C6E" w:rsidRDefault="00F9477F" w:rsidP="005504A7">
            <w:pPr>
              <w:spacing w:line="240" w:lineRule="auto"/>
              <w:jc w:val="center"/>
              <w:rPr>
                <w:rFonts w:ascii="Times New Roman" w:hAnsi="Times New Roman"/>
                <w:color w:val="000000"/>
                <w:spacing w:val="-2"/>
              </w:rPr>
            </w:pPr>
            <w:r w:rsidRPr="004B4C6E">
              <w:rPr>
                <w:rFonts w:ascii="Times New Roman" w:hAnsi="Times New Roman"/>
                <w:color w:val="000000"/>
                <w:spacing w:val="-2"/>
              </w:rPr>
              <w:t>Źródło danych</w:t>
            </w:r>
            <w:r w:rsidRPr="004B4C6E" w:rsidDel="00260F33">
              <w:rPr>
                <w:rFonts w:ascii="Times New Roman" w:hAnsi="Times New Roman"/>
                <w:color w:val="000000"/>
                <w:spacing w:val="-2"/>
              </w:rPr>
              <w:t xml:space="preserve"> </w:t>
            </w:r>
          </w:p>
        </w:tc>
        <w:tc>
          <w:tcPr>
            <w:tcW w:w="3148" w:type="dxa"/>
            <w:gridSpan w:val="7"/>
          </w:tcPr>
          <w:p w:rsidR="00F9477F" w:rsidRPr="004B4C6E" w:rsidRDefault="00F9477F" w:rsidP="005504A7">
            <w:pPr>
              <w:spacing w:line="240" w:lineRule="auto"/>
              <w:jc w:val="center"/>
              <w:rPr>
                <w:rFonts w:ascii="Times New Roman" w:hAnsi="Times New Roman"/>
                <w:color w:val="000000"/>
                <w:spacing w:val="-2"/>
              </w:rPr>
            </w:pPr>
            <w:r w:rsidRPr="004B4C6E">
              <w:rPr>
                <w:rFonts w:ascii="Times New Roman" w:hAnsi="Times New Roman"/>
                <w:color w:val="000000"/>
                <w:spacing w:val="-2"/>
              </w:rPr>
              <w:t>Oddziaływanie</w:t>
            </w:r>
          </w:p>
        </w:tc>
      </w:tr>
      <w:tr w:rsidR="00F9477F" w:rsidRPr="008D6E94" w:rsidTr="002A37BC">
        <w:trPr>
          <w:trHeight w:val="142"/>
        </w:trPr>
        <w:tc>
          <w:tcPr>
            <w:tcW w:w="2411" w:type="dxa"/>
            <w:gridSpan w:val="6"/>
          </w:tcPr>
          <w:p w:rsidR="00F9477F" w:rsidRPr="004B4C6E" w:rsidRDefault="008F6D5A" w:rsidP="00B63432">
            <w:pPr>
              <w:spacing w:line="240" w:lineRule="auto"/>
              <w:rPr>
                <w:rFonts w:ascii="Times New Roman" w:hAnsi="Times New Roman"/>
              </w:rPr>
            </w:pPr>
            <w:r w:rsidRPr="00F5553F">
              <w:rPr>
                <w:rFonts w:ascii="Times New Roman" w:hAnsi="Times New Roman"/>
              </w:rPr>
              <w:t>P</w:t>
            </w:r>
            <w:r w:rsidR="00DE59EF" w:rsidRPr="00F5553F">
              <w:rPr>
                <w:rFonts w:ascii="Times New Roman" w:hAnsi="Times New Roman"/>
              </w:rPr>
              <w:t>rzedsiębiorcy</w:t>
            </w:r>
            <w:r w:rsidR="00D334FB" w:rsidRPr="00F5553F">
              <w:rPr>
                <w:rFonts w:ascii="Times New Roman" w:hAnsi="Times New Roman"/>
              </w:rPr>
              <w:t xml:space="preserve"> </w:t>
            </w:r>
            <w:r w:rsidR="00ED24A5" w:rsidRPr="00F5553F">
              <w:rPr>
                <w:rFonts w:ascii="Times New Roman" w:hAnsi="Times New Roman"/>
              </w:rPr>
              <w:t xml:space="preserve">oraz podmioty </w:t>
            </w:r>
            <w:r w:rsidR="00ED24A5" w:rsidRPr="006E030C">
              <w:rPr>
                <w:rFonts w:ascii="Times New Roman" w:hAnsi="Times New Roman"/>
                <w:bCs/>
              </w:rPr>
              <w:t>prowadzące działalność w sektorze produkcji podstawowej produktów rolnych</w:t>
            </w:r>
          </w:p>
        </w:tc>
        <w:tc>
          <w:tcPr>
            <w:tcW w:w="3212" w:type="dxa"/>
            <w:gridSpan w:val="7"/>
          </w:tcPr>
          <w:p w:rsidR="008F6D5A" w:rsidRDefault="006E030C" w:rsidP="00B63432">
            <w:pPr>
              <w:spacing w:line="240" w:lineRule="auto"/>
              <w:rPr>
                <w:rFonts w:ascii="Times New Roman" w:hAnsi="Times New Roman"/>
                <w:color w:val="000000"/>
                <w:spacing w:val="-2"/>
              </w:rPr>
            </w:pPr>
            <w:r>
              <w:rPr>
                <w:rFonts w:ascii="Times New Roman" w:hAnsi="Times New Roman"/>
                <w:color w:val="000000"/>
                <w:spacing w:val="-2"/>
              </w:rPr>
              <w:t xml:space="preserve">Potencjalnie </w:t>
            </w:r>
            <w:r w:rsidR="008F6D5A">
              <w:rPr>
                <w:rFonts w:ascii="Times New Roman" w:hAnsi="Times New Roman"/>
                <w:color w:val="000000"/>
                <w:spacing w:val="-2"/>
              </w:rPr>
              <w:t>ok. 2 mln jednoosobowych przedsiębiorstw osób fizycznych</w:t>
            </w:r>
            <w:r w:rsidR="00F5553F">
              <w:rPr>
                <w:rFonts w:ascii="Times New Roman" w:hAnsi="Times New Roman"/>
                <w:color w:val="000000"/>
                <w:spacing w:val="-2"/>
              </w:rPr>
              <w:t>,</w:t>
            </w:r>
          </w:p>
          <w:p w:rsidR="008F6D5A" w:rsidRDefault="008F6D5A" w:rsidP="00B63432">
            <w:pPr>
              <w:spacing w:line="240" w:lineRule="auto"/>
              <w:rPr>
                <w:rFonts w:ascii="Times New Roman" w:hAnsi="Times New Roman"/>
                <w:color w:val="000000"/>
                <w:spacing w:val="-2"/>
              </w:rPr>
            </w:pPr>
            <w:r>
              <w:rPr>
                <w:rFonts w:ascii="Times New Roman" w:hAnsi="Times New Roman"/>
                <w:color w:val="000000"/>
                <w:spacing w:val="-2"/>
              </w:rPr>
              <w:t>ok. 0,5 mln spółek handlowych</w:t>
            </w:r>
            <w:r w:rsidR="00D334FB">
              <w:rPr>
                <w:rFonts w:ascii="Times New Roman" w:hAnsi="Times New Roman"/>
                <w:color w:val="000000"/>
                <w:spacing w:val="-2"/>
              </w:rPr>
              <w:t>,</w:t>
            </w:r>
          </w:p>
          <w:p w:rsidR="00D334FB" w:rsidRDefault="00F5553F" w:rsidP="00B63432">
            <w:pPr>
              <w:spacing w:line="240" w:lineRule="auto"/>
              <w:rPr>
                <w:rFonts w:ascii="Times New Roman" w:hAnsi="Times New Roman"/>
                <w:color w:val="000000"/>
                <w:spacing w:val="-2"/>
              </w:rPr>
            </w:pPr>
            <w:r>
              <w:rPr>
                <w:rFonts w:ascii="Times New Roman" w:hAnsi="Times New Roman"/>
                <w:color w:val="000000"/>
                <w:spacing w:val="-2"/>
              </w:rPr>
              <w:t xml:space="preserve">ok. </w:t>
            </w:r>
            <w:r w:rsidR="00D334FB" w:rsidRPr="00F5553F">
              <w:rPr>
                <w:rFonts w:ascii="Times New Roman" w:hAnsi="Times New Roman"/>
                <w:color w:val="000000"/>
                <w:spacing w:val="-2"/>
              </w:rPr>
              <w:t xml:space="preserve">1,3 mln </w:t>
            </w:r>
            <w:r w:rsidRPr="00F5553F">
              <w:rPr>
                <w:rFonts w:ascii="Times New Roman" w:hAnsi="Times New Roman"/>
                <w:color w:val="000000"/>
                <w:spacing w:val="-2"/>
              </w:rPr>
              <w:t xml:space="preserve">podmiotów </w:t>
            </w:r>
            <w:r w:rsidRPr="006E030C">
              <w:rPr>
                <w:rFonts w:ascii="Times New Roman" w:hAnsi="Times New Roman"/>
                <w:bCs/>
              </w:rPr>
              <w:t>prowadzących działalność w sektorze produkcji podstawowej produktów rolnych</w:t>
            </w:r>
          </w:p>
          <w:p w:rsidR="00F9477F" w:rsidRDefault="00F9477F" w:rsidP="00B63432">
            <w:pPr>
              <w:spacing w:line="240" w:lineRule="auto"/>
              <w:rPr>
                <w:rFonts w:ascii="Times New Roman" w:hAnsi="Times New Roman"/>
                <w:spacing w:val="-2"/>
              </w:rPr>
            </w:pPr>
          </w:p>
          <w:p w:rsidR="00F5553F" w:rsidRPr="004B4C6E" w:rsidRDefault="00F5553F" w:rsidP="00B63432">
            <w:pPr>
              <w:spacing w:line="240" w:lineRule="auto"/>
              <w:rPr>
                <w:rFonts w:ascii="Times New Roman" w:hAnsi="Times New Roman"/>
                <w:spacing w:val="-2"/>
              </w:rPr>
            </w:pPr>
            <w:r>
              <w:rPr>
                <w:rFonts w:ascii="Times New Roman" w:hAnsi="Times New Roman"/>
                <w:spacing w:val="-2"/>
              </w:rPr>
              <w:t>Na chwilę obecną nie jest możliwe wskazanie ile dokładnie podmiotów skorzysta z dopłat</w:t>
            </w:r>
            <w:r w:rsidR="002340B0">
              <w:rPr>
                <w:rFonts w:ascii="Times New Roman" w:hAnsi="Times New Roman"/>
                <w:spacing w:val="-2"/>
              </w:rPr>
              <w:t xml:space="preserve"> do kredytów bankowych</w:t>
            </w:r>
            <w:r>
              <w:rPr>
                <w:rFonts w:ascii="Times New Roman" w:hAnsi="Times New Roman"/>
                <w:spacing w:val="-2"/>
              </w:rPr>
              <w:t xml:space="preserve">. </w:t>
            </w:r>
            <w:r w:rsidR="006E030C">
              <w:rPr>
                <w:rFonts w:ascii="Times New Roman" w:hAnsi="Times New Roman"/>
                <w:spacing w:val="-2"/>
              </w:rPr>
              <w:t>Przykładowo, z</w:t>
            </w:r>
            <w:r w:rsidRPr="00F5553F">
              <w:rPr>
                <w:rFonts w:ascii="Times New Roman" w:hAnsi="Times New Roman"/>
                <w:spacing w:val="-2"/>
              </w:rPr>
              <w:t xml:space="preserve"> </w:t>
            </w:r>
            <w:r w:rsidRPr="006E030C">
              <w:rPr>
                <w:rStyle w:val="qowt-font10-arial"/>
                <w:rFonts w:ascii="Times New Roman" w:hAnsi="Times New Roman"/>
                <w:bCs/>
              </w:rPr>
              <w:t>badań Polskiego Instytutu Ekonomicznego przeprowadzonych w pierwszych dniach kwietnia 2020 r.</w:t>
            </w:r>
            <w:r>
              <w:rPr>
                <w:rStyle w:val="qowt-font10-arial"/>
                <w:rFonts w:ascii="Times New Roman" w:hAnsi="Times New Roman"/>
                <w:bCs/>
              </w:rPr>
              <w:t xml:space="preserve"> wynika, że </w:t>
            </w:r>
            <w:r>
              <w:rPr>
                <w:rStyle w:val="Pogrubienie"/>
                <w:rFonts w:ascii="Times New Roman" w:hAnsi="Times New Roman"/>
                <w:b w:val="0"/>
              </w:rPr>
              <w:t>n</w:t>
            </w:r>
            <w:r w:rsidRPr="006E030C">
              <w:rPr>
                <w:rStyle w:val="Pogrubienie"/>
                <w:rFonts w:ascii="Times New Roman" w:hAnsi="Times New Roman"/>
                <w:b w:val="0"/>
              </w:rPr>
              <w:t>iemal co piąte przedsiębiorstwo w Polsce nie posiada rezerw finansowych, a 30 proc. posiada zapasy finansowe tylko na miesiąc lub dwa.</w:t>
            </w:r>
            <w:r w:rsidR="006E030C">
              <w:rPr>
                <w:rStyle w:val="qowt-font10-arial"/>
                <w:rFonts w:ascii="Times New Roman" w:hAnsi="Times New Roman"/>
                <w:bCs/>
              </w:rPr>
              <w:t xml:space="preserve"> (</w:t>
            </w:r>
            <w:hyperlink r:id="rId10" w:history="1">
              <w:r w:rsidR="006E030C" w:rsidRPr="000856DA">
                <w:rPr>
                  <w:rStyle w:val="Hipercze"/>
                  <w:rFonts w:ascii="Times New Roman" w:hAnsi="Times New Roman"/>
                  <w:bCs/>
                </w:rPr>
                <w:t>http://pie.net.pl/obnizki-wynagrodzen-w-polowie-firm-i-zwolnienia-w-co-czwartej-to-strategie-przedsiebiorstw-na-pandemie/</w:t>
              </w:r>
            </w:hyperlink>
            <w:r w:rsidR="006E030C">
              <w:rPr>
                <w:rStyle w:val="qowt-font10-arial"/>
                <w:rFonts w:ascii="Times New Roman" w:hAnsi="Times New Roman"/>
                <w:bCs/>
              </w:rPr>
              <w:t>)</w:t>
            </w:r>
          </w:p>
        </w:tc>
        <w:tc>
          <w:tcPr>
            <w:tcW w:w="2268" w:type="dxa"/>
            <w:gridSpan w:val="8"/>
          </w:tcPr>
          <w:p w:rsidR="008F6D5A" w:rsidRDefault="008F6D5A" w:rsidP="00B63432">
            <w:pPr>
              <w:spacing w:line="240" w:lineRule="auto"/>
              <w:rPr>
                <w:rFonts w:ascii="Times New Roman" w:hAnsi="Times New Roman"/>
                <w:spacing w:val="-2"/>
              </w:rPr>
            </w:pPr>
            <w:r>
              <w:rPr>
                <w:rFonts w:ascii="Times New Roman" w:hAnsi="Times New Roman"/>
                <w:spacing w:val="-2"/>
              </w:rPr>
              <w:t>CEIDG</w:t>
            </w:r>
          </w:p>
          <w:p w:rsidR="00F9477F" w:rsidRPr="004B4C6E" w:rsidRDefault="00F9477F" w:rsidP="00B63432">
            <w:pPr>
              <w:spacing w:line="240" w:lineRule="auto"/>
              <w:rPr>
                <w:rFonts w:ascii="Times New Roman" w:hAnsi="Times New Roman"/>
                <w:spacing w:val="-2"/>
              </w:rPr>
            </w:pPr>
            <w:r w:rsidRPr="004B4C6E">
              <w:rPr>
                <w:rFonts w:ascii="Times New Roman" w:hAnsi="Times New Roman"/>
                <w:spacing w:val="-2"/>
              </w:rPr>
              <w:t>Główny Urząd Statystyczny</w:t>
            </w:r>
          </w:p>
        </w:tc>
        <w:tc>
          <w:tcPr>
            <w:tcW w:w="3148" w:type="dxa"/>
            <w:gridSpan w:val="7"/>
          </w:tcPr>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Dostęp do tanich kredytów maj</w:t>
            </w:r>
            <w:r w:rsidR="00C07821">
              <w:rPr>
                <w:rFonts w:ascii="Times New Roman" w:hAnsi="Times New Roman"/>
                <w:spacing w:val="-2"/>
              </w:rPr>
              <w:t>ą</w:t>
            </w:r>
            <w:r w:rsidRPr="004B4C6E">
              <w:rPr>
                <w:rFonts w:ascii="Times New Roman" w:hAnsi="Times New Roman"/>
                <w:spacing w:val="-2"/>
              </w:rPr>
              <w:t>cych na celu ograniczenie ryzyka utraty płynności finansowej w następstwie wprowadzenia stanu zagrożenia epidemicznego oraz stanu epidemii, co powinno</w:t>
            </w:r>
            <w:r w:rsidR="00AE3D10">
              <w:rPr>
                <w:rFonts w:ascii="Times New Roman" w:hAnsi="Times New Roman"/>
                <w:spacing w:val="-2"/>
              </w:rPr>
              <w:t xml:space="preserve"> </w:t>
            </w:r>
            <w:r w:rsidRPr="004B4C6E">
              <w:rPr>
                <w:rFonts w:ascii="Times New Roman" w:hAnsi="Times New Roman"/>
                <w:spacing w:val="-2"/>
              </w:rPr>
              <w:t>się przyczynić do:</w:t>
            </w:r>
          </w:p>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 xml:space="preserve"> - zmniejszenia zatorów płatniczych,</w:t>
            </w:r>
          </w:p>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 xml:space="preserve"> - utrzymania stanu zatrudnienia</w:t>
            </w:r>
            <w:r w:rsidR="004D4B2C">
              <w:rPr>
                <w:rFonts w:ascii="Times New Roman" w:hAnsi="Times New Roman"/>
                <w:spacing w:val="-2"/>
              </w:rPr>
              <w:t>,</w:t>
            </w:r>
          </w:p>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 xml:space="preserve"> - zmniejszenia liczby upadłości przedsiębiorstw</w:t>
            </w:r>
            <w:r w:rsidR="00A03C9E">
              <w:rPr>
                <w:rFonts w:ascii="Times New Roman" w:hAnsi="Times New Roman"/>
                <w:spacing w:val="-2"/>
              </w:rPr>
              <w:t>,</w:t>
            </w:r>
          </w:p>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 xml:space="preserve"> - zmnie</w:t>
            </w:r>
            <w:r>
              <w:rPr>
                <w:rFonts w:ascii="Times New Roman" w:hAnsi="Times New Roman"/>
                <w:spacing w:val="-2"/>
              </w:rPr>
              <w:t>j</w:t>
            </w:r>
            <w:r w:rsidRPr="004B4C6E">
              <w:rPr>
                <w:rFonts w:ascii="Times New Roman" w:hAnsi="Times New Roman"/>
                <w:spacing w:val="-2"/>
              </w:rPr>
              <w:t>szenia liczby zamkniętych lub zawieszonych działalności gospodarczych.</w:t>
            </w:r>
          </w:p>
          <w:p w:rsidR="008F6D5A" w:rsidRPr="004B4C6E" w:rsidRDefault="008F6D5A" w:rsidP="00B63432">
            <w:pPr>
              <w:spacing w:line="240" w:lineRule="auto"/>
              <w:rPr>
                <w:rFonts w:ascii="Times New Roman" w:hAnsi="Times New Roman"/>
                <w:spacing w:val="-2"/>
              </w:rPr>
            </w:pPr>
            <w:r w:rsidRPr="004B4C6E">
              <w:rPr>
                <w:rFonts w:ascii="Times New Roman" w:hAnsi="Times New Roman"/>
                <w:spacing w:val="-2"/>
              </w:rPr>
              <w:t>Duże przedsiębiorstw</w:t>
            </w:r>
            <w:r w:rsidR="00C07821">
              <w:rPr>
                <w:rFonts w:ascii="Times New Roman" w:hAnsi="Times New Roman"/>
                <w:spacing w:val="-2"/>
              </w:rPr>
              <w:t>a</w:t>
            </w:r>
            <w:r w:rsidRPr="004B4C6E">
              <w:rPr>
                <w:rFonts w:ascii="Times New Roman" w:hAnsi="Times New Roman"/>
                <w:spacing w:val="-2"/>
              </w:rPr>
              <w:t xml:space="preserve"> uzyskają możliwość ubiegania</w:t>
            </w:r>
            <w:r w:rsidR="00AE3D10">
              <w:rPr>
                <w:rFonts w:ascii="Times New Roman" w:hAnsi="Times New Roman"/>
                <w:spacing w:val="-2"/>
              </w:rPr>
              <w:t xml:space="preserve"> </w:t>
            </w:r>
            <w:r w:rsidRPr="004B4C6E">
              <w:rPr>
                <w:rFonts w:ascii="Times New Roman" w:hAnsi="Times New Roman"/>
                <w:spacing w:val="-2"/>
              </w:rPr>
              <w:t xml:space="preserve">się o kredyt z dopłatą skarbu państwa do odsetek na poziomie 1 </w:t>
            </w:r>
            <w:proofErr w:type="spellStart"/>
            <w:r w:rsidRPr="004B4C6E">
              <w:rPr>
                <w:rFonts w:ascii="Times New Roman" w:hAnsi="Times New Roman"/>
                <w:spacing w:val="-2"/>
              </w:rPr>
              <w:t>p.p</w:t>
            </w:r>
            <w:proofErr w:type="spellEnd"/>
            <w:r w:rsidRPr="004B4C6E">
              <w:rPr>
                <w:rFonts w:ascii="Times New Roman" w:hAnsi="Times New Roman"/>
                <w:spacing w:val="-2"/>
              </w:rPr>
              <w:t>.</w:t>
            </w:r>
          </w:p>
          <w:p w:rsidR="009D2E56" w:rsidRDefault="008F6D5A" w:rsidP="00B63432">
            <w:pPr>
              <w:spacing w:line="240" w:lineRule="auto"/>
              <w:rPr>
                <w:rFonts w:ascii="Times New Roman" w:hAnsi="Times New Roman"/>
                <w:spacing w:val="-2"/>
              </w:rPr>
            </w:pPr>
            <w:r w:rsidRPr="004B4C6E">
              <w:rPr>
                <w:rFonts w:ascii="Times New Roman" w:hAnsi="Times New Roman"/>
                <w:spacing w:val="-2"/>
              </w:rPr>
              <w:t xml:space="preserve">MŚP uzyskają możliwość ubiegania się o kredyt z dopłatą skarbu państwa do odsetek na poziomie 2 </w:t>
            </w:r>
            <w:proofErr w:type="spellStart"/>
            <w:r w:rsidRPr="004B4C6E">
              <w:rPr>
                <w:rFonts w:ascii="Times New Roman" w:hAnsi="Times New Roman"/>
                <w:spacing w:val="-2"/>
              </w:rPr>
              <w:t>p.p</w:t>
            </w:r>
            <w:proofErr w:type="spellEnd"/>
            <w:r w:rsidRPr="004B4C6E">
              <w:rPr>
                <w:rFonts w:ascii="Times New Roman" w:hAnsi="Times New Roman"/>
                <w:spacing w:val="-2"/>
              </w:rPr>
              <w:t>.</w:t>
            </w:r>
          </w:p>
          <w:p w:rsidR="005C40CF" w:rsidRDefault="005C40CF" w:rsidP="00715B7C">
            <w:pPr>
              <w:spacing w:before="120" w:line="240" w:lineRule="auto"/>
              <w:rPr>
                <w:rFonts w:ascii="Times New Roman" w:hAnsi="Times New Roman"/>
                <w:spacing w:val="-2"/>
              </w:rPr>
            </w:pPr>
            <w:r>
              <w:rPr>
                <w:rFonts w:ascii="Times New Roman" w:hAnsi="Times New Roman"/>
                <w:spacing w:val="-2"/>
              </w:rPr>
              <w:t xml:space="preserve">Możliwość </w:t>
            </w:r>
            <w:r w:rsidRPr="005C40CF">
              <w:rPr>
                <w:rFonts w:ascii="Times New Roman" w:hAnsi="Times New Roman"/>
                <w:spacing w:val="-2"/>
              </w:rPr>
              <w:t xml:space="preserve">otrzymania wsparcia z </w:t>
            </w:r>
            <w:r>
              <w:rPr>
                <w:rFonts w:ascii="Times New Roman" w:hAnsi="Times New Roman"/>
                <w:spacing w:val="-2"/>
              </w:rPr>
              <w:t>FGŚP w sytuacji gdy</w:t>
            </w:r>
            <w:r w:rsidRPr="005C40CF">
              <w:rPr>
                <w:rFonts w:ascii="Times New Roman" w:hAnsi="Times New Roman"/>
                <w:spacing w:val="-2"/>
              </w:rPr>
              <w:t xml:space="preserve"> pomimo spadku obrotów gospodarczych w następstwie COVID-19</w:t>
            </w:r>
            <w:r>
              <w:rPr>
                <w:rFonts w:ascii="Times New Roman" w:hAnsi="Times New Roman"/>
                <w:spacing w:val="-2"/>
              </w:rPr>
              <w:t xml:space="preserve"> </w:t>
            </w:r>
            <w:r w:rsidR="007A1A57">
              <w:rPr>
                <w:rFonts w:ascii="Times New Roman" w:hAnsi="Times New Roman"/>
                <w:spacing w:val="-2"/>
              </w:rPr>
              <w:t xml:space="preserve">nie </w:t>
            </w:r>
            <w:r>
              <w:rPr>
                <w:rFonts w:ascii="Times New Roman" w:hAnsi="Times New Roman"/>
                <w:spacing w:val="-2"/>
              </w:rPr>
              <w:t>objęto</w:t>
            </w:r>
            <w:r w:rsidRPr="005C40CF">
              <w:rPr>
                <w:rFonts w:ascii="Times New Roman" w:hAnsi="Times New Roman"/>
                <w:spacing w:val="-2"/>
              </w:rPr>
              <w:t xml:space="preserve"> pracowników przestojem ekonomicznym lub przestojem wynikającym z art. 81 Kodeksu pracy albo obniżeniem wymiaru czasu pracy</w:t>
            </w:r>
            <w:r>
              <w:rPr>
                <w:rFonts w:ascii="Times New Roman" w:hAnsi="Times New Roman"/>
                <w:spacing w:val="-2"/>
              </w:rPr>
              <w:t xml:space="preserve"> (</w:t>
            </w:r>
            <w:r w:rsidRPr="005C40CF">
              <w:rPr>
                <w:rFonts w:ascii="Times New Roman" w:hAnsi="Times New Roman"/>
                <w:spacing w:val="-2"/>
              </w:rPr>
              <w:t>dofinansowanie wynagrodzenia pracowników do wysokości połowy tych wynagrodzeń, jednak nie więcej niż 40% przeciętnego miesięcznego wynagrodzenia, z wyjątkiem pracowników, który wynagrodzenie było wyższe niż 300 % przeciętnego miesięcznego wynagrodzenia).</w:t>
            </w:r>
          </w:p>
          <w:p w:rsidR="000273BA" w:rsidRDefault="000273BA" w:rsidP="00715B7C">
            <w:pPr>
              <w:spacing w:before="120" w:line="240" w:lineRule="auto"/>
              <w:rPr>
                <w:rFonts w:ascii="Times New Roman" w:hAnsi="Times New Roman"/>
                <w:spacing w:val="-2"/>
              </w:rPr>
            </w:pPr>
            <w:r w:rsidRPr="000273BA">
              <w:rPr>
                <w:rFonts w:ascii="Times New Roman" w:hAnsi="Times New Roman"/>
                <w:spacing w:val="-2"/>
              </w:rPr>
              <w:t>Ułatwienie dostępu do regionalnej pomocy publicznej</w:t>
            </w:r>
            <w:r>
              <w:rPr>
                <w:rFonts w:ascii="Times New Roman" w:hAnsi="Times New Roman"/>
                <w:spacing w:val="-2"/>
              </w:rPr>
              <w:t xml:space="preserve"> (</w:t>
            </w:r>
            <w:r w:rsidR="00C83335">
              <w:rPr>
                <w:rFonts w:ascii="Times New Roman" w:hAnsi="Times New Roman"/>
                <w:spacing w:val="-2"/>
              </w:rPr>
              <w:t>szacunkowo ok.</w:t>
            </w:r>
            <w:r w:rsidR="008A492C">
              <w:rPr>
                <w:rFonts w:ascii="Times New Roman" w:hAnsi="Times New Roman"/>
                <w:spacing w:val="-2"/>
              </w:rPr>
              <w:t xml:space="preserve"> </w:t>
            </w:r>
            <w:r>
              <w:rPr>
                <w:rFonts w:ascii="Times New Roman" w:hAnsi="Times New Roman"/>
                <w:spacing w:val="-2"/>
              </w:rPr>
              <w:t>7,9-12 tys.</w:t>
            </w:r>
            <w:r w:rsidR="00C83335">
              <w:rPr>
                <w:rFonts w:ascii="Times New Roman" w:hAnsi="Times New Roman"/>
                <w:spacing w:val="-2"/>
              </w:rPr>
              <w:t xml:space="preserve"> podmiotów</w:t>
            </w:r>
            <w:r>
              <w:rPr>
                <w:rFonts w:ascii="Times New Roman" w:hAnsi="Times New Roman"/>
                <w:spacing w:val="-2"/>
              </w:rPr>
              <w:t>)</w:t>
            </w:r>
            <w:r w:rsidRPr="000273BA">
              <w:rPr>
                <w:rFonts w:ascii="Times New Roman" w:hAnsi="Times New Roman"/>
                <w:spacing w:val="-2"/>
              </w:rPr>
              <w:t>.</w:t>
            </w:r>
          </w:p>
          <w:p w:rsidR="009D2E56" w:rsidRDefault="009D2E56" w:rsidP="00400913">
            <w:pPr>
              <w:spacing w:before="120" w:line="240" w:lineRule="auto"/>
              <w:rPr>
                <w:rFonts w:ascii="Times New Roman" w:hAnsi="Times New Roman"/>
                <w:spacing w:val="-2"/>
              </w:rPr>
            </w:pPr>
            <w:r>
              <w:rPr>
                <w:rFonts w:ascii="Times New Roman" w:hAnsi="Times New Roman"/>
                <w:spacing w:val="-2"/>
              </w:rPr>
              <w:t xml:space="preserve">Objęcie ochroną </w:t>
            </w:r>
            <w:r w:rsidR="00400913">
              <w:rPr>
                <w:rFonts w:ascii="Times New Roman" w:hAnsi="Times New Roman"/>
                <w:spacing w:val="-2"/>
              </w:rPr>
              <w:t xml:space="preserve">spółek </w:t>
            </w:r>
            <w:r>
              <w:rPr>
                <w:rFonts w:ascii="Times New Roman" w:hAnsi="Times New Roman"/>
                <w:spacing w:val="-2"/>
              </w:rPr>
              <w:t xml:space="preserve">przed przejęciami przez podmioty spoza UE/EOG (gdy próg przychodów ze sprzedaży i usług </w:t>
            </w:r>
            <w:r w:rsidR="00F75716">
              <w:rPr>
                <w:rFonts w:ascii="Times New Roman" w:hAnsi="Times New Roman"/>
                <w:spacing w:val="-2"/>
              </w:rPr>
              <w:t>przekroczył równowartości</w:t>
            </w:r>
            <w:r>
              <w:rPr>
                <w:rFonts w:ascii="Times New Roman" w:hAnsi="Times New Roman"/>
                <w:spacing w:val="-2"/>
              </w:rPr>
              <w:t xml:space="preserve"> 10 mln euro).</w:t>
            </w:r>
          </w:p>
          <w:p w:rsidR="00A75A4C" w:rsidRPr="00A75A4C" w:rsidRDefault="00A75A4C" w:rsidP="00A75A4C">
            <w:pPr>
              <w:spacing w:before="120" w:line="240" w:lineRule="auto"/>
              <w:rPr>
                <w:rFonts w:ascii="Times New Roman" w:hAnsi="Times New Roman"/>
                <w:spacing w:val="-2"/>
              </w:rPr>
            </w:pPr>
            <w:r w:rsidRPr="00A75A4C">
              <w:rPr>
                <w:rFonts w:ascii="Times New Roman" w:hAnsi="Times New Roman"/>
                <w:spacing w:val="-2"/>
              </w:rPr>
              <w:t>Uproszczenie postępowania restrukturyzacyjnego</w:t>
            </w:r>
            <w:r>
              <w:rPr>
                <w:rFonts w:ascii="Times New Roman" w:hAnsi="Times New Roman"/>
                <w:spacing w:val="-2"/>
              </w:rPr>
              <w:t>.</w:t>
            </w:r>
          </w:p>
          <w:p w:rsidR="008A492C" w:rsidRPr="004B4C6E" w:rsidRDefault="00A75A4C" w:rsidP="00A75A4C">
            <w:pPr>
              <w:spacing w:before="120" w:line="240" w:lineRule="auto"/>
              <w:rPr>
                <w:rFonts w:ascii="Times New Roman" w:hAnsi="Times New Roman"/>
                <w:spacing w:val="-2"/>
              </w:rPr>
            </w:pPr>
            <w:r w:rsidRPr="00A75A4C">
              <w:rPr>
                <w:rFonts w:ascii="Times New Roman" w:hAnsi="Times New Roman"/>
                <w:spacing w:val="-2"/>
              </w:rPr>
              <w:t>Ochrona przed egzekucją niektórych wierzycieli po ogłoszeniu otwarcia postępowania  o zatwierdzenie układu</w:t>
            </w:r>
            <w:r>
              <w:rPr>
                <w:rFonts w:ascii="Times New Roman" w:hAnsi="Times New Roman"/>
                <w:spacing w:val="-2"/>
              </w:rPr>
              <w:t>.</w:t>
            </w:r>
          </w:p>
        </w:tc>
      </w:tr>
      <w:tr w:rsidR="00F9477F" w:rsidRPr="008D6E94" w:rsidTr="002A37BC">
        <w:trPr>
          <w:trHeight w:val="142"/>
        </w:trPr>
        <w:tc>
          <w:tcPr>
            <w:tcW w:w="2411" w:type="dxa"/>
            <w:gridSpan w:val="6"/>
          </w:tcPr>
          <w:p w:rsidR="00F9477F" w:rsidRPr="004B4C6E" w:rsidRDefault="008F6D5A" w:rsidP="00B63432">
            <w:pPr>
              <w:spacing w:line="240" w:lineRule="auto"/>
              <w:rPr>
                <w:rFonts w:ascii="Times New Roman" w:hAnsi="Times New Roman"/>
              </w:rPr>
            </w:pPr>
            <w:r>
              <w:rPr>
                <w:rFonts w:ascii="Times New Roman" w:hAnsi="Times New Roman"/>
              </w:rPr>
              <w:t xml:space="preserve">Banki </w:t>
            </w:r>
            <w:r w:rsidR="006E1587">
              <w:rPr>
                <w:rFonts w:ascii="Times New Roman" w:hAnsi="Times New Roman"/>
              </w:rPr>
              <w:t>krajowe, oddziały instytucji kredytowej, oddziały banku zagranicznego</w:t>
            </w:r>
          </w:p>
        </w:tc>
        <w:tc>
          <w:tcPr>
            <w:tcW w:w="3212" w:type="dxa"/>
            <w:gridSpan w:val="7"/>
          </w:tcPr>
          <w:p w:rsidR="00BF278E" w:rsidRDefault="000F5E12" w:rsidP="00B63432">
            <w:pPr>
              <w:spacing w:after="120" w:line="240" w:lineRule="auto"/>
              <w:rPr>
                <w:rFonts w:ascii="Times New Roman" w:hAnsi="Times New Roman"/>
                <w:spacing w:val="-2"/>
              </w:rPr>
            </w:pPr>
            <w:r>
              <w:rPr>
                <w:rFonts w:ascii="Times New Roman" w:hAnsi="Times New Roman"/>
                <w:spacing w:val="-2"/>
              </w:rPr>
              <w:t>W zakresie rozwiązania dot. dopłat do oprocentowania, k</w:t>
            </w:r>
            <w:r w:rsidR="00BF278E">
              <w:rPr>
                <w:rFonts w:ascii="Times New Roman" w:hAnsi="Times New Roman"/>
                <w:spacing w:val="-2"/>
              </w:rPr>
              <w:t>redytów będą udzi</w:t>
            </w:r>
            <w:r w:rsidR="004D3BD8">
              <w:rPr>
                <w:rFonts w:ascii="Times New Roman" w:hAnsi="Times New Roman"/>
                <w:spacing w:val="-2"/>
              </w:rPr>
              <w:t>el</w:t>
            </w:r>
            <w:r w:rsidR="00BF278E">
              <w:rPr>
                <w:rFonts w:ascii="Times New Roman" w:hAnsi="Times New Roman"/>
                <w:spacing w:val="-2"/>
              </w:rPr>
              <w:t xml:space="preserve">ały banki, </w:t>
            </w:r>
            <w:r w:rsidR="00226444">
              <w:rPr>
                <w:rFonts w:ascii="Times New Roman" w:hAnsi="Times New Roman"/>
                <w:spacing w:val="-2"/>
              </w:rPr>
              <w:t xml:space="preserve">w rozumieniu ustawy, </w:t>
            </w:r>
            <w:r w:rsidR="00BF278E">
              <w:rPr>
                <w:rFonts w:ascii="Times New Roman" w:hAnsi="Times New Roman"/>
                <w:spacing w:val="-2"/>
              </w:rPr>
              <w:t>które zdecydują się na zawarcie umowy o współpracę z BGK – lista banków zostanie opublikowana na stronie internetowej BGK</w:t>
            </w:r>
            <w:r w:rsidR="00226444">
              <w:rPr>
                <w:rFonts w:ascii="Times New Roman" w:hAnsi="Times New Roman"/>
                <w:spacing w:val="-2"/>
              </w:rPr>
              <w:t>.</w:t>
            </w:r>
          </w:p>
          <w:p w:rsidR="008F6D5A" w:rsidRPr="004B4C6E" w:rsidRDefault="00BF278E" w:rsidP="00B63432">
            <w:pPr>
              <w:spacing w:line="240" w:lineRule="auto"/>
              <w:rPr>
                <w:rFonts w:ascii="Times New Roman" w:hAnsi="Times New Roman"/>
                <w:spacing w:val="-2"/>
              </w:rPr>
            </w:pPr>
            <w:r>
              <w:rPr>
                <w:rFonts w:ascii="Times New Roman" w:hAnsi="Times New Roman"/>
                <w:spacing w:val="-2"/>
              </w:rPr>
              <w:t>Na chwilę obecną nie jest zatem możliwe wskazanie konkretnej liczby. Przykładowo, zgodnie z danymi KNF jest</w:t>
            </w:r>
            <w:r w:rsidR="00AE3D10">
              <w:rPr>
                <w:rFonts w:ascii="Times New Roman" w:hAnsi="Times New Roman"/>
                <w:spacing w:val="-2"/>
              </w:rPr>
              <w:t xml:space="preserve"> </w:t>
            </w:r>
            <w:r w:rsidR="008F6D5A" w:rsidRPr="004B4C6E">
              <w:rPr>
                <w:rFonts w:ascii="Times New Roman" w:hAnsi="Times New Roman"/>
                <w:spacing w:val="-2"/>
              </w:rPr>
              <w:t xml:space="preserve">29 </w:t>
            </w:r>
            <w:r>
              <w:rPr>
                <w:rFonts w:ascii="Times New Roman" w:hAnsi="Times New Roman"/>
                <w:spacing w:val="-2"/>
              </w:rPr>
              <w:t xml:space="preserve">banków </w:t>
            </w:r>
            <w:r w:rsidR="006C4CAF">
              <w:rPr>
                <w:rFonts w:ascii="Times New Roman" w:hAnsi="Times New Roman"/>
                <w:spacing w:val="-2"/>
              </w:rPr>
              <w:t xml:space="preserve">w formie spółek akcyjnych </w:t>
            </w:r>
            <w:r w:rsidR="008F6D5A" w:rsidRPr="004B4C6E">
              <w:rPr>
                <w:rFonts w:ascii="Times New Roman" w:hAnsi="Times New Roman"/>
                <w:spacing w:val="-2"/>
              </w:rPr>
              <w:t>(bez BGK)</w:t>
            </w:r>
          </w:p>
        </w:tc>
        <w:tc>
          <w:tcPr>
            <w:tcW w:w="2268" w:type="dxa"/>
            <w:gridSpan w:val="8"/>
          </w:tcPr>
          <w:p w:rsidR="00F9477F" w:rsidRDefault="008F6D5A" w:rsidP="00B63432">
            <w:pPr>
              <w:spacing w:line="240" w:lineRule="auto"/>
              <w:rPr>
                <w:rFonts w:ascii="Times New Roman" w:hAnsi="Times New Roman"/>
                <w:spacing w:val="-2"/>
              </w:rPr>
            </w:pPr>
            <w:r w:rsidRPr="004B4C6E">
              <w:rPr>
                <w:rFonts w:ascii="Times New Roman" w:hAnsi="Times New Roman"/>
                <w:spacing w:val="-2"/>
              </w:rPr>
              <w:t>Dane publikowane przez Komisję Nadzoru Finansowego wg stanu na 31.01.2020</w:t>
            </w:r>
            <w:r w:rsidR="00A03C9E">
              <w:rPr>
                <w:rFonts w:ascii="Times New Roman" w:hAnsi="Times New Roman"/>
                <w:spacing w:val="-2"/>
              </w:rPr>
              <w:t xml:space="preserve"> </w:t>
            </w:r>
            <w:r w:rsidRPr="004B4C6E">
              <w:rPr>
                <w:rFonts w:ascii="Times New Roman" w:hAnsi="Times New Roman"/>
                <w:spacing w:val="-2"/>
              </w:rPr>
              <w:t>r.</w:t>
            </w:r>
          </w:p>
          <w:p w:rsidR="006C4CAF" w:rsidRPr="004B4C6E" w:rsidRDefault="008E02F3" w:rsidP="00B63432">
            <w:pPr>
              <w:spacing w:line="240" w:lineRule="auto"/>
              <w:rPr>
                <w:rFonts w:ascii="Times New Roman" w:hAnsi="Times New Roman"/>
                <w:spacing w:val="-2"/>
              </w:rPr>
            </w:pPr>
            <w:hyperlink r:id="rId11" w:history="1">
              <w:r w:rsidR="00A03C9E" w:rsidRPr="001C4A38">
                <w:rPr>
                  <w:rStyle w:val="Hipercze"/>
                  <w:rFonts w:ascii="Times New Roman" w:hAnsi="Times New Roman"/>
                  <w:spacing w:val="-2"/>
                </w:rPr>
                <w:t>https://www.knf.gov.pl/podmioty/Podmioty_sektora_bankowego</w:t>
              </w:r>
            </w:hyperlink>
            <w:r w:rsidR="00A03C9E">
              <w:rPr>
                <w:rFonts w:ascii="Times New Roman" w:hAnsi="Times New Roman"/>
                <w:spacing w:val="-2"/>
              </w:rPr>
              <w:t xml:space="preserve"> </w:t>
            </w:r>
          </w:p>
        </w:tc>
        <w:tc>
          <w:tcPr>
            <w:tcW w:w="3148" w:type="dxa"/>
            <w:gridSpan w:val="7"/>
          </w:tcPr>
          <w:p w:rsidR="00F9477F" w:rsidRPr="004B4C6E" w:rsidRDefault="00093855" w:rsidP="00B63432">
            <w:pPr>
              <w:spacing w:line="240" w:lineRule="auto"/>
              <w:rPr>
                <w:rFonts w:ascii="Times New Roman" w:hAnsi="Times New Roman"/>
                <w:spacing w:val="-2"/>
              </w:rPr>
            </w:pPr>
            <w:r w:rsidRPr="004B4C6E">
              <w:rPr>
                <w:rFonts w:ascii="Times New Roman" w:hAnsi="Times New Roman"/>
                <w:spacing w:val="-2"/>
              </w:rPr>
              <w:t xml:space="preserve">Realizacja obowiązków wynikających z projektowanej ustawy, </w:t>
            </w:r>
            <w:r w:rsidR="00C45F80" w:rsidRPr="004B4C6E">
              <w:rPr>
                <w:rFonts w:ascii="Times New Roman" w:hAnsi="Times New Roman"/>
                <w:spacing w:val="-2"/>
              </w:rPr>
              <w:t>w zakresie zawarcia umów współpracy z BGK oraz udzielania kredytów z dopłatami</w:t>
            </w:r>
            <w:r w:rsidRPr="004B4C6E">
              <w:rPr>
                <w:rFonts w:ascii="Times New Roman" w:hAnsi="Times New Roman"/>
                <w:spacing w:val="-2"/>
              </w:rPr>
              <w:t xml:space="preserve">. </w:t>
            </w:r>
          </w:p>
        </w:tc>
      </w:tr>
      <w:tr w:rsidR="00F9477F" w:rsidRPr="008D6E94" w:rsidTr="002A37BC">
        <w:trPr>
          <w:trHeight w:val="142"/>
        </w:trPr>
        <w:tc>
          <w:tcPr>
            <w:tcW w:w="2411" w:type="dxa"/>
            <w:gridSpan w:val="6"/>
          </w:tcPr>
          <w:p w:rsidR="00F9477F" w:rsidRPr="004B4C6E" w:rsidRDefault="00F9477F" w:rsidP="00B63432">
            <w:pPr>
              <w:spacing w:line="240" w:lineRule="auto"/>
              <w:rPr>
                <w:rFonts w:ascii="Times New Roman" w:hAnsi="Times New Roman"/>
              </w:rPr>
            </w:pPr>
            <w:r w:rsidRPr="004B4C6E">
              <w:rPr>
                <w:rFonts w:ascii="Times New Roman" w:hAnsi="Times New Roman"/>
                <w:color w:val="000000"/>
              </w:rPr>
              <w:t xml:space="preserve">Minister </w:t>
            </w:r>
            <w:r w:rsidR="00DE59EF" w:rsidRPr="004B4C6E">
              <w:rPr>
                <w:rFonts w:ascii="Times New Roman" w:hAnsi="Times New Roman"/>
                <w:color w:val="000000"/>
              </w:rPr>
              <w:t>Rozwoju</w:t>
            </w:r>
          </w:p>
        </w:tc>
        <w:tc>
          <w:tcPr>
            <w:tcW w:w="3212" w:type="dxa"/>
            <w:gridSpan w:val="7"/>
          </w:tcPr>
          <w:p w:rsidR="00F9477F" w:rsidRPr="004B4C6E" w:rsidRDefault="008F6D5A" w:rsidP="00B63432">
            <w:pPr>
              <w:spacing w:line="240" w:lineRule="auto"/>
              <w:rPr>
                <w:rFonts w:ascii="Times New Roman" w:hAnsi="Times New Roman"/>
                <w:spacing w:val="-2"/>
              </w:rPr>
            </w:pPr>
            <w:r>
              <w:rPr>
                <w:rFonts w:ascii="Times New Roman" w:hAnsi="Times New Roman"/>
                <w:spacing w:val="-2"/>
              </w:rPr>
              <w:t>1</w:t>
            </w:r>
          </w:p>
        </w:tc>
        <w:tc>
          <w:tcPr>
            <w:tcW w:w="2268" w:type="dxa"/>
            <w:gridSpan w:val="8"/>
          </w:tcPr>
          <w:p w:rsidR="00F9477F" w:rsidRPr="004B4C6E" w:rsidRDefault="00F9477F" w:rsidP="00B63432">
            <w:pPr>
              <w:spacing w:line="240" w:lineRule="auto"/>
              <w:rPr>
                <w:rFonts w:ascii="Times New Roman" w:hAnsi="Times New Roman"/>
                <w:spacing w:val="-2"/>
              </w:rPr>
            </w:pPr>
            <w:r w:rsidRPr="004B4C6E">
              <w:rPr>
                <w:rFonts w:ascii="Times New Roman" w:hAnsi="Times New Roman"/>
                <w:color w:val="000000"/>
                <w:spacing w:val="-2"/>
              </w:rPr>
              <w:t>Dane własne</w:t>
            </w:r>
          </w:p>
        </w:tc>
        <w:tc>
          <w:tcPr>
            <w:tcW w:w="3148" w:type="dxa"/>
            <w:gridSpan w:val="7"/>
          </w:tcPr>
          <w:p w:rsidR="00F9477F" w:rsidRPr="004B4C6E" w:rsidRDefault="00093855" w:rsidP="00B63432">
            <w:pPr>
              <w:spacing w:line="240" w:lineRule="auto"/>
              <w:rPr>
                <w:rFonts w:ascii="Times New Roman" w:hAnsi="Times New Roman"/>
                <w:spacing w:val="-2"/>
              </w:rPr>
            </w:pPr>
            <w:r w:rsidRPr="004B4C6E">
              <w:rPr>
                <w:rFonts w:ascii="Times New Roman" w:hAnsi="Times New Roman"/>
                <w:spacing w:val="-2"/>
              </w:rPr>
              <w:t>Inicjowanie działań i realizacja obowiązków wynikających z projektowanej ustawy</w:t>
            </w:r>
            <w:r w:rsidR="00A60234">
              <w:rPr>
                <w:rFonts w:ascii="Times New Roman" w:hAnsi="Times New Roman"/>
                <w:spacing w:val="-2"/>
              </w:rPr>
              <w:t xml:space="preserve"> w zakresie rozwiązania dot. dopłat do oprocentowania kredytów</w:t>
            </w:r>
            <w:r w:rsidRPr="004B4C6E">
              <w:rPr>
                <w:rFonts w:ascii="Times New Roman" w:hAnsi="Times New Roman"/>
                <w:spacing w:val="-2"/>
              </w:rPr>
              <w:t>.</w:t>
            </w:r>
          </w:p>
          <w:p w:rsidR="0095001A" w:rsidRDefault="0095001A" w:rsidP="00B63432">
            <w:pPr>
              <w:spacing w:line="240" w:lineRule="auto"/>
              <w:rPr>
                <w:rFonts w:ascii="Times New Roman" w:hAnsi="Times New Roman"/>
                <w:spacing w:val="-2"/>
              </w:rPr>
            </w:pPr>
            <w:r w:rsidRPr="004B4C6E">
              <w:rPr>
                <w:rFonts w:ascii="Times New Roman" w:hAnsi="Times New Roman"/>
                <w:spacing w:val="-2"/>
              </w:rPr>
              <w:t xml:space="preserve">Współpraca z BGK w zakresie </w:t>
            </w:r>
            <w:r w:rsidR="00A454A1" w:rsidRPr="004B4C6E">
              <w:rPr>
                <w:rFonts w:ascii="Times New Roman" w:hAnsi="Times New Roman"/>
                <w:spacing w:val="-2"/>
              </w:rPr>
              <w:t>realizacji</w:t>
            </w:r>
            <w:r w:rsidRPr="004B4C6E">
              <w:rPr>
                <w:rFonts w:ascii="Times New Roman" w:hAnsi="Times New Roman"/>
                <w:spacing w:val="-2"/>
              </w:rPr>
              <w:t xml:space="preserve"> ustawy</w:t>
            </w:r>
            <w:r w:rsidR="00A60234">
              <w:rPr>
                <w:rFonts w:ascii="Times New Roman" w:hAnsi="Times New Roman"/>
                <w:spacing w:val="-2"/>
              </w:rPr>
              <w:t xml:space="preserve"> w tym obszarze</w:t>
            </w:r>
            <w:r w:rsidR="00A03C9E">
              <w:rPr>
                <w:rFonts w:ascii="Times New Roman" w:hAnsi="Times New Roman"/>
                <w:spacing w:val="-2"/>
              </w:rPr>
              <w:t>.</w:t>
            </w:r>
          </w:p>
          <w:p w:rsidR="00EA4B06" w:rsidRPr="004B4C6E" w:rsidRDefault="00EA4B06" w:rsidP="00715B7C">
            <w:pPr>
              <w:spacing w:before="120" w:line="240" w:lineRule="auto"/>
              <w:rPr>
                <w:rFonts w:ascii="Times New Roman" w:hAnsi="Times New Roman"/>
                <w:spacing w:val="-2"/>
              </w:rPr>
            </w:pPr>
            <w:r>
              <w:rPr>
                <w:rFonts w:ascii="Times New Roman" w:hAnsi="Times New Roman"/>
                <w:color w:val="000000"/>
                <w:spacing w:val="-2"/>
              </w:rPr>
              <w:t>Możliwość modyfikacji lub wydłużenia terminu realizowanych umów offsetowych</w:t>
            </w:r>
            <w:r w:rsidR="00715B7C">
              <w:rPr>
                <w:rFonts w:ascii="Times New Roman" w:hAnsi="Times New Roman"/>
                <w:color w:val="000000"/>
                <w:spacing w:val="-2"/>
              </w:rPr>
              <w:t>.</w:t>
            </w:r>
          </w:p>
        </w:tc>
      </w:tr>
      <w:tr w:rsidR="00F9477F" w:rsidRPr="008D6E94" w:rsidTr="002A37BC">
        <w:trPr>
          <w:trHeight w:val="142"/>
        </w:trPr>
        <w:tc>
          <w:tcPr>
            <w:tcW w:w="2411" w:type="dxa"/>
            <w:gridSpan w:val="6"/>
          </w:tcPr>
          <w:p w:rsidR="00F9477F" w:rsidRPr="004B4C6E" w:rsidRDefault="00DE59EF" w:rsidP="00B63432">
            <w:pPr>
              <w:spacing w:line="240" w:lineRule="auto"/>
              <w:rPr>
                <w:rFonts w:ascii="Times New Roman" w:hAnsi="Times New Roman"/>
                <w:color w:val="000000"/>
              </w:rPr>
            </w:pPr>
            <w:r w:rsidRPr="004B4C6E">
              <w:rPr>
                <w:rFonts w:ascii="Times New Roman" w:hAnsi="Times New Roman"/>
                <w:color w:val="000000"/>
              </w:rPr>
              <w:t>BGK</w:t>
            </w:r>
          </w:p>
        </w:tc>
        <w:tc>
          <w:tcPr>
            <w:tcW w:w="3212" w:type="dxa"/>
            <w:gridSpan w:val="7"/>
          </w:tcPr>
          <w:p w:rsidR="00F9477F" w:rsidRPr="004B4C6E" w:rsidRDefault="008F6D5A" w:rsidP="00B63432">
            <w:pPr>
              <w:spacing w:line="240" w:lineRule="auto"/>
              <w:rPr>
                <w:rFonts w:ascii="Times New Roman" w:hAnsi="Times New Roman"/>
                <w:color w:val="000000"/>
                <w:spacing w:val="-2"/>
              </w:rPr>
            </w:pPr>
            <w:r>
              <w:rPr>
                <w:rFonts w:ascii="Times New Roman" w:hAnsi="Times New Roman"/>
                <w:color w:val="000000"/>
                <w:spacing w:val="-2"/>
              </w:rPr>
              <w:t>1</w:t>
            </w:r>
          </w:p>
        </w:tc>
        <w:tc>
          <w:tcPr>
            <w:tcW w:w="2268" w:type="dxa"/>
            <w:gridSpan w:val="8"/>
          </w:tcPr>
          <w:p w:rsidR="00F9477F" w:rsidRPr="004B4C6E" w:rsidDel="008F1E0E" w:rsidRDefault="00BF278E" w:rsidP="00B63432">
            <w:pPr>
              <w:spacing w:line="240" w:lineRule="auto"/>
              <w:rPr>
                <w:rFonts w:ascii="Times New Roman" w:hAnsi="Times New Roman"/>
                <w:color w:val="000000"/>
                <w:spacing w:val="-2"/>
              </w:rPr>
            </w:pPr>
            <w:r>
              <w:rPr>
                <w:rFonts w:ascii="Times New Roman" w:hAnsi="Times New Roman"/>
                <w:color w:val="000000"/>
                <w:spacing w:val="-2"/>
              </w:rPr>
              <w:t>Dane własne</w:t>
            </w:r>
          </w:p>
        </w:tc>
        <w:tc>
          <w:tcPr>
            <w:tcW w:w="3148" w:type="dxa"/>
            <w:gridSpan w:val="7"/>
          </w:tcPr>
          <w:p w:rsidR="00F9477F" w:rsidRPr="004B4C6E" w:rsidRDefault="00093855" w:rsidP="00B63432">
            <w:pPr>
              <w:spacing w:line="240" w:lineRule="auto"/>
              <w:rPr>
                <w:rFonts w:ascii="Times New Roman" w:hAnsi="Times New Roman"/>
                <w:color w:val="000000"/>
                <w:spacing w:val="-2"/>
              </w:rPr>
            </w:pPr>
            <w:r w:rsidRPr="004B4C6E">
              <w:rPr>
                <w:rFonts w:ascii="Times New Roman" w:hAnsi="Times New Roman"/>
                <w:color w:val="000000"/>
                <w:spacing w:val="-2"/>
              </w:rPr>
              <w:t>Realizacja obowiązków wynikających z projektowanej ustawy</w:t>
            </w:r>
            <w:r w:rsidR="00F36E9E">
              <w:rPr>
                <w:rFonts w:ascii="Times New Roman" w:hAnsi="Times New Roman"/>
                <w:color w:val="000000"/>
                <w:spacing w:val="-2"/>
              </w:rPr>
              <w:t xml:space="preserve">, </w:t>
            </w:r>
            <w:r w:rsidR="00F36E9E" w:rsidRPr="004B4C6E">
              <w:rPr>
                <w:rFonts w:ascii="Times New Roman" w:hAnsi="Times New Roman"/>
                <w:color w:val="000000"/>
                <w:spacing w:val="-2"/>
              </w:rPr>
              <w:t>w tym wypłata bankom komercyjnym dopłat do kredytów</w:t>
            </w:r>
            <w:r w:rsidR="00A03C9E">
              <w:rPr>
                <w:rFonts w:ascii="Times New Roman" w:hAnsi="Times New Roman"/>
                <w:color w:val="000000"/>
                <w:spacing w:val="-2"/>
              </w:rPr>
              <w:t>.</w:t>
            </w:r>
          </w:p>
        </w:tc>
      </w:tr>
      <w:tr w:rsidR="00810EF2" w:rsidRPr="008D6E94" w:rsidTr="002A37BC">
        <w:trPr>
          <w:trHeight w:val="142"/>
        </w:trPr>
        <w:tc>
          <w:tcPr>
            <w:tcW w:w="2411" w:type="dxa"/>
            <w:gridSpan w:val="6"/>
          </w:tcPr>
          <w:p w:rsidR="00810EF2" w:rsidRPr="002340B0" w:rsidRDefault="00810EF2" w:rsidP="00B63432">
            <w:pPr>
              <w:spacing w:line="240" w:lineRule="auto"/>
              <w:rPr>
                <w:rFonts w:ascii="Times New Roman" w:hAnsi="Times New Roman"/>
                <w:color w:val="000000"/>
              </w:rPr>
            </w:pPr>
            <w:r w:rsidRPr="002340B0">
              <w:rPr>
                <w:rFonts w:ascii="Times New Roman" w:hAnsi="Times New Roman"/>
              </w:rPr>
              <w:t xml:space="preserve">Zamawiający: jednostki sektora finansów publicznych, państwowe jednostki organizacyjne nieposiadające osobowości prawnej, podmioty prawa publicznego, związki tych jednostek lub podmiotów oraz przedsiębiorstwa działające w sektorach gospodarki wodnej, energetyki, transportu i usług pocztowych </w:t>
            </w:r>
          </w:p>
        </w:tc>
        <w:tc>
          <w:tcPr>
            <w:tcW w:w="3212" w:type="dxa"/>
            <w:gridSpan w:val="7"/>
          </w:tcPr>
          <w:p w:rsidR="00810EF2" w:rsidRPr="002340B0" w:rsidRDefault="00810EF2" w:rsidP="00B63432">
            <w:pPr>
              <w:spacing w:line="240" w:lineRule="auto"/>
              <w:rPr>
                <w:rFonts w:ascii="Times New Roman" w:hAnsi="Times New Roman"/>
                <w:color w:val="000000"/>
                <w:spacing w:val="-2"/>
              </w:rPr>
            </w:pPr>
            <w:r w:rsidRPr="002340B0">
              <w:rPr>
                <w:rFonts w:ascii="Times New Roman" w:hAnsi="Times New Roman"/>
                <w:spacing w:val="-2"/>
              </w:rPr>
              <w:t>33 049</w:t>
            </w:r>
          </w:p>
        </w:tc>
        <w:tc>
          <w:tcPr>
            <w:tcW w:w="2268" w:type="dxa"/>
            <w:gridSpan w:val="8"/>
          </w:tcPr>
          <w:p w:rsidR="00810EF2" w:rsidRPr="002340B0" w:rsidRDefault="00A03C9E" w:rsidP="00B63432">
            <w:pPr>
              <w:pStyle w:val="Default"/>
              <w:rPr>
                <w:color w:val="auto"/>
                <w:sz w:val="22"/>
                <w:szCs w:val="22"/>
              </w:rPr>
            </w:pPr>
            <w:r>
              <w:rPr>
                <w:color w:val="auto"/>
                <w:sz w:val="22"/>
                <w:szCs w:val="22"/>
              </w:rPr>
              <w:t>S</w:t>
            </w:r>
            <w:r w:rsidRPr="002340B0">
              <w:rPr>
                <w:color w:val="auto"/>
                <w:sz w:val="22"/>
                <w:szCs w:val="22"/>
              </w:rPr>
              <w:t xml:space="preserve">prawozdanie </w:t>
            </w:r>
            <w:r w:rsidR="00810EF2" w:rsidRPr="002340B0">
              <w:rPr>
                <w:color w:val="auto"/>
                <w:sz w:val="22"/>
                <w:szCs w:val="22"/>
              </w:rPr>
              <w:t xml:space="preserve">Prezesa Urzędu Zamówień Publicznych o funkcjonowaniu systemu zamówień publicznych </w:t>
            </w:r>
          </w:p>
          <w:p w:rsidR="00810EF2" w:rsidRPr="002340B0" w:rsidRDefault="00810EF2" w:rsidP="00B63432">
            <w:pPr>
              <w:pStyle w:val="Default"/>
              <w:rPr>
                <w:color w:val="auto"/>
                <w:sz w:val="22"/>
                <w:szCs w:val="22"/>
              </w:rPr>
            </w:pPr>
            <w:r w:rsidRPr="002340B0">
              <w:rPr>
                <w:color w:val="auto"/>
                <w:sz w:val="22"/>
                <w:szCs w:val="22"/>
              </w:rPr>
              <w:t xml:space="preserve">w 2018 r. </w:t>
            </w:r>
          </w:p>
          <w:p w:rsidR="00810EF2" w:rsidRPr="002340B0" w:rsidDel="008F1E0E" w:rsidRDefault="00810EF2" w:rsidP="00B63432">
            <w:pPr>
              <w:spacing w:line="240" w:lineRule="auto"/>
              <w:jc w:val="center"/>
              <w:rPr>
                <w:rFonts w:ascii="Times New Roman" w:hAnsi="Times New Roman"/>
                <w:color w:val="000000"/>
                <w:spacing w:val="-2"/>
              </w:rPr>
            </w:pPr>
          </w:p>
        </w:tc>
        <w:tc>
          <w:tcPr>
            <w:tcW w:w="3148" w:type="dxa"/>
            <w:gridSpan w:val="7"/>
          </w:tcPr>
          <w:p w:rsidR="00810EF2" w:rsidRPr="002340B0" w:rsidRDefault="00810EF2" w:rsidP="00B63432">
            <w:pPr>
              <w:pStyle w:val="Default"/>
              <w:rPr>
                <w:color w:val="auto"/>
                <w:sz w:val="22"/>
                <w:szCs w:val="22"/>
              </w:rPr>
            </w:pPr>
            <w:r w:rsidRPr="002340B0">
              <w:rPr>
                <w:color w:val="auto"/>
                <w:sz w:val="22"/>
                <w:szCs w:val="22"/>
              </w:rPr>
              <w:t xml:space="preserve">Zmiana praw i obowiązków zamawiających z uwagi na m.in.: </w:t>
            </w:r>
          </w:p>
          <w:p w:rsidR="00810EF2" w:rsidRPr="002340B0" w:rsidRDefault="00810EF2" w:rsidP="00B63432">
            <w:pPr>
              <w:pStyle w:val="Default"/>
              <w:rPr>
                <w:color w:val="auto"/>
                <w:sz w:val="22"/>
                <w:szCs w:val="22"/>
              </w:rPr>
            </w:pPr>
            <w:r w:rsidRPr="002340B0">
              <w:rPr>
                <w:color w:val="auto"/>
                <w:sz w:val="22"/>
                <w:szCs w:val="22"/>
              </w:rPr>
              <w:t>- ograniczenia w dopuszczalności dokonywania potrąceń kar umownych z wynagrodzenia wykonawcy lub innej przysługującej mu wierzytelności;</w:t>
            </w:r>
          </w:p>
          <w:p w:rsidR="00810EF2" w:rsidRPr="002340B0" w:rsidRDefault="00810EF2" w:rsidP="00B63432">
            <w:pPr>
              <w:pStyle w:val="Default"/>
              <w:rPr>
                <w:color w:val="auto"/>
                <w:sz w:val="22"/>
                <w:szCs w:val="22"/>
              </w:rPr>
            </w:pPr>
            <w:r w:rsidRPr="002340B0">
              <w:rPr>
                <w:color w:val="auto"/>
                <w:sz w:val="22"/>
                <w:szCs w:val="22"/>
              </w:rPr>
              <w:t>- obowiązek zapłaty wynagrodzenia w częściach lub udzielenia zaliczek w przypadku dłuższych umów o udzielenie zamówienia publicznego;</w:t>
            </w:r>
          </w:p>
          <w:p w:rsidR="00810EF2" w:rsidRPr="002340B0" w:rsidRDefault="00810EF2" w:rsidP="00B63432">
            <w:pPr>
              <w:spacing w:line="240" w:lineRule="auto"/>
              <w:rPr>
                <w:rFonts w:ascii="Times New Roman" w:hAnsi="Times New Roman"/>
                <w:color w:val="000000"/>
                <w:spacing w:val="-2"/>
              </w:rPr>
            </w:pPr>
            <w:r w:rsidRPr="002340B0">
              <w:rPr>
                <w:rFonts w:ascii="Times New Roman" w:hAnsi="Times New Roman"/>
              </w:rPr>
              <w:t>- obniżenie dopuszczalnej wysokości wadium</w:t>
            </w:r>
            <w:r w:rsidR="00A03C9E">
              <w:rPr>
                <w:rFonts w:ascii="Times New Roman" w:hAnsi="Times New Roman"/>
              </w:rPr>
              <w:t>.</w:t>
            </w:r>
          </w:p>
        </w:tc>
      </w:tr>
      <w:tr w:rsidR="00810EF2" w:rsidRPr="008D6E94" w:rsidTr="002A37BC">
        <w:trPr>
          <w:trHeight w:val="142"/>
        </w:trPr>
        <w:tc>
          <w:tcPr>
            <w:tcW w:w="2411" w:type="dxa"/>
            <w:gridSpan w:val="6"/>
          </w:tcPr>
          <w:p w:rsidR="00810EF2" w:rsidRPr="002340B0" w:rsidRDefault="00810EF2" w:rsidP="00B63432">
            <w:pPr>
              <w:pStyle w:val="Default"/>
              <w:rPr>
                <w:color w:val="auto"/>
                <w:sz w:val="22"/>
                <w:szCs w:val="22"/>
              </w:rPr>
            </w:pPr>
            <w:r w:rsidRPr="002340B0">
              <w:rPr>
                <w:color w:val="auto"/>
                <w:sz w:val="22"/>
                <w:szCs w:val="22"/>
              </w:rPr>
              <w:t xml:space="preserve">Wykonawcy/przedsiębiorcy: osoby prawne lub jednostki nieposiadające osobowości prawnej, osoby fizyczne </w:t>
            </w:r>
          </w:p>
          <w:p w:rsidR="00810EF2" w:rsidRPr="002340B0" w:rsidRDefault="00810EF2" w:rsidP="00B63432">
            <w:pPr>
              <w:spacing w:line="240" w:lineRule="auto"/>
              <w:rPr>
                <w:rFonts w:ascii="Times New Roman" w:hAnsi="Times New Roman"/>
                <w:color w:val="000000"/>
              </w:rPr>
            </w:pPr>
          </w:p>
        </w:tc>
        <w:tc>
          <w:tcPr>
            <w:tcW w:w="3212" w:type="dxa"/>
            <w:gridSpan w:val="7"/>
          </w:tcPr>
          <w:p w:rsidR="00810EF2" w:rsidRPr="005552B6" w:rsidRDefault="00810EF2" w:rsidP="005552B6">
            <w:pPr>
              <w:pStyle w:val="Default"/>
              <w:rPr>
                <w:color w:val="auto"/>
                <w:sz w:val="22"/>
                <w:szCs w:val="22"/>
              </w:rPr>
            </w:pPr>
            <w:r w:rsidRPr="002340B0">
              <w:rPr>
                <w:color w:val="auto"/>
                <w:sz w:val="22"/>
                <w:szCs w:val="22"/>
              </w:rPr>
              <w:t>Około 200 tysięcy potencjalnych wykonawców zamówień publicznych, w tym małe (ok. 57 tys.) i średnie (</w:t>
            </w:r>
            <w:r w:rsidR="005552B6">
              <w:rPr>
                <w:color w:val="auto"/>
                <w:sz w:val="22"/>
                <w:szCs w:val="22"/>
              </w:rPr>
              <w:t xml:space="preserve">ok. 15 tys.) przedsiębiorstwa. </w:t>
            </w:r>
          </w:p>
        </w:tc>
        <w:tc>
          <w:tcPr>
            <w:tcW w:w="2268" w:type="dxa"/>
            <w:gridSpan w:val="8"/>
          </w:tcPr>
          <w:p w:rsidR="00810EF2" w:rsidRPr="002340B0" w:rsidRDefault="00E2799E" w:rsidP="00B63432">
            <w:pPr>
              <w:pStyle w:val="Default"/>
              <w:rPr>
                <w:color w:val="auto"/>
                <w:sz w:val="22"/>
                <w:szCs w:val="22"/>
              </w:rPr>
            </w:pPr>
            <w:r>
              <w:rPr>
                <w:color w:val="auto"/>
                <w:sz w:val="22"/>
                <w:szCs w:val="22"/>
              </w:rPr>
              <w:t>D</w:t>
            </w:r>
            <w:r w:rsidR="00810EF2" w:rsidRPr="002340B0">
              <w:rPr>
                <w:color w:val="auto"/>
                <w:sz w:val="22"/>
                <w:szCs w:val="22"/>
              </w:rPr>
              <w:t xml:space="preserve">ane REGON GUS. </w:t>
            </w:r>
          </w:p>
          <w:p w:rsidR="00810EF2" w:rsidRPr="002340B0" w:rsidRDefault="00810EF2" w:rsidP="00B63432">
            <w:pPr>
              <w:spacing w:line="240" w:lineRule="auto"/>
              <w:rPr>
                <w:rFonts w:ascii="Times New Roman" w:hAnsi="Times New Roman"/>
                <w:spacing w:val="-2"/>
              </w:rPr>
            </w:pPr>
          </w:p>
          <w:p w:rsidR="00810EF2" w:rsidRPr="002340B0" w:rsidRDefault="00810EF2" w:rsidP="00B63432">
            <w:pPr>
              <w:spacing w:line="240" w:lineRule="auto"/>
              <w:rPr>
                <w:rFonts w:ascii="Times New Roman" w:hAnsi="Times New Roman"/>
              </w:rPr>
            </w:pPr>
          </w:p>
          <w:p w:rsidR="00810EF2" w:rsidRPr="002340B0" w:rsidDel="008F1E0E" w:rsidRDefault="00810EF2" w:rsidP="00B63432">
            <w:pPr>
              <w:spacing w:line="240" w:lineRule="auto"/>
              <w:jc w:val="center"/>
              <w:rPr>
                <w:rFonts w:ascii="Times New Roman" w:hAnsi="Times New Roman"/>
                <w:color w:val="000000"/>
                <w:spacing w:val="-2"/>
              </w:rPr>
            </w:pPr>
          </w:p>
        </w:tc>
        <w:tc>
          <w:tcPr>
            <w:tcW w:w="3148" w:type="dxa"/>
            <w:gridSpan w:val="7"/>
          </w:tcPr>
          <w:p w:rsidR="00810EF2" w:rsidRPr="002340B0" w:rsidRDefault="00810EF2" w:rsidP="00B63432">
            <w:pPr>
              <w:pStyle w:val="Default"/>
              <w:spacing w:after="120"/>
              <w:rPr>
                <w:color w:val="auto"/>
                <w:sz w:val="22"/>
                <w:szCs w:val="22"/>
              </w:rPr>
            </w:pPr>
            <w:r w:rsidRPr="002340B0">
              <w:rPr>
                <w:color w:val="auto"/>
                <w:sz w:val="22"/>
                <w:szCs w:val="22"/>
              </w:rPr>
              <w:t>Zmniejszenie kosztów udziału przedsiębiorców w postępowaniach; ułatwienie wykonania zamówienia publicznego; poprawa płynności finansowej.</w:t>
            </w:r>
          </w:p>
          <w:p w:rsidR="00810EF2" w:rsidRPr="002340B0" w:rsidRDefault="00810EF2" w:rsidP="00B63432">
            <w:pPr>
              <w:spacing w:line="240" w:lineRule="auto"/>
              <w:rPr>
                <w:rFonts w:ascii="Times New Roman" w:hAnsi="Times New Roman"/>
                <w:color w:val="000000"/>
                <w:spacing w:val="-2"/>
              </w:rPr>
            </w:pPr>
          </w:p>
        </w:tc>
      </w:tr>
      <w:tr w:rsidR="00DE72D8" w:rsidRPr="008D6E94" w:rsidTr="002A37BC">
        <w:trPr>
          <w:trHeight w:val="142"/>
        </w:trPr>
        <w:tc>
          <w:tcPr>
            <w:tcW w:w="2411" w:type="dxa"/>
            <w:gridSpan w:val="6"/>
          </w:tcPr>
          <w:p w:rsidR="00DE72D8" w:rsidRPr="002340B0" w:rsidRDefault="00715B7C" w:rsidP="00715B7C">
            <w:pPr>
              <w:spacing w:line="240" w:lineRule="auto"/>
              <w:rPr>
                <w:rFonts w:ascii="Times New Roman" w:hAnsi="Times New Roman"/>
                <w:color w:val="000000"/>
              </w:rPr>
            </w:pPr>
            <w:r>
              <w:rPr>
                <w:rFonts w:ascii="Times New Roman" w:hAnsi="Times New Roman"/>
                <w:color w:val="000000"/>
              </w:rPr>
              <w:t>Osoby biorące udział w procedurze sporządzania aktów planistycznych</w:t>
            </w:r>
            <w:r w:rsidR="00DE72D8" w:rsidRPr="002340B0">
              <w:rPr>
                <w:rFonts w:ascii="Times New Roman" w:hAnsi="Times New Roman"/>
                <w:color w:val="000000"/>
              </w:rPr>
              <w:t xml:space="preserve"> </w:t>
            </w:r>
          </w:p>
        </w:tc>
        <w:tc>
          <w:tcPr>
            <w:tcW w:w="3212" w:type="dxa"/>
            <w:gridSpan w:val="7"/>
          </w:tcPr>
          <w:p w:rsidR="00DE72D8" w:rsidRPr="002340B0" w:rsidRDefault="00715B7C" w:rsidP="00B63432">
            <w:pPr>
              <w:spacing w:line="240" w:lineRule="auto"/>
              <w:rPr>
                <w:rFonts w:ascii="Times New Roman" w:hAnsi="Times New Roman"/>
                <w:color w:val="000000"/>
                <w:spacing w:val="-2"/>
              </w:rPr>
            </w:pPr>
            <w:r>
              <w:rPr>
                <w:rFonts w:ascii="Times New Roman" w:hAnsi="Times New Roman"/>
                <w:color w:val="000000"/>
                <w:spacing w:val="-2"/>
              </w:rPr>
              <w:t>b.d.</w:t>
            </w:r>
          </w:p>
        </w:tc>
        <w:tc>
          <w:tcPr>
            <w:tcW w:w="2268" w:type="dxa"/>
            <w:gridSpan w:val="8"/>
          </w:tcPr>
          <w:p w:rsidR="00DE72D8" w:rsidRPr="002340B0" w:rsidDel="008F1E0E" w:rsidRDefault="00DE72D8" w:rsidP="00273EC6">
            <w:pPr>
              <w:spacing w:line="240" w:lineRule="auto"/>
              <w:rPr>
                <w:rFonts w:ascii="Times New Roman" w:hAnsi="Times New Roman"/>
                <w:color w:val="000000"/>
                <w:spacing w:val="-2"/>
              </w:rPr>
            </w:pPr>
          </w:p>
        </w:tc>
        <w:tc>
          <w:tcPr>
            <w:tcW w:w="3148" w:type="dxa"/>
            <w:gridSpan w:val="7"/>
          </w:tcPr>
          <w:p w:rsidR="00DE72D8" w:rsidRPr="002340B0" w:rsidRDefault="00A60234" w:rsidP="00A60234">
            <w:pPr>
              <w:spacing w:line="240" w:lineRule="auto"/>
              <w:rPr>
                <w:rFonts w:ascii="Times New Roman" w:hAnsi="Times New Roman"/>
                <w:color w:val="000000"/>
                <w:spacing w:val="-2"/>
              </w:rPr>
            </w:pPr>
            <w:r>
              <w:rPr>
                <w:rFonts w:ascii="Times New Roman" w:hAnsi="Times New Roman"/>
                <w:color w:val="000000"/>
                <w:spacing w:val="-2"/>
              </w:rPr>
              <w:t>U</w:t>
            </w:r>
            <w:r w:rsidR="00DE72D8" w:rsidRPr="002340B0">
              <w:rPr>
                <w:rFonts w:ascii="Times New Roman" w:hAnsi="Times New Roman"/>
                <w:color w:val="000000"/>
                <w:spacing w:val="-2"/>
              </w:rPr>
              <w:t>możliwienie uczestnictwa w procedurze sporządzania aktów planistycznych za pośrednictwem środków komunikacji elektronicznej</w:t>
            </w:r>
            <w:r w:rsidR="00A03C9E">
              <w:rPr>
                <w:rFonts w:ascii="Times New Roman" w:hAnsi="Times New Roman"/>
                <w:color w:val="000000"/>
                <w:spacing w:val="-2"/>
              </w:rPr>
              <w:t>.</w:t>
            </w:r>
          </w:p>
        </w:tc>
      </w:tr>
      <w:tr w:rsidR="00DE72D8" w:rsidRPr="008D6E94" w:rsidTr="002A37BC">
        <w:trPr>
          <w:trHeight w:val="142"/>
        </w:trPr>
        <w:tc>
          <w:tcPr>
            <w:tcW w:w="2411" w:type="dxa"/>
            <w:gridSpan w:val="6"/>
          </w:tcPr>
          <w:p w:rsidR="00DE72D8" w:rsidRPr="002340B0" w:rsidRDefault="00B63432" w:rsidP="00B63432">
            <w:pPr>
              <w:spacing w:line="240" w:lineRule="auto"/>
              <w:rPr>
                <w:rFonts w:ascii="Times New Roman" w:hAnsi="Times New Roman"/>
                <w:color w:val="000000"/>
              </w:rPr>
            </w:pPr>
            <w:r>
              <w:rPr>
                <w:rFonts w:ascii="Times New Roman" w:hAnsi="Times New Roman"/>
                <w:color w:val="000000"/>
                <w:spacing w:val="-2"/>
              </w:rPr>
              <w:t>K</w:t>
            </w:r>
            <w:r w:rsidR="00DE72D8" w:rsidRPr="002340B0">
              <w:rPr>
                <w:rFonts w:ascii="Times New Roman" w:hAnsi="Times New Roman"/>
                <w:color w:val="000000"/>
                <w:spacing w:val="-2"/>
              </w:rPr>
              <w:t>redytobiorcy korzystający z wsparcia z ustawy o finansowym wsparciu rodzin i innych osób w nabywaniu własnego mieszkania</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40 tys.</w:t>
            </w:r>
          </w:p>
        </w:tc>
        <w:tc>
          <w:tcPr>
            <w:tcW w:w="2268" w:type="dxa"/>
            <w:gridSpan w:val="8"/>
          </w:tcPr>
          <w:p w:rsidR="00DE72D8" w:rsidRPr="002340B0" w:rsidDel="008F1E0E" w:rsidRDefault="00DE72D8" w:rsidP="00273EC6">
            <w:pPr>
              <w:spacing w:line="240" w:lineRule="auto"/>
              <w:rPr>
                <w:rFonts w:ascii="Times New Roman" w:hAnsi="Times New Roman"/>
                <w:color w:val="000000"/>
                <w:spacing w:val="-2"/>
              </w:rPr>
            </w:pPr>
            <w:r w:rsidRPr="002340B0">
              <w:rPr>
                <w:rFonts w:ascii="Times New Roman" w:hAnsi="Times New Roman"/>
                <w:color w:val="000000"/>
                <w:spacing w:val="-2"/>
              </w:rPr>
              <w:t>M</w:t>
            </w:r>
            <w:r w:rsidR="00A03C9E">
              <w:rPr>
                <w:rFonts w:ascii="Times New Roman" w:hAnsi="Times New Roman"/>
                <w:color w:val="000000"/>
                <w:spacing w:val="-2"/>
              </w:rPr>
              <w:t xml:space="preserve">inisterstwo </w:t>
            </w:r>
            <w:r w:rsidRPr="002340B0">
              <w:rPr>
                <w:rFonts w:ascii="Times New Roman" w:hAnsi="Times New Roman"/>
                <w:color w:val="000000"/>
                <w:spacing w:val="-2"/>
              </w:rPr>
              <w:t>R</w:t>
            </w:r>
            <w:r w:rsidR="00A03C9E">
              <w:rPr>
                <w:rFonts w:ascii="Times New Roman" w:hAnsi="Times New Roman"/>
                <w:color w:val="000000"/>
                <w:spacing w:val="-2"/>
              </w:rPr>
              <w:t>ozwoju</w:t>
            </w:r>
          </w:p>
        </w:tc>
        <w:tc>
          <w:tcPr>
            <w:tcW w:w="3148" w:type="dxa"/>
            <w:gridSpan w:val="7"/>
          </w:tcPr>
          <w:p w:rsidR="00DE72D8"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O</w:t>
            </w:r>
            <w:r w:rsidR="00DE72D8" w:rsidRPr="002340B0">
              <w:rPr>
                <w:rFonts w:ascii="Times New Roman" w:hAnsi="Times New Roman"/>
                <w:color w:val="000000"/>
                <w:spacing w:val="-2"/>
              </w:rPr>
              <w:t>kres zawieszenia spłaty rat kapitałowo-odsetkowych lub odsetkowych na wniosek kredytobiorcy, zgłoszony w okresie ogłoszenia zagrożenia epidemicznego albo stanu epidemii, nie zostanie wliczony do okresu stosowania dopłat. Jednocześnie ob</w:t>
            </w:r>
            <w:r w:rsidR="00A03C9E">
              <w:rPr>
                <w:rFonts w:ascii="Times New Roman" w:hAnsi="Times New Roman"/>
                <w:color w:val="000000"/>
                <w:spacing w:val="-2"/>
              </w:rPr>
              <w:t>o</w:t>
            </w:r>
            <w:r w:rsidR="00DE72D8" w:rsidRPr="002340B0">
              <w:rPr>
                <w:rFonts w:ascii="Times New Roman" w:hAnsi="Times New Roman"/>
                <w:color w:val="000000"/>
                <w:spacing w:val="-2"/>
              </w:rPr>
              <w:t>wiązek zostanie zastąpiony możliwością kapitalizacji odsetek po wznowieniu spłaty. W przypadku zawieszenia spłat jedynie rat kapitałowych stosowane będą dopłaty do odsetek. Regulacje te w istotny sposób odciążą zobowiązania kredytowe w czasie dekoniunktury. Szacuje się, że z proponowanego rozwiązania skorzysta do 20% kredytobiorców.</w:t>
            </w:r>
          </w:p>
        </w:tc>
      </w:tr>
      <w:tr w:rsidR="00A03C9E" w:rsidRPr="008D6E94" w:rsidTr="002A37BC">
        <w:trPr>
          <w:trHeight w:val="142"/>
        </w:trPr>
        <w:tc>
          <w:tcPr>
            <w:tcW w:w="2411" w:type="dxa"/>
            <w:gridSpan w:val="6"/>
          </w:tcPr>
          <w:p w:rsidR="00A03C9E" w:rsidRPr="002340B0" w:rsidRDefault="00A03C9E" w:rsidP="00B63432">
            <w:pPr>
              <w:spacing w:line="240" w:lineRule="auto"/>
              <w:rPr>
                <w:rFonts w:ascii="Times New Roman" w:hAnsi="Times New Roman"/>
                <w:color w:val="000000"/>
              </w:rPr>
            </w:pPr>
            <w:r>
              <w:rPr>
                <w:rFonts w:ascii="Times New Roman" w:hAnsi="Times New Roman"/>
                <w:color w:val="000000"/>
              </w:rPr>
              <w:t>K</w:t>
            </w:r>
            <w:r w:rsidRPr="002340B0">
              <w:rPr>
                <w:rFonts w:ascii="Times New Roman" w:hAnsi="Times New Roman"/>
                <w:color w:val="000000"/>
              </w:rPr>
              <w:t>redytobiorcy korzystający z wsparcia z ustawy o pomocy państwa w spłacie niektórych kredytów mieszkaniowych, udzielaniu premii gwarancyjnych oraz refundacji bankom wypłaconych premii gwarancyjnych</w:t>
            </w:r>
          </w:p>
        </w:tc>
        <w:tc>
          <w:tcPr>
            <w:tcW w:w="3212" w:type="dxa"/>
            <w:gridSpan w:val="7"/>
          </w:tcPr>
          <w:p w:rsidR="00A03C9E" w:rsidRPr="002340B0" w:rsidRDefault="00A03C9E" w:rsidP="00B63432">
            <w:pPr>
              <w:spacing w:line="240" w:lineRule="auto"/>
              <w:rPr>
                <w:rFonts w:ascii="Times New Roman" w:hAnsi="Times New Roman"/>
                <w:color w:val="000000"/>
                <w:spacing w:val="-2"/>
              </w:rPr>
            </w:pPr>
            <w:r w:rsidRPr="002340B0">
              <w:rPr>
                <w:rFonts w:ascii="Times New Roman" w:hAnsi="Times New Roman"/>
                <w:color w:val="000000"/>
                <w:spacing w:val="-2"/>
              </w:rPr>
              <w:t>5 tys.</w:t>
            </w:r>
          </w:p>
        </w:tc>
        <w:tc>
          <w:tcPr>
            <w:tcW w:w="2268" w:type="dxa"/>
            <w:gridSpan w:val="8"/>
          </w:tcPr>
          <w:p w:rsidR="00A03C9E" w:rsidRPr="002340B0" w:rsidDel="008F1E0E" w:rsidRDefault="00A03C9E" w:rsidP="00273EC6">
            <w:pPr>
              <w:spacing w:line="240" w:lineRule="auto"/>
              <w:rPr>
                <w:rFonts w:ascii="Times New Roman" w:hAnsi="Times New Roman"/>
                <w:color w:val="000000"/>
                <w:spacing w:val="-2"/>
              </w:rPr>
            </w:pPr>
            <w:r w:rsidRPr="002340B0">
              <w:rPr>
                <w:rFonts w:ascii="Times New Roman" w:hAnsi="Times New Roman"/>
                <w:color w:val="000000"/>
                <w:spacing w:val="-2"/>
              </w:rPr>
              <w:t>M</w:t>
            </w:r>
            <w:r>
              <w:rPr>
                <w:rFonts w:ascii="Times New Roman" w:hAnsi="Times New Roman"/>
                <w:color w:val="000000"/>
                <w:spacing w:val="-2"/>
              </w:rPr>
              <w:t xml:space="preserve">inisterstwo </w:t>
            </w:r>
            <w:r w:rsidRPr="002340B0">
              <w:rPr>
                <w:rFonts w:ascii="Times New Roman" w:hAnsi="Times New Roman"/>
                <w:color w:val="000000"/>
                <w:spacing w:val="-2"/>
              </w:rPr>
              <w:t>R</w:t>
            </w:r>
            <w:r>
              <w:rPr>
                <w:rFonts w:ascii="Times New Roman" w:hAnsi="Times New Roman"/>
                <w:color w:val="000000"/>
                <w:spacing w:val="-2"/>
              </w:rPr>
              <w:t>ozwoju</w:t>
            </w:r>
          </w:p>
        </w:tc>
        <w:tc>
          <w:tcPr>
            <w:tcW w:w="3148" w:type="dxa"/>
            <w:gridSpan w:val="7"/>
          </w:tcPr>
          <w:p w:rsidR="00A03C9E"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K</w:t>
            </w:r>
            <w:r w:rsidR="00A03C9E" w:rsidRPr="002340B0">
              <w:rPr>
                <w:rFonts w:ascii="Times New Roman" w:hAnsi="Times New Roman"/>
                <w:color w:val="000000"/>
                <w:spacing w:val="-2"/>
              </w:rPr>
              <w:t>redytobiorcy uzyskają możliwość zawieszenia spłaty kredytu na okres 2 kwartałów w okresie zagrożenia epidemicznego albo stanu epidemii, bez ryzyka utraty możliwości skorzystania z uprawnień wynikających z ustawy, takich jak np. umorzenie pozostałej części zadłużenia po okresie 20-letniej systematycznej spłaty kredytu. Szacuje się, że z proponowanego rozwiązania skorzysta do 20% kredytobiorców</w:t>
            </w:r>
            <w:r w:rsidR="00A03C9E">
              <w:rPr>
                <w:rFonts w:ascii="Times New Roman" w:hAnsi="Times New Roman"/>
                <w:color w:val="000000"/>
                <w:spacing w:val="-2"/>
              </w:rPr>
              <w:t>.</w:t>
            </w:r>
          </w:p>
        </w:tc>
      </w:tr>
      <w:tr w:rsidR="00DE72D8" w:rsidRPr="008D6E94" w:rsidTr="002A37BC">
        <w:trPr>
          <w:trHeight w:val="142"/>
        </w:trPr>
        <w:tc>
          <w:tcPr>
            <w:tcW w:w="2411" w:type="dxa"/>
            <w:gridSpan w:val="6"/>
          </w:tcPr>
          <w:p w:rsidR="00DE72D8" w:rsidRPr="002340B0" w:rsidRDefault="00DE72D8" w:rsidP="00B63432">
            <w:pPr>
              <w:spacing w:line="240" w:lineRule="auto"/>
              <w:rPr>
                <w:rFonts w:ascii="Times New Roman" w:hAnsi="Times New Roman"/>
                <w:color w:val="000000"/>
              </w:rPr>
            </w:pPr>
            <w:r w:rsidRPr="002340B0">
              <w:rPr>
                <w:rFonts w:ascii="Times New Roman" w:hAnsi="Times New Roman"/>
                <w:color w:val="000000"/>
              </w:rPr>
              <w:t>Przedsiębiorstwa</w:t>
            </w:r>
            <w:r w:rsidR="00E7540E">
              <w:rPr>
                <w:rFonts w:ascii="Times New Roman" w:hAnsi="Times New Roman"/>
                <w:color w:val="000000"/>
              </w:rPr>
              <w:t xml:space="preserve"> </w:t>
            </w:r>
            <w:r w:rsidRPr="002340B0">
              <w:rPr>
                <w:rFonts w:ascii="Times New Roman" w:hAnsi="Times New Roman"/>
                <w:color w:val="000000"/>
              </w:rPr>
              <w:t>- wykonawcy w sektorze budowlanym</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 xml:space="preserve">169 023 </w:t>
            </w:r>
          </w:p>
        </w:tc>
        <w:tc>
          <w:tcPr>
            <w:tcW w:w="2268" w:type="dxa"/>
            <w:gridSpan w:val="8"/>
          </w:tcPr>
          <w:p w:rsidR="00DE72D8" w:rsidRPr="002340B0" w:rsidDel="008F1E0E" w:rsidRDefault="00DE72D8" w:rsidP="00273EC6">
            <w:pPr>
              <w:spacing w:line="240" w:lineRule="auto"/>
              <w:rPr>
                <w:rFonts w:ascii="Times New Roman" w:hAnsi="Times New Roman"/>
                <w:color w:val="000000"/>
                <w:spacing w:val="-2"/>
              </w:rPr>
            </w:pPr>
            <w:r w:rsidRPr="002340B0">
              <w:rPr>
                <w:rFonts w:ascii="Times New Roman" w:hAnsi="Times New Roman"/>
                <w:color w:val="000000"/>
                <w:spacing w:val="-2"/>
              </w:rPr>
              <w:t>Liczba podmiotów ujawnionych w REGON z kodem PKD Roboty budowlane związane ze wznoszeniem budynków. Dane za 3.2020.</w:t>
            </w:r>
          </w:p>
        </w:tc>
        <w:tc>
          <w:tcPr>
            <w:tcW w:w="3148" w:type="dxa"/>
            <w:gridSpan w:val="7"/>
          </w:tcPr>
          <w:p w:rsidR="00DE72D8"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M</w:t>
            </w:r>
            <w:r w:rsidR="00DE72D8" w:rsidRPr="002340B0">
              <w:rPr>
                <w:rFonts w:ascii="Times New Roman" w:hAnsi="Times New Roman"/>
                <w:color w:val="000000"/>
                <w:spacing w:val="-2"/>
              </w:rPr>
              <w:t>ożliwość utrzymania dotychczasowego tempa przyjmowania dokumentów planistycznych oraz uzyskiwania niezbędnych decyzji administracyjnych dla inwestycji infrastrukturalnych, ogranicz</w:t>
            </w:r>
            <w:r w:rsidR="00A03C9E">
              <w:rPr>
                <w:rFonts w:ascii="Times New Roman" w:hAnsi="Times New Roman"/>
                <w:color w:val="000000"/>
                <w:spacing w:val="-2"/>
              </w:rPr>
              <w:t>one</w:t>
            </w:r>
            <w:r w:rsidR="00DE72D8" w:rsidRPr="002340B0">
              <w:rPr>
                <w:rFonts w:ascii="Times New Roman" w:hAnsi="Times New Roman"/>
                <w:color w:val="000000"/>
                <w:spacing w:val="-2"/>
              </w:rPr>
              <w:t xml:space="preserve"> ryzyko zagrażając</w:t>
            </w:r>
            <w:r w:rsidR="00A03C9E">
              <w:rPr>
                <w:rFonts w:ascii="Times New Roman" w:hAnsi="Times New Roman"/>
                <w:color w:val="000000"/>
                <w:spacing w:val="-2"/>
              </w:rPr>
              <w:t>e</w:t>
            </w:r>
            <w:r w:rsidR="00DE72D8" w:rsidRPr="002340B0">
              <w:rPr>
                <w:rFonts w:ascii="Times New Roman" w:hAnsi="Times New Roman"/>
                <w:color w:val="000000"/>
                <w:spacing w:val="-2"/>
              </w:rPr>
              <w:t xml:space="preserve"> płynności finansowej przedsiębiorców przestojów w realizacji prac. Ciągłość i płynność procesu inwestycyjnego jest szczególnie ważna dla dużych projektów, których wykonawcy zmuszeni są do kredytowania pierwszych etapów realizacji, co dodatkowo zwiększa ryzyko rentowności kontraktów w obliczu wystąpienia opóźnień.</w:t>
            </w:r>
          </w:p>
        </w:tc>
      </w:tr>
      <w:tr w:rsidR="00DE72D8" w:rsidRPr="008D6E94" w:rsidTr="002A37BC">
        <w:trPr>
          <w:trHeight w:val="142"/>
        </w:trPr>
        <w:tc>
          <w:tcPr>
            <w:tcW w:w="2411" w:type="dxa"/>
            <w:gridSpan w:val="6"/>
          </w:tcPr>
          <w:p w:rsidR="00DE72D8" w:rsidRPr="002340B0" w:rsidRDefault="00B63432" w:rsidP="00B63432">
            <w:pPr>
              <w:spacing w:line="240" w:lineRule="auto"/>
              <w:rPr>
                <w:rFonts w:ascii="Times New Roman" w:hAnsi="Times New Roman"/>
                <w:color w:val="000000"/>
              </w:rPr>
            </w:pPr>
            <w:r>
              <w:rPr>
                <w:rFonts w:ascii="Times New Roman" w:hAnsi="Times New Roman"/>
                <w:color w:val="000000"/>
              </w:rPr>
              <w:t>P</w:t>
            </w:r>
            <w:r w:rsidR="00DE72D8" w:rsidRPr="002340B0">
              <w:rPr>
                <w:rFonts w:ascii="Times New Roman" w:hAnsi="Times New Roman"/>
                <w:color w:val="000000"/>
              </w:rPr>
              <w:t>rzedsiębiorstwa - pracownie urbanistyczne i architektoniczne</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rPr>
              <w:t>83 908</w:t>
            </w:r>
          </w:p>
        </w:tc>
        <w:tc>
          <w:tcPr>
            <w:tcW w:w="2268" w:type="dxa"/>
            <w:gridSpan w:val="8"/>
          </w:tcPr>
          <w:p w:rsidR="00DE72D8" w:rsidRPr="002340B0" w:rsidRDefault="00DE72D8" w:rsidP="00B63432">
            <w:pPr>
              <w:tabs>
                <w:tab w:val="left" w:pos="1560"/>
              </w:tabs>
              <w:spacing w:line="240" w:lineRule="auto"/>
              <w:rPr>
                <w:rFonts w:ascii="Times New Roman" w:hAnsi="Times New Roman"/>
                <w:color w:val="000000"/>
              </w:rPr>
            </w:pPr>
            <w:r w:rsidRPr="002340B0">
              <w:rPr>
                <w:rFonts w:ascii="Times New Roman" w:hAnsi="Times New Roman"/>
                <w:color w:val="000000"/>
              </w:rPr>
              <w:t>Liczba podmiotów ujawnionych w CEIDG pod kodem PKD: 71.11.Z Działalność w zakresie architektury</w:t>
            </w:r>
            <w:r w:rsidR="00A03C9E">
              <w:rPr>
                <w:rFonts w:ascii="Times New Roman" w:hAnsi="Times New Roman"/>
                <w:color w:val="000000"/>
              </w:rPr>
              <w:t>.</w:t>
            </w:r>
          </w:p>
          <w:p w:rsidR="00DE72D8" w:rsidRPr="00273EC6" w:rsidDel="008F1E0E" w:rsidRDefault="00DE72D8" w:rsidP="00273EC6">
            <w:pPr>
              <w:spacing w:line="240" w:lineRule="auto"/>
              <w:rPr>
                <w:rFonts w:ascii="Times New Roman" w:hAnsi="Times New Roman"/>
                <w:color w:val="000000"/>
              </w:rPr>
            </w:pPr>
            <w:r w:rsidRPr="002340B0">
              <w:rPr>
                <w:rFonts w:ascii="Times New Roman" w:hAnsi="Times New Roman"/>
                <w:color w:val="000000"/>
              </w:rPr>
              <w:t>Podklasa ta obejmuje opracowywanie projektów architektonicznych oraz doradztwo w zakresie architektury związane z: projektowaniem budowlanym, projektowaniem urbanistycznym i architektonicznym kształtowaniem krajobrazu.</w:t>
            </w:r>
          </w:p>
        </w:tc>
        <w:tc>
          <w:tcPr>
            <w:tcW w:w="3148" w:type="dxa"/>
            <w:gridSpan w:val="7"/>
          </w:tcPr>
          <w:p w:rsidR="00DE72D8"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P</w:t>
            </w:r>
            <w:r w:rsidR="00DE72D8" w:rsidRPr="002340B0">
              <w:rPr>
                <w:rFonts w:ascii="Times New Roman" w:hAnsi="Times New Roman"/>
                <w:color w:val="000000"/>
                <w:spacing w:val="-2"/>
              </w:rPr>
              <w:t xml:space="preserve">roponowana zmiana umożliwi niezakłócony bieg niektórych terminów w procedurze planistycznej, a tym samym będzie możliwe utrzymanie zakładanego tempa wykonywania projektów, które są ważnym źródłem dochodów pracowni urbanistycznych i architektonicznych. </w:t>
            </w:r>
          </w:p>
        </w:tc>
      </w:tr>
      <w:tr w:rsidR="00DE72D8" w:rsidRPr="008D6E94" w:rsidTr="002A37BC">
        <w:trPr>
          <w:trHeight w:val="142"/>
        </w:trPr>
        <w:tc>
          <w:tcPr>
            <w:tcW w:w="2411" w:type="dxa"/>
            <w:gridSpan w:val="6"/>
          </w:tcPr>
          <w:p w:rsidR="00DE72D8" w:rsidRPr="002340B0" w:rsidRDefault="00B63432" w:rsidP="00B63432">
            <w:pPr>
              <w:spacing w:line="240" w:lineRule="auto"/>
              <w:rPr>
                <w:rFonts w:ascii="Times New Roman" w:hAnsi="Times New Roman"/>
                <w:color w:val="000000"/>
              </w:rPr>
            </w:pPr>
            <w:r>
              <w:rPr>
                <w:rFonts w:ascii="Times New Roman" w:hAnsi="Times New Roman"/>
                <w:color w:val="000000"/>
              </w:rPr>
              <w:t>P</w:t>
            </w:r>
            <w:r w:rsidR="00DE72D8" w:rsidRPr="002340B0">
              <w:rPr>
                <w:rFonts w:ascii="Times New Roman" w:hAnsi="Times New Roman"/>
                <w:color w:val="000000"/>
              </w:rPr>
              <w:t>rzedsiębiorstwa - wykonawcy opracowań geodezyjnych</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rPr>
              <w:t>19 326</w:t>
            </w:r>
          </w:p>
        </w:tc>
        <w:tc>
          <w:tcPr>
            <w:tcW w:w="2268" w:type="dxa"/>
            <w:gridSpan w:val="8"/>
          </w:tcPr>
          <w:p w:rsidR="00DE72D8" w:rsidRPr="002340B0" w:rsidDel="008F1E0E" w:rsidRDefault="00DE72D8" w:rsidP="00273EC6">
            <w:pPr>
              <w:spacing w:line="240" w:lineRule="auto"/>
              <w:rPr>
                <w:rFonts w:ascii="Times New Roman" w:hAnsi="Times New Roman"/>
                <w:color w:val="000000"/>
                <w:spacing w:val="-2"/>
              </w:rPr>
            </w:pPr>
            <w:r w:rsidRPr="002340B0">
              <w:rPr>
                <w:rFonts w:ascii="Times New Roman" w:hAnsi="Times New Roman"/>
                <w:color w:val="000000"/>
              </w:rPr>
              <w:t>Rejestr geodetów uprawnionych – stan na 2020-03-31, opublikowany na stronie Głównego Urzędu Geodezji i Kartografii</w:t>
            </w:r>
          </w:p>
        </w:tc>
        <w:tc>
          <w:tcPr>
            <w:tcW w:w="3148" w:type="dxa"/>
            <w:gridSpan w:val="7"/>
          </w:tcPr>
          <w:p w:rsidR="00DE72D8"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W</w:t>
            </w:r>
            <w:r w:rsidR="00DE72D8" w:rsidRPr="002340B0">
              <w:rPr>
                <w:rFonts w:ascii="Times New Roman" w:hAnsi="Times New Roman"/>
                <w:color w:val="000000"/>
                <w:spacing w:val="-2"/>
              </w:rPr>
              <w:t xml:space="preserve">prowadzone rozwiązanie oświadczenia wykonawcy o uzyskaniu pozytywnego wyniku weryfikacji w miejsce uwierzytelnienia przez właściwy organ służby geodezyjnej i kartograficznej znacząco uprości i przyspieszy procedurę, a tym samym pozytywnie wpłynie na płynność procesu inwestycyjnego. Jednocześnie zwolni to wykonawców opracowań geodezyjnych z konieczności osobistego stawienia się w urzędzie, a tym samym ograniczone zostanie ryzyko rozprzestrzeniania się </w:t>
            </w:r>
            <w:proofErr w:type="spellStart"/>
            <w:r w:rsidR="00DE72D8" w:rsidRPr="002340B0">
              <w:rPr>
                <w:rFonts w:ascii="Times New Roman" w:hAnsi="Times New Roman"/>
                <w:color w:val="000000"/>
                <w:spacing w:val="-2"/>
              </w:rPr>
              <w:t>koronawirusa</w:t>
            </w:r>
            <w:proofErr w:type="spellEnd"/>
            <w:r w:rsidR="00DE72D8" w:rsidRPr="002340B0">
              <w:rPr>
                <w:rFonts w:ascii="Times New Roman" w:hAnsi="Times New Roman"/>
                <w:color w:val="000000"/>
                <w:spacing w:val="-2"/>
              </w:rPr>
              <w:t>.</w:t>
            </w:r>
          </w:p>
        </w:tc>
      </w:tr>
      <w:tr w:rsidR="00DE72D8" w:rsidRPr="008D6E94" w:rsidTr="002A37BC">
        <w:trPr>
          <w:trHeight w:val="142"/>
        </w:trPr>
        <w:tc>
          <w:tcPr>
            <w:tcW w:w="2411" w:type="dxa"/>
            <w:gridSpan w:val="6"/>
          </w:tcPr>
          <w:p w:rsidR="00DE72D8" w:rsidRPr="002340B0" w:rsidRDefault="00B63432" w:rsidP="00B63432">
            <w:pPr>
              <w:spacing w:line="240" w:lineRule="auto"/>
              <w:rPr>
                <w:rFonts w:ascii="Times New Roman" w:hAnsi="Times New Roman"/>
                <w:color w:val="000000"/>
              </w:rPr>
            </w:pPr>
            <w:r>
              <w:rPr>
                <w:rFonts w:ascii="Times New Roman" w:hAnsi="Times New Roman"/>
                <w:color w:val="000000"/>
              </w:rPr>
              <w:t>P</w:t>
            </w:r>
            <w:r w:rsidR="00DE72D8" w:rsidRPr="002340B0">
              <w:rPr>
                <w:rFonts w:ascii="Times New Roman" w:hAnsi="Times New Roman"/>
                <w:color w:val="000000"/>
              </w:rPr>
              <w:t>rzedsiębiorstwa - firmy z branży deweloperskiej</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 xml:space="preserve">ok. 2000 </w:t>
            </w:r>
          </w:p>
        </w:tc>
        <w:tc>
          <w:tcPr>
            <w:tcW w:w="2268" w:type="dxa"/>
            <w:gridSpan w:val="8"/>
          </w:tcPr>
          <w:p w:rsidR="00DE72D8" w:rsidRPr="002340B0" w:rsidDel="008F1E0E" w:rsidRDefault="00DE72D8" w:rsidP="00273EC6">
            <w:pPr>
              <w:spacing w:line="240" w:lineRule="auto"/>
              <w:rPr>
                <w:rFonts w:ascii="Times New Roman" w:hAnsi="Times New Roman"/>
                <w:color w:val="000000"/>
                <w:spacing w:val="-2"/>
              </w:rPr>
            </w:pPr>
            <w:r w:rsidRPr="002340B0">
              <w:rPr>
                <w:rFonts w:ascii="Times New Roman" w:hAnsi="Times New Roman"/>
                <w:color w:val="000000"/>
                <w:spacing w:val="-2"/>
              </w:rPr>
              <w:t>UOKiK</w:t>
            </w:r>
          </w:p>
        </w:tc>
        <w:tc>
          <w:tcPr>
            <w:tcW w:w="3148" w:type="dxa"/>
            <w:gridSpan w:val="7"/>
          </w:tcPr>
          <w:p w:rsidR="00DE72D8"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D</w:t>
            </w:r>
            <w:r w:rsidR="00DE72D8" w:rsidRPr="002340B0">
              <w:rPr>
                <w:rFonts w:ascii="Times New Roman" w:hAnsi="Times New Roman"/>
                <w:color w:val="000000"/>
                <w:spacing w:val="-2"/>
              </w:rPr>
              <w:t>otrzymanie terminów określonych w procedurze planistycznej oraz niezakłócone oddawanie obiektów do użytkowania umożliwi dotrzymanie zakładanego harmonogramu inwestycji, a tym samym poprawi płynność finansową przedsiębiorstw.</w:t>
            </w:r>
          </w:p>
        </w:tc>
      </w:tr>
      <w:tr w:rsidR="00DE72D8" w:rsidRPr="008D6E94" w:rsidTr="002A37BC">
        <w:trPr>
          <w:trHeight w:val="142"/>
        </w:trPr>
        <w:tc>
          <w:tcPr>
            <w:tcW w:w="2411" w:type="dxa"/>
            <w:gridSpan w:val="6"/>
          </w:tcPr>
          <w:p w:rsidR="00DE72D8" w:rsidRPr="002340B0" w:rsidRDefault="00B63432" w:rsidP="00B63432">
            <w:pPr>
              <w:spacing w:line="240" w:lineRule="auto"/>
              <w:rPr>
                <w:rFonts w:ascii="Times New Roman" w:hAnsi="Times New Roman"/>
                <w:color w:val="000000"/>
              </w:rPr>
            </w:pPr>
            <w:r>
              <w:rPr>
                <w:rFonts w:ascii="Times New Roman" w:hAnsi="Times New Roman"/>
                <w:color w:val="000000"/>
              </w:rPr>
              <w:t>I</w:t>
            </w:r>
            <w:r w:rsidR="00DE72D8" w:rsidRPr="002340B0">
              <w:rPr>
                <w:rFonts w:ascii="Times New Roman" w:hAnsi="Times New Roman"/>
                <w:color w:val="000000"/>
              </w:rPr>
              <w:t>nwestorzy sieci przesyłowych</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rPr>
              <w:t>254</w:t>
            </w:r>
          </w:p>
        </w:tc>
        <w:tc>
          <w:tcPr>
            <w:tcW w:w="2268" w:type="dxa"/>
            <w:gridSpan w:val="8"/>
          </w:tcPr>
          <w:p w:rsidR="00DE72D8" w:rsidRPr="002340B0" w:rsidRDefault="00DE72D8" w:rsidP="00B63432">
            <w:pPr>
              <w:spacing w:line="240" w:lineRule="auto"/>
              <w:rPr>
                <w:rFonts w:ascii="Times New Roman" w:hAnsi="Times New Roman"/>
              </w:rPr>
            </w:pPr>
            <w:r w:rsidRPr="002340B0">
              <w:rPr>
                <w:rFonts w:ascii="Times New Roman" w:hAnsi="Times New Roman"/>
              </w:rPr>
              <w:t xml:space="preserve">Liczba przedsiębiorstw zajmujących się przesyłaniem lub dystrybucją energii elektrycznej lub przesyłaniem, dystrybucją, magazynowaniem paliw gazowych, skraplaniem gazu ziemnego lub </w:t>
            </w:r>
            <w:proofErr w:type="spellStart"/>
            <w:r w:rsidRPr="002340B0">
              <w:rPr>
                <w:rFonts w:ascii="Times New Roman" w:hAnsi="Times New Roman"/>
              </w:rPr>
              <w:t>regazyfikacją</w:t>
            </w:r>
            <w:proofErr w:type="spellEnd"/>
            <w:r w:rsidRPr="002340B0">
              <w:rPr>
                <w:rFonts w:ascii="Times New Roman" w:hAnsi="Times New Roman"/>
              </w:rPr>
              <w:t xml:space="preserve"> skroplonego gazu ziemnego, przesyłaniem dwutlenku węgla oraz przedsiębiorstw posiadających koncesję i/lub wpis do Rejestru podmiotów przywożących w zakresie rurociągów przesyłowych lub dystrybucyjnych paliw ciekłych (stan na dzień 2020-04-10).</w:t>
            </w:r>
          </w:p>
          <w:p w:rsidR="00DE72D8" w:rsidRPr="002340B0" w:rsidDel="008F1E0E" w:rsidRDefault="008E02F3" w:rsidP="00273EC6">
            <w:pPr>
              <w:spacing w:line="240" w:lineRule="auto"/>
              <w:rPr>
                <w:rFonts w:ascii="Times New Roman" w:hAnsi="Times New Roman"/>
                <w:color w:val="000000"/>
                <w:spacing w:val="-2"/>
              </w:rPr>
            </w:pPr>
            <w:hyperlink r:id="rId12" w:history="1">
              <w:r w:rsidR="00E7540E" w:rsidRPr="001C4A38">
                <w:rPr>
                  <w:rStyle w:val="Hipercze"/>
                  <w:rFonts w:ascii="Times New Roman" w:hAnsi="Times New Roman"/>
                </w:rPr>
                <w:t>https://rejestry.ure.gov.pl</w:t>
              </w:r>
            </w:hyperlink>
            <w:r w:rsidR="00E7540E">
              <w:rPr>
                <w:rFonts w:ascii="Times New Roman" w:hAnsi="Times New Roman"/>
              </w:rPr>
              <w:t xml:space="preserve"> </w:t>
            </w:r>
          </w:p>
        </w:tc>
        <w:tc>
          <w:tcPr>
            <w:tcW w:w="3148" w:type="dxa"/>
            <w:gridSpan w:val="7"/>
          </w:tcPr>
          <w:p w:rsidR="00DE72D8" w:rsidRPr="002340B0" w:rsidRDefault="00112374" w:rsidP="00941F40">
            <w:pPr>
              <w:snapToGrid w:val="0"/>
              <w:spacing w:line="240" w:lineRule="auto"/>
              <w:rPr>
                <w:rFonts w:ascii="Times New Roman" w:hAnsi="Times New Roman"/>
                <w:color w:val="000000"/>
                <w:spacing w:val="-2"/>
              </w:rPr>
            </w:pPr>
            <w:r>
              <w:rPr>
                <w:rFonts w:ascii="Times New Roman" w:hAnsi="Times New Roman"/>
                <w:color w:val="000000"/>
                <w:spacing w:val="-2"/>
              </w:rPr>
              <w:t>U</w:t>
            </w:r>
            <w:r w:rsidR="00DE72D8" w:rsidRPr="002340B0">
              <w:rPr>
                <w:rFonts w:ascii="Times New Roman" w:hAnsi="Times New Roman"/>
                <w:color w:val="000000"/>
                <w:spacing w:val="-2"/>
              </w:rPr>
              <w:t xml:space="preserve">stawa przyspieszy proces inwestycyjny umożliwiając rozpoczęcie prac po uzyskaniu decyzji lokalizującej inwestycję. </w:t>
            </w:r>
          </w:p>
        </w:tc>
      </w:tr>
      <w:tr w:rsidR="00E7540E" w:rsidRPr="008D6E94" w:rsidTr="002A37BC">
        <w:trPr>
          <w:trHeight w:val="142"/>
        </w:trPr>
        <w:tc>
          <w:tcPr>
            <w:tcW w:w="2411" w:type="dxa"/>
            <w:gridSpan w:val="6"/>
          </w:tcPr>
          <w:p w:rsidR="00E7540E" w:rsidRPr="002340B0" w:rsidRDefault="00E7540E" w:rsidP="00B63432">
            <w:pPr>
              <w:spacing w:line="240" w:lineRule="auto"/>
              <w:rPr>
                <w:rFonts w:ascii="Times New Roman" w:hAnsi="Times New Roman"/>
                <w:color w:val="000000"/>
              </w:rPr>
            </w:pPr>
            <w:r>
              <w:rPr>
                <w:rFonts w:ascii="Times New Roman" w:hAnsi="Times New Roman"/>
                <w:color w:val="000000"/>
              </w:rPr>
              <w:t>O</w:t>
            </w:r>
            <w:r w:rsidRPr="002340B0">
              <w:rPr>
                <w:rFonts w:ascii="Times New Roman" w:hAnsi="Times New Roman"/>
                <w:color w:val="000000"/>
              </w:rPr>
              <w:t>soby uprawnione do uzyskania dodatku mieszkaniowego</w:t>
            </w:r>
          </w:p>
        </w:tc>
        <w:tc>
          <w:tcPr>
            <w:tcW w:w="3212" w:type="dxa"/>
            <w:gridSpan w:val="7"/>
          </w:tcPr>
          <w:p w:rsidR="00E7540E" w:rsidRPr="002340B0" w:rsidRDefault="00E7540E" w:rsidP="00B63432">
            <w:pPr>
              <w:spacing w:line="240" w:lineRule="auto"/>
              <w:rPr>
                <w:rFonts w:ascii="Times New Roman" w:hAnsi="Times New Roman"/>
                <w:color w:val="000000"/>
                <w:spacing w:val="-2"/>
              </w:rPr>
            </w:pPr>
            <w:r w:rsidRPr="002340B0">
              <w:rPr>
                <w:rFonts w:ascii="Times New Roman" w:hAnsi="Times New Roman"/>
                <w:color w:val="000000"/>
                <w:spacing w:val="-2"/>
              </w:rPr>
              <w:t>280 tys.</w:t>
            </w:r>
          </w:p>
        </w:tc>
        <w:tc>
          <w:tcPr>
            <w:tcW w:w="2268" w:type="dxa"/>
            <w:gridSpan w:val="8"/>
          </w:tcPr>
          <w:p w:rsidR="00E7540E" w:rsidRPr="002340B0" w:rsidDel="008F1E0E" w:rsidRDefault="00E7540E" w:rsidP="00273EC6">
            <w:pPr>
              <w:spacing w:line="240" w:lineRule="auto"/>
              <w:rPr>
                <w:rFonts w:ascii="Times New Roman" w:hAnsi="Times New Roman"/>
                <w:color w:val="000000"/>
                <w:spacing w:val="-2"/>
              </w:rPr>
            </w:pPr>
            <w:r w:rsidRPr="002340B0">
              <w:rPr>
                <w:rFonts w:ascii="Times New Roman" w:hAnsi="Times New Roman"/>
                <w:color w:val="000000"/>
                <w:spacing w:val="-2"/>
              </w:rPr>
              <w:t>M</w:t>
            </w:r>
            <w:r>
              <w:rPr>
                <w:rFonts w:ascii="Times New Roman" w:hAnsi="Times New Roman"/>
                <w:color w:val="000000"/>
                <w:spacing w:val="-2"/>
              </w:rPr>
              <w:t xml:space="preserve">inisterstwo </w:t>
            </w:r>
            <w:r w:rsidRPr="002340B0">
              <w:rPr>
                <w:rFonts w:ascii="Times New Roman" w:hAnsi="Times New Roman"/>
                <w:color w:val="000000"/>
                <w:spacing w:val="-2"/>
              </w:rPr>
              <w:t>R</w:t>
            </w:r>
            <w:r>
              <w:rPr>
                <w:rFonts w:ascii="Times New Roman" w:hAnsi="Times New Roman"/>
                <w:color w:val="000000"/>
                <w:spacing w:val="-2"/>
              </w:rPr>
              <w:t>ozwoju</w:t>
            </w:r>
          </w:p>
        </w:tc>
        <w:tc>
          <w:tcPr>
            <w:tcW w:w="3148" w:type="dxa"/>
            <w:gridSpan w:val="7"/>
          </w:tcPr>
          <w:p w:rsidR="00E7540E" w:rsidRPr="002340B0" w:rsidRDefault="00112374" w:rsidP="00112374">
            <w:pPr>
              <w:spacing w:line="240" w:lineRule="auto"/>
              <w:rPr>
                <w:rFonts w:ascii="Times New Roman" w:hAnsi="Times New Roman"/>
                <w:color w:val="000000"/>
                <w:spacing w:val="-2"/>
              </w:rPr>
            </w:pPr>
            <w:r>
              <w:rPr>
                <w:rFonts w:ascii="Times New Roman" w:hAnsi="Times New Roman"/>
                <w:color w:val="000000"/>
                <w:spacing w:val="-2"/>
              </w:rPr>
              <w:t>U</w:t>
            </w:r>
            <w:r w:rsidR="00E7540E" w:rsidRPr="002340B0">
              <w:rPr>
                <w:rFonts w:ascii="Times New Roman" w:hAnsi="Times New Roman"/>
                <w:color w:val="000000"/>
                <w:spacing w:val="-2"/>
              </w:rPr>
              <w:t>stawa umożliwia złożenie wniosku wstecz za okres stanu zagrożenia epidemicznego lub stanu epidemii. Tym samym ogranicza się potrzebę przemieszczania się tych osób w okresie wprowadzonych ograniczeń przy jednoczesnym utrzymaniu uprawnień do wypłaty świadczeń za ten okres. Ponieważ dodatek przyznawany jest na 6 miesięcy i w większości dotyczy tych samych wnioskodawców zakłada się, że z proponowanego rozwiązania skorzysta nie więcej niż 30% uprawnionych.</w:t>
            </w:r>
          </w:p>
        </w:tc>
      </w:tr>
      <w:tr w:rsidR="00DE72D8" w:rsidRPr="008D6E94" w:rsidTr="002A37BC">
        <w:trPr>
          <w:trHeight w:val="142"/>
        </w:trPr>
        <w:tc>
          <w:tcPr>
            <w:tcW w:w="2411" w:type="dxa"/>
            <w:gridSpan w:val="6"/>
          </w:tcPr>
          <w:p w:rsidR="00DE72D8" w:rsidRPr="002340B0" w:rsidRDefault="00DE72D8" w:rsidP="00B63432">
            <w:pPr>
              <w:spacing w:line="240" w:lineRule="auto"/>
              <w:rPr>
                <w:rFonts w:ascii="Times New Roman" w:hAnsi="Times New Roman"/>
                <w:color w:val="000000"/>
              </w:rPr>
            </w:pPr>
            <w:r w:rsidRPr="002340B0">
              <w:rPr>
                <w:rFonts w:ascii="Times New Roman" w:hAnsi="Times New Roman"/>
                <w:color w:val="000000"/>
              </w:rPr>
              <w:t>Gminy</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2477</w:t>
            </w:r>
          </w:p>
        </w:tc>
        <w:tc>
          <w:tcPr>
            <w:tcW w:w="2268" w:type="dxa"/>
            <w:gridSpan w:val="8"/>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 xml:space="preserve">stan na 1.01.2020, GUS, </w:t>
            </w:r>
            <w:proofErr w:type="spellStart"/>
            <w:r w:rsidRPr="002340B0">
              <w:rPr>
                <w:rFonts w:ascii="Times New Roman" w:hAnsi="Times New Roman"/>
                <w:color w:val="000000"/>
                <w:spacing w:val="-2"/>
              </w:rPr>
              <w:t>Teryt</w:t>
            </w:r>
            <w:proofErr w:type="spellEnd"/>
          </w:p>
          <w:p w:rsidR="00DE72D8" w:rsidRPr="002340B0" w:rsidDel="008F1E0E" w:rsidRDefault="00DE72D8" w:rsidP="00B63432">
            <w:pPr>
              <w:spacing w:line="240" w:lineRule="auto"/>
              <w:jc w:val="center"/>
              <w:rPr>
                <w:rFonts w:ascii="Times New Roman" w:hAnsi="Times New Roman"/>
                <w:color w:val="000000"/>
                <w:spacing w:val="-2"/>
              </w:rPr>
            </w:pPr>
          </w:p>
        </w:tc>
        <w:tc>
          <w:tcPr>
            <w:tcW w:w="3148" w:type="dxa"/>
            <w:gridSpan w:val="7"/>
          </w:tcPr>
          <w:p w:rsidR="00DE72D8" w:rsidRPr="002340B0" w:rsidRDefault="00112374" w:rsidP="00B63432">
            <w:pPr>
              <w:snapToGrid w:val="0"/>
              <w:spacing w:line="240" w:lineRule="auto"/>
              <w:rPr>
                <w:rFonts w:ascii="Times New Roman" w:hAnsi="Times New Roman"/>
                <w:color w:val="000000"/>
                <w:spacing w:val="-2"/>
              </w:rPr>
            </w:pPr>
            <w:r>
              <w:rPr>
                <w:rFonts w:ascii="Times New Roman" w:hAnsi="Times New Roman"/>
                <w:color w:val="000000"/>
                <w:spacing w:val="-2"/>
              </w:rPr>
              <w:t>W</w:t>
            </w:r>
            <w:r w:rsidR="00DE72D8" w:rsidRPr="002340B0">
              <w:rPr>
                <w:rFonts w:ascii="Times New Roman" w:hAnsi="Times New Roman"/>
                <w:color w:val="000000"/>
                <w:spacing w:val="-2"/>
              </w:rPr>
              <w:t>yposażenie gmin w instrumenty umożliwiające przeznaczanie dodatkowych środków na zwalczanie efektów epidemii. Gminy otrzymają także preferenc</w:t>
            </w:r>
            <w:r w:rsidR="00E7540E">
              <w:rPr>
                <w:rFonts w:ascii="Times New Roman" w:hAnsi="Times New Roman"/>
                <w:color w:val="000000"/>
                <w:spacing w:val="-2"/>
              </w:rPr>
              <w:t>y</w:t>
            </w:r>
            <w:r w:rsidR="00DE72D8" w:rsidRPr="002340B0">
              <w:rPr>
                <w:rFonts w:ascii="Times New Roman" w:hAnsi="Times New Roman"/>
                <w:color w:val="000000"/>
                <w:spacing w:val="-2"/>
              </w:rPr>
              <w:t>j</w:t>
            </w:r>
            <w:r w:rsidR="00E7540E">
              <w:rPr>
                <w:rFonts w:ascii="Times New Roman" w:hAnsi="Times New Roman"/>
                <w:color w:val="000000"/>
                <w:spacing w:val="-2"/>
              </w:rPr>
              <w:t>n</w:t>
            </w:r>
            <w:r w:rsidR="00DE72D8" w:rsidRPr="002340B0">
              <w:rPr>
                <w:rFonts w:ascii="Times New Roman" w:hAnsi="Times New Roman"/>
                <w:color w:val="000000"/>
                <w:spacing w:val="-2"/>
              </w:rPr>
              <w:t>e warunki związane z bilansowaniem budżetów, w tym relacji planowanych wydatków i dochodów, równoważeniem strony bieżącej budżetu, instytucją ubytku dochodów czy rozłożeniem wydatków wiążących się ze zwalczaniem skutków epidemii w roku następnym.</w:t>
            </w:r>
          </w:p>
          <w:p w:rsidR="00DE72D8" w:rsidRPr="002340B0" w:rsidRDefault="00DE72D8" w:rsidP="00B63432">
            <w:pPr>
              <w:snapToGrid w:val="0"/>
              <w:spacing w:line="240" w:lineRule="auto"/>
              <w:rPr>
                <w:rFonts w:ascii="Times New Roman" w:hAnsi="Times New Roman"/>
                <w:color w:val="000000"/>
                <w:spacing w:val="-2"/>
              </w:rPr>
            </w:pPr>
            <w:r w:rsidRPr="002340B0">
              <w:rPr>
                <w:rFonts w:ascii="Times New Roman" w:hAnsi="Times New Roman"/>
                <w:color w:val="000000"/>
                <w:spacing w:val="-2"/>
              </w:rPr>
              <w:t>Dodatkowo gminy otrzymają narzędzia pozwalające na przeprowadzenie niezbędnych konsultacji społecznych w procedurze planistycznej oraz zagwarantowane zostanie utrzymanie terminów uzgodnień i opiniowania projektów aktów. Rozwiązania te pozwolą na terminowe przyjęcie dokumentów planistycznych, a tym samym pozwolą uruchomić proces inwestycyjny, niezbędny dla prawidłowego funkcjonowania gospodarki.</w:t>
            </w:r>
          </w:p>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 xml:space="preserve">Budżety gmin zostaną zasilone o dodatkowe środki pochodzące z opłaty skarbowej związanej z wnioskami o wydanie decyzji o warunkach zabudowy. Znacząco zmniejszona zostanie liczba postępowań w tym zakresie, co pozytywnie wpłynie na obciążenie gmin pracą nad wydaniem decyzji, zwłaszcza tych które w intencji wnioskodawcy nie mają realnie prowadzić do rozpoczęcia inwestycji. Pośrednim pozytywnym efektem rozwiązania będzie także ograniczenie efektu spekulacyjnego wykorzystywania decyzji o warunkach zabudowy, np. w celu obniżenia opłaty planistycznej czy wyłudzenia nieuzasadnionego w sposób faktyczny odszkodowania. </w:t>
            </w:r>
          </w:p>
        </w:tc>
      </w:tr>
      <w:tr w:rsidR="00DE72D8" w:rsidRPr="008D6E94" w:rsidTr="002A37BC">
        <w:trPr>
          <w:trHeight w:val="142"/>
        </w:trPr>
        <w:tc>
          <w:tcPr>
            <w:tcW w:w="2411" w:type="dxa"/>
            <w:gridSpan w:val="6"/>
          </w:tcPr>
          <w:p w:rsidR="00DE72D8" w:rsidRPr="002340B0" w:rsidRDefault="00DE72D8" w:rsidP="00B63432">
            <w:pPr>
              <w:spacing w:line="240" w:lineRule="auto"/>
              <w:rPr>
                <w:rFonts w:ascii="Times New Roman" w:hAnsi="Times New Roman"/>
                <w:color w:val="000000"/>
              </w:rPr>
            </w:pPr>
            <w:r w:rsidRPr="002340B0">
              <w:rPr>
                <w:rFonts w:ascii="Times New Roman" w:hAnsi="Times New Roman"/>
                <w:color w:val="000000"/>
              </w:rPr>
              <w:t>Powiaty i miasta na prawach powiatu</w:t>
            </w:r>
          </w:p>
        </w:tc>
        <w:tc>
          <w:tcPr>
            <w:tcW w:w="3212" w:type="dxa"/>
            <w:gridSpan w:val="7"/>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380</w:t>
            </w:r>
          </w:p>
        </w:tc>
        <w:tc>
          <w:tcPr>
            <w:tcW w:w="2268" w:type="dxa"/>
            <w:gridSpan w:val="8"/>
          </w:tcPr>
          <w:p w:rsidR="00DE72D8" w:rsidRPr="002340B0" w:rsidRDefault="00DE72D8" w:rsidP="00B63432">
            <w:pPr>
              <w:spacing w:line="240" w:lineRule="auto"/>
              <w:rPr>
                <w:rFonts w:ascii="Times New Roman" w:hAnsi="Times New Roman"/>
                <w:color w:val="000000"/>
                <w:spacing w:val="-2"/>
              </w:rPr>
            </w:pPr>
            <w:r w:rsidRPr="002340B0">
              <w:rPr>
                <w:rFonts w:ascii="Times New Roman" w:hAnsi="Times New Roman"/>
                <w:color w:val="000000"/>
                <w:spacing w:val="-2"/>
              </w:rPr>
              <w:t xml:space="preserve">stan na 1.01.2020, GUS, </w:t>
            </w:r>
            <w:proofErr w:type="spellStart"/>
            <w:r w:rsidRPr="002340B0">
              <w:rPr>
                <w:rFonts w:ascii="Times New Roman" w:hAnsi="Times New Roman"/>
                <w:color w:val="000000"/>
                <w:spacing w:val="-2"/>
              </w:rPr>
              <w:t>Teryt</w:t>
            </w:r>
            <w:proofErr w:type="spellEnd"/>
          </w:p>
          <w:p w:rsidR="00DE72D8" w:rsidRPr="002340B0" w:rsidDel="008F1E0E" w:rsidRDefault="00DE72D8" w:rsidP="00B63432">
            <w:pPr>
              <w:spacing w:line="240" w:lineRule="auto"/>
              <w:jc w:val="center"/>
              <w:rPr>
                <w:rFonts w:ascii="Times New Roman" w:hAnsi="Times New Roman"/>
                <w:color w:val="000000"/>
                <w:spacing w:val="-2"/>
              </w:rPr>
            </w:pPr>
          </w:p>
        </w:tc>
        <w:tc>
          <w:tcPr>
            <w:tcW w:w="3148" w:type="dxa"/>
            <w:gridSpan w:val="7"/>
          </w:tcPr>
          <w:p w:rsidR="00DE72D8" w:rsidRPr="002340B0" w:rsidRDefault="00112374" w:rsidP="00112374">
            <w:pPr>
              <w:snapToGrid w:val="0"/>
              <w:spacing w:line="240" w:lineRule="auto"/>
              <w:rPr>
                <w:rFonts w:ascii="Times New Roman" w:hAnsi="Times New Roman"/>
                <w:color w:val="000000"/>
                <w:spacing w:val="-2"/>
              </w:rPr>
            </w:pPr>
            <w:r>
              <w:rPr>
                <w:rFonts w:ascii="Times New Roman" w:hAnsi="Times New Roman"/>
                <w:color w:val="000000"/>
                <w:spacing w:val="-2"/>
              </w:rPr>
              <w:t>Z</w:t>
            </w:r>
            <w:r w:rsidR="00DE72D8" w:rsidRPr="002340B0">
              <w:rPr>
                <w:rFonts w:ascii="Times New Roman" w:hAnsi="Times New Roman"/>
                <w:color w:val="000000"/>
                <w:spacing w:val="-2"/>
              </w:rPr>
              <w:t xml:space="preserve">większenie udziału powiatów we wpływach pochodzących z opłat z tytułu użytkowania wieczystego oraz przekształcenia użytkowania wieczystego w prawo własności zasili budżety powiatów o dodatkowe środki. </w:t>
            </w:r>
          </w:p>
        </w:tc>
      </w:tr>
      <w:tr w:rsidR="005A5646" w:rsidRPr="008D6E94" w:rsidTr="002A37BC">
        <w:trPr>
          <w:trHeight w:val="142"/>
        </w:trPr>
        <w:tc>
          <w:tcPr>
            <w:tcW w:w="2411" w:type="dxa"/>
            <w:gridSpan w:val="6"/>
          </w:tcPr>
          <w:p w:rsidR="005A5646" w:rsidRDefault="005A5646" w:rsidP="005504A7">
            <w:pPr>
              <w:spacing w:line="240" w:lineRule="auto"/>
              <w:rPr>
                <w:rStyle w:val="Odwoaniedokomentarza"/>
              </w:rPr>
            </w:pPr>
            <w:r>
              <w:rPr>
                <w:rFonts w:ascii="Times New Roman" w:hAnsi="Times New Roman"/>
                <w:color w:val="000000"/>
              </w:rPr>
              <w:t>Kredytobiorcy</w:t>
            </w:r>
            <w:r w:rsidR="00B27F91">
              <w:rPr>
                <w:rFonts w:ascii="Times New Roman" w:hAnsi="Times New Roman"/>
                <w:color w:val="000000"/>
              </w:rPr>
              <w:t>, którzy utracili pracę lub główne źródło dochodu i ich rodziny</w:t>
            </w:r>
            <w:r>
              <w:rPr>
                <w:rFonts w:ascii="Times New Roman" w:hAnsi="Times New Roman"/>
                <w:color w:val="000000"/>
              </w:rPr>
              <w:t xml:space="preserve"> </w:t>
            </w:r>
          </w:p>
        </w:tc>
        <w:tc>
          <w:tcPr>
            <w:tcW w:w="3212" w:type="dxa"/>
            <w:gridSpan w:val="7"/>
          </w:tcPr>
          <w:p w:rsidR="005A5646" w:rsidRDefault="00B27F91" w:rsidP="005E6839">
            <w:pPr>
              <w:spacing w:line="240" w:lineRule="auto"/>
              <w:rPr>
                <w:rFonts w:ascii="Times New Roman" w:hAnsi="Times New Roman"/>
                <w:color w:val="000000"/>
                <w:spacing w:val="-2"/>
              </w:rPr>
            </w:pPr>
            <w:r>
              <w:rPr>
                <w:rFonts w:ascii="Times New Roman" w:hAnsi="Times New Roman"/>
                <w:color w:val="000000"/>
                <w:spacing w:val="-2"/>
              </w:rPr>
              <w:t>Nawet do 15% posiadaczy kredytów konsumenckich i współposiadaczy kredytów hipotecznych (co przekłada się na około 3,7 mln kredytów konsumenckich i około 500 tys. kredytów hipotecznych)</w:t>
            </w:r>
          </w:p>
        </w:tc>
        <w:tc>
          <w:tcPr>
            <w:tcW w:w="2268" w:type="dxa"/>
            <w:gridSpan w:val="8"/>
          </w:tcPr>
          <w:p w:rsidR="005A5646" w:rsidRPr="004B4C6E" w:rsidDel="008F1E0E" w:rsidRDefault="00EF4BB9" w:rsidP="00251746">
            <w:pPr>
              <w:spacing w:line="240" w:lineRule="auto"/>
              <w:rPr>
                <w:rFonts w:ascii="Times New Roman" w:hAnsi="Times New Roman"/>
                <w:color w:val="000000"/>
                <w:spacing w:val="-2"/>
              </w:rPr>
            </w:pPr>
            <w:r>
              <w:rPr>
                <w:rFonts w:ascii="Times New Roman" w:hAnsi="Times New Roman"/>
                <w:color w:val="000000"/>
                <w:spacing w:val="-2"/>
              </w:rPr>
              <w:t xml:space="preserve">UOKiK (na podstawie danych </w:t>
            </w:r>
            <w:r w:rsidR="005A5646">
              <w:rPr>
                <w:rFonts w:ascii="Times New Roman" w:hAnsi="Times New Roman"/>
                <w:color w:val="000000"/>
                <w:spacing w:val="-2"/>
              </w:rPr>
              <w:t>KNF, BIK</w:t>
            </w:r>
            <w:r>
              <w:rPr>
                <w:rFonts w:ascii="Times New Roman" w:hAnsi="Times New Roman"/>
                <w:color w:val="000000"/>
                <w:spacing w:val="-2"/>
              </w:rPr>
              <w:t>)</w:t>
            </w:r>
          </w:p>
        </w:tc>
        <w:tc>
          <w:tcPr>
            <w:tcW w:w="3148" w:type="dxa"/>
            <w:gridSpan w:val="7"/>
          </w:tcPr>
          <w:p w:rsidR="005A5646" w:rsidRDefault="00F55788" w:rsidP="00F55788">
            <w:pPr>
              <w:spacing w:line="240" w:lineRule="auto"/>
              <w:rPr>
                <w:rFonts w:ascii="Times New Roman" w:hAnsi="Times New Roman"/>
                <w:color w:val="000000"/>
                <w:spacing w:val="-2"/>
              </w:rPr>
            </w:pPr>
            <w:r>
              <w:rPr>
                <w:rFonts w:ascii="Times New Roman" w:hAnsi="Times New Roman"/>
                <w:color w:val="000000"/>
                <w:spacing w:val="-2"/>
              </w:rPr>
              <w:t xml:space="preserve">Zawieszenie naliczania i pobierania </w:t>
            </w:r>
            <w:r w:rsidR="00251746">
              <w:rPr>
                <w:rFonts w:ascii="Times New Roman" w:hAnsi="Times New Roman"/>
                <w:color w:val="000000"/>
                <w:spacing w:val="-2"/>
              </w:rPr>
              <w:t>odsetek</w:t>
            </w:r>
            <w:r w:rsidR="005A5646">
              <w:rPr>
                <w:rFonts w:ascii="Times New Roman" w:hAnsi="Times New Roman"/>
                <w:color w:val="000000"/>
                <w:spacing w:val="-2"/>
              </w:rPr>
              <w:t xml:space="preserve"> na trzy miesiące z części umów, łącznie korzyść dla gospodarstw domowych na poziomie</w:t>
            </w:r>
            <w:r w:rsidR="00CD6B6F">
              <w:rPr>
                <w:rFonts w:ascii="Times New Roman" w:hAnsi="Times New Roman"/>
                <w:color w:val="000000"/>
                <w:spacing w:val="-2"/>
              </w:rPr>
              <w:t xml:space="preserve"> do około 1-1,5 mld złotych (przy pesymistycznym scenariuszu na rynku pracy).</w:t>
            </w:r>
          </w:p>
        </w:tc>
      </w:tr>
      <w:tr w:rsidR="0078013C" w:rsidRPr="008D6E94" w:rsidTr="002A37BC">
        <w:trPr>
          <w:trHeight w:val="142"/>
        </w:trPr>
        <w:tc>
          <w:tcPr>
            <w:tcW w:w="2411" w:type="dxa"/>
            <w:gridSpan w:val="6"/>
          </w:tcPr>
          <w:p w:rsidR="0078013C" w:rsidRPr="004B4C6E" w:rsidRDefault="0078013C" w:rsidP="005504A7">
            <w:pPr>
              <w:spacing w:line="240" w:lineRule="auto"/>
              <w:rPr>
                <w:rFonts w:ascii="Times New Roman" w:hAnsi="Times New Roman"/>
                <w:color w:val="000000"/>
              </w:rPr>
            </w:pPr>
            <w:r>
              <w:rPr>
                <w:rFonts w:ascii="Times New Roman" w:hAnsi="Times New Roman"/>
                <w:color w:val="000000"/>
              </w:rPr>
              <w:t xml:space="preserve">Kredytodawcy </w:t>
            </w:r>
          </w:p>
        </w:tc>
        <w:tc>
          <w:tcPr>
            <w:tcW w:w="3212" w:type="dxa"/>
            <w:gridSpan w:val="7"/>
          </w:tcPr>
          <w:p w:rsidR="0078013C" w:rsidRDefault="0078013C" w:rsidP="004B4C6E">
            <w:pPr>
              <w:spacing w:line="240" w:lineRule="auto"/>
              <w:rPr>
                <w:rFonts w:ascii="Times New Roman" w:hAnsi="Times New Roman"/>
                <w:color w:val="000000"/>
                <w:spacing w:val="-2"/>
              </w:rPr>
            </w:pPr>
            <w:r>
              <w:rPr>
                <w:rFonts w:ascii="Times New Roman" w:hAnsi="Times New Roman"/>
                <w:color w:val="000000"/>
                <w:spacing w:val="-2"/>
              </w:rPr>
              <w:t>29 banków komercyjnych, ponad 535 banków spółdzielczych, instytucje pożyczkowe: kilkaset podmiotów</w:t>
            </w:r>
          </w:p>
        </w:tc>
        <w:tc>
          <w:tcPr>
            <w:tcW w:w="2268" w:type="dxa"/>
            <w:gridSpan w:val="8"/>
          </w:tcPr>
          <w:p w:rsidR="0078013C" w:rsidRPr="004B4C6E" w:rsidDel="008F1E0E" w:rsidRDefault="0078013C" w:rsidP="00BA0212">
            <w:pPr>
              <w:spacing w:line="240" w:lineRule="auto"/>
              <w:rPr>
                <w:rFonts w:ascii="Times New Roman" w:hAnsi="Times New Roman"/>
                <w:color w:val="000000"/>
                <w:spacing w:val="-2"/>
              </w:rPr>
            </w:pPr>
            <w:r>
              <w:rPr>
                <w:rFonts w:ascii="Times New Roman" w:hAnsi="Times New Roman"/>
                <w:color w:val="000000"/>
                <w:spacing w:val="-2"/>
              </w:rPr>
              <w:t>UOKiK (na podstawie danych KNF)</w:t>
            </w:r>
          </w:p>
        </w:tc>
        <w:tc>
          <w:tcPr>
            <w:tcW w:w="3148" w:type="dxa"/>
            <w:gridSpan w:val="7"/>
          </w:tcPr>
          <w:p w:rsidR="0078013C" w:rsidRDefault="00CD6B6F" w:rsidP="00F55788">
            <w:pPr>
              <w:spacing w:line="240" w:lineRule="auto"/>
              <w:rPr>
                <w:rFonts w:ascii="Times New Roman" w:hAnsi="Times New Roman"/>
                <w:color w:val="000000"/>
                <w:spacing w:val="-2"/>
              </w:rPr>
            </w:pPr>
            <w:r>
              <w:rPr>
                <w:rFonts w:ascii="Times New Roman" w:hAnsi="Times New Roman"/>
                <w:color w:val="000000"/>
                <w:spacing w:val="-2"/>
              </w:rPr>
              <w:t>Brak przychodów odsetkowych przez trzy miesiące z części umów, łącznie obniżone/przesunięte przychody na poziomie do około 1-1,5 mld złotych (przy pesymistycznym scenariuszu na rynku pracy). Sumę tę należy rozpatrywać w kontekście przychodów brutto sektora bankowego (19,8 mld zł w 2019 r.).</w:t>
            </w:r>
          </w:p>
        </w:tc>
      </w:tr>
      <w:tr w:rsidR="000D487E" w:rsidRPr="008D6E94" w:rsidTr="002A37BC">
        <w:trPr>
          <w:trHeight w:val="142"/>
        </w:trPr>
        <w:tc>
          <w:tcPr>
            <w:tcW w:w="2411" w:type="dxa"/>
            <w:gridSpan w:val="6"/>
          </w:tcPr>
          <w:p w:rsidR="000D487E" w:rsidRPr="00653AE1" w:rsidRDefault="000D487E" w:rsidP="00904480">
            <w:pPr>
              <w:jc w:val="both"/>
              <w:rPr>
                <w:rFonts w:ascii="Times New Roman" w:hAnsi="Times New Roman"/>
              </w:rPr>
            </w:pPr>
            <w:r w:rsidRPr="00653AE1">
              <w:rPr>
                <w:rFonts w:ascii="Times New Roman" w:hAnsi="Times New Roman"/>
              </w:rPr>
              <w:t>Pracodawcy</w:t>
            </w:r>
            <w:r w:rsidR="00653AE1" w:rsidRPr="00653AE1">
              <w:rPr>
                <w:rFonts w:ascii="Times New Roman" w:hAnsi="Times New Roman"/>
              </w:rPr>
              <w:t>/pracownicy</w:t>
            </w:r>
          </w:p>
        </w:tc>
        <w:tc>
          <w:tcPr>
            <w:tcW w:w="3212" w:type="dxa"/>
            <w:gridSpan w:val="7"/>
          </w:tcPr>
          <w:p w:rsidR="000D487E" w:rsidRPr="00653AE1" w:rsidRDefault="000D487E" w:rsidP="00904480">
            <w:pPr>
              <w:jc w:val="both"/>
              <w:rPr>
                <w:rFonts w:ascii="Times New Roman" w:hAnsi="Times New Roman"/>
              </w:rPr>
            </w:pPr>
          </w:p>
        </w:tc>
        <w:tc>
          <w:tcPr>
            <w:tcW w:w="2268" w:type="dxa"/>
            <w:gridSpan w:val="8"/>
          </w:tcPr>
          <w:p w:rsidR="000D487E" w:rsidRPr="00653AE1" w:rsidRDefault="000D487E">
            <w:pPr>
              <w:spacing w:line="240" w:lineRule="auto"/>
              <w:rPr>
                <w:rFonts w:ascii="Times New Roman" w:hAnsi="Times New Roman"/>
                <w:color w:val="000000"/>
                <w:spacing w:val="-2"/>
              </w:rPr>
            </w:pPr>
          </w:p>
        </w:tc>
        <w:tc>
          <w:tcPr>
            <w:tcW w:w="3148" w:type="dxa"/>
            <w:gridSpan w:val="7"/>
          </w:tcPr>
          <w:p w:rsidR="000D487E" w:rsidRPr="00A91064" w:rsidRDefault="000D487E" w:rsidP="00A91064">
            <w:pPr>
              <w:spacing w:line="240" w:lineRule="auto"/>
              <w:rPr>
                <w:rFonts w:ascii="Times New Roman" w:hAnsi="Times New Roman"/>
                <w:spacing w:val="-2"/>
              </w:rPr>
            </w:pPr>
            <w:r w:rsidRPr="00A91064">
              <w:rPr>
                <w:rFonts w:ascii="Times New Roman" w:hAnsi="Times New Roman"/>
                <w:spacing w:val="-2"/>
              </w:rPr>
              <w:t>Dostosowanie rynku pracy do wyzwań związanych z COVID-19.</w:t>
            </w:r>
          </w:p>
        </w:tc>
      </w:tr>
      <w:tr w:rsidR="00CE5FC2" w:rsidRPr="008D6E94" w:rsidTr="002A37BC">
        <w:trPr>
          <w:trHeight w:val="142"/>
        </w:trPr>
        <w:tc>
          <w:tcPr>
            <w:tcW w:w="2411" w:type="dxa"/>
            <w:gridSpan w:val="6"/>
          </w:tcPr>
          <w:p w:rsidR="00CE5FC2" w:rsidRPr="00C83335" w:rsidRDefault="00CE5FC2" w:rsidP="00475799">
            <w:pPr>
              <w:spacing w:line="240" w:lineRule="auto"/>
              <w:rPr>
                <w:rFonts w:ascii="Times New Roman" w:hAnsi="Times New Roman"/>
                <w:color w:val="000000"/>
              </w:rPr>
            </w:pPr>
            <w:r>
              <w:rPr>
                <w:rFonts w:ascii="Times New Roman" w:hAnsi="Times New Roman"/>
              </w:rPr>
              <w:t xml:space="preserve">Podatnicy podatku dochodowego od osób fizycznych, prowadzący działalność gospodarczą </w:t>
            </w:r>
          </w:p>
        </w:tc>
        <w:tc>
          <w:tcPr>
            <w:tcW w:w="3212" w:type="dxa"/>
            <w:gridSpan w:val="7"/>
          </w:tcPr>
          <w:p w:rsidR="00CE5FC2" w:rsidRPr="00C83335" w:rsidRDefault="00CE5FC2" w:rsidP="004B4C6E">
            <w:pPr>
              <w:spacing w:line="240" w:lineRule="auto"/>
              <w:rPr>
                <w:rFonts w:ascii="Times New Roman" w:hAnsi="Times New Roman"/>
                <w:color w:val="000000"/>
                <w:spacing w:val="-2"/>
              </w:rPr>
            </w:pPr>
            <w:r>
              <w:rPr>
                <w:rFonts w:ascii="Times New Roman" w:hAnsi="Times New Roman"/>
                <w:spacing w:val="-2"/>
              </w:rPr>
              <w:t>2 mln</w:t>
            </w:r>
          </w:p>
        </w:tc>
        <w:tc>
          <w:tcPr>
            <w:tcW w:w="2268" w:type="dxa"/>
            <w:gridSpan w:val="8"/>
          </w:tcPr>
          <w:p w:rsidR="00CE5FC2" w:rsidRPr="00C83335" w:rsidRDefault="00CE5FC2" w:rsidP="0067661A">
            <w:pPr>
              <w:spacing w:line="240" w:lineRule="auto"/>
              <w:rPr>
                <w:rFonts w:ascii="Times New Roman" w:hAnsi="Times New Roman"/>
                <w:color w:val="000000"/>
                <w:spacing w:val="-2"/>
              </w:rPr>
            </w:pPr>
            <w:r>
              <w:rPr>
                <w:rFonts w:ascii="Times New Roman" w:hAnsi="Times New Roman"/>
                <w:spacing w:val="-2"/>
              </w:rPr>
              <w:t>Bazy podatkowe Ministerstwa Finansów</w:t>
            </w:r>
          </w:p>
        </w:tc>
        <w:tc>
          <w:tcPr>
            <w:tcW w:w="3148" w:type="dxa"/>
            <w:gridSpan w:val="7"/>
          </w:tcPr>
          <w:p w:rsidR="00CE5FC2" w:rsidRPr="00C83335" w:rsidRDefault="006732C4" w:rsidP="006732C4">
            <w:pPr>
              <w:spacing w:line="240" w:lineRule="auto"/>
              <w:rPr>
                <w:rFonts w:ascii="Times New Roman" w:hAnsi="Times New Roman"/>
                <w:color w:val="000000"/>
                <w:spacing w:val="-2"/>
              </w:rPr>
            </w:pPr>
            <w:r>
              <w:rPr>
                <w:rFonts w:ascii="Times New Roman" w:hAnsi="Times New Roman"/>
                <w:spacing w:val="-2"/>
              </w:rPr>
              <w:t>Rozszerzenie zakresu możliwości odliczenia darowizn, możliwość szybszego skorzystania z ulgi na złe długi w zakresie odliczania wierzytelności.</w:t>
            </w:r>
          </w:p>
        </w:tc>
      </w:tr>
      <w:tr w:rsidR="006732C4" w:rsidRPr="008D6E94" w:rsidTr="002A37BC">
        <w:trPr>
          <w:trHeight w:val="142"/>
        </w:trPr>
        <w:tc>
          <w:tcPr>
            <w:tcW w:w="2411" w:type="dxa"/>
            <w:gridSpan w:val="6"/>
          </w:tcPr>
          <w:p w:rsidR="006732C4" w:rsidRPr="00C83335" w:rsidRDefault="006732C4" w:rsidP="00475799">
            <w:pPr>
              <w:spacing w:line="240" w:lineRule="auto"/>
              <w:rPr>
                <w:rFonts w:ascii="Times New Roman" w:hAnsi="Times New Roman"/>
                <w:color w:val="000000"/>
              </w:rPr>
            </w:pPr>
            <w:r>
              <w:rPr>
                <w:rFonts w:ascii="Times New Roman" w:hAnsi="Times New Roman"/>
              </w:rPr>
              <w:t xml:space="preserve">Podatnicy podatku dochodowego od osób </w:t>
            </w:r>
            <w:r>
              <w:rPr>
                <w:rFonts w:ascii="Times New Roman" w:hAnsi="Times New Roman"/>
                <w:spacing w:val="-2"/>
              </w:rPr>
              <w:t>prawnych</w:t>
            </w:r>
          </w:p>
        </w:tc>
        <w:tc>
          <w:tcPr>
            <w:tcW w:w="3212" w:type="dxa"/>
            <w:gridSpan w:val="7"/>
          </w:tcPr>
          <w:p w:rsidR="006732C4" w:rsidRPr="00C83335" w:rsidRDefault="006732C4" w:rsidP="004B4C6E">
            <w:pPr>
              <w:spacing w:line="240" w:lineRule="auto"/>
              <w:rPr>
                <w:rFonts w:ascii="Times New Roman" w:hAnsi="Times New Roman"/>
                <w:color w:val="000000"/>
                <w:spacing w:val="-2"/>
              </w:rPr>
            </w:pPr>
            <w:r>
              <w:rPr>
                <w:rFonts w:ascii="Times New Roman" w:hAnsi="Times New Roman"/>
                <w:spacing w:val="-2"/>
              </w:rPr>
              <w:t>0,5 mln</w:t>
            </w:r>
          </w:p>
        </w:tc>
        <w:tc>
          <w:tcPr>
            <w:tcW w:w="2268" w:type="dxa"/>
            <w:gridSpan w:val="8"/>
          </w:tcPr>
          <w:p w:rsidR="006732C4" w:rsidRPr="00C83335" w:rsidRDefault="006732C4" w:rsidP="0067661A">
            <w:pPr>
              <w:spacing w:line="240" w:lineRule="auto"/>
              <w:rPr>
                <w:rFonts w:ascii="Times New Roman" w:hAnsi="Times New Roman"/>
                <w:color w:val="000000"/>
                <w:spacing w:val="-2"/>
              </w:rPr>
            </w:pPr>
            <w:r>
              <w:rPr>
                <w:rFonts w:ascii="Times New Roman" w:hAnsi="Times New Roman"/>
                <w:spacing w:val="-2"/>
              </w:rPr>
              <w:t>Bazy podatkowe Ministerstwa Finansów</w:t>
            </w:r>
          </w:p>
        </w:tc>
        <w:tc>
          <w:tcPr>
            <w:tcW w:w="3148" w:type="dxa"/>
            <w:gridSpan w:val="7"/>
          </w:tcPr>
          <w:p w:rsidR="006732C4" w:rsidRPr="00C83335" w:rsidRDefault="006732C4" w:rsidP="00CE5FC2">
            <w:pPr>
              <w:spacing w:line="240" w:lineRule="auto"/>
              <w:rPr>
                <w:rFonts w:ascii="Times New Roman" w:hAnsi="Times New Roman"/>
                <w:color w:val="000000"/>
                <w:spacing w:val="-2"/>
              </w:rPr>
            </w:pPr>
            <w:r>
              <w:rPr>
                <w:rFonts w:ascii="Times New Roman" w:hAnsi="Times New Roman"/>
                <w:spacing w:val="-2"/>
              </w:rPr>
              <w:t>Rozszerzenie zakresu możliwości odliczenia darowizn, możliwość szybszego skorzystania z ulgi na złe długi w zakresie odliczania wierzytelności.</w:t>
            </w:r>
          </w:p>
        </w:tc>
      </w:tr>
      <w:tr w:rsidR="00A91064" w:rsidRPr="008D6E94" w:rsidTr="002A37BC">
        <w:trPr>
          <w:trHeight w:val="142"/>
        </w:trPr>
        <w:tc>
          <w:tcPr>
            <w:tcW w:w="2411" w:type="dxa"/>
            <w:gridSpan w:val="6"/>
          </w:tcPr>
          <w:p w:rsidR="00A91064" w:rsidRPr="00C83335" w:rsidRDefault="00A91064" w:rsidP="00475799">
            <w:pPr>
              <w:spacing w:line="240" w:lineRule="auto"/>
              <w:rPr>
                <w:rFonts w:ascii="Times New Roman" w:hAnsi="Times New Roman"/>
                <w:color w:val="000000"/>
              </w:rPr>
            </w:pPr>
            <w:r w:rsidRPr="00EF3E33">
              <w:rPr>
                <w:rFonts w:ascii="Times New Roman" w:eastAsiaTheme="minorHAnsi" w:hAnsi="Times New Roman"/>
                <w:color w:val="000000"/>
              </w:rPr>
              <w:t>Przedsiębiorcy opłacający składki na ubezpieczenia społeczne z tytułu prowadzenia działalność gospodarczej i dla których jednocześnie zaewidencjonowano składki z innego tytułu ubezpieczenia</w:t>
            </w:r>
          </w:p>
        </w:tc>
        <w:tc>
          <w:tcPr>
            <w:tcW w:w="3212" w:type="dxa"/>
            <w:gridSpan w:val="7"/>
          </w:tcPr>
          <w:p w:rsidR="00A91064" w:rsidRPr="00C83335" w:rsidRDefault="00A91064" w:rsidP="004B4C6E">
            <w:pPr>
              <w:spacing w:line="240" w:lineRule="auto"/>
              <w:rPr>
                <w:rFonts w:ascii="Times New Roman" w:hAnsi="Times New Roman"/>
                <w:color w:val="000000"/>
                <w:spacing w:val="-2"/>
              </w:rPr>
            </w:pPr>
            <w:r w:rsidRPr="000D3823">
              <w:rPr>
                <w:rFonts w:ascii="Times New Roman" w:hAnsi="Times New Roman"/>
              </w:rPr>
              <w:t>45,9 tys</w:t>
            </w:r>
            <w:r w:rsidR="00A71AE6">
              <w:rPr>
                <w:rFonts w:ascii="Times New Roman" w:hAnsi="Times New Roman"/>
              </w:rPr>
              <w:t>.</w:t>
            </w:r>
          </w:p>
        </w:tc>
        <w:tc>
          <w:tcPr>
            <w:tcW w:w="2268" w:type="dxa"/>
            <w:gridSpan w:val="8"/>
          </w:tcPr>
          <w:p w:rsidR="00A91064" w:rsidRPr="00C83335" w:rsidRDefault="00A91064" w:rsidP="0067661A">
            <w:pPr>
              <w:spacing w:line="240" w:lineRule="auto"/>
              <w:rPr>
                <w:rFonts w:ascii="Times New Roman" w:hAnsi="Times New Roman"/>
                <w:color w:val="000000"/>
                <w:spacing w:val="-2"/>
              </w:rPr>
            </w:pPr>
            <w:r w:rsidRPr="00847329">
              <w:rPr>
                <w:rFonts w:ascii="Times New Roman" w:hAnsi="Times New Roman"/>
                <w:color w:val="000000"/>
                <w:spacing w:val="-2"/>
              </w:rPr>
              <w:t>Dane ZUS</w:t>
            </w:r>
          </w:p>
        </w:tc>
        <w:tc>
          <w:tcPr>
            <w:tcW w:w="3148" w:type="dxa"/>
            <w:gridSpan w:val="7"/>
          </w:tcPr>
          <w:p w:rsidR="00A91064" w:rsidRPr="00C83335" w:rsidRDefault="00A91064" w:rsidP="00AF60E5">
            <w:pPr>
              <w:spacing w:line="240" w:lineRule="auto"/>
              <w:rPr>
                <w:rFonts w:ascii="Times New Roman" w:hAnsi="Times New Roman"/>
                <w:color w:val="000000"/>
                <w:spacing w:val="-2"/>
              </w:rPr>
            </w:pPr>
            <w:r>
              <w:rPr>
                <w:rFonts w:ascii="Times New Roman" w:hAnsi="Times New Roman"/>
              </w:rPr>
              <w:t>Uprawnienie przedsiębiorców</w:t>
            </w:r>
            <w:r w:rsidRPr="009233E4">
              <w:rPr>
                <w:rFonts w:ascii="Times New Roman" w:hAnsi="Times New Roman"/>
                <w:bCs/>
                <w:szCs w:val="18"/>
              </w:rPr>
              <w:t xml:space="preserve"> do tzw. świadczenia postojowego </w:t>
            </w:r>
            <w:r>
              <w:rPr>
                <w:rFonts w:ascii="Times New Roman" w:hAnsi="Times New Roman"/>
                <w:bCs/>
                <w:szCs w:val="18"/>
              </w:rPr>
              <w:t xml:space="preserve">gdy </w:t>
            </w:r>
            <w:r w:rsidRPr="009233E4">
              <w:rPr>
                <w:rFonts w:ascii="Times New Roman" w:hAnsi="Times New Roman"/>
                <w:bCs/>
                <w:szCs w:val="18"/>
              </w:rPr>
              <w:t>podlegają ubezpieczeniu z innego tytułu i jednocześnie opłacali składki na ubezpieczenie społeczne z tytułu wykon</w:t>
            </w:r>
            <w:r>
              <w:rPr>
                <w:rFonts w:ascii="Times New Roman" w:hAnsi="Times New Roman"/>
                <w:bCs/>
                <w:szCs w:val="18"/>
              </w:rPr>
              <w:t xml:space="preserve">ywania działalności gospodarcze. </w:t>
            </w:r>
          </w:p>
        </w:tc>
      </w:tr>
      <w:tr w:rsidR="00A91064" w:rsidRPr="008D6E94" w:rsidTr="002A37BC">
        <w:trPr>
          <w:trHeight w:val="142"/>
        </w:trPr>
        <w:tc>
          <w:tcPr>
            <w:tcW w:w="2411" w:type="dxa"/>
            <w:gridSpan w:val="6"/>
          </w:tcPr>
          <w:p w:rsidR="00A91064" w:rsidRPr="00EF3E33" w:rsidRDefault="00A91064" w:rsidP="004C34E2">
            <w:pPr>
              <w:spacing w:line="240" w:lineRule="auto"/>
              <w:rPr>
                <w:rFonts w:ascii="Times New Roman" w:eastAsiaTheme="minorHAnsi" w:hAnsi="Times New Roman"/>
                <w:color w:val="000000"/>
              </w:rPr>
            </w:pPr>
            <w:r w:rsidRPr="00EF3E33">
              <w:rPr>
                <w:rFonts w:ascii="Times New Roman" w:eastAsiaTheme="minorHAnsi" w:hAnsi="Times New Roman"/>
                <w:color w:val="000000"/>
              </w:rPr>
              <w:t>Przedsiębiorcy ubiegający się o dofinansowanie wynagrodzeń pracowników</w:t>
            </w:r>
          </w:p>
          <w:p w:rsidR="00A91064" w:rsidRPr="00EF3E33" w:rsidRDefault="00A91064" w:rsidP="004C34E2">
            <w:pPr>
              <w:spacing w:line="240" w:lineRule="auto"/>
              <w:rPr>
                <w:rFonts w:ascii="Times New Roman" w:eastAsiaTheme="minorHAnsi" w:hAnsi="Times New Roman"/>
                <w:color w:val="000000"/>
              </w:rPr>
            </w:pPr>
          </w:p>
          <w:p w:rsidR="00A91064" w:rsidRPr="00C83335" w:rsidRDefault="00A91064" w:rsidP="00475799">
            <w:pPr>
              <w:spacing w:line="240" w:lineRule="auto"/>
              <w:rPr>
                <w:rFonts w:ascii="Times New Roman" w:hAnsi="Times New Roman"/>
                <w:color w:val="000000"/>
              </w:rPr>
            </w:pPr>
          </w:p>
        </w:tc>
        <w:tc>
          <w:tcPr>
            <w:tcW w:w="3212" w:type="dxa"/>
            <w:gridSpan w:val="7"/>
          </w:tcPr>
          <w:p w:rsidR="00A91064" w:rsidRPr="00C83335" w:rsidRDefault="00A91064" w:rsidP="004B4C6E">
            <w:pPr>
              <w:spacing w:line="240" w:lineRule="auto"/>
              <w:rPr>
                <w:rFonts w:ascii="Times New Roman" w:hAnsi="Times New Roman"/>
                <w:color w:val="000000"/>
                <w:spacing w:val="-2"/>
              </w:rPr>
            </w:pPr>
            <w:r>
              <w:rPr>
                <w:rFonts w:ascii="Times New Roman" w:hAnsi="Times New Roman"/>
              </w:rPr>
              <w:t>53 tys.</w:t>
            </w:r>
          </w:p>
        </w:tc>
        <w:tc>
          <w:tcPr>
            <w:tcW w:w="2268" w:type="dxa"/>
            <w:gridSpan w:val="8"/>
          </w:tcPr>
          <w:p w:rsidR="00A91064" w:rsidRDefault="00A91064" w:rsidP="0067661A">
            <w:pPr>
              <w:spacing w:line="240" w:lineRule="auto"/>
              <w:rPr>
                <w:rFonts w:ascii="Times New Roman" w:hAnsi="Times New Roman"/>
              </w:rPr>
            </w:pPr>
            <w:proofErr w:type="spellStart"/>
            <w:r w:rsidRPr="00EF3E33">
              <w:rPr>
                <w:rFonts w:ascii="Times New Roman" w:hAnsi="Times New Roman"/>
              </w:rPr>
              <w:t>MRPiPS</w:t>
            </w:r>
            <w:proofErr w:type="spellEnd"/>
            <w:r w:rsidRPr="00EF3E33">
              <w:rPr>
                <w:rFonts w:ascii="Times New Roman" w:hAnsi="Times New Roman"/>
              </w:rPr>
              <w:t xml:space="preserve"> </w:t>
            </w:r>
          </w:p>
          <w:p w:rsidR="00A91064" w:rsidRPr="00C83335" w:rsidRDefault="00A91064" w:rsidP="0067661A">
            <w:pPr>
              <w:spacing w:line="240" w:lineRule="auto"/>
              <w:rPr>
                <w:rFonts w:ascii="Times New Roman" w:hAnsi="Times New Roman"/>
                <w:color w:val="000000"/>
                <w:spacing w:val="-2"/>
              </w:rPr>
            </w:pPr>
            <w:r w:rsidRPr="00EF3E33">
              <w:rPr>
                <w:rFonts w:ascii="Times New Roman" w:hAnsi="Times New Roman"/>
              </w:rPr>
              <w:t>(Na podstawie OSR do ust</w:t>
            </w:r>
            <w:r w:rsidRPr="00E0255E">
              <w:rPr>
                <w:rFonts w:ascii="Times New Roman" w:hAnsi="Times New Roman"/>
              </w:rPr>
              <w:t>awy z dnia 31 marca 2020 r.</w:t>
            </w:r>
            <w:r>
              <w:rPr>
                <w:rFonts w:ascii="Times New Roman" w:hAnsi="Times New Roman"/>
              </w:rPr>
              <w:t>, gdzie p</w:t>
            </w:r>
            <w:r w:rsidRPr="00EF3E33">
              <w:rPr>
                <w:rFonts w:ascii="Times New Roman" w:hAnsi="Times New Roman"/>
              </w:rPr>
              <w:t>rzyjęto założenie, że spadek wartości obrotów o co najmniej 30 %, wystąpi u 20 % przedsiębiorców z sektora MMŚP. Z</w:t>
            </w:r>
            <w:r>
              <w:rPr>
                <w:rFonts w:ascii="Times New Roman" w:hAnsi="Times New Roman"/>
              </w:rPr>
              <w:t>godnie z</w:t>
            </w:r>
            <w:r w:rsidRPr="00EF3E33">
              <w:rPr>
                <w:rFonts w:ascii="Times New Roman" w:hAnsi="Times New Roman"/>
              </w:rPr>
              <w:t xml:space="preserve"> Raportem PARP liczba MMŚP wynosi ok</w:t>
            </w:r>
            <w:r>
              <w:rPr>
                <w:rFonts w:ascii="Times New Roman" w:hAnsi="Times New Roman"/>
              </w:rPr>
              <w:t>.</w:t>
            </w:r>
            <w:r w:rsidRPr="00EF3E33">
              <w:rPr>
                <w:rFonts w:ascii="Times New Roman" w:hAnsi="Times New Roman"/>
              </w:rPr>
              <w:t xml:space="preserve"> 2,69 mln</w:t>
            </w:r>
            <w:r>
              <w:rPr>
                <w:rFonts w:ascii="Times New Roman" w:hAnsi="Times New Roman"/>
              </w:rPr>
              <w:t>.</w:t>
            </w:r>
            <w:r w:rsidRPr="00EF3E33">
              <w:rPr>
                <w:rFonts w:ascii="Times New Roman" w:hAnsi="Times New Roman"/>
              </w:rPr>
              <w:t>)</w:t>
            </w:r>
          </w:p>
        </w:tc>
        <w:tc>
          <w:tcPr>
            <w:tcW w:w="3148" w:type="dxa"/>
            <w:gridSpan w:val="7"/>
          </w:tcPr>
          <w:p w:rsidR="00A91064" w:rsidRPr="00C83335" w:rsidRDefault="00A91064" w:rsidP="00AF60E5">
            <w:pPr>
              <w:spacing w:line="240" w:lineRule="auto"/>
              <w:rPr>
                <w:rFonts w:ascii="Times New Roman" w:hAnsi="Times New Roman"/>
                <w:color w:val="000000"/>
                <w:spacing w:val="-2"/>
              </w:rPr>
            </w:pPr>
            <w:r>
              <w:rPr>
                <w:rFonts w:ascii="Times New Roman" w:hAnsi="Times New Roman"/>
              </w:rPr>
              <w:t xml:space="preserve">Ułatwienie w otrzymaniu dofinansowania poprzez ograniczenie comiesięcznych obciążeń biurokratycznych w ubieganiu się o dofinansowanie do wynagrodzeń pracowników. </w:t>
            </w:r>
          </w:p>
        </w:tc>
      </w:tr>
      <w:tr w:rsidR="00A91064" w:rsidRPr="008D6E94" w:rsidTr="002A37BC">
        <w:trPr>
          <w:trHeight w:val="142"/>
        </w:trPr>
        <w:tc>
          <w:tcPr>
            <w:tcW w:w="2411" w:type="dxa"/>
            <w:gridSpan w:val="6"/>
          </w:tcPr>
          <w:p w:rsidR="00A91064" w:rsidRPr="00C83335" w:rsidRDefault="00A91064" w:rsidP="00475799">
            <w:pPr>
              <w:spacing w:line="240" w:lineRule="auto"/>
              <w:rPr>
                <w:rFonts w:ascii="Times New Roman" w:hAnsi="Times New Roman"/>
                <w:color w:val="000000"/>
              </w:rPr>
            </w:pPr>
            <w:r w:rsidRPr="00C83335">
              <w:rPr>
                <w:rFonts w:ascii="Times New Roman" w:hAnsi="Times New Roman"/>
                <w:color w:val="000000"/>
              </w:rPr>
              <w:t>Zarządzający obszarami</w:t>
            </w:r>
          </w:p>
          <w:p w:rsidR="00A91064" w:rsidRPr="00C83335" w:rsidRDefault="00A91064" w:rsidP="005504A7">
            <w:pPr>
              <w:spacing w:line="240" w:lineRule="auto"/>
              <w:rPr>
                <w:rFonts w:ascii="Times New Roman" w:hAnsi="Times New Roman"/>
                <w:color w:val="000000"/>
              </w:rPr>
            </w:pPr>
          </w:p>
        </w:tc>
        <w:tc>
          <w:tcPr>
            <w:tcW w:w="3212" w:type="dxa"/>
            <w:gridSpan w:val="7"/>
          </w:tcPr>
          <w:p w:rsidR="00A91064" w:rsidRPr="00C83335" w:rsidRDefault="00A91064" w:rsidP="004B4C6E">
            <w:pPr>
              <w:spacing w:line="240" w:lineRule="auto"/>
              <w:rPr>
                <w:rFonts w:ascii="Times New Roman" w:hAnsi="Times New Roman"/>
                <w:color w:val="000000"/>
                <w:spacing w:val="-2"/>
              </w:rPr>
            </w:pPr>
            <w:r w:rsidRPr="00C83335">
              <w:rPr>
                <w:rFonts w:ascii="Times New Roman" w:hAnsi="Times New Roman"/>
                <w:color w:val="000000"/>
                <w:spacing w:val="-2"/>
              </w:rPr>
              <w:t>14</w:t>
            </w:r>
          </w:p>
        </w:tc>
        <w:tc>
          <w:tcPr>
            <w:tcW w:w="2268" w:type="dxa"/>
            <w:gridSpan w:val="8"/>
          </w:tcPr>
          <w:p w:rsidR="00A91064" w:rsidRPr="00C83335" w:rsidRDefault="00A91064" w:rsidP="0067661A">
            <w:pPr>
              <w:spacing w:line="240" w:lineRule="auto"/>
              <w:rPr>
                <w:rFonts w:ascii="Times New Roman" w:hAnsi="Times New Roman"/>
                <w:color w:val="000000"/>
                <w:spacing w:val="-2"/>
              </w:rPr>
            </w:pPr>
            <w:r w:rsidRPr="00C83335">
              <w:rPr>
                <w:rFonts w:ascii="Times New Roman" w:hAnsi="Times New Roman"/>
                <w:color w:val="000000"/>
                <w:spacing w:val="-2"/>
              </w:rPr>
              <w:t xml:space="preserve">Rozporządzenia wydane na podstawie art. 4 ust. 1 ustawy z dnia 20 października 1994 r. o specjalnych strefach ekonomicznych, rozporządzenie wydane na podstawie art. 5 ust. 3 ustawy z dnia 10 maja 2018 r. o wspieraniu nowych inwestycji </w:t>
            </w:r>
          </w:p>
        </w:tc>
        <w:tc>
          <w:tcPr>
            <w:tcW w:w="3148" w:type="dxa"/>
            <w:gridSpan w:val="7"/>
          </w:tcPr>
          <w:p w:rsidR="00A91064" w:rsidRPr="00C83335" w:rsidRDefault="00A91064" w:rsidP="00AF60E5">
            <w:pPr>
              <w:spacing w:line="240" w:lineRule="auto"/>
              <w:rPr>
                <w:rFonts w:ascii="Times New Roman" w:hAnsi="Times New Roman"/>
                <w:color w:val="000000"/>
                <w:spacing w:val="-2"/>
              </w:rPr>
            </w:pPr>
            <w:r w:rsidRPr="00C83335">
              <w:rPr>
                <w:rFonts w:ascii="Times New Roman" w:hAnsi="Times New Roman"/>
                <w:color w:val="000000"/>
                <w:spacing w:val="-2"/>
              </w:rPr>
              <w:t xml:space="preserve">Zwiększenie liczby podmiotów wnioskujących o regionalną pomoc publiczną. </w:t>
            </w:r>
          </w:p>
        </w:tc>
      </w:tr>
      <w:tr w:rsidR="00A91064" w:rsidRPr="008D6E94" w:rsidTr="002A37BC">
        <w:trPr>
          <w:trHeight w:val="142"/>
        </w:trPr>
        <w:tc>
          <w:tcPr>
            <w:tcW w:w="2411" w:type="dxa"/>
            <w:gridSpan w:val="6"/>
          </w:tcPr>
          <w:p w:rsidR="00A91064" w:rsidRPr="00C83335" w:rsidRDefault="00A91064" w:rsidP="00636DCA">
            <w:pPr>
              <w:spacing w:line="240" w:lineRule="auto"/>
              <w:rPr>
                <w:rFonts w:ascii="Times New Roman" w:hAnsi="Times New Roman"/>
                <w:color w:val="000000"/>
              </w:rPr>
            </w:pPr>
            <w:r w:rsidRPr="00C83335">
              <w:rPr>
                <w:rFonts w:ascii="Times New Roman" w:hAnsi="Times New Roman"/>
                <w:color w:val="000000"/>
              </w:rPr>
              <w:t xml:space="preserve">Przedsiębiorcy i pracownicy posiadający uprawnienia instalatora instalacji OZE, których ważność certyfikatów wygasa w okresie epidemii oraz </w:t>
            </w:r>
            <w:r w:rsidRPr="00C83335">
              <w:rPr>
                <w:rFonts w:ascii="Times New Roman" w:hAnsi="Times New Roman"/>
                <w:color w:val="000000"/>
                <w:szCs w:val="24"/>
              </w:rPr>
              <w:t>osoby</w:t>
            </w:r>
            <w:r w:rsidRPr="00C83335">
              <w:rPr>
                <w:rFonts w:ascii="Times New Roman" w:hAnsi="Times New Roman"/>
                <w:color w:val="000000"/>
              </w:rPr>
              <w:t>, które ze względu na epidemię nie mogą podejść do egzaminu na instalatora</w:t>
            </w:r>
          </w:p>
        </w:tc>
        <w:tc>
          <w:tcPr>
            <w:tcW w:w="3212" w:type="dxa"/>
            <w:gridSpan w:val="7"/>
          </w:tcPr>
          <w:p w:rsidR="00A91064" w:rsidRPr="00C83335" w:rsidRDefault="00A91064" w:rsidP="005F27A5">
            <w:pPr>
              <w:spacing w:line="240" w:lineRule="auto"/>
              <w:rPr>
                <w:rFonts w:ascii="Times New Roman" w:hAnsi="Times New Roman"/>
                <w:color w:val="000000"/>
                <w:spacing w:val="-2"/>
              </w:rPr>
            </w:pPr>
            <w:r w:rsidRPr="00C83335">
              <w:rPr>
                <w:rFonts w:ascii="Times New Roman" w:hAnsi="Times New Roman"/>
                <w:color w:val="000000"/>
                <w:spacing w:val="-2"/>
              </w:rPr>
              <w:t>ok. 300 osób (w okresie 3 miesięcy)</w:t>
            </w:r>
          </w:p>
        </w:tc>
        <w:tc>
          <w:tcPr>
            <w:tcW w:w="2268" w:type="dxa"/>
            <w:gridSpan w:val="8"/>
          </w:tcPr>
          <w:p w:rsidR="00A91064" w:rsidRPr="00C83335" w:rsidRDefault="00A91064" w:rsidP="0067661A">
            <w:pPr>
              <w:spacing w:line="240" w:lineRule="auto"/>
              <w:rPr>
                <w:rFonts w:ascii="Times New Roman" w:hAnsi="Times New Roman"/>
                <w:color w:val="000000"/>
                <w:spacing w:val="-2"/>
              </w:rPr>
            </w:pPr>
            <w:r w:rsidRPr="00C83335">
              <w:rPr>
                <w:rFonts w:ascii="Times New Roman" w:hAnsi="Times New Roman"/>
                <w:color w:val="000000"/>
                <w:spacing w:val="-2"/>
              </w:rPr>
              <w:t>Ministerstwo Rozwoju</w:t>
            </w:r>
          </w:p>
        </w:tc>
        <w:tc>
          <w:tcPr>
            <w:tcW w:w="3148" w:type="dxa"/>
            <w:gridSpan w:val="7"/>
          </w:tcPr>
          <w:p w:rsidR="00A91064" w:rsidRPr="00C83335" w:rsidRDefault="00A91064" w:rsidP="00AF60E5">
            <w:pPr>
              <w:spacing w:line="240" w:lineRule="auto"/>
              <w:rPr>
                <w:rFonts w:ascii="Times New Roman" w:hAnsi="Times New Roman"/>
                <w:color w:val="000000"/>
                <w:spacing w:val="-2"/>
              </w:rPr>
            </w:pPr>
            <w:r w:rsidRPr="00C83335">
              <w:rPr>
                <w:rFonts w:ascii="Times New Roman" w:hAnsi="Times New Roman"/>
                <w:color w:val="000000"/>
                <w:spacing w:val="-2"/>
              </w:rPr>
              <w:t>Przedłużenie ważności certyfikatów, zawieszenie terminu złożenia egzaminu.</w:t>
            </w:r>
          </w:p>
        </w:tc>
      </w:tr>
      <w:tr w:rsidR="00A91064" w:rsidRPr="005F27A5" w:rsidTr="002A37BC">
        <w:trPr>
          <w:trHeight w:val="142"/>
        </w:trPr>
        <w:tc>
          <w:tcPr>
            <w:tcW w:w="2411" w:type="dxa"/>
            <w:gridSpan w:val="6"/>
          </w:tcPr>
          <w:p w:rsidR="00A91064" w:rsidRPr="00C83335" w:rsidRDefault="00A91064" w:rsidP="00475799">
            <w:pPr>
              <w:spacing w:line="240" w:lineRule="auto"/>
              <w:rPr>
                <w:rFonts w:ascii="Times New Roman" w:hAnsi="Times New Roman"/>
                <w:color w:val="000000"/>
              </w:rPr>
            </w:pPr>
            <w:r w:rsidRPr="00C83335">
              <w:rPr>
                <w:rFonts w:ascii="Times New Roman" w:hAnsi="Times New Roman"/>
                <w:color w:val="000000"/>
              </w:rPr>
              <w:t>Przedsiębiorcy zatrudniający pracowników do obsługi urządzeń technicznych w szczególności w sektorze spożywczym, chemicznym</w:t>
            </w:r>
            <w:r>
              <w:rPr>
                <w:rFonts w:ascii="Times New Roman" w:hAnsi="Times New Roman"/>
                <w:color w:val="000000"/>
              </w:rPr>
              <w:t xml:space="preserve"> </w:t>
            </w:r>
            <w:r w:rsidRPr="00C83335">
              <w:rPr>
                <w:rFonts w:ascii="Times New Roman" w:hAnsi="Times New Roman"/>
                <w:color w:val="000000"/>
              </w:rPr>
              <w:t>i farmaceutycznym oraz pracownicy zainteresowani zdobyciem kwalifikacji do obsługi urządzeń technicznych i podjęciem pracy w tym obszarze</w:t>
            </w:r>
          </w:p>
        </w:tc>
        <w:tc>
          <w:tcPr>
            <w:tcW w:w="3212" w:type="dxa"/>
            <w:gridSpan w:val="7"/>
          </w:tcPr>
          <w:p w:rsidR="00A91064" w:rsidRPr="00C83335" w:rsidRDefault="00A91064" w:rsidP="005F27A5">
            <w:pPr>
              <w:spacing w:line="240" w:lineRule="auto"/>
              <w:rPr>
                <w:rFonts w:ascii="Times New Roman" w:hAnsi="Times New Roman"/>
                <w:color w:val="000000"/>
              </w:rPr>
            </w:pPr>
            <w:r w:rsidRPr="00C83335">
              <w:rPr>
                <w:rFonts w:ascii="Times New Roman" w:hAnsi="Times New Roman"/>
                <w:color w:val="000000"/>
              </w:rPr>
              <w:t>ok. 18 tys. osób (w okresie 3 miesięcy)</w:t>
            </w:r>
          </w:p>
        </w:tc>
        <w:tc>
          <w:tcPr>
            <w:tcW w:w="2268" w:type="dxa"/>
            <w:gridSpan w:val="8"/>
          </w:tcPr>
          <w:p w:rsidR="00A91064" w:rsidRPr="00C83335" w:rsidRDefault="00A91064" w:rsidP="0067661A">
            <w:pPr>
              <w:spacing w:line="240" w:lineRule="auto"/>
              <w:rPr>
                <w:rFonts w:ascii="Times New Roman" w:hAnsi="Times New Roman"/>
                <w:color w:val="000000"/>
              </w:rPr>
            </w:pPr>
            <w:r w:rsidRPr="00C83335">
              <w:rPr>
                <w:rFonts w:ascii="Times New Roman" w:hAnsi="Times New Roman"/>
                <w:color w:val="000000"/>
                <w:spacing w:val="-2"/>
              </w:rPr>
              <w:t>Ministerstwo Rozwoju</w:t>
            </w:r>
          </w:p>
        </w:tc>
        <w:tc>
          <w:tcPr>
            <w:tcW w:w="3148" w:type="dxa"/>
            <w:gridSpan w:val="7"/>
          </w:tcPr>
          <w:p w:rsidR="00A91064" w:rsidRPr="00C83335" w:rsidRDefault="00A91064" w:rsidP="00AF60E5">
            <w:pPr>
              <w:spacing w:line="240" w:lineRule="auto"/>
              <w:rPr>
                <w:rFonts w:ascii="Times New Roman" w:hAnsi="Times New Roman"/>
                <w:color w:val="000000"/>
              </w:rPr>
            </w:pPr>
            <w:r w:rsidRPr="00C83335">
              <w:rPr>
                <w:rFonts w:ascii="Times New Roman" w:hAnsi="Times New Roman"/>
                <w:color w:val="000000"/>
              </w:rPr>
              <w:t>Możliwość przystąpienia do postępowania kwalifikacyjnego.</w:t>
            </w:r>
          </w:p>
        </w:tc>
      </w:tr>
      <w:tr w:rsidR="00A91064" w:rsidRPr="000D3DD1" w:rsidTr="002A37BC">
        <w:trPr>
          <w:trHeight w:val="142"/>
        </w:trPr>
        <w:tc>
          <w:tcPr>
            <w:tcW w:w="2411" w:type="dxa"/>
            <w:gridSpan w:val="6"/>
          </w:tcPr>
          <w:p w:rsidR="00A91064" w:rsidRPr="00C83335" w:rsidRDefault="00A91064" w:rsidP="00DB2D29">
            <w:pPr>
              <w:spacing w:line="240" w:lineRule="auto"/>
              <w:rPr>
                <w:rFonts w:ascii="Times New Roman" w:hAnsi="Times New Roman"/>
              </w:rPr>
            </w:pPr>
            <w:bookmarkStart w:id="3" w:name="_Hlk37885968"/>
            <w:r w:rsidRPr="00C83335">
              <w:rPr>
                <w:rFonts w:ascii="Times New Roman" w:hAnsi="Times New Roman"/>
              </w:rPr>
              <w:t>Użytkownicy przyrządów pomiarowych stosowanych w wielu dziedzinach gospodarki, w tym gospodarstwa domowe, przedsiębiorcy, organy państwowe.</w:t>
            </w:r>
          </w:p>
          <w:bookmarkEnd w:id="3"/>
          <w:p w:rsidR="00A91064" w:rsidRPr="00DB2D29" w:rsidRDefault="00A91064" w:rsidP="00475799">
            <w:pPr>
              <w:spacing w:line="240" w:lineRule="auto"/>
              <w:rPr>
                <w:rFonts w:ascii="Times New Roman" w:hAnsi="Times New Roman"/>
                <w:color w:val="000000"/>
                <w:highlight w:val="yellow"/>
              </w:rPr>
            </w:pPr>
          </w:p>
        </w:tc>
        <w:tc>
          <w:tcPr>
            <w:tcW w:w="3212" w:type="dxa"/>
            <w:gridSpan w:val="7"/>
          </w:tcPr>
          <w:p w:rsidR="00A91064" w:rsidRPr="00DB2D29" w:rsidRDefault="00A91064" w:rsidP="005F27A5">
            <w:pPr>
              <w:spacing w:line="240" w:lineRule="auto"/>
              <w:rPr>
                <w:rFonts w:ascii="Times New Roman" w:hAnsi="Times New Roman"/>
                <w:color w:val="000000"/>
                <w:highlight w:val="yellow"/>
              </w:rPr>
            </w:pPr>
            <w:r>
              <w:rPr>
                <w:rFonts w:ascii="Times New Roman" w:hAnsi="Times New Roman"/>
                <w:spacing w:val="-2"/>
              </w:rPr>
              <w:t>b.d.</w:t>
            </w:r>
          </w:p>
        </w:tc>
        <w:tc>
          <w:tcPr>
            <w:tcW w:w="2268" w:type="dxa"/>
            <w:gridSpan w:val="8"/>
          </w:tcPr>
          <w:p w:rsidR="00A91064" w:rsidRPr="00DB2D29" w:rsidRDefault="00A91064" w:rsidP="0067661A">
            <w:pPr>
              <w:spacing w:line="240" w:lineRule="auto"/>
              <w:rPr>
                <w:rFonts w:ascii="Times New Roman" w:hAnsi="Times New Roman"/>
                <w:color w:val="000000"/>
                <w:highlight w:val="yellow"/>
              </w:rPr>
            </w:pPr>
          </w:p>
        </w:tc>
        <w:tc>
          <w:tcPr>
            <w:tcW w:w="3148" w:type="dxa"/>
            <w:gridSpan w:val="7"/>
          </w:tcPr>
          <w:p w:rsidR="00A91064" w:rsidRPr="006E78DE" w:rsidRDefault="00A91064" w:rsidP="00C83335">
            <w:pPr>
              <w:spacing w:line="240" w:lineRule="auto"/>
              <w:rPr>
                <w:rFonts w:ascii="Times New Roman" w:hAnsi="Times New Roman"/>
                <w:spacing w:val="-2"/>
              </w:rPr>
            </w:pPr>
            <w:r w:rsidRPr="00C83335">
              <w:rPr>
                <w:rFonts w:ascii="Times New Roman" w:hAnsi="Times New Roman"/>
                <w:spacing w:val="-2"/>
              </w:rPr>
              <w:t xml:space="preserve">Umożliwienie </w:t>
            </w:r>
            <w:r w:rsidRPr="00DB2D29">
              <w:rPr>
                <w:rFonts w:ascii="Times New Roman" w:hAnsi="Times New Roman"/>
                <w:spacing w:val="-2"/>
              </w:rPr>
              <w:t xml:space="preserve">odroczenia terminu dokonania legalizacji i zezwolenie na dalsze użytkowanie przyrządów pomiarowych </w:t>
            </w:r>
            <w:r w:rsidRPr="006E78DE">
              <w:rPr>
                <w:rFonts w:ascii="Times New Roman" w:hAnsi="Times New Roman"/>
                <w:spacing w:val="-2"/>
              </w:rPr>
              <w:t>w sytuacji panującej epidemii COVID-19.</w:t>
            </w:r>
          </w:p>
          <w:p w:rsidR="00A91064" w:rsidRPr="006E78DE" w:rsidRDefault="00A91064" w:rsidP="00C83335">
            <w:pPr>
              <w:spacing w:line="240" w:lineRule="auto"/>
              <w:rPr>
                <w:rFonts w:ascii="Times New Roman" w:hAnsi="Times New Roman"/>
                <w:spacing w:val="-2"/>
              </w:rPr>
            </w:pPr>
            <w:r w:rsidRPr="00DB2D29">
              <w:rPr>
                <w:rFonts w:ascii="Times New Roman" w:hAnsi="Times New Roman"/>
                <w:spacing w:val="-2"/>
              </w:rPr>
              <w:t>Zapewnienie odpowiedniej jakości po</w:t>
            </w:r>
            <w:r>
              <w:rPr>
                <w:rFonts w:ascii="Times New Roman" w:hAnsi="Times New Roman"/>
                <w:spacing w:val="-2"/>
              </w:rPr>
              <w:t xml:space="preserve">miarów wykonywanych przyrządami </w:t>
            </w:r>
            <w:r w:rsidRPr="006E78DE">
              <w:rPr>
                <w:rFonts w:ascii="Times New Roman" w:hAnsi="Times New Roman"/>
                <w:spacing w:val="-2"/>
              </w:rPr>
              <w:t>pomiarowymi.</w:t>
            </w:r>
          </w:p>
          <w:p w:rsidR="00A91064" w:rsidRPr="00DB2D29" w:rsidRDefault="00A91064" w:rsidP="00C83335">
            <w:pPr>
              <w:spacing w:line="240" w:lineRule="auto"/>
              <w:rPr>
                <w:rFonts w:ascii="Times New Roman" w:hAnsi="Times New Roman"/>
                <w:color w:val="000000"/>
                <w:highlight w:val="yellow"/>
              </w:rPr>
            </w:pPr>
            <w:r w:rsidRPr="00DB2D29">
              <w:rPr>
                <w:rFonts w:ascii="Times New Roman" w:hAnsi="Times New Roman"/>
                <w:spacing w:val="-2"/>
              </w:rPr>
              <w:t>Jednakowe traktowanie wszystkich użytkowników przyrządów pomiarowych.</w:t>
            </w:r>
          </w:p>
        </w:tc>
      </w:tr>
      <w:tr w:rsidR="00482AF3" w:rsidRPr="000D3DD1" w:rsidTr="002A37BC">
        <w:trPr>
          <w:trHeight w:val="142"/>
        </w:trPr>
        <w:tc>
          <w:tcPr>
            <w:tcW w:w="2411" w:type="dxa"/>
            <w:gridSpan w:val="6"/>
            <w:tcBorders>
              <w:top w:val="single" w:sz="4" w:space="0" w:color="auto"/>
              <w:left w:val="single" w:sz="4" w:space="0" w:color="auto"/>
              <w:bottom w:val="single" w:sz="4" w:space="0" w:color="auto"/>
              <w:right w:val="single" w:sz="4" w:space="0" w:color="auto"/>
            </w:tcBorders>
          </w:tcPr>
          <w:p w:rsidR="00482AF3" w:rsidRPr="00482AF3" w:rsidRDefault="00482AF3" w:rsidP="004C34E2">
            <w:pPr>
              <w:spacing w:line="240" w:lineRule="auto"/>
              <w:rPr>
                <w:rFonts w:ascii="Times New Roman" w:hAnsi="Times New Roman"/>
              </w:rPr>
            </w:pPr>
            <w:r w:rsidRPr="00482AF3">
              <w:rPr>
                <w:rFonts w:ascii="Times New Roman" w:hAnsi="Times New Roman"/>
              </w:rPr>
              <w:t>Podmioty dokonujące wymiany gazomierzy.</w:t>
            </w:r>
          </w:p>
          <w:p w:rsidR="00482AF3" w:rsidRPr="00482AF3" w:rsidRDefault="00482AF3" w:rsidP="004C34E2">
            <w:pPr>
              <w:spacing w:line="240" w:lineRule="auto"/>
              <w:rPr>
                <w:rFonts w:ascii="Times New Roman" w:hAnsi="Times New Roman"/>
              </w:rPr>
            </w:pPr>
          </w:p>
          <w:p w:rsidR="00482AF3" w:rsidRPr="00482AF3" w:rsidRDefault="00482AF3" w:rsidP="004C34E2">
            <w:pPr>
              <w:spacing w:line="240" w:lineRule="auto"/>
              <w:rPr>
                <w:rFonts w:ascii="Times New Roman" w:hAnsi="Times New Roman"/>
              </w:rPr>
            </w:pPr>
            <w:r w:rsidRPr="00482AF3">
              <w:rPr>
                <w:rFonts w:ascii="Times New Roman" w:hAnsi="Times New Roman"/>
              </w:rPr>
              <w:t>Odbiorcy, u których następuje wymiana gazomierzy</w:t>
            </w:r>
          </w:p>
        </w:tc>
        <w:tc>
          <w:tcPr>
            <w:tcW w:w="3212" w:type="dxa"/>
            <w:gridSpan w:val="7"/>
            <w:tcBorders>
              <w:top w:val="single" w:sz="4" w:space="0" w:color="auto"/>
              <w:left w:val="single" w:sz="4" w:space="0" w:color="auto"/>
              <w:bottom w:val="single" w:sz="4" w:space="0" w:color="auto"/>
              <w:right w:val="single" w:sz="4" w:space="0" w:color="auto"/>
            </w:tcBorders>
          </w:tcPr>
          <w:p w:rsidR="00482AF3" w:rsidRPr="00482AF3" w:rsidRDefault="00482AF3" w:rsidP="00482AF3">
            <w:pPr>
              <w:spacing w:line="240" w:lineRule="auto"/>
              <w:rPr>
                <w:rFonts w:ascii="Times New Roman" w:hAnsi="Times New Roman"/>
                <w:spacing w:val="-2"/>
              </w:rPr>
            </w:pPr>
            <w:r w:rsidRPr="00482AF3">
              <w:rPr>
                <w:rFonts w:ascii="Times New Roman" w:hAnsi="Times New Roman"/>
                <w:spacing w:val="-2"/>
              </w:rPr>
              <w:t>W 2020 r. wymiany legalizacyjnej wymaga 870 tys. szt. gazomierzy miechowych, w 2021 1,03 mln. szt. Na rok bieżący i kolejny (2021) przypada szczyt wymian legalizacyjnych gazomierzy, które miały 15 letni i 10 letni okres ważności legalizacji.</w:t>
            </w:r>
          </w:p>
          <w:p w:rsidR="00482AF3" w:rsidRPr="00482AF3" w:rsidRDefault="00482AF3" w:rsidP="00482AF3">
            <w:pPr>
              <w:spacing w:line="240" w:lineRule="auto"/>
              <w:rPr>
                <w:rFonts w:ascii="Times New Roman" w:hAnsi="Times New Roman"/>
                <w:spacing w:val="-2"/>
              </w:rPr>
            </w:pPr>
            <w:r w:rsidRPr="00482AF3">
              <w:rPr>
                <w:rFonts w:ascii="Times New Roman" w:hAnsi="Times New Roman"/>
                <w:spacing w:val="-2"/>
              </w:rPr>
              <w:t>Wzrost liczby wymienianych gazomierzy jest dwukrotny w stosunku do ilości wymian gazomierzy, który był realizowany dotychczas.</w:t>
            </w:r>
          </w:p>
        </w:tc>
        <w:tc>
          <w:tcPr>
            <w:tcW w:w="2268" w:type="dxa"/>
            <w:gridSpan w:val="8"/>
            <w:tcBorders>
              <w:top w:val="single" w:sz="4" w:space="0" w:color="auto"/>
              <w:left w:val="single" w:sz="4" w:space="0" w:color="auto"/>
              <w:bottom w:val="single" w:sz="4" w:space="0" w:color="auto"/>
              <w:right w:val="single" w:sz="4" w:space="0" w:color="auto"/>
            </w:tcBorders>
          </w:tcPr>
          <w:p w:rsidR="00482AF3" w:rsidRPr="00482AF3" w:rsidRDefault="00482AF3" w:rsidP="004C34E2">
            <w:pPr>
              <w:spacing w:line="240" w:lineRule="auto"/>
              <w:rPr>
                <w:rFonts w:ascii="Times New Roman" w:hAnsi="Times New Roman"/>
                <w:color w:val="000000"/>
              </w:rPr>
            </w:pPr>
            <w:r w:rsidRPr="00482AF3">
              <w:rPr>
                <w:rFonts w:ascii="Times New Roman" w:hAnsi="Times New Roman"/>
                <w:color w:val="000000"/>
              </w:rPr>
              <w:t xml:space="preserve">Dane </w:t>
            </w:r>
            <w:r>
              <w:rPr>
                <w:rFonts w:ascii="Times New Roman" w:hAnsi="Times New Roman"/>
                <w:color w:val="000000"/>
              </w:rPr>
              <w:t>Ministerstwa Klimatu</w:t>
            </w:r>
          </w:p>
        </w:tc>
        <w:tc>
          <w:tcPr>
            <w:tcW w:w="3148" w:type="dxa"/>
            <w:gridSpan w:val="7"/>
            <w:tcBorders>
              <w:top w:val="single" w:sz="4" w:space="0" w:color="auto"/>
              <w:left w:val="single" w:sz="4" w:space="0" w:color="auto"/>
              <w:bottom w:val="single" w:sz="4" w:space="0" w:color="auto"/>
              <w:right w:val="single" w:sz="4" w:space="0" w:color="auto"/>
            </w:tcBorders>
          </w:tcPr>
          <w:p w:rsidR="00482AF3" w:rsidRPr="00482AF3" w:rsidRDefault="00482AF3" w:rsidP="004C34E2">
            <w:pPr>
              <w:spacing w:line="240" w:lineRule="auto"/>
              <w:rPr>
                <w:rFonts w:ascii="Times New Roman" w:hAnsi="Times New Roman"/>
                <w:spacing w:val="-2"/>
              </w:rPr>
            </w:pPr>
            <w:r w:rsidRPr="00482AF3">
              <w:rPr>
                <w:rFonts w:ascii="Times New Roman" w:hAnsi="Times New Roman"/>
                <w:spacing w:val="-2"/>
              </w:rPr>
              <w:t>Rozłożenie w czasie zaległych wymian gazomierzy oraz rozliczenie Odbiorców na podstawie wskazań przedmiotowych układów pomiarowych.</w:t>
            </w:r>
          </w:p>
        </w:tc>
      </w:tr>
      <w:tr w:rsidR="00A91064" w:rsidRPr="000D3DD1" w:rsidTr="002A37BC">
        <w:trPr>
          <w:trHeight w:val="142"/>
        </w:trPr>
        <w:tc>
          <w:tcPr>
            <w:tcW w:w="2411" w:type="dxa"/>
            <w:gridSpan w:val="6"/>
          </w:tcPr>
          <w:p w:rsidR="00A91064" w:rsidRPr="00C83335" w:rsidRDefault="00A91064" w:rsidP="00475799">
            <w:pPr>
              <w:spacing w:line="240" w:lineRule="auto"/>
              <w:rPr>
                <w:rFonts w:ascii="Times New Roman" w:hAnsi="Times New Roman"/>
                <w:color w:val="000000"/>
                <w:highlight w:val="yellow"/>
              </w:rPr>
            </w:pPr>
            <w:r w:rsidRPr="00C83335">
              <w:rPr>
                <w:rFonts w:ascii="Times New Roman" w:hAnsi="Times New Roman"/>
              </w:rPr>
              <w:t xml:space="preserve">Organy administracji miar </w:t>
            </w:r>
          </w:p>
        </w:tc>
        <w:tc>
          <w:tcPr>
            <w:tcW w:w="3212" w:type="dxa"/>
            <w:gridSpan w:val="7"/>
          </w:tcPr>
          <w:p w:rsidR="00A91064" w:rsidRPr="00C83335" w:rsidRDefault="00A91064" w:rsidP="005F27A5">
            <w:pPr>
              <w:spacing w:line="240" w:lineRule="auto"/>
              <w:rPr>
                <w:rFonts w:ascii="Times New Roman" w:hAnsi="Times New Roman"/>
                <w:color w:val="000000"/>
                <w:highlight w:val="yellow"/>
              </w:rPr>
            </w:pPr>
            <w:r w:rsidRPr="00C83335">
              <w:rPr>
                <w:rFonts w:ascii="Times New Roman" w:hAnsi="Times New Roman"/>
                <w:spacing w:val="-2"/>
              </w:rPr>
              <w:t>Główny Urząd Miar, 10 okręgowych urzędów miar (w tym 50 wydziałów zamiejscowych)</w:t>
            </w:r>
          </w:p>
        </w:tc>
        <w:tc>
          <w:tcPr>
            <w:tcW w:w="2268" w:type="dxa"/>
            <w:gridSpan w:val="8"/>
          </w:tcPr>
          <w:p w:rsidR="00A91064" w:rsidRPr="00C83335" w:rsidRDefault="00A91064" w:rsidP="0067661A">
            <w:pPr>
              <w:spacing w:line="240" w:lineRule="auto"/>
              <w:rPr>
                <w:rFonts w:ascii="Times New Roman" w:hAnsi="Times New Roman"/>
                <w:color w:val="000000"/>
                <w:highlight w:val="yellow"/>
              </w:rPr>
            </w:pPr>
            <w:r w:rsidRPr="00C83335">
              <w:rPr>
                <w:rFonts w:ascii="Times New Roman" w:hAnsi="Times New Roman"/>
                <w:spacing w:val="-2"/>
              </w:rPr>
              <w:t>GUM</w:t>
            </w:r>
          </w:p>
        </w:tc>
        <w:tc>
          <w:tcPr>
            <w:tcW w:w="3148" w:type="dxa"/>
            <w:gridSpan w:val="7"/>
          </w:tcPr>
          <w:p w:rsidR="00A91064" w:rsidRPr="00C83335" w:rsidRDefault="00A91064" w:rsidP="00FE4743">
            <w:pPr>
              <w:spacing w:line="240" w:lineRule="auto"/>
              <w:rPr>
                <w:rFonts w:ascii="Times New Roman" w:hAnsi="Times New Roman"/>
                <w:color w:val="000000"/>
                <w:highlight w:val="yellow"/>
              </w:rPr>
            </w:pPr>
            <w:r w:rsidRPr="00C83335">
              <w:rPr>
                <w:rFonts w:ascii="Times New Roman" w:hAnsi="Times New Roman"/>
                <w:spacing w:val="-2"/>
              </w:rPr>
              <w:t xml:space="preserve">Organy administracji miar wykonują legalizację ponowną przyrządów pomiarowych, a na wniosek podmiotów uprawnionych do złożenia wniosku o dokonanie legalizacji ponownej będą wydawały decyzje o odroczeniu legalizacji i zezwoleniu na dalsze użytkowanie na maksimum </w:t>
            </w:r>
            <w:r w:rsidR="00FE4743">
              <w:rPr>
                <w:rFonts w:ascii="Times New Roman" w:hAnsi="Times New Roman"/>
                <w:spacing w:val="-2"/>
              </w:rPr>
              <w:t>12</w:t>
            </w:r>
            <w:r>
              <w:rPr>
                <w:rFonts w:ascii="Times New Roman" w:hAnsi="Times New Roman"/>
                <w:spacing w:val="-2"/>
              </w:rPr>
              <w:t xml:space="preserve"> </w:t>
            </w:r>
            <w:r w:rsidRPr="00C83335">
              <w:rPr>
                <w:rFonts w:ascii="Times New Roman" w:hAnsi="Times New Roman"/>
                <w:spacing w:val="-2"/>
              </w:rPr>
              <w:t>miesięcy.</w:t>
            </w:r>
          </w:p>
        </w:tc>
      </w:tr>
      <w:tr w:rsidR="00A91064" w:rsidRPr="000D3DD1" w:rsidTr="002A37BC">
        <w:trPr>
          <w:trHeight w:val="142"/>
        </w:trPr>
        <w:tc>
          <w:tcPr>
            <w:tcW w:w="2411" w:type="dxa"/>
            <w:gridSpan w:val="6"/>
          </w:tcPr>
          <w:p w:rsidR="00A91064" w:rsidRPr="00863ACF" w:rsidRDefault="00A91064" w:rsidP="00475799">
            <w:pPr>
              <w:spacing w:line="240" w:lineRule="auto"/>
              <w:rPr>
                <w:rFonts w:ascii="Times New Roman" w:hAnsi="Times New Roman"/>
                <w:color w:val="000000"/>
              </w:rPr>
            </w:pPr>
            <w:r w:rsidRPr="00863ACF">
              <w:rPr>
                <w:rFonts w:ascii="Times New Roman" w:hAnsi="Times New Roman"/>
                <w:color w:val="000000"/>
              </w:rPr>
              <w:t>Akredytowane podmioty (przedsiębiorcy prowadzący działalność w obszarze oceny zgodności)</w:t>
            </w:r>
          </w:p>
        </w:tc>
        <w:tc>
          <w:tcPr>
            <w:tcW w:w="3212" w:type="dxa"/>
            <w:gridSpan w:val="7"/>
          </w:tcPr>
          <w:p w:rsidR="00A91064" w:rsidRPr="00863ACF" w:rsidRDefault="00A91064" w:rsidP="005F27A5">
            <w:pPr>
              <w:spacing w:line="240" w:lineRule="auto"/>
              <w:rPr>
                <w:rFonts w:ascii="Times New Roman" w:hAnsi="Times New Roman"/>
                <w:color w:val="000000"/>
              </w:rPr>
            </w:pPr>
            <w:r w:rsidRPr="00863ACF">
              <w:rPr>
                <w:rFonts w:ascii="Times New Roman" w:hAnsi="Times New Roman"/>
                <w:color w:val="000000"/>
              </w:rPr>
              <w:t>1618</w:t>
            </w:r>
          </w:p>
        </w:tc>
        <w:tc>
          <w:tcPr>
            <w:tcW w:w="2268" w:type="dxa"/>
            <w:gridSpan w:val="8"/>
          </w:tcPr>
          <w:p w:rsidR="00A91064" w:rsidRPr="00863ACF" w:rsidRDefault="00A91064" w:rsidP="0067661A">
            <w:pPr>
              <w:spacing w:line="240" w:lineRule="auto"/>
              <w:rPr>
                <w:rFonts w:ascii="Times New Roman" w:hAnsi="Times New Roman"/>
                <w:color w:val="000000"/>
              </w:rPr>
            </w:pPr>
            <w:r w:rsidRPr="00863ACF">
              <w:rPr>
                <w:rFonts w:ascii="Times New Roman" w:hAnsi="Times New Roman"/>
                <w:color w:val="000000"/>
              </w:rPr>
              <w:t>Ministerstwo Rozwoju</w:t>
            </w:r>
          </w:p>
        </w:tc>
        <w:tc>
          <w:tcPr>
            <w:tcW w:w="3148" w:type="dxa"/>
            <w:gridSpan w:val="7"/>
          </w:tcPr>
          <w:p w:rsidR="00A91064" w:rsidRPr="00863ACF" w:rsidRDefault="00A91064" w:rsidP="00AF60E5">
            <w:pPr>
              <w:spacing w:line="240" w:lineRule="auto"/>
              <w:rPr>
                <w:rFonts w:ascii="Times New Roman" w:hAnsi="Times New Roman"/>
                <w:color w:val="000000"/>
              </w:rPr>
            </w:pPr>
            <w:r w:rsidRPr="00863ACF">
              <w:rPr>
                <w:rFonts w:ascii="Times New Roman" w:hAnsi="Times New Roman"/>
                <w:color w:val="000000"/>
              </w:rPr>
              <w:t>Możliwość elastycznego podejścia do problemów finansowych jednostek oceniających zgodność.</w:t>
            </w:r>
          </w:p>
        </w:tc>
      </w:tr>
      <w:tr w:rsidR="00A91064" w:rsidRPr="000D3DD1" w:rsidTr="002A37BC">
        <w:trPr>
          <w:trHeight w:val="142"/>
        </w:trPr>
        <w:tc>
          <w:tcPr>
            <w:tcW w:w="2411" w:type="dxa"/>
            <w:gridSpan w:val="6"/>
          </w:tcPr>
          <w:p w:rsidR="00A91064" w:rsidRPr="00EA4B06" w:rsidRDefault="00A91064" w:rsidP="00475799">
            <w:pPr>
              <w:spacing w:line="240" w:lineRule="auto"/>
              <w:rPr>
                <w:rFonts w:ascii="Times New Roman" w:hAnsi="Times New Roman"/>
                <w:color w:val="000000"/>
                <w:highlight w:val="yellow"/>
              </w:rPr>
            </w:pPr>
            <w:r w:rsidRPr="00863ACF">
              <w:rPr>
                <w:rFonts w:ascii="Times New Roman" w:hAnsi="Times New Roman"/>
              </w:rPr>
              <w:t>Zagraniczni dostawcy (</w:t>
            </w:r>
            <w:proofErr w:type="spellStart"/>
            <w:r w:rsidRPr="00863ACF">
              <w:rPr>
                <w:rFonts w:ascii="Times New Roman" w:hAnsi="Times New Roman"/>
              </w:rPr>
              <w:t>offsetodawcy</w:t>
            </w:r>
            <w:proofErr w:type="spellEnd"/>
            <w:r w:rsidRPr="00863ACF">
              <w:rPr>
                <w:rFonts w:ascii="Times New Roman" w:hAnsi="Times New Roman"/>
              </w:rPr>
              <w:t>)</w:t>
            </w:r>
          </w:p>
        </w:tc>
        <w:tc>
          <w:tcPr>
            <w:tcW w:w="3212" w:type="dxa"/>
            <w:gridSpan w:val="7"/>
          </w:tcPr>
          <w:p w:rsidR="00A91064" w:rsidRPr="00EA4B06" w:rsidRDefault="00A91064" w:rsidP="005F27A5">
            <w:pPr>
              <w:spacing w:line="240" w:lineRule="auto"/>
              <w:rPr>
                <w:rFonts w:ascii="Times New Roman" w:hAnsi="Times New Roman"/>
                <w:color w:val="000000"/>
                <w:highlight w:val="yellow"/>
              </w:rPr>
            </w:pPr>
            <w:r w:rsidRPr="00863ACF">
              <w:rPr>
                <w:rFonts w:ascii="Times New Roman" w:hAnsi="Times New Roman"/>
              </w:rPr>
              <w:t>9</w:t>
            </w:r>
          </w:p>
        </w:tc>
        <w:tc>
          <w:tcPr>
            <w:tcW w:w="2268" w:type="dxa"/>
            <w:gridSpan w:val="8"/>
          </w:tcPr>
          <w:p w:rsidR="00A91064" w:rsidRPr="00EA4B06" w:rsidRDefault="00A91064" w:rsidP="0067661A">
            <w:pPr>
              <w:spacing w:line="240" w:lineRule="auto"/>
              <w:rPr>
                <w:rFonts w:ascii="Times New Roman" w:hAnsi="Times New Roman"/>
                <w:color w:val="000000"/>
                <w:highlight w:val="yellow"/>
              </w:rPr>
            </w:pPr>
            <w:r w:rsidRPr="00863ACF">
              <w:rPr>
                <w:rFonts w:ascii="Times New Roman" w:hAnsi="Times New Roman"/>
              </w:rPr>
              <w:t>Sprawozdanie z wykonania zobowiązań offsetowych przez zagranicznych dostawców w 2018 r.</w:t>
            </w:r>
          </w:p>
        </w:tc>
        <w:tc>
          <w:tcPr>
            <w:tcW w:w="3148" w:type="dxa"/>
            <w:gridSpan w:val="7"/>
          </w:tcPr>
          <w:p w:rsidR="00A91064" w:rsidRPr="00EA4B06" w:rsidRDefault="00A91064" w:rsidP="00AF60E5">
            <w:pPr>
              <w:spacing w:line="240" w:lineRule="auto"/>
              <w:rPr>
                <w:rFonts w:ascii="Times New Roman" w:hAnsi="Times New Roman"/>
                <w:color w:val="000000"/>
                <w:highlight w:val="yellow"/>
              </w:rPr>
            </w:pPr>
            <w:r w:rsidRPr="00863ACF">
              <w:rPr>
                <w:rFonts w:ascii="Times New Roman" w:hAnsi="Times New Roman"/>
              </w:rPr>
              <w:t>Możliwość skorzystania, w uzgodnieniu z ministrem właściwym ds. gospodarki, z rozwiązań mających na celu modyfikację lub stosowne wydłużenie realizacji zobowiązań offsetowych</w:t>
            </w:r>
            <w:r w:rsidR="007A4BE9">
              <w:rPr>
                <w:rFonts w:ascii="Times New Roman" w:hAnsi="Times New Roman"/>
              </w:rPr>
              <w:t>.</w:t>
            </w:r>
          </w:p>
        </w:tc>
      </w:tr>
      <w:tr w:rsidR="00A91064" w:rsidRPr="000D3DD1" w:rsidTr="002A37BC">
        <w:trPr>
          <w:trHeight w:val="142"/>
        </w:trPr>
        <w:tc>
          <w:tcPr>
            <w:tcW w:w="2411" w:type="dxa"/>
            <w:gridSpan w:val="6"/>
          </w:tcPr>
          <w:p w:rsidR="00A91064" w:rsidRPr="00EA4B06" w:rsidRDefault="00A91064" w:rsidP="00475799">
            <w:pPr>
              <w:spacing w:line="240" w:lineRule="auto"/>
              <w:rPr>
                <w:rFonts w:ascii="Times New Roman" w:hAnsi="Times New Roman"/>
                <w:color w:val="000000"/>
                <w:highlight w:val="yellow"/>
              </w:rPr>
            </w:pPr>
            <w:proofErr w:type="spellStart"/>
            <w:r w:rsidRPr="00863ACF">
              <w:rPr>
                <w:rFonts w:ascii="Times New Roman" w:hAnsi="Times New Roman"/>
              </w:rPr>
              <w:t>Offsetobiorcy</w:t>
            </w:r>
            <w:proofErr w:type="spellEnd"/>
            <w:r w:rsidRPr="00863ACF">
              <w:rPr>
                <w:rFonts w:ascii="Times New Roman" w:hAnsi="Times New Roman"/>
              </w:rPr>
              <w:t xml:space="preserve"> i współpracujący z nimi podwykonawcy</w:t>
            </w:r>
          </w:p>
        </w:tc>
        <w:tc>
          <w:tcPr>
            <w:tcW w:w="3212" w:type="dxa"/>
            <w:gridSpan w:val="7"/>
          </w:tcPr>
          <w:p w:rsidR="00A91064" w:rsidRPr="00EA4B06" w:rsidRDefault="00A91064" w:rsidP="005F27A5">
            <w:pPr>
              <w:spacing w:line="240" w:lineRule="auto"/>
              <w:rPr>
                <w:rFonts w:ascii="Times New Roman" w:hAnsi="Times New Roman"/>
                <w:color w:val="000000"/>
                <w:highlight w:val="yellow"/>
              </w:rPr>
            </w:pPr>
            <w:r w:rsidRPr="00863ACF">
              <w:rPr>
                <w:rFonts w:ascii="Times New Roman" w:hAnsi="Times New Roman"/>
              </w:rPr>
              <w:t>Kilkadziesiąt podmiotów gospodarczych</w:t>
            </w:r>
          </w:p>
        </w:tc>
        <w:tc>
          <w:tcPr>
            <w:tcW w:w="2268" w:type="dxa"/>
            <w:gridSpan w:val="8"/>
          </w:tcPr>
          <w:p w:rsidR="00A91064" w:rsidRPr="00EA4B06" w:rsidRDefault="00A91064" w:rsidP="0067661A">
            <w:pPr>
              <w:spacing w:line="240" w:lineRule="auto"/>
              <w:rPr>
                <w:rFonts w:ascii="Times New Roman" w:hAnsi="Times New Roman"/>
                <w:color w:val="000000"/>
                <w:highlight w:val="yellow"/>
              </w:rPr>
            </w:pPr>
            <w:r w:rsidRPr="00863ACF">
              <w:rPr>
                <w:rFonts w:ascii="Times New Roman" w:hAnsi="Times New Roman"/>
              </w:rPr>
              <w:t>Szacunki własne MR</w:t>
            </w:r>
          </w:p>
        </w:tc>
        <w:tc>
          <w:tcPr>
            <w:tcW w:w="3148" w:type="dxa"/>
            <w:gridSpan w:val="7"/>
          </w:tcPr>
          <w:p w:rsidR="00A91064" w:rsidRPr="00EA4B06" w:rsidRDefault="00A91064" w:rsidP="00AF60E5">
            <w:pPr>
              <w:spacing w:line="240" w:lineRule="auto"/>
              <w:rPr>
                <w:rFonts w:ascii="Times New Roman" w:hAnsi="Times New Roman"/>
                <w:color w:val="000000"/>
                <w:highlight w:val="yellow"/>
              </w:rPr>
            </w:pPr>
            <w:r w:rsidRPr="00863ACF">
              <w:rPr>
                <w:rFonts w:ascii="Times New Roman" w:hAnsi="Times New Roman"/>
              </w:rPr>
              <w:t>Możliwa zmiana harmonogramów realizacji poszczególnych zobowiązań offsetowych</w:t>
            </w:r>
            <w:r w:rsidR="007A4BE9">
              <w:rPr>
                <w:rFonts w:ascii="Times New Roman" w:hAnsi="Times New Roman"/>
              </w:rPr>
              <w:t>.</w:t>
            </w:r>
          </w:p>
        </w:tc>
      </w:tr>
      <w:tr w:rsidR="00A91064" w:rsidRPr="000D3DD1" w:rsidTr="002A37BC">
        <w:trPr>
          <w:trHeight w:val="142"/>
        </w:trPr>
        <w:tc>
          <w:tcPr>
            <w:tcW w:w="2411" w:type="dxa"/>
            <w:gridSpan w:val="6"/>
          </w:tcPr>
          <w:p w:rsidR="00A91064" w:rsidRPr="00045BCE" w:rsidRDefault="00A91064" w:rsidP="00475799">
            <w:pPr>
              <w:spacing w:line="240" w:lineRule="auto"/>
              <w:rPr>
                <w:rFonts w:ascii="Times New Roman" w:hAnsi="Times New Roman"/>
              </w:rPr>
            </w:pPr>
            <w:r w:rsidRPr="00863ACF">
              <w:rPr>
                <w:rFonts w:ascii="Times New Roman" w:hAnsi="Times New Roman"/>
              </w:rPr>
              <w:t>Przedsiębiorcy prowadzący punkty gastronomiczne sprzedający alkohol do spożycia na miejscu sprzedaży</w:t>
            </w:r>
          </w:p>
        </w:tc>
        <w:tc>
          <w:tcPr>
            <w:tcW w:w="3212" w:type="dxa"/>
            <w:gridSpan w:val="7"/>
          </w:tcPr>
          <w:p w:rsidR="00A91064" w:rsidRPr="00045BCE" w:rsidRDefault="00A91064" w:rsidP="005F27A5">
            <w:pPr>
              <w:spacing w:line="240" w:lineRule="auto"/>
              <w:rPr>
                <w:rFonts w:ascii="Times New Roman" w:hAnsi="Times New Roman"/>
              </w:rPr>
            </w:pPr>
            <w:r w:rsidRPr="00863ACF">
              <w:rPr>
                <w:rFonts w:ascii="Times New Roman" w:hAnsi="Times New Roman"/>
              </w:rPr>
              <w:t>b.d.</w:t>
            </w:r>
          </w:p>
        </w:tc>
        <w:tc>
          <w:tcPr>
            <w:tcW w:w="2268" w:type="dxa"/>
            <w:gridSpan w:val="8"/>
          </w:tcPr>
          <w:p w:rsidR="00A91064" w:rsidRPr="00045BCE" w:rsidRDefault="00A91064" w:rsidP="0067661A">
            <w:pPr>
              <w:spacing w:line="240" w:lineRule="auto"/>
              <w:rPr>
                <w:rFonts w:ascii="Times New Roman" w:hAnsi="Times New Roman"/>
              </w:rPr>
            </w:pPr>
          </w:p>
        </w:tc>
        <w:tc>
          <w:tcPr>
            <w:tcW w:w="3148" w:type="dxa"/>
            <w:gridSpan w:val="7"/>
          </w:tcPr>
          <w:p w:rsidR="00A91064" w:rsidRPr="00045BCE" w:rsidRDefault="00A91064" w:rsidP="00AF60E5">
            <w:pPr>
              <w:spacing w:line="240" w:lineRule="auto"/>
              <w:rPr>
                <w:rFonts w:ascii="Times New Roman" w:hAnsi="Times New Roman"/>
              </w:rPr>
            </w:pPr>
            <w:r w:rsidRPr="00863ACF">
              <w:rPr>
                <w:rFonts w:ascii="Times New Roman" w:hAnsi="Times New Roman"/>
              </w:rPr>
              <w:t>Możliwość odroczenia obowiązku wniesienia opłaty lub zwrot jej części</w:t>
            </w:r>
            <w:r>
              <w:rPr>
                <w:rFonts w:ascii="Times New Roman" w:hAnsi="Times New Roman"/>
              </w:rPr>
              <w:t xml:space="preserve"> za korzystanie z zezwolenia na sprzedaż alkoholu do spożycia na miejscu.</w:t>
            </w:r>
          </w:p>
        </w:tc>
      </w:tr>
      <w:tr w:rsidR="00A91064" w:rsidRPr="000D3DD1" w:rsidTr="002A37BC">
        <w:trPr>
          <w:trHeight w:val="142"/>
        </w:trPr>
        <w:tc>
          <w:tcPr>
            <w:tcW w:w="2411" w:type="dxa"/>
            <w:gridSpan w:val="6"/>
          </w:tcPr>
          <w:p w:rsidR="00A91064" w:rsidRPr="00AD28AE" w:rsidRDefault="00A91064" w:rsidP="00475799">
            <w:pPr>
              <w:spacing w:line="240" w:lineRule="auto"/>
              <w:rPr>
                <w:rFonts w:ascii="Times New Roman" w:hAnsi="Times New Roman"/>
              </w:rPr>
            </w:pPr>
            <w:r>
              <w:rPr>
                <w:rFonts w:ascii="Times New Roman" w:eastAsiaTheme="minorHAnsi" w:hAnsi="Times New Roman"/>
                <w:color w:val="000000"/>
              </w:rPr>
              <w:t>P</w:t>
            </w:r>
            <w:r w:rsidRPr="00AD28AE">
              <w:rPr>
                <w:rFonts w:ascii="Times New Roman" w:eastAsiaTheme="minorHAnsi" w:hAnsi="Times New Roman"/>
                <w:color w:val="000000"/>
              </w:rPr>
              <w:t>rzedsiębiorstwa energetyczne dostaw paliw gazowych, energii elektrycznej lub ciepła</w:t>
            </w:r>
          </w:p>
        </w:tc>
        <w:tc>
          <w:tcPr>
            <w:tcW w:w="3212" w:type="dxa"/>
            <w:gridSpan w:val="7"/>
          </w:tcPr>
          <w:p w:rsidR="00A91064" w:rsidRPr="00AD28AE" w:rsidRDefault="00A91064" w:rsidP="005F27A5">
            <w:pPr>
              <w:spacing w:line="240" w:lineRule="auto"/>
              <w:rPr>
                <w:rFonts w:ascii="Times New Roman" w:hAnsi="Times New Roman"/>
              </w:rPr>
            </w:pPr>
            <w:r w:rsidRPr="00AD28AE">
              <w:rPr>
                <w:rFonts w:ascii="Times New Roman" w:hAnsi="Times New Roman"/>
              </w:rPr>
              <w:t>Ok. 1000 podmiotów</w:t>
            </w:r>
          </w:p>
        </w:tc>
        <w:tc>
          <w:tcPr>
            <w:tcW w:w="2268" w:type="dxa"/>
            <w:gridSpan w:val="8"/>
          </w:tcPr>
          <w:p w:rsidR="00A91064" w:rsidRPr="00AD28AE" w:rsidRDefault="00A91064" w:rsidP="0067661A">
            <w:pPr>
              <w:spacing w:line="240" w:lineRule="auto"/>
              <w:rPr>
                <w:rFonts w:ascii="Times New Roman" w:hAnsi="Times New Roman"/>
              </w:rPr>
            </w:pPr>
            <w:r w:rsidRPr="00AD28AE">
              <w:rPr>
                <w:rFonts w:ascii="Times New Roman" w:hAnsi="Times New Roman"/>
              </w:rPr>
              <w:t>Szacunki własne na podstawie danych URE</w:t>
            </w:r>
          </w:p>
        </w:tc>
        <w:tc>
          <w:tcPr>
            <w:tcW w:w="3148" w:type="dxa"/>
            <w:gridSpan w:val="7"/>
          </w:tcPr>
          <w:p w:rsidR="00A91064" w:rsidRPr="00251FCB" w:rsidRDefault="00A91064" w:rsidP="0070665C">
            <w:pPr>
              <w:spacing w:line="240" w:lineRule="auto"/>
              <w:rPr>
                <w:rFonts w:ascii="Times New Roman" w:hAnsi="Times New Roman"/>
              </w:rPr>
            </w:pPr>
            <w:r w:rsidRPr="00251FCB">
              <w:rPr>
                <w:rFonts w:ascii="Times New Roman" w:hAnsi="Times New Roman"/>
              </w:rPr>
              <w:t xml:space="preserve">Ograniczenie </w:t>
            </w:r>
            <w:r>
              <w:rPr>
                <w:rFonts w:ascii="Times New Roman" w:hAnsi="Times New Roman"/>
              </w:rPr>
              <w:t xml:space="preserve">grup odbiorców, do których stosuje się wyłączenia </w:t>
            </w:r>
            <w:r w:rsidRPr="00251FCB">
              <w:rPr>
                <w:rFonts w:ascii="Times New Roman" w:hAnsi="Times New Roman"/>
              </w:rPr>
              <w:t>możliwości zaprzestania dostaw paliw gazowych, energii elektrycznej lub ciepła do odbiorców w gospodarstwach domowych oraz tych, którym wstrzymano prowadzenie działalności</w:t>
            </w:r>
            <w:r>
              <w:rPr>
                <w:rFonts w:ascii="Times New Roman" w:hAnsi="Times New Roman"/>
              </w:rPr>
              <w:t xml:space="preserve"> na podstawie ogólnych przepisów</w:t>
            </w:r>
            <w:r w:rsidRPr="00251FCB">
              <w:rPr>
                <w:rFonts w:ascii="Times New Roman" w:hAnsi="Times New Roman"/>
              </w:rPr>
              <w:t xml:space="preserve">. </w:t>
            </w:r>
          </w:p>
        </w:tc>
      </w:tr>
      <w:tr w:rsidR="00A91064" w:rsidRPr="000D3DD1" w:rsidTr="002A37BC">
        <w:trPr>
          <w:trHeight w:val="142"/>
        </w:trPr>
        <w:tc>
          <w:tcPr>
            <w:tcW w:w="2411" w:type="dxa"/>
            <w:gridSpan w:val="6"/>
          </w:tcPr>
          <w:p w:rsidR="00A91064" w:rsidRDefault="00A91064" w:rsidP="00475799">
            <w:pPr>
              <w:spacing w:line="240" w:lineRule="auto"/>
              <w:rPr>
                <w:rFonts w:ascii="Times New Roman" w:eastAsiaTheme="minorHAnsi" w:hAnsi="Times New Roman"/>
                <w:color w:val="000000"/>
              </w:rPr>
            </w:pPr>
            <w:r>
              <w:rPr>
                <w:rFonts w:ascii="Times New Roman" w:eastAsiaTheme="minorHAnsi" w:hAnsi="Times New Roman"/>
                <w:color w:val="000000"/>
              </w:rPr>
              <w:t>UOKiK</w:t>
            </w:r>
          </w:p>
        </w:tc>
        <w:tc>
          <w:tcPr>
            <w:tcW w:w="3212" w:type="dxa"/>
            <w:gridSpan w:val="7"/>
          </w:tcPr>
          <w:p w:rsidR="00A91064" w:rsidRPr="00AD28AE" w:rsidRDefault="00A91064" w:rsidP="005F27A5">
            <w:pPr>
              <w:spacing w:line="240" w:lineRule="auto"/>
              <w:rPr>
                <w:rFonts w:ascii="Times New Roman" w:hAnsi="Times New Roman"/>
              </w:rPr>
            </w:pPr>
            <w:r>
              <w:rPr>
                <w:rFonts w:ascii="Times New Roman" w:hAnsi="Times New Roman"/>
              </w:rPr>
              <w:t>1</w:t>
            </w:r>
          </w:p>
        </w:tc>
        <w:tc>
          <w:tcPr>
            <w:tcW w:w="2268" w:type="dxa"/>
            <w:gridSpan w:val="8"/>
          </w:tcPr>
          <w:p w:rsidR="00A91064" w:rsidRPr="00AD28AE" w:rsidRDefault="00A91064" w:rsidP="0067661A">
            <w:pPr>
              <w:spacing w:line="240" w:lineRule="auto"/>
              <w:rPr>
                <w:rFonts w:ascii="Times New Roman" w:hAnsi="Times New Roman"/>
              </w:rPr>
            </w:pPr>
          </w:p>
        </w:tc>
        <w:tc>
          <w:tcPr>
            <w:tcW w:w="3148" w:type="dxa"/>
            <w:gridSpan w:val="7"/>
          </w:tcPr>
          <w:p w:rsidR="00A91064" w:rsidRPr="001854DF" w:rsidRDefault="00A91064" w:rsidP="0070665C">
            <w:pPr>
              <w:spacing w:line="240" w:lineRule="auto"/>
              <w:rPr>
                <w:rFonts w:ascii="Times New Roman" w:hAnsi="Times New Roman"/>
              </w:rPr>
            </w:pPr>
            <w:r>
              <w:rPr>
                <w:rFonts w:ascii="Times New Roman" w:hAnsi="Times New Roman"/>
              </w:rPr>
              <w:t>Organ kontroli w zakresie przepisów dot. przeciwdziałania przejęciom spółek.</w:t>
            </w:r>
          </w:p>
        </w:tc>
      </w:tr>
      <w:tr w:rsidR="00F46615" w:rsidRPr="000D3DD1" w:rsidTr="00E11331">
        <w:trPr>
          <w:trHeight w:val="142"/>
        </w:trPr>
        <w:tc>
          <w:tcPr>
            <w:tcW w:w="2411" w:type="dxa"/>
            <w:gridSpan w:val="6"/>
          </w:tcPr>
          <w:p w:rsidR="00F46615" w:rsidRDefault="00F46615" w:rsidP="00E11331">
            <w:pPr>
              <w:spacing w:line="240" w:lineRule="auto"/>
              <w:rPr>
                <w:rFonts w:ascii="Times New Roman" w:hAnsi="Times New Roman"/>
                <w:color w:val="000000"/>
                <w:spacing w:val="-2"/>
                <w:szCs w:val="20"/>
              </w:rPr>
            </w:pPr>
            <w:r w:rsidRPr="00044946">
              <w:rPr>
                <w:rFonts w:ascii="Times New Roman" w:hAnsi="Times New Roman"/>
                <w:spacing w:val="-2"/>
              </w:rPr>
              <w:t>Minister Sprawiedliwości</w:t>
            </w:r>
          </w:p>
        </w:tc>
        <w:tc>
          <w:tcPr>
            <w:tcW w:w="3212" w:type="dxa"/>
            <w:gridSpan w:val="7"/>
          </w:tcPr>
          <w:p w:rsidR="00F46615" w:rsidRPr="008E02F3" w:rsidRDefault="00F46615" w:rsidP="008E02F3">
            <w:pPr>
              <w:ind w:left="34"/>
              <w:rPr>
                <w:rFonts w:ascii="Times New Roman" w:hAnsi="Times New Roman"/>
                <w:spacing w:val="-2"/>
              </w:rPr>
            </w:pPr>
            <w:r w:rsidRPr="00044946">
              <w:rPr>
                <w:rFonts w:ascii="Times New Roman" w:hAnsi="Times New Roman"/>
                <w:spacing w:val="-2"/>
              </w:rPr>
              <w:t>1</w:t>
            </w:r>
          </w:p>
        </w:tc>
        <w:tc>
          <w:tcPr>
            <w:tcW w:w="2268" w:type="dxa"/>
            <w:gridSpan w:val="8"/>
          </w:tcPr>
          <w:p w:rsidR="00F46615" w:rsidRDefault="00F46615" w:rsidP="00E11331">
            <w:pPr>
              <w:spacing w:line="240" w:lineRule="auto"/>
              <w:rPr>
                <w:rFonts w:ascii="Times New Roman" w:hAnsi="Times New Roman"/>
                <w:color w:val="000000"/>
                <w:spacing w:val="-2"/>
                <w:szCs w:val="20"/>
              </w:rPr>
            </w:pPr>
          </w:p>
        </w:tc>
        <w:tc>
          <w:tcPr>
            <w:tcW w:w="3148" w:type="dxa"/>
            <w:gridSpan w:val="7"/>
          </w:tcPr>
          <w:p w:rsidR="00F46615" w:rsidRDefault="00F46615" w:rsidP="00E11331">
            <w:pPr>
              <w:spacing w:line="240" w:lineRule="auto"/>
              <w:rPr>
                <w:rFonts w:ascii="Times New Roman" w:hAnsi="Times New Roman"/>
                <w:color w:val="000000"/>
                <w:spacing w:val="-2"/>
              </w:rPr>
            </w:pPr>
            <w:r w:rsidRPr="00044946">
              <w:rPr>
                <w:rFonts w:ascii="Times New Roman" w:hAnsi="Times New Roman"/>
              </w:rPr>
              <w:t>Zniesienie obowiązku wydania nowego rozporządzenia w zakresie określenia wzorów pisemnych pouczeń</w:t>
            </w:r>
            <w:r>
              <w:rPr>
                <w:rFonts w:ascii="Times New Roman" w:hAnsi="Times New Roman"/>
              </w:rPr>
              <w:t>.</w:t>
            </w:r>
          </w:p>
        </w:tc>
      </w:tr>
      <w:tr w:rsidR="00F46615" w:rsidRPr="000D3DD1" w:rsidTr="009E31E5">
        <w:trPr>
          <w:trHeight w:val="142"/>
        </w:trPr>
        <w:tc>
          <w:tcPr>
            <w:tcW w:w="2411" w:type="dxa"/>
            <w:gridSpan w:val="6"/>
          </w:tcPr>
          <w:p w:rsidR="00F46615" w:rsidRPr="00044946" w:rsidRDefault="00F46615" w:rsidP="00460448">
            <w:pPr>
              <w:spacing w:line="240" w:lineRule="auto"/>
              <w:rPr>
                <w:rFonts w:ascii="Times New Roman" w:hAnsi="Times New Roman"/>
                <w:spacing w:val="-2"/>
              </w:rPr>
            </w:pPr>
            <w:r w:rsidRPr="00044946">
              <w:rPr>
                <w:rFonts w:ascii="Times New Roman" w:hAnsi="Times New Roman"/>
              </w:rPr>
              <w:t>Spółki akcyjne i spółki komandytowo-akcyjne</w:t>
            </w:r>
          </w:p>
        </w:tc>
        <w:tc>
          <w:tcPr>
            <w:tcW w:w="3212" w:type="dxa"/>
            <w:gridSpan w:val="7"/>
          </w:tcPr>
          <w:p w:rsidR="00F46615" w:rsidRPr="00044946" w:rsidRDefault="00F46615" w:rsidP="008E02F3">
            <w:pPr>
              <w:rPr>
                <w:rFonts w:ascii="Times New Roman" w:hAnsi="Times New Roman"/>
              </w:rPr>
            </w:pPr>
            <w:r w:rsidRPr="00044946">
              <w:rPr>
                <w:rFonts w:ascii="Times New Roman" w:hAnsi="Times New Roman"/>
              </w:rPr>
              <w:t>9</w:t>
            </w:r>
            <w:r>
              <w:rPr>
                <w:rFonts w:ascii="Times New Roman" w:hAnsi="Times New Roman"/>
              </w:rPr>
              <w:t> </w:t>
            </w:r>
            <w:r w:rsidRPr="00044946">
              <w:rPr>
                <w:rFonts w:ascii="Times New Roman" w:hAnsi="Times New Roman"/>
              </w:rPr>
              <w:t>614 spółek akcyjnych</w:t>
            </w:r>
          </w:p>
          <w:p w:rsidR="00F46615" w:rsidRPr="00044946" w:rsidRDefault="00F46615" w:rsidP="008E02F3">
            <w:pPr>
              <w:rPr>
                <w:rFonts w:ascii="Times New Roman" w:hAnsi="Times New Roman"/>
                <w:spacing w:val="-2"/>
              </w:rPr>
            </w:pPr>
            <w:r w:rsidRPr="00044946">
              <w:rPr>
                <w:rFonts w:ascii="Times New Roman" w:hAnsi="Times New Roman"/>
              </w:rPr>
              <w:t>3</w:t>
            </w:r>
            <w:r>
              <w:rPr>
                <w:rFonts w:ascii="Times New Roman" w:hAnsi="Times New Roman"/>
              </w:rPr>
              <w:t> </w:t>
            </w:r>
            <w:r w:rsidRPr="00044946">
              <w:rPr>
                <w:rFonts w:ascii="Times New Roman" w:hAnsi="Times New Roman"/>
              </w:rPr>
              <w:t>583 spółek komandytowo-akcyjnych</w:t>
            </w:r>
            <w:r>
              <w:rPr>
                <w:rFonts w:ascii="Times New Roman" w:hAnsi="Times New Roman"/>
              </w:rPr>
              <w:t xml:space="preserve"> </w:t>
            </w:r>
            <w:r w:rsidRPr="00044946">
              <w:rPr>
                <w:rFonts w:ascii="Times New Roman" w:hAnsi="Times New Roman"/>
              </w:rPr>
              <w:t>(stan na 31 marca 2020 r.)</w:t>
            </w:r>
          </w:p>
        </w:tc>
        <w:tc>
          <w:tcPr>
            <w:tcW w:w="2268" w:type="dxa"/>
            <w:gridSpan w:val="8"/>
          </w:tcPr>
          <w:p w:rsidR="00F46615" w:rsidRDefault="00F46615" w:rsidP="009E31E5">
            <w:pPr>
              <w:spacing w:line="240" w:lineRule="auto"/>
              <w:rPr>
                <w:rFonts w:ascii="Times New Roman" w:hAnsi="Times New Roman"/>
                <w:color w:val="000000"/>
                <w:spacing w:val="-2"/>
                <w:szCs w:val="20"/>
              </w:rPr>
            </w:pPr>
            <w:r w:rsidRPr="00044946">
              <w:rPr>
                <w:rFonts w:ascii="Times New Roman" w:hAnsi="Times New Roman"/>
              </w:rPr>
              <w:t>Krajowy Rejestr Sądowy</w:t>
            </w:r>
          </w:p>
        </w:tc>
        <w:tc>
          <w:tcPr>
            <w:tcW w:w="3148" w:type="dxa"/>
            <w:gridSpan w:val="7"/>
          </w:tcPr>
          <w:p w:rsidR="00F46615" w:rsidRPr="00044946" w:rsidRDefault="00F46615" w:rsidP="0070665C">
            <w:pPr>
              <w:spacing w:line="240" w:lineRule="auto"/>
              <w:rPr>
                <w:rFonts w:ascii="Times New Roman" w:hAnsi="Times New Roman"/>
              </w:rPr>
            </w:pPr>
            <w:r w:rsidRPr="00044946">
              <w:rPr>
                <w:rFonts w:ascii="Times New Roman" w:hAnsi="Times New Roman"/>
              </w:rPr>
              <w:t>Zawieszenie procedur związanych z dematerializacją akcji w przypadku spółek w upadłości</w:t>
            </w:r>
            <w:r>
              <w:rPr>
                <w:rFonts w:ascii="Times New Roman" w:hAnsi="Times New Roman"/>
              </w:rPr>
              <w:t>.</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Fonts w:ascii="Times New Roman" w:hAnsi="Times New Roman"/>
              </w:rPr>
              <w:t>Krajowa Rada Sądownictwa</w:t>
            </w:r>
          </w:p>
        </w:tc>
        <w:tc>
          <w:tcPr>
            <w:tcW w:w="3212" w:type="dxa"/>
            <w:gridSpan w:val="7"/>
          </w:tcPr>
          <w:p w:rsidR="00F46615" w:rsidRPr="00044946" w:rsidRDefault="00F46615" w:rsidP="008E02F3">
            <w:pPr>
              <w:ind w:left="34"/>
              <w:rPr>
                <w:rFonts w:ascii="Times New Roman" w:hAnsi="Times New Roman"/>
                <w:spacing w:val="-2"/>
              </w:rPr>
            </w:pPr>
            <w:r w:rsidRPr="008E02F3">
              <w:rPr>
                <w:rFonts w:ascii="Times New Roman" w:hAnsi="Times New Roman"/>
                <w:spacing w:val="-2"/>
              </w:rPr>
              <w:t>1</w:t>
            </w:r>
          </w:p>
        </w:tc>
        <w:tc>
          <w:tcPr>
            <w:tcW w:w="2268" w:type="dxa"/>
            <w:gridSpan w:val="8"/>
          </w:tcPr>
          <w:p w:rsidR="00F46615" w:rsidRDefault="00F46615" w:rsidP="009E31E5">
            <w:pPr>
              <w:spacing w:line="240" w:lineRule="auto"/>
              <w:rPr>
                <w:rFonts w:ascii="Times New Roman" w:hAnsi="Times New Roman"/>
                <w:color w:val="000000"/>
                <w:spacing w:val="-2"/>
                <w:szCs w:val="20"/>
              </w:rPr>
            </w:pPr>
          </w:p>
        </w:tc>
        <w:tc>
          <w:tcPr>
            <w:tcW w:w="3148" w:type="dxa"/>
            <w:gridSpan w:val="7"/>
          </w:tcPr>
          <w:p w:rsidR="00F46615" w:rsidRPr="00044946" w:rsidRDefault="00F46615" w:rsidP="0070665C">
            <w:pPr>
              <w:spacing w:line="240" w:lineRule="auto"/>
              <w:rPr>
                <w:rFonts w:ascii="Times New Roman" w:hAnsi="Times New Roman"/>
              </w:rPr>
            </w:pPr>
            <w:r w:rsidRPr="00044946">
              <w:rPr>
                <w:rFonts w:ascii="Times New Roman" w:hAnsi="Times New Roman"/>
              </w:rPr>
              <w:t xml:space="preserve">Wyeliminowanie pośrednictwa KRS w przesyłaniu korespondencji z SN dot. </w:t>
            </w:r>
            <w:r w:rsidRPr="00044946">
              <w:rPr>
                <w:rFonts w:ascii="Times New Roman" w:hAnsi="Times New Roman"/>
                <w:color w:val="000000"/>
                <w:spacing w:val="-2"/>
              </w:rPr>
              <w:t>uchwał w przedmiocie powołania do pełnienia urzędu na stanowisku sędziego sądu powszechnego</w:t>
            </w:r>
            <w:r>
              <w:rPr>
                <w:rFonts w:ascii="Times New Roman" w:hAnsi="Times New Roman"/>
              </w:rPr>
              <w:t>.</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Fonts w:ascii="Times New Roman" w:hAnsi="Times New Roman"/>
              </w:rPr>
              <w:t>Sądy powszechne rozpatrujące sprawy upadłościowe</w:t>
            </w:r>
          </w:p>
        </w:tc>
        <w:tc>
          <w:tcPr>
            <w:tcW w:w="3212" w:type="dxa"/>
            <w:gridSpan w:val="7"/>
          </w:tcPr>
          <w:p w:rsidR="00F46615" w:rsidRPr="00044946" w:rsidRDefault="00F46615" w:rsidP="008E02F3">
            <w:pPr>
              <w:ind w:left="34"/>
              <w:rPr>
                <w:rFonts w:ascii="Times New Roman" w:hAnsi="Times New Roman"/>
                <w:spacing w:val="-2"/>
              </w:rPr>
            </w:pPr>
            <w:r w:rsidRPr="00044946">
              <w:rPr>
                <w:rFonts w:ascii="Times New Roman" w:hAnsi="Times New Roman"/>
                <w:spacing w:val="-2"/>
              </w:rPr>
              <w:t>30 SR</w:t>
            </w:r>
          </w:p>
          <w:p w:rsidR="00F46615" w:rsidRPr="00044946" w:rsidRDefault="00F46615" w:rsidP="009E31E5">
            <w:pPr>
              <w:spacing w:before="120" w:after="120" w:line="240" w:lineRule="auto"/>
              <w:rPr>
                <w:rFonts w:ascii="Times New Roman" w:hAnsi="Times New Roman"/>
                <w:spacing w:val="-2"/>
              </w:rPr>
            </w:pPr>
            <w:r w:rsidRPr="00044946">
              <w:rPr>
                <w:rFonts w:ascii="Times New Roman" w:hAnsi="Times New Roman"/>
                <w:spacing w:val="-2"/>
              </w:rPr>
              <w:t>30 SO</w:t>
            </w:r>
          </w:p>
        </w:tc>
        <w:tc>
          <w:tcPr>
            <w:tcW w:w="2268" w:type="dxa"/>
            <w:gridSpan w:val="8"/>
          </w:tcPr>
          <w:p w:rsidR="00F46615" w:rsidRDefault="00F46615" w:rsidP="009E31E5">
            <w:pPr>
              <w:spacing w:line="240" w:lineRule="auto"/>
              <w:rPr>
                <w:rFonts w:ascii="Times New Roman" w:hAnsi="Times New Roman"/>
                <w:color w:val="000000"/>
                <w:spacing w:val="-2"/>
                <w:szCs w:val="20"/>
              </w:rPr>
            </w:pPr>
            <w:r w:rsidRPr="00044946">
              <w:rPr>
                <w:rFonts w:ascii="Times New Roman" w:hAnsi="Times New Roman"/>
              </w:rPr>
              <w:t>Ministerstwo Sprawiedliwości</w:t>
            </w:r>
          </w:p>
        </w:tc>
        <w:tc>
          <w:tcPr>
            <w:tcW w:w="3148" w:type="dxa"/>
            <w:gridSpan w:val="7"/>
          </w:tcPr>
          <w:p w:rsidR="00F46615" w:rsidRPr="00044946" w:rsidRDefault="00F46615" w:rsidP="0070665C">
            <w:pPr>
              <w:spacing w:line="240" w:lineRule="auto"/>
              <w:rPr>
                <w:rFonts w:ascii="Times New Roman" w:hAnsi="Times New Roman"/>
              </w:rPr>
            </w:pPr>
            <w:r w:rsidRPr="00044946">
              <w:rPr>
                <w:rFonts w:ascii="Times New Roman" w:hAnsi="Times New Roman"/>
              </w:rPr>
              <w:t>Zmniejszenie obciążenia sądów poprzez uproszczenie postępowania restrukturyzacyjnego</w:t>
            </w:r>
            <w:r>
              <w:rPr>
                <w:rFonts w:ascii="Times New Roman" w:hAnsi="Times New Roman"/>
              </w:rPr>
              <w:t>.</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Style w:val="FontStyle23"/>
              </w:rPr>
              <w:t>Doradcy restrukturyzacyjni</w:t>
            </w:r>
          </w:p>
        </w:tc>
        <w:tc>
          <w:tcPr>
            <w:tcW w:w="3212" w:type="dxa"/>
            <w:gridSpan w:val="7"/>
          </w:tcPr>
          <w:p w:rsidR="00F46615" w:rsidRPr="00044946" w:rsidRDefault="00F46615" w:rsidP="008E02F3">
            <w:pPr>
              <w:ind w:left="34"/>
              <w:rPr>
                <w:rFonts w:ascii="Times New Roman" w:hAnsi="Times New Roman"/>
                <w:spacing w:val="-2"/>
              </w:rPr>
            </w:pPr>
            <w:r w:rsidRPr="00044946">
              <w:rPr>
                <w:rFonts w:ascii="Times New Roman" w:hAnsi="Times New Roman"/>
                <w:spacing w:val="-2"/>
              </w:rPr>
              <w:t>1</w:t>
            </w:r>
            <w:r>
              <w:rPr>
                <w:rFonts w:ascii="Times New Roman" w:hAnsi="Times New Roman"/>
                <w:spacing w:val="-2"/>
              </w:rPr>
              <w:t> </w:t>
            </w:r>
            <w:r w:rsidRPr="00044946">
              <w:rPr>
                <w:rFonts w:ascii="Times New Roman" w:hAnsi="Times New Roman"/>
                <w:spacing w:val="-2"/>
              </w:rPr>
              <w:t>441</w:t>
            </w:r>
          </w:p>
        </w:tc>
        <w:tc>
          <w:tcPr>
            <w:tcW w:w="2268" w:type="dxa"/>
            <w:gridSpan w:val="8"/>
          </w:tcPr>
          <w:p w:rsidR="00F46615" w:rsidRDefault="00F46615" w:rsidP="009E31E5">
            <w:pPr>
              <w:spacing w:line="240" w:lineRule="auto"/>
              <w:rPr>
                <w:rFonts w:ascii="Times New Roman" w:hAnsi="Times New Roman"/>
                <w:color w:val="000000"/>
                <w:spacing w:val="-2"/>
                <w:szCs w:val="20"/>
              </w:rPr>
            </w:pPr>
            <w:r w:rsidRPr="00044946">
              <w:rPr>
                <w:rStyle w:val="FontStyle23"/>
              </w:rPr>
              <w:t>Ministerstwo Sprawiedliwości</w:t>
            </w:r>
          </w:p>
        </w:tc>
        <w:tc>
          <w:tcPr>
            <w:tcW w:w="3148" w:type="dxa"/>
            <w:gridSpan w:val="7"/>
          </w:tcPr>
          <w:p w:rsidR="00F46615" w:rsidRPr="008E02F3" w:rsidRDefault="00F46615" w:rsidP="008E02F3">
            <w:pPr>
              <w:spacing w:line="240" w:lineRule="auto"/>
              <w:rPr>
                <w:rFonts w:ascii="Times New Roman" w:hAnsi="Times New Roman"/>
              </w:rPr>
            </w:pPr>
            <w:r w:rsidRPr="008E02F3">
              <w:rPr>
                <w:rFonts w:ascii="Times New Roman" w:hAnsi="Times New Roman"/>
              </w:rPr>
              <w:t>Uproszczenie postępowania restrukturyzacyjnego.</w:t>
            </w:r>
          </w:p>
          <w:p w:rsidR="00F46615" w:rsidRPr="00044946" w:rsidRDefault="00F46615" w:rsidP="00460448">
            <w:pPr>
              <w:spacing w:line="240" w:lineRule="auto"/>
              <w:rPr>
                <w:rFonts w:ascii="Times New Roman" w:hAnsi="Times New Roman"/>
              </w:rPr>
            </w:pPr>
            <w:r w:rsidRPr="008E02F3">
              <w:rPr>
                <w:rFonts w:ascii="Times New Roman" w:hAnsi="Times New Roman"/>
              </w:rPr>
              <w:t>Ograniczenie wysokości wynagrodzenia, gdy dłużnik jest mikro lub małym przedsiębiorcą.</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Style w:val="FontStyle23"/>
              </w:rPr>
              <w:t>Wierzyciele</w:t>
            </w:r>
          </w:p>
        </w:tc>
        <w:tc>
          <w:tcPr>
            <w:tcW w:w="3212" w:type="dxa"/>
            <w:gridSpan w:val="7"/>
          </w:tcPr>
          <w:p w:rsidR="00F46615" w:rsidRPr="00044946" w:rsidRDefault="00F46615" w:rsidP="009E31E5">
            <w:pPr>
              <w:spacing w:before="120" w:after="120" w:line="240" w:lineRule="auto"/>
              <w:rPr>
                <w:rFonts w:ascii="Times New Roman" w:hAnsi="Times New Roman"/>
                <w:spacing w:val="-2"/>
              </w:rPr>
            </w:pPr>
          </w:p>
        </w:tc>
        <w:tc>
          <w:tcPr>
            <w:tcW w:w="2268" w:type="dxa"/>
            <w:gridSpan w:val="8"/>
          </w:tcPr>
          <w:p w:rsidR="00F46615" w:rsidRDefault="00F46615" w:rsidP="009E31E5">
            <w:pPr>
              <w:spacing w:line="240" w:lineRule="auto"/>
              <w:rPr>
                <w:rFonts w:ascii="Times New Roman" w:hAnsi="Times New Roman"/>
                <w:color w:val="000000"/>
                <w:spacing w:val="-2"/>
                <w:szCs w:val="20"/>
              </w:rPr>
            </w:pPr>
          </w:p>
        </w:tc>
        <w:tc>
          <w:tcPr>
            <w:tcW w:w="3148" w:type="dxa"/>
            <w:gridSpan w:val="7"/>
          </w:tcPr>
          <w:p w:rsidR="00F46615" w:rsidRPr="008E02F3" w:rsidRDefault="00F46615" w:rsidP="008E02F3">
            <w:pPr>
              <w:spacing w:line="240" w:lineRule="auto"/>
              <w:rPr>
                <w:rFonts w:ascii="Times New Roman" w:hAnsi="Times New Roman"/>
              </w:rPr>
            </w:pPr>
            <w:r w:rsidRPr="008E02F3">
              <w:rPr>
                <w:rFonts w:ascii="Times New Roman" w:hAnsi="Times New Roman"/>
              </w:rPr>
              <w:t>Uproszczenie postępowania restrukturyzacyjnego.</w:t>
            </w:r>
          </w:p>
          <w:p w:rsidR="00F46615" w:rsidRPr="008E02F3" w:rsidRDefault="00F46615" w:rsidP="008E02F3">
            <w:pPr>
              <w:spacing w:line="240" w:lineRule="auto"/>
              <w:rPr>
                <w:rFonts w:ascii="Times New Roman" w:hAnsi="Times New Roman"/>
              </w:rPr>
            </w:pPr>
            <w:r w:rsidRPr="008E02F3">
              <w:rPr>
                <w:rFonts w:ascii="Times New Roman" w:hAnsi="Times New Roman"/>
              </w:rPr>
              <w:t xml:space="preserve">Brak możliwości egzekucji roszczeń po ogłoszeniu otwarcia postępowania </w:t>
            </w:r>
            <w:r w:rsidRPr="00460448">
              <w:rPr>
                <w:rFonts w:ascii="Times New Roman" w:hAnsi="Times New Roman"/>
              </w:rPr>
              <w:t xml:space="preserve"> </w:t>
            </w:r>
            <w:r w:rsidRPr="008E02F3">
              <w:rPr>
                <w:rFonts w:ascii="Times New Roman" w:hAnsi="Times New Roman"/>
              </w:rPr>
              <w:t>o zatwierdzenie układu.</w:t>
            </w:r>
          </w:p>
          <w:p w:rsidR="00F46615" w:rsidRPr="00460448" w:rsidRDefault="00F46615" w:rsidP="00460448">
            <w:pPr>
              <w:spacing w:line="240" w:lineRule="auto"/>
              <w:rPr>
                <w:rFonts w:ascii="Times New Roman" w:hAnsi="Times New Roman"/>
              </w:rPr>
            </w:pPr>
            <w:r w:rsidRPr="008E02F3">
              <w:rPr>
                <w:rFonts w:ascii="Times New Roman" w:hAnsi="Times New Roman"/>
              </w:rPr>
              <w:t>Możliwość dochodzenia roszczeń o naprawienie szkody, jeśli dłużnik działał w złej wierze.</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Style w:val="FontStyle23"/>
              </w:rPr>
              <w:t>Uczestnicy postępowań karnych</w:t>
            </w:r>
          </w:p>
        </w:tc>
        <w:tc>
          <w:tcPr>
            <w:tcW w:w="3212" w:type="dxa"/>
            <w:gridSpan w:val="7"/>
          </w:tcPr>
          <w:p w:rsidR="00F46615" w:rsidRPr="00044946" w:rsidRDefault="00F46615" w:rsidP="008E02F3">
            <w:pPr>
              <w:rPr>
                <w:rFonts w:ascii="Times New Roman" w:hAnsi="Times New Roman"/>
              </w:rPr>
            </w:pPr>
            <w:r w:rsidRPr="00044946">
              <w:rPr>
                <w:rFonts w:ascii="Times New Roman" w:hAnsi="Times New Roman"/>
              </w:rPr>
              <w:t>2 321 tys.</w:t>
            </w:r>
          </w:p>
          <w:p w:rsidR="00F46615" w:rsidRPr="00044946" w:rsidRDefault="00F46615" w:rsidP="009E31E5">
            <w:pPr>
              <w:spacing w:before="120" w:after="120" w:line="240" w:lineRule="auto"/>
              <w:rPr>
                <w:rFonts w:ascii="Times New Roman" w:hAnsi="Times New Roman"/>
                <w:spacing w:val="-2"/>
              </w:rPr>
            </w:pPr>
            <w:r w:rsidRPr="00044946">
              <w:rPr>
                <w:rFonts w:ascii="Times New Roman" w:hAnsi="Times New Roman"/>
              </w:rPr>
              <w:t>- wpływ spraw karnych w 2018 roku</w:t>
            </w:r>
          </w:p>
        </w:tc>
        <w:tc>
          <w:tcPr>
            <w:tcW w:w="2268" w:type="dxa"/>
            <w:gridSpan w:val="8"/>
          </w:tcPr>
          <w:p w:rsidR="00F46615" w:rsidRDefault="00F46615" w:rsidP="009E31E5">
            <w:pPr>
              <w:spacing w:line="240" w:lineRule="auto"/>
              <w:rPr>
                <w:rFonts w:ascii="Times New Roman" w:hAnsi="Times New Roman"/>
                <w:color w:val="000000"/>
                <w:spacing w:val="-2"/>
                <w:szCs w:val="20"/>
              </w:rPr>
            </w:pPr>
            <w:r w:rsidRPr="00044946">
              <w:rPr>
                <w:rFonts w:ascii="Times New Roman" w:hAnsi="Times New Roman"/>
                <w:spacing w:val="-2"/>
              </w:rPr>
              <w:t>Ministerstwo Sprawiedliwości</w:t>
            </w:r>
          </w:p>
        </w:tc>
        <w:tc>
          <w:tcPr>
            <w:tcW w:w="3148" w:type="dxa"/>
            <w:gridSpan w:val="7"/>
          </w:tcPr>
          <w:p w:rsidR="00F46615" w:rsidRPr="008E02F3" w:rsidRDefault="00F46615" w:rsidP="008E02F3">
            <w:pPr>
              <w:spacing w:line="240" w:lineRule="auto"/>
              <w:rPr>
                <w:rFonts w:ascii="Times New Roman" w:hAnsi="Times New Roman"/>
              </w:rPr>
            </w:pPr>
            <w:r w:rsidRPr="008E02F3">
              <w:rPr>
                <w:rFonts w:ascii="Times New Roman" w:hAnsi="Times New Roman"/>
              </w:rPr>
              <w:t>Poszerzenie możliwości zdalnego przeprowadzania wybranych czynności postępowania karnego.</w:t>
            </w:r>
          </w:p>
          <w:p w:rsidR="00F46615" w:rsidRPr="00460448" w:rsidRDefault="00F46615" w:rsidP="00460448">
            <w:pPr>
              <w:spacing w:line="240" w:lineRule="auto"/>
              <w:rPr>
                <w:rFonts w:ascii="Times New Roman" w:hAnsi="Times New Roman"/>
              </w:rPr>
            </w:pPr>
            <w:r w:rsidRPr="00460448">
              <w:rPr>
                <w:rFonts w:ascii="Times New Roman" w:hAnsi="Times New Roman"/>
              </w:rPr>
              <w:t>W przypadku wzięcia udziału w posiedzeniu za pomocą urządzeń technicznych umożliwiających udział w czynnościach na odległość, na którym wydano postanowienie lub zarządzenie, uznaje się, że osoba była obecna przy ogłoszeniu.</w:t>
            </w:r>
          </w:p>
        </w:tc>
      </w:tr>
      <w:tr w:rsidR="00F46615" w:rsidRPr="000D3DD1" w:rsidTr="009E31E5">
        <w:trPr>
          <w:trHeight w:val="142"/>
        </w:trPr>
        <w:tc>
          <w:tcPr>
            <w:tcW w:w="2411" w:type="dxa"/>
            <w:gridSpan w:val="6"/>
          </w:tcPr>
          <w:p w:rsidR="00F46615" w:rsidRPr="00044946" w:rsidRDefault="00F46615" w:rsidP="009E31E5">
            <w:pPr>
              <w:spacing w:line="240" w:lineRule="auto"/>
              <w:rPr>
                <w:rFonts w:ascii="Times New Roman" w:hAnsi="Times New Roman"/>
                <w:spacing w:val="-2"/>
              </w:rPr>
            </w:pPr>
            <w:r w:rsidRPr="00044946">
              <w:rPr>
                <w:rFonts w:ascii="Times New Roman" w:hAnsi="Times New Roman"/>
                <w:spacing w:val="-2"/>
              </w:rPr>
              <w:t>Oskarżeni, wobec których zastosowano postanowienie o tymczasowym aresztowaniu</w:t>
            </w:r>
          </w:p>
        </w:tc>
        <w:tc>
          <w:tcPr>
            <w:tcW w:w="3212" w:type="dxa"/>
            <w:gridSpan w:val="7"/>
          </w:tcPr>
          <w:p w:rsidR="00F46615" w:rsidRPr="00044946" w:rsidRDefault="00F46615" w:rsidP="008E02F3">
            <w:pPr>
              <w:rPr>
                <w:rFonts w:ascii="Times New Roman" w:hAnsi="Times New Roman"/>
                <w:spacing w:val="-2"/>
              </w:rPr>
            </w:pPr>
            <w:r w:rsidRPr="00044946">
              <w:rPr>
                <w:rFonts w:ascii="Times New Roman" w:hAnsi="Times New Roman"/>
                <w:spacing w:val="-2"/>
              </w:rPr>
              <w:t>7</w:t>
            </w:r>
            <w:r w:rsidR="00A75A4C">
              <w:rPr>
                <w:rFonts w:ascii="Times New Roman" w:hAnsi="Times New Roman"/>
                <w:spacing w:val="-2"/>
              </w:rPr>
              <w:t> </w:t>
            </w:r>
            <w:r w:rsidRPr="00044946">
              <w:rPr>
                <w:rFonts w:ascii="Times New Roman" w:hAnsi="Times New Roman"/>
                <w:spacing w:val="-2"/>
              </w:rPr>
              <w:t>856</w:t>
            </w:r>
            <w:r w:rsidR="00A75A4C">
              <w:rPr>
                <w:rFonts w:ascii="Times New Roman" w:hAnsi="Times New Roman"/>
                <w:spacing w:val="-2"/>
              </w:rPr>
              <w:t xml:space="preserve"> </w:t>
            </w:r>
            <w:r w:rsidR="00A75A4C" w:rsidRPr="00044946">
              <w:rPr>
                <w:rFonts w:ascii="Times New Roman" w:hAnsi="Times New Roman"/>
                <w:spacing w:val="-2"/>
              </w:rPr>
              <w:t>(stan na 31.12.2018 r.)</w:t>
            </w:r>
          </w:p>
          <w:p w:rsidR="00F46615" w:rsidRPr="00044946" w:rsidRDefault="00F46615" w:rsidP="008E02F3">
            <w:pPr>
              <w:rPr>
                <w:rFonts w:ascii="Times New Roman" w:hAnsi="Times New Roman"/>
                <w:spacing w:val="-2"/>
              </w:rPr>
            </w:pPr>
            <w:r w:rsidRPr="00044946">
              <w:rPr>
                <w:rFonts w:ascii="Times New Roman" w:hAnsi="Times New Roman"/>
                <w:spacing w:val="-2"/>
              </w:rPr>
              <w:t>Liczba osób które tymczasowo aresztowano w postępowaniu sądowym</w:t>
            </w:r>
          </w:p>
          <w:p w:rsidR="00F46615" w:rsidRPr="00044946" w:rsidRDefault="00F46615" w:rsidP="00460448">
            <w:pPr>
              <w:spacing w:before="120" w:after="120" w:line="240" w:lineRule="auto"/>
              <w:rPr>
                <w:rFonts w:ascii="Times New Roman" w:hAnsi="Times New Roman"/>
                <w:spacing w:val="-2"/>
              </w:rPr>
            </w:pPr>
          </w:p>
        </w:tc>
        <w:tc>
          <w:tcPr>
            <w:tcW w:w="2268" w:type="dxa"/>
            <w:gridSpan w:val="8"/>
          </w:tcPr>
          <w:p w:rsidR="00F46615" w:rsidRDefault="00F46615" w:rsidP="009E31E5">
            <w:pPr>
              <w:spacing w:line="240" w:lineRule="auto"/>
              <w:rPr>
                <w:rFonts w:ascii="Times New Roman" w:hAnsi="Times New Roman"/>
                <w:color w:val="000000"/>
                <w:spacing w:val="-2"/>
                <w:szCs w:val="20"/>
              </w:rPr>
            </w:pPr>
            <w:r w:rsidRPr="00044946">
              <w:rPr>
                <w:rFonts w:ascii="Times New Roman" w:hAnsi="Times New Roman"/>
                <w:spacing w:val="-2"/>
              </w:rPr>
              <w:t>Ministerstwo Sprawiedliwości</w:t>
            </w:r>
          </w:p>
        </w:tc>
        <w:tc>
          <w:tcPr>
            <w:tcW w:w="3148" w:type="dxa"/>
            <w:gridSpan w:val="7"/>
          </w:tcPr>
          <w:p w:rsidR="00F46615" w:rsidRPr="00044946" w:rsidRDefault="00F46615" w:rsidP="0070665C">
            <w:pPr>
              <w:spacing w:line="240" w:lineRule="auto"/>
              <w:rPr>
                <w:rFonts w:ascii="Times New Roman" w:hAnsi="Times New Roman"/>
              </w:rPr>
            </w:pPr>
            <w:r w:rsidRPr="00044946">
              <w:rPr>
                <w:rFonts w:ascii="Times New Roman" w:hAnsi="Times New Roman"/>
              </w:rPr>
              <w:t xml:space="preserve">W przypadku wzięcia udziału w posiedzeniu za pomocą urządzeń technicznych umożliwiających udział w czynnościach na odległość, na którym wydano postanowienie lub zarządzenie, uznaje się, że osoba była obecna przy ogłoszeniu. </w:t>
            </w: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Fonts w:ascii="Times New Roman" w:hAnsi="Times New Roman"/>
                <w:spacing w:val="-2"/>
              </w:rPr>
              <w:t>Asystenci prokuratorów i starsi asystenci prokuratorów</w:t>
            </w:r>
          </w:p>
        </w:tc>
        <w:tc>
          <w:tcPr>
            <w:tcW w:w="3212" w:type="dxa"/>
            <w:gridSpan w:val="7"/>
          </w:tcPr>
          <w:p w:rsidR="002E71C6" w:rsidRPr="00044946" w:rsidRDefault="002E71C6" w:rsidP="008E02F3">
            <w:pPr>
              <w:rPr>
                <w:rFonts w:ascii="Times New Roman" w:hAnsi="Times New Roman"/>
                <w:spacing w:val="-2"/>
              </w:rPr>
            </w:pPr>
            <w:r w:rsidRPr="00044946">
              <w:rPr>
                <w:rFonts w:ascii="Times New Roman" w:hAnsi="Times New Roman"/>
                <w:spacing w:val="-2"/>
              </w:rPr>
              <w:t>881</w:t>
            </w:r>
            <w:r>
              <w:rPr>
                <w:rFonts w:ascii="Times New Roman" w:hAnsi="Times New Roman"/>
                <w:spacing w:val="-2"/>
              </w:rPr>
              <w:t xml:space="preserve"> </w:t>
            </w:r>
            <w:r w:rsidRPr="00044946">
              <w:rPr>
                <w:rFonts w:ascii="Times New Roman" w:hAnsi="Times New Roman"/>
                <w:spacing w:val="-2"/>
              </w:rPr>
              <w:t>(stan na 31.03.2019 r.)</w:t>
            </w:r>
          </w:p>
        </w:tc>
        <w:tc>
          <w:tcPr>
            <w:tcW w:w="2268" w:type="dxa"/>
            <w:gridSpan w:val="8"/>
          </w:tcPr>
          <w:p w:rsidR="002E71C6" w:rsidRDefault="002E71C6" w:rsidP="009E31E5">
            <w:pPr>
              <w:spacing w:line="240" w:lineRule="auto"/>
              <w:rPr>
                <w:rFonts w:ascii="Times New Roman" w:hAnsi="Times New Roman"/>
                <w:color w:val="000000"/>
                <w:spacing w:val="-2"/>
                <w:szCs w:val="20"/>
              </w:rPr>
            </w:pPr>
            <w:r w:rsidRPr="00044946">
              <w:rPr>
                <w:rFonts w:ascii="Times New Roman" w:hAnsi="Times New Roman"/>
                <w:spacing w:val="-2"/>
              </w:rPr>
              <w:t>Prokuratura Krajowa</w:t>
            </w:r>
          </w:p>
        </w:tc>
        <w:tc>
          <w:tcPr>
            <w:tcW w:w="3148" w:type="dxa"/>
            <w:gridSpan w:val="7"/>
            <w:vMerge w:val="restart"/>
          </w:tcPr>
          <w:p w:rsidR="002E71C6" w:rsidRPr="00044946" w:rsidRDefault="002E71C6" w:rsidP="0070665C">
            <w:pPr>
              <w:spacing w:line="240" w:lineRule="auto"/>
              <w:rPr>
                <w:rFonts w:ascii="Times New Roman" w:hAnsi="Times New Roman"/>
              </w:rPr>
            </w:pPr>
            <w:r w:rsidRPr="00044946">
              <w:rPr>
                <w:rFonts w:ascii="Times New Roman" w:hAnsi="Times New Roman"/>
              </w:rPr>
              <w:t>Udział w trakcie przesłuchania świadka przy użyciu urządzeń technicznych umożliwiających przeprowadzenie tej czynności na odległość.</w:t>
            </w: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Fonts w:ascii="Times New Roman" w:hAnsi="Times New Roman"/>
                <w:spacing w:val="-2"/>
              </w:rPr>
              <w:t>Urzędnicy prokuratury</w:t>
            </w:r>
          </w:p>
        </w:tc>
        <w:tc>
          <w:tcPr>
            <w:tcW w:w="3212" w:type="dxa"/>
            <w:gridSpan w:val="7"/>
          </w:tcPr>
          <w:p w:rsidR="002E71C6" w:rsidRPr="00044946" w:rsidRDefault="002E71C6" w:rsidP="008E02F3">
            <w:pPr>
              <w:rPr>
                <w:rFonts w:ascii="Times New Roman" w:hAnsi="Times New Roman"/>
                <w:spacing w:val="-2"/>
              </w:rPr>
            </w:pPr>
            <w:r w:rsidRPr="00044946">
              <w:rPr>
                <w:rFonts w:ascii="Times New Roman" w:hAnsi="Times New Roman"/>
                <w:spacing w:val="-2"/>
              </w:rPr>
              <w:t>6</w:t>
            </w:r>
            <w:r>
              <w:rPr>
                <w:rFonts w:ascii="Times New Roman" w:hAnsi="Times New Roman"/>
                <w:spacing w:val="-2"/>
              </w:rPr>
              <w:t> </w:t>
            </w:r>
            <w:r w:rsidRPr="00044946">
              <w:rPr>
                <w:rFonts w:ascii="Times New Roman" w:hAnsi="Times New Roman"/>
                <w:spacing w:val="-2"/>
              </w:rPr>
              <w:t>158</w:t>
            </w:r>
            <w:r>
              <w:rPr>
                <w:rFonts w:ascii="Times New Roman" w:hAnsi="Times New Roman"/>
                <w:spacing w:val="-2"/>
              </w:rPr>
              <w:t xml:space="preserve"> </w:t>
            </w:r>
            <w:r w:rsidRPr="00044946">
              <w:rPr>
                <w:rFonts w:ascii="Times New Roman" w:hAnsi="Times New Roman"/>
                <w:spacing w:val="-2"/>
              </w:rPr>
              <w:t>(stan na</w:t>
            </w:r>
            <w:r>
              <w:rPr>
                <w:rFonts w:ascii="Times New Roman" w:hAnsi="Times New Roman"/>
                <w:spacing w:val="-2"/>
              </w:rPr>
              <w:t xml:space="preserve"> </w:t>
            </w:r>
            <w:r w:rsidRPr="00044946">
              <w:rPr>
                <w:rFonts w:ascii="Times New Roman" w:hAnsi="Times New Roman"/>
                <w:spacing w:val="-2"/>
              </w:rPr>
              <w:t>31.12.2018 r.)</w:t>
            </w:r>
          </w:p>
        </w:tc>
        <w:tc>
          <w:tcPr>
            <w:tcW w:w="2268" w:type="dxa"/>
            <w:gridSpan w:val="8"/>
          </w:tcPr>
          <w:p w:rsidR="002E71C6" w:rsidRDefault="002E71C6" w:rsidP="009E31E5">
            <w:pPr>
              <w:spacing w:line="240" w:lineRule="auto"/>
              <w:rPr>
                <w:rFonts w:ascii="Times New Roman" w:hAnsi="Times New Roman"/>
                <w:color w:val="000000"/>
                <w:spacing w:val="-2"/>
                <w:szCs w:val="20"/>
              </w:rPr>
            </w:pPr>
            <w:r w:rsidRPr="00044946">
              <w:rPr>
                <w:rFonts w:ascii="Times New Roman" w:hAnsi="Times New Roman"/>
                <w:spacing w:val="-2"/>
              </w:rPr>
              <w:t>GUS</w:t>
            </w:r>
          </w:p>
        </w:tc>
        <w:tc>
          <w:tcPr>
            <w:tcW w:w="3148" w:type="dxa"/>
            <w:gridSpan w:val="7"/>
            <w:vMerge/>
          </w:tcPr>
          <w:p w:rsidR="002E71C6" w:rsidRPr="00044946" w:rsidRDefault="002E71C6" w:rsidP="0070665C">
            <w:pPr>
              <w:spacing w:line="240" w:lineRule="auto"/>
              <w:rPr>
                <w:rFonts w:ascii="Times New Roman" w:hAnsi="Times New Roman"/>
              </w:rPr>
            </w:pP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Fonts w:ascii="Times New Roman" w:hAnsi="Times New Roman"/>
                <w:spacing w:val="-2"/>
              </w:rPr>
              <w:t>Funkcjonariusze Służby Więziennej</w:t>
            </w:r>
          </w:p>
        </w:tc>
        <w:tc>
          <w:tcPr>
            <w:tcW w:w="3212" w:type="dxa"/>
            <w:gridSpan w:val="7"/>
          </w:tcPr>
          <w:p w:rsidR="002E71C6" w:rsidRPr="00044946" w:rsidRDefault="002E71C6" w:rsidP="008E02F3">
            <w:pPr>
              <w:rPr>
                <w:rFonts w:ascii="Times New Roman" w:hAnsi="Times New Roman"/>
                <w:spacing w:val="-2"/>
              </w:rPr>
            </w:pPr>
            <w:r w:rsidRPr="00044946">
              <w:rPr>
                <w:rFonts w:ascii="Times New Roman" w:hAnsi="Times New Roman"/>
                <w:spacing w:val="-2"/>
              </w:rPr>
              <w:t>26</w:t>
            </w:r>
            <w:r>
              <w:rPr>
                <w:rFonts w:ascii="Times New Roman" w:hAnsi="Times New Roman"/>
                <w:spacing w:val="-2"/>
              </w:rPr>
              <w:t> </w:t>
            </w:r>
            <w:r w:rsidRPr="00044946">
              <w:rPr>
                <w:rFonts w:ascii="Times New Roman" w:hAnsi="Times New Roman"/>
                <w:spacing w:val="-2"/>
              </w:rPr>
              <w:t>890</w:t>
            </w:r>
            <w:r>
              <w:rPr>
                <w:rFonts w:ascii="Times New Roman" w:hAnsi="Times New Roman"/>
                <w:spacing w:val="-2"/>
              </w:rPr>
              <w:t xml:space="preserve"> </w:t>
            </w:r>
            <w:r w:rsidRPr="00044946">
              <w:rPr>
                <w:rFonts w:ascii="Times New Roman" w:hAnsi="Times New Roman"/>
                <w:spacing w:val="-2"/>
              </w:rPr>
              <w:t>(stan na 31.12.2019 r.)</w:t>
            </w:r>
          </w:p>
        </w:tc>
        <w:tc>
          <w:tcPr>
            <w:tcW w:w="2268" w:type="dxa"/>
            <w:gridSpan w:val="8"/>
          </w:tcPr>
          <w:p w:rsidR="002E71C6" w:rsidRDefault="002E71C6" w:rsidP="009E31E5">
            <w:pPr>
              <w:spacing w:line="240" w:lineRule="auto"/>
              <w:rPr>
                <w:rFonts w:ascii="Times New Roman" w:hAnsi="Times New Roman"/>
                <w:color w:val="000000"/>
                <w:spacing w:val="-2"/>
                <w:szCs w:val="20"/>
              </w:rPr>
            </w:pPr>
            <w:r w:rsidRPr="00044946">
              <w:rPr>
                <w:rFonts w:ascii="Times New Roman" w:hAnsi="Times New Roman"/>
                <w:spacing w:val="-2"/>
              </w:rPr>
              <w:t>Centralny Zarząd Służby Więziennej</w:t>
            </w:r>
          </w:p>
        </w:tc>
        <w:tc>
          <w:tcPr>
            <w:tcW w:w="3148" w:type="dxa"/>
            <w:gridSpan w:val="7"/>
            <w:vMerge/>
          </w:tcPr>
          <w:p w:rsidR="002E71C6" w:rsidRPr="00044946" w:rsidRDefault="002E71C6" w:rsidP="0070665C">
            <w:pPr>
              <w:spacing w:line="240" w:lineRule="auto"/>
              <w:rPr>
                <w:rFonts w:ascii="Times New Roman" w:hAnsi="Times New Roman"/>
              </w:rPr>
            </w:pP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Fonts w:ascii="Times New Roman" w:hAnsi="Times New Roman"/>
                <w:spacing w:val="-2"/>
              </w:rPr>
              <w:t>Urzędnicy konsularni</w:t>
            </w:r>
          </w:p>
        </w:tc>
        <w:tc>
          <w:tcPr>
            <w:tcW w:w="3212" w:type="dxa"/>
            <w:gridSpan w:val="7"/>
          </w:tcPr>
          <w:p w:rsidR="002E71C6" w:rsidRPr="00044946" w:rsidRDefault="002E71C6" w:rsidP="009E31E5">
            <w:pPr>
              <w:spacing w:before="120" w:after="120" w:line="240" w:lineRule="auto"/>
              <w:rPr>
                <w:rFonts w:ascii="Times New Roman" w:hAnsi="Times New Roman"/>
                <w:spacing w:val="-2"/>
              </w:rPr>
            </w:pPr>
          </w:p>
        </w:tc>
        <w:tc>
          <w:tcPr>
            <w:tcW w:w="2268" w:type="dxa"/>
            <w:gridSpan w:val="8"/>
          </w:tcPr>
          <w:p w:rsidR="002E71C6" w:rsidRDefault="002E71C6" w:rsidP="009E31E5">
            <w:pPr>
              <w:spacing w:line="240" w:lineRule="auto"/>
              <w:rPr>
                <w:rFonts w:ascii="Times New Roman" w:hAnsi="Times New Roman"/>
                <w:color w:val="000000"/>
                <w:spacing w:val="-2"/>
                <w:szCs w:val="20"/>
              </w:rPr>
            </w:pPr>
          </w:p>
        </w:tc>
        <w:tc>
          <w:tcPr>
            <w:tcW w:w="3148" w:type="dxa"/>
            <w:gridSpan w:val="7"/>
          </w:tcPr>
          <w:p w:rsidR="002E71C6" w:rsidRPr="00044946" w:rsidRDefault="002E71C6" w:rsidP="0070665C">
            <w:pPr>
              <w:spacing w:line="240" w:lineRule="auto"/>
              <w:rPr>
                <w:rFonts w:ascii="Times New Roman" w:hAnsi="Times New Roman"/>
              </w:rPr>
            </w:pPr>
            <w:r w:rsidRPr="00044946">
              <w:rPr>
                <w:rFonts w:ascii="Times New Roman" w:hAnsi="Times New Roman"/>
              </w:rPr>
              <w:t>Udział w trakcie przesłuchania świadka poza granicami Polski przy użyciu urządzeń technicznych umożliwiających przeprowadzenie tej czynności na odległość.</w:t>
            </w:r>
          </w:p>
        </w:tc>
      </w:tr>
      <w:tr w:rsidR="008A492C" w:rsidRPr="000D3DD1" w:rsidTr="009E31E5">
        <w:trPr>
          <w:trHeight w:val="142"/>
        </w:trPr>
        <w:tc>
          <w:tcPr>
            <w:tcW w:w="2411" w:type="dxa"/>
            <w:gridSpan w:val="6"/>
          </w:tcPr>
          <w:p w:rsidR="008A492C" w:rsidRPr="00460448" w:rsidRDefault="008A492C" w:rsidP="009E31E5">
            <w:pPr>
              <w:spacing w:line="240" w:lineRule="auto"/>
              <w:rPr>
                <w:rStyle w:val="FontStyle23"/>
              </w:rPr>
            </w:pPr>
            <w:r w:rsidRPr="008E02F3">
              <w:rPr>
                <w:rFonts w:ascii="Times New Roman" w:hAnsi="Times New Roman"/>
                <w:spacing w:val="-2"/>
              </w:rPr>
              <w:t>Osoby fizyczne prowadzące jednoosobową działalność gospodarczą niezatrudniające innych osób w ciągu ostatniego roku</w:t>
            </w:r>
          </w:p>
        </w:tc>
        <w:tc>
          <w:tcPr>
            <w:tcW w:w="3212" w:type="dxa"/>
            <w:gridSpan w:val="7"/>
          </w:tcPr>
          <w:p w:rsidR="008A492C" w:rsidRPr="00460448" w:rsidRDefault="008A492C" w:rsidP="00460448">
            <w:pPr>
              <w:rPr>
                <w:rFonts w:ascii="Times New Roman" w:hAnsi="Times New Roman"/>
              </w:rPr>
            </w:pPr>
            <w:r w:rsidRPr="008E02F3">
              <w:rPr>
                <w:rFonts w:ascii="Times New Roman" w:hAnsi="Times New Roman"/>
              </w:rPr>
              <w:t>1 654</w:t>
            </w:r>
            <w:r>
              <w:rPr>
                <w:rFonts w:ascii="Times New Roman" w:hAnsi="Times New Roman"/>
              </w:rPr>
              <w:t> </w:t>
            </w:r>
            <w:r w:rsidRPr="008E02F3">
              <w:rPr>
                <w:rFonts w:ascii="Times New Roman" w:hAnsi="Times New Roman"/>
              </w:rPr>
              <w:t>085</w:t>
            </w:r>
            <w:r>
              <w:rPr>
                <w:rFonts w:ascii="Times New Roman" w:hAnsi="Times New Roman"/>
              </w:rPr>
              <w:t xml:space="preserve"> </w:t>
            </w:r>
            <w:r w:rsidRPr="008E02F3">
              <w:rPr>
                <w:rFonts w:ascii="Times New Roman" w:hAnsi="Times New Roman"/>
              </w:rPr>
              <w:t>(stan na 31 grudnia 2019 r.)</w:t>
            </w:r>
          </w:p>
        </w:tc>
        <w:tc>
          <w:tcPr>
            <w:tcW w:w="2268" w:type="dxa"/>
            <w:gridSpan w:val="8"/>
          </w:tcPr>
          <w:p w:rsidR="008A492C" w:rsidRPr="00460448" w:rsidRDefault="008A492C" w:rsidP="009E31E5">
            <w:pPr>
              <w:spacing w:line="240" w:lineRule="auto"/>
              <w:rPr>
                <w:rFonts w:ascii="Times New Roman" w:hAnsi="Times New Roman"/>
                <w:color w:val="000000"/>
                <w:spacing w:val="-2"/>
                <w:szCs w:val="20"/>
              </w:rPr>
            </w:pPr>
            <w:r w:rsidRPr="008E02F3">
              <w:rPr>
                <w:rFonts w:ascii="Times New Roman" w:hAnsi="Times New Roman"/>
                <w:spacing w:val="-2"/>
              </w:rPr>
              <w:t>ZUS</w:t>
            </w:r>
          </w:p>
        </w:tc>
        <w:tc>
          <w:tcPr>
            <w:tcW w:w="3148" w:type="dxa"/>
            <w:gridSpan w:val="7"/>
          </w:tcPr>
          <w:p w:rsidR="008A492C" w:rsidRPr="00460448" w:rsidRDefault="008A492C" w:rsidP="0070665C">
            <w:pPr>
              <w:spacing w:line="240" w:lineRule="auto"/>
              <w:rPr>
                <w:rFonts w:ascii="Times New Roman" w:hAnsi="Times New Roman"/>
                <w:spacing w:val="-2"/>
              </w:rPr>
            </w:pPr>
            <w:r w:rsidRPr="008E02F3">
              <w:rPr>
                <w:rFonts w:ascii="Times New Roman" w:hAnsi="Times New Roman"/>
              </w:rPr>
              <w:t>Dostosowanie treści załącznika nr 1, o którym mowa w art. 4 ust. 6 ustawy o nieodpłatnej pomocy prawnej, nieodpłatnym poradnictwie obywatelskim oraz edukacji prawnej.</w:t>
            </w: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Style w:val="FontStyle23"/>
              </w:rPr>
              <w:t>Sądy powszechne</w:t>
            </w:r>
          </w:p>
        </w:tc>
        <w:tc>
          <w:tcPr>
            <w:tcW w:w="3212" w:type="dxa"/>
            <w:gridSpan w:val="7"/>
          </w:tcPr>
          <w:p w:rsidR="002E71C6" w:rsidRPr="00044946" w:rsidRDefault="002E71C6" w:rsidP="008E02F3">
            <w:pPr>
              <w:rPr>
                <w:rFonts w:ascii="Times New Roman" w:hAnsi="Times New Roman"/>
              </w:rPr>
            </w:pPr>
            <w:r w:rsidRPr="00044946">
              <w:rPr>
                <w:rFonts w:ascii="Times New Roman" w:hAnsi="Times New Roman"/>
              </w:rPr>
              <w:t>11 SA</w:t>
            </w:r>
          </w:p>
          <w:p w:rsidR="002E71C6" w:rsidRPr="00044946" w:rsidRDefault="002E71C6" w:rsidP="008E02F3">
            <w:pPr>
              <w:rPr>
                <w:rFonts w:ascii="Times New Roman" w:hAnsi="Times New Roman"/>
              </w:rPr>
            </w:pPr>
            <w:r w:rsidRPr="00044946">
              <w:rPr>
                <w:rFonts w:ascii="Times New Roman" w:hAnsi="Times New Roman"/>
              </w:rPr>
              <w:t>45 SO</w:t>
            </w:r>
          </w:p>
          <w:p w:rsidR="002E71C6" w:rsidRPr="00044946" w:rsidRDefault="002E71C6" w:rsidP="008E02F3">
            <w:pPr>
              <w:rPr>
                <w:rFonts w:ascii="Times New Roman" w:hAnsi="Times New Roman"/>
                <w:spacing w:val="-2"/>
              </w:rPr>
            </w:pPr>
            <w:r w:rsidRPr="00044946">
              <w:rPr>
                <w:rFonts w:ascii="Times New Roman" w:hAnsi="Times New Roman"/>
              </w:rPr>
              <w:t>318 SR</w:t>
            </w:r>
          </w:p>
        </w:tc>
        <w:tc>
          <w:tcPr>
            <w:tcW w:w="2268" w:type="dxa"/>
            <w:gridSpan w:val="8"/>
          </w:tcPr>
          <w:p w:rsidR="002E71C6" w:rsidRDefault="006F6DE8" w:rsidP="009E31E5">
            <w:pPr>
              <w:spacing w:line="240" w:lineRule="auto"/>
              <w:rPr>
                <w:rFonts w:ascii="Times New Roman" w:hAnsi="Times New Roman"/>
                <w:color w:val="000000"/>
                <w:spacing w:val="-2"/>
                <w:szCs w:val="20"/>
              </w:rPr>
            </w:pPr>
            <w:r>
              <w:rPr>
                <w:rFonts w:ascii="Times New Roman" w:hAnsi="Times New Roman"/>
                <w:color w:val="000000"/>
                <w:spacing w:val="-2"/>
                <w:szCs w:val="20"/>
              </w:rPr>
              <w:t>Ministerstwo Sprawiedliwości</w:t>
            </w:r>
          </w:p>
        </w:tc>
        <w:tc>
          <w:tcPr>
            <w:tcW w:w="3148" w:type="dxa"/>
            <w:gridSpan w:val="7"/>
          </w:tcPr>
          <w:p w:rsidR="002E71C6" w:rsidRDefault="002E71C6" w:rsidP="0070665C">
            <w:pPr>
              <w:spacing w:line="240" w:lineRule="auto"/>
              <w:rPr>
                <w:rFonts w:ascii="Times New Roman" w:hAnsi="Times New Roman"/>
                <w:spacing w:val="-2"/>
              </w:rPr>
            </w:pPr>
            <w:r w:rsidRPr="00044946">
              <w:rPr>
                <w:rFonts w:ascii="Times New Roman" w:hAnsi="Times New Roman"/>
                <w:spacing w:val="-2"/>
              </w:rPr>
              <w:t>Wzrost wpływu spraw z powodu nowego typu wykroczenia.</w:t>
            </w:r>
          </w:p>
          <w:p w:rsidR="00527E71" w:rsidRDefault="00527E71" w:rsidP="0070665C">
            <w:pPr>
              <w:spacing w:line="240" w:lineRule="auto"/>
              <w:rPr>
                <w:rFonts w:ascii="Times New Roman" w:hAnsi="Times New Roman"/>
                <w:spacing w:val="-2"/>
              </w:rPr>
            </w:pPr>
          </w:p>
          <w:p w:rsidR="00527E71" w:rsidRPr="00044946" w:rsidRDefault="00527E71" w:rsidP="00527E71">
            <w:pPr>
              <w:spacing w:line="240" w:lineRule="auto"/>
              <w:rPr>
                <w:rFonts w:ascii="Times New Roman" w:hAnsi="Times New Roman"/>
              </w:rPr>
            </w:pPr>
            <w:r>
              <w:rPr>
                <w:rFonts w:ascii="Times New Roman" w:hAnsi="Times New Roman"/>
                <w:spacing w:val="-2"/>
              </w:rPr>
              <w:t>Zmniejszenie liczby spraw w sądach kierowanych do rozpoznania na rozprawie (zmniejszenie liczby wydawanych wyroków łącznych)</w:t>
            </w:r>
            <w:r w:rsidR="006F6DE8">
              <w:rPr>
                <w:rFonts w:ascii="Times New Roman" w:hAnsi="Times New Roman"/>
                <w:spacing w:val="-2"/>
              </w:rPr>
              <w:t>.</w:t>
            </w:r>
            <w:r>
              <w:rPr>
                <w:rFonts w:ascii="Times New Roman" w:hAnsi="Times New Roman"/>
                <w:spacing w:val="-2"/>
              </w:rPr>
              <w:t xml:space="preserve"> </w:t>
            </w:r>
            <w:r w:rsidR="006F6DE8">
              <w:rPr>
                <w:rFonts w:ascii="Times New Roman" w:hAnsi="Times New Roman"/>
                <w:spacing w:val="-2"/>
              </w:rPr>
              <w:t>Zmniejszenie ryzyka rozprzestrzeniania epidemii oraz szybsze zniwelowanie zaległości w rozpoznawaniu spraw w sądach, spowodowanych przerwą w ich działaniu wynikającą ze stanu epidemii. Idą za tym oszczędności finansowe i organizacyjne w konwojach, przejazdach i przemieszczaniu się ludzi, na czym zyska też Policja i Służba Więzienna, które będą mogły przeznaczyć swoich funkcjonariuszy do innych zadań.</w:t>
            </w:r>
          </w:p>
        </w:tc>
      </w:tr>
      <w:tr w:rsidR="002E71C6" w:rsidRPr="000D3DD1" w:rsidTr="009E31E5">
        <w:trPr>
          <w:trHeight w:val="142"/>
        </w:trPr>
        <w:tc>
          <w:tcPr>
            <w:tcW w:w="2411" w:type="dxa"/>
            <w:gridSpan w:val="6"/>
          </w:tcPr>
          <w:p w:rsidR="002E71C6" w:rsidRPr="00044946" w:rsidRDefault="002E71C6" w:rsidP="009E31E5">
            <w:pPr>
              <w:spacing w:line="240" w:lineRule="auto"/>
              <w:rPr>
                <w:rFonts w:ascii="Times New Roman" w:hAnsi="Times New Roman"/>
                <w:spacing w:val="-2"/>
              </w:rPr>
            </w:pPr>
            <w:r w:rsidRPr="00044946">
              <w:rPr>
                <w:rFonts w:ascii="Times New Roman" w:hAnsi="Times New Roman"/>
              </w:rPr>
              <w:t>Obywatele RP</w:t>
            </w:r>
          </w:p>
        </w:tc>
        <w:tc>
          <w:tcPr>
            <w:tcW w:w="3212" w:type="dxa"/>
            <w:gridSpan w:val="7"/>
          </w:tcPr>
          <w:p w:rsidR="002E71C6" w:rsidRPr="008E02F3" w:rsidRDefault="002E71C6" w:rsidP="008E02F3">
            <w:pPr>
              <w:rPr>
                <w:rFonts w:ascii="Times New Roman" w:hAnsi="Times New Roman"/>
              </w:rPr>
            </w:pPr>
            <w:r w:rsidRPr="00044946">
              <w:rPr>
                <w:rFonts w:ascii="Times New Roman" w:hAnsi="Times New Roman"/>
              </w:rPr>
              <w:t>38 mln</w:t>
            </w:r>
          </w:p>
        </w:tc>
        <w:tc>
          <w:tcPr>
            <w:tcW w:w="2268" w:type="dxa"/>
            <w:gridSpan w:val="8"/>
          </w:tcPr>
          <w:p w:rsidR="002E71C6" w:rsidRDefault="002E71C6" w:rsidP="009E31E5">
            <w:pPr>
              <w:spacing w:line="240" w:lineRule="auto"/>
              <w:rPr>
                <w:rFonts w:ascii="Times New Roman" w:hAnsi="Times New Roman"/>
                <w:color w:val="000000"/>
                <w:spacing w:val="-2"/>
                <w:szCs w:val="20"/>
              </w:rPr>
            </w:pPr>
            <w:r w:rsidRPr="00044946">
              <w:rPr>
                <w:rFonts w:ascii="Times New Roman" w:hAnsi="Times New Roman"/>
              </w:rPr>
              <w:t>GUS</w:t>
            </w:r>
          </w:p>
        </w:tc>
        <w:tc>
          <w:tcPr>
            <w:tcW w:w="3148" w:type="dxa"/>
            <w:gridSpan w:val="7"/>
          </w:tcPr>
          <w:p w:rsidR="002E71C6" w:rsidRPr="00044946" w:rsidRDefault="002E71C6" w:rsidP="0070665C">
            <w:pPr>
              <w:spacing w:line="240" w:lineRule="auto"/>
              <w:rPr>
                <w:rFonts w:ascii="Times New Roman" w:hAnsi="Times New Roman"/>
              </w:rPr>
            </w:pPr>
            <w:r w:rsidRPr="00044946">
              <w:rPr>
                <w:rFonts w:ascii="Times New Roman" w:hAnsi="Times New Roman"/>
              </w:rPr>
              <w:t>Zwiększenie ochrony przed uporczywym nękaniem ze względu na wykonywany zawód oraz przed zakłócaniem wideokonferencji, spotkań i edukacji on-line. Ograniczenie swobody wypowiedzi poprzez zakaz zakłócania tego typu spotkań.</w:t>
            </w:r>
          </w:p>
        </w:tc>
      </w:tr>
      <w:tr w:rsidR="000D6ED0" w:rsidRPr="000D3DD1" w:rsidTr="009E31E5">
        <w:trPr>
          <w:trHeight w:val="142"/>
        </w:trPr>
        <w:tc>
          <w:tcPr>
            <w:tcW w:w="2411" w:type="dxa"/>
            <w:gridSpan w:val="6"/>
          </w:tcPr>
          <w:p w:rsidR="000D6ED0" w:rsidRPr="00044946" w:rsidRDefault="000D6ED0" w:rsidP="009E31E5">
            <w:pPr>
              <w:spacing w:line="240" w:lineRule="auto"/>
              <w:rPr>
                <w:rFonts w:ascii="Times New Roman" w:hAnsi="Times New Roman"/>
              </w:rPr>
            </w:pPr>
            <w:r>
              <w:rPr>
                <w:rFonts w:ascii="Times New Roman" w:hAnsi="Times New Roman"/>
              </w:rPr>
              <w:t>Osoby podlegające ubezpieczeniu chorobowemu w ramach systemu ubezpieczeń społecznych, jak i funkcjonariuszy tzw. służb mundurowych oraz rolników</w:t>
            </w:r>
          </w:p>
        </w:tc>
        <w:tc>
          <w:tcPr>
            <w:tcW w:w="3212" w:type="dxa"/>
            <w:gridSpan w:val="7"/>
          </w:tcPr>
          <w:p w:rsidR="000D6ED0" w:rsidRPr="000B1AE6" w:rsidRDefault="000B1AE6" w:rsidP="002E71C6">
            <w:pPr>
              <w:rPr>
                <w:rFonts w:ascii="Times New Roman" w:hAnsi="Times New Roman"/>
              </w:rPr>
            </w:pPr>
            <w:r w:rsidRPr="000B1AE6">
              <w:rPr>
                <w:rFonts w:ascii="Times New Roman" w:eastAsia="Times New Roman" w:hAnsi="Times New Roman"/>
              </w:rPr>
              <w:t>1 909 638 (</w:t>
            </w:r>
            <w:r w:rsidRPr="000B1AE6">
              <w:rPr>
                <w:rFonts w:ascii="Times New Roman" w:hAnsi="Times New Roman"/>
              </w:rPr>
              <w:t>Liczba dzieci do lat 8)</w:t>
            </w:r>
          </w:p>
        </w:tc>
        <w:tc>
          <w:tcPr>
            <w:tcW w:w="2268" w:type="dxa"/>
            <w:gridSpan w:val="8"/>
          </w:tcPr>
          <w:p w:rsidR="000D6ED0" w:rsidRPr="00044946" w:rsidRDefault="00A80819" w:rsidP="009E31E5">
            <w:pPr>
              <w:spacing w:line="240" w:lineRule="auto"/>
              <w:rPr>
                <w:rFonts w:ascii="Times New Roman" w:hAnsi="Times New Roman"/>
              </w:rPr>
            </w:pPr>
            <w:r>
              <w:rPr>
                <w:rFonts w:ascii="Times New Roman" w:hAnsi="Times New Roman"/>
              </w:rPr>
              <w:t>D</w:t>
            </w:r>
            <w:r w:rsidRPr="00A80819">
              <w:rPr>
                <w:rFonts w:ascii="Times New Roman" w:hAnsi="Times New Roman"/>
              </w:rPr>
              <w:t>ane GUS 2017/2018 - opracowanie Oświata i wychowanie w roku szkolny</w:t>
            </w:r>
            <w:bookmarkStart w:id="4" w:name="_GoBack"/>
            <w:bookmarkEnd w:id="4"/>
            <w:r w:rsidRPr="00A80819">
              <w:rPr>
                <w:rFonts w:ascii="Times New Roman" w:hAnsi="Times New Roman"/>
              </w:rPr>
              <w:t>m 2017/2018</w:t>
            </w:r>
          </w:p>
        </w:tc>
        <w:tc>
          <w:tcPr>
            <w:tcW w:w="3148" w:type="dxa"/>
            <w:gridSpan w:val="7"/>
          </w:tcPr>
          <w:p w:rsidR="000D6ED0" w:rsidRPr="00044946" w:rsidRDefault="000D6ED0" w:rsidP="0070665C">
            <w:pPr>
              <w:spacing w:line="240" w:lineRule="auto"/>
              <w:rPr>
                <w:rFonts w:ascii="Times New Roman" w:hAnsi="Times New Roman"/>
              </w:rPr>
            </w:pPr>
            <w:r>
              <w:rPr>
                <w:rFonts w:ascii="Times" w:hAnsi="Times" w:cs="Arial"/>
                <w:szCs w:val="20"/>
              </w:rPr>
              <w:t>P</w:t>
            </w:r>
            <w:r w:rsidRPr="006C4BEC">
              <w:rPr>
                <w:rFonts w:ascii="Times" w:hAnsi="Times" w:cs="Arial"/>
                <w:szCs w:val="20"/>
              </w:rPr>
              <w:t>rawo do dodatkowego zasiłku opiekuńczego zarówno w przypadku zamknięcia żłobka, klubu dziecięcego, przedszkola, szkoły lub innej placówki, jak również w przypadku otwarcia tych placówek</w:t>
            </w:r>
            <w:r>
              <w:rPr>
                <w:rFonts w:ascii="Times" w:hAnsi="Times" w:cs="Arial"/>
                <w:szCs w:val="20"/>
              </w:rPr>
              <w:t>, gdy ubezpieczony podejmie decyzję o osobistym sprawowaniu opieki nad dzieckiem do lat 8.</w:t>
            </w:r>
          </w:p>
        </w:tc>
      </w:tr>
      <w:tr w:rsidR="002E71C6" w:rsidRPr="008D6E94" w:rsidTr="002A37BC">
        <w:trPr>
          <w:trHeight w:val="302"/>
        </w:trPr>
        <w:tc>
          <w:tcPr>
            <w:tcW w:w="11039" w:type="dxa"/>
            <w:gridSpan w:val="28"/>
            <w:shd w:val="clear" w:color="auto" w:fill="99CCFF"/>
            <w:vAlign w:val="center"/>
          </w:tcPr>
          <w:p w:rsidR="002E71C6" w:rsidRPr="004B4C6E" w:rsidRDefault="002E71C6" w:rsidP="00983F37">
            <w:pPr>
              <w:numPr>
                <w:ilvl w:val="0"/>
                <w:numId w:val="1"/>
              </w:numPr>
              <w:spacing w:line="240" w:lineRule="auto"/>
              <w:ind w:left="318" w:hanging="284"/>
              <w:jc w:val="both"/>
              <w:rPr>
                <w:rFonts w:ascii="Times New Roman" w:hAnsi="Times New Roman"/>
                <w:b/>
                <w:color w:val="000000"/>
              </w:rPr>
            </w:pPr>
            <w:r w:rsidRPr="004B4C6E">
              <w:rPr>
                <w:rFonts w:ascii="Times New Roman" w:hAnsi="Times New Roman"/>
                <w:b/>
                <w:color w:val="000000"/>
              </w:rPr>
              <w:t>Informacje na temat zakresu, czasu trwania i podsumowanie wyników konsultacji</w:t>
            </w:r>
          </w:p>
        </w:tc>
      </w:tr>
      <w:tr w:rsidR="002E71C6" w:rsidRPr="008D6E94" w:rsidTr="002A37BC">
        <w:trPr>
          <w:trHeight w:val="342"/>
        </w:trPr>
        <w:tc>
          <w:tcPr>
            <w:tcW w:w="11039" w:type="dxa"/>
            <w:gridSpan w:val="28"/>
            <w:shd w:val="clear" w:color="auto" w:fill="FFFFFF"/>
          </w:tcPr>
          <w:p w:rsidR="002E71C6" w:rsidRDefault="002E71C6" w:rsidP="00BF2F9B">
            <w:pPr>
              <w:spacing w:after="120" w:line="240" w:lineRule="auto"/>
              <w:jc w:val="both"/>
              <w:rPr>
                <w:rFonts w:ascii="Times New Roman" w:eastAsia="Times New Roman" w:hAnsi="Times New Roman"/>
                <w:lang w:eastAsia="pl-PL"/>
              </w:rPr>
            </w:pPr>
            <w:r>
              <w:rPr>
                <w:rFonts w:ascii="Times New Roman" w:hAnsi="Times New Roman"/>
              </w:rPr>
              <w:t>W zakresie dotyczącym dopłat do oprocentowania kredytów o</w:t>
            </w:r>
            <w:r w:rsidRPr="00433B47">
              <w:rPr>
                <w:rFonts w:ascii="Times New Roman" w:hAnsi="Times New Roman"/>
              </w:rPr>
              <w:t xml:space="preserve">pracowanie projektu </w:t>
            </w:r>
            <w:r>
              <w:rPr>
                <w:rFonts w:ascii="Times New Roman" w:hAnsi="Times New Roman"/>
              </w:rPr>
              <w:t>było poprzedzone</w:t>
            </w:r>
            <w:r w:rsidRPr="00433B47">
              <w:rPr>
                <w:rFonts w:ascii="Times New Roman" w:hAnsi="Times New Roman"/>
              </w:rPr>
              <w:t xml:space="preserve"> rozmow</w:t>
            </w:r>
            <w:r>
              <w:rPr>
                <w:rFonts w:ascii="Times New Roman" w:hAnsi="Times New Roman"/>
              </w:rPr>
              <w:t>ami</w:t>
            </w:r>
            <w:r w:rsidRPr="00433B47">
              <w:rPr>
                <w:rFonts w:ascii="Times New Roman" w:hAnsi="Times New Roman"/>
              </w:rPr>
              <w:t xml:space="preserve"> z przedstawicielami </w:t>
            </w:r>
            <w:r>
              <w:rPr>
                <w:rFonts w:ascii="Times New Roman" w:hAnsi="Times New Roman"/>
              </w:rPr>
              <w:t>sektora bankowego.</w:t>
            </w:r>
            <w:r w:rsidRPr="002C24B8">
              <w:rPr>
                <w:rFonts w:ascii="Times New Roman" w:eastAsia="Times New Roman" w:hAnsi="Times New Roman"/>
                <w:lang w:eastAsia="pl-PL"/>
              </w:rPr>
              <w:t xml:space="preserve"> </w:t>
            </w:r>
          </w:p>
          <w:p w:rsidR="002E71C6" w:rsidRPr="00BF2F9B" w:rsidRDefault="002E71C6" w:rsidP="00BF2F9B">
            <w:pPr>
              <w:autoSpaceDE w:val="0"/>
              <w:autoSpaceDN w:val="0"/>
              <w:adjustRightInd w:val="0"/>
              <w:spacing w:before="120" w:after="120" w:line="240" w:lineRule="auto"/>
              <w:jc w:val="both"/>
              <w:rPr>
                <w:rFonts w:ascii="Times New Roman" w:hAnsi="Times New Roman"/>
                <w:lang w:eastAsia="pl-PL"/>
              </w:rPr>
            </w:pPr>
            <w:r>
              <w:rPr>
                <w:rFonts w:ascii="Times New Roman" w:hAnsi="Times New Roman"/>
                <w:lang w:eastAsia="pl-PL"/>
              </w:rPr>
              <w:t>W zakresie dotyczącym ułatwień w procesie zamówień publicznych, p</w:t>
            </w:r>
            <w:r w:rsidRPr="00BF2F9B">
              <w:rPr>
                <w:rFonts w:ascii="Times New Roman" w:hAnsi="Times New Roman"/>
                <w:lang w:eastAsia="pl-PL"/>
              </w:rPr>
              <w:t xml:space="preserve">rojektowane rozwiązania zostały przygotowane m.in. na podstawie postulatów i propozycji zgłaszanych przez uczestników rynku zamówień publicznych, w szczególności wykonawców, w toku dotychczasowych prac nad aktami normatywnymi ukierunkowanymi na walkę ze skutkami COVID-19 (np. </w:t>
            </w:r>
            <w:r>
              <w:rPr>
                <w:rFonts w:ascii="Times New Roman" w:hAnsi="Times New Roman"/>
                <w:lang w:eastAsia="pl-PL"/>
              </w:rPr>
              <w:t xml:space="preserve">w </w:t>
            </w:r>
            <w:r w:rsidRPr="00BF2F9B">
              <w:rPr>
                <w:rFonts w:ascii="Times New Roman" w:hAnsi="Times New Roman"/>
                <w:lang w:eastAsia="pl-PL"/>
              </w:rPr>
              <w:t>pismach kierowanych do Ministra Rozwoju).</w:t>
            </w:r>
          </w:p>
          <w:p w:rsidR="002E71C6" w:rsidRPr="002C24B8" w:rsidRDefault="002E71C6" w:rsidP="008C5684">
            <w:pPr>
              <w:spacing w:after="120" w:line="240" w:lineRule="auto"/>
              <w:jc w:val="both"/>
              <w:rPr>
                <w:rFonts w:ascii="Times New Roman" w:eastAsia="Times New Roman" w:hAnsi="Times New Roman"/>
                <w:lang w:eastAsia="pl-PL"/>
              </w:rPr>
            </w:pPr>
            <w:r w:rsidRPr="002C24B8">
              <w:rPr>
                <w:rFonts w:ascii="Times New Roman" w:eastAsia="Times New Roman" w:hAnsi="Times New Roman"/>
                <w:lang w:eastAsia="pl-PL"/>
              </w:rPr>
              <w:t>Biorąc pod uwagę potrzebę pilnego wdrożenia zmian konsultacje publiczne nie są planowane. Projekt będzie miał pozytywny wpływ na przedsiębiorców</w:t>
            </w:r>
            <w:r>
              <w:rPr>
                <w:rFonts w:ascii="Times New Roman" w:eastAsia="Times New Roman" w:hAnsi="Times New Roman"/>
                <w:lang w:eastAsia="pl-PL"/>
              </w:rPr>
              <w:t xml:space="preserve"> i gospodarkę</w:t>
            </w:r>
            <w:r w:rsidRPr="002C24B8">
              <w:rPr>
                <w:rFonts w:ascii="Times New Roman" w:eastAsia="Times New Roman" w:hAnsi="Times New Roman"/>
                <w:lang w:eastAsia="pl-PL"/>
              </w:rPr>
              <w:t>.</w:t>
            </w:r>
          </w:p>
          <w:p w:rsidR="002E71C6" w:rsidRPr="00BF2F9B" w:rsidRDefault="002E71C6" w:rsidP="00DE72D8">
            <w:pPr>
              <w:spacing w:after="120" w:line="240" w:lineRule="auto"/>
              <w:jc w:val="both"/>
              <w:rPr>
                <w:rFonts w:ascii="Times New Roman" w:hAnsi="Times New Roman"/>
                <w:color w:val="000000"/>
                <w:spacing w:val="-2"/>
              </w:rPr>
            </w:pPr>
            <w:r>
              <w:rPr>
                <w:rFonts w:ascii="Times New Roman" w:hAnsi="Times New Roman"/>
              </w:rPr>
              <w:t xml:space="preserve">Projekt ustawy zostanie zamieszczony w Biuletynie Informacji Publicznej </w:t>
            </w:r>
            <w:r>
              <w:rPr>
                <w:rFonts w:ascii="Times New Roman" w:hAnsi="Times New Roman"/>
                <w:color w:val="000000"/>
                <w:spacing w:val="-2"/>
              </w:rPr>
              <w:t>na stronie podmiotowej Rządowego Centrum Legislacji w serwisie Rządowy Proces Legislacyjny, zgodnie z uchwałą nr 190 Rady Ministrów z dnia 29 października 2013 r. – Regulamin pracy Rady Ministrów.</w:t>
            </w:r>
          </w:p>
        </w:tc>
      </w:tr>
      <w:tr w:rsidR="002E71C6" w:rsidRPr="008D6E94" w:rsidTr="002A3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11039" w:type="dxa"/>
            <w:gridSpan w:val="28"/>
            <w:tcBorders>
              <w:top w:val="single" w:sz="8" w:space="0" w:color="auto"/>
              <w:left w:val="single" w:sz="8" w:space="0" w:color="auto"/>
              <w:bottom w:val="nil"/>
              <w:right w:val="single" w:sz="8" w:space="0" w:color="000000"/>
            </w:tcBorders>
            <w:shd w:val="clear" w:color="000000" w:fill="99CCFF"/>
          </w:tcPr>
          <w:p w:rsidR="002E71C6" w:rsidRPr="004B4C6E" w:rsidRDefault="002E71C6" w:rsidP="00983F37">
            <w:pPr>
              <w:spacing w:line="240" w:lineRule="auto"/>
              <w:jc w:val="both"/>
              <w:rPr>
                <w:rFonts w:ascii="Times New Roman" w:hAnsi="Times New Roman"/>
                <w:b/>
                <w:bCs/>
                <w:color w:val="000000"/>
              </w:rPr>
            </w:pPr>
            <w:r w:rsidRPr="004B4C6E">
              <w:rPr>
                <w:rFonts w:ascii="Times New Roman" w:hAnsi="Times New Roman"/>
                <w:b/>
                <w:bCs/>
                <w:color w:val="000000"/>
              </w:rPr>
              <w:t>6. Wpływ na sektor finansów publicznych</w:t>
            </w:r>
          </w:p>
        </w:tc>
      </w:tr>
      <w:tr w:rsidR="002E71C6" w:rsidRPr="008D6E94" w:rsidTr="008E02F3">
        <w:trPr>
          <w:gridBefore w:val="1"/>
          <w:wBefore w:w="26" w:type="dxa"/>
          <w:trHeight w:val="142"/>
        </w:trPr>
        <w:tc>
          <w:tcPr>
            <w:tcW w:w="1392" w:type="dxa"/>
            <w:vMerge w:val="restart"/>
            <w:shd w:val="clear" w:color="auto" w:fill="FFFFFF"/>
          </w:tcPr>
          <w:p w:rsidR="002E71C6" w:rsidRPr="004B4C6E" w:rsidRDefault="002E71C6" w:rsidP="00F36E9E">
            <w:pPr>
              <w:spacing w:line="240" w:lineRule="auto"/>
              <w:rPr>
                <w:rFonts w:ascii="Times New Roman" w:eastAsia="MS Mincho" w:hAnsi="Times New Roman"/>
                <w:i/>
              </w:rPr>
            </w:pPr>
            <w:r w:rsidRPr="004B4C6E">
              <w:rPr>
                <w:rFonts w:ascii="Times New Roman" w:eastAsia="MS Mincho" w:hAnsi="Times New Roman"/>
              </w:rPr>
              <w:t xml:space="preserve">(ceny stałe z </w:t>
            </w:r>
            <w:r>
              <w:rPr>
                <w:rFonts w:ascii="Times New Roman" w:eastAsia="MS Mincho" w:hAnsi="Times New Roman"/>
              </w:rPr>
              <w:t>2020</w:t>
            </w:r>
            <w:r w:rsidRPr="004B4C6E">
              <w:rPr>
                <w:rFonts w:ascii="Times New Roman" w:eastAsia="MS Mincho" w:hAnsi="Times New Roman"/>
              </w:rPr>
              <w:t xml:space="preserve"> r.)</w:t>
            </w:r>
          </w:p>
        </w:tc>
        <w:tc>
          <w:tcPr>
            <w:tcW w:w="9621" w:type="dxa"/>
            <w:gridSpan w:val="26"/>
            <w:shd w:val="clear" w:color="auto" w:fill="FFFFFF"/>
          </w:tcPr>
          <w:p w:rsidR="002E71C6" w:rsidRPr="004B4C6E" w:rsidRDefault="002E71C6" w:rsidP="00983F37">
            <w:pPr>
              <w:spacing w:line="240" w:lineRule="auto"/>
              <w:jc w:val="center"/>
              <w:rPr>
                <w:rFonts w:ascii="Times New Roman" w:eastAsia="MS Mincho" w:hAnsi="Times New Roman"/>
                <w:i/>
                <w:spacing w:val="-2"/>
              </w:rPr>
            </w:pPr>
            <w:r w:rsidRPr="004B4C6E">
              <w:rPr>
                <w:rFonts w:ascii="Times New Roman" w:eastAsia="MS Mincho" w:hAnsi="Times New Roman"/>
              </w:rPr>
              <w:t>Skutki w okresie 10 lat od wejścia w życie zmian [mln zł]</w:t>
            </w:r>
          </w:p>
        </w:tc>
      </w:tr>
      <w:tr w:rsidR="002E71C6" w:rsidRPr="008D6E94" w:rsidTr="008E02F3">
        <w:trPr>
          <w:gridBefore w:val="1"/>
          <w:wBefore w:w="26" w:type="dxa"/>
          <w:trHeight w:val="142"/>
        </w:trPr>
        <w:tc>
          <w:tcPr>
            <w:tcW w:w="1392" w:type="dxa"/>
            <w:vMerge/>
            <w:shd w:val="clear" w:color="auto" w:fill="FFFFFF"/>
          </w:tcPr>
          <w:p w:rsidR="002E71C6" w:rsidRPr="00BF278E" w:rsidRDefault="002E71C6" w:rsidP="00983F37">
            <w:pPr>
              <w:spacing w:line="240" w:lineRule="auto"/>
              <w:rPr>
                <w:rFonts w:ascii="Times New Roman" w:eastAsia="MS Mincho" w:hAnsi="Times New Roman"/>
                <w:i/>
              </w:rPr>
            </w:pPr>
          </w:p>
        </w:tc>
        <w:tc>
          <w:tcPr>
            <w:tcW w:w="993" w:type="dxa"/>
            <w:gridSpan w:val="4"/>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0</w:t>
            </w:r>
          </w:p>
        </w:tc>
        <w:tc>
          <w:tcPr>
            <w:tcW w:w="850"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1</w:t>
            </w:r>
          </w:p>
        </w:tc>
        <w:tc>
          <w:tcPr>
            <w:tcW w:w="724" w:type="dxa"/>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2</w:t>
            </w:r>
          </w:p>
        </w:tc>
        <w:tc>
          <w:tcPr>
            <w:tcW w:w="835"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3</w:t>
            </w:r>
          </w:p>
        </w:tc>
        <w:tc>
          <w:tcPr>
            <w:tcW w:w="850" w:type="dxa"/>
            <w:gridSpan w:val="3"/>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4</w:t>
            </w:r>
          </w:p>
        </w:tc>
        <w:tc>
          <w:tcPr>
            <w:tcW w:w="725"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5</w:t>
            </w:r>
          </w:p>
        </w:tc>
        <w:tc>
          <w:tcPr>
            <w:tcW w:w="724"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6</w:t>
            </w:r>
          </w:p>
        </w:tc>
        <w:tc>
          <w:tcPr>
            <w:tcW w:w="725"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7</w:t>
            </w:r>
          </w:p>
        </w:tc>
        <w:tc>
          <w:tcPr>
            <w:tcW w:w="724" w:type="dxa"/>
            <w:gridSpan w:val="4"/>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8</w:t>
            </w:r>
          </w:p>
        </w:tc>
        <w:tc>
          <w:tcPr>
            <w:tcW w:w="725" w:type="dxa"/>
            <w:gridSpan w:val="2"/>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9</w:t>
            </w:r>
          </w:p>
        </w:tc>
        <w:tc>
          <w:tcPr>
            <w:tcW w:w="725" w:type="dxa"/>
            <w:shd w:val="clear" w:color="auto" w:fill="FFFFFF"/>
          </w:tcPr>
          <w:p w:rsidR="002E71C6" w:rsidRPr="00F36E9E" w:rsidRDefault="002E71C6" w:rsidP="00983F37">
            <w:pPr>
              <w:spacing w:line="240" w:lineRule="auto"/>
              <w:jc w:val="center"/>
              <w:rPr>
                <w:rFonts w:ascii="Times New Roman" w:eastAsia="MS Mincho" w:hAnsi="Times New Roman"/>
              </w:rPr>
            </w:pPr>
            <w:r w:rsidRPr="008B0E19">
              <w:rPr>
                <w:rFonts w:ascii="Times New Roman" w:eastAsia="MS Mincho" w:hAnsi="Times New Roman"/>
              </w:rPr>
              <w:t>10</w:t>
            </w:r>
          </w:p>
        </w:tc>
        <w:tc>
          <w:tcPr>
            <w:tcW w:w="1021" w:type="dxa"/>
            <w:shd w:val="clear" w:color="auto" w:fill="FFFFFF"/>
          </w:tcPr>
          <w:p w:rsidR="002E71C6" w:rsidRPr="00F36E9E" w:rsidRDefault="002E71C6" w:rsidP="00983F37">
            <w:pPr>
              <w:spacing w:line="240" w:lineRule="auto"/>
              <w:jc w:val="center"/>
              <w:rPr>
                <w:rFonts w:ascii="Times New Roman" w:eastAsia="MS Mincho" w:hAnsi="Times New Roman"/>
                <w:i/>
                <w:spacing w:val="-2"/>
              </w:rPr>
            </w:pPr>
            <w:r w:rsidRPr="008B0E19">
              <w:rPr>
                <w:rFonts w:ascii="Times New Roman" w:eastAsia="MS Mincho" w:hAnsi="Times New Roman"/>
                <w:i/>
                <w:spacing w:val="-2"/>
              </w:rPr>
              <w:t>Łącznie (0-10)</w:t>
            </w:r>
          </w:p>
        </w:tc>
      </w:tr>
      <w:tr w:rsidR="002E71C6" w:rsidRPr="008D6E94" w:rsidTr="008E02F3">
        <w:trPr>
          <w:gridBefore w:val="1"/>
          <w:wBefore w:w="26" w:type="dxa"/>
          <w:trHeight w:val="321"/>
        </w:trPr>
        <w:tc>
          <w:tcPr>
            <w:tcW w:w="1392" w:type="dxa"/>
            <w:shd w:val="clear" w:color="auto" w:fill="FFFFFF"/>
            <w:vAlign w:val="center"/>
          </w:tcPr>
          <w:p w:rsidR="002E71C6" w:rsidRPr="004B4C6E" w:rsidRDefault="002E71C6" w:rsidP="00983F37">
            <w:pPr>
              <w:spacing w:line="240" w:lineRule="auto"/>
              <w:rPr>
                <w:rFonts w:ascii="Times New Roman" w:eastAsia="MS Mincho" w:hAnsi="Times New Roman"/>
              </w:rPr>
            </w:pPr>
            <w:r w:rsidRPr="004B4C6E">
              <w:rPr>
                <w:rFonts w:ascii="Times New Roman" w:eastAsia="MS Mincho" w:hAnsi="Times New Roman"/>
                <w:b/>
              </w:rPr>
              <w:t>Dochody ogółem</w:t>
            </w:r>
          </w:p>
        </w:tc>
        <w:tc>
          <w:tcPr>
            <w:tcW w:w="993"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34,00</w:t>
            </w:r>
          </w:p>
        </w:tc>
        <w:tc>
          <w:tcPr>
            <w:tcW w:w="850"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49,00</w:t>
            </w:r>
          </w:p>
        </w:tc>
        <w:tc>
          <w:tcPr>
            <w:tcW w:w="724"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47,00</w:t>
            </w:r>
          </w:p>
        </w:tc>
        <w:tc>
          <w:tcPr>
            <w:tcW w:w="83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45,00</w:t>
            </w:r>
          </w:p>
        </w:tc>
        <w:tc>
          <w:tcPr>
            <w:tcW w:w="850" w:type="dxa"/>
            <w:gridSpan w:val="3"/>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43,00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41,00</w:t>
            </w:r>
          </w:p>
        </w:tc>
        <w:tc>
          <w:tcPr>
            <w:tcW w:w="724"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38,00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37,00</w:t>
            </w:r>
          </w:p>
        </w:tc>
        <w:tc>
          <w:tcPr>
            <w:tcW w:w="724"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35,00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33,00</w:t>
            </w:r>
          </w:p>
        </w:tc>
        <w:tc>
          <w:tcPr>
            <w:tcW w:w="725"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b/>
                <w:bCs/>
                <w:color w:val="000000"/>
                <w:sz w:val="20"/>
                <w:szCs w:val="21"/>
              </w:rPr>
              <w:t>31,00</w:t>
            </w:r>
          </w:p>
        </w:tc>
        <w:tc>
          <w:tcPr>
            <w:tcW w:w="1021" w:type="dxa"/>
            <w:shd w:val="clear" w:color="auto" w:fill="FFFFFF"/>
            <w:vAlign w:val="center"/>
          </w:tcPr>
          <w:p w:rsidR="002E71C6" w:rsidRPr="0023734C" w:rsidRDefault="002E71C6" w:rsidP="008320E9">
            <w:pPr>
              <w:spacing w:line="240" w:lineRule="auto"/>
              <w:jc w:val="right"/>
              <w:rPr>
                <w:rFonts w:ascii="Times New Roman" w:eastAsia="MS Mincho" w:hAnsi="Times New Roman"/>
                <w:spacing w:val="-2"/>
                <w:sz w:val="20"/>
                <w:szCs w:val="20"/>
              </w:rPr>
            </w:pPr>
            <w:r w:rsidRPr="0023734C">
              <w:rPr>
                <w:rFonts w:ascii="Times New Roman" w:hAnsi="Times New Roman"/>
                <w:b/>
                <w:bCs/>
                <w:color w:val="000000"/>
                <w:sz w:val="20"/>
                <w:szCs w:val="21"/>
              </w:rPr>
              <w:t>433,00</w:t>
            </w:r>
          </w:p>
        </w:tc>
      </w:tr>
      <w:tr w:rsidR="002E71C6" w:rsidRPr="008D6E94" w:rsidTr="008E02F3">
        <w:trPr>
          <w:gridBefore w:val="1"/>
          <w:wBefore w:w="26" w:type="dxa"/>
          <w:trHeight w:val="321"/>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budżet państwa</w:t>
            </w:r>
          </w:p>
        </w:tc>
        <w:tc>
          <w:tcPr>
            <w:tcW w:w="993" w:type="dxa"/>
            <w:gridSpan w:val="4"/>
            <w:shd w:val="clear" w:color="auto" w:fill="FFFFFF"/>
            <w:vAlign w:val="center"/>
          </w:tcPr>
          <w:p w:rsidR="002E71C6" w:rsidRPr="00331774" w:rsidRDefault="002E71C6" w:rsidP="008320E9">
            <w:pPr>
              <w:spacing w:line="240" w:lineRule="auto"/>
              <w:jc w:val="right"/>
              <w:rPr>
                <w:rFonts w:ascii="Times New Roman" w:eastAsia="MS Mincho" w:hAnsi="Times New Roman"/>
                <w:sz w:val="20"/>
                <w:szCs w:val="20"/>
              </w:rPr>
            </w:pPr>
            <w:r w:rsidRPr="00A90562">
              <w:rPr>
                <w:rFonts w:ascii="Times New Roman" w:hAnsi="Times New Roman"/>
                <w:color w:val="000000"/>
                <w:sz w:val="20"/>
                <w:szCs w:val="20"/>
              </w:rPr>
              <w:t>-338,00</w:t>
            </w:r>
          </w:p>
        </w:tc>
        <w:tc>
          <w:tcPr>
            <w:tcW w:w="850"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83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850" w:type="dxa"/>
            <w:gridSpan w:val="3"/>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1021" w:type="dxa"/>
            <w:shd w:val="clear" w:color="auto" w:fill="FFFFFF"/>
            <w:vAlign w:val="center"/>
          </w:tcPr>
          <w:p w:rsidR="002E71C6" w:rsidRPr="00574E1A" w:rsidRDefault="002E71C6" w:rsidP="008320E9">
            <w:pPr>
              <w:spacing w:line="240" w:lineRule="auto"/>
              <w:jc w:val="right"/>
              <w:rPr>
                <w:rFonts w:ascii="Times New Roman" w:eastAsia="MS Mincho" w:hAnsi="Times New Roman"/>
                <w:spacing w:val="-2"/>
                <w:sz w:val="20"/>
                <w:szCs w:val="20"/>
              </w:rPr>
            </w:pPr>
            <w:r w:rsidRPr="00A90562">
              <w:rPr>
                <w:rFonts w:ascii="Times New Roman" w:hAnsi="Times New Roman"/>
                <w:color w:val="000000"/>
                <w:sz w:val="20"/>
                <w:szCs w:val="20"/>
              </w:rPr>
              <w:t>-338,00</w:t>
            </w:r>
          </w:p>
        </w:tc>
      </w:tr>
      <w:tr w:rsidR="002E71C6" w:rsidRPr="008D6E94" w:rsidTr="008E02F3">
        <w:trPr>
          <w:gridBefore w:val="1"/>
          <w:wBefore w:w="26" w:type="dxa"/>
          <w:trHeight w:val="344"/>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JST</w:t>
            </w:r>
          </w:p>
        </w:tc>
        <w:tc>
          <w:tcPr>
            <w:tcW w:w="993" w:type="dxa"/>
            <w:gridSpan w:val="4"/>
            <w:shd w:val="clear" w:color="auto" w:fill="FFFFFF"/>
            <w:vAlign w:val="center"/>
          </w:tcPr>
          <w:p w:rsidR="002E71C6" w:rsidRPr="00331774" w:rsidRDefault="002E71C6" w:rsidP="008320E9">
            <w:pPr>
              <w:spacing w:line="240" w:lineRule="auto"/>
              <w:jc w:val="right"/>
              <w:rPr>
                <w:rFonts w:ascii="Times New Roman" w:eastAsia="MS Mincho" w:hAnsi="Times New Roman"/>
                <w:sz w:val="20"/>
                <w:szCs w:val="20"/>
              </w:rPr>
            </w:pPr>
            <w:r w:rsidRPr="00A90562">
              <w:rPr>
                <w:rFonts w:ascii="Times New Roman" w:hAnsi="Times New Roman"/>
                <w:color w:val="000000"/>
                <w:sz w:val="20"/>
                <w:szCs w:val="20"/>
              </w:rPr>
              <w:t>372,00</w:t>
            </w:r>
          </w:p>
        </w:tc>
        <w:tc>
          <w:tcPr>
            <w:tcW w:w="850"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49,00</w:t>
            </w:r>
          </w:p>
        </w:tc>
        <w:tc>
          <w:tcPr>
            <w:tcW w:w="724"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47,00</w:t>
            </w:r>
          </w:p>
        </w:tc>
        <w:tc>
          <w:tcPr>
            <w:tcW w:w="83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45,00</w:t>
            </w:r>
          </w:p>
        </w:tc>
        <w:tc>
          <w:tcPr>
            <w:tcW w:w="850" w:type="dxa"/>
            <w:gridSpan w:val="3"/>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43,00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41,00</w:t>
            </w:r>
          </w:p>
        </w:tc>
        <w:tc>
          <w:tcPr>
            <w:tcW w:w="724"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38,00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37,00</w:t>
            </w:r>
          </w:p>
        </w:tc>
        <w:tc>
          <w:tcPr>
            <w:tcW w:w="724"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35,00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33,00</w:t>
            </w:r>
          </w:p>
        </w:tc>
        <w:tc>
          <w:tcPr>
            <w:tcW w:w="725"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31,00</w:t>
            </w:r>
          </w:p>
        </w:tc>
        <w:tc>
          <w:tcPr>
            <w:tcW w:w="1021" w:type="dxa"/>
            <w:shd w:val="clear" w:color="auto" w:fill="FFFFFF"/>
            <w:vAlign w:val="center"/>
          </w:tcPr>
          <w:p w:rsidR="002E71C6" w:rsidRPr="00574E1A" w:rsidRDefault="002E71C6" w:rsidP="008320E9">
            <w:pPr>
              <w:spacing w:line="240" w:lineRule="auto"/>
              <w:jc w:val="right"/>
              <w:rPr>
                <w:rFonts w:ascii="Times New Roman" w:eastAsia="MS Mincho" w:hAnsi="Times New Roman"/>
                <w:sz w:val="20"/>
                <w:szCs w:val="20"/>
              </w:rPr>
            </w:pPr>
            <w:r w:rsidRPr="00A90562">
              <w:rPr>
                <w:rFonts w:ascii="Times New Roman" w:hAnsi="Times New Roman"/>
                <w:color w:val="000000"/>
                <w:sz w:val="20"/>
                <w:szCs w:val="20"/>
              </w:rPr>
              <w:t>771,00</w:t>
            </w:r>
          </w:p>
        </w:tc>
      </w:tr>
      <w:tr w:rsidR="002E71C6" w:rsidRPr="008D6E94" w:rsidTr="008E02F3">
        <w:trPr>
          <w:gridBefore w:val="1"/>
          <w:wBefore w:w="26" w:type="dxa"/>
          <w:trHeight w:val="344"/>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pozostałe jednostki (oddzielnie)</w:t>
            </w:r>
          </w:p>
        </w:tc>
        <w:tc>
          <w:tcPr>
            <w:tcW w:w="993"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850"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83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850" w:type="dxa"/>
            <w:gridSpan w:val="3"/>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4" w:type="dxa"/>
            <w:gridSpan w:val="4"/>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gridSpan w:val="2"/>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725"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c>
          <w:tcPr>
            <w:tcW w:w="1021" w:type="dxa"/>
            <w:shd w:val="clear" w:color="auto" w:fill="FFFFFF"/>
            <w:vAlign w:val="center"/>
          </w:tcPr>
          <w:p w:rsidR="002E71C6" w:rsidRPr="0023734C" w:rsidRDefault="002E71C6" w:rsidP="008320E9">
            <w:pPr>
              <w:spacing w:line="240" w:lineRule="auto"/>
              <w:jc w:val="right"/>
              <w:rPr>
                <w:rFonts w:ascii="Times New Roman" w:eastAsia="MS Mincho" w:hAnsi="Times New Roman"/>
                <w:sz w:val="20"/>
                <w:szCs w:val="20"/>
              </w:rPr>
            </w:pPr>
            <w:r w:rsidRPr="0023734C">
              <w:rPr>
                <w:rFonts w:ascii="Times New Roman" w:hAnsi="Times New Roman"/>
                <w:color w:val="000000"/>
                <w:sz w:val="20"/>
                <w:szCs w:val="21"/>
              </w:rPr>
              <w:t>0,00</w:t>
            </w:r>
          </w:p>
        </w:tc>
      </w:tr>
      <w:tr w:rsidR="002E71C6" w:rsidRPr="008D6E94" w:rsidTr="008E02F3">
        <w:trPr>
          <w:gridBefore w:val="1"/>
          <w:wBefore w:w="26" w:type="dxa"/>
          <w:trHeight w:val="691"/>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b/>
              </w:rPr>
              <w:t>Wydatki ogółem</w:t>
            </w:r>
          </w:p>
        </w:tc>
        <w:tc>
          <w:tcPr>
            <w:tcW w:w="993" w:type="dxa"/>
            <w:gridSpan w:val="4"/>
            <w:shd w:val="clear" w:color="auto" w:fill="FFFFFF"/>
            <w:vAlign w:val="center"/>
          </w:tcPr>
          <w:p w:rsidR="002E71C6" w:rsidRPr="00482AF3" w:rsidRDefault="00A972FB" w:rsidP="008320E9">
            <w:pPr>
              <w:spacing w:line="240" w:lineRule="auto"/>
              <w:jc w:val="right"/>
              <w:rPr>
                <w:rFonts w:ascii="Times New Roman" w:eastAsia="MS Mincho" w:hAnsi="Times New Roman"/>
                <w:b/>
                <w:sz w:val="20"/>
                <w:szCs w:val="20"/>
              </w:rPr>
            </w:pPr>
            <w:r w:rsidRPr="00A972FB">
              <w:rPr>
                <w:rFonts w:ascii="Times New Roman" w:hAnsi="Times New Roman"/>
                <w:b/>
                <w:bCs/>
                <w:color w:val="000000"/>
                <w:sz w:val="20"/>
                <w:szCs w:val="20"/>
              </w:rPr>
              <w:t>2 709,82</w:t>
            </w:r>
          </w:p>
        </w:tc>
        <w:tc>
          <w:tcPr>
            <w:tcW w:w="850"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271,20</w:t>
            </w:r>
          </w:p>
        </w:tc>
        <w:tc>
          <w:tcPr>
            <w:tcW w:w="724" w:type="dxa"/>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83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850" w:type="dxa"/>
            <w:gridSpan w:val="3"/>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4"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4" w:type="dxa"/>
            <w:gridSpan w:val="4"/>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725" w:type="dxa"/>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0,00</w:t>
            </w:r>
          </w:p>
        </w:tc>
        <w:tc>
          <w:tcPr>
            <w:tcW w:w="1021" w:type="dxa"/>
            <w:shd w:val="clear" w:color="auto" w:fill="FFFFFF"/>
            <w:vAlign w:val="center"/>
          </w:tcPr>
          <w:p w:rsidR="002E71C6" w:rsidRPr="00482AF3" w:rsidRDefault="00A972FB" w:rsidP="008320E9">
            <w:pPr>
              <w:spacing w:line="240" w:lineRule="auto"/>
              <w:jc w:val="right"/>
              <w:rPr>
                <w:rFonts w:ascii="Times New Roman" w:eastAsia="MS Mincho" w:hAnsi="Times New Roman"/>
                <w:b/>
                <w:sz w:val="20"/>
                <w:szCs w:val="20"/>
              </w:rPr>
            </w:pPr>
            <w:r w:rsidRPr="00A972FB">
              <w:rPr>
                <w:rFonts w:ascii="Times New Roman" w:hAnsi="Times New Roman"/>
                <w:b/>
                <w:bCs/>
                <w:color w:val="000000"/>
                <w:sz w:val="20"/>
                <w:szCs w:val="20"/>
              </w:rPr>
              <w:t>2 981,02</w:t>
            </w:r>
          </w:p>
        </w:tc>
      </w:tr>
      <w:tr w:rsidR="002E71C6" w:rsidRPr="008D6E94" w:rsidTr="008E02F3">
        <w:trPr>
          <w:gridBefore w:val="1"/>
          <w:wBefore w:w="26" w:type="dxa"/>
          <w:trHeight w:val="700"/>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budżet państwa</w:t>
            </w:r>
          </w:p>
        </w:tc>
        <w:tc>
          <w:tcPr>
            <w:tcW w:w="993" w:type="dxa"/>
            <w:gridSpan w:val="4"/>
            <w:shd w:val="clear" w:color="auto" w:fill="FFFFFF"/>
            <w:vAlign w:val="center"/>
          </w:tcPr>
          <w:p w:rsidR="002E71C6" w:rsidRPr="00482AF3" w:rsidRDefault="002E71C6" w:rsidP="008320E9">
            <w:pPr>
              <w:spacing w:line="240" w:lineRule="auto"/>
              <w:jc w:val="right"/>
              <w:rPr>
                <w:rFonts w:ascii="Times New Roman" w:eastAsia="MS Mincho" w:hAnsi="Times New Roman"/>
                <w:sz w:val="20"/>
              </w:rPr>
            </w:pPr>
            <w:r w:rsidRPr="00EC41B0">
              <w:rPr>
                <w:rFonts w:ascii="Times New Roman" w:hAnsi="Times New Roman"/>
                <w:color w:val="000000"/>
                <w:sz w:val="20"/>
              </w:rPr>
              <w:t>582,82</w:t>
            </w:r>
          </w:p>
        </w:tc>
        <w:tc>
          <w:tcPr>
            <w:tcW w:w="850" w:type="dxa"/>
            <w:gridSpan w:val="2"/>
            <w:shd w:val="clear" w:color="auto" w:fill="FFFFFF"/>
            <w:vAlign w:val="center"/>
          </w:tcPr>
          <w:p w:rsidR="002E71C6" w:rsidRPr="00FE4743" w:rsidRDefault="002E71C6" w:rsidP="008320E9">
            <w:pPr>
              <w:spacing w:line="240" w:lineRule="auto"/>
              <w:jc w:val="right"/>
              <w:rPr>
                <w:rFonts w:ascii="Times New Roman" w:eastAsia="MS Mincho" w:hAnsi="Times New Roman"/>
                <w:sz w:val="20"/>
              </w:rPr>
            </w:pPr>
            <w:r w:rsidRPr="00AF659E">
              <w:rPr>
                <w:rFonts w:ascii="Times New Roman" w:hAnsi="Times New Roman"/>
                <w:sz w:val="20"/>
              </w:rPr>
              <w:t>271,20</w:t>
            </w:r>
          </w:p>
        </w:tc>
        <w:tc>
          <w:tcPr>
            <w:tcW w:w="724" w:type="dxa"/>
            <w:shd w:val="clear" w:color="auto" w:fill="FFFFFF"/>
            <w:vAlign w:val="center"/>
          </w:tcPr>
          <w:p w:rsidR="002E71C6" w:rsidRPr="004C34E2" w:rsidRDefault="002E71C6" w:rsidP="008320E9">
            <w:pPr>
              <w:spacing w:line="240" w:lineRule="auto"/>
              <w:jc w:val="right"/>
              <w:rPr>
                <w:rFonts w:ascii="Times New Roman" w:eastAsia="MS Mincho" w:hAnsi="Times New Roman"/>
                <w:sz w:val="20"/>
              </w:rPr>
            </w:pPr>
            <w:r w:rsidRPr="004C34E2">
              <w:rPr>
                <w:rFonts w:ascii="Times New Roman" w:hAnsi="Times New Roman"/>
                <w:sz w:val="20"/>
              </w:rPr>
              <w:t>0,00</w:t>
            </w:r>
          </w:p>
        </w:tc>
        <w:tc>
          <w:tcPr>
            <w:tcW w:w="835" w:type="dxa"/>
            <w:gridSpan w:val="2"/>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F0469A">
              <w:rPr>
                <w:rFonts w:ascii="Times New Roman" w:hAnsi="Times New Roman"/>
                <w:sz w:val="20"/>
              </w:rPr>
              <w:t>0,00</w:t>
            </w:r>
          </w:p>
        </w:tc>
        <w:tc>
          <w:tcPr>
            <w:tcW w:w="850" w:type="dxa"/>
            <w:gridSpan w:val="3"/>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5" w:type="dxa"/>
            <w:gridSpan w:val="2"/>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4" w:type="dxa"/>
            <w:gridSpan w:val="2"/>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5" w:type="dxa"/>
            <w:gridSpan w:val="2"/>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4" w:type="dxa"/>
            <w:gridSpan w:val="4"/>
            <w:shd w:val="clear" w:color="auto" w:fill="FFFFFF"/>
            <w:vAlign w:val="center"/>
          </w:tcPr>
          <w:p w:rsidR="002E71C6" w:rsidRPr="00941F40"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5" w:type="dxa"/>
            <w:gridSpan w:val="2"/>
            <w:shd w:val="clear" w:color="auto" w:fill="FFFFFF"/>
            <w:vAlign w:val="center"/>
          </w:tcPr>
          <w:p w:rsidR="002E71C6" w:rsidRPr="00406D64" w:rsidRDefault="002E71C6" w:rsidP="008320E9">
            <w:pPr>
              <w:spacing w:line="240" w:lineRule="auto"/>
              <w:jc w:val="right"/>
              <w:rPr>
                <w:rFonts w:ascii="Times New Roman" w:eastAsia="MS Mincho" w:hAnsi="Times New Roman"/>
                <w:sz w:val="20"/>
              </w:rPr>
            </w:pPr>
            <w:r w:rsidRPr="00941F40">
              <w:rPr>
                <w:rFonts w:ascii="Times New Roman" w:hAnsi="Times New Roman"/>
                <w:sz w:val="20"/>
              </w:rPr>
              <w:t>0,00</w:t>
            </w:r>
          </w:p>
        </w:tc>
        <w:tc>
          <w:tcPr>
            <w:tcW w:w="725" w:type="dxa"/>
            <w:shd w:val="clear" w:color="auto" w:fill="FFFFFF"/>
            <w:vAlign w:val="center"/>
          </w:tcPr>
          <w:p w:rsidR="002E71C6" w:rsidRPr="00406D64" w:rsidRDefault="002E71C6" w:rsidP="008320E9">
            <w:pPr>
              <w:spacing w:line="240" w:lineRule="auto"/>
              <w:jc w:val="right"/>
              <w:rPr>
                <w:rFonts w:ascii="Times New Roman" w:eastAsia="MS Mincho" w:hAnsi="Times New Roman"/>
                <w:sz w:val="20"/>
              </w:rPr>
            </w:pPr>
            <w:r w:rsidRPr="00406D64">
              <w:rPr>
                <w:rFonts w:ascii="Times New Roman" w:hAnsi="Times New Roman"/>
                <w:sz w:val="20"/>
              </w:rPr>
              <w:t>0,00</w:t>
            </w:r>
          </w:p>
        </w:tc>
        <w:tc>
          <w:tcPr>
            <w:tcW w:w="1021" w:type="dxa"/>
            <w:shd w:val="clear" w:color="auto" w:fill="FFFFFF"/>
            <w:vAlign w:val="center"/>
          </w:tcPr>
          <w:p w:rsidR="002E71C6" w:rsidRPr="00AF659E" w:rsidRDefault="002E71C6" w:rsidP="008320E9">
            <w:pPr>
              <w:spacing w:line="240" w:lineRule="auto"/>
              <w:jc w:val="right"/>
              <w:rPr>
                <w:rFonts w:ascii="Times New Roman" w:eastAsia="MS Mincho" w:hAnsi="Times New Roman"/>
                <w:sz w:val="20"/>
              </w:rPr>
            </w:pPr>
            <w:r w:rsidRPr="00EC41B0">
              <w:rPr>
                <w:rFonts w:ascii="Times New Roman" w:hAnsi="Times New Roman"/>
                <w:color w:val="000000"/>
                <w:sz w:val="20"/>
              </w:rPr>
              <w:t>854,02</w:t>
            </w:r>
          </w:p>
        </w:tc>
      </w:tr>
      <w:tr w:rsidR="002E71C6" w:rsidRPr="008D6E94" w:rsidTr="008E02F3">
        <w:trPr>
          <w:gridBefore w:val="1"/>
          <w:wBefore w:w="26" w:type="dxa"/>
          <w:trHeight w:val="351"/>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JST</w:t>
            </w:r>
          </w:p>
        </w:tc>
        <w:tc>
          <w:tcPr>
            <w:tcW w:w="993" w:type="dxa"/>
            <w:gridSpan w:val="4"/>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50"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3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50" w:type="dxa"/>
            <w:gridSpan w:val="3"/>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4"/>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1021"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r>
      <w:tr w:rsidR="002E71C6" w:rsidRPr="008D6E94" w:rsidTr="008E02F3">
        <w:trPr>
          <w:gridBefore w:val="1"/>
          <w:wBefore w:w="26" w:type="dxa"/>
          <w:trHeight w:val="351"/>
        </w:trPr>
        <w:tc>
          <w:tcPr>
            <w:tcW w:w="1392" w:type="dxa"/>
            <w:shd w:val="clear" w:color="auto" w:fill="FFFFFF"/>
            <w:vAlign w:val="center"/>
          </w:tcPr>
          <w:p w:rsidR="002E71C6" w:rsidRPr="004B4C6E" w:rsidRDefault="00A972FB" w:rsidP="00F36E9E">
            <w:pPr>
              <w:spacing w:line="240" w:lineRule="auto"/>
              <w:rPr>
                <w:rFonts w:ascii="Times New Roman" w:eastAsia="MS Mincho" w:hAnsi="Times New Roman"/>
              </w:rPr>
            </w:pPr>
            <w:r>
              <w:rPr>
                <w:rFonts w:ascii="Times New Roman" w:eastAsia="MS Mincho" w:hAnsi="Times New Roman"/>
              </w:rPr>
              <w:t>FUS</w:t>
            </w:r>
          </w:p>
        </w:tc>
        <w:tc>
          <w:tcPr>
            <w:tcW w:w="993" w:type="dxa"/>
            <w:gridSpan w:val="4"/>
            <w:shd w:val="clear" w:color="auto" w:fill="FFFFFF"/>
            <w:vAlign w:val="center"/>
          </w:tcPr>
          <w:p w:rsidR="002E71C6" w:rsidRPr="00816841" w:rsidRDefault="00A972FB" w:rsidP="008320E9">
            <w:pPr>
              <w:spacing w:line="240" w:lineRule="auto"/>
              <w:jc w:val="right"/>
              <w:rPr>
                <w:rFonts w:ascii="Times New Roman" w:eastAsia="MS Mincho" w:hAnsi="Times New Roman"/>
                <w:sz w:val="20"/>
                <w:szCs w:val="20"/>
              </w:rPr>
            </w:pPr>
            <w:r>
              <w:rPr>
                <w:rFonts w:ascii="Times New Roman" w:hAnsi="Times New Roman"/>
                <w:sz w:val="20"/>
                <w:szCs w:val="20"/>
              </w:rPr>
              <w:t>2 127,00</w:t>
            </w:r>
          </w:p>
        </w:tc>
        <w:tc>
          <w:tcPr>
            <w:tcW w:w="850"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3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50" w:type="dxa"/>
            <w:gridSpan w:val="3"/>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4"/>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1021" w:type="dxa"/>
            <w:shd w:val="clear" w:color="auto" w:fill="FFFFFF"/>
            <w:vAlign w:val="center"/>
          </w:tcPr>
          <w:p w:rsidR="002E71C6" w:rsidRPr="00816841" w:rsidRDefault="00A972FB" w:rsidP="008320E9">
            <w:pPr>
              <w:spacing w:line="240" w:lineRule="auto"/>
              <w:jc w:val="right"/>
              <w:rPr>
                <w:rFonts w:ascii="Times New Roman" w:eastAsia="MS Mincho" w:hAnsi="Times New Roman"/>
                <w:sz w:val="20"/>
                <w:szCs w:val="20"/>
              </w:rPr>
            </w:pPr>
            <w:r w:rsidRPr="00A972FB">
              <w:rPr>
                <w:rFonts w:ascii="Times New Roman" w:hAnsi="Times New Roman"/>
                <w:sz w:val="20"/>
                <w:szCs w:val="20"/>
              </w:rPr>
              <w:t>2 127,00</w:t>
            </w:r>
          </w:p>
        </w:tc>
      </w:tr>
      <w:tr w:rsidR="002E71C6" w:rsidRPr="008D6E94" w:rsidTr="008E02F3">
        <w:trPr>
          <w:gridBefore w:val="1"/>
          <w:wBefore w:w="26" w:type="dxa"/>
          <w:trHeight w:val="360"/>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b/>
              </w:rPr>
              <w:t>Saldo ogółem</w:t>
            </w:r>
          </w:p>
        </w:tc>
        <w:tc>
          <w:tcPr>
            <w:tcW w:w="993" w:type="dxa"/>
            <w:gridSpan w:val="4"/>
            <w:shd w:val="clear" w:color="auto" w:fill="FFFFFF"/>
            <w:vAlign w:val="center"/>
          </w:tcPr>
          <w:p w:rsidR="002E71C6" w:rsidRPr="00482AF3" w:rsidRDefault="00A972FB" w:rsidP="008320E9">
            <w:pPr>
              <w:spacing w:line="240" w:lineRule="auto"/>
              <w:jc w:val="right"/>
              <w:rPr>
                <w:rFonts w:ascii="Times New Roman" w:eastAsia="MS Mincho" w:hAnsi="Times New Roman"/>
                <w:b/>
                <w:sz w:val="20"/>
                <w:szCs w:val="20"/>
              </w:rPr>
            </w:pPr>
            <w:r w:rsidRPr="00A972FB">
              <w:rPr>
                <w:rFonts w:ascii="Times New Roman" w:hAnsi="Times New Roman"/>
                <w:b/>
                <w:bCs/>
                <w:color w:val="000000"/>
                <w:sz w:val="20"/>
                <w:szCs w:val="20"/>
              </w:rPr>
              <w:t>-2 675,82</w:t>
            </w:r>
          </w:p>
        </w:tc>
        <w:tc>
          <w:tcPr>
            <w:tcW w:w="850"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-222,20</w:t>
            </w:r>
          </w:p>
        </w:tc>
        <w:tc>
          <w:tcPr>
            <w:tcW w:w="724" w:type="dxa"/>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47,00</w:t>
            </w:r>
          </w:p>
        </w:tc>
        <w:tc>
          <w:tcPr>
            <w:tcW w:w="83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45,00</w:t>
            </w:r>
          </w:p>
        </w:tc>
        <w:tc>
          <w:tcPr>
            <w:tcW w:w="850" w:type="dxa"/>
            <w:gridSpan w:val="3"/>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43,00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41,00</w:t>
            </w:r>
          </w:p>
        </w:tc>
        <w:tc>
          <w:tcPr>
            <w:tcW w:w="724"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38,00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37,00</w:t>
            </w:r>
          </w:p>
        </w:tc>
        <w:tc>
          <w:tcPr>
            <w:tcW w:w="724" w:type="dxa"/>
            <w:gridSpan w:val="4"/>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35,00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33,00</w:t>
            </w:r>
          </w:p>
        </w:tc>
        <w:tc>
          <w:tcPr>
            <w:tcW w:w="725" w:type="dxa"/>
            <w:shd w:val="clear" w:color="auto" w:fill="FFFFFF"/>
            <w:vAlign w:val="center"/>
          </w:tcPr>
          <w:p w:rsidR="002E71C6" w:rsidRPr="00482AF3" w:rsidRDefault="002E71C6" w:rsidP="008320E9">
            <w:pPr>
              <w:spacing w:line="240" w:lineRule="auto"/>
              <w:jc w:val="right"/>
              <w:rPr>
                <w:rFonts w:ascii="Times New Roman" w:eastAsia="MS Mincho" w:hAnsi="Times New Roman"/>
                <w:b/>
                <w:sz w:val="20"/>
                <w:szCs w:val="20"/>
              </w:rPr>
            </w:pPr>
            <w:r w:rsidRPr="00482AF3">
              <w:rPr>
                <w:rFonts w:ascii="Times New Roman" w:hAnsi="Times New Roman"/>
                <w:b/>
                <w:sz w:val="20"/>
                <w:szCs w:val="20"/>
              </w:rPr>
              <w:t>31,00</w:t>
            </w:r>
          </w:p>
        </w:tc>
        <w:tc>
          <w:tcPr>
            <w:tcW w:w="1021" w:type="dxa"/>
            <w:shd w:val="clear" w:color="auto" w:fill="FFFFFF"/>
            <w:vAlign w:val="center"/>
          </w:tcPr>
          <w:p w:rsidR="002E71C6" w:rsidRPr="00482AF3" w:rsidRDefault="00A972FB" w:rsidP="008320E9">
            <w:pPr>
              <w:spacing w:line="240" w:lineRule="auto"/>
              <w:jc w:val="right"/>
              <w:rPr>
                <w:rFonts w:ascii="Times New Roman" w:eastAsia="MS Mincho" w:hAnsi="Times New Roman"/>
                <w:b/>
                <w:sz w:val="20"/>
                <w:szCs w:val="20"/>
              </w:rPr>
            </w:pPr>
            <w:r w:rsidRPr="00A972FB">
              <w:rPr>
                <w:rFonts w:ascii="Times New Roman" w:hAnsi="Times New Roman"/>
                <w:b/>
                <w:bCs/>
                <w:color w:val="000000"/>
                <w:sz w:val="20"/>
                <w:szCs w:val="20"/>
              </w:rPr>
              <w:t>-2 548,02</w:t>
            </w:r>
          </w:p>
        </w:tc>
      </w:tr>
      <w:tr w:rsidR="002E71C6" w:rsidRPr="008D6E94" w:rsidTr="008E02F3">
        <w:trPr>
          <w:gridBefore w:val="1"/>
          <w:wBefore w:w="26" w:type="dxa"/>
          <w:trHeight w:val="360"/>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budżet państwa</w:t>
            </w:r>
          </w:p>
        </w:tc>
        <w:tc>
          <w:tcPr>
            <w:tcW w:w="993" w:type="dxa"/>
            <w:gridSpan w:val="4"/>
            <w:shd w:val="clear" w:color="auto" w:fill="FFFFFF"/>
            <w:vAlign w:val="center"/>
          </w:tcPr>
          <w:p w:rsidR="002E71C6" w:rsidRPr="00331774" w:rsidRDefault="002E71C6" w:rsidP="008320E9">
            <w:pPr>
              <w:spacing w:line="240" w:lineRule="auto"/>
              <w:jc w:val="right"/>
              <w:rPr>
                <w:rFonts w:ascii="Times New Roman" w:eastAsia="MS Mincho" w:hAnsi="Times New Roman"/>
                <w:sz w:val="20"/>
                <w:szCs w:val="20"/>
              </w:rPr>
            </w:pPr>
            <w:r w:rsidRPr="00331774">
              <w:rPr>
                <w:rFonts w:ascii="Times New Roman" w:hAnsi="Times New Roman"/>
                <w:color w:val="000000"/>
                <w:sz w:val="20"/>
                <w:szCs w:val="20"/>
              </w:rPr>
              <w:t>-920,82</w:t>
            </w:r>
          </w:p>
        </w:tc>
        <w:tc>
          <w:tcPr>
            <w:tcW w:w="850"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-271,20</w:t>
            </w:r>
          </w:p>
        </w:tc>
        <w:tc>
          <w:tcPr>
            <w:tcW w:w="724" w:type="dxa"/>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83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850" w:type="dxa"/>
            <w:gridSpan w:val="3"/>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4"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4" w:type="dxa"/>
            <w:gridSpan w:val="4"/>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5" w:type="dxa"/>
            <w:gridSpan w:val="2"/>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725" w:type="dxa"/>
            <w:shd w:val="clear" w:color="auto" w:fill="FFFFFF"/>
            <w:vAlign w:val="center"/>
          </w:tcPr>
          <w:p w:rsidR="002E71C6" w:rsidRPr="00482AF3" w:rsidRDefault="002E71C6" w:rsidP="008320E9">
            <w:pPr>
              <w:spacing w:line="240" w:lineRule="auto"/>
              <w:jc w:val="right"/>
              <w:rPr>
                <w:rFonts w:ascii="Times New Roman" w:eastAsia="MS Mincho" w:hAnsi="Times New Roman"/>
                <w:sz w:val="20"/>
                <w:szCs w:val="20"/>
              </w:rPr>
            </w:pPr>
            <w:r w:rsidRPr="00482AF3">
              <w:rPr>
                <w:rFonts w:ascii="Times New Roman" w:hAnsi="Times New Roman"/>
                <w:sz w:val="20"/>
                <w:szCs w:val="20"/>
              </w:rPr>
              <w:t>0,00</w:t>
            </w:r>
          </w:p>
        </w:tc>
        <w:tc>
          <w:tcPr>
            <w:tcW w:w="1021" w:type="dxa"/>
            <w:shd w:val="clear" w:color="auto" w:fill="FFFFFF"/>
            <w:vAlign w:val="center"/>
          </w:tcPr>
          <w:p w:rsidR="002E71C6" w:rsidRPr="00574E1A" w:rsidRDefault="002E71C6" w:rsidP="008320E9">
            <w:pPr>
              <w:spacing w:line="240" w:lineRule="auto"/>
              <w:jc w:val="right"/>
              <w:rPr>
                <w:rFonts w:ascii="Times New Roman" w:eastAsia="MS Mincho" w:hAnsi="Times New Roman"/>
                <w:sz w:val="20"/>
                <w:szCs w:val="20"/>
              </w:rPr>
            </w:pPr>
            <w:r w:rsidRPr="00331774">
              <w:rPr>
                <w:rFonts w:ascii="Times New Roman" w:hAnsi="Times New Roman"/>
                <w:color w:val="000000"/>
                <w:sz w:val="20"/>
                <w:szCs w:val="20"/>
              </w:rPr>
              <w:t>-1 192,02</w:t>
            </w:r>
          </w:p>
        </w:tc>
      </w:tr>
      <w:tr w:rsidR="002E71C6" w:rsidRPr="008D6E94" w:rsidTr="008E02F3">
        <w:trPr>
          <w:gridBefore w:val="1"/>
          <w:wBefore w:w="26" w:type="dxa"/>
          <w:trHeight w:val="357"/>
        </w:trPr>
        <w:tc>
          <w:tcPr>
            <w:tcW w:w="1392" w:type="dxa"/>
            <w:shd w:val="clear" w:color="auto" w:fill="FFFFFF"/>
            <w:vAlign w:val="center"/>
          </w:tcPr>
          <w:p w:rsidR="002E71C6" w:rsidRPr="004B4C6E" w:rsidRDefault="002E71C6" w:rsidP="00E407C8">
            <w:pPr>
              <w:spacing w:line="240" w:lineRule="auto"/>
              <w:rPr>
                <w:rFonts w:ascii="Times New Roman" w:eastAsia="MS Mincho" w:hAnsi="Times New Roman"/>
              </w:rPr>
            </w:pPr>
            <w:r w:rsidRPr="004B4C6E">
              <w:rPr>
                <w:rFonts w:ascii="Times New Roman" w:eastAsia="MS Mincho" w:hAnsi="Times New Roman"/>
              </w:rPr>
              <w:t>JST</w:t>
            </w:r>
          </w:p>
        </w:tc>
        <w:tc>
          <w:tcPr>
            <w:tcW w:w="993" w:type="dxa"/>
            <w:gridSpan w:val="4"/>
            <w:shd w:val="clear" w:color="auto" w:fill="FFFFFF"/>
            <w:vAlign w:val="center"/>
          </w:tcPr>
          <w:p w:rsidR="002E71C6" w:rsidRPr="00331774" w:rsidRDefault="002E71C6" w:rsidP="008320E9">
            <w:pPr>
              <w:spacing w:line="240" w:lineRule="auto"/>
              <w:jc w:val="right"/>
              <w:rPr>
                <w:rFonts w:ascii="Times New Roman" w:eastAsia="MS Mincho" w:hAnsi="Times New Roman"/>
                <w:sz w:val="20"/>
                <w:szCs w:val="20"/>
              </w:rPr>
            </w:pPr>
            <w:r w:rsidRPr="00331774">
              <w:rPr>
                <w:rFonts w:ascii="Times New Roman" w:hAnsi="Times New Roman"/>
                <w:color w:val="000000"/>
                <w:sz w:val="20"/>
                <w:szCs w:val="20"/>
              </w:rPr>
              <w:t>372,00</w:t>
            </w:r>
          </w:p>
        </w:tc>
        <w:tc>
          <w:tcPr>
            <w:tcW w:w="850"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49,00</w:t>
            </w:r>
          </w:p>
        </w:tc>
        <w:tc>
          <w:tcPr>
            <w:tcW w:w="724"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47,00</w:t>
            </w:r>
          </w:p>
        </w:tc>
        <w:tc>
          <w:tcPr>
            <w:tcW w:w="83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45,00</w:t>
            </w:r>
          </w:p>
        </w:tc>
        <w:tc>
          <w:tcPr>
            <w:tcW w:w="850" w:type="dxa"/>
            <w:gridSpan w:val="3"/>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43,00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41,00</w:t>
            </w:r>
          </w:p>
        </w:tc>
        <w:tc>
          <w:tcPr>
            <w:tcW w:w="724"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38,00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37,00</w:t>
            </w:r>
          </w:p>
        </w:tc>
        <w:tc>
          <w:tcPr>
            <w:tcW w:w="724" w:type="dxa"/>
            <w:gridSpan w:val="4"/>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35,00</w:t>
            </w:r>
          </w:p>
        </w:tc>
        <w:tc>
          <w:tcPr>
            <w:tcW w:w="725" w:type="dxa"/>
            <w:gridSpan w:val="2"/>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33,00</w:t>
            </w:r>
          </w:p>
        </w:tc>
        <w:tc>
          <w:tcPr>
            <w:tcW w:w="725" w:type="dxa"/>
            <w:shd w:val="clear" w:color="auto" w:fill="FFFFFF"/>
            <w:vAlign w:val="center"/>
          </w:tcPr>
          <w:p w:rsidR="002E71C6" w:rsidRPr="00816841" w:rsidRDefault="002E71C6"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31,00</w:t>
            </w:r>
          </w:p>
        </w:tc>
        <w:tc>
          <w:tcPr>
            <w:tcW w:w="1021" w:type="dxa"/>
            <w:shd w:val="clear" w:color="auto" w:fill="FFFFFF"/>
            <w:vAlign w:val="center"/>
          </w:tcPr>
          <w:p w:rsidR="002E71C6" w:rsidRPr="00574E1A" w:rsidRDefault="002E71C6" w:rsidP="008320E9">
            <w:pPr>
              <w:spacing w:line="240" w:lineRule="auto"/>
              <w:jc w:val="right"/>
              <w:rPr>
                <w:rFonts w:ascii="Times New Roman" w:eastAsia="MS Mincho" w:hAnsi="Times New Roman"/>
                <w:sz w:val="20"/>
                <w:szCs w:val="20"/>
              </w:rPr>
            </w:pPr>
            <w:r w:rsidRPr="00331774">
              <w:rPr>
                <w:rFonts w:ascii="Times New Roman" w:hAnsi="Times New Roman"/>
                <w:color w:val="000000"/>
                <w:sz w:val="20"/>
                <w:szCs w:val="20"/>
              </w:rPr>
              <w:t>771,00</w:t>
            </w:r>
          </w:p>
        </w:tc>
      </w:tr>
      <w:tr w:rsidR="00A972FB" w:rsidRPr="008D6E94" w:rsidTr="008E02F3">
        <w:trPr>
          <w:gridBefore w:val="1"/>
          <w:wBefore w:w="26" w:type="dxa"/>
          <w:trHeight w:val="357"/>
        </w:trPr>
        <w:tc>
          <w:tcPr>
            <w:tcW w:w="1392" w:type="dxa"/>
            <w:shd w:val="clear" w:color="auto" w:fill="FFFFFF"/>
            <w:vAlign w:val="center"/>
          </w:tcPr>
          <w:p w:rsidR="00A972FB" w:rsidRPr="004B4C6E" w:rsidRDefault="00A972FB" w:rsidP="00F36E9E">
            <w:pPr>
              <w:spacing w:line="240" w:lineRule="auto"/>
              <w:rPr>
                <w:rFonts w:ascii="Times New Roman" w:eastAsia="MS Mincho" w:hAnsi="Times New Roman"/>
              </w:rPr>
            </w:pPr>
            <w:r>
              <w:rPr>
                <w:rFonts w:ascii="Times New Roman" w:eastAsia="MS Mincho" w:hAnsi="Times New Roman"/>
              </w:rPr>
              <w:t>FUS</w:t>
            </w:r>
          </w:p>
        </w:tc>
        <w:tc>
          <w:tcPr>
            <w:tcW w:w="993" w:type="dxa"/>
            <w:gridSpan w:val="4"/>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Pr>
                <w:rFonts w:ascii="Times New Roman" w:hAnsi="Times New Roman"/>
                <w:sz w:val="20"/>
                <w:szCs w:val="20"/>
              </w:rPr>
              <w:t>-</w:t>
            </w:r>
            <w:r>
              <w:rPr>
                <w:rFonts w:ascii="Times New Roman" w:hAnsi="Times New Roman"/>
                <w:sz w:val="20"/>
                <w:szCs w:val="20"/>
              </w:rPr>
              <w:t>2 127,00</w:t>
            </w:r>
          </w:p>
        </w:tc>
        <w:tc>
          <w:tcPr>
            <w:tcW w:w="850"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35"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850" w:type="dxa"/>
            <w:gridSpan w:val="3"/>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4" w:type="dxa"/>
            <w:gridSpan w:val="4"/>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gridSpan w:val="2"/>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725" w:type="dxa"/>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sidRPr="008320E9">
              <w:rPr>
                <w:rFonts w:ascii="Times New Roman" w:hAnsi="Times New Roman"/>
                <w:sz w:val="20"/>
                <w:szCs w:val="20"/>
              </w:rPr>
              <w:t>0,00</w:t>
            </w:r>
          </w:p>
        </w:tc>
        <w:tc>
          <w:tcPr>
            <w:tcW w:w="1021" w:type="dxa"/>
            <w:shd w:val="clear" w:color="auto" w:fill="FFFFFF"/>
            <w:vAlign w:val="center"/>
          </w:tcPr>
          <w:p w:rsidR="00A972FB" w:rsidRPr="00816841" w:rsidRDefault="00A972FB" w:rsidP="008320E9">
            <w:pPr>
              <w:spacing w:line="240" w:lineRule="auto"/>
              <w:jc w:val="right"/>
              <w:rPr>
                <w:rFonts w:ascii="Times New Roman" w:eastAsia="MS Mincho" w:hAnsi="Times New Roman"/>
                <w:sz w:val="20"/>
                <w:szCs w:val="20"/>
              </w:rPr>
            </w:pPr>
            <w:r>
              <w:rPr>
                <w:rFonts w:ascii="Times New Roman" w:hAnsi="Times New Roman"/>
                <w:sz w:val="20"/>
                <w:szCs w:val="20"/>
              </w:rPr>
              <w:t>-2 127,00</w:t>
            </w:r>
          </w:p>
        </w:tc>
      </w:tr>
      <w:tr w:rsidR="002E71C6" w:rsidRPr="008D6E94" w:rsidTr="002A37BC">
        <w:trPr>
          <w:gridBefore w:val="1"/>
          <w:wBefore w:w="26" w:type="dxa"/>
          <w:trHeight w:val="1124"/>
        </w:trPr>
        <w:tc>
          <w:tcPr>
            <w:tcW w:w="1851" w:type="dxa"/>
            <w:gridSpan w:val="4"/>
            <w:shd w:val="clear" w:color="auto" w:fill="FFFFFF"/>
            <w:vAlign w:val="center"/>
          </w:tcPr>
          <w:p w:rsidR="002E71C6" w:rsidRPr="004B4C6E" w:rsidRDefault="002E71C6" w:rsidP="00983F37">
            <w:pPr>
              <w:spacing w:line="240" w:lineRule="auto"/>
              <w:rPr>
                <w:rFonts w:ascii="Times New Roman" w:eastAsia="MS Mincho" w:hAnsi="Times New Roman"/>
              </w:rPr>
            </w:pPr>
            <w:r w:rsidRPr="004B4C6E">
              <w:rPr>
                <w:rFonts w:ascii="Times New Roman" w:eastAsia="MS Mincho" w:hAnsi="Times New Roman"/>
              </w:rPr>
              <w:t xml:space="preserve">Źródła finansowania </w:t>
            </w:r>
          </w:p>
        </w:tc>
        <w:tc>
          <w:tcPr>
            <w:tcW w:w="9162" w:type="dxa"/>
            <w:gridSpan w:val="23"/>
            <w:shd w:val="clear" w:color="auto" w:fill="FFFFFF"/>
            <w:vAlign w:val="center"/>
          </w:tcPr>
          <w:p w:rsidR="002E71C6" w:rsidRPr="00E86859" w:rsidRDefault="002E71C6" w:rsidP="00370D7D">
            <w:pPr>
              <w:pStyle w:val="Akapitzlist"/>
              <w:spacing w:after="120" w:line="240" w:lineRule="auto"/>
              <w:ind w:left="284" w:hanging="284"/>
              <w:jc w:val="both"/>
              <w:rPr>
                <w:rFonts w:ascii="Times New Roman" w:eastAsia="MS Mincho" w:hAnsi="Times New Roman"/>
                <w:u w:val="single"/>
              </w:rPr>
            </w:pPr>
            <w:r w:rsidRPr="00E86859">
              <w:rPr>
                <w:rFonts w:ascii="Times New Roman" w:hAnsi="Times New Roman"/>
                <w:u w:val="single"/>
              </w:rPr>
              <w:t>Dopłaty do oprocentowania kredytów bankowych</w:t>
            </w:r>
          </w:p>
          <w:p w:rsidR="002E71C6" w:rsidRDefault="002E71C6" w:rsidP="00E86859">
            <w:pPr>
              <w:spacing w:after="120" w:line="240" w:lineRule="auto"/>
              <w:jc w:val="both"/>
              <w:rPr>
                <w:rFonts w:ascii="Times New Roman" w:hAnsi="Times New Roman"/>
              </w:rPr>
            </w:pPr>
            <w:r w:rsidRPr="00E86859">
              <w:rPr>
                <w:rFonts w:ascii="Times New Roman" w:eastAsia="MS Mincho" w:hAnsi="Times New Roman"/>
              </w:rPr>
              <w:t xml:space="preserve">Co do zasady – na obecnym etapie – należy przyjąć, iż wydatki związane z dopłatami do oprocentowania do kredytów bankowych udzielanych na zapewnienie płynności przedsiębiorcom dotkniętych skutkami pandemii COVID-19 będą finansowane </w:t>
            </w:r>
            <w:r w:rsidRPr="00E86859">
              <w:rPr>
                <w:rFonts w:ascii="Times New Roman" w:hAnsi="Times New Roman"/>
              </w:rPr>
              <w:t>z</w:t>
            </w:r>
            <w:r>
              <w:rPr>
                <w:rFonts w:ascii="Times New Roman" w:hAnsi="Times New Roman"/>
              </w:rPr>
              <w:t xml:space="preserve"> budżetu państwa z części 20 – G</w:t>
            </w:r>
            <w:r w:rsidRPr="00E86859">
              <w:rPr>
                <w:rFonts w:ascii="Times New Roman" w:hAnsi="Times New Roman"/>
              </w:rPr>
              <w:t>ospodarka, na podstawie obowiązujących przepisów umożliwiających dokonywanie przesunięć wydatków, w tym w ramach wykonywania budżetu państwa.</w:t>
            </w:r>
            <w:r>
              <w:rPr>
                <w:rFonts w:ascii="Times New Roman" w:hAnsi="Times New Roman"/>
              </w:rPr>
              <w:t xml:space="preserve"> </w:t>
            </w:r>
            <w:r w:rsidRPr="00E86859">
              <w:rPr>
                <w:rFonts w:ascii="Times New Roman" w:hAnsi="Times New Roman"/>
              </w:rPr>
              <w:t xml:space="preserve">W BGK </w:t>
            </w:r>
            <w:r>
              <w:rPr>
                <w:rFonts w:ascii="Times New Roman" w:hAnsi="Times New Roman"/>
              </w:rPr>
              <w:t>zostanie utworzony</w:t>
            </w:r>
            <w:r w:rsidRPr="00E86859">
              <w:rPr>
                <w:rFonts w:ascii="Times New Roman" w:hAnsi="Times New Roman"/>
              </w:rPr>
              <w:t xml:space="preserve"> Fundusz Dopłat do Oprocentowania.</w:t>
            </w:r>
            <w:r>
              <w:rPr>
                <w:rFonts w:ascii="Times New Roman" w:hAnsi="Times New Roman"/>
              </w:rPr>
              <w:t xml:space="preserve"> Środki Funduszu będą mogły pochodzić również z wpłat z Funduszu Przeciwdziałania COVID-19, </w:t>
            </w:r>
            <w:r w:rsidRPr="000F5E12">
              <w:rPr>
                <w:rFonts w:ascii="Times New Roman" w:eastAsiaTheme="minorHAnsi" w:hAnsi="Times New Roman"/>
                <w:color w:val="000000"/>
              </w:rPr>
              <w:t>o którym mowa w art. 65 ust.1 ustawy z dnia 31 marca 2020 roku o zmianie ustawy o szczególnych rozwiązaniach związanych zapobieganiem, przeciwdziałaniem i zwalczaniem COVID-19, innych chorób zakaźnych oraz wywołanych nimi sytuacji kryzysowych oraz niektórych innych ustaw,</w:t>
            </w:r>
            <w:r>
              <w:rPr>
                <w:rFonts w:eastAsiaTheme="minorHAnsi" w:cs="Calibri"/>
                <w:color w:val="000000"/>
              </w:rPr>
              <w:t xml:space="preserve"> </w:t>
            </w:r>
            <w:r>
              <w:rPr>
                <w:rFonts w:ascii="Times New Roman" w:hAnsi="Times New Roman"/>
              </w:rPr>
              <w:t>dokonywanych za pośrednictwem ministra właściwego do spraw gospodarki.</w:t>
            </w:r>
          </w:p>
          <w:p w:rsidR="002E71C6" w:rsidRPr="00B123D2" w:rsidRDefault="002E71C6" w:rsidP="002A1EBA">
            <w:pPr>
              <w:snapToGrid w:val="0"/>
              <w:spacing w:line="240" w:lineRule="auto"/>
              <w:jc w:val="both"/>
              <w:rPr>
                <w:rFonts w:ascii="Times New Roman" w:hAnsi="Times New Roman"/>
                <w:color w:val="000000"/>
                <w:u w:val="single"/>
              </w:rPr>
            </w:pPr>
            <w:r w:rsidRPr="00B123D2">
              <w:rPr>
                <w:rFonts w:ascii="Times New Roman" w:hAnsi="Times New Roman"/>
                <w:color w:val="000000"/>
                <w:u w:val="single"/>
              </w:rPr>
              <w:t>Zmiany dotyczące wsparcia w zakresie świadczenia postojowego</w:t>
            </w:r>
          </w:p>
          <w:p w:rsidR="002E71C6" w:rsidRPr="00BA0212" w:rsidRDefault="002E71C6" w:rsidP="00BA0212">
            <w:pPr>
              <w:spacing w:after="120" w:line="240" w:lineRule="auto"/>
              <w:jc w:val="both"/>
              <w:rPr>
                <w:rFonts w:ascii="Times New Roman" w:eastAsia="MS Mincho" w:hAnsi="Times New Roman"/>
              </w:rPr>
            </w:pPr>
            <w:r>
              <w:rPr>
                <w:rFonts w:ascii="Times New Roman" w:hAnsi="Times New Roman"/>
              </w:rPr>
              <w:t xml:space="preserve">W tabeli uwzględniono </w:t>
            </w:r>
            <w:r w:rsidRPr="00EF3E33">
              <w:rPr>
                <w:rFonts w:ascii="Times New Roman" w:hAnsi="Times New Roman"/>
              </w:rPr>
              <w:t xml:space="preserve">maksymalny koszt rozwiązania </w:t>
            </w:r>
            <w:r>
              <w:rPr>
                <w:rFonts w:ascii="Times New Roman" w:hAnsi="Times New Roman"/>
              </w:rPr>
              <w:t>w wys.</w:t>
            </w:r>
            <w:r w:rsidRPr="00EF3E33">
              <w:rPr>
                <w:rFonts w:ascii="Times New Roman" w:hAnsi="Times New Roman"/>
              </w:rPr>
              <w:t xml:space="preserve"> 286</w:t>
            </w:r>
            <w:r>
              <w:rPr>
                <w:rFonts w:ascii="Times New Roman" w:hAnsi="Times New Roman"/>
              </w:rPr>
              <w:t>,42 mln</w:t>
            </w:r>
            <w:r w:rsidRPr="00EF3E33">
              <w:rPr>
                <w:rFonts w:ascii="Times New Roman" w:hAnsi="Times New Roman"/>
              </w:rPr>
              <w:t xml:space="preserve"> zł</w:t>
            </w:r>
            <w:r>
              <w:rPr>
                <w:rFonts w:ascii="Times New Roman" w:hAnsi="Times New Roman"/>
              </w:rPr>
              <w:t xml:space="preserve"> (informacje szczegółowe zostały przedstawione poniżej)</w:t>
            </w:r>
            <w:r w:rsidRPr="00EF3E33">
              <w:rPr>
                <w:rFonts w:ascii="Times New Roman" w:hAnsi="Times New Roman"/>
              </w:rPr>
              <w:t>. Świadczenie postojowe jest finansowane z Funduszu Pracy.</w:t>
            </w:r>
          </w:p>
          <w:p w:rsidR="002E71C6" w:rsidRPr="00B11DEC" w:rsidRDefault="002E71C6" w:rsidP="00370D7D">
            <w:pPr>
              <w:pStyle w:val="Akapitzlist"/>
              <w:spacing w:after="120" w:line="240" w:lineRule="auto"/>
              <w:ind w:left="284" w:hanging="284"/>
              <w:jc w:val="both"/>
              <w:rPr>
                <w:rFonts w:ascii="Times New Roman" w:hAnsi="Times New Roman"/>
                <w:u w:val="single"/>
              </w:rPr>
            </w:pPr>
            <w:r w:rsidRPr="00B11DEC">
              <w:rPr>
                <w:rFonts w:ascii="Times New Roman" w:hAnsi="Times New Roman"/>
                <w:u w:val="single"/>
              </w:rPr>
              <w:t>Pakiet osłonowy dla samorządów (Tarcza samorządowa)</w:t>
            </w:r>
          </w:p>
          <w:p w:rsidR="002E71C6" w:rsidRPr="008E02F3" w:rsidRDefault="002E71C6" w:rsidP="008E02F3">
            <w:pPr>
              <w:spacing w:after="120" w:line="240" w:lineRule="auto"/>
              <w:jc w:val="both"/>
              <w:rPr>
                <w:rFonts w:ascii="Times New Roman" w:hAnsi="Times New Roman"/>
              </w:rPr>
            </w:pPr>
            <w:r w:rsidRPr="008E02F3">
              <w:rPr>
                <w:rFonts w:ascii="Times New Roman" w:hAnsi="Times New Roman"/>
              </w:rPr>
              <w:t>Opłaty skarbowe za wydanie decyzji o warunkach zabudowy i zagospodarowania terenu.</w:t>
            </w:r>
          </w:p>
          <w:p w:rsidR="002E71C6" w:rsidRPr="008E02F3" w:rsidRDefault="002E71C6" w:rsidP="008E02F3">
            <w:pPr>
              <w:spacing w:after="120" w:line="240" w:lineRule="auto"/>
              <w:jc w:val="both"/>
              <w:rPr>
                <w:rFonts w:ascii="Times New Roman" w:hAnsi="Times New Roman"/>
              </w:rPr>
            </w:pPr>
            <w:r w:rsidRPr="008E02F3">
              <w:rPr>
                <w:rFonts w:ascii="Times New Roman" w:hAnsi="Times New Roman"/>
              </w:rPr>
              <w:t>Realizacja zadań wynikających z ustawy będzie mogła być wspierana dodatkowymi środkami z Funduszu Przeciwdziałania COVID-19.</w:t>
            </w:r>
          </w:p>
          <w:p w:rsidR="00196EC2" w:rsidRDefault="000B1AE6" w:rsidP="00F84C68">
            <w:pPr>
              <w:spacing w:line="240" w:lineRule="auto"/>
              <w:jc w:val="both"/>
              <w:rPr>
                <w:rFonts w:ascii="Times New Roman" w:hAnsi="Times New Roman"/>
                <w:u w:val="single"/>
              </w:rPr>
            </w:pPr>
            <w:r w:rsidRPr="000B1AE6">
              <w:rPr>
                <w:rFonts w:ascii="Times New Roman" w:hAnsi="Times New Roman"/>
                <w:u w:val="single"/>
              </w:rPr>
              <w:t>Zmiany w zakresie dodatkowego zasiłku opiekuńczego</w:t>
            </w:r>
          </w:p>
          <w:p w:rsidR="000B1AE6" w:rsidRPr="000B1AE6" w:rsidRDefault="00F84C68" w:rsidP="00F84C68">
            <w:pPr>
              <w:spacing w:after="120" w:line="240" w:lineRule="auto"/>
              <w:jc w:val="both"/>
              <w:rPr>
                <w:rFonts w:ascii="Times New Roman" w:hAnsi="Times New Roman"/>
                <w:color w:val="000000"/>
                <w:u w:val="single"/>
              </w:rPr>
            </w:pPr>
            <w:r>
              <w:rPr>
                <w:rFonts w:ascii="Times New Roman" w:eastAsia="Times New Roman" w:hAnsi="Times New Roman"/>
              </w:rPr>
              <w:t>Konieczność</w:t>
            </w:r>
            <w:r w:rsidRPr="007D53A9">
              <w:rPr>
                <w:rFonts w:ascii="Times New Roman" w:eastAsia="Times New Roman" w:hAnsi="Times New Roman"/>
              </w:rPr>
              <w:t xml:space="preserve"> poniesienia dodatkowych kosztów związanych</w:t>
            </w:r>
            <w:r>
              <w:rPr>
                <w:rFonts w:ascii="Times New Roman" w:eastAsia="Times New Roman" w:hAnsi="Times New Roman"/>
              </w:rPr>
              <w:t xml:space="preserve"> </w:t>
            </w:r>
            <w:r w:rsidRPr="007D53A9">
              <w:rPr>
                <w:rFonts w:ascii="Times New Roman" w:eastAsia="Times New Roman" w:hAnsi="Times New Roman"/>
              </w:rPr>
              <w:t>z wypłatą świadczeń – zasiłku opiekuńczego – finansowanego ze środków Funduszu Ubezpieczeń Społecznych.</w:t>
            </w:r>
          </w:p>
        </w:tc>
      </w:tr>
      <w:tr w:rsidR="002E71C6" w:rsidRPr="008D6E94" w:rsidTr="002A37BC">
        <w:trPr>
          <w:gridBefore w:val="1"/>
          <w:wBefore w:w="26" w:type="dxa"/>
          <w:trHeight w:val="408"/>
        </w:trPr>
        <w:tc>
          <w:tcPr>
            <w:tcW w:w="1851" w:type="dxa"/>
            <w:gridSpan w:val="4"/>
            <w:shd w:val="clear" w:color="auto" w:fill="FFFFFF"/>
          </w:tcPr>
          <w:p w:rsidR="002E71C6" w:rsidRPr="004B4C6E" w:rsidRDefault="002E71C6" w:rsidP="00983F37">
            <w:pPr>
              <w:spacing w:line="240" w:lineRule="auto"/>
              <w:rPr>
                <w:rFonts w:ascii="Times New Roman" w:eastAsia="MS Mincho" w:hAnsi="Times New Roman"/>
              </w:rPr>
            </w:pPr>
            <w:r w:rsidRPr="004B4C6E">
              <w:rPr>
                <w:rFonts w:ascii="Times New Roman" w:eastAsia="MS Mincho" w:hAnsi="Times New Roman"/>
              </w:rPr>
              <w:t>Dodatkowe informacje, w tym wskazanie źródeł danych i przyjętych do obliczeń założeń</w:t>
            </w:r>
          </w:p>
        </w:tc>
        <w:tc>
          <w:tcPr>
            <w:tcW w:w="9162" w:type="dxa"/>
            <w:gridSpan w:val="23"/>
            <w:shd w:val="clear" w:color="auto" w:fill="FFFFFF"/>
          </w:tcPr>
          <w:p w:rsidR="002E71C6" w:rsidRPr="00E86859" w:rsidRDefault="002E71C6" w:rsidP="00370D7D">
            <w:pPr>
              <w:pStyle w:val="Akapitzlist"/>
              <w:spacing w:after="120" w:line="240" w:lineRule="auto"/>
              <w:ind w:left="284" w:hanging="284"/>
              <w:jc w:val="both"/>
              <w:rPr>
                <w:rFonts w:ascii="Times New Roman" w:hAnsi="Times New Roman"/>
                <w:u w:val="single"/>
              </w:rPr>
            </w:pPr>
            <w:r w:rsidRPr="00E86859">
              <w:rPr>
                <w:rFonts w:ascii="Times New Roman" w:hAnsi="Times New Roman"/>
                <w:u w:val="single"/>
              </w:rPr>
              <w:t>Dopłaty do oprocentowania kredytów bankowych</w:t>
            </w:r>
          </w:p>
          <w:p w:rsidR="002E71C6" w:rsidRPr="00E86859" w:rsidRDefault="002E71C6" w:rsidP="00E54FEF">
            <w:pPr>
              <w:spacing w:line="240" w:lineRule="auto"/>
              <w:jc w:val="both"/>
              <w:rPr>
                <w:rFonts w:ascii="Times New Roman" w:eastAsia="MS Mincho" w:hAnsi="Times New Roman"/>
              </w:rPr>
            </w:pPr>
            <w:r w:rsidRPr="00E86859">
              <w:rPr>
                <w:rFonts w:ascii="Times New Roman" w:eastAsia="MS Mincho" w:hAnsi="Times New Roman"/>
              </w:rPr>
              <w:t xml:space="preserve">Koszty wprowadzanych regulacji nie są możliwe do precyzyjnego oszacowania z uwagi na to, że w chwili obecnej nie da się oszacować ewentualnej liczby przedsiębiorców dotkniętych utratą płynności finansowej z powodu pandemii COVID-19. Przyjęty szacunek </w:t>
            </w:r>
            <w:r>
              <w:rPr>
                <w:rFonts w:ascii="Times New Roman" w:eastAsia="MS Mincho" w:hAnsi="Times New Roman"/>
              </w:rPr>
              <w:t xml:space="preserve">sumarycznej wielkości dopłat </w:t>
            </w:r>
            <w:r w:rsidRPr="00E86859">
              <w:rPr>
                <w:rFonts w:ascii="Times New Roman" w:eastAsia="MS Mincho" w:hAnsi="Times New Roman"/>
              </w:rPr>
              <w:t>oparty jest na założeniu, że wartość udzielonych kredytów z dopłatami nie przekroczy 30 miliardów złotych</w:t>
            </w:r>
            <w:r>
              <w:rPr>
                <w:rFonts w:ascii="Times New Roman" w:eastAsia="MS Mincho" w:hAnsi="Times New Roman"/>
              </w:rPr>
              <w:t xml:space="preserve"> dla przedsiębiorców </w:t>
            </w:r>
            <w:r>
              <w:rPr>
                <w:rFonts w:ascii="Times New Roman" w:hAnsi="Times New Roman"/>
              </w:rPr>
              <w:t>w rozumieniu przepisów ustawy z dnia 6 marca 2018 r. Prawo przedsiębiorców</w:t>
            </w:r>
            <w:r>
              <w:rPr>
                <w:rFonts w:ascii="Times New Roman" w:eastAsia="MS Mincho" w:hAnsi="Times New Roman"/>
              </w:rPr>
              <w:t xml:space="preserve"> oraz 2 miliardów złotych dla </w:t>
            </w:r>
            <w:r>
              <w:rPr>
                <w:rFonts w:ascii="Times New Roman" w:hAnsi="Times New Roman"/>
              </w:rPr>
              <w:t>podmiotów</w:t>
            </w:r>
            <w:r w:rsidRPr="00ED24A5">
              <w:rPr>
                <w:rFonts w:ascii="Times New Roman" w:hAnsi="Times New Roman"/>
              </w:rPr>
              <w:t xml:space="preserve"> </w:t>
            </w:r>
            <w:r>
              <w:rPr>
                <w:rFonts w:ascii="Times New Roman" w:hAnsi="Times New Roman"/>
                <w:bCs/>
              </w:rPr>
              <w:t>prowadzących</w:t>
            </w:r>
            <w:r w:rsidRPr="006E030C">
              <w:rPr>
                <w:rFonts w:ascii="Times New Roman" w:hAnsi="Times New Roman"/>
                <w:bCs/>
              </w:rPr>
              <w:t xml:space="preserve"> działalność w sektorze produkcji podstawowej produktów rolnych</w:t>
            </w:r>
            <w:r>
              <w:rPr>
                <w:rFonts w:ascii="Times New Roman" w:eastAsia="MS Mincho" w:hAnsi="Times New Roman"/>
              </w:rPr>
              <w:t>,</w:t>
            </w:r>
            <w:r w:rsidRPr="00E86859">
              <w:rPr>
                <w:rFonts w:ascii="Times New Roman" w:eastAsia="MS Mincho" w:hAnsi="Times New Roman"/>
              </w:rPr>
              <w:t xml:space="preserve"> z dopłatami wypłacanymi w okresie 12 miesięcy.</w:t>
            </w:r>
          </w:p>
          <w:p w:rsidR="002E71C6" w:rsidRPr="00E86859" w:rsidRDefault="002E71C6" w:rsidP="00057F43">
            <w:pPr>
              <w:suppressAutoHyphens/>
              <w:autoSpaceDE w:val="0"/>
              <w:autoSpaceDN w:val="0"/>
              <w:adjustRightInd w:val="0"/>
              <w:spacing w:after="120" w:line="240" w:lineRule="auto"/>
              <w:jc w:val="both"/>
              <w:rPr>
                <w:rFonts w:ascii="Times New Roman" w:hAnsi="Times New Roman"/>
                <w:lang w:eastAsia="pl-PL"/>
              </w:rPr>
            </w:pPr>
            <w:r w:rsidRPr="00E86859">
              <w:rPr>
                <w:rFonts w:ascii="Times New Roman" w:hAnsi="Times New Roman"/>
                <w:lang w:eastAsia="pl-PL"/>
              </w:rPr>
              <w:t xml:space="preserve">W ww. tabeli dla roku „0” przyjęto wartości dot. 2020 r., natomiast dla roku „1” wartości dot. 2021 r. </w:t>
            </w:r>
            <w:r>
              <w:rPr>
                <w:rFonts w:ascii="Times New Roman" w:hAnsi="Times New Roman"/>
                <w:lang w:eastAsia="pl-PL"/>
              </w:rPr>
              <w:t xml:space="preserve">(odpowiednio wartości 295 mln zł i 270 mln zł). </w:t>
            </w:r>
            <w:r w:rsidRPr="00E86859">
              <w:rPr>
                <w:rFonts w:ascii="Times New Roman" w:hAnsi="Times New Roman"/>
                <w:lang w:eastAsia="pl-PL"/>
              </w:rPr>
              <w:t>Pozostała kwota związana jest z kosztami BGK (odpowiednio wartości 1,4 mln zł dla 2020 r., natomiast 1,2 mln zł dla 2021 r.). W przypadku niewykorzystania limitu wydatków w roku 2020 limit wydatków roku 2021 może zostać podwyższony o tę kwoty, podobnie jak niewykorzystanie limitu wydatków z roku 2021, może podwyższyć limit wydatków na rok 2022.</w:t>
            </w:r>
          </w:p>
          <w:p w:rsidR="002E71C6" w:rsidRPr="00E86859" w:rsidRDefault="002E71C6" w:rsidP="00370D7D">
            <w:pPr>
              <w:pStyle w:val="Akapitzlist"/>
              <w:spacing w:after="120" w:line="240" w:lineRule="auto"/>
              <w:ind w:left="284" w:hanging="284"/>
              <w:jc w:val="both"/>
              <w:rPr>
                <w:rFonts w:ascii="Times New Roman" w:hAnsi="Times New Roman"/>
                <w:u w:val="single"/>
              </w:rPr>
            </w:pPr>
            <w:r w:rsidRPr="00E86859">
              <w:rPr>
                <w:rFonts w:ascii="Times New Roman" w:hAnsi="Times New Roman"/>
                <w:u w:val="single"/>
              </w:rPr>
              <w:t xml:space="preserve">Ułatwienia w </w:t>
            </w:r>
            <w:r>
              <w:rPr>
                <w:rFonts w:ascii="Times New Roman" w:hAnsi="Times New Roman"/>
                <w:u w:val="single"/>
              </w:rPr>
              <w:t>realizacji</w:t>
            </w:r>
            <w:r w:rsidRPr="00E86859">
              <w:rPr>
                <w:rFonts w:ascii="Times New Roman" w:hAnsi="Times New Roman"/>
                <w:u w:val="single"/>
              </w:rPr>
              <w:t xml:space="preserve"> zamówień publicznych</w:t>
            </w:r>
          </w:p>
          <w:p w:rsidR="002E71C6" w:rsidRDefault="002E71C6" w:rsidP="00810EF2">
            <w:pPr>
              <w:spacing w:after="120" w:line="240" w:lineRule="auto"/>
              <w:jc w:val="both"/>
              <w:rPr>
                <w:rFonts w:ascii="Times New Roman" w:hAnsi="Times New Roman"/>
              </w:rPr>
            </w:pPr>
            <w:r w:rsidRPr="00E86859">
              <w:rPr>
                <w:rFonts w:ascii="Times New Roman" w:hAnsi="Times New Roman"/>
              </w:rPr>
              <w:t>Projekt może mieć wpływ na system zapłaty wynagrodzenia i udzielania zaliczek przez zamawiających, kwoty zabezpieczenia umowy, kar umownych i przedawnienia. Aspekty te mogą mieć wpływ na budżety zamawiających, jednakże wpływ w ujęciu pieniężnym</w:t>
            </w:r>
            <w:r>
              <w:rPr>
                <w:rFonts w:ascii="Times New Roman" w:hAnsi="Times New Roman"/>
              </w:rPr>
              <w:t xml:space="preserve"> nie jest możliwy do wskazania.</w:t>
            </w:r>
          </w:p>
          <w:p w:rsidR="002E71C6" w:rsidRPr="00904A00" w:rsidRDefault="002E71C6" w:rsidP="00370D7D">
            <w:pPr>
              <w:pStyle w:val="Akapitzlist"/>
              <w:spacing w:after="120" w:line="240" w:lineRule="auto"/>
              <w:ind w:left="284" w:hanging="284"/>
              <w:jc w:val="both"/>
              <w:rPr>
                <w:rFonts w:ascii="Times New Roman" w:hAnsi="Times New Roman"/>
                <w:u w:val="single"/>
              </w:rPr>
            </w:pPr>
            <w:r>
              <w:rPr>
                <w:rFonts w:ascii="Times New Roman" w:hAnsi="Times New Roman"/>
                <w:u w:val="single"/>
              </w:rPr>
              <w:t>Pakiet osłonowy dla samorządów (</w:t>
            </w:r>
            <w:r w:rsidRPr="00904A00">
              <w:rPr>
                <w:rFonts w:ascii="Times New Roman" w:hAnsi="Times New Roman"/>
                <w:u w:val="single"/>
              </w:rPr>
              <w:t>Tarcza samorządowa</w:t>
            </w:r>
            <w:r>
              <w:rPr>
                <w:rFonts w:ascii="Times New Roman" w:hAnsi="Times New Roman"/>
                <w:u w:val="single"/>
              </w:rPr>
              <w:t>)</w:t>
            </w:r>
          </w:p>
          <w:p w:rsidR="002E71C6" w:rsidRPr="00E86859" w:rsidRDefault="002E71C6" w:rsidP="00904A00">
            <w:pPr>
              <w:snapToGrid w:val="0"/>
              <w:spacing w:after="120" w:line="240" w:lineRule="auto"/>
              <w:jc w:val="both"/>
              <w:rPr>
                <w:rFonts w:ascii="Times New Roman" w:hAnsi="Times New Roman"/>
                <w:color w:val="000000"/>
              </w:rPr>
            </w:pPr>
            <w:r w:rsidRPr="00E86859">
              <w:rPr>
                <w:rFonts w:ascii="Times New Roman" w:hAnsi="Times New Roman"/>
                <w:color w:val="000000"/>
              </w:rPr>
              <w:t xml:space="preserve">Zwiększenie dochodów samorządu powiatowego z tytułu gospodarowania nieruchomościami Skarbu Państwa z 25% do 50% wpływów w okresie od 1 </w:t>
            </w:r>
            <w:r>
              <w:rPr>
                <w:rFonts w:ascii="Times New Roman" w:hAnsi="Times New Roman"/>
                <w:color w:val="000000"/>
              </w:rPr>
              <w:t>maja</w:t>
            </w:r>
            <w:r w:rsidRPr="00E86859">
              <w:rPr>
                <w:rFonts w:ascii="Times New Roman" w:hAnsi="Times New Roman"/>
                <w:color w:val="000000"/>
              </w:rPr>
              <w:t xml:space="preserve"> do 31 grudnia 2020 r. spowoduje spadek dochodów Skarbu Państwa o ok. 3</w:t>
            </w:r>
            <w:r>
              <w:rPr>
                <w:rFonts w:ascii="Times New Roman" w:hAnsi="Times New Roman"/>
                <w:color w:val="000000"/>
              </w:rPr>
              <w:t>3</w:t>
            </w:r>
            <w:r w:rsidRPr="00E86859">
              <w:rPr>
                <w:rFonts w:ascii="Times New Roman" w:hAnsi="Times New Roman"/>
                <w:color w:val="000000"/>
              </w:rPr>
              <w:t>8 mln zł i wzrost dochodów JST o tę kwotę w roku 0, tj. 2020.</w:t>
            </w:r>
            <w:r>
              <w:rPr>
                <w:rFonts w:ascii="Times New Roman" w:hAnsi="Times New Roman"/>
                <w:color w:val="000000"/>
              </w:rPr>
              <w:t xml:space="preserve"> </w:t>
            </w:r>
          </w:p>
          <w:p w:rsidR="002E71C6" w:rsidRPr="00E86859" w:rsidRDefault="002E71C6" w:rsidP="00904A00">
            <w:pPr>
              <w:snapToGrid w:val="0"/>
              <w:spacing w:after="120" w:line="240" w:lineRule="auto"/>
              <w:jc w:val="both"/>
              <w:rPr>
                <w:rFonts w:ascii="Times New Roman" w:hAnsi="Times New Roman"/>
                <w:color w:val="000000"/>
              </w:rPr>
            </w:pPr>
            <w:r w:rsidRPr="00E86859">
              <w:rPr>
                <w:rFonts w:ascii="Times New Roman" w:hAnsi="Times New Roman"/>
                <w:color w:val="000000"/>
              </w:rPr>
              <w:t xml:space="preserve">Zgodnie z danymi GUS rocznie wydaje się ok. 150 tys. decyzji </w:t>
            </w:r>
            <w:r>
              <w:rPr>
                <w:rFonts w:ascii="Times New Roman" w:hAnsi="Times New Roman"/>
                <w:color w:val="000000"/>
              </w:rPr>
              <w:t xml:space="preserve">o warunkach zabudowy (dalej: decyzji </w:t>
            </w:r>
            <w:proofErr w:type="spellStart"/>
            <w:r w:rsidRPr="00E86859">
              <w:rPr>
                <w:rFonts w:ascii="Times New Roman" w:hAnsi="Times New Roman"/>
                <w:color w:val="000000"/>
              </w:rPr>
              <w:t>wz</w:t>
            </w:r>
            <w:proofErr w:type="spellEnd"/>
            <w:r>
              <w:rPr>
                <w:rFonts w:ascii="Times New Roman" w:hAnsi="Times New Roman"/>
                <w:color w:val="000000"/>
              </w:rPr>
              <w:t>)</w:t>
            </w:r>
            <w:r w:rsidRPr="00E86859">
              <w:rPr>
                <w:rFonts w:ascii="Times New Roman" w:hAnsi="Times New Roman"/>
                <w:color w:val="000000"/>
              </w:rPr>
              <w:t xml:space="preserve">. Z wywiadów przeprowadzonych w wybranych gminach </w:t>
            </w:r>
            <w:r>
              <w:rPr>
                <w:rFonts w:ascii="Times New Roman" w:hAnsi="Times New Roman"/>
                <w:color w:val="000000"/>
              </w:rPr>
              <w:t>wynika</w:t>
            </w:r>
            <w:r w:rsidRPr="00E86859">
              <w:rPr>
                <w:rFonts w:ascii="Times New Roman" w:hAnsi="Times New Roman"/>
                <w:color w:val="000000"/>
              </w:rPr>
              <w:t>, że ok. 2/3 z nich może być wydawanych na wniosek osób innych niż właściciele lub użytkownicy wieczyści. Dodatkowo zakłada</w:t>
            </w:r>
            <w:r>
              <w:rPr>
                <w:rFonts w:ascii="Times New Roman" w:hAnsi="Times New Roman"/>
                <w:color w:val="000000"/>
              </w:rPr>
              <w:t xml:space="preserve"> się</w:t>
            </w:r>
            <w:r w:rsidRPr="00E86859">
              <w:rPr>
                <w:rFonts w:ascii="Times New Roman" w:hAnsi="Times New Roman"/>
                <w:color w:val="000000"/>
              </w:rPr>
              <w:t xml:space="preserve">, że wprowadzenie opłaty 598 zł zmniejszy liczbę wniosków od tych podmiotów o 15%. W związku z tym przyjęto, że wpływy gmin z tytułu opłaty skarbowej za wydawanie decyzji </w:t>
            </w:r>
            <w:proofErr w:type="spellStart"/>
            <w:r w:rsidRPr="00E86859">
              <w:rPr>
                <w:rFonts w:ascii="Times New Roman" w:hAnsi="Times New Roman"/>
                <w:color w:val="000000"/>
              </w:rPr>
              <w:t>wz</w:t>
            </w:r>
            <w:proofErr w:type="spellEnd"/>
            <w:r w:rsidRPr="00E86859">
              <w:rPr>
                <w:rFonts w:ascii="Times New Roman" w:hAnsi="Times New Roman"/>
                <w:color w:val="000000"/>
              </w:rPr>
              <w:t xml:space="preserve"> zwiększą się o ok. 51 mln zł rocznie. Dane GUS za ostatnie 10 lat pokazują nieznaczny trend spadkowy liczby wydawanych decyzji wz. Ich liczba w poszczególnych latach odchylała się o nie więcej niż 12% od średniej. Zatem można przyjąć, że była stabilna. </w:t>
            </w:r>
            <w:r>
              <w:rPr>
                <w:rFonts w:ascii="Times New Roman" w:hAnsi="Times New Roman"/>
                <w:color w:val="000000"/>
              </w:rPr>
              <w:t>Przyjęto założenie</w:t>
            </w:r>
            <w:r w:rsidRPr="00E86859">
              <w:rPr>
                <w:rFonts w:ascii="Times New Roman" w:hAnsi="Times New Roman"/>
                <w:color w:val="000000"/>
              </w:rPr>
              <w:t xml:space="preserve">, że liczba wydawanych decyzji </w:t>
            </w:r>
            <w:proofErr w:type="spellStart"/>
            <w:r w:rsidRPr="00E86859">
              <w:rPr>
                <w:rFonts w:ascii="Times New Roman" w:hAnsi="Times New Roman"/>
                <w:color w:val="000000"/>
              </w:rPr>
              <w:t>wz</w:t>
            </w:r>
            <w:proofErr w:type="spellEnd"/>
            <w:r w:rsidRPr="00E86859">
              <w:rPr>
                <w:rFonts w:ascii="Times New Roman" w:hAnsi="Times New Roman"/>
                <w:color w:val="000000"/>
              </w:rPr>
              <w:t xml:space="preserve"> będzie malała o 2,5% rocznie. Do tego uwzględni</w:t>
            </w:r>
            <w:r>
              <w:rPr>
                <w:rFonts w:ascii="Times New Roman" w:hAnsi="Times New Roman"/>
                <w:color w:val="000000"/>
              </w:rPr>
              <w:t>ono</w:t>
            </w:r>
            <w:r w:rsidRPr="00E86859">
              <w:rPr>
                <w:rFonts w:ascii="Times New Roman" w:hAnsi="Times New Roman"/>
                <w:color w:val="000000"/>
              </w:rPr>
              <w:t xml:space="preserve"> procesy inflacyjne zgodnie z </w:t>
            </w:r>
            <w:r w:rsidRPr="00553603">
              <w:rPr>
                <w:rFonts w:ascii="Times New Roman" w:hAnsi="Times New Roman"/>
                <w:i/>
                <w:color w:val="000000"/>
              </w:rPr>
              <w:t>Wytycznymi</w:t>
            </w:r>
            <w:r>
              <w:rPr>
                <w:rStyle w:val="Odwoanieprzypisudolnego"/>
                <w:rFonts w:ascii="Times New Roman" w:hAnsi="Times New Roman"/>
                <w:i/>
                <w:color w:val="000000"/>
              </w:rPr>
              <w:footnoteReference w:id="6"/>
            </w:r>
            <w:r w:rsidRPr="00E86859">
              <w:rPr>
                <w:rFonts w:ascii="Times New Roman" w:hAnsi="Times New Roman"/>
                <w:color w:val="000000"/>
              </w:rPr>
              <w:t>, gdyż stawka za wydanie decyzji będzie stała.</w:t>
            </w:r>
          </w:p>
          <w:p w:rsidR="002E71C6" w:rsidRPr="00E86859" w:rsidRDefault="002E71C6" w:rsidP="00DE72D8">
            <w:pPr>
              <w:snapToGrid w:val="0"/>
              <w:spacing w:line="240" w:lineRule="auto"/>
              <w:jc w:val="both"/>
              <w:rPr>
                <w:rFonts w:ascii="Times New Roman" w:hAnsi="Times New Roman"/>
                <w:color w:val="000000"/>
              </w:rPr>
            </w:pPr>
            <w:r w:rsidRPr="00E86859">
              <w:rPr>
                <w:rFonts w:ascii="Times New Roman" w:hAnsi="Times New Roman"/>
                <w:color w:val="000000"/>
              </w:rPr>
              <w:t xml:space="preserve">Projektowana ustawa zapewnia </w:t>
            </w:r>
            <w:proofErr w:type="spellStart"/>
            <w:r w:rsidRPr="00E86859">
              <w:rPr>
                <w:rFonts w:ascii="Times New Roman" w:hAnsi="Times New Roman"/>
                <w:color w:val="000000"/>
              </w:rPr>
              <w:t>jst</w:t>
            </w:r>
            <w:proofErr w:type="spellEnd"/>
            <w:r w:rsidRPr="00E86859">
              <w:rPr>
                <w:rFonts w:ascii="Times New Roman" w:hAnsi="Times New Roman"/>
                <w:color w:val="000000"/>
              </w:rPr>
              <w:t xml:space="preserve"> instrumenty umożliwiające przeznaczanie dodatkowych środków na realizację zadań związanych z przeciwdziałaniem COVID-19 poprzez:</w:t>
            </w:r>
          </w:p>
          <w:p w:rsidR="002E71C6" w:rsidRPr="00E86859" w:rsidRDefault="002E71C6" w:rsidP="00DE72D8">
            <w:pPr>
              <w:numPr>
                <w:ilvl w:val="0"/>
                <w:numId w:val="9"/>
              </w:numPr>
              <w:suppressAutoHyphens/>
              <w:snapToGrid w:val="0"/>
              <w:spacing w:line="240" w:lineRule="auto"/>
              <w:jc w:val="both"/>
              <w:rPr>
                <w:rFonts w:ascii="Times New Roman" w:hAnsi="Times New Roman"/>
                <w:color w:val="000000"/>
              </w:rPr>
            </w:pPr>
            <w:r w:rsidRPr="00E86859">
              <w:rPr>
                <w:rFonts w:ascii="Times New Roman" w:hAnsi="Times New Roman"/>
                <w:color w:val="000000"/>
              </w:rPr>
              <w:t>wprowadzenie w 2020 r</w:t>
            </w:r>
            <w:r>
              <w:rPr>
                <w:rFonts w:ascii="Times New Roman" w:hAnsi="Times New Roman"/>
                <w:color w:val="000000"/>
              </w:rPr>
              <w:t>.</w:t>
            </w:r>
            <w:r w:rsidRPr="00E86859">
              <w:rPr>
                <w:rFonts w:ascii="Times New Roman" w:hAnsi="Times New Roman"/>
                <w:color w:val="000000"/>
              </w:rPr>
              <w:t xml:space="preserve"> możliwości nierównowagi strony bieżącej budżetu JST dodatkowo o wartość planowanego ubytku w dochodach będącego skutkiem wystąpienia COVID-19,</w:t>
            </w:r>
          </w:p>
          <w:p w:rsidR="002E71C6" w:rsidRPr="00E86859" w:rsidRDefault="002E71C6" w:rsidP="00DE72D8">
            <w:pPr>
              <w:numPr>
                <w:ilvl w:val="0"/>
                <w:numId w:val="9"/>
              </w:numPr>
              <w:suppressAutoHyphens/>
              <w:snapToGrid w:val="0"/>
              <w:spacing w:line="240" w:lineRule="auto"/>
              <w:jc w:val="both"/>
              <w:rPr>
                <w:rFonts w:ascii="Times New Roman" w:hAnsi="Times New Roman"/>
                <w:color w:val="000000"/>
              </w:rPr>
            </w:pPr>
            <w:r w:rsidRPr="00E86859">
              <w:rPr>
                <w:rFonts w:ascii="Times New Roman" w:hAnsi="Times New Roman"/>
                <w:color w:val="000000"/>
              </w:rPr>
              <w:t>złagodzenie w 2020 r. reguły fiskalnej ograniczającej zadłużenie o kwotę faktycznego ubytku w dochodach podatkowych jednostki</w:t>
            </w:r>
            <w:r>
              <w:rPr>
                <w:rFonts w:ascii="Times New Roman" w:hAnsi="Times New Roman"/>
                <w:color w:val="000000"/>
              </w:rPr>
              <w:t>,</w:t>
            </w:r>
            <w:r w:rsidRPr="00E86859">
              <w:rPr>
                <w:rFonts w:ascii="Times New Roman" w:hAnsi="Times New Roman"/>
                <w:color w:val="000000"/>
              </w:rPr>
              <w:t xml:space="preserve"> wynikającym z wystąpienia epidemii COVID-19,</w:t>
            </w:r>
          </w:p>
          <w:p w:rsidR="002E71C6" w:rsidRPr="00E86859" w:rsidRDefault="002E71C6" w:rsidP="00DE72D8">
            <w:pPr>
              <w:numPr>
                <w:ilvl w:val="0"/>
                <w:numId w:val="9"/>
              </w:numPr>
              <w:suppressAutoHyphens/>
              <w:snapToGrid w:val="0"/>
              <w:spacing w:line="240" w:lineRule="auto"/>
              <w:jc w:val="both"/>
              <w:rPr>
                <w:rFonts w:ascii="Times New Roman" w:hAnsi="Times New Roman"/>
                <w:color w:val="000000"/>
              </w:rPr>
            </w:pPr>
            <w:r w:rsidRPr="00E86859">
              <w:rPr>
                <w:rFonts w:ascii="Times New Roman" w:hAnsi="Times New Roman"/>
                <w:color w:val="000000"/>
              </w:rPr>
              <w:t>uelastycznienie wydatkowania środków z tzw. „funduszu korkowego” w 2020 r.</w:t>
            </w:r>
            <w:r>
              <w:rPr>
                <w:rFonts w:ascii="Times New Roman" w:hAnsi="Times New Roman"/>
                <w:color w:val="000000"/>
              </w:rPr>
              <w:t>,</w:t>
            </w:r>
          </w:p>
          <w:p w:rsidR="002E71C6" w:rsidRPr="00E86859" w:rsidRDefault="002E71C6" w:rsidP="00904A00">
            <w:pPr>
              <w:numPr>
                <w:ilvl w:val="0"/>
                <w:numId w:val="9"/>
              </w:numPr>
              <w:suppressAutoHyphens/>
              <w:snapToGrid w:val="0"/>
              <w:spacing w:after="120" w:line="240" w:lineRule="auto"/>
              <w:ind w:left="714" w:hanging="357"/>
              <w:jc w:val="both"/>
              <w:rPr>
                <w:rFonts w:ascii="Times New Roman" w:hAnsi="Times New Roman"/>
                <w:color w:val="000000"/>
              </w:rPr>
            </w:pPr>
            <w:r w:rsidRPr="00E86859">
              <w:rPr>
                <w:rFonts w:ascii="Times New Roman" w:hAnsi="Times New Roman"/>
                <w:color w:val="000000"/>
              </w:rPr>
              <w:t>wprowadzenie możliwości przesunięcia na kolejne miesiące wpłat do budżetu państwa dokonywanych przez jednostki o ponadprzeciętnych dochodach podatkowych - raty wpłat przypadające w maju i czerwcu 2020 r. będą mogły zapłacić w drugim półroczu 2020 r.</w:t>
            </w:r>
          </w:p>
          <w:p w:rsidR="002E71C6" w:rsidRPr="00E86859" w:rsidRDefault="002E71C6" w:rsidP="00904A00">
            <w:pPr>
              <w:snapToGrid w:val="0"/>
              <w:spacing w:after="120" w:line="240" w:lineRule="auto"/>
              <w:jc w:val="both"/>
              <w:rPr>
                <w:rFonts w:ascii="Times New Roman" w:hAnsi="Times New Roman"/>
                <w:color w:val="000000"/>
              </w:rPr>
            </w:pPr>
            <w:r w:rsidRPr="00E86859">
              <w:rPr>
                <w:rFonts w:ascii="Times New Roman" w:hAnsi="Times New Roman"/>
                <w:color w:val="000000"/>
              </w:rPr>
              <w:t>Jednak są to rozwiązania, które nie powodują przesunięć finansowych pomiędzy ww. pozycjami</w:t>
            </w:r>
            <w:r>
              <w:rPr>
                <w:rFonts w:ascii="Times New Roman" w:hAnsi="Times New Roman"/>
                <w:color w:val="000000"/>
              </w:rPr>
              <w:t>.</w:t>
            </w:r>
          </w:p>
          <w:p w:rsidR="002E71C6" w:rsidRPr="00E86859" w:rsidRDefault="002E71C6" w:rsidP="00904A00">
            <w:pPr>
              <w:snapToGrid w:val="0"/>
              <w:spacing w:after="120" w:line="240" w:lineRule="auto"/>
              <w:jc w:val="both"/>
              <w:rPr>
                <w:rFonts w:ascii="Times New Roman" w:hAnsi="Times New Roman"/>
                <w:color w:val="000000"/>
              </w:rPr>
            </w:pPr>
            <w:r w:rsidRPr="00E86859">
              <w:rPr>
                <w:rFonts w:ascii="Times New Roman" w:hAnsi="Times New Roman"/>
                <w:color w:val="000000"/>
              </w:rPr>
              <w:t>Wpływ rozwiązań, o których mowa w nowelizowanych art. 15zg i 15zga ustawy o szczególnych rozwiązaniach związanych z zapobieganiem, przeciwdziałaniem i zwalczaniem COVID-19 na finanse publiczne polegać będzie wyłącznie na przesunięciu wydatków przeznaczonych na realizację zobowiązań budżetowych na późniejszy okres.</w:t>
            </w:r>
          </w:p>
          <w:p w:rsidR="002E71C6" w:rsidRDefault="002E71C6" w:rsidP="008164E5">
            <w:pPr>
              <w:snapToGrid w:val="0"/>
              <w:spacing w:after="120" w:line="240" w:lineRule="auto"/>
              <w:jc w:val="both"/>
              <w:rPr>
                <w:rFonts w:ascii="Times New Roman" w:hAnsi="Times New Roman"/>
                <w:color w:val="000000"/>
              </w:rPr>
            </w:pPr>
            <w:r w:rsidRPr="00E86859">
              <w:rPr>
                <w:rFonts w:ascii="Times New Roman" w:hAnsi="Times New Roman"/>
                <w:color w:val="000000"/>
              </w:rPr>
              <w:t>Proponowane rozwiązanie w zakresie dodatków mieszkaniowych (art. 15zzzib ustawy o szczególnych rozwiązaniach związanych z zapobieganiem, przeciwdziałaniem i zwalczaniem COVID-19) nie wprowadza nowego tytułu do jego wypłaty ani nie zmienia jego wysokości. Pozwala jedynie na przyznanie dodatku osobom, które w obawie przed zarażeniem COVID-19 nie złożyły w okresie obowiązywania stanu epidemii wniosku o jego przyznanie.</w:t>
            </w:r>
          </w:p>
          <w:p w:rsidR="002E71C6" w:rsidRDefault="002E71C6" w:rsidP="008164E5">
            <w:pPr>
              <w:pStyle w:val="Akapitzlist"/>
              <w:spacing w:after="120" w:line="240" w:lineRule="auto"/>
              <w:ind w:left="284" w:hanging="284"/>
              <w:jc w:val="both"/>
              <w:rPr>
                <w:rFonts w:ascii="Times New Roman" w:hAnsi="Times New Roman"/>
                <w:u w:val="single"/>
              </w:rPr>
            </w:pPr>
            <w:r w:rsidRPr="008164E5">
              <w:rPr>
                <w:rFonts w:ascii="Times New Roman" w:hAnsi="Times New Roman"/>
                <w:u w:val="single"/>
              </w:rPr>
              <w:t>Ochrona przed przejęciem spółek przez podmioty spoza UE/EOG</w:t>
            </w:r>
          </w:p>
          <w:p w:rsidR="002E71C6" w:rsidRPr="00221D18" w:rsidRDefault="002E71C6" w:rsidP="00221D18">
            <w:pPr>
              <w:snapToGrid w:val="0"/>
              <w:spacing w:after="120" w:line="240" w:lineRule="auto"/>
              <w:jc w:val="both"/>
              <w:rPr>
                <w:rFonts w:ascii="Times New Roman" w:hAnsi="Times New Roman"/>
              </w:rPr>
            </w:pPr>
            <w:r>
              <w:rPr>
                <w:rFonts w:ascii="Times New Roman" w:hAnsi="Times New Roman"/>
              </w:rPr>
              <w:t>P</w:t>
            </w:r>
            <w:r w:rsidRPr="00221D18">
              <w:rPr>
                <w:rFonts w:ascii="Times New Roman" w:hAnsi="Times New Roman"/>
              </w:rPr>
              <w:t xml:space="preserve">rojektowana regulacja może powodować skutki finansowe dla UOKiK. </w:t>
            </w:r>
            <w:r>
              <w:rPr>
                <w:rFonts w:ascii="Times New Roman" w:hAnsi="Times New Roman"/>
              </w:rPr>
              <w:t>Ich</w:t>
            </w:r>
            <w:r w:rsidRPr="00221D18">
              <w:rPr>
                <w:rFonts w:ascii="Times New Roman" w:hAnsi="Times New Roman"/>
              </w:rPr>
              <w:t xml:space="preserve"> oszacowanie jest utrudnione, nie mniej jednak może zajść konieczność przeznaczenia niezbędnych środków finansowych w przyszłości.</w:t>
            </w:r>
          </w:p>
          <w:p w:rsidR="002E71C6" w:rsidRPr="008725D2" w:rsidRDefault="002E71C6" w:rsidP="008725D2">
            <w:pPr>
              <w:pStyle w:val="Akapitzlist"/>
              <w:spacing w:after="120" w:line="240" w:lineRule="auto"/>
              <w:ind w:left="284" w:hanging="284"/>
              <w:jc w:val="both"/>
              <w:rPr>
                <w:rFonts w:ascii="Times New Roman" w:hAnsi="Times New Roman"/>
                <w:u w:val="single"/>
              </w:rPr>
            </w:pPr>
            <w:r w:rsidRPr="008725D2">
              <w:rPr>
                <w:rFonts w:ascii="Times New Roman" w:hAnsi="Times New Roman"/>
                <w:u w:val="single"/>
              </w:rPr>
              <w:t>Dostosowanie rynku pracy do wyzwań COVID-19</w:t>
            </w:r>
          </w:p>
          <w:p w:rsidR="002E71C6" w:rsidRDefault="002E71C6" w:rsidP="008725D2">
            <w:pPr>
              <w:snapToGrid w:val="0"/>
              <w:spacing w:after="120" w:line="240" w:lineRule="auto"/>
              <w:jc w:val="both"/>
              <w:rPr>
                <w:rFonts w:ascii="Times New Roman" w:hAnsi="Times New Roman"/>
              </w:rPr>
            </w:pPr>
            <w:r w:rsidRPr="008725D2">
              <w:rPr>
                <w:rFonts w:ascii="Times New Roman" w:hAnsi="Times New Roman"/>
              </w:rPr>
              <w:t>Umożliwienie obniżenia wymiaru czasu pracy lub objęcie pracownika postojem ekonomicznym w przypadku istotnego wzrostu obciążenia wynagrodzeń u pracodawcy nie powinno nieść za sobą dodatkowych skutków finansowych, gdyż nie wiąże się ono z dofinansowaniem (jak przy zastosowaniu tych instrumentów w przypadku spadku obrotów gospodarczych). Podobnie, umożliwienie wprowadzenia zmian w organizacji i warunkach pracy również do sytuacji istotnego wzrostu obciążenia funduszem wynagrodzeń nie powinno nieść za sobą dodatkowych skutków finansowych.</w:t>
            </w:r>
          </w:p>
          <w:p w:rsidR="002E71C6" w:rsidRPr="00B123D2" w:rsidRDefault="002E71C6" w:rsidP="007D2762">
            <w:pPr>
              <w:snapToGrid w:val="0"/>
              <w:spacing w:line="240" w:lineRule="auto"/>
              <w:jc w:val="both"/>
              <w:rPr>
                <w:rFonts w:ascii="Times New Roman" w:hAnsi="Times New Roman"/>
                <w:color w:val="000000"/>
                <w:u w:val="single"/>
              </w:rPr>
            </w:pPr>
            <w:r w:rsidRPr="00B123D2">
              <w:rPr>
                <w:rFonts w:ascii="Times New Roman" w:hAnsi="Times New Roman"/>
                <w:color w:val="000000"/>
                <w:u w:val="single"/>
              </w:rPr>
              <w:t>Zmiany dotyczące wsparcia w zakresie świadczenia postojowego</w:t>
            </w:r>
          </w:p>
          <w:p w:rsidR="002E71C6" w:rsidRDefault="002E71C6" w:rsidP="00C70BC7">
            <w:pPr>
              <w:snapToGrid w:val="0"/>
              <w:spacing w:after="120" w:line="240" w:lineRule="auto"/>
              <w:jc w:val="both"/>
              <w:rPr>
                <w:rFonts w:ascii="Times New Roman" w:hAnsi="Times New Roman"/>
              </w:rPr>
            </w:pPr>
            <w:r w:rsidRPr="00EF3E33">
              <w:rPr>
                <w:rFonts w:ascii="Times New Roman" w:hAnsi="Times New Roman"/>
              </w:rPr>
              <w:t>Rozszerzenie liczby przedsiębiorców uprawnionych do tzw. świadczenia postojowego o tych, którzy podlegają ubezpieczeniu z innego tytułu i jednocześnie opłacali składki na ubezpieczenie społeczne z tytułu wykonywania działalności gospodarczej, będzie miało wpływ na budżet państwa bowiem zwiększy liczbę podmiotów uprawnionych do wsparcia o 45,9 tys. Zakładając zatem, że wszyscy ww. przedsiębiorcy będą chcieli skorzystać z pomocy w wysokości max 2080 zł przez okres 3 m-</w:t>
            </w:r>
            <w:proofErr w:type="spellStart"/>
            <w:r w:rsidRPr="00EF3E33">
              <w:rPr>
                <w:rFonts w:ascii="Times New Roman" w:hAnsi="Times New Roman"/>
              </w:rPr>
              <w:t>cy</w:t>
            </w:r>
            <w:proofErr w:type="spellEnd"/>
            <w:r w:rsidRPr="00EF3E33">
              <w:rPr>
                <w:rFonts w:ascii="Times New Roman" w:hAnsi="Times New Roman"/>
              </w:rPr>
              <w:t xml:space="preserve">, maksymalny koszt rozwiązania należy oszacować na kwotę 286 416 000 zł. Świadczenie postojowe jest finansowane z Funduszu Pracy. Należy się jednak spodziewać, że faktyczny koszt będzie niższy. Fundusz Pracy będzie prawdopodobnie musiał zostać zasilony dodatkowymi środkami z Funduszu Przeciwdziałania COVID-19. </w:t>
            </w:r>
          </w:p>
          <w:p w:rsidR="002E71C6" w:rsidRPr="008725D2" w:rsidRDefault="002E71C6" w:rsidP="008725D2">
            <w:pPr>
              <w:pStyle w:val="Akapitzlist"/>
              <w:spacing w:after="120" w:line="240" w:lineRule="auto"/>
              <w:ind w:left="0"/>
              <w:jc w:val="both"/>
              <w:rPr>
                <w:rFonts w:ascii="Times New Roman" w:hAnsi="Times New Roman"/>
                <w:u w:val="single"/>
              </w:rPr>
            </w:pPr>
            <w:r w:rsidRPr="008725D2">
              <w:rPr>
                <w:rFonts w:ascii="Times New Roman" w:hAnsi="Times New Roman"/>
                <w:u w:val="single"/>
              </w:rPr>
              <w:t>Zwolnienie z części opłaty rocznej za 2020 r. za użytkowanie wieczyste przedsiębiorców, u których wystąpił spadek obrotów gospodarczych w następstwie wystąpienia COVID-19.</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Zakładając, że z projektowanego rozwiązania skorzysta 30% przedsiębiorców lub innych podmiotów prowadzących działalność na gruntach Skarbu Państwa i zwolnienie z opłaty będzie dotyczyć 6 miesięcy w 2020 r., można szacować zmniejszenie rocznego wpływu do budżetu państwa z tytułu opłaty rocznej za użytkowanie wieczyste o kwotę około 150 milionów złotych.</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 xml:space="preserve">Zmniejszenie wpływów do budżetów jednostek samorządu terytorialnego wynikające </w:t>
            </w:r>
            <w:r>
              <w:rPr>
                <w:rFonts w:ascii="Times New Roman" w:hAnsi="Times New Roman"/>
                <w:color w:val="000000"/>
              </w:rPr>
              <w:t xml:space="preserve">z </w:t>
            </w:r>
            <w:r w:rsidRPr="008725D2">
              <w:rPr>
                <w:rFonts w:ascii="Times New Roman" w:hAnsi="Times New Roman"/>
                <w:color w:val="000000"/>
              </w:rPr>
              <w:t>przyjętych rozwiązań wystąpi w przypadku przyjęcia uchwał o zwolnieniu przedsiębiorców prowadzących działalność na gruntach samorządowych z części opłaty rocznej za 2020 r. – zakładając, że wszystkie samorządy podejmą tego rodzaju uchwały i skorzysta z tych rozwiązań 30% przedsiębiorców przez 6 miesięcy, należy zakładać zmniejszenie rocznego wpływu do budżetów miast na prawach powiatu z tytułu opłaty rocznej za użytkowanie wieczyste o kwotę około 130</w:t>
            </w:r>
            <w:r>
              <w:rPr>
                <w:rFonts w:ascii="Times New Roman" w:hAnsi="Times New Roman"/>
                <w:color w:val="000000"/>
              </w:rPr>
              <w:t> </w:t>
            </w:r>
            <w:r w:rsidRPr="008725D2">
              <w:rPr>
                <w:rFonts w:ascii="Times New Roman" w:hAnsi="Times New Roman"/>
                <w:color w:val="000000"/>
              </w:rPr>
              <w:t xml:space="preserve">milionów, a do budżetów gmin o kwotę około 25 milionów złotych. </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Dane do szacunków przyjęto na podstawie danych z Ministerstwa Finansów (dochody JST w § 055, 076 i 077 w 2019 r.).</w:t>
            </w:r>
          </w:p>
          <w:p w:rsidR="002E71C6" w:rsidRPr="008725D2" w:rsidRDefault="002E71C6" w:rsidP="008725D2">
            <w:pPr>
              <w:tabs>
                <w:tab w:val="left" w:pos="567"/>
              </w:tabs>
              <w:spacing w:after="120" w:line="240" w:lineRule="auto"/>
              <w:jc w:val="both"/>
              <w:rPr>
                <w:rFonts w:ascii="Times New Roman" w:hAnsi="Times New Roman"/>
                <w:u w:val="single"/>
              </w:rPr>
            </w:pPr>
            <w:r w:rsidRPr="008725D2">
              <w:rPr>
                <w:rFonts w:ascii="Times New Roman" w:hAnsi="Times New Roman"/>
                <w:u w:val="single"/>
              </w:rPr>
              <w:t>Zwolnienie z czynszu najmu i dzierżawy oraz należności pieniężnych za użytkowanie za okres trzech miesięcy w 2020 r. przedsiębiorców, u którego wystąpił spadek obrotów gospodarczych w następstwie wystąpienia COVID-19.</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 xml:space="preserve">Zmniejszenie wpływów do budżetów jednostek samorządu terytorialnego wynikające z przyjętych rozwiązań wystąpi w przypadku przyjęcia uchwał o zwolnieniu przedsiębiorców i podmiotów prowadzących działalność na gruntach samorządowych z czynszów należnych za 3 miesiące. Zakładając, że wszystkie samorządy podejmą takie uchwały, a z projektowanego rozwiązania skorzysta 30% przedsiębiorców na gruntach samorządów, dochody samorządów ulegną zmniejszeniu z tytułu najmu i dzierżawy o około 240 milionów złotych. </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Do szacunku przyjęto założenie, że udział wpływów od przedsiębiorców w łącznych dochodach samorządów z paragrafu 075 (wpływy z najmu i dzierżawy składników majątkowych Skarbu Państwa, jednostek samorządu terytorialnego, samorządowych zakładów budżetowych lub innych jednostek zaliczanych do sektora finansów publicznych oraz innych umów o podobnym charakterze.) stanowi 70%.</w:t>
            </w:r>
          </w:p>
          <w:p w:rsidR="002E71C6" w:rsidRPr="008725D2"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 xml:space="preserve">Z uwagi na brak możliwości wyodrębnienia wysokości dochodów Skarbu Państwa z tytułu najmu, dzierżawy i użytkowania z ogólnej kwoty dochodów uzyskiwanych z gospodarowania nieruchomościami Skarbu Państwa wykazywanych w dziale 700 – </w:t>
            </w:r>
            <w:r w:rsidRPr="008725D2">
              <w:rPr>
                <w:rFonts w:ascii="Times New Roman" w:hAnsi="Times New Roman"/>
                <w:i/>
                <w:iCs/>
                <w:color w:val="000000"/>
              </w:rPr>
              <w:t>gospodarka mieszkaniowa</w:t>
            </w:r>
            <w:r w:rsidRPr="008725D2">
              <w:rPr>
                <w:rFonts w:ascii="Times New Roman" w:hAnsi="Times New Roman"/>
                <w:color w:val="000000"/>
              </w:rPr>
              <w:t xml:space="preserve">, paragraf 235 – </w:t>
            </w:r>
            <w:r w:rsidRPr="008725D2">
              <w:rPr>
                <w:rFonts w:ascii="Times New Roman" w:hAnsi="Times New Roman"/>
                <w:i/>
                <w:iCs/>
                <w:color w:val="000000"/>
              </w:rPr>
              <w:t>dochody budżetu państwa związane</w:t>
            </w:r>
            <w:r w:rsidRPr="008725D2">
              <w:rPr>
                <w:rFonts w:ascii="Times New Roman" w:hAnsi="Times New Roman"/>
                <w:color w:val="000000"/>
              </w:rPr>
              <w:t xml:space="preserve"> </w:t>
            </w:r>
            <w:r w:rsidRPr="008725D2">
              <w:rPr>
                <w:rFonts w:ascii="Times New Roman" w:hAnsi="Times New Roman"/>
                <w:i/>
                <w:iCs/>
                <w:color w:val="000000"/>
              </w:rPr>
              <w:t>z realizacją zadań zlecanych jednostkom samorządu terytorialnego</w:t>
            </w:r>
            <w:r w:rsidRPr="008725D2">
              <w:rPr>
                <w:rFonts w:ascii="Times New Roman" w:hAnsi="Times New Roman"/>
                <w:color w:val="000000"/>
              </w:rPr>
              <w:t>, nie dokonano oszacowania zmniejszenia wpływów do budżetu państwa.</w:t>
            </w:r>
          </w:p>
          <w:p w:rsidR="002E71C6" w:rsidRPr="008725D2" w:rsidRDefault="002E71C6" w:rsidP="009D7F88">
            <w:pPr>
              <w:snapToGrid w:val="0"/>
              <w:spacing w:line="240" w:lineRule="auto"/>
              <w:jc w:val="both"/>
              <w:rPr>
                <w:rFonts w:ascii="Times New Roman" w:hAnsi="Times New Roman"/>
                <w:color w:val="000000"/>
              </w:rPr>
            </w:pPr>
            <w:r w:rsidRPr="009233E4">
              <w:rPr>
                <w:rFonts w:ascii="Times New Roman" w:hAnsi="Times New Roman"/>
                <w:color w:val="000000"/>
              </w:rPr>
              <w:t xml:space="preserve">Z uwagi na fakt, że ww. zwolnienia są uwarunkowane podjęciem uchwały przez samorządy, </w:t>
            </w:r>
            <w:r>
              <w:rPr>
                <w:rFonts w:ascii="Times New Roman" w:hAnsi="Times New Roman"/>
                <w:color w:val="000000"/>
              </w:rPr>
              <w:t xml:space="preserve">zależą od decyzji uprawnionych do skorzystania z tych zwolnień, </w:t>
            </w:r>
            <w:r w:rsidRPr="009233E4">
              <w:rPr>
                <w:rFonts w:ascii="Times New Roman" w:hAnsi="Times New Roman"/>
                <w:color w:val="000000"/>
              </w:rPr>
              <w:t xml:space="preserve">jak również mając na uwadze przybliżoną wysokość skutków dot. opłaty rocznej za użytkowanie wieczyste oraz czynszu najmu i dzierżawy, oszacowaną na podstawie przybliżonych danych i określonych założeń, </w:t>
            </w:r>
            <w:r w:rsidRPr="009233E4">
              <w:rPr>
                <w:rFonts w:ascii="Times New Roman" w:hAnsi="Times New Roman"/>
                <w:color w:val="000000"/>
                <w:u w:val="single"/>
              </w:rPr>
              <w:t>nie zostały one uwzględnione w tab. 6</w:t>
            </w:r>
            <w:r w:rsidRPr="009233E4">
              <w:rPr>
                <w:rFonts w:ascii="Times New Roman" w:hAnsi="Times New Roman"/>
                <w:color w:val="000000"/>
              </w:rPr>
              <w:t>.</w:t>
            </w:r>
          </w:p>
          <w:p w:rsidR="002E71C6" w:rsidRDefault="002E71C6" w:rsidP="00904A00">
            <w:pPr>
              <w:snapToGrid w:val="0"/>
              <w:spacing w:line="240" w:lineRule="auto"/>
              <w:jc w:val="both"/>
              <w:rPr>
                <w:rFonts w:ascii="Times New Roman" w:hAnsi="Times New Roman"/>
                <w:color w:val="000000"/>
              </w:rPr>
            </w:pPr>
          </w:p>
          <w:p w:rsidR="002E71C6" w:rsidRPr="00AF5B1D" w:rsidRDefault="002E71C6" w:rsidP="00904A00">
            <w:pPr>
              <w:snapToGrid w:val="0"/>
              <w:spacing w:line="240" w:lineRule="auto"/>
              <w:jc w:val="both"/>
              <w:rPr>
                <w:rFonts w:ascii="Times New Roman" w:hAnsi="Times New Roman"/>
                <w:color w:val="000000"/>
                <w:u w:val="single"/>
              </w:rPr>
            </w:pPr>
            <w:r w:rsidRPr="00AF5B1D">
              <w:rPr>
                <w:rFonts w:ascii="Times New Roman" w:hAnsi="Times New Roman"/>
                <w:color w:val="000000"/>
                <w:u w:val="single"/>
              </w:rPr>
              <w:t>Zmiany w zakresie opłaty za sprzedaż alkoholu</w:t>
            </w:r>
          </w:p>
          <w:p w:rsidR="002E71C6" w:rsidRDefault="002E71C6" w:rsidP="00EF3E33">
            <w:pPr>
              <w:snapToGrid w:val="0"/>
              <w:spacing w:after="120" w:line="240" w:lineRule="auto"/>
              <w:jc w:val="both"/>
              <w:rPr>
                <w:rFonts w:ascii="Times New Roman" w:hAnsi="Times New Roman"/>
                <w:color w:val="000000"/>
              </w:rPr>
            </w:pPr>
            <w:r w:rsidRPr="008725D2">
              <w:rPr>
                <w:rFonts w:ascii="Times New Roman" w:hAnsi="Times New Roman"/>
                <w:color w:val="000000"/>
              </w:rPr>
              <w:t>Przepis dot. opłaty za sprzedaż alkoholu będzie miał wpływ na finanse gminy jeśli rada gminy podejmie – na podstawie upoważnienia ustawowego – uchwałę o zwolnieniu z opłaty za korzystanie z zezwoleń na sprzedaż napojów alkoholowych przeznaczonych do spożycia w miejscu sprzedaży. Oszacowanie wpływu nie jest możliwe ze względu na fakultatywność rozwiązania.</w:t>
            </w:r>
          </w:p>
          <w:p w:rsidR="002E71C6" w:rsidRPr="00DC2CD0" w:rsidRDefault="002E71C6" w:rsidP="008725D2">
            <w:pPr>
              <w:snapToGrid w:val="0"/>
              <w:spacing w:after="120" w:line="240" w:lineRule="auto"/>
              <w:jc w:val="both"/>
              <w:rPr>
                <w:rFonts w:ascii="Times New Roman" w:hAnsi="Times New Roman"/>
                <w:color w:val="000000"/>
                <w:u w:val="single"/>
              </w:rPr>
            </w:pPr>
            <w:r w:rsidRPr="00DC2CD0">
              <w:rPr>
                <w:rFonts w:ascii="Times New Roman" w:hAnsi="Times New Roman"/>
                <w:color w:val="000000"/>
                <w:u w:val="single"/>
              </w:rPr>
              <w:t>Zmiany dot. wsparcia z FGŚP</w:t>
            </w:r>
          </w:p>
          <w:p w:rsidR="002E71C6"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 xml:space="preserve">Propozycja dot. wsparcia z FGŚP </w:t>
            </w:r>
            <w:r>
              <w:rPr>
                <w:rFonts w:ascii="Times New Roman" w:hAnsi="Times New Roman"/>
                <w:color w:val="000000"/>
              </w:rPr>
              <w:t>j</w:t>
            </w:r>
            <w:r w:rsidRPr="008725D2">
              <w:rPr>
                <w:rFonts w:ascii="Times New Roman" w:hAnsi="Times New Roman"/>
                <w:color w:val="000000"/>
              </w:rPr>
              <w:t>est uzupełnieniem dotychczasowego rozwiązania umożliwiającego przedsiębiorcy, którego obroty gospodarcze spadły na skutek wystąpienia COVID-19, uzyskanie z Funduszu Gwarantowanych Świadczeń Pracowniczych dofinansowania wynagrodzeń pracowników objętych przestojem ekonomicznym</w:t>
            </w:r>
            <w:r>
              <w:rPr>
                <w:rFonts w:ascii="Times New Roman" w:hAnsi="Times New Roman"/>
                <w:color w:val="000000"/>
              </w:rPr>
              <w:t xml:space="preserve"> </w:t>
            </w:r>
            <w:r w:rsidRPr="008725D2">
              <w:rPr>
                <w:rFonts w:ascii="Times New Roman" w:hAnsi="Times New Roman"/>
                <w:color w:val="000000"/>
              </w:rPr>
              <w:t>albo obniżonym wymiarem czasu pracy.</w:t>
            </w:r>
          </w:p>
          <w:p w:rsidR="002E71C6" w:rsidRPr="00DC2CD0" w:rsidRDefault="002E71C6" w:rsidP="008725D2">
            <w:pPr>
              <w:snapToGrid w:val="0"/>
              <w:spacing w:after="120" w:line="240" w:lineRule="auto"/>
              <w:jc w:val="both"/>
              <w:rPr>
                <w:rFonts w:ascii="Times New Roman" w:hAnsi="Times New Roman"/>
                <w:color w:val="000000"/>
                <w:u w:val="single"/>
              </w:rPr>
            </w:pPr>
            <w:r w:rsidRPr="00DC2CD0">
              <w:rPr>
                <w:rFonts w:ascii="Times New Roman" w:hAnsi="Times New Roman"/>
                <w:color w:val="000000"/>
                <w:u w:val="single"/>
              </w:rPr>
              <w:t xml:space="preserve">Zmiany w zakresie Prawa o miarach </w:t>
            </w:r>
          </w:p>
          <w:p w:rsidR="002E71C6" w:rsidRDefault="002E71C6" w:rsidP="008725D2">
            <w:pPr>
              <w:snapToGrid w:val="0"/>
              <w:spacing w:after="120" w:line="240" w:lineRule="auto"/>
              <w:jc w:val="both"/>
              <w:rPr>
                <w:rFonts w:ascii="Times New Roman" w:hAnsi="Times New Roman"/>
                <w:color w:val="000000"/>
              </w:rPr>
            </w:pPr>
            <w:r w:rsidRPr="008725D2">
              <w:rPr>
                <w:rFonts w:ascii="Times New Roman" w:hAnsi="Times New Roman"/>
                <w:color w:val="000000"/>
              </w:rPr>
              <w:t xml:space="preserve">Projektowana zmiana dot. legalizacji ponownej nie ma wpływu na sektor finansów publicznych. Dochody budżetu Państwa należne z tytułu pobierania opłat za czynności legalizacji ponownej, w okresie obowiązywania projektowanej regulacji zostaną tylko czasowo ograniczone, bowiem czynności legalizacyjne zostaną odroczone. Natomiast </w:t>
            </w:r>
            <w:r>
              <w:rPr>
                <w:rFonts w:ascii="Times New Roman" w:hAnsi="Times New Roman"/>
                <w:color w:val="000000"/>
              </w:rPr>
              <w:t xml:space="preserve">w </w:t>
            </w:r>
            <w:r w:rsidRPr="008725D2">
              <w:rPr>
                <w:rFonts w:ascii="Times New Roman" w:hAnsi="Times New Roman"/>
                <w:color w:val="000000"/>
              </w:rPr>
              <w:t>związku z faktem iż ww. przyrządy podlegają prawnej kontroli metrologicznej tj</w:t>
            </w:r>
            <w:r>
              <w:rPr>
                <w:rFonts w:ascii="Times New Roman" w:hAnsi="Times New Roman"/>
                <w:color w:val="000000"/>
              </w:rPr>
              <w:t>. ich użytkowanie bez wykonania</w:t>
            </w:r>
            <w:r w:rsidRPr="008725D2">
              <w:rPr>
                <w:rFonts w:ascii="Times New Roman" w:hAnsi="Times New Roman"/>
                <w:color w:val="000000"/>
              </w:rPr>
              <w:t xml:space="preserve"> legalizacji ponownej nie jest dopuszczalne, po okresie wygaśnięcia odroczenia wszystkie zgłoszone czynności legalizacyjne zostaną wykonane wraz z pobraniem należnych opłat.</w:t>
            </w:r>
          </w:p>
          <w:p w:rsidR="002E71C6" w:rsidRPr="005F32EF" w:rsidRDefault="002E71C6" w:rsidP="008E02F3">
            <w:pPr>
              <w:spacing w:line="240" w:lineRule="auto"/>
              <w:jc w:val="both"/>
              <w:rPr>
                <w:rFonts w:ascii="Times New Roman" w:hAnsi="Times New Roman"/>
                <w:color w:val="000000"/>
                <w:u w:val="single"/>
              </w:rPr>
            </w:pPr>
            <w:r w:rsidRPr="005F32EF">
              <w:rPr>
                <w:rFonts w:ascii="Times New Roman" w:hAnsi="Times New Roman"/>
                <w:color w:val="000000"/>
                <w:u w:val="single"/>
              </w:rPr>
              <w:t>Przerwa w prowadzeniu działalności gospodarczej do podatników korzystających z opodatkowania w formie karty podatkowej, którzy z uwagi COVID-19, nie mogą jej prowadzić</w:t>
            </w:r>
          </w:p>
          <w:p w:rsidR="002E71C6" w:rsidRDefault="002E71C6" w:rsidP="00491AC1">
            <w:pPr>
              <w:snapToGrid w:val="0"/>
              <w:spacing w:after="120" w:line="240" w:lineRule="auto"/>
              <w:jc w:val="both"/>
              <w:rPr>
                <w:rFonts w:ascii="Times New Roman" w:hAnsi="Times New Roman"/>
                <w:color w:val="000000"/>
              </w:rPr>
            </w:pPr>
            <w:r w:rsidRPr="00B076A7">
              <w:rPr>
                <w:rFonts w:ascii="Times New Roman" w:hAnsi="Times New Roman"/>
                <w:color w:val="000000"/>
              </w:rPr>
              <w:t xml:space="preserve">Projektowane rozwiązanie </w:t>
            </w:r>
            <w:r>
              <w:rPr>
                <w:rFonts w:ascii="Times New Roman" w:hAnsi="Times New Roman"/>
                <w:color w:val="000000"/>
              </w:rPr>
              <w:t>może dotyczyć 103 tys. podatników (liczba podatników prowadzących działalność gospodarczą opodatkowaną w tej formie). Zawieszenie wykonywania działalności to obniżenie wpływów z podatku dochodowego w skali miesiąca o kwotę 6 mln zł.</w:t>
            </w:r>
          </w:p>
          <w:p w:rsidR="002E71C6" w:rsidRDefault="002E71C6" w:rsidP="008E02F3">
            <w:pPr>
              <w:spacing w:after="120" w:line="240" w:lineRule="auto"/>
              <w:jc w:val="both"/>
              <w:rPr>
                <w:rFonts w:ascii="Times New Roman" w:eastAsiaTheme="minorHAnsi" w:hAnsi="Times New Roman"/>
                <w:u w:val="single"/>
              </w:rPr>
            </w:pPr>
            <w:r>
              <w:rPr>
                <w:rFonts w:ascii="Times New Roman" w:hAnsi="Times New Roman"/>
                <w:u w:val="single"/>
              </w:rPr>
              <w:t xml:space="preserve">Umożliwienie odliczenia od dochodu (przychodu) </w:t>
            </w:r>
            <w:r w:rsidRPr="005F32EF">
              <w:rPr>
                <w:rFonts w:ascii="Times New Roman" w:hAnsi="Times New Roman"/>
                <w:bCs/>
                <w:u w:val="single"/>
              </w:rPr>
              <w:t xml:space="preserve">darowizn rzeczowych, których przedmiotem są komputery </w:t>
            </w:r>
            <w:r>
              <w:rPr>
                <w:rFonts w:ascii="Times New Roman" w:hAnsi="Times New Roman"/>
                <w:u w:val="single"/>
              </w:rPr>
              <w:t xml:space="preserve">przekazane w okresie od 1 stycznia 2020 r. do 30 września 2020 r. placówkom wskazanym w projekcie ustawy, zaliczenie do kosztów uzyskania przychodów kosztów wytworzenia lub ceny nabycia rzeczy będących przedmiotem wskazanych darowizn, wyłączenie z przychodów wartości otrzymanych darowizn. </w:t>
            </w:r>
          </w:p>
          <w:p w:rsidR="002E71C6" w:rsidRDefault="002E71C6" w:rsidP="008E02F3">
            <w:pPr>
              <w:spacing w:after="120" w:line="240" w:lineRule="auto"/>
              <w:jc w:val="both"/>
              <w:rPr>
                <w:rFonts w:ascii="Times New Roman" w:hAnsi="Times New Roman"/>
              </w:rPr>
            </w:pPr>
            <w:r>
              <w:rPr>
                <w:rFonts w:ascii="Times New Roman" w:hAnsi="Times New Roman"/>
              </w:rPr>
              <w:t xml:space="preserve">Projektowane rozwiązania wpłyną na zmniejszenie dochodów sektora finansów publicznych, tj. zarówno dochodów budżetu państwa, jak i dochodów jednostek samorządu terytorialnego, które mają udziały we wpływach z tytułu podatku dochodowego od osób fizycznych (zasady ogólne), jak i podatku dochodowego od osób prawnych. Udział </w:t>
            </w:r>
            <w:proofErr w:type="spellStart"/>
            <w:r>
              <w:rPr>
                <w:rFonts w:ascii="Times New Roman" w:hAnsi="Times New Roman"/>
              </w:rPr>
              <w:t>jst</w:t>
            </w:r>
            <w:proofErr w:type="spellEnd"/>
            <w:r>
              <w:rPr>
                <w:rFonts w:ascii="Times New Roman" w:hAnsi="Times New Roman"/>
              </w:rPr>
              <w:t xml:space="preserve"> w 2020 r. z tytułu podatków dochodowych wynosi odpowiednio (50,01% i 22,86%).</w:t>
            </w:r>
          </w:p>
          <w:p w:rsidR="002E71C6" w:rsidRDefault="002E71C6" w:rsidP="008E02F3">
            <w:pPr>
              <w:tabs>
                <w:tab w:val="left" w:pos="1719"/>
              </w:tabs>
              <w:spacing w:after="120" w:line="240" w:lineRule="auto"/>
              <w:jc w:val="both"/>
              <w:rPr>
                <w:rFonts w:ascii="Times New Roman" w:hAnsi="Times New Roman"/>
              </w:rPr>
            </w:pPr>
            <w:r>
              <w:rPr>
                <w:rFonts w:ascii="Times New Roman" w:hAnsi="Times New Roman"/>
              </w:rPr>
              <w:t>Rozwiązania te spowodują zmiany w wielkościach kosztów uzyskania przychodów (wytworzenia lub nabycia rzeczy będących przedmiotem darowizn), przychodu (wyłączenie wartości otrzymanych darowizn) oraz odliczanych dotychczas darowizn.</w:t>
            </w:r>
          </w:p>
          <w:p w:rsidR="002E71C6" w:rsidRDefault="002E71C6" w:rsidP="008E02F3">
            <w:pPr>
              <w:spacing w:after="120" w:line="240" w:lineRule="auto"/>
              <w:jc w:val="both"/>
              <w:rPr>
                <w:rFonts w:ascii="Times New Roman" w:hAnsi="Times New Roman"/>
              </w:rPr>
            </w:pPr>
            <w:r>
              <w:rPr>
                <w:rFonts w:ascii="Times New Roman" w:hAnsi="Times New Roman"/>
              </w:rPr>
              <w:t>Wartość dotychczas odliczanych darowizn zgodnie z rozliczeniem podatku dochodowego od osób fizycznych (w tym ryczałtu od przychodów ewidencjonowanych) i podatku dochodowego od osób prawnych za lata 2016-2018 wynosiła:</w:t>
            </w:r>
          </w:p>
          <w:tbl>
            <w:tblPr>
              <w:tblW w:w="8283" w:type="dxa"/>
              <w:jc w:val="center"/>
              <w:tblLayout w:type="fixed"/>
              <w:tblCellMar>
                <w:left w:w="0" w:type="dxa"/>
                <w:right w:w="0" w:type="dxa"/>
              </w:tblCellMar>
              <w:tblLook w:val="04A0" w:firstRow="1" w:lastRow="0" w:firstColumn="1" w:lastColumn="0" w:noHBand="0" w:noVBand="1"/>
            </w:tblPr>
            <w:tblGrid>
              <w:gridCol w:w="2266"/>
              <w:gridCol w:w="1031"/>
              <w:gridCol w:w="859"/>
              <w:gridCol w:w="859"/>
              <w:gridCol w:w="761"/>
              <w:gridCol w:w="787"/>
              <w:gridCol w:w="859"/>
              <w:gridCol w:w="861"/>
            </w:tblGrid>
            <w:tr w:rsidR="002E71C6" w:rsidTr="002A37BC">
              <w:trPr>
                <w:trHeight w:val="525"/>
                <w:jc w:val="center"/>
              </w:trPr>
              <w:tc>
                <w:tcPr>
                  <w:tcW w:w="3297" w:type="dxa"/>
                  <w:gridSpan w:val="2"/>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Wyszczególnienie</w:t>
                  </w:r>
                </w:p>
              </w:tc>
              <w:tc>
                <w:tcPr>
                  <w:tcW w:w="2479" w:type="dxa"/>
                  <w:gridSpan w:val="3"/>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Podatnicy podatku dochodowego od osób fizycznych</w:t>
                  </w:r>
                </w:p>
              </w:tc>
              <w:tc>
                <w:tcPr>
                  <w:tcW w:w="2507" w:type="dxa"/>
                  <w:gridSpan w:val="3"/>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Podatnicy podatku dochodowego od osób prawnych</w:t>
                  </w:r>
                </w:p>
              </w:tc>
            </w:tr>
            <w:tr w:rsidR="002E71C6" w:rsidTr="002A37BC">
              <w:trPr>
                <w:trHeight w:val="173"/>
                <w:jc w:val="center"/>
              </w:trPr>
              <w:tc>
                <w:tcPr>
                  <w:tcW w:w="3297" w:type="dxa"/>
                  <w:gridSpan w:val="2"/>
                  <w:vMerge/>
                  <w:tcBorders>
                    <w:top w:val="single" w:sz="8" w:space="0" w:color="auto"/>
                    <w:left w:val="single" w:sz="8" w:space="0" w:color="auto"/>
                    <w:bottom w:val="single" w:sz="8" w:space="0" w:color="auto"/>
                    <w:right w:val="single" w:sz="8" w:space="0" w:color="auto"/>
                  </w:tcBorders>
                  <w:vAlign w:val="center"/>
                  <w:hideMark/>
                </w:tcPr>
                <w:p w:rsidR="002E71C6" w:rsidRDefault="002E71C6" w:rsidP="006C5AEF">
                  <w:pPr>
                    <w:rPr>
                      <w:rFonts w:ascii="Times New Roman" w:eastAsiaTheme="minorHAnsi" w:hAnsi="Times New Roman"/>
                      <w:color w:val="000000"/>
                      <w:sz w:val="20"/>
                      <w:szCs w:val="20"/>
                      <w:lang w:eastAsia="pl-PL"/>
                    </w:rPr>
                  </w:pP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2016</w:t>
                  </w: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2017</w:t>
                  </w:r>
                </w:p>
              </w:tc>
              <w:tc>
                <w:tcPr>
                  <w:tcW w:w="76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2018</w:t>
                  </w:r>
                </w:p>
              </w:tc>
              <w:tc>
                <w:tcPr>
                  <w:tcW w:w="78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2016</w:t>
                  </w: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2017</w:t>
                  </w:r>
                </w:p>
              </w:tc>
              <w:tc>
                <w:tcPr>
                  <w:tcW w:w="86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2018</w:t>
                  </w:r>
                </w:p>
              </w:tc>
            </w:tr>
            <w:tr w:rsidR="002E71C6" w:rsidTr="002A37BC">
              <w:trPr>
                <w:trHeight w:val="349"/>
                <w:jc w:val="center"/>
              </w:trPr>
              <w:tc>
                <w:tcPr>
                  <w:tcW w:w="22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 xml:space="preserve">Kwota dokonanych darowizn </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[mln zł]</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384</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413</w:t>
                  </w:r>
                </w:p>
              </w:tc>
              <w:tc>
                <w:tcPr>
                  <w:tcW w:w="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458</w:t>
                  </w:r>
                </w:p>
              </w:tc>
              <w:tc>
                <w:tcPr>
                  <w:tcW w:w="7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311</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384</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475</w:t>
                  </w:r>
                </w:p>
              </w:tc>
            </w:tr>
            <w:tr w:rsidR="002E71C6" w:rsidTr="002A37BC">
              <w:trPr>
                <w:trHeight w:val="349"/>
                <w:jc w:val="center"/>
              </w:trPr>
              <w:tc>
                <w:tcPr>
                  <w:tcW w:w="2266"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Skutek odliczenia darowizn</w:t>
                  </w:r>
                </w:p>
              </w:tc>
              <w:tc>
                <w:tcPr>
                  <w:tcW w:w="103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[mln zł]</w:t>
                  </w: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90</w:t>
                  </w: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96</w:t>
                  </w:r>
                </w:p>
              </w:tc>
              <w:tc>
                <w:tcPr>
                  <w:tcW w:w="76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107</w:t>
                  </w:r>
                </w:p>
              </w:tc>
              <w:tc>
                <w:tcPr>
                  <w:tcW w:w="787"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59</w:t>
                  </w:r>
                </w:p>
              </w:tc>
              <w:tc>
                <w:tcPr>
                  <w:tcW w:w="859"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73</w:t>
                  </w:r>
                </w:p>
              </w:tc>
              <w:tc>
                <w:tcPr>
                  <w:tcW w:w="861"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E71C6" w:rsidRDefault="002E71C6" w:rsidP="006C5AEF">
                  <w:pPr>
                    <w:spacing w:after="120"/>
                    <w:jc w:val="center"/>
                    <w:rPr>
                      <w:rFonts w:ascii="Times New Roman" w:hAnsi="Times New Roman"/>
                      <w:color w:val="000000"/>
                      <w:sz w:val="20"/>
                      <w:szCs w:val="20"/>
                      <w:lang w:eastAsia="pl-PL"/>
                    </w:rPr>
                  </w:pPr>
                  <w:r>
                    <w:rPr>
                      <w:rFonts w:ascii="Times New Roman" w:hAnsi="Times New Roman"/>
                      <w:color w:val="000000"/>
                      <w:sz w:val="20"/>
                      <w:szCs w:val="20"/>
                      <w:lang w:eastAsia="pl-PL"/>
                    </w:rPr>
                    <w:t>90</w:t>
                  </w:r>
                </w:p>
              </w:tc>
            </w:tr>
          </w:tbl>
          <w:p w:rsidR="002E71C6" w:rsidRDefault="002E71C6" w:rsidP="006C5AEF">
            <w:pPr>
              <w:snapToGrid w:val="0"/>
              <w:spacing w:after="120" w:line="240" w:lineRule="auto"/>
              <w:jc w:val="both"/>
              <w:rPr>
                <w:rFonts w:ascii="Times New Roman" w:hAnsi="Times New Roman"/>
              </w:rPr>
            </w:pPr>
            <w:r>
              <w:rPr>
                <w:rFonts w:ascii="Times New Roman" w:hAnsi="Times New Roman"/>
                <w:color w:val="000000"/>
              </w:rPr>
              <w:t xml:space="preserve">Skala zmian w tym zakresie </w:t>
            </w:r>
            <w:r>
              <w:rPr>
                <w:rFonts w:ascii="Times New Roman" w:hAnsi="Times New Roman"/>
              </w:rPr>
              <w:t xml:space="preserve">będzie jednak uzależniona od możliwości oraz skłonności podatników do przekazywania darowizn na cele określone w ustawie. </w:t>
            </w:r>
          </w:p>
          <w:p w:rsidR="002E71C6" w:rsidRPr="008E02F3" w:rsidRDefault="002E71C6" w:rsidP="00221105">
            <w:pPr>
              <w:snapToGrid w:val="0"/>
              <w:spacing w:after="120" w:line="240" w:lineRule="auto"/>
              <w:jc w:val="both"/>
              <w:rPr>
                <w:rFonts w:ascii="Times New Roman" w:hAnsi="Times New Roman"/>
                <w:color w:val="000000"/>
              </w:rPr>
            </w:pPr>
            <w:r w:rsidRPr="002827F6">
              <w:rPr>
                <w:rFonts w:ascii="Times New Roman" w:hAnsi="Times New Roman"/>
                <w:u w:val="single"/>
              </w:rPr>
              <w:t xml:space="preserve">Zmiany w Kodeksie postępowania karnego </w:t>
            </w:r>
            <w:r w:rsidRPr="008E02F3">
              <w:rPr>
                <w:rFonts w:ascii="Times New Roman" w:hAnsi="Times New Roman"/>
                <w:color w:val="000000"/>
              </w:rPr>
              <w:t>nie będą wymagały angażowania dodatkowych środków.</w:t>
            </w:r>
          </w:p>
          <w:p w:rsidR="003735AA" w:rsidRPr="005B0F33" w:rsidRDefault="003735AA" w:rsidP="00221105">
            <w:pPr>
              <w:snapToGrid w:val="0"/>
              <w:spacing w:after="120" w:line="240" w:lineRule="auto"/>
              <w:jc w:val="both"/>
              <w:rPr>
                <w:rFonts w:ascii="Times New Roman" w:hAnsi="Times New Roman"/>
                <w:color w:val="000000"/>
              </w:rPr>
            </w:pPr>
            <w:r w:rsidRPr="005B0F33">
              <w:rPr>
                <w:rFonts w:ascii="Times New Roman" w:hAnsi="Times New Roman"/>
                <w:color w:val="000000"/>
                <w:u w:val="single"/>
              </w:rPr>
              <w:t>Zmiany dot. wzorów pouczeń</w:t>
            </w:r>
            <w:r w:rsidRPr="005B0F33">
              <w:rPr>
                <w:rFonts w:ascii="Times New Roman" w:hAnsi="Times New Roman"/>
                <w:color w:val="000000"/>
              </w:rPr>
              <w:t xml:space="preserve"> mogą wpłynąć na ewentualne oszczędności ze zmniejszonej ilości wydruków papierowych.</w:t>
            </w:r>
            <w:r w:rsidR="00A41513" w:rsidRPr="005B0F33">
              <w:rPr>
                <w:rFonts w:ascii="Times New Roman" w:hAnsi="Times New Roman"/>
                <w:color w:val="000000"/>
              </w:rPr>
              <w:t xml:space="preserve"> Na obecnym etapie rezygnacja z określania wzorów pouczeń, których udzielania na piśmie wymaga kodeks, pozwoli na zmniejszenie wydatków z budżetu państwa związanych z pracami nad wzorami tychże dokumentów.</w:t>
            </w:r>
          </w:p>
          <w:p w:rsidR="003735AA" w:rsidRPr="005B0F33" w:rsidRDefault="003735AA" w:rsidP="00221105">
            <w:pPr>
              <w:snapToGrid w:val="0"/>
              <w:spacing w:after="120" w:line="240" w:lineRule="auto"/>
              <w:jc w:val="both"/>
              <w:rPr>
                <w:rFonts w:ascii="Times New Roman" w:hAnsi="Times New Roman"/>
                <w:color w:val="000000"/>
              </w:rPr>
            </w:pPr>
            <w:r w:rsidRPr="005B0F33">
              <w:rPr>
                <w:rFonts w:ascii="Times New Roman" w:hAnsi="Times New Roman"/>
                <w:color w:val="000000"/>
                <w:u w:val="single"/>
              </w:rPr>
              <w:t>Zmiany w Kodeksie wykroczeń</w:t>
            </w:r>
            <w:r w:rsidRPr="005B0F33">
              <w:rPr>
                <w:rFonts w:ascii="Times New Roman" w:hAnsi="Times New Roman"/>
                <w:color w:val="000000"/>
              </w:rPr>
              <w:t xml:space="preserve"> w zakresie nowego czynu karalnego zagrożonego karą grzywny mogą wiązać się z potencjalnym wzrostem dochodów budżetu państwa z tytułu płaconych grzywien.</w:t>
            </w:r>
          </w:p>
          <w:p w:rsidR="00F84C68" w:rsidRDefault="00F84C68" w:rsidP="00F84C68">
            <w:pPr>
              <w:spacing w:line="240" w:lineRule="auto"/>
              <w:jc w:val="both"/>
              <w:rPr>
                <w:rFonts w:ascii="Times New Roman" w:hAnsi="Times New Roman"/>
                <w:u w:val="single"/>
              </w:rPr>
            </w:pPr>
            <w:r w:rsidRPr="000B1AE6">
              <w:rPr>
                <w:rFonts w:ascii="Times New Roman" w:hAnsi="Times New Roman"/>
                <w:u w:val="single"/>
              </w:rPr>
              <w:t>Zmiany w zakresie dodatkowego zasiłku opiekuńczego</w:t>
            </w:r>
          </w:p>
          <w:p w:rsidR="00E11331" w:rsidRPr="005B0F33" w:rsidRDefault="005B0F33" w:rsidP="001F6C49">
            <w:pPr>
              <w:snapToGrid w:val="0"/>
              <w:spacing w:line="240" w:lineRule="auto"/>
              <w:jc w:val="both"/>
              <w:rPr>
                <w:rFonts w:ascii="Times New Roman" w:hAnsi="Times New Roman"/>
                <w:color w:val="000000"/>
              </w:rPr>
            </w:pPr>
            <w:r w:rsidRPr="005B0F33">
              <w:rPr>
                <w:rFonts w:ascii="Times New Roman" w:hAnsi="Times New Roman"/>
                <w:color w:val="000000"/>
              </w:rPr>
              <w:t xml:space="preserve">Szacunkowy maksymalny skutek dodatkowego zasiłku opiekuńczego do lat 8 przez okres 14 dni wynosi ok. 1,8 mld zł. Skutki wypłaty dodatkowego zasiłku opiekuńczego przez 14 dni z tytułu opieki nad dziećmi i osobami niepełnosprawnymi szacuje się na kwotę 307,1 mln zł, a koszt wypłaty - w przypadku niemożności sprawowania opieki przez nianię lub dziennego opiekuna – na kwotę ok. 20 mln zł. Łącznie: 2,127 mld zł. </w:t>
            </w:r>
            <w:r w:rsidR="001F6C49">
              <w:rPr>
                <w:rFonts w:ascii="Tms Rmn" w:eastAsiaTheme="minorHAnsi" w:hAnsi="Tms Rmn" w:cs="Tms Rmn"/>
                <w:color w:val="000000"/>
              </w:rPr>
              <w:t xml:space="preserve">Ze względów ostrożnościowych w tabeli </w:t>
            </w:r>
            <w:r w:rsidR="001F6C49">
              <w:rPr>
                <w:rFonts w:ascii="Tms Rmn" w:eastAsiaTheme="minorHAnsi" w:hAnsi="Tms Rmn" w:cs="Tms Rmn"/>
                <w:color w:val="000000"/>
              </w:rPr>
              <w:t xml:space="preserve">6 </w:t>
            </w:r>
            <w:r w:rsidR="001F6C49">
              <w:rPr>
                <w:rFonts w:ascii="Tms Rmn" w:eastAsiaTheme="minorHAnsi" w:hAnsi="Tms Rmn" w:cs="Tms Rmn"/>
                <w:color w:val="000000"/>
              </w:rPr>
              <w:t xml:space="preserve">nie uwzględniano potencjalnych dochodów sektora finansów publicznych z tytułu podatku dochodowego i składek na ubezpieczenie zdrowotne odprowadzanych z tytułu </w:t>
            </w:r>
            <w:r w:rsidR="001F6C49">
              <w:rPr>
                <w:rFonts w:ascii="Tms Rmn" w:eastAsiaTheme="minorHAnsi" w:hAnsi="Tms Rmn" w:cs="Tms Rmn"/>
                <w:color w:val="000000"/>
              </w:rPr>
              <w:t xml:space="preserve">dodatkowego </w:t>
            </w:r>
            <w:r w:rsidR="001F6C49">
              <w:rPr>
                <w:rFonts w:ascii="Tms Rmn" w:eastAsiaTheme="minorHAnsi" w:hAnsi="Tms Rmn" w:cs="Tms Rmn"/>
                <w:color w:val="000000"/>
              </w:rPr>
              <w:t>zasiłku opiekuńczego.</w:t>
            </w:r>
            <w:r w:rsidR="001F6C49">
              <w:rPr>
                <w:rFonts w:ascii="Tms Rmn" w:eastAsiaTheme="minorHAnsi" w:hAnsi="Tms Rmn" w:cs="Tms Rmn"/>
                <w:color w:val="000000"/>
              </w:rPr>
              <w:t xml:space="preserve"> </w:t>
            </w:r>
          </w:p>
        </w:tc>
      </w:tr>
      <w:tr w:rsidR="002E71C6" w:rsidRPr="008D6E94" w:rsidTr="002A37BC">
        <w:trPr>
          <w:trHeight w:val="345"/>
        </w:trPr>
        <w:tc>
          <w:tcPr>
            <w:tcW w:w="11039" w:type="dxa"/>
            <w:gridSpan w:val="28"/>
            <w:shd w:val="clear" w:color="auto" w:fill="99CCFF"/>
          </w:tcPr>
          <w:p w:rsidR="002E71C6" w:rsidRPr="004B4C6E" w:rsidRDefault="002E71C6" w:rsidP="00983F37">
            <w:pPr>
              <w:spacing w:line="240" w:lineRule="auto"/>
              <w:jc w:val="both"/>
              <w:rPr>
                <w:rFonts w:ascii="Times New Roman" w:hAnsi="Times New Roman"/>
                <w:b/>
                <w:color w:val="000000"/>
                <w:spacing w:val="-2"/>
              </w:rPr>
            </w:pPr>
            <w:r w:rsidRPr="004B4C6E">
              <w:rPr>
                <w:rFonts w:ascii="Times New Roman" w:hAnsi="Times New Roman"/>
                <w:b/>
                <w:color w:val="000000"/>
                <w:spacing w:val="-2"/>
              </w:rPr>
              <w:t xml:space="preserve">7. Wpływ na </w:t>
            </w:r>
            <w:r w:rsidRPr="004B4C6E">
              <w:rPr>
                <w:rFonts w:ascii="Times New Roman" w:hAnsi="Times New Roman"/>
                <w:b/>
                <w:color w:val="000000"/>
              </w:rPr>
              <w:t xml:space="preserve">konkurencyjność gospodarki i przedsiębiorczość, w tym funkcjonowanie przedsiębiorców oraz na rodzinę, obywateli i gospodarstwa domowe </w:t>
            </w:r>
          </w:p>
        </w:tc>
      </w:tr>
      <w:tr w:rsidR="002E71C6" w:rsidRPr="008D6E94" w:rsidTr="002A37BC">
        <w:trPr>
          <w:trHeight w:val="142"/>
        </w:trPr>
        <w:tc>
          <w:tcPr>
            <w:tcW w:w="11039" w:type="dxa"/>
            <w:gridSpan w:val="28"/>
            <w:shd w:val="clear" w:color="auto" w:fill="FFFFFF"/>
          </w:tcPr>
          <w:p w:rsidR="002E71C6" w:rsidRPr="004B4C6E" w:rsidRDefault="002E71C6" w:rsidP="00983F37">
            <w:pPr>
              <w:spacing w:line="240" w:lineRule="auto"/>
              <w:jc w:val="center"/>
              <w:rPr>
                <w:rFonts w:ascii="Times New Roman" w:hAnsi="Times New Roman"/>
                <w:color w:val="000000"/>
                <w:spacing w:val="-2"/>
              </w:rPr>
            </w:pPr>
            <w:r w:rsidRPr="004B4C6E">
              <w:rPr>
                <w:rFonts w:ascii="Times New Roman" w:hAnsi="Times New Roman"/>
                <w:color w:val="000000"/>
                <w:spacing w:val="-2"/>
              </w:rPr>
              <w:t>Skutki</w:t>
            </w:r>
          </w:p>
        </w:tc>
      </w:tr>
      <w:tr w:rsidR="002E71C6" w:rsidRPr="008D6E94" w:rsidTr="002A37BC">
        <w:trPr>
          <w:trHeight w:val="142"/>
        </w:trPr>
        <w:tc>
          <w:tcPr>
            <w:tcW w:w="4395" w:type="dxa"/>
            <w:gridSpan w:val="10"/>
            <w:shd w:val="clear" w:color="auto" w:fill="FFFFFF"/>
          </w:tcPr>
          <w:p w:rsidR="002E71C6" w:rsidRPr="004B4C6E" w:rsidRDefault="002E71C6" w:rsidP="00983F37">
            <w:pPr>
              <w:spacing w:line="240" w:lineRule="auto"/>
              <w:rPr>
                <w:rFonts w:ascii="Times New Roman" w:hAnsi="Times New Roman"/>
              </w:rPr>
            </w:pPr>
            <w:r w:rsidRPr="004B4C6E">
              <w:rPr>
                <w:rFonts w:ascii="Times New Roman" w:hAnsi="Times New Roman"/>
              </w:rPr>
              <w:t>Czas w latach od wejścia w życie zmian</w:t>
            </w:r>
          </w:p>
        </w:tc>
        <w:tc>
          <w:tcPr>
            <w:tcW w:w="1004" w:type="dxa"/>
            <w:gridSpan w:val="2"/>
            <w:shd w:val="clear" w:color="auto" w:fill="FFFFFF"/>
          </w:tcPr>
          <w:p w:rsidR="002E71C6" w:rsidRPr="004B4C6E" w:rsidRDefault="002E71C6" w:rsidP="00983F37">
            <w:pPr>
              <w:spacing w:line="240" w:lineRule="auto"/>
              <w:jc w:val="center"/>
              <w:rPr>
                <w:rFonts w:ascii="Times New Roman" w:hAnsi="Times New Roman"/>
              </w:rPr>
            </w:pPr>
            <w:r w:rsidRPr="004B4C6E">
              <w:rPr>
                <w:rFonts w:ascii="Times New Roman" w:hAnsi="Times New Roman"/>
              </w:rPr>
              <w:t>0</w:t>
            </w:r>
          </w:p>
        </w:tc>
        <w:tc>
          <w:tcPr>
            <w:tcW w:w="791" w:type="dxa"/>
            <w:gridSpan w:val="3"/>
            <w:shd w:val="clear" w:color="auto" w:fill="FFFFFF"/>
          </w:tcPr>
          <w:p w:rsidR="002E71C6" w:rsidRPr="004B4C6E" w:rsidRDefault="002E71C6" w:rsidP="00983F37">
            <w:pPr>
              <w:spacing w:line="240" w:lineRule="auto"/>
              <w:jc w:val="center"/>
              <w:rPr>
                <w:rFonts w:ascii="Times New Roman" w:hAnsi="Times New Roman"/>
              </w:rPr>
            </w:pPr>
            <w:r w:rsidRPr="004B4C6E">
              <w:rPr>
                <w:rFonts w:ascii="Times New Roman" w:hAnsi="Times New Roman"/>
              </w:rPr>
              <w:t>1</w:t>
            </w:r>
          </w:p>
        </w:tc>
        <w:tc>
          <w:tcPr>
            <w:tcW w:w="851" w:type="dxa"/>
            <w:gridSpan w:val="2"/>
            <w:shd w:val="clear" w:color="auto" w:fill="FFFFFF"/>
          </w:tcPr>
          <w:p w:rsidR="002E71C6" w:rsidRPr="004B4C6E" w:rsidRDefault="002E71C6" w:rsidP="00983F37">
            <w:pPr>
              <w:spacing w:line="240" w:lineRule="auto"/>
              <w:jc w:val="center"/>
              <w:rPr>
                <w:rFonts w:ascii="Times New Roman" w:hAnsi="Times New Roman"/>
              </w:rPr>
            </w:pPr>
            <w:r w:rsidRPr="004B4C6E">
              <w:rPr>
                <w:rFonts w:ascii="Times New Roman" w:hAnsi="Times New Roman"/>
              </w:rPr>
              <w:t>2</w:t>
            </w:r>
          </w:p>
        </w:tc>
        <w:tc>
          <w:tcPr>
            <w:tcW w:w="992" w:type="dxa"/>
            <w:gridSpan w:val="5"/>
            <w:shd w:val="clear" w:color="auto" w:fill="FFFFFF"/>
          </w:tcPr>
          <w:p w:rsidR="002E71C6" w:rsidRPr="004B4C6E" w:rsidRDefault="002E71C6" w:rsidP="00983F37">
            <w:pPr>
              <w:spacing w:line="240" w:lineRule="auto"/>
              <w:jc w:val="center"/>
              <w:rPr>
                <w:rFonts w:ascii="Times New Roman" w:hAnsi="Times New Roman"/>
              </w:rPr>
            </w:pPr>
            <w:r w:rsidRPr="004B4C6E">
              <w:rPr>
                <w:rFonts w:ascii="Times New Roman" w:hAnsi="Times New Roman"/>
              </w:rPr>
              <w:t>3</w:t>
            </w:r>
          </w:p>
        </w:tc>
        <w:tc>
          <w:tcPr>
            <w:tcW w:w="992" w:type="dxa"/>
            <w:gridSpan w:val="3"/>
            <w:shd w:val="clear" w:color="auto" w:fill="FFFFFF"/>
          </w:tcPr>
          <w:p w:rsidR="002E71C6" w:rsidRPr="004B4C6E" w:rsidRDefault="002E71C6" w:rsidP="00983F37">
            <w:pPr>
              <w:spacing w:line="240" w:lineRule="auto"/>
              <w:jc w:val="center"/>
              <w:rPr>
                <w:rFonts w:ascii="Times New Roman" w:hAnsi="Times New Roman"/>
              </w:rPr>
            </w:pPr>
            <w:r>
              <w:rPr>
                <w:rFonts w:ascii="Times New Roman" w:hAnsi="Times New Roman"/>
              </w:rPr>
              <w:t>5</w:t>
            </w:r>
          </w:p>
        </w:tc>
        <w:tc>
          <w:tcPr>
            <w:tcW w:w="993" w:type="dxa"/>
            <w:gridSpan w:val="2"/>
            <w:shd w:val="clear" w:color="auto" w:fill="FFFFFF"/>
          </w:tcPr>
          <w:p w:rsidR="002E71C6" w:rsidRPr="004B4C6E" w:rsidRDefault="002E71C6" w:rsidP="00983F37">
            <w:pPr>
              <w:spacing w:line="240" w:lineRule="auto"/>
              <w:jc w:val="center"/>
              <w:rPr>
                <w:rFonts w:ascii="Times New Roman" w:hAnsi="Times New Roman"/>
              </w:rPr>
            </w:pPr>
            <w:r w:rsidRPr="004B4C6E">
              <w:rPr>
                <w:rFonts w:ascii="Times New Roman" w:hAnsi="Times New Roman"/>
              </w:rPr>
              <w:t>10</w:t>
            </w:r>
          </w:p>
        </w:tc>
        <w:tc>
          <w:tcPr>
            <w:tcW w:w="1021" w:type="dxa"/>
            <w:shd w:val="clear" w:color="auto" w:fill="FFFFFF"/>
          </w:tcPr>
          <w:p w:rsidR="002E71C6" w:rsidRPr="004B4C6E" w:rsidRDefault="002E71C6" w:rsidP="00983F37">
            <w:pPr>
              <w:spacing w:line="240" w:lineRule="auto"/>
              <w:jc w:val="center"/>
              <w:rPr>
                <w:rFonts w:ascii="Times New Roman" w:hAnsi="Times New Roman"/>
                <w:i/>
                <w:spacing w:val="-2"/>
              </w:rPr>
            </w:pPr>
            <w:r w:rsidRPr="004B4C6E">
              <w:rPr>
                <w:rFonts w:ascii="Times New Roman" w:hAnsi="Times New Roman"/>
                <w:i/>
                <w:spacing w:val="-2"/>
              </w:rPr>
              <w:t>Łącznie</w:t>
            </w:r>
            <w:r w:rsidRPr="004B4C6E" w:rsidDel="0073273A">
              <w:rPr>
                <w:rFonts w:ascii="Times New Roman" w:hAnsi="Times New Roman"/>
                <w:i/>
                <w:spacing w:val="-2"/>
              </w:rPr>
              <w:t xml:space="preserve"> </w:t>
            </w:r>
            <w:r w:rsidRPr="004B4C6E">
              <w:rPr>
                <w:rFonts w:ascii="Times New Roman" w:hAnsi="Times New Roman"/>
                <w:i/>
                <w:spacing w:val="-2"/>
              </w:rPr>
              <w:t>(0-10)</w:t>
            </w:r>
          </w:p>
        </w:tc>
      </w:tr>
      <w:tr w:rsidR="002E71C6" w:rsidRPr="008D6E94" w:rsidTr="002A37BC">
        <w:trPr>
          <w:trHeight w:val="142"/>
        </w:trPr>
        <w:tc>
          <w:tcPr>
            <w:tcW w:w="1739" w:type="dxa"/>
            <w:gridSpan w:val="3"/>
            <w:vMerge w:val="restart"/>
            <w:shd w:val="clear" w:color="auto" w:fill="FFFFFF"/>
          </w:tcPr>
          <w:p w:rsidR="002E71C6" w:rsidRPr="004B4C6E" w:rsidRDefault="002E71C6" w:rsidP="00983F37">
            <w:pPr>
              <w:spacing w:line="240" w:lineRule="auto"/>
              <w:rPr>
                <w:rFonts w:ascii="Times New Roman" w:hAnsi="Times New Roman"/>
              </w:rPr>
            </w:pPr>
            <w:r w:rsidRPr="004B4C6E">
              <w:rPr>
                <w:rFonts w:ascii="Times New Roman" w:hAnsi="Times New Roman"/>
              </w:rPr>
              <w:t>W ujęciu pieniężnym</w:t>
            </w:r>
          </w:p>
          <w:p w:rsidR="002E71C6" w:rsidRPr="004B4C6E" w:rsidRDefault="002E71C6" w:rsidP="00990F0D">
            <w:pPr>
              <w:spacing w:line="240" w:lineRule="auto"/>
              <w:rPr>
                <w:rFonts w:ascii="Times New Roman" w:hAnsi="Times New Roman"/>
              </w:rPr>
            </w:pPr>
            <w:r w:rsidRPr="004B4C6E">
              <w:rPr>
                <w:rFonts w:ascii="Times New Roman" w:hAnsi="Times New Roman"/>
                <w:spacing w:val="-2"/>
              </w:rPr>
              <w:t>(w mln zł</w:t>
            </w:r>
            <w:r>
              <w:rPr>
                <w:rFonts w:ascii="Times New Roman" w:hAnsi="Times New Roman"/>
                <w:spacing w:val="-2"/>
              </w:rPr>
              <w:t xml:space="preserve">, </w:t>
            </w:r>
            <w:r w:rsidRPr="004B4C6E">
              <w:rPr>
                <w:rFonts w:ascii="Times New Roman" w:hAnsi="Times New Roman"/>
                <w:spacing w:val="-2"/>
              </w:rPr>
              <w:t>ceny stałe z 2020 r)</w:t>
            </w:r>
          </w:p>
        </w:tc>
        <w:tc>
          <w:tcPr>
            <w:tcW w:w="2656" w:type="dxa"/>
            <w:gridSpan w:val="7"/>
            <w:shd w:val="clear" w:color="auto" w:fill="FFFFFF"/>
          </w:tcPr>
          <w:p w:rsidR="002E71C6" w:rsidRPr="004B4C6E" w:rsidRDefault="002E71C6" w:rsidP="002A37BC">
            <w:pPr>
              <w:spacing w:line="240" w:lineRule="auto"/>
              <w:rPr>
                <w:rFonts w:ascii="Times New Roman" w:hAnsi="Times New Roman"/>
              </w:rPr>
            </w:pPr>
            <w:r w:rsidRPr="004B4C6E">
              <w:rPr>
                <w:rFonts w:ascii="Times New Roman" w:hAnsi="Times New Roman"/>
              </w:rPr>
              <w:t>duże przedsiębiorstwa</w:t>
            </w:r>
          </w:p>
        </w:tc>
        <w:tc>
          <w:tcPr>
            <w:tcW w:w="1004" w:type="dxa"/>
            <w:gridSpan w:val="2"/>
            <w:vMerge w:val="restart"/>
            <w:shd w:val="clear" w:color="auto" w:fill="FFFFFF"/>
            <w:vAlign w:val="center"/>
          </w:tcPr>
          <w:p w:rsidR="002E71C6" w:rsidRPr="004B4C6E" w:rsidRDefault="002E71C6">
            <w:pPr>
              <w:spacing w:line="240" w:lineRule="auto"/>
              <w:jc w:val="center"/>
              <w:rPr>
                <w:rFonts w:ascii="Times New Roman" w:hAnsi="Times New Roman"/>
              </w:rPr>
            </w:pPr>
            <w:r>
              <w:rPr>
                <w:rFonts w:ascii="Times New Roman" w:hAnsi="Times New Roman"/>
              </w:rPr>
              <w:t>581,42</w:t>
            </w:r>
          </w:p>
        </w:tc>
        <w:tc>
          <w:tcPr>
            <w:tcW w:w="791" w:type="dxa"/>
            <w:gridSpan w:val="3"/>
            <w:vMerge w:val="restart"/>
            <w:shd w:val="clear" w:color="auto" w:fill="FFFFFF"/>
            <w:vAlign w:val="center"/>
          </w:tcPr>
          <w:p w:rsidR="002E71C6" w:rsidRPr="004B4C6E" w:rsidRDefault="002E71C6">
            <w:pPr>
              <w:spacing w:line="240" w:lineRule="auto"/>
              <w:jc w:val="center"/>
              <w:rPr>
                <w:rFonts w:ascii="Times New Roman" w:hAnsi="Times New Roman"/>
              </w:rPr>
            </w:pPr>
            <w:r>
              <w:rPr>
                <w:rFonts w:ascii="Times New Roman" w:hAnsi="Times New Roman"/>
              </w:rPr>
              <w:t>270</w:t>
            </w:r>
          </w:p>
        </w:tc>
        <w:tc>
          <w:tcPr>
            <w:tcW w:w="851" w:type="dxa"/>
            <w:gridSpan w:val="2"/>
            <w:shd w:val="clear" w:color="auto" w:fill="FFFFFF"/>
          </w:tcPr>
          <w:p w:rsidR="002E71C6" w:rsidRPr="004B4C6E" w:rsidRDefault="002E71C6" w:rsidP="00983F37">
            <w:pPr>
              <w:spacing w:line="240" w:lineRule="auto"/>
              <w:jc w:val="center"/>
              <w:rPr>
                <w:rFonts w:ascii="Times New Roman" w:hAnsi="Times New Roman"/>
              </w:rPr>
            </w:pPr>
          </w:p>
          <w:p w:rsidR="002E71C6" w:rsidRPr="004B4C6E" w:rsidRDefault="002E71C6" w:rsidP="00983F37">
            <w:pPr>
              <w:spacing w:line="240" w:lineRule="auto"/>
              <w:jc w:val="center"/>
              <w:rPr>
                <w:rFonts w:ascii="Times New Roman" w:hAnsi="Times New Roman"/>
              </w:rPr>
            </w:pPr>
          </w:p>
        </w:tc>
        <w:tc>
          <w:tcPr>
            <w:tcW w:w="992" w:type="dxa"/>
            <w:gridSpan w:val="5"/>
            <w:shd w:val="clear" w:color="auto" w:fill="FFFFFF"/>
          </w:tcPr>
          <w:p w:rsidR="002E71C6" w:rsidRPr="004B4C6E" w:rsidRDefault="002E71C6" w:rsidP="00983F37">
            <w:pPr>
              <w:spacing w:line="240" w:lineRule="auto"/>
              <w:jc w:val="center"/>
              <w:rPr>
                <w:rFonts w:ascii="Times New Roman" w:hAnsi="Times New Roman"/>
              </w:rPr>
            </w:pPr>
          </w:p>
          <w:p w:rsidR="002E71C6" w:rsidRPr="004B4C6E" w:rsidRDefault="002E71C6" w:rsidP="00983F37">
            <w:pPr>
              <w:spacing w:line="240" w:lineRule="auto"/>
              <w:jc w:val="center"/>
              <w:rPr>
                <w:rFonts w:ascii="Times New Roman" w:hAnsi="Times New Roman"/>
              </w:rPr>
            </w:pPr>
          </w:p>
        </w:tc>
        <w:tc>
          <w:tcPr>
            <w:tcW w:w="992" w:type="dxa"/>
            <w:gridSpan w:val="3"/>
            <w:shd w:val="clear" w:color="auto" w:fill="FFFFFF"/>
          </w:tcPr>
          <w:p w:rsidR="002E71C6" w:rsidRPr="004B4C6E" w:rsidRDefault="002E71C6" w:rsidP="00983F37">
            <w:pPr>
              <w:spacing w:line="240" w:lineRule="auto"/>
              <w:jc w:val="center"/>
              <w:rPr>
                <w:rFonts w:ascii="Times New Roman" w:hAnsi="Times New Roman"/>
              </w:rPr>
            </w:pPr>
          </w:p>
          <w:p w:rsidR="002E71C6" w:rsidRPr="004B4C6E" w:rsidRDefault="002E71C6" w:rsidP="00983F37">
            <w:pPr>
              <w:spacing w:line="240" w:lineRule="auto"/>
              <w:jc w:val="center"/>
              <w:rPr>
                <w:rFonts w:ascii="Times New Roman" w:hAnsi="Times New Roman"/>
              </w:rPr>
            </w:pPr>
          </w:p>
        </w:tc>
        <w:tc>
          <w:tcPr>
            <w:tcW w:w="993" w:type="dxa"/>
            <w:gridSpan w:val="2"/>
            <w:shd w:val="clear" w:color="auto" w:fill="FFFFFF"/>
          </w:tcPr>
          <w:p w:rsidR="002E71C6" w:rsidRPr="004B4C6E" w:rsidRDefault="002E71C6" w:rsidP="00983F37">
            <w:pPr>
              <w:spacing w:line="240" w:lineRule="auto"/>
              <w:jc w:val="center"/>
              <w:rPr>
                <w:rFonts w:ascii="Times New Roman" w:hAnsi="Times New Roman"/>
              </w:rPr>
            </w:pPr>
          </w:p>
          <w:p w:rsidR="002E71C6" w:rsidRPr="004B4C6E" w:rsidRDefault="002E71C6" w:rsidP="00983F37">
            <w:pPr>
              <w:spacing w:line="240" w:lineRule="auto"/>
              <w:jc w:val="center"/>
              <w:rPr>
                <w:rFonts w:ascii="Times New Roman" w:hAnsi="Times New Roman"/>
              </w:rPr>
            </w:pPr>
          </w:p>
        </w:tc>
        <w:tc>
          <w:tcPr>
            <w:tcW w:w="1021" w:type="dxa"/>
            <w:vMerge w:val="restart"/>
            <w:shd w:val="clear" w:color="auto" w:fill="FFFFFF"/>
            <w:vAlign w:val="center"/>
          </w:tcPr>
          <w:p w:rsidR="002E71C6" w:rsidRPr="004B4C6E" w:rsidRDefault="002E71C6">
            <w:pPr>
              <w:spacing w:line="240" w:lineRule="auto"/>
              <w:jc w:val="center"/>
              <w:rPr>
                <w:rFonts w:ascii="Times New Roman" w:hAnsi="Times New Roman"/>
                <w:spacing w:val="-2"/>
              </w:rPr>
            </w:pPr>
            <w:r>
              <w:rPr>
                <w:rFonts w:ascii="Times New Roman" w:hAnsi="Times New Roman"/>
                <w:spacing w:val="-2"/>
              </w:rPr>
              <w:t>851,42</w:t>
            </w:r>
          </w:p>
        </w:tc>
      </w:tr>
      <w:tr w:rsidR="002E71C6" w:rsidRPr="008D6E94" w:rsidTr="002A37BC">
        <w:trPr>
          <w:trHeight w:val="142"/>
        </w:trPr>
        <w:tc>
          <w:tcPr>
            <w:tcW w:w="1739" w:type="dxa"/>
            <w:gridSpan w:val="3"/>
            <w:vMerge/>
            <w:shd w:val="clear" w:color="auto" w:fill="FFFFFF"/>
          </w:tcPr>
          <w:p w:rsidR="002E71C6" w:rsidRPr="006F20CE" w:rsidRDefault="002E71C6" w:rsidP="00983F37">
            <w:pPr>
              <w:spacing w:line="240" w:lineRule="auto"/>
              <w:rPr>
                <w:rFonts w:ascii="Times New Roman" w:hAnsi="Times New Roman"/>
                <w:color w:val="000000"/>
              </w:rPr>
            </w:pPr>
          </w:p>
        </w:tc>
        <w:tc>
          <w:tcPr>
            <w:tcW w:w="2656" w:type="dxa"/>
            <w:gridSpan w:val="7"/>
            <w:shd w:val="clear" w:color="auto" w:fill="FFFFFF"/>
          </w:tcPr>
          <w:p w:rsidR="002E71C6" w:rsidRPr="006F20CE" w:rsidRDefault="002E71C6" w:rsidP="00983F37">
            <w:pPr>
              <w:spacing w:line="240" w:lineRule="auto"/>
              <w:rPr>
                <w:rFonts w:ascii="Times New Roman" w:hAnsi="Times New Roman"/>
                <w:color w:val="000000"/>
              </w:rPr>
            </w:pPr>
            <w:r w:rsidRPr="008B0E19">
              <w:rPr>
                <w:rFonts w:ascii="Times New Roman" w:hAnsi="Times New Roman"/>
              </w:rPr>
              <w:t>sektor mikro-, małych i średnich przedsiębiorstw</w:t>
            </w:r>
          </w:p>
        </w:tc>
        <w:tc>
          <w:tcPr>
            <w:tcW w:w="1004" w:type="dxa"/>
            <w:gridSpan w:val="2"/>
            <w:vMerge/>
            <w:shd w:val="clear" w:color="auto" w:fill="FFFFFF"/>
          </w:tcPr>
          <w:p w:rsidR="002E71C6" w:rsidRPr="006F20CE" w:rsidRDefault="002E71C6" w:rsidP="00983F37">
            <w:pPr>
              <w:spacing w:line="240" w:lineRule="auto"/>
              <w:jc w:val="center"/>
              <w:rPr>
                <w:rFonts w:ascii="Times New Roman" w:hAnsi="Times New Roman"/>
                <w:color w:val="000000"/>
              </w:rPr>
            </w:pPr>
          </w:p>
        </w:tc>
        <w:tc>
          <w:tcPr>
            <w:tcW w:w="791" w:type="dxa"/>
            <w:gridSpan w:val="3"/>
            <w:vMerge/>
            <w:shd w:val="clear" w:color="auto" w:fill="FFFFFF"/>
          </w:tcPr>
          <w:p w:rsidR="002E71C6" w:rsidRPr="006F20CE" w:rsidRDefault="002E71C6" w:rsidP="00983F37">
            <w:pPr>
              <w:spacing w:line="240" w:lineRule="auto"/>
              <w:jc w:val="center"/>
              <w:rPr>
                <w:rFonts w:ascii="Times New Roman" w:hAnsi="Times New Roman"/>
                <w:color w:val="000000"/>
              </w:rPr>
            </w:pPr>
          </w:p>
        </w:tc>
        <w:tc>
          <w:tcPr>
            <w:tcW w:w="851" w:type="dxa"/>
            <w:gridSpan w:val="2"/>
            <w:shd w:val="clear" w:color="auto" w:fill="FFFFFF"/>
          </w:tcPr>
          <w:p w:rsidR="002E71C6" w:rsidRPr="006F20CE" w:rsidRDefault="002E71C6" w:rsidP="00983F37">
            <w:pPr>
              <w:spacing w:line="240" w:lineRule="auto"/>
              <w:jc w:val="center"/>
              <w:rPr>
                <w:rFonts w:ascii="Times New Roman" w:hAnsi="Times New Roman"/>
              </w:rPr>
            </w:pPr>
          </w:p>
          <w:p w:rsidR="002E71C6" w:rsidRPr="006F20CE" w:rsidRDefault="002E71C6" w:rsidP="00983F37">
            <w:pPr>
              <w:spacing w:line="240" w:lineRule="auto"/>
              <w:jc w:val="center"/>
              <w:rPr>
                <w:rFonts w:ascii="Times New Roman" w:hAnsi="Times New Roman"/>
                <w:color w:val="000000"/>
              </w:rPr>
            </w:pPr>
          </w:p>
        </w:tc>
        <w:tc>
          <w:tcPr>
            <w:tcW w:w="992" w:type="dxa"/>
            <w:gridSpan w:val="5"/>
            <w:shd w:val="clear" w:color="auto" w:fill="FFFFFF"/>
          </w:tcPr>
          <w:p w:rsidR="002E71C6" w:rsidRPr="006F20CE" w:rsidRDefault="002E71C6" w:rsidP="00983F37">
            <w:pPr>
              <w:spacing w:line="240" w:lineRule="auto"/>
              <w:jc w:val="center"/>
              <w:rPr>
                <w:rFonts w:ascii="Times New Roman" w:hAnsi="Times New Roman"/>
              </w:rPr>
            </w:pPr>
          </w:p>
          <w:p w:rsidR="002E71C6" w:rsidRPr="006F20CE" w:rsidRDefault="002E71C6" w:rsidP="00983F37">
            <w:pPr>
              <w:spacing w:line="240" w:lineRule="auto"/>
              <w:jc w:val="center"/>
              <w:rPr>
                <w:rFonts w:ascii="Times New Roman" w:hAnsi="Times New Roman"/>
                <w:color w:val="000000"/>
              </w:rPr>
            </w:pPr>
          </w:p>
        </w:tc>
        <w:tc>
          <w:tcPr>
            <w:tcW w:w="992" w:type="dxa"/>
            <w:gridSpan w:val="3"/>
            <w:shd w:val="clear" w:color="auto" w:fill="FFFFFF"/>
          </w:tcPr>
          <w:p w:rsidR="002E71C6" w:rsidRPr="006F20CE" w:rsidRDefault="002E71C6" w:rsidP="00983F37">
            <w:pPr>
              <w:spacing w:line="240" w:lineRule="auto"/>
              <w:jc w:val="center"/>
              <w:rPr>
                <w:rFonts w:ascii="Times New Roman" w:hAnsi="Times New Roman"/>
              </w:rPr>
            </w:pPr>
          </w:p>
          <w:p w:rsidR="002E71C6" w:rsidRPr="006F20CE" w:rsidRDefault="002E71C6" w:rsidP="00983F37">
            <w:pPr>
              <w:spacing w:line="240" w:lineRule="auto"/>
              <w:jc w:val="center"/>
              <w:rPr>
                <w:rFonts w:ascii="Times New Roman" w:hAnsi="Times New Roman"/>
                <w:color w:val="000000"/>
              </w:rPr>
            </w:pPr>
          </w:p>
        </w:tc>
        <w:tc>
          <w:tcPr>
            <w:tcW w:w="993" w:type="dxa"/>
            <w:gridSpan w:val="2"/>
            <w:shd w:val="clear" w:color="auto" w:fill="FFFFFF"/>
          </w:tcPr>
          <w:p w:rsidR="002E71C6" w:rsidRPr="006F20CE" w:rsidRDefault="002E71C6" w:rsidP="00983F37">
            <w:pPr>
              <w:spacing w:line="240" w:lineRule="auto"/>
              <w:jc w:val="center"/>
              <w:rPr>
                <w:rFonts w:ascii="Times New Roman" w:hAnsi="Times New Roman"/>
              </w:rPr>
            </w:pPr>
          </w:p>
          <w:p w:rsidR="002E71C6" w:rsidRPr="006F20CE" w:rsidRDefault="002E71C6" w:rsidP="00983F37">
            <w:pPr>
              <w:spacing w:line="240" w:lineRule="auto"/>
              <w:jc w:val="center"/>
              <w:rPr>
                <w:rFonts w:ascii="Times New Roman" w:hAnsi="Times New Roman"/>
                <w:color w:val="000000"/>
              </w:rPr>
            </w:pPr>
          </w:p>
        </w:tc>
        <w:tc>
          <w:tcPr>
            <w:tcW w:w="1021" w:type="dxa"/>
            <w:vMerge/>
            <w:shd w:val="clear" w:color="auto" w:fill="FFFFFF"/>
          </w:tcPr>
          <w:p w:rsidR="002E71C6" w:rsidRPr="006F20CE" w:rsidRDefault="002E71C6" w:rsidP="00983F37">
            <w:pPr>
              <w:spacing w:line="240" w:lineRule="auto"/>
              <w:jc w:val="center"/>
              <w:rPr>
                <w:rFonts w:ascii="Times New Roman" w:hAnsi="Times New Roman"/>
                <w:color w:val="000000"/>
                <w:spacing w:val="-2"/>
              </w:rPr>
            </w:pPr>
          </w:p>
        </w:tc>
      </w:tr>
      <w:tr w:rsidR="002E71C6" w:rsidRPr="008D6E94" w:rsidTr="008E02F3">
        <w:trPr>
          <w:trHeight w:val="142"/>
        </w:trPr>
        <w:tc>
          <w:tcPr>
            <w:tcW w:w="1739" w:type="dxa"/>
            <w:gridSpan w:val="3"/>
            <w:vMerge/>
            <w:shd w:val="clear" w:color="auto" w:fill="FFFFFF"/>
          </w:tcPr>
          <w:p w:rsidR="002E71C6" w:rsidRPr="006F20CE" w:rsidRDefault="002E71C6" w:rsidP="00983F37">
            <w:pPr>
              <w:spacing w:line="240" w:lineRule="auto"/>
              <w:rPr>
                <w:rFonts w:ascii="Times New Roman" w:hAnsi="Times New Roman"/>
                <w:color w:val="000000"/>
              </w:rPr>
            </w:pPr>
          </w:p>
        </w:tc>
        <w:tc>
          <w:tcPr>
            <w:tcW w:w="2656" w:type="dxa"/>
            <w:gridSpan w:val="7"/>
            <w:shd w:val="clear" w:color="auto" w:fill="FFFFFF"/>
          </w:tcPr>
          <w:p w:rsidR="002E71C6" w:rsidRPr="006F20CE" w:rsidRDefault="002E71C6" w:rsidP="00983F37">
            <w:pPr>
              <w:spacing w:line="240" w:lineRule="auto"/>
              <w:rPr>
                <w:rFonts w:ascii="Times New Roman" w:hAnsi="Times New Roman"/>
                <w:color w:val="000000"/>
              </w:rPr>
            </w:pPr>
            <w:r w:rsidRPr="008B0E19">
              <w:rPr>
                <w:rFonts w:ascii="Times New Roman" w:hAnsi="Times New Roman"/>
              </w:rPr>
              <w:t>rodzina, obywatele oraz gospodarstwa domowe</w:t>
            </w:r>
          </w:p>
        </w:tc>
        <w:tc>
          <w:tcPr>
            <w:tcW w:w="1004" w:type="dxa"/>
            <w:gridSpan w:val="2"/>
            <w:shd w:val="clear" w:color="auto" w:fill="FFFFFF"/>
            <w:vAlign w:val="center"/>
          </w:tcPr>
          <w:p w:rsidR="002E71C6" w:rsidRPr="006F20CE" w:rsidRDefault="00596DF3" w:rsidP="00596DF3">
            <w:pPr>
              <w:spacing w:line="240" w:lineRule="auto"/>
              <w:jc w:val="center"/>
              <w:rPr>
                <w:rFonts w:ascii="Times New Roman" w:hAnsi="Times New Roman"/>
                <w:color w:val="000000"/>
              </w:rPr>
            </w:pPr>
            <w:r>
              <w:rPr>
                <w:rFonts w:ascii="Times New Roman" w:hAnsi="Times New Roman"/>
                <w:color w:val="000000"/>
              </w:rPr>
              <w:t>2 127</w:t>
            </w:r>
          </w:p>
        </w:tc>
        <w:tc>
          <w:tcPr>
            <w:tcW w:w="791" w:type="dxa"/>
            <w:gridSpan w:val="3"/>
            <w:shd w:val="clear" w:color="auto" w:fill="FFFFFF"/>
            <w:vAlign w:val="center"/>
          </w:tcPr>
          <w:p w:rsidR="002E71C6" w:rsidRPr="006F20CE" w:rsidRDefault="002E71C6" w:rsidP="00596DF3">
            <w:pPr>
              <w:spacing w:line="240" w:lineRule="auto"/>
              <w:jc w:val="center"/>
              <w:rPr>
                <w:rFonts w:ascii="Times New Roman" w:hAnsi="Times New Roman"/>
              </w:rPr>
            </w:pPr>
          </w:p>
          <w:p w:rsidR="002E71C6" w:rsidRPr="006F20CE" w:rsidRDefault="002E71C6" w:rsidP="00A80819">
            <w:pPr>
              <w:spacing w:line="240" w:lineRule="auto"/>
              <w:jc w:val="center"/>
              <w:rPr>
                <w:rFonts w:ascii="Times New Roman" w:hAnsi="Times New Roman"/>
                <w:color w:val="000000"/>
              </w:rPr>
            </w:pPr>
          </w:p>
        </w:tc>
        <w:tc>
          <w:tcPr>
            <w:tcW w:w="851" w:type="dxa"/>
            <w:gridSpan w:val="2"/>
            <w:shd w:val="clear" w:color="auto" w:fill="FFFFFF"/>
            <w:vAlign w:val="center"/>
          </w:tcPr>
          <w:p w:rsidR="002E71C6" w:rsidRPr="006F20CE" w:rsidRDefault="002E71C6" w:rsidP="00A80819">
            <w:pPr>
              <w:spacing w:line="240" w:lineRule="auto"/>
              <w:jc w:val="center"/>
              <w:rPr>
                <w:rFonts w:ascii="Times New Roman" w:hAnsi="Times New Roman"/>
              </w:rPr>
            </w:pPr>
          </w:p>
          <w:p w:rsidR="002E71C6" w:rsidRPr="006F20CE" w:rsidRDefault="002E71C6" w:rsidP="008E02F3">
            <w:pPr>
              <w:spacing w:line="240" w:lineRule="auto"/>
              <w:jc w:val="center"/>
              <w:rPr>
                <w:rFonts w:ascii="Times New Roman" w:hAnsi="Times New Roman"/>
                <w:color w:val="000000"/>
              </w:rPr>
            </w:pPr>
          </w:p>
        </w:tc>
        <w:tc>
          <w:tcPr>
            <w:tcW w:w="992" w:type="dxa"/>
            <w:gridSpan w:val="5"/>
            <w:shd w:val="clear" w:color="auto" w:fill="FFFFFF"/>
            <w:vAlign w:val="center"/>
          </w:tcPr>
          <w:p w:rsidR="002E71C6" w:rsidRPr="006F20CE" w:rsidRDefault="002E71C6" w:rsidP="008E02F3">
            <w:pPr>
              <w:spacing w:line="240" w:lineRule="auto"/>
              <w:jc w:val="center"/>
              <w:rPr>
                <w:rFonts w:ascii="Times New Roman" w:hAnsi="Times New Roman"/>
              </w:rPr>
            </w:pPr>
          </w:p>
          <w:p w:rsidR="002E71C6" w:rsidRPr="006F20CE" w:rsidRDefault="002E71C6" w:rsidP="008E02F3">
            <w:pPr>
              <w:spacing w:line="240" w:lineRule="auto"/>
              <w:jc w:val="center"/>
              <w:rPr>
                <w:rFonts w:ascii="Times New Roman" w:hAnsi="Times New Roman"/>
                <w:color w:val="000000"/>
              </w:rPr>
            </w:pPr>
          </w:p>
        </w:tc>
        <w:tc>
          <w:tcPr>
            <w:tcW w:w="992" w:type="dxa"/>
            <w:gridSpan w:val="3"/>
            <w:shd w:val="clear" w:color="auto" w:fill="FFFFFF"/>
            <w:vAlign w:val="center"/>
          </w:tcPr>
          <w:p w:rsidR="002E71C6" w:rsidRPr="006F20CE" w:rsidRDefault="002E71C6" w:rsidP="008E02F3">
            <w:pPr>
              <w:spacing w:line="240" w:lineRule="auto"/>
              <w:jc w:val="center"/>
              <w:rPr>
                <w:rFonts w:ascii="Times New Roman" w:hAnsi="Times New Roman"/>
                <w:color w:val="000000"/>
              </w:rPr>
            </w:pPr>
          </w:p>
        </w:tc>
        <w:tc>
          <w:tcPr>
            <w:tcW w:w="993" w:type="dxa"/>
            <w:gridSpan w:val="2"/>
            <w:shd w:val="clear" w:color="auto" w:fill="FFFFFF"/>
            <w:vAlign w:val="center"/>
          </w:tcPr>
          <w:p w:rsidR="002E71C6" w:rsidRPr="006F20CE" w:rsidRDefault="002E71C6" w:rsidP="008E02F3">
            <w:pPr>
              <w:spacing w:line="240" w:lineRule="auto"/>
              <w:jc w:val="center"/>
              <w:rPr>
                <w:rFonts w:ascii="Times New Roman" w:hAnsi="Times New Roman"/>
                <w:color w:val="000000"/>
              </w:rPr>
            </w:pPr>
          </w:p>
        </w:tc>
        <w:tc>
          <w:tcPr>
            <w:tcW w:w="1021" w:type="dxa"/>
            <w:shd w:val="clear" w:color="auto" w:fill="FFFFFF"/>
            <w:vAlign w:val="center"/>
          </w:tcPr>
          <w:p w:rsidR="002E71C6" w:rsidRPr="006F20CE" w:rsidRDefault="00596DF3" w:rsidP="008E02F3">
            <w:pPr>
              <w:spacing w:line="240" w:lineRule="auto"/>
              <w:jc w:val="center"/>
              <w:rPr>
                <w:rFonts w:ascii="Times New Roman" w:hAnsi="Times New Roman"/>
                <w:color w:val="000000"/>
                <w:spacing w:val="-2"/>
              </w:rPr>
            </w:pPr>
            <w:r>
              <w:rPr>
                <w:rFonts w:ascii="Times New Roman" w:hAnsi="Times New Roman"/>
                <w:color w:val="000000"/>
                <w:spacing w:val="-2"/>
              </w:rPr>
              <w:t>2 127</w:t>
            </w:r>
          </w:p>
        </w:tc>
      </w:tr>
      <w:tr w:rsidR="002E71C6" w:rsidRPr="008D6E94" w:rsidTr="002A37BC">
        <w:trPr>
          <w:trHeight w:val="142"/>
        </w:trPr>
        <w:tc>
          <w:tcPr>
            <w:tcW w:w="1739" w:type="dxa"/>
            <w:gridSpan w:val="3"/>
            <w:vMerge w:val="restart"/>
            <w:shd w:val="clear" w:color="auto" w:fill="FFFFFF"/>
          </w:tcPr>
          <w:p w:rsidR="002E71C6" w:rsidRPr="004B4C6E" w:rsidRDefault="002E71C6" w:rsidP="00153EAA">
            <w:pPr>
              <w:spacing w:line="240" w:lineRule="auto"/>
              <w:rPr>
                <w:rFonts w:ascii="Times New Roman" w:hAnsi="Times New Roman"/>
              </w:rPr>
            </w:pPr>
            <w:r>
              <w:rPr>
                <w:rFonts w:ascii="Times New Roman" w:hAnsi="Times New Roman"/>
              </w:rPr>
              <w:t>W ujęciu niepieniężnym</w:t>
            </w:r>
          </w:p>
        </w:tc>
        <w:tc>
          <w:tcPr>
            <w:tcW w:w="2656" w:type="dxa"/>
            <w:gridSpan w:val="7"/>
            <w:shd w:val="clear" w:color="auto" w:fill="FFFFFF"/>
          </w:tcPr>
          <w:p w:rsidR="002E71C6" w:rsidRPr="004B4C6E" w:rsidRDefault="002E71C6" w:rsidP="00983F37">
            <w:pPr>
              <w:spacing w:line="240" w:lineRule="auto"/>
              <w:rPr>
                <w:rFonts w:ascii="Times New Roman" w:hAnsi="Times New Roman"/>
              </w:rPr>
            </w:pPr>
            <w:r w:rsidRPr="004B4C6E">
              <w:rPr>
                <w:rFonts w:ascii="Times New Roman" w:hAnsi="Times New Roman"/>
              </w:rPr>
              <w:t>duże przedsiębiorstwa</w:t>
            </w:r>
          </w:p>
        </w:tc>
        <w:tc>
          <w:tcPr>
            <w:tcW w:w="6644" w:type="dxa"/>
            <w:gridSpan w:val="18"/>
            <w:shd w:val="clear" w:color="auto" w:fill="FFFFFF"/>
          </w:tcPr>
          <w:p w:rsidR="002E71C6" w:rsidRPr="009C37C8" w:rsidRDefault="002E71C6" w:rsidP="009C37C8">
            <w:pPr>
              <w:spacing w:after="120" w:line="240" w:lineRule="auto"/>
              <w:jc w:val="both"/>
              <w:rPr>
                <w:rFonts w:ascii="Times New Roman" w:hAnsi="Times New Roman"/>
                <w:bCs/>
              </w:rPr>
            </w:pPr>
            <w:r w:rsidRPr="009C37C8">
              <w:rPr>
                <w:rFonts w:ascii="Times New Roman" w:hAnsi="Times New Roman"/>
                <w:bCs/>
              </w:rPr>
              <w:t>Projekt ustawy</w:t>
            </w:r>
            <w:r>
              <w:rPr>
                <w:rFonts w:ascii="Times New Roman" w:hAnsi="Times New Roman"/>
                <w:bCs/>
              </w:rPr>
              <w:t xml:space="preserve"> będzie miał pozytywny wpływ na d</w:t>
            </w:r>
            <w:r w:rsidRPr="009C37C8">
              <w:rPr>
                <w:rFonts w:ascii="Times New Roman" w:hAnsi="Times New Roman"/>
                <w:bCs/>
              </w:rPr>
              <w:t xml:space="preserve">ziałalność dużych przedsiębiorstw, w tym </w:t>
            </w:r>
            <w:r w:rsidRPr="009C37C8">
              <w:rPr>
                <w:rFonts w:ascii="Times New Roman" w:hAnsi="Times New Roman"/>
              </w:rPr>
              <w:t xml:space="preserve">podmiotów </w:t>
            </w:r>
            <w:r w:rsidRPr="009C37C8">
              <w:rPr>
                <w:rFonts w:ascii="Times New Roman" w:hAnsi="Times New Roman"/>
                <w:bCs/>
              </w:rPr>
              <w:t>prowadzących działalność w sektorze produkcji podstawowej produktów rolnych.</w:t>
            </w:r>
            <w:r>
              <w:rPr>
                <w:rFonts w:ascii="Times New Roman" w:hAnsi="Times New Roman"/>
                <w:bCs/>
              </w:rPr>
              <w:t xml:space="preserve"> Mechanizm dopłat do kredytów wpłynie pozytywnie na płynność finansową przedsiębiorstw poprzez ułatwienie dostępu do kredytu bankowego o korzystnych warunkach oprocentowania.</w:t>
            </w:r>
          </w:p>
          <w:p w:rsidR="002E71C6" w:rsidRPr="009C37C8" w:rsidRDefault="002E71C6" w:rsidP="009C37C8">
            <w:pPr>
              <w:spacing w:after="120" w:line="240" w:lineRule="auto"/>
              <w:jc w:val="both"/>
              <w:rPr>
                <w:rFonts w:ascii="Times New Roman" w:hAnsi="Times New Roman"/>
                <w:bCs/>
              </w:rPr>
            </w:pPr>
            <w:r w:rsidRPr="009C37C8">
              <w:rPr>
                <w:rFonts w:ascii="Times New Roman" w:hAnsi="Times New Roman"/>
                <w:bCs/>
              </w:rPr>
              <w:t xml:space="preserve">W zakresie zmian dot. zamówień publicznych projekt ustawy powinien przyczynić się do zmniejszenia kosztów udziału w postępowaniu, jak </w:t>
            </w:r>
            <w:r>
              <w:rPr>
                <w:rFonts w:ascii="Times New Roman" w:hAnsi="Times New Roman"/>
                <w:bCs/>
              </w:rPr>
              <w:t>i</w:t>
            </w:r>
            <w:r w:rsidRPr="009C37C8">
              <w:rPr>
                <w:rFonts w:ascii="Times New Roman" w:hAnsi="Times New Roman"/>
                <w:bCs/>
              </w:rPr>
              <w:t xml:space="preserve"> popraw</w:t>
            </w:r>
            <w:r>
              <w:rPr>
                <w:rFonts w:ascii="Times New Roman" w:hAnsi="Times New Roman"/>
                <w:bCs/>
              </w:rPr>
              <w:t>y</w:t>
            </w:r>
            <w:r w:rsidRPr="009C37C8">
              <w:rPr>
                <w:rFonts w:ascii="Times New Roman" w:hAnsi="Times New Roman"/>
                <w:bCs/>
              </w:rPr>
              <w:t xml:space="preserve"> płynnoś</w:t>
            </w:r>
            <w:r>
              <w:rPr>
                <w:rFonts w:ascii="Times New Roman" w:hAnsi="Times New Roman"/>
                <w:bCs/>
              </w:rPr>
              <w:t>ci</w:t>
            </w:r>
            <w:r w:rsidRPr="009C37C8">
              <w:rPr>
                <w:rFonts w:ascii="Times New Roman" w:hAnsi="Times New Roman"/>
                <w:bCs/>
              </w:rPr>
              <w:t xml:space="preserve"> finansow</w:t>
            </w:r>
            <w:r>
              <w:rPr>
                <w:rFonts w:ascii="Times New Roman" w:hAnsi="Times New Roman"/>
                <w:bCs/>
              </w:rPr>
              <w:t>ej</w:t>
            </w:r>
            <w:r w:rsidRPr="009C37C8">
              <w:rPr>
                <w:rFonts w:ascii="Times New Roman" w:hAnsi="Times New Roman"/>
                <w:bCs/>
              </w:rPr>
              <w:t xml:space="preserve"> wykonawców</w:t>
            </w:r>
            <w:r>
              <w:rPr>
                <w:rFonts w:ascii="Times New Roman" w:hAnsi="Times New Roman"/>
                <w:bCs/>
              </w:rPr>
              <w:t xml:space="preserve">, co </w:t>
            </w:r>
            <w:r w:rsidRPr="009C37C8">
              <w:rPr>
                <w:rFonts w:ascii="Times New Roman" w:hAnsi="Times New Roman"/>
                <w:bCs/>
              </w:rPr>
              <w:t xml:space="preserve">przyczyni się do stabilizacji ich sytuacji finansowej. </w:t>
            </w:r>
          </w:p>
          <w:p w:rsidR="002E71C6" w:rsidRPr="009C37C8" w:rsidRDefault="002E71C6" w:rsidP="009C37C8">
            <w:pPr>
              <w:snapToGrid w:val="0"/>
              <w:spacing w:line="240" w:lineRule="auto"/>
              <w:rPr>
                <w:rFonts w:ascii="Times New Roman" w:hAnsi="Times New Roman"/>
                <w:color w:val="000000"/>
                <w:spacing w:val="-2"/>
              </w:rPr>
            </w:pPr>
            <w:r w:rsidRPr="009C37C8">
              <w:rPr>
                <w:rFonts w:ascii="Times New Roman" w:hAnsi="Times New Roman"/>
                <w:color w:val="000000"/>
                <w:spacing w:val="-2"/>
              </w:rPr>
              <w:t xml:space="preserve">Wsparcie dla budżetów </w:t>
            </w:r>
            <w:proofErr w:type="spellStart"/>
            <w:r w:rsidRPr="009C37C8">
              <w:rPr>
                <w:rFonts w:ascii="Times New Roman" w:hAnsi="Times New Roman"/>
                <w:color w:val="000000"/>
                <w:spacing w:val="-2"/>
              </w:rPr>
              <w:t>jst</w:t>
            </w:r>
            <w:proofErr w:type="spellEnd"/>
            <w:r w:rsidRPr="009C37C8">
              <w:rPr>
                <w:rFonts w:ascii="Times New Roman" w:hAnsi="Times New Roman"/>
                <w:color w:val="000000"/>
                <w:spacing w:val="-2"/>
              </w:rPr>
              <w:t xml:space="preserve"> może się przełożyć na:</w:t>
            </w:r>
          </w:p>
          <w:p w:rsidR="002E71C6" w:rsidRPr="009C37C8" w:rsidRDefault="002E71C6" w:rsidP="00516CBD">
            <w:pPr>
              <w:numPr>
                <w:ilvl w:val="0"/>
                <w:numId w:val="10"/>
              </w:numPr>
              <w:suppressAutoHyphens/>
              <w:snapToGrid w:val="0"/>
              <w:spacing w:line="240" w:lineRule="auto"/>
              <w:jc w:val="both"/>
              <w:rPr>
                <w:rFonts w:ascii="Times New Roman" w:hAnsi="Times New Roman"/>
                <w:color w:val="000000"/>
                <w:spacing w:val="-2"/>
              </w:rPr>
            </w:pPr>
            <w:r w:rsidRPr="009C37C8">
              <w:rPr>
                <w:rFonts w:ascii="Times New Roman" w:hAnsi="Times New Roman"/>
                <w:color w:val="000000"/>
                <w:spacing w:val="-2"/>
              </w:rPr>
              <w:t xml:space="preserve">utrzymanie planowanych wydatków na inwestycje oraz ich przygotowanie, co będzie oznaczało nowe zamówienia dla przedsiębiorców, </w:t>
            </w:r>
          </w:p>
          <w:p w:rsidR="002E71C6" w:rsidRPr="00C45C69" w:rsidRDefault="002E71C6" w:rsidP="009A03C0">
            <w:pPr>
              <w:numPr>
                <w:ilvl w:val="0"/>
                <w:numId w:val="10"/>
              </w:numPr>
              <w:suppressAutoHyphens/>
              <w:snapToGrid w:val="0"/>
              <w:spacing w:after="120" w:line="240" w:lineRule="auto"/>
              <w:ind w:left="765" w:hanging="357"/>
              <w:jc w:val="both"/>
              <w:rPr>
                <w:rFonts w:ascii="Times New Roman" w:hAnsi="Times New Roman"/>
                <w:bCs/>
              </w:rPr>
            </w:pPr>
            <w:r w:rsidRPr="009C37C8">
              <w:rPr>
                <w:rFonts w:ascii="Times New Roman" w:hAnsi="Times New Roman"/>
                <w:color w:val="000000"/>
                <w:spacing w:val="-2"/>
              </w:rPr>
              <w:t>poprawę finansowania spółek komunalnych, szczególnie podmiotów świadczących usługi publicznego transportu zbiorowego.</w:t>
            </w:r>
          </w:p>
          <w:p w:rsidR="002E71C6" w:rsidRDefault="002E71C6" w:rsidP="00F6069B">
            <w:pPr>
              <w:suppressAutoHyphens/>
              <w:snapToGrid w:val="0"/>
              <w:spacing w:after="120" w:line="240" w:lineRule="auto"/>
              <w:jc w:val="both"/>
              <w:rPr>
                <w:rFonts w:ascii="Times New Roman" w:hAnsi="Times New Roman"/>
              </w:rPr>
            </w:pPr>
            <w:r>
              <w:rPr>
                <w:rFonts w:ascii="Times New Roman" w:hAnsi="Times New Roman"/>
                <w:color w:val="000000"/>
                <w:spacing w:val="-2"/>
              </w:rPr>
              <w:t xml:space="preserve">Zmiany w zakresie prawa pracy poprawią płynność finansową przedsiębiorstw, zwiększą elastyczność w organizacji pracy i pozwolą dostosować działalność przedsiębiorstw do nowych uwarunkowań prawno-gospodarczych. </w:t>
            </w:r>
            <w:r w:rsidRPr="00C45C69">
              <w:rPr>
                <w:rFonts w:ascii="Times New Roman" w:hAnsi="Times New Roman"/>
              </w:rPr>
              <w:t xml:space="preserve">Przedkładane propozycje będą wspierały pracodawców, u których wystąpił spadek obrotów gospodarczych w następstwie wystąpienia COVID-19 i ograniczą ryzyko zwalniania pracowników, co zagwarantuje stabilność zatrudnienia w okresie stanu zagrożenia epidemicznego lub stanu epidemii. </w:t>
            </w:r>
            <w:r w:rsidRPr="00131616">
              <w:rPr>
                <w:rFonts w:ascii="Times New Roman" w:hAnsi="Times New Roman"/>
              </w:rPr>
              <w:t>Projektowan</w:t>
            </w:r>
            <w:r>
              <w:rPr>
                <w:rFonts w:ascii="Times New Roman" w:hAnsi="Times New Roman"/>
              </w:rPr>
              <w:t>e</w:t>
            </w:r>
            <w:r w:rsidRPr="00C45C69">
              <w:rPr>
                <w:rFonts w:ascii="Times New Roman" w:hAnsi="Times New Roman"/>
              </w:rPr>
              <w:t xml:space="preserve"> przepis</w:t>
            </w:r>
            <w:r>
              <w:rPr>
                <w:rFonts w:ascii="Times New Roman" w:hAnsi="Times New Roman"/>
              </w:rPr>
              <w:t>y</w:t>
            </w:r>
            <w:r w:rsidRPr="00131616">
              <w:rPr>
                <w:rFonts w:ascii="Times New Roman" w:hAnsi="Times New Roman"/>
              </w:rPr>
              <w:t xml:space="preserve"> pozwo</w:t>
            </w:r>
            <w:r>
              <w:rPr>
                <w:rFonts w:ascii="Times New Roman" w:hAnsi="Times New Roman"/>
              </w:rPr>
              <w:t>lą</w:t>
            </w:r>
            <w:r w:rsidRPr="00C45C69">
              <w:rPr>
                <w:rFonts w:ascii="Times New Roman" w:hAnsi="Times New Roman"/>
              </w:rPr>
              <w:t xml:space="preserve"> pracodawcom </w:t>
            </w:r>
            <w:r>
              <w:rPr>
                <w:rFonts w:ascii="Times New Roman" w:hAnsi="Times New Roman"/>
              </w:rPr>
              <w:t xml:space="preserve">m.in. </w:t>
            </w:r>
            <w:r w:rsidRPr="00C45C69">
              <w:rPr>
                <w:rFonts w:ascii="Times New Roman" w:hAnsi="Times New Roman"/>
              </w:rPr>
              <w:t>na ograniczenie kosztów pracy</w:t>
            </w:r>
            <w:r>
              <w:rPr>
                <w:rFonts w:ascii="Times New Roman" w:hAnsi="Times New Roman"/>
              </w:rPr>
              <w:t>.</w:t>
            </w:r>
          </w:p>
          <w:p w:rsidR="002E71C6" w:rsidRDefault="002E71C6" w:rsidP="00E15DD4">
            <w:pPr>
              <w:pStyle w:val="Standard"/>
              <w:snapToGrid w:val="0"/>
              <w:spacing w:after="120" w:line="240" w:lineRule="auto"/>
              <w:jc w:val="both"/>
              <w:rPr>
                <w:rFonts w:ascii="Times New Roman" w:hAnsi="Times New Roman"/>
                <w:color w:val="000000"/>
              </w:rPr>
            </w:pPr>
            <w:r w:rsidRPr="0002214D">
              <w:rPr>
                <w:rFonts w:ascii="Times New Roman" w:hAnsi="Times New Roman"/>
                <w:color w:val="000000"/>
              </w:rPr>
              <w:t>Ewentualna modyfikacja bądź wydłużenie terminu realizacji niektórych zobowiązań offsetowych może zwiększyć prawdopodobieństwo ich niezakłóconej realizacji w sytuacji utrudnień gospodarczych związanych z pandemią COVID-19.</w:t>
            </w:r>
          </w:p>
          <w:p w:rsidR="002E71C6" w:rsidRDefault="002E71C6" w:rsidP="00574E1A">
            <w:pPr>
              <w:suppressAutoHyphens/>
              <w:snapToGrid w:val="0"/>
              <w:spacing w:after="120" w:line="240" w:lineRule="auto"/>
              <w:jc w:val="both"/>
              <w:rPr>
                <w:rFonts w:ascii="Times New Roman" w:hAnsi="Times New Roman"/>
                <w:color w:val="000000"/>
                <w:szCs w:val="24"/>
              </w:rPr>
            </w:pPr>
            <w:r w:rsidRPr="00A615D2">
              <w:rPr>
                <w:rFonts w:ascii="Times New Roman" w:hAnsi="Times New Roman"/>
                <w:color w:val="000000"/>
                <w:szCs w:val="24"/>
              </w:rPr>
              <w:t>Zmiana w ustaw</w:t>
            </w:r>
            <w:r>
              <w:rPr>
                <w:rFonts w:ascii="Times New Roman" w:hAnsi="Times New Roman"/>
                <w:color w:val="000000"/>
                <w:szCs w:val="24"/>
              </w:rPr>
              <w:t>ie</w:t>
            </w:r>
            <w:r w:rsidRPr="00A615D2">
              <w:rPr>
                <w:rFonts w:ascii="Times New Roman" w:hAnsi="Times New Roman"/>
                <w:color w:val="000000"/>
                <w:szCs w:val="24"/>
              </w:rPr>
              <w:t xml:space="preserve"> </w:t>
            </w:r>
            <w:r w:rsidRPr="0002214D">
              <w:rPr>
                <w:rFonts w:ascii="Times New Roman" w:hAnsi="Times New Roman"/>
              </w:rPr>
              <w:t xml:space="preserve">z dnia 8 marca 2013 r. o przeciwdziałaniu nadmiernym opóźnieniom w transakcjach handlowych </w:t>
            </w:r>
            <w:r>
              <w:rPr>
                <w:rFonts w:ascii="Times New Roman" w:hAnsi="Times New Roman"/>
                <w:color w:val="000000"/>
                <w:szCs w:val="24"/>
              </w:rPr>
              <w:t xml:space="preserve">ma na celu ułatwienie dużym przedsiębiorcom możliwości pomocy swoim mniejszym dłużnikom poprzez </w:t>
            </w:r>
            <w:r w:rsidRPr="00DB7A34">
              <w:rPr>
                <w:rFonts w:ascii="Times New Roman" w:hAnsi="Times New Roman"/>
                <w:color w:val="000000"/>
                <w:szCs w:val="24"/>
              </w:rPr>
              <w:t>uwolni</w:t>
            </w:r>
            <w:r>
              <w:rPr>
                <w:rFonts w:ascii="Times New Roman" w:hAnsi="Times New Roman"/>
                <w:color w:val="000000"/>
                <w:szCs w:val="24"/>
              </w:rPr>
              <w:t>enie</w:t>
            </w:r>
            <w:r w:rsidRPr="00DB7A34">
              <w:rPr>
                <w:rFonts w:ascii="Times New Roman" w:hAnsi="Times New Roman"/>
                <w:color w:val="000000"/>
                <w:szCs w:val="24"/>
              </w:rPr>
              <w:t xml:space="preserve"> dłużników z sektora MŚP od ewentualnych negatywnych podatkowych skutków wydłużenia terminu płatności</w:t>
            </w:r>
            <w:r>
              <w:rPr>
                <w:rFonts w:ascii="Times New Roman" w:hAnsi="Times New Roman"/>
                <w:color w:val="000000"/>
                <w:szCs w:val="24"/>
              </w:rPr>
              <w:t xml:space="preserve"> przez dużych przedsiębiorców</w:t>
            </w:r>
            <w:r w:rsidRPr="0002214D">
              <w:rPr>
                <w:rFonts w:ascii="Times New Roman" w:hAnsi="Times New Roman"/>
                <w:color w:val="000000"/>
                <w:szCs w:val="24"/>
              </w:rPr>
              <w:t>.</w:t>
            </w:r>
          </w:p>
          <w:p w:rsidR="00A41513" w:rsidRPr="00F6069B" w:rsidRDefault="00A41513" w:rsidP="00DF6CBD">
            <w:pPr>
              <w:pStyle w:val="Standard"/>
              <w:snapToGrid w:val="0"/>
              <w:spacing w:after="120" w:line="240" w:lineRule="auto"/>
              <w:jc w:val="both"/>
              <w:rPr>
                <w:rFonts w:ascii="Times New Roman" w:hAnsi="Times New Roman"/>
                <w:color w:val="000000"/>
                <w:spacing w:val="-2"/>
              </w:rPr>
            </w:pPr>
            <w:r w:rsidRPr="00DF6CBD">
              <w:rPr>
                <w:rFonts w:ascii="Times New Roman" w:hAnsi="Times New Roman"/>
                <w:color w:val="000000"/>
              </w:rPr>
              <w:t>Zawieszenie procedur związanych z dematerializacją akcji w przypadku spółek akcyjnych i komandytowo-akcyjnych w upadłości, ułatwienie zaspokojenia wierzycieli tych spółek, uproszczenie postępowania restrukturyzacyjnego.</w:t>
            </w:r>
          </w:p>
        </w:tc>
      </w:tr>
      <w:tr w:rsidR="002E71C6" w:rsidRPr="008D6E94" w:rsidTr="002A37BC">
        <w:trPr>
          <w:trHeight w:val="142"/>
        </w:trPr>
        <w:tc>
          <w:tcPr>
            <w:tcW w:w="1739" w:type="dxa"/>
            <w:gridSpan w:val="3"/>
            <w:vMerge/>
            <w:shd w:val="clear" w:color="auto" w:fill="FFFFFF"/>
          </w:tcPr>
          <w:p w:rsidR="002E71C6" w:rsidRPr="006F20CE" w:rsidRDefault="002E71C6" w:rsidP="00983F37">
            <w:pPr>
              <w:spacing w:line="240" w:lineRule="auto"/>
              <w:rPr>
                <w:rFonts w:ascii="Times New Roman" w:hAnsi="Times New Roman"/>
                <w:color w:val="000000"/>
              </w:rPr>
            </w:pPr>
          </w:p>
        </w:tc>
        <w:tc>
          <w:tcPr>
            <w:tcW w:w="2656" w:type="dxa"/>
            <w:gridSpan w:val="7"/>
            <w:shd w:val="clear" w:color="auto" w:fill="FFFFFF"/>
          </w:tcPr>
          <w:p w:rsidR="002E71C6" w:rsidRPr="006F20CE" w:rsidRDefault="002E71C6" w:rsidP="00983F37">
            <w:pPr>
              <w:spacing w:line="240" w:lineRule="auto"/>
              <w:rPr>
                <w:rFonts w:ascii="Times New Roman" w:hAnsi="Times New Roman"/>
                <w:color w:val="000000"/>
              </w:rPr>
            </w:pPr>
            <w:r w:rsidRPr="008B0E19">
              <w:rPr>
                <w:rFonts w:ascii="Times New Roman" w:hAnsi="Times New Roman"/>
              </w:rPr>
              <w:t>sektor mikro-, małych i średnich przedsiębiorstw</w:t>
            </w:r>
            <w:r>
              <w:rPr>
                <w:rFonts w:ascii="Times New Roman" w:hAnsi="Times New Roman"/>
              </w:rPr>
              <w:t>,</w:t>
            </w:r>
          </w:p>
        </w:tc>
        <w:tc>
          <w:tcPr>
            <w:tcW w:w="6644" w:type="dxa"/>
            <w:gridSpan w:val="18"/>
            <w:shd w:val="clear" w:color="auto" w:fill="FFFFFF"/>
          </w:tcPr>
          <w:p w:rsidR="002E71C6" w:rsidRPr="009C37C8" w:rsidRDefault="002E71C6" w:rsidP="00AB3FAB">
            <w:pPr>
              <w:spacing w:after="120" w:line="240" w:lineRule="auto"/>
              <w:jc w:val="both"/>
              <w:rPr>
                <w:rFonts w:ascii="Times New Roman" w:hAnsi="Times New Roman"/>
                <w:bCs/>
              </w:rPr>
            </w:pPr>
            <w:r w:rsidRPr="009C37C8">
              <w:rPr>
                <w:rFonts w:ascii="Times New Roman" w:hAnsi="Times New Roman"/>
                <w:bCs/>
              </w:rPr>
              <w:t>Projekt ustawy</w:t>
            </w:r>
            <w:r>
              <w:rPr>
                <w:rFonts w:ascii="Times New Roman" w:hAnsi="Times New Roman"/>
                <w:bCs/>
              </w:rPr>
              <w:t xml:space="preserve"> będzie miał pozytywny wpływ na d</w:t>
            </w:r>
            <w:r w:rsidRPr="009C37C8">
              <w:rPr>
                <w:rFonts w:ascii="Times New Roman" w:hAnsi="Times New Roman"/>
                <w:bCs/>
              </w:rPr>
              <w:t xml:space="preserve">ziałalność </w:t>
            </w:r>
            <w:r>
              <w:rPr>
                <w:rFonts w:ascii="Times New Roman" w:hAnsi="Times New Roman"/>
                <w:bCs/>
              </w:rPr>
              <w:t>mikro-, małych i średnich</w:t>
            </w:r>
            <w:r w:rsidRPr="009C37C8">
              <w:rPr>
                <w:rFonts w:ascii="Times New Roman" w:hAnsi="Times New Roman"/>
                <w:bCs/>
              </w:rPr>
              <w:t xml:space="preserve"> przedsiębiorstw, w tym </w:t>
            </w:r>
            <w:r w:rsidRPr="009C37C8">
              <w:rPr>
                <w:rFonts w:ascii="Times New Roman" w:hAnsi="Times New Roman"/>
              </w:rPr>
              <w:t xml:space="preserve">podmiotów </w:t>
            </w:r>
            <w:r w:rsidRPr="009C37C8">
              <w:rPr>
                <w:rFonts w:ascii="Times New Roman" w:hAnsi="Times New Roman"/>
                <w:bCs/>
              </w:rPr>
              <w:t>prowadzących działalność w sektorze produkcji podstawowej produktów rolnych.</w:t>
            </w:r>
            <w:r>
              <w:rPr>
                <w:rFonts w:ascii="Times New Roman" w:hAnsi="Times New Roman"/>
                <w:bCs/>
              </w:rPr>
              <w:t xml:space="preserve"> Mechanizm dopłat do kredytów wpłynie pozytywnie na płynność finansową przedsiębiorstw poprzez ułatwienie dostępu do kredytu bankowego o korzystnych warunkach oprocentowania.</w:t>
            </w:r>
          </w:p>
          <w:p w:rsidR="002E71C6" w:rsidRPr="009C37C8" w:rsidRDefault="002E71C6" w:rsidP="00AB3FAB">
            <w:pPr>
              <w:spacing w:after="120" w:line="240" w:lineRule="auto"/>
              <w:jc w:val="both"/>
              <w:rPr>
                <w:rFonts w:ascii="Times New Roman" w:hAnsi="Times New Roman"/>
                <w:bCs/>
              </w:rPr>
            </w:pPr>
            <w:r w:rsidRPr="009C37C8">
              <w:rPr>
                <w:rFonts w:ascii="Times New Roman" w:hAnsi="Times New Roman"/>
                <w:bCs/>
              </w:rPr>
              <w:t xml:space="preserve">W zakresie zmian dot. zamówień publicznych projekt ustawy powinien przyczynić się do zmniejszenia kosztów udziału w postępowaniu, jak </w:t>
            </w:r>
            <w:r>
              <w:rPr>
                <w:rFonts w:ascii="Times New Roman" w:hAnsi="Times New Roman"/>
                <w:bCs/>
              </w:rPr>
              <w:t>i</w:t>
            </w:r>
            <w:r w:rsidRPr="009C37C8">
              <w:rPr>
                <w:rFonts w:ascii="Times New Roman" w:hAnsi="Times New Roman"/>
                <w:bCs/>
              </w:rPr>
              <w:t xml:space="preserve"> popraw</w:t>
            </w:r>
            <w:r>
              <w:rPr>
                <w:rFonts w:ascii="Times New Roman" w:hAnsi="Times New Roman"/>
                <w:bCs/>
              </w:rPr>
              <w:t>y</w:t>
            </w:r>
            <w:r w:rsidRPr="009C37C8">
              <w:rPr>
                <w:rFonts w:ascii="Times New Roman" w:hAnsi="Times New Roman"/>
                <w:bCs/>
              </w:rPr>
              <w:t xml:space="preserve"> płynnoś</w:t>
            </w:r>
            <w:r>
              <w:rPr>
                <w:rFonts w:ascii="Times New Roman" w:hAnsi="Times New Roman"/>
                <w:bCs/>
              </w:rPr>
              <w:t>ci</w:t>
            </w:r>
            <w:r w:rsidRPr="009C37C8">
              <w:rPr>
                <w:rFonts w:ascii="Times New Roman" w:hAnsi="Times New Roman"/>
                <w:bCs/>
              </w:rPr>
              <w:t xml:space="preserve"> finansow</w:t>
            </w:r>
            <w:r>
              <w:rPr>
                <w:rFonts w:ascii="Times New Roman" w:hAnsi="Times New Roman"/>
                <w:bCs/>
              </w:rPr>
              <w:t>ej</w:t>
            </w:r>
            <w:r w:rsidRPr="009C37C8">
              <w:rPr>
                <w:rFonts w:ascii="Times New Roman" w:hAnsi="Times New Roman"/>
                <w:bCs/>
              </w:rPr>
              <w:t xml:space="preserve"> wykonawców</w:t>
            </w:r>
            <w:r>
              <w:rPr>
                <w:rFonts w:ascii="Times New Roman" w:hAnsi="Times New Roman"/>
                <w:bCs/>
              </w:rPr>
              <w:t>, co</w:t>
            </w:r>
            <w:r w:rsidRPr="009C37C8">
              <w:rPr>
                <w:rFonts w:ascii="Times New Roman" w:hAnsi="Times New Roman"/>
                <w:bCs/>
              </w:rPr>
              <w:t xml:space="preserve"> przyczyni się do stabilizacji ich sytuacji finansowej. </w:t>
            </w:r>
          </w:p>
          <w:p w:rsidR="002E71C6" w:rsidRPr="009C37C8" w:rsidRDefault="002E71C6" w:rsidP="00AB3FAB">
            <w:pPr>
              <w:snapToGrid w:val="0"/>
              <w:spacing w:line="240" w:lineRule="auto"/>
              <w:rPr>
                <w:rFonts w:ascii="Times New Roman" w:hAnsi="Times New Roman"/>
                <w:color w:val="000000"/>
                <w:spacing w:val="-2"/>
              </w:rPr>
            </w:pPr>
            <w:r w:rsidRPr="009C37C8">
              <w:rPr>
                <w:rFonts w:ascii="Times New Roman" w:hAnsi="Times New Roman"/>
                <w:color w:val="000000"/>
                <w:spacing w:val="-2"/>
              </w:rPr>
              <w:t xml:space="preserve">Wsparcie dla budżetów </w:t>
            </w:r>
            <w:proofErr w:type="spellStart"/>
            <w:r w:rsidRPr="009C37C8">
              <w:rPr>
                <w:rFonts w:ascii="Times New Roman" w:hAnsi="Times New Roman"/>
                <w:color w:val="000000"/>
                <w:spacing w:val="-2"/>
              </w:rPr>
              <w:t>jst</w:t>
            </w:r>
            <w:proofErr w:type="spellEnd"/>
            <w:r w:rsidRPr="009C37C8">
              <w:rPr>
                <w:rFonts w:ascii="Times New Roman" w:hAnsi="Times New Roman"/>
                <w:color w:val="000000"/>
                <w:spacing w:val="-2"/>
              </w:rPr>
              <w:t xml:space="preserve"> może się przełożyć na:</w:t>
            </w:r>
          </w:p>
          <w:p w:rsidR="002E71C6" w:rsidRPr="009C37C8" w:rsidRDefault="002E71C6" w:rsidP="00516CBD">
            <w:pPr>
              <w:numPr>
                <w:ilvl w:val="0"/>
                <w:numId w:val="10"/>
              </w:numPr>
              <w:suppressAutoHyphens/>
              <w:snapToGrid w:val="0"/>
              <w:spacing w:line="240" w:lineRule="auto"/>
              <w:jc w:val="both"/>
              <w:rPr>
                <w:rFonts w:ascii="Times New Roman" w:hAnsi="Times New Roman"/>
                <w:color w:val="000000"/>
                <w:spacing w:val="-2"/>
              </w:rPr>
            </w:pPr>
            <w:r w:rsidRPr="009C37C8">
              <w:rPr>
                <w:rFonts w:ascii="Times New Roman" w:hAnsi="Times New Roman"/>
                <w:color w:val="000000"/>
                <w:spacing w:val="-2"/>
              </w:rPr>
              <w:t xml:space="preserve">utrzymanie planowanych wydatków na inwestycje oraz ich przygotowanie, co będzie oznaczało nowe zamówienia dla przedsiębiorców, </w:t>
            </w:r>
          </w:p>
          <w:p w:rsidR="002E71C6" w:rsidRDefault="002E71C6" w:rsidP="009A03C0">
            <w:pPr>
              <w:numPr>
                <w:ilvl w:val="0"/>
                <w:numId w:val="10"/>
              </w:numPr>
              <w:suppressAutoHyphens/>
              <w:snapToGrid w:val="0"/>
              <w:spacing w:after="120" w:line="240" w:lineRule="auto"/>
              <w:ind w:left="765" w:hanging="357"/>
              <w:jc w:val="both"/>
              <w:rPr>
                <w:rFonts w:ascii="Times New Roman" w:hAnsi="Times New Roman"/>
                <w:color w:val="000000"/>
                <w:spacing w:val="-2"/>
              </w:rPr>
            </w:pPr>
            <w:r w:rsidRPr="002B4A63">
              <w:rPr>
                <w:rFonts w:ascii="Times New Roman" w:hAnsi="Times New Roman"/>
                <w:color w:val="000000"/>
                <w:spacing w:val="-2"/>
              </w:rPr>
              <w:t>poprawę finansowania spółek komunalnych, szczególnie podmiotów świadczących usługi publicznego transportu zbiorowego.</w:t>
            </w:r>
          </w:p>
          <w:p w:rsidR="002E71C6" w:rsidRDefault="002E71C6" w:rsidP="00C45C69">
            <w:pPr>
              <w:suppressAutoHyphens/>
              <w:snapToGrid w:val="0"/>
              <w:spacing w:after="120" w:line="240" w:lineRule="auto"/>
              <w:jc w:val="both"/>
              <w:rPr>
                <w:rFonts w:ascii="Times New Roman" w:hAnsi="Times New Roman"/>
                <w:color w:val="000000"/>
                <w:spacing w:val="-2"/>
              </w:rPr>
            </w:pPr>
            <w:r>
              <w:rPr>
                <w:rFonts w:ascii="Times New Roman" w:hAnsi="Times New Roman"/>
                <w:color w:val="000000"/>
                <w:spacing w:val="-2"/>
              </w:rPr>
              <w:t xml:space="preserve">Zmiany w zakresie prawa pracy poprawią płynność finansową przedsiębiorstw, zwiększą elastyczność w organizacji pracy i pozwolą dostosować działalność przedsiębiorstw do nowych uwarunkowań prawno-gospodarczych. </w:t>
            </w:r>
            <w:r w:rsidRPr="00C45C69">
              <w:rPr>
                <w:rFonts w:ascii="Times New Roman" w:hAnsi="Times New Roman"/>
              </w:rPr>
              <w:t xml:space="preserve">Przedkładane propozycje będą wspierały pracodawców, u których wystąpił spadek obrotów gospodarczych w następstwie wystąpienia COVID-19 i ograniczą ryzyko zwalniania pracowników, co zagwarantuje stabilność zatrudnienia w okresie stanu zagrożenia epidemicznego lub stanu epidemii. </w:t>
            </w:r>
            <w:r w:rsidRPr="00131616">
              <w:rPr>
                <w:rFonts w:ascii="Times New Roman" w:hAnsi="Times New Roman"/>
              </w:rPr>
              <w:t>Projektowan</w:t>
            </w:r>
            <w:r>
              <w:rPr>
                <w:rFonts w:ascii="Times New Roman" w:hAnsi="Times New Roman"/>
              </w:rPr>
              <w:t>e</w:t>
            </w:r>
            <w:r w:rsidRPr="00C45C69">
              <w:rPr>
                <w:rFonts w:ascii="Times New Roman" w:hAnsi="Times New Roman"/>
              </w:rPr>
              <w:t xml:space="preserve"> przepis</w:t>
            </w:r>
            <w:r>
              <w:rPr>
                <w:rFonts w:ascii="Times New Roman" w:hAnsi="Times New Roman"/>
              </w:rPr>
              <w:t>y</w:t>
            </w:r>
            <w:r w:rsidRPr="00131616">
              <w:rPr>
                <w:rFonts w:ascii="Times New Roman" w:hAnsi="Times New Roman"/>
              </w:rPr>
              <w:t xml:space="preserve"> pozwo</w:t>
            </w:r>
            <w:r>
              <w:rPr>
                <w:rFonts w:ascii="Times New Roman" w:hAnsi="Times New Roman"/>
              </w:rPr>
              <w:t>lą</w:t>
            </w:r>
            <w:r w:rsidRPr="00C45C69">
              <w:rPr>
                <w:rFonts w:ascii="Times New Roman" w:hAnsi="Times New Roman"/>
              </w:rPr>
              <w:t xml:space="preserve"> pracodawcom </w:t>
            </w:r>
            <w:r>
              <w:rPr>
                <w:rFonts w:ascii="Times New Roman" w:hAnsi="Times New Roman"/>
              </w:rPr>
              <w:t xml:space="preserve">m.in. </w:t>
            </w:r>
            <w:r w:rsidRPr="00C45C69">
              <w:rPr>
                <w:rFonts w:ascii="Times New Roman" w:hAnsi="Times New Roman"/>
              </w:rPr>
              <w:t>na ograniczenie kosztów pracy</w:t>
            </w:r>
            <w:r>
              <w:rPr>
                <w:rFonts w:ascii="Times New Roman" w:hAnsi="Times New Roman"/>
              </w:rPr>
              <w:t>.</w:t>
            </w:r>
          </w:p>
          <w:p w:rsidR="002E71C6" w:rsidRDefault="002E71C6" w:rsidP="009A03C0">
            <w:pPr>
              <w:spacing w:after="120" w:line="240" w:lineRule="auto"/>
              <w:jc w:val="both"/>
              <w:rPr>
                <w:rFonts w:ascii="Times New Roman" w:hAnsi="Times New Roman"/>
                <w:bCs/>
              </w:rPr>
            </w:pPr>
            <w:r w:rsidRPr="0038194E">
              <w:rPr>
                <w:rFonts w:ascii="Times New Roman" w:hAnsi="Times New Roman"/>
                <w:bCs/>
              </w:rPr>
              <w:t>Pozytywny wpływ na sytuację ekonomiczną przedsiębiorców, którzy w następstwie skutków COVID-19 znaleźli się w trudnej sytuacji ekonomicznej</w:t>
            </w:r>
            <w:r>
              <w:rPr>
                <w:rFonts w:ascii="Times New Roman" w:hAnsi="Times New Roman"/>
                <w:bCs/>
              </w:rPr>
              <w:t>, będą miały zmiany dot. świadczenia postojowego</w:t>
            </w:r>
            <w:r w:rsidRPr="0038194E">
              <w:rPr>
                <w:rFonts w:ascii="Times New Roman" w:hAnsi="Times New Roman"/>
                <w:bCs/>
              </w:rPr>
              <w:t xml:space="preserve">. Posiadanie innego tytułu do ubezpieczenia np. w przypadku łączenia części etatu z prowadzeniem działalności gospodarczej często wiąże się </w:t>
            </w:r>
            <w:r>
              <w:rPr>
                <w:rFonts w:ascii="Times New Roman" w:hAnsi="Times New Roman"/>
                <w:bCs/>
              </w:rPr>
              <w:t xml:space="preserve">z </w:t>
            </w:r>
            <w:r w:rsidRPr="0038194E">
              <w:rPr>
                <w:rFonts w:ascii="Times New Roman" w:hAnsi="Times New Roman"/>
                <w:bCs/>
              </w:rPr>
              <w:t xml:space="preserve">niskim wynagrodzeniem z tytułu pracy na etacie a jednocześnie aktualnie obowiązujące rozwiązanie powoduje, że znajdują się w bardzo trudnej sytuacji ekonomicznej. </w:t>
            </w:r>
            <w:r>
              <w:rPr>
                <w:rFonts w:ascii="Times New Roman" w:hAnsi="Times New Roman"/>
                <w:bCs/>
              </w:rPr>
              <w:t>Nie zostaną p</w:t>
            </w:r>
            <w:r w:rsidRPr="0038194E">
              <w:rPr>
                <w:rFonts w:ascii="Times New Roman" w:hAnsi="Times New Roman"/>
                <w:bCs/>
              </w:rPr>
              <w:t xml:space="preserve">ozostawieni bez wsparcia finansowego. </w:t>
            </w:r>
            <w:r>
              <w:rPr>
                <w:rFonts w:ascii="Times New Roman" w:hAnsi="Times New Roman"/>
                <w:bCs/>
              </w:rPr>
              <w:t>R</w:t>
            </w:r>
            <w:r w:rsidRPr="0038194E">
              <w:rPr>
                <w:rFonts w:ascii="Times New Roman" w:hAnsi="Times New Roman"/>
                <w:bCs/>
              </w:rPr>
              <w:t>ozwiązanie ma wyrównywać szanse wszystkich przedsiębiorców znajdujących się w tej samej sytuacji.</w:t>
            </w:r>
          </w:p>
          <w:p w:rsidR="002E71C6" w:rsidRDefault="002E71C6" w:rsidP="009A03C0">
            <w:pPr>
              <w:spacing w:after="120" w:line="240" w:lineRule="auto"/>
              <w:jc w:val="both"/>
              <w:rPr>
                <w:rFonts w:ascii="Times New Roman" w:hAnsi="Times New Roman"/>
                <w:bCs/>
              </w:rPr>
            </w:pPr>
            <w:r>
              <w:rPr>
                <w:rFonts w:ascii="Times New Roman" w:hAnsi="Times New Roman"/>
                <w:bCs/>
              </w:rPr>
              <w:t>Ponadto, znacznemu przyspieszeniu ulegnie procedura</w:t>
            </w:r>
            <w:r w:rsidRPr="00A3102B">
              <w:rPr>
                <w:rFonts w:ascii="Times New Roman" w:hAnsi="Times New Roman"/>
                <w:bCs/>
              </w:rPr>
              <w:t xml:space="preserve"> przekazywania środków dofinansowania </w:t>
            </w:r>
            <w:r>
              <w:rPr>
                <w:rFonts w:ascii="Times New Roman" w:hAnsi="Times New Roman"/>
                <w:bCs/>
              </w:rPr>
              <w:t xml:space="preserve">wynagrodzeń </w:t>
            </w:r>
            <w:r w:rsidRPr="00A3102B">
              <w:rPr>
                <w:rFonts w:ascii="Times New Roman" w:hAnsi="Times New Roman"/>
                <w:bCs/>
              </w:rPr>
              <w:t xml:space="preserve">na rachunek bankowy przedsiębiorcy i tym samym </w:t>
            </w:r>
            <w:r>
              <w:rPr>
                <w:rFonts w:ascii="Times New Roman" w:hAnsi="Times New Roman"/>
                <w:bCs/>
              </w:rPr>
              <w:t xml:space="preserve">wpłynie na </w:t>
            </w:r>
            <w:r w:rsidRPr="00A3102B">
              <w:rPr>
                <w:rFonts w:ascii="Times New Roman" w:hAnsi="Times New Roman"/>
                <w:bCs/>
              </w:rPr>
              <w:t xml:space="preserve">szybkie dokonywanie transferów finansowych niezbędnych do finansowania wynagrodzeń przedsiębiorców, co jest szczególnie istotne w celu zachowania miejsc pracy oraz zapewnienie zdolności organizacyjnej firmy do prowadzenia działalności gospodarczej, w tym chroni przed zaprzestaniem wykonywania działalności gospodarczej. </w:t>
            </w:r>
            <w:r>
              <w:rPr>
                <w:rFonts w:ascii="Times New Roman" w:hAnsi="Times New Roman"/>
                <w:bCs/>
              </w:rPr>
              <w:t>Zwiększona zostanie grupa potencjalnych beneficjentów objętych wsparciem w zakresie przestoju ekonomicznego, dofinansowania części wynagrodzeń, dofinansowania części kosztów prowadzenia działalności gospodarczej w związku z ujednolicenie zasad obliczania terminów, od których liczy się spadek obrotów.</w:t>
            </w:r>
          </w:p>
          <w:p w:rsidR="002E71C6" w:rsidRDefault="002E71C6" w:rsidP="009A03C0">
            <w:pPr>
              <w:spacing w:after="120" w:line="240" w:lineRule="auto"/>
              <w:jc w:val="both"/>
              <w:rPr>
                <w:rFonts w:ascii="Times New Roman" w:hAnsi="Times New Roman"/>
                <w:bCs/>
              </w:rPr>
            </w:pPr>
            <w:r w:rsidRPr="00045BCE">
              <w:rPr>
                <w:rFonts w:ascii="Times New Roman" w:hAnsi="Times New Roman"/>
                <w:bCs/>
              </w:rPr>
              <w:t>Przedsiębiorcy prowadzący punkty gastronomiczne sprzedający alkohol do spożycia na miejscu sprzedaży (niemal wyłącznie z sektora MMSP) nie będą musieli, o ile właściwa gmina podejmie stosowną uchwałę, wnosić opłat za zezwolenia na sprzedaż alkoholu za okres, w którym takiej sprzedaży nie mogli prowadzić.</w:t>
            </w:r>
          </w:p>
          <w:p w:rsidR="002E71C6" w:rsidRPr="002A4BA7" w:rsidRDefault="002E71C6" w:rsidP="009A03C0">
            <w:pPr>
              <w:spacing w:after="120" w:line="240" w:lineRule="auto"/>
              <w:jc w:val="both"/>
              <w:rPr>
                <w:rFonts w:ascii="Times New Roman" w:hAnsi="Times New Roman"/>
                <w:color w:val="000000"/>
                <w:spacing w:val="-2"/>
              </w:rPr>
            </w:pPr>
            <w:r w:rsidRPr="002A4BA7">
              <w:rPr>
                <w:rFonts w:ascii="Times New Roman" w:hAnsi="Times New Roman"/>
                <w:color w:val="000000"/>
                <w:spacing w:val="-2"/>
              </w:rPr>
              <w:t>Przedsiębiorcy w wyniku wejścia w życie ustawy uzyskają nowe możliwości realizowania projektów inwestycyjnych.</w:t>
            </w:r>
          </w:p>
          <w:p w:rsidR="002E71C6" w:rsidRPr="008E02F3" w:rsidRDefault="002E71C6" w:rsidP="008E02F3">
            <w:pPr>
              <w:spacing w:after="120" w:line="240" w:lineRule="auto"/>
              <w:jc w:val="both"/>
              <w:rPr>
                <w:rFonts w:ascii="Times New Roman" w:hAnsi="Times New Roman"/>
                <w:color w:val="000000"/>
                <w:spacing w:val="-2"/>
              </w:rPr>
            </w:pPr>
            <w:r w:rsidRPr="008E02F3">
              <w:rPr>
                <w:rFonts w:ascii="Times New Roman" w:hAnsi="Times New Roman"/>
                <w:color w:val="000000"/>
                <w:spacing w:val="-2"/>
              </w:rPr>
              <w:t>Zmiana w ustawie z dnia 8 marca 2013 r. o przeciwdziałaniu nadmiernym opóźnieniom w transakcjach handlowych ma na celu ułatwienie dużym przedsiębiorcom możliwości pomocy swoim mniejszym dłużnikom poprzez uwolnienie dłużników z sektora MŚP od ewentualnych negatywnych podatkowych skutków wydłużenia terminu płatności przez dużych przedsiębiorców.</w:t>
            </w:r>
          </w:p>
          <w:p w:rsidR="00A41513" w:rsidRPr="002A4BA7" w:rsidRDefault="00A41513" w:rsidP="008E02F3">
            <w:pPr>
              <w:spacing w:after="120" w:line="240" w:lineRule="auto"/>
              <w:jc w:val="both"/>
              <w:rPr>
                <w:rFonts w:ascii="Times New Roman" w:hAnsi="Times New Roman"/>
                <w:color w:val="000000"/>
                <w:sz w:val="21"/>
                <w:szCs w:val="21"/>
              </w:rPr>
            </w:pPr>
            <w:r w:rsidRPr="008E02F3">
              <w:rPr>
                <w:rFonts w:ascii="Times New Roman" w:hAnsi="Times New Roman"/>
                <w:color w:val="000000"/>
                <w:spacing w:val="-2"/>
              </w:rPr>
              <w:t>Zawieszenie procedur związanych z dematerializacją akcji w przypadku spółek akcyjnych i komandytowo-akcyjnych w upadłości, ułatwienie zaspokojenia wierzycieli tych spółek, uproszczenie postępowania restrukturyzacyjnego.</w:t>
            </w:r>
          </w:p>
        </w:tc>
      </w:tr>
      <w:tr w:rsidR="002E71C6" w:rsidRPr="008D6E94" w:rsidTr="002A37BC">
        <w:trPr>
          <w:trHeight w:val="557"/>
        </w:trPr>
        <w:tc>
          <w:tcPr>
            <w:tcW w:w="1739" w:type="dxa"/>
            <w:gridSpan w:val="3"/>
            <w:vMerge/>
            <w:shd w:val="clear" w:color="auto" w:fill="FFFFFF"/>
          </w:tcPr>
          <w:p w:rsidR="002E71C6" w:rsidRPr="006F20CE" w:rsidRDefault="002E71C6" w:rsidP="00983F37">
            <w:pPr>
              <w:spacing w:line="240" w:lineRule="auto"/>
              <w:rPr>
                <w:rFonts w:ascii="Times New Roman" w:hAnsi="Times New Roman"/>
                <w:color w:val="000000"/>
              </w:rPr>
            </w:pPr>
          </w:p>
        </w:tc>
        <w:tc>
          <w:tcPr>
            <w:tcW w:w="2656" w:type="dxa"/>
            <w:gridSpan w:val="7"/>
            <w:shd w:val="clear" w:color="auto" w:fill="FFFFFF"/>
          </w:tcPr>
          <w:p w:rsidR="002E71C6" w:rsidRPr="006F20CE" w:rsidRDefault="002E71C6" w:rsidP="002B4A63">
            <w:pPr>
              <w:tabs>
                <w:tab w:val="right" w:pos="1936"/>
              </w:tabs>
              <w:spacing w:line="240" w:lineRule="auto"/>
              <w:rPr>
                <w:rFonts w:ascii="Times New Roman" w:hAnsi="Times New Roman"/>
                <w:color w:val="000000"/>
              </w:rPr>
            </w:pPr>
            <w:r w:rsidRPr="00135654">
              <w:rPr>
                <w:rFonts w:ascii="Times New Roman" w:hAnsi="Times New Roman"/>
                <w:sz w:val="21"/>
                <w:szCs w:val="21"/>
              </w:rPr>
              <w:t>rodzina, obywatele oraz gospodarstwa domowe</w:t>
            </w:r>
            <w:r>
              <w:rPr>
                <w:rFonts w:ascii="Times New Roman" w:hAnsi="Times New Roman"/>
                <w:sz w:val="21"/>
                <w:szCs w:val="21"/>
              </w:rPr>
              <w:t>, w tym osoby niepełnosprawne oraz osoby starsze</w:t>
            </w:r>
          </w:p>
        </w:tc>
        <w:tc>
          <w:tcPr>
            <w:tcW w:w="6644" w:type="dxa"/>
            <w:gridSpan w:val="18"/>
            <w:shd w:val="clear" w:color="auto" w:fill="FFFFFF"/>
          </w:tcPr>
          <w:p w:rsidR="002E71C6" w:rsidRPr="00AB3FAB" w:rsidRDefault="002E71C6" w:rsidP="007F5772">
            <w:pPr>
              <w:autoSpaceDE w:val="0"/>
              <w:autoSpaceDN w:val="0"/>
              <w:adjustRightInd w:val="0"/>
              <w:spacing w:after="120" w:line="240" w:lineRule="auto"/>
              <w:jc w:val="both"/>
              <w:rPr>
                <w:rFonts w:ascii="Times New Roman" w:hAnsi="Times New Roman"/>
                <w:lang w:eastAsia="pl-PL"/>
              </w:rPr>
            </w:pPr>
            <w:r w:rsidRPr="00AB3FAB">
              <w:rPr>
                <w:rFonts w:ascii="Times New Roman" w:hAnsi="Times New Roman"/>
                <w:lang w:eastAsia="pl-PL"/>
              </w:rPr>
              <w:t xml:space="preserve">Projekt nie będzie miał bezpośredniego wpływu na sytuację osób </w:t>
            </w:r>
            <w:r w:rsidRPr="009233E4">
              <w:rPr>
                <w:rFonts w:ascii="Times New Roman" w:hAnsi="Times New Roman"/>
                <w:lang w:eastAsia="pl-PL"/>
              </w:rPr>
              <w:t>niepełnosprawnych i osób starszych.</w:t>
            </w:r>
          </w:p>
          <w:p w:rsidR="002E71C6" w:rsidRPr="007C4CCA" w:rsidRDefault="002E71C6" w:rsidP="007C4CCA">
            <w:pPr>
              <w:autoSpaceDE w:val="0"/>
              <w:autoSpaceDN w:val="0"/>
              <w:adjustRightInd w:val="0"/>
              <w:spacing w:after="120" w:line="240" w:lineRule="auto"/>
              <w:jc w:val="both"/>
              <w:rPr>
                <w:rFonts w:ascii="Times New Roman" w:hAnsi="Times New Roman"/>
                <w:lang w:eastAsia="pl-PL"/>
              </w:rPr>
            </w:pPr>
            <w:r w:rsidRPr="007C4CCA">
              <w:rPr>
                <w:rFonts w:ascii="Times New Roman" w:hAnsi="Times New Roman"/>
                <w:lang w:eastAsia="pl-PL"/>
              </w:rPr>
              <w:t>Projektowana regulacja będzie mieć pośredni wpływ na wszystkich obywateli RP i osoby przebywające na terytorium RP, w tym na rodziny i gospodarstwa domowe</w:t>
            </w:r>
            <w:r>
              <w:rPr>
                <w:rFonts w:ascii="Times New Roman" w:hAnsi="Times New Roman"/>
                <w:lang w:eastAsia="pl-PL"/>
              </w:rPr>
              <w:t xml:space="preserve"> (z</w:t>
            </w:r>
            <w:r w:rsidRPr="007C4CCA">
              <w:rPr>
                <w:rFonts w:ascii="Times New Roman" w:hAnsi="Times New Roman"/>
                <w:lang w:eastAsia="pl-PL"/>
              </w:rPr>
              <w:t>większenie poczucia bezpieczeństwa ekonomicznego obywateli zatrudnionych u przedsiębiorców mających problem z płynnością finansową</w:t>
            </w:r>
            <w:r>
              <w:rPr>
                <w:rFonts w:ascii="Times New Roman" w:hAnsi="Times New Roman"/>
                <w:lang w:eastAsia="pl-PL"/>
              </w:rPr>
              <w:t>)</w:t>
            </w:r>
            <w:r w:rsidRPr="007C4CCA">
              <w:rPr>
                <w:rFonts w:ascii="Times New Roman" w:hAnsi="Times New Roman"/>
                <w:lang w:eastAsia="pl-PL"/>
              </w:rPr>
              <w:t>.</w:t>
            </w:r>
          </w:p>
          <w:p w:rsidR="002E71C6" w:rsidRPr="007C4CCA" w:rsidRDefault="002E71C6" w:rsidP="007C4CCA">
            <w:pPr>
              <w:autoSpaceDE w:val="0"/>
              <w:autoSpaceDN w:val="0"/>
              <w:adjustRightInd w:val="0"/>
              <w:spacing w:after="120" w:line="240" w:lineRule="auto"/>
              <w:jc w:val="both"/>
              <w:rPr>
                <w:rFonts w:ascii="Times New Roman" w:hAnsi="Times New Roman"/>
                <w:lang w:eastAsia="pl-PL"/>
              </w:rPr>
            </w:pPr>
            <w:r>
              <w:rPr>
                <w:rFonts w:ascii="Times New Roman" w:hAnsi="Times New Roman"/>
                <w:lang w:eastAsia="pl-PL"/>
              </w:rPr>
              <w:t>W</w:t>
            </w:r>
            <w:r w:rsidRPr="007C4CCA">
              <w:rPr>
                <w:rFonts w:ascii="Times New Roman" w:hAnsi="Times New Roman"/>
                <w:lang w:eastAsia="pl-PL"/>
              </w:rPr>
              <w:t xml:space="preserve">sparcie budżetów </w:t>
            </w:r>
            <w:proofErr w:type="spellStart"/>
            <w:r w:rsidRPr="007C4CCA">
              <w:rPr>
                <w:rFonts w:ascii="Times New Roman" w:hAnsi="Times New Roman"/>
                <w:lang w:eastAsia="pl-PL"/>
              </w:rPr>
              <w:t>jst</w:t>
            </w:r>
            <w:proofErr w:type="spellEnd"/>
            <w:r w:rsidRPr="007C4CCA">
              <w:rPr>
                <w:rFonts w:ascii="Times New Roman" w:hAnsi="Times New Roman"/>
                <w:lang w:eastAsia="pl-PL"/>
              </w:rPr>
              <w:t xml:space="preserve"> będzie oznaczało utrzymanie miejsc pracy, a także wynagrodzeń, które w przeciwnym wypadku mogły zostać zredukowane. Pozytywny wpływ na sytuację rodzin będą miały przepisy dotyczące szczególnych rozwiązań dla kredytobiorców korzystających ze wsparcia państwowego oraz dla osób uprawnionych do uzyskania dodatków mieszkaniowych.</w:t>
            </w:r>
          </w:p>
          <w:p w:rsidR="002E71C6" w:rsidRDefault="002E71C6" w:rsidP="00160B11">
            <w:pPr>
              <w:autoSpaceDE w:val="0"/>
              <w:autoSpaceDN w:val="0"/>
              <w:adjustRightInd w:val="0"/>
              <w:spacing w:after="120" w:line="240" w:lineRule="auto"/>
              <w:jc w:val="both"/>
              <w:rPr>
                <w:rFonts w:ascii="Times New Roman" w:hAnsi="Times New Roman"/>
                <w:lang w:eastAsia="pl-PL"/>
              </w:rPr>
            </w:pPr>
            <w:r w:rsidRPr="007C4CCA">
              <w:rPr>
                <w:rFonts w:ascii="Times New Roman" w:hAnsi="Times New Roman"/>
                <w:lang w:eastAsia="pl-PL"/>
              </w:rPr>
              <w:t xml:space="preserve">Szybkie zawieszenie rat kapitałowo-odsetkowych </w:t>
            </w:r>
            <w:r>
              <w:rPr>
                <w:rFonts w:ascii="Times New Roman" w:hAnsi="Times New Roman"/>
                <w:lang w:eastAsia="pl-PL"/>
              </w:rPr>
              <w:t>poprawi</w:t>
            </w:r>
            <w:r w:rsidRPr="007C4CCA">
              <w:rPr>
                <w:rFonts w:ascii="Times New Roman" w:hAnsi="Times New Roman"/>
                <w:lang w:eastAsia="pl-PL"/>
              </w:rPr>
              <w:t xml:space="preserve"> płynność gospodarstw domowych, </w:t>
            </w:r>
            <w:r>
              <w:rPr>
                <w:rFonts w:ascii="Times New Roman" w:hAnsi="Times New Roman"/>
                <w:lang w:eastAsia="pl-PL"/>
              </w:rPr>
              <w:t>w których kredytobiorca utracił pracę lub inne główne źródło dochodu</w:t>
            </w:r>
            <w:r w:rsidRPr="007C4CCA">
              <w:rPr>
                <w:rFonts w:ascii="Times New Roman" w:hAnsi="Times New Roman"/>
                <w:lang w:eastAsia="pl-PL"/>
              </w:rPr>
              <w:t>.</w:t>
            </w:r>
          </w:p>
          <w:p w:rsidR="002E71C6" w:rsidRDefault="002E71C6" w:rsidP="00160B11">
            <w:pPr>
              <w:autoSpaceDE w:val="0"/>
              <w:autoSpaceDN w:val="0"/>
              <w:adjustRightInd w:val="0"/>
              <w:spacing w:after="120" w:line="240" w:lineRule="auto"/>
              <w:jc w:val="both"/>
              <w:rPr>
                <w:rFonts w:ascii="Times New Roman" w:hAnsi="Times New Roman"/>
                <w:lang w:eastAsia="pl-PL"/>
              </w:rPr>
            </w:pPr>
            <w:r w:rsidRPr="00C50909">
              <w:rPr>
                <w:rFonts w:ascii="Times New Roman" w:hAnsi="Times New Roman"/>
                <w:lang w:eastAsia="pl-PL"/>
              </w:rPr>
              <w:t>Zwiększenie liczby realizowanych nowych inwestycji przyczyni się do tworzenia nowych miejsc pracy i poprawy sytuacji bytowej obywateli i ich rodzin.</w:t>
            </w:r>
          </w:p>
          <w:p w:rsidR="00A41513" w:rsidRDefault="00A41513" w:rsidP="00160B11">
            <w:pPr>
              <w:autoSpaceDE w:val="0"/>
              <w:autoSpaceDN w:val="0"/>
              <w:adjustRightInd w:val="0"/>
              <w:spacing w:after="120" w:line="240" w:lineRule="auto"/>
              <w:jc w:val="both"/>
              <w:rPr>
                <w:rFonts w:ascii="Times New Roman" w:hAnsi="Times New Roman"/>
              </w:rPr>
            </w:pPr>
            <w:r w:rsidRPr="00356E27">
              <w:rPr>
                <w:rFonts w:ascii="Times New Roman" w:hAnsi="Times New Roman"/>
              </w:rPr>
              <w:t>Wprowadzenie projektowanych przepisów może przyczynić się do zmniejszenia kosztów ponoszonych przez uczestników procesu w związku z koniecznością stawiennictwa w sądzie</w:t>
            </w:r>
            <w:r>
              <w:rPr>
                <w:rFonts w:ascii="Times New Roman" w:hAnsi="Times New Roman"/>
              </w:rPr>
              <w:t>.</w:t>
            </w:r>
          </w:p>
          <w:p w:rsidR="002E34D3" w:rsidRPr="00AB3FAB" w:rsidRDefault="002E34D3" w:rsidP="00AC6A0C">
            <w:pPr>
              <w:autoSpaceDE w:val="0"/>
              <w:autoSpaceDN w:val="0"/>
              <w:adjustRightInd w:val="0"/>
              <w:spacing w:after="120" w:line="240" w:lineRule="auto"/>
              <w:jc w:val="both"/>
              <w:rPr>
                <w:rFonts w:ascii="Times New Roman" w:hAnsi="Times New Roman"/>
                <w:lang w:eastAsia="pl-PL"/>
              </w:rPr>
            </w:pPr>
            <w:r w:rsidRPr="002E34D3">
              <w:rPr>
                <w:rFonts w:ascii="Times New Roman" w:hAnsi="Times New Roman"/>
              </w:rPr>
              <w:t xml:space="preserve">Ze względu na trwającą pandemię COVID-19 proponuje się </w:t>
            </w:r>
            <w:r w:rsidR="00AC6A0C">
              <w:rPr>
                <w:rFonts w:ascii="Times New Roman" w:hAnsi="Times New Roman"/>
              </w:rPr>
              <w:t>zmiany w zakresie</w:t>
            </w:r>
            <w:r w:rsidRPr="002E34D3">
              <w:rPr>
                <w:rFonts w:ascii="Times New Roman" w:hAnsi="Times New Roman"/>
              </w:rPr>
              <w:t xml:space="preserve"> dodatkowego zasiłku opiekuńczego. Analogicznie jak w przypadku dzieci niepełnosprawnych rodzice lub opiekunowie dzieci do lat 8, którzy podejmą decyzję o osobistym sprawowaniu opieki, będą mieli prawo do dodatkowego zasiłku opiekuńczego zarówno w przypadku zamknięcia żłobka, klubu dziecięcego, przedszkola, szkoły lub innej placówki, jak również w przypadku otwarcia tych placówek.</w:t>
            </w:r>
          </w:p>
        </w:tc>
      </w:tr>
      <w:tr w:rsidR="002E71C6" w:rsidRPr="008D6E94" w:rsidTr="002A37BC">
        <w:trPr>
          <w:trHeight w:val="142"/>
        </w:trPr>
        <w:tc>
          <w:tcPr>
            <w:tcW w:w="1739" w:type="dxa"/>
            <w:gridSpan w:val="3"/>
            <w:shd w:val="clear" w:color="auto" w:fill="FFFFFF"/>
          </w:tcPr>
          <w:p w:rsidR="002E71C6" w:rsidRPr="004B4C6E" w:rsidRDefault="002E71C6" w:rsidP="00983F37">
            <w:pPr>
              <w:spacing w:line="240" w:lineRule="auto"/>
              <w:rPr>
                <w:rFonts w:ascii="Times New Roman" w:hAnsi="Times New Roman"/>
              </w:rPr>
            </w:pPr>
            <w:r w:rsidRPr="004B4C6E">
              <w:rPr>
                <w:rFonts w:ascii="Times New Roman" w:hAnsi="Times New Roman"/>
              </w:rPr>
              <w:t>Niemierzalne</w:t>
            </w:r>
          </w:p>
        </w:tc>
        <w:tc>
          <w:tcPr>
            <w:tcW w:w="2656" w:type="dxa"/>
            <w:gridSpan w:val="7"/>
            <w:shd w:val="clear" w:color="auto" w:fill="FFFFFF"/>
          </w:tcPr>
          <w:p w:rsidR="002E71C6" w:rsidRPr="004B4C6E" w:rsidRDefault="002E71C6" w:rsidP="007F5772">
            <w:pPr>
              <w:spacing w:line="240" w:lineRule="auto"/>
              <w:rPr>
                <w:rFonts w:ascii="Times New Roman" w:hAnsi="Times New Roman"/>
              </w:rPr>
            </w:pPr>
          </w:p>
        </w:tc>
        <w:tc>
          <w:tcPr>
            <w:tcW w:w="6644" w:type="dxa"/>
            <w:gridSpan w:val="18"/>
            <w:shd w:val="clear" w:color="auto" w:fill="FFFFFF"/>
          </w:tcPr>
          <w:p w:rsidR="002E71C6" w:rsidRPr="00153EAA" w:rsidRDefault="002E71C6" w:rsidP="00983F37">
            <w:pPr>
              <w:spacing w:line="240" w:lineRule="auto"/>
              <w:jc w:val="both"/>
              <w:rPr>
                <w:rFonts w:ascii="Times New Roman" w:hAnsi="Times New Roman"/>
                <w:spacing w:val="-2"/>
              </w:rPr>
            </w:pPr>
          </w:p>
        </w:tc>
      </w:tr>
      <w:tr w:rsidR="002E71C6" w:rsidRPr="008D6E94" w:rsidTr="002A37BC">
        <w:trPr>
          <w:trHeight w:val="1643"/>
        </w:trPr>
        <w:tc>
          <w:tcPr>
            <w:tcW w:w="3006" w:type="dxa"/>
            <w:gridSpan w:val="7"/>
            <w:shd w:val="clear" w:color="auto" w:fill="FFFFFF"/>
          </w:tcPr>
          <w:p w:rsidR="002E71C6" w:rsidRPr="004B4C6E" w:rsidRDefault="002E71C6" w:rsidP="007F5772">
            <w:pPr>
              <w:spacing w:line="240" w:lineRule="auto"/>
              <w:rPr>
                <w:rFonts w:ascii="Times New Roman" w:hAnsi="Times New Roman"/>
              </w:rPr>
            </w:pPr>
          </w:p>
          <w:p w:rsidR="002E71C6" w:rsidRPr="004B4C6E" w:rsidRDefault="002E71C6" w:rsidP="007F5772">
            <w:pPr>
              <w:spacing w:line="240" w:lineRule="auto"/>
              <w:rPr>
                <w:rFonts w:ascii="Times New Roman" w:hAnsi="Times New Roman"/>
              </w:rPr>
            </w:pPr>
            <w:r w:rsidRPr="004B4C6E">
              <w:rPr>
                <w:rFonts w:ascii="Times New Roman" w:hAnsi="Times New Roman"/>
              </w:rPr>
              <w:t xml:space="preserve">Dodatkowe informacje, w tym wskazanie źródeł danych i przyjętych do obliczeń założeń </w:t>
            </w:r>
          </w:p>
        </w:tc>
        <w:tc>
          <w:tcPr>
            <w:tcW w:w="8033" w:type="dxa"/>
            <w:gridSpan w:val="21"/>
            <w:shd w:val="clear" w:color="auto" w:fill="FFFFFF"/>
            <w:vAlign w:val="center"/>
          </w:tcPr>
          <w:p w:rsidR="002E71C6" w:rsidRDefault="002E71C6" w:rsidP="00BA0212">
            <w:pPr>
              <w:overflowPunct w:val="0"/>
              <w:spacing w:after="120" w:line="240" w:lineRule="auto"/>
              <w:jc w:val="both"/>
              <w:rPr>
                <w:rFonts w:ascii="Times New Roman" w:hAnsi="Times New Roman"/>
              </w:rPr>
            </w:pPr>
            <w:r w:rsidRPr="007F5772">
              <w:rPr>
                <w:rFonts w:ascii="Times New Roman" w:hAnsi="Times New Roman"/>
              </w:rPr>
              <w:t xml:space="preserve">Projekt wpływa na funkcjonowanie przedsiębiorstw, w tym podmiotów </w:t>
            </w:r>
            <w:r w:rsidRPr="005E6839">
              <w:rPr>
                <w:rFonts w:ascii="Times New Roman" w:hAnsi="Times New Roman"/>
              </w:rPr>
              <w:t xml:space="preserve">prowadzących działalność w sektorze produkcji podstawowej produktów rolnych </w:t>
            </w:r>
            <w:r w:rsidRPr="007F5772">
              <w:rPr>
                <w:rFonts w:ascii="Times New Roman" w:hAnsi="Times New Roman"/>
              </w:rPr>
              <w:t xml:space="preserve">poprzez ułatwienie im pozyskania finansowania. Przedstawione w tabeli wielkości </w:t>
            </w:r>
            <w:r>
              <w:rPr>
                <w:rFonts w:ascii="Times New Roman" w:hAnsi="Times New Roman"/>
              </w:rPr>
              <w:t>szacowanych korzyści</w:t>
            </w:r>
            <w:r w:rsidRPr="007F5772">
              <w:rPr>
                <w:rFonts w:ascii="Times New Roman" w:hAnsi="Times New Roman"/>
              </w:rPr>
              <w:t xml:space="preserve"> </w:t>
            </w:r>
            <w:r w:rsidRPr="007F5772">
              <w:rPr>
                <w:rFonts w:ascii="Times New Roman" w:eastAsia="SimSun" w:hAnsi="Times New Roman"/>
                <w:lang w:eastAsia="ar-SA"/>
              </w:rPr>
              <w:t>oznaczają środki</w:t>
            </w:r>
            <w:r>
              <w:rPr>
                <w:rFonts w:ascii="Times New Roman" w:eastAsia="SimSun" w:hAnsi="Times New Roman"/>
                <w:lang w:eastAsia="ar-SA"/>
              </w:rPr>
              <w:t xml:space="preserve"> na dopłaty</w:t>
            </w:r>
            <w:r w:rsidRPr="007F5772">
              <w:rPr>
                <w:rFonts w:ascii="Times New Roman" w:eastAsia="SimSun" w:hAnsi="Times New Roman"/>
                <w:lang w:eastAsia="ar-SA"/>
              </w:rPr>
              <w:t xml:space="preserve">, które otrzyma system bankowy, a które zaoszczędzą przedsiębiorcy poprzez niższe odsetki od kredytów. </w:t>
            </w:r>
            <w:r>
              <w:rPr>
                <w:rFonts w:ascii="Times New Roman" w:hAnsi="Times New Roman"/>
              </w:rPr>
              <w:t>Przewidywane udzielenie pomocy w formie preferencyjnych kredytów dla przedsiębiorców będzie kształtowało się na poziomie ok. 30 mld zł</w:t>
            </w:r>
            <w:r>
              <w:rPr>
                <w:rFonts w:ascii="Times New Roman" w:eastAsia="MS Mincho" w:hAnsi="Times New Roman"/>
              </w:rPr>
              <w:t xml:space="preserve"> dla przedsiębiorców </w:t>
            </w:r>
            <w:r>
              <w:rPr>
                <w:rFonts w:ascii="Times New Roman" w:hAnsi="Times New Roman"/>
              </w:rPr>
              <w:t xml:space="preserve">w rozumieniu przepisów ustawy z dnia 6 marca 2018 r. Prawo przedsiębiorców </w:t>
            </w:r>
            <w:r>
              <w:rPr>
                <w:rFonts w:ascii="Times New Roman" w:eastAsia="MS Mincho" w:hAnsi="Times New Roman"/>
              </w:rPr>
              <w:t xml:space="preserve">oraz ok. 2 mld zł dla </w:t>
            </w:r>
            <w:r>
              <w:rPr>
                <w:rFonts w:ascii="Times New Roman" w:hAnsi="Times New Roman"/>
              </w:rPr>
              <w:t>podmiotów</w:t>
            </w:r>
            <w:r w:rsidRPr="00ED24A5">
              <w:rPr>
                <w:rFonts w:ascii="Times New Roman" w:hAnsi="Times New Roman"/>
              </w:rPr>
              <w:t xml:space="preserve"> </w:t>
            </w:r>
            <w:r>
              <w:rPr>
                <w:rFonts w:ascii="Times New Roman" w:hAnsi="Times New Roman"/>
                <w:bCs/>
              </w:rPr>
              <w:t>prowadzących</w:t>
            </w:r>
            <w:r w:rsidRPr="006E030C">
              <w:rPr>
                <w:rFonts w:ascii="Times New Roman" w:hAnsi="Times New Roman"/>
                <w:bCs/>
              </w:rPr>
              <w:t xml:space="preserve"> działalność w sektorze produkcji podstawowej produktów rolnych</w:t>
            </w:r>
            <w:r>
              <w:rPr>
                <w:rFonts w:ascii="Times New Roman" w:hAnsi="Times New Roman"/>
                <w:bCs/>
              </w:rPr>
              <w:t xml:space="preserve">. </w:t>
            </w:r>
            <w:r>
              <w:rPr>
                <w:rFonts w:ascii="Times New Roman" w:hAnsi="Times New Roman"/>
              </w:rPr>
              <w:t>Zakłada się, że sumaryczna wielkość dopłat w latach 2020-2021 wyniesie odpowiednio ok. 525 mln zł i ok. 40 mln zł.</w:t>
            </w:r>
          </w:p>
          <w:p w:rsidR="002E71C6" w:rsidRDefault="002E71C6" w:rsidP="00BA0212">
            <w:pPr>
              <w:overflowPunct w:val="0"/>
              <w:spacing w:after="120" w:line="240" w:lineRule="auto"/>
              <w:jc w:val="both"/>
              <w:rPr>
                <w:rFonts w:ascii="Times New Roman" w:hAnsi="Times New Roman"/>
              </w:rPr>
            </w:pPr>
            <w:r>
              <w:rPr>
                <w:rFonts w:ascii="Times New Roman" w:hAnsi="Times New Roman"/>
              </w:rPr>
              <w:t>W tabeli uwzględniono ponadto szacowane wpływy z tzw. świadczenia postojowego</w:t>
            </w:r>
            <w:r w:rsidR="00596DF3">
              <w:rPr>
                <w:rFonts w:ascii="Times New Roman" w:hAnsi="Times New Roman"/>
              </w:rPr>
              <w:t>, jak również wpływy dla rodzin z tytułu dodatkowego zasiłku opiekuńczego</w:t>
            </w:r>
            <w:r>
              <w:rPr>
                <w:rFonts w:ascii="Times New Roman" w:hAnsi="Times New Roman"/>
              </w:rPr>
              <w:t xml:space="preserve"> (szczegóły obliczeń zostały opisane w pkt 6 w dodatkowych informacjach).</w:t>
            </w:r>
          </w:p>
          <w:p w:rsidR="002E71C6" w:rsidRDefault="002E71C6" w:rsidP="00CD6B6F">
            <w:pPr>
              <w:overflowPunct w:val="0"/>
              <w:spacing w:after="120" w:line="240" w:lineRule="auto"/>
              <w:jc w:val="both"/>
              <w:rPr>
                <w:rFonts w:ascii="Times New Roman" w:hAnsi="Times New Roman"/>
                <w:color w:val="000000"/>
                <w:spacing w:val="-2"/>
              </w:rPr>
            </w:pPr>
            <w:r>
              <w:rPr>
                <w:rFonts w:ascii="Times New Roman" w:hAnsi="Times New Roman"/>
              </w:rPr>
              <w:t>Korzyści dla gospodarstw domowych w związku z z</w:t>
            </w:r>
            <w:r>
              <w:rPr>
                <w:rFonts w:ascii="Times New Roman" w:hAnsi="Times New Roman"/>
                <w:color w:val="000000"/>
                <w:spacing w:val="-2"/>
              </w:rPr>
              <w:t>awieszeniem naliczania i pobierania odsetek na trzy miesiące z części umów szacuje się na poziomie do około 1-1,5 mld złotych (przy pesymistycznym scenariuszu na rynku pracy).</w:t>
            </w:r>
          </w:p>
          <w:p w:rsidR="00A41513" w:rsidRPr="008E02F3" w:rsidRDefault="00A41513" w:rsidP="008E02F3">
            <w:pPr>
              <w:overflowPunct w:val="0"/>
              <w:spacing w:after="120" w:line="240" w:lineRule="auto"/>
              <w:jc w:val="both"/>
              <w:rPr>
                <w:rFonts w:ascii="Times New Roman" w:hAnsi="Times New Roman"/>
              </w:rPr>
            </w:pPr>
            <w:r w:rsidRPr="008E02F3">
              <w:rPr>
                <w:rFonts w:ascii="Times New Roman" w:hAnsi="Times New Roman"/>
              </w:rPr>
              <w:t>Zakładanym skutkiem projektowanych rozwiązań jest także usprawnienie oraz ułatwienie przedsiębiorcom procesu wychodzenia z zadłużenia. Proponowane regulacje powinny korzystnie wpłynąć na konkurencyjność gospodarki oraz funkcjonowanie przedsiębiorców. W przypadku problemów finansowych dla osób prowadzących działalność gospodarczą kluczowe jest możliwość podejmowania szybkich decyzji, w tym korzystanie z uproszczonych procedur dot. postępowania restrukturyzacyjnego.</w:t>
            </w:r>
          </w:p>
          <w:p w:rsidR="00A41513" w:rsidRPr="009233E4" w:rsidRDefault="00A41513" w:rsidP="00A41513">
            <w:pPr>
              <w:overflowPunct w:val="0"/>
              <w:spacing w:after="120" w:line="240" w:lineRule="auto"/>
              <w:jc w:val="both"/>
              <w:rPr>
                <w:rFonts w:ascii="Times New Roman" w:hAnsi="Times New Roman"/>
                <w:color w:val="000000"/>
                <w:spacing w:val="-2"/>
              </w:rPr>
            </w:pPr>
            <w:r w:rsidRPr="000C74DD">
              <w:rPr>
                <w:rFonts w:ascii="Times New Roman" w:hAnsi="Times New Roman"/>
                <w:color w:val="000000"/>
              </w:rPr>
              <w:t>Projekt zapewni większą ochronę pokrzywdzonym w wyniku stalkingu ze względu na wykonywany zawód poprzez możliwość stosowania nowych środków zapobiegawczych wobec sprawców tego typu przestępstw. Zapewni też ochronę przed zakłóceniami spotkań on-line, wideokonferencji i internetowych zajęć edukacyjnych poprzez penalizację złośliwego utrudniania ich przebiegu. Ułatwi to również prowadzenie lekcji za pośrednictwem środków komunikacji elektronicznej. Jednocześnie ograniczy to swobodę wypowiedzi obywateli poprzez wprowadzenie nowego typu wykroczenia.</w:t>
            </w:r>
          </w:p>
        </w:tc>
      </w:tr>
      <w:tr w:rsidR="002E71C6" w:rsidRPr="008D6E94" w:rsidTr="002A37BC">
        <w:trPr>
          <w:trHeight w:val="342"/>
        </w:trPr>
        <w:tc>
          <w:tcPr>
            <w:tcW w:w="11039" w:type="dxa"/>
            <w:gridSpan w:val="28"/>
            <w:shd w:val="clear" w:color="auto" w:fill="99CCFF"/>
            <w:vAlign w:val="center"/>
          </w:tcPr>
          <w:p w:rsidR="002E71C6" w:rsidRPr="004B4C6E" w:rsidRDefault="002E71C6" w:rsidP="00983F37">
            <w:pPr>
              <w:spacing w:line="240" w:lineRule="auto"/>
              <w:jc w:val="both"/>
              <w:rPr>
                <w:rFonts w:ascii="Times New Roman" w:hAnsi="Times New Roman"/>
                <w:b/>
                <w:color w:val="000000"/>
              </w:rPr>
            </w:pPr>
            <w:r w:rsidRPr="004B4C6E">
              <w:rPr>
                <w:rFonts w:ascii="Times New Roman" w:hAnsi="Times New Roman"/>
                <w:b/>
                <w:color w:val="000000"/>
              </w:rPr>
              <w:t>8. Zmiana obciążeń regulacyjnych (w tym obowiązków informacyjnych) wynikających z projektu</w:t>
            </w:r>
          </w:p>
        </w:tc>
      </w:tr>
      <w:tr w:rsidR="002E71C6" w:rsidRPr="008D6E94" w:rsidTr="002A37BC">
        <w:trPr>
          <w:trHeight w:val="151"/>
        </w:trPr>
        <w:tc>
          <w:tcPr>
            <w:tcW w:w="11039" w:type="dxa"/>
            <w:gridSpan w:val="28"/>
            <w:shd w:val="clear" w:color="auto" w:fill="FFFFFF"/>
          </w:tcPr>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
                  <w:enabled/>
                  <w:calcOnExit w:val="0"/>
                  <w:checkBox>
                    <w:sizeAuto/>
                    <w:default w:val="0"/>
                  </w:checkBox>
                </w:ffData>
              </w:fldChar>
            </w:r>
            <w:r w:rsidRPr="008B0E19">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nie dotyczy</w:t>
            </w:r>
          </w:p>
        </w:tc>
      </w:tr>
      <w:tr w:rsidR="002E71C6" w:rsidRPr="008D6E94" w:rsidTr="002A37BC">
        <w:trPr>
          <w:trHeight w:val="946"/>
        </w:trPr>
        <w:tc>
          <w:tcPr>
            <w:tcW w:w="5399" w:type="dxa"/>
            <w:gridSpan w:val="12"/>
            <w:shd w:val="clear" w:color="auto" w:fill="FFFFFF"/>
          </w:tcPr>
          <w:p w:rsidR="002E71C6" w:rsidRPr="004B4C6E" w:rsidRDefault="002E71C6" w:rsidP="00983F37">
            <w:pPr>
              <w:spacing w:line="240" w:lineRule="auto"/>
              <w:rPr>
                <w:rFonts w:ascii="Times New Roman" w:hAnsi="Times New Roman"/>
                <w:color w:val="000000"/>
                <w:spacing w:val="-2"/>
              </w:rPr>
            </w:pPr>
            <w:r w:rsidRPr="004B4C6E">
              <w:rPr>
                <w:rFonts w:ascii="Times New Roman" w:hAnsi="Times New Roman"/>
                <w:color w:val="000000"/>
                <w:spacing w:val="-2"/>
              </w:rPr>
              <w:t xml:space="preserve">Wprowadzane są obciążenia poza bezwzględnie wymaganymi przez UE </w:t>
            </w:r>
            <w:r w:rsidRPr="004B4C6E">
              <w:rPr>
                <w:rFonts w:ascii="Times New Roman" w:hAnsi="Times New Roman"/>
                <w:color w:val="000000"/>
              </w:rPr>
              <w:t>(szczegóły w odwróconej tabeli zgodności).</w:t>
            </w:r>
          </w:p>
        </w:tc>
        <w:tc>
          <w:tcPr>
            <w:tcW w:w="5640" w:type="dxa"/>
            <w:gridSpan w:val="16"/>
            <w:shd w:val="clear" w:color="auto" w:fill="FFFFFF"/>
          </w:tcPr>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tak</w:t>
            </w:r>
          </w:p>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nie</w:t>
            </w:r>
          </w:p>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nie dotyczy</w:t>
            </w:r>
          </w:p>
        </w:tc>
      </w:tr>
      <w:tr w:rsidR="002E71C6" w:rsidRPr="008D6E94" w:rsidTr="002A37BC">
        <w:trPr>
          <w:trHeight w:val="1245"/>
        </w:trPr>
        <w:tc>
          <w:tcPr>
            <w:tcW w:w="5399" w:type="dxa"/>
            <w:gridSpan w:val="12"/>
            <w:shd w:val="clear" w:color="auto" w:fill="FFFFFF"/>
          </w:tcPr>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 xml:space="preserve">zmniejszenie liczby dokumentów </w:t>
            </w:r>
          </w:p>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zmniejszenie liczby procedur</w:t>
            </w:r>
          </w:p>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skrócenie czasu na załatwienie sprawy</w:t>
            </w:r>
          </w:p>
          <w:p w:rsidR="002E71C6" w:rsidRPr="004B4C6E" w:rsidRDefault="002E71C6" w:rsidP="00983F37">
            <w:pPr>
              <w:spacing w:line="240" w:lineRule="auto"/>
              <w:jc w:val="both"/>
              <w:rPr>
                <w:rFonts w:ascii="Times New Roman" w:hAnsi="Times New Roman"/>
                <w:b/>
                <w:color w:val="000000"/>
                <w:spacing w:val="-2"/>
              </w:rPr>
            </w:pPr>
            <w:r w:rsidRPr="004B4C6E">
              <w:rPr>
                <w:rFonts w:ascii="Times New Roman" w:hAnsi="Times New Roman"/>
                <w:color w:val="000000"/>
              </w:rPr>
              <w:fldChar w:fldCharType="begin">
                <w:ffData>
                  <w:name w:val=""/>
                  <w:enabled/>
                  <w:calcOnExit w:val="0"/>
                  <w:checkBox>
                    <w:sizeAuto/>
                    <w:default w:val="0"/>
                  </w:checkBox>
                </w:ffData>
              </w:fldChar>
            </w:r>
            <w:r w:rsidRPr="008B0E19">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inne:</w:t>
            </w:r>
            <w:r w:rsidRPr="004B4C6E">
              <w:rPr>
                <w:rFonts w:ascii="Times New Roman" w:hAnsi="Times New Roman"/>
                <w:color w:val="000000"/>
              </w:rPr>
              <w:t xml:space="preserve"> </w:t>
            </w:r>
          </w:p>
          <w:p w:rsidR="002E71C6" w:rsidRPr="004B4C6E" w:rsidRDefault="002E71C6" w:rsidP="00983F37">
            <w:pPr>
              <w:spacing w:line="240" w:lineRule="auto"/>
              <w:jc w:val="both"/>
              <w:rPr>
                <w:rFonts w:ascii="Times New Roman" w:hAnsi="Times New Roman"/>
                <w:b/>
                <w:color w:val="000000"/>
                <w:spacing w:val="-2"/>
              </w:rPr>
            </w:pPr>
          </w:p>
        </w:tc>
        <w:tc>
          <w:tcPr>
            <w:tcW w:w="5640" w:type="dxa"/>
            <w:gridSpan w:val="16"/>
            <w:shd w:val="clear" w:color="auto" w:fill="FFFFFF"/>
          </w:tcPr>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zwiększenie liczby dokumentów</w:t>
            </w:r>
          </w:p>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zwiększenie liczby procedur</w:t>
            </w:r>
          </w:p>
          <w:p w:rsidR="002E71C6" w:rsidRPr="004B4C6E" w:rsidRDefault="002E71C6" w:rsidP="00983F37">
            <w:pPr>
              <w:spacing w:line="240" w:lineRule="auto"/>
              <w:rPr>
                <w:rFonts w:ascii="Times New Roman" w:hAnsi="Times New Roman"/>
                <w:color w:val="000000"/>
                <w:spacing w:val="-2"/>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wydłużenie czasu na załatwienie sprawy</w:t>
            </w:r>
          </w:p>
          <w:p w:rsidR="002E71C6" w:rsidRPr="004B4C6E" w:rsidRDefault="002E71C6" w:rsidP="00983F37">
            <w:pPr>
              <w:spacing w:line="240" w:lineRule="auto"/>
              <w:jc w:val="both"/>
              <w:rPr>
                <w:rFonts w:ascii="Times New Roman" w:hAnsi="Times New Roman"/>
                <w:color w:val="000000"/>
              </w:rPr>
            </w:pPr>
            <w:r w:rsidRPr="004B4C6E">
              <w:rPr>
                <w:rFonts w:ascii="Times New Roman" w:hAnsi="Times New Roman"/>
                <w:color w:val="000000"/>
              </w:rPr>
              <w:fldChar w:fldCharType="begin">
                <w:ffData>
                  <w:name w:val=""/>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inne:</w:t>
            </w:r>
            <w:r w:rsidRPr="004B4C6E">
              <w:rPr>
                <w:rFonts w:ascii="Times New Roman" w:hAnsi="Times New Roman"/>
                <w:color w:val="000000"/>
              </w:rPr>
              <w:t xml:space="preserve"> </w:t>
            </w:r>
          </w:p>
          <w:p w:rsidR="002E71C6" w:rsidRPr="004B4C6E" w:rsidRDefault="002E71C6" w:rsidP="00983F37">
            <w:pPr>
              <w:spacing w:line="240" w:lineRule="auto"/>
              <w:rPr>
                <w:rFonts w:ascii="Times New Roman" w:hAnsi="Times New Roman"/>
                <w:color w:val="000000"/>
              </w:rPr>
            </w:pPr>
          </w:p>
        </w:tc>
      </w:tr>
      <w:tr w:rsidR="002E71C6" w:rsidRPr="008D6E94" w:rsidTr="002A37BC">
        <w:trPr>
          <w:trHeight w:val="870"/>
        </w:trPr>
        <w:tc>
          <w:tcPr>
            <w:tcW w:w="5399" w:type="dxa"/>
            <w:gridSpan w:val="12"/>
            <w:shd w:val="clear" w:color="auto" w:fill="FFFFFF"/>
          </w:tcPr>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spacing w:val="-2"/>
              </w:rPr>
              <w:t xml:space="preserve">Wprowadzane obciążenia są przystosowane do ich elektronizacji. </w:t>
            </w:r>
          </w:p>
        </w:tc>
        <w:tc>
          <w:tcPr>
            <w:tcW w:w="5640" w:type="dxa"/>
            <w:gridSpan w:val="16"/>
            <w:shd w:val="clear" w:color="auto" w:fill="FFFFFF"/>
          </w:tcPr>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
                  <w:enabled/>
                  <w:calcOnExit w:val="0"/>
                  <w:checkBox>
                    <w:sizeAuto/>
                    <w:default w:val="1"/>
                  </w:checkBox>
                </w:ffData>
              </w:fldChar>
            </w:r>
            <w:r w:rsidRPr="008B0E19">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tak</w:t>
            </w:r>
          </w:p>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nie</w:t>
            </w:r>
          </w:p>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nie dotyczy</w:t>
            </w:r>
          </w:p>
        </w:tc>
      </w:tr>
      <w:tr w:rsidR="002E71C6" w:rsidRPr="008D6E94" w:rsidTr="002A37BC">
        <w:trPr>
          <w:trHeight w:val="282"/>
        </w:trPr>
        <w:tc>
          <w:tcPr>
            <w:tcW w:w="11039" w:type="dxa"/>
            <w:gridSpan w:val="28"/>
            <w:shd w:val="clear" w:color="auto" w:fill="FFFFFF"/>
          </w:tcPr>
          <w:p w:rsidR="002E71C6" w:rsidRDefault="002E71C6" w:rsidP="007F5772">
            <w:pPr>
              <w:spacing w:after="120" w:line="240" w:lineRule="auto"/>
              <w:jc w:val="both"/>
              <w:rPr>
                <w:rFonts w:ascii="Times New Roman" w:hAnsi="Times New Roman"/>
                <w:color w:val="000000"/>
              </w:rPr>
            </w:pPr>
            <w:r w:rsidRPr="2C09C4A9">
              <w:rPr>
                <w:rFonts w:ascii="Times New Roman" w:hAnsi="Times New Roman"/>
                <w:color w:val="000000" w:themeColor="text1"/>
              </w:rPr>
              <w:t xml:space="preserve">Propozycje zmian legislacyjnych </w:t>
            </w:r>
            <w:r>
              <w:rPr>
                <w:rFonts w:ascii="Times New Roman" w:hAnsi="Times New Roman"/>
                <w:color w:val="000000" w:themeColor="text1"/>
              </w:rPr>
              <w:t>dot. zamówień publicznych</w:t>
            </w:r>
            <w:r w:rsidRPr="2C09C4A9">
              <w:rPr>
                <w:rFonts w:ascii="Times New Roman" w:hAnsi="Times New Roman"/>
                <w:color w:val="000000" w:themeColor="text1"/>
              </w:rPr>
              <w:t xml:space="preserve"> powinny przyczynić się do z</w:t>
            </w:r>
            <w:r w:rsidRPr="2C09C4A9">
              <w:rPr>
                <w:rFonts w:ascii="Times New Roman" w:hAnsi="Times New Roman"/>
              </w:rPr>
              <w:t>mniejszenia</w:t>
            </w:r>
            <w:r>
              <w:rPr>
                <w:rFonts w:ascii="Times New Roman" w:hAnsi="Times New Roman"/>
              </w:rPr>
              <w:t xml:space="preserve"> obowiązków nakładanych na przedsiębiorców biorących udział w postępowaniu (propozycja zniesienia obowiązku żądania wadium przez zamawiających), jak i późniejszych wykonawców (o</w:t>
            </w:r>
            <w:r>
              <w:rPr>
                <w:rFonts w:ascii="Times New Roman" w:hAnsi="Times New Roman"/>
                <w:spacing w:val="-2"/>
              </w:rPr>
              <w:t>bniżenie dopuszczalnej wysokości zabezpieczenia należytego wykonania umowy).</w:t>
            </w:r>
          </w:p>
          <w:p w:rsidR="002E71C6" w:rsidRDefault="002E71C6" w:rsidP="000C6664">
            <w:pPr>
              <w:spacing w:after="120" w:line="240" w:lineRule="auto"/>
              <w:jc w:val="both"/>
              <w:rPr>
                <w:rFonts w:ascii="Times New Roman" w:hAnsi="Times New Roman"/>
                <w:color w:val="000000"/>
              </w:rPr>
            </w:pPr>
            <w:r>
              <w:rPr>
                <w:rFonts w:ascii="Times New Roman" w:hAnsi="Times New Roman"/>
                <w:color w:val="000000"/>
              </w:rPr>
              <w:t>Z kolei propozycja dot. dopłat do oprocentowania kredytów wiązać się może z potrzebą</w:t>
            </w:r>
            <w:r w:rsidRPr="004B4C6E">
              <w:rPr>
                <w:rFonts w:ascii="Times New Roman" w:hAnsi="Times New Roman"/>
                <w:color w:val="000000"/>
              </w:rPr>
              <w:t xml:space="preserve"> opracowani</w:t>
            </w:r>
            <w:r>
              <w:rPr>
                <w:rFonts w:ascii="Times New Roman" w:hAnsi="Times New Roman"/>
                <w:color w:val="000000"/>
              </w:rPr>
              <w:t>a</w:t>
            </w:r>
            <w:r w:rsidRPr="004B4C6E">
              <w:rPr>
                <w:rFonts w:ascii="Times New Roman" w:hAnsi="Times New Roman"/>
                <w:color w:val="000000"/>
              </w:rPr>
              <w:t xml:space="preserve"> i wdrożeni</w:t>
            </w:r>
            <w:r>
              <w:rPr>
                <w:rFonts w:ascii="Times New Roman" w:hAnsi="Times New Roman"/>
                <w:color w:val="000000"/>
              </w:rPr>
              <w:t>a</w:t>
            </w:r>
            <w:r w:rsidRPr="004B4C6E">
              <w:rPr>
                <w:rFonts w:ascii="Times New Roman" w:hAnsi="Times New Roman"/>
                <w:color w:val="000000"/>
              </w:rPr>
              <w:t xml:space="preserve"> dodatkowych procedur</w:t>
            </w:r>
            <w:r>
              <w:rPr>
                <w:rFonts w:ascii="Times New Roman" w:hAnsi="Times New Roman"/>
                <w:color w:val="000000"/>
              </w:rPr>
              <w:t>, które</w:t>
            </w:r>
            <w:r w:rsidRPr="004B4C6E">
              <w:rPr>
                <w:rFonts w:ascii="Times New Roman" w:hAnsi="Times New Roman"/>
                <w:color w:val="000000"/>
              </w:rPr>
              <w:t xml:space="preserve"> dotyczyć będ</w:t>
            </w:r>
            <w:r>
              <w:rPr>
                <w:rFonts w:ascii="Times New Roman" w:hAnsi="Times New Roman"/>
                <w:color w:val="000000"/>
              </w:rPr>
              <w:t xml:space="preserve">ą </w:t>
            </w:r>
            <w:r w:rsidRPr="004B4C6E">
              <w:rPr>
                <w:rFonts w:ascii="Times New Roman" w:hAnsi="Times New Roman"/>
                <w:color w:val="000000"/>
              </w:rPr>
              <w:t xml:space="preserve">sektora bankowego oraz BGK. </w:t>
            </w:r>
            <w:r>
              <w:rPr>
                <w:rFonts w:ascii="Times New Roman" w:hAnsi="Times New Roman"/>
                <w:color w:val="000000"/>
              </w:rPr>
              <w:t xml:space="preserve">Z drugiej strony należy mieć na uwadze, że rozwiązania powinny wpłynąć korzystnie na banki, które zdecydują się na zawarcie z BGK umowy o współpracę oraz na przedsiębiorców, którzy dzięki temu skorzystają na dopłatach do odsetek od kredytów. </w:t>
            </w:r>
          </w:p>
          <w:p w:rsidR="002E71C6" w:rsidRDefault="002E71C6" w:rsidP="000C6664">
            <w:pPr>
              <w:spacing w:line="240" w:lineRule="auto"/>
              <w:jc w:val="both"/>
              <w:rPr>
                <w:rFonts w:ascii="Times New Roman" w:hAnsi="Times New Roman"/>
                <w:color w:val="000000"/>
              </w:rPr>
            </w:pPr>
            <w:r>
              <w:rPr>
                <w:rFonts w:ascii="Times New Roman" w:hAnsi="Times New Roman"/>
                <w:color w:val="000000"/>
              </w:rPr>
              <w:t xml:space="preserve">W zakresie rozwiązań wynikających z tzw. tarczy samorządowej projekt ustawy nakłada dodatkowe obowiązki informacyjne dla gmin w trakcie tzw. procedury planistycznej. Jednoznacznie rozstrzygnięto wątpliwości interpretacyjne wprowadzając wymóg publikacji w Biuletynie Informacji Publicznej organu prowadzącego postępowanie, uchwał o przystąpieniu do sporządzania planu miejscowego, studium, tzw. uchwały krajobrazowej, audytu krajobrazowego oraz planu zagospodarowania przestrzennego województwa. Organy prowadzące ww. postępowania zobowiązane zostały do zamieszczenia na swoich stronach BIP, formularzy umożliwiających wniesienie wniosku lub uwagi do postępowania w sposób elektroniczny. Dodatkowo nałożono obowiązek publikacji projektów studium, planu miejscowego, uchwały krajobrazowej oraz audytu krajobrazowego na stronie BIP podmiotowego organu w ramach wyłożenia dokumentu do publicznego wglądu przewidzianego ustawową procedurą. </w:t>
            </w:r>
          </w:p>
          <w:p w:rsidR="002E71C6" w:rsidRDefault="002E71C6" w:rsidP="00163D26">
            <w:pPr>
              <w:spacing w:after="120" w:line="240" w:lineRule="auto"/>
              <w:jc w:val="both"/>
              <w:rPr>
                <w:rFonts w:ascii="Times New Roman" w:hAnsi="Times New Roman"/>
                <w:color w:val="000000"/>
              </w:rPr>
            </w:pPr>
            <w:r>
              <w:rPr>
                <w:rFonts w:ascii="Times New Roman" w:hAnsi="Times New Roman"/>
                <w:color w:val="000000"/>
              </w:rPr>
              <w:t>Powyższe regulacje w niewielkim stopniu obciążają organy prowadzące postępowania z uwagi na jednostkowy charakter wymaganej informacji i pełną elektronizację obciążenia. Jednocześnie pozwolą uzyskać znaczącą poprawę transparentności procesu legislacyjnego uchwalania dokumentów objętych regulacją i istotnie wpłyną na aktywniejszy udział osób zainteresowanych w ramach konsultacji społecznych.</w:t>
            </w:r>
          </w:p>
          <w:p w:rsidR="002E71C6" w:rsidRDefault="002E71C6" w:rsidP="00163D26">
            <w:pPr>
              <w:spacing w:after="120" w:line="240" w:lineRule="auto"/>
              <w:jc w:val="both"/>
              <w:rPr>
                <w:rFonts w:ascii="Times New Roman" w:hAnsi="Times New Roman"/>
                <w:color w:val="000000"/>
              </w:rPr>
            </w:pPr>
            <w:r>
              <w:rPr>
                <w:rFonts w:ascii="Times New Roman" w:hAnsi="Times New Roman"/>
                <w:color w:val="000000"/>
              </w:rPr>
              <w:t>Wprowadzenie możliwości poświadczania przez wykonawcę prac geodezyjnych pozytywnego wyniku weryfikacji bez konieczności uwierzytelnienia przez właściwy organ służby geodezyjnej i kartograficznej pozwoli przyspieszyć proces inwestycyjny i zmniejszyć liczbę niezbędnych procedur.</w:t>
            </w:r>
          </w:p>
          <w:p w:rsidR="002E71C6" w:rsidRDefault="002E71C6" w:rsidP="00163D26">
            <w:pPr>
              <w:spacing w:after="120" w:line="240" w:lineRule="auto"/>
              <w:jc w:val="both"/>
              <w:rPr>
                <w:rFonts w:ascii="Times New Roman" w:hAnsi="Times New Roman"/>
                <w:color w:val="000000"/>
              </w:rPr>
            </w:pPr>
            <w:r w:rsidRPr="005E3547">
              <w:rPr>
                <w:rFonts w:ascii="Times New Roman" w:hAnsi="Times New Roman"/>
                <w:color w:val="000000"/>
              </w:rPr>
              <w:t>Jednym z przewidywanych efektów wprowadzanej regulacji będzie zmniejszenie liczby postępowań o wydanie decyzji o warunkach zabudowy. Przyczyni się to do znacznego odciążenia organów wydających, ale także opiniujących i uzgadniających. Tym samym przyspieszy to sam proces wydawania decyzji.</w:t>
            </w:r>
          </w:p>
          <w:p w:rsidR="002E71C6" w:rsidRDefault="002E71C6" w:rsidP="00C50909">
            <w:pPr>
              <w:spacing w:after="120" w:line="240" w:lineRule="auto"/>
              <w:jc w:val="both"/>
              <w:rPr>
                <w:rFonts w:ascii="Times New Roman" w:hAnsi="Times New Roman"/>
                <w:color w:val="000000"/>
              </w:rPr>
            </w:pPr>
            <w:r w:rsidRPr="00B23B0B">
              <w:rPr>
                <w:rFonts w:ascii="Times New Roman" w:hAnsi="Times New Roman"/>
                <w:color w:val="000000"/>
              </w:rPr>
              <w:t>Liczba procedur zostanie także zmniejszona w wyniku uwolnienia części zasobów geodezyjnych. Tym samym podmioty pozyskujące dane nie będą zmuszone wnioskować o ich udostępnienie, co z jednej strony odciąży zarówno pozyskującego jak i organ udostępniający dane, a ponadto przyspieszy samą działalność podmiotów wykorzystujących te dane.</w:t>
            </w:r>
            <w:r w:rsidRPr="00A3102B">
              <w:rPr>
                <w:rFonts w:ascii="Times New Roman" w:hAnsi="Times New Roman"/>
                <w:color w:val="000000"/>
              </w:rPr>
              <w:t xml:space="preserve"> </w:t>
            </w:r>
          </w:p>
          <w:p w:rsidR="002E71C6" w:rsidRDefault="002E71C6" w:rsidP="00C50909">
            <w:pPr>
              <w:spacing w:after="120" w:line="240" w:lineRule="auto"/>
              <w:jc w:val="both"/>
              <w:rPr>
                <w:rFonts w:ascii="Times New Roman" w:hAnsi="Times New Roman"/>
                <w:color w:val="000000"/>
              </w:rPr>
            </w:pPr>
            <w:r w:rsidRPr="00A3102B">
              <w:rPr>
                <w:rFonts w:ascii="Times New Roman" w:hAnsi="Times New Roman"/>
                <w:color w:val="000000"/>
              </w:rPr>
              <w:t>Projekt przewiduje zmniejszenie liczby dokumentów oraz procedur związanych z ubieganiem się o dofinansowanie do wynagrodzeń pracowników. Pozwala na zmniejszenie liczby dokumentów dostarczanych przez przeds</w:t>
            </w:r>
            <w:r>
              <w:rPr>
                <w:rFonts w:ascii="Times New Roman" w:hAnsi="Times New Roman"/>
                <w:color w:val="000000"/>
              </w:rPr>
              <w:t>iębiorców do urzędu (PUP) co miesiąc, tym bardziej, ż</w:t>
            </w:r>
            <w:r w:rsidRPr="00A3102B">
              <w:rPr>
                <w:rFonts w:ascii="Times New Roman" w:hAnsi="Times New Roman"/>
                <w:color w:val="000000"/>
              </w:rPr>
              <w:t>e zostały one przedłożone do wniosku o dofinansowanie. Projekt przyczyni się do ograniczenia ilości dokumentacji papierowej oraz elektronicznego przesyłania danych. Usprawnia pracę PUP poprzez wyeliminowanie pracochłonn</w:t>
            </w:r>
            <w:r>
              <w:rPr>
                <w:rFonts w:ascii="Times New Roman" w:hAnsi="Times New Roman"/>
                <w:color w:val="000000"/>
              </w:rPr>
              <w:t>ego obowiązku przyjmowania co miesią</w:t>
            </w:r>
            <w:r w:rsidRPr="00A3102B">
              <w:rPr>
                <w:rFonts w:ascii="Times New Roman" w:hAnsi="Times New Roman"/>
                <w:color w:val="000000"/>
              </w:rPr>
              <w:t xml:space="preserve">c i weryfikacji oświadczenia o zatrudnianiu pracowników i kalkulacji kosztów wynagrodzeń. </w:t>
            </w:r>
          </w:p>
          <w:p w:rsidR="002E71C6" w:rsidRDefault="002E71C6" w:rsidP="00C50909">
            <w:pPr>
              <w:spacing w:after="120" w:line="240" w:lineRule="auto"/>
              <w:jc w:val="both"/>
              <w:rPr>
                <w:rFonts w:ascii="Times New Roman" w:hAnsi="Times New Roman"/>
                <w:color w:val="000000"/>
              </w:rPr>
            </w:pPr>
            <w:r w:rsidRPr="00FD1A41">
              <w:rPr>
                <w:rFonts w:ascii="Times New Roman" w:hAnsi="Times New Roman"/>
                <w:color w:val="000000"/>
              </w:rPr>
              <w:t>Projekt przyczyni się do wyeliminowania wątpliwości interpretacyjnych związanych z ustalaniem terminów, od których liczy s</w:t>
            </w:r>
            <w:r>
              <w:rPr>
                <w:rFonts w:ascii="Times New Roman" w:hAnsi="Times New Roman"/>
                <w:color w:val="000000"/>
              </w:rPr>
              <w:t>ię spadek obrotów, co przyczyni</w:t>
            </w:r>
            <w:r w:rsidRPr="00FD1A41">
              <w:rPr>
                <w:rFonts w:ascii="Times New Roman" w:hAnsi="Times New Roman"/>
                <w:color w:val="000000"/>
              </w:rPr>
              <w:t xml:space="preserve"> się do usprawnienia działania urzędów rozpatrujących wnioski oraz przedsiębiorców związanych z prawidłowym wypełnieniem wniosków o wsparcia. Będą one łatwiejsze do przygotowania i analizy gdyż obejmują pełne miesiące tj. od 1 dnia miesiąca (od dnia 1 stycznia).</w:t>
            </w:r>
          </w:p>
          <w:p w:rsidR="002E71C6" w:rsidRDefault="002E71C6" w:rsidP="00C50909">
            <w:pPr>
              <w:spacing w:after="120" w:line="240" w:lineRule="auto"/>
              <w:jc w:val="both"/>
              <w:rPr>
                <w:rFonts w:ascii="Times New Roman" w:hAnsi="Times New Roman"/>
                <w:color w:val="000000"/>
              </w:rPr>
            </w:pPr>
            <w:r w:rsidRPr="00C50909">
              <w:rPr>
                <w:rFonts w:ascii="Times New Roman" w:hAnsi="Times New Roman"/>
                <w:color w:val="000000"/>
              </w:rPr>
              <w:t>Nastąpi zrównanie zasad odroczenia legalizacji w stosunku do wszystkich przyrządów pomiarowych współegzystujących na rynku.</w:t>
            </w:r>
          </w:p>
          <w:p w:rsidR="002E71C6" w:rsidRDefault="002E71C6" w:rsidP="00C50909">
            <w:pPr>
              <w:spacing w:after="120" w:line="240" w:lineRule="auto"/>
              <w:jc w:val="both"/>
              <w:rPr>
                <w:rFonts w:ascii="Times New Roman" w:hAnsi="Times New Roman"/>
                <w:color w:val="000000"/>
              </w:rPr>
            </w:pPr>
            <w:r w:rsidRPr="003B5276">
              <w:rPr>
                <w:rFonts w:ascii="Times New Roman" w:hAnsi="Times New Roman"/>
                <w:color w:val="000000"/>
              </w:rPr>
              <w:t>Ułatwieniem będzie również rozwiązanie polegające na umożliwieniu wydawani</w:t>
            </w:r>
            <w:r>
              <w:rPr>
                <w:rFonts w:ascii="Times New Roman" w:hAnsi="Times New Roman"/>
                <w:color w:val="000000"/>
              </w:rPr>
              <w:t>a</w:t>
            </w:r>
            <w:r w:rsidRPr="003B5276">
              <w:rPr>
                <w:rFonts w:ascii="Times New Roman" w:hAnsi="Times New Roman"/>
                <w:color w:val="000000"/>
              </w:rPr>
              <w:t xml:space="preserve"> przez Urząd Patentowy uprawnionym dokumentów potwierdzających udzielenie praw wyłącznych i dowodów pierwszeństwa w formie elektronicznej, co jak dotąd nie jest możliwe.</w:t>
            </w:r>
            <w:r>
              <w:rPr>
                <w:rFonts w:ascii="Times New Roman" w:hAnsi="Times New Roman"/>
                <w:color w:val="000000"/>
              </w:rPr>
              <w:t xml:space="preserve"> </w:t>
            </w:r>
            <w:r w:rsidRPr="003B5276">
              <w:rPr>
                <w:rFonts w:ascii="Times New Roman" w:hAnsi="Times New Roman"/>
                <w:color w:val="000000"/>
              </w:rPr>
              <w:t xml:space="preserve">Wprowadzenie elektronicznej formy tych dokumentów wychodzi naprzeciw potrzebie sprawnej i kompleksowej obsługi podmiotów, które zdecydowały się na korespondencję elektroniczną z Urzędem Patentowym, ale też wszystkich zainteresowanych szybkim doręczeniem takich dokumentów, bez potrzeby wychodzenia z domu. </w:t>
            </w:r>
          </w:p>
          <w:p w:rsidR="00A41513" w:rsidRPr="00A41513" w:rsidRDefault="00A41513" w:rsidP="00A41513">
            <w:pPr>
              <w:spacing w:after="120" w:line="240" w:lineRule="auto"/>
              <w:jc w:val="both"/>
              <w:rPr>
                <w:rFonts w:ascii="Times New Roman" w:hAnsi="Times New Roman"/>
                <w:color w:val="000000"/>
              </w:rPr>
            </w:pPr>
            <w:r w:rsidRPr="00A41513">
              <w:rPr>
                <w:rFonts w:ascii="Times New Roman" w:hAnsi="Times New Roman"/>
                <w:color w:val="000000"/>
              </w:rPr>
              <w:t>Procedura dematerializacji akcji w s</w:t>
            </w:r>
            <w:r>
              <w:rPr>
                <w:rFonts w:ascii="Times New Roman" w:hAnsi="Times New Roman"/>
                <w:color w:val="000000"/>
              </w:rPr>
              <w:t>półkach akcyjnych i komandytowo-</w:t>
            </w:r>
            <w:r w:rsidRPr="00A41513">
              <w:rPr>
                <w:rFonts w:ascii="Times New Roman" w:hAnsi="Times New Roman"/>
                <w:color w:val="000000"/>
              </w:rPr>
              <w:t>akcyjnych w stanie upadłości zostanie zawieszona.</w:t>
            </w:r>
          </w:p>
          <w:p w:rsidR="00A41513" w:rsidRPr="00A41513" w:rsidRDefault="00A41513" w:rsidP="00A41513">
            <w:pPr>
              <w:spacing w:after="120" w:line="240" w:lineRule="auto"/>
              <w:jc w:val="both"/>
              <w:rPr>
                <w:rFonts w:ascii="Times New Roman" w:hAnsi="Times New Roman"/>
                <w:color w:val="000000"/>
              </w:rPr>
            </w:pPr>
            <w:r w:rsidRPr="00A41513">
              <w:rPr>
                <w:rFonts w:ascii="Times New Roman" w:hAnsi="Times New Roman"/>
                <w:color w:val="000000"/>
              </w:rPr>
              <w:t>Projektowana zmiana ustawy o Krajowej Radzie Sądownictwa spowoduje skrócenie czasu doręczenia, a tym samym procesu nominacji sędziowskich, poprzez wyeliminowanie pośrednictwa KRS w przesłaniu korespondencji z Sądu Najwyższego.</w:t>
            </w:r>
          </w:p>
          <w:p w:rsidR="00A41513" w:rsidRDefault="00A41513" w:rsidP="00460448">
            <w:pPr>
              <w:spacing w:after="120" w:line="240" w:lineRule="auto"/>
              <w:jc w:val="both"/>
              <w:rPr>
                <w:rFonts w:ascii="Times New Roman" w:hAnsi="Times New Roman"/>
                <w:color w:val="000000"/>
              </w:rPr>
            </w:pPr>
            <w:r w:rsidRPr="00A41513">
              <w:rPr>
                <w:rFonts w:ascii="Times New Roman" w:hAnsi="Times New Roman"/>
                <w:color w:val="000000"/>
              </w:rPr>
              <w:t>Projekt przewiduje zmniejszenie liczby procedur poprzez uproszczenie postępowania restrukturyzacyjnego</w:t>
            </w:r>
            <w:r>
              <w:rPr>
                <w:rFonts w:ascii="Times New Roman" w:hAnsi="Times New Roman"/>
                <w:color w:val="000000"/>
              </w:rPr>
              <w:t>, np.</w:t>
            </w:r>
            <w:r w:rsidRPr="00A41513">
              <w:rPr>
                <w:rFonts w:ascii="Times New Roman" w:hAnsi="Times New Roman"/>
                <w:color w:val="000000"/>
              </w:rPr>
              <w:t xml:space="preserve"> poprzez brak konieczności formalnego otwarcia postępowania przez sąd.</w:t>
            </w:r>
          </w:p>
          <w:p w:rsidR="00833252" w:rsidRPr="004B4C6E" w:rsidRDefault="00833252" w:rsidP="00833252">
            <w:pPr>
              <w:spacing w:after="120" w:line="240" w:lineRule="auto"/>
              <w:jc w:val="both"/>
              <w:rPr>
                <w:rFonts w:ascii="Times New Roman" w:hAnsi="Times New Roman"/>
                <w:color w:val="000000"/>
              </w:rPr>
            </w:pPr>
            <w:r>
              <w:rPr>
                <w:rFonts w:ascii="Times New Roman" w:hAnsi="Times New Roman"/>
                <w:spacing w:val="-2"/>
              </w:rPr>
              <w:t xml:space="preserve">Propozycja dot. przywrócenia </w:t>
            </w:r>
            <w:r>
              <w:rPr>
                <w:rFonts w:ascii="Times New Roman" w:hAnsi="Times New Roman"/>
              </w:rPr>
              <w:t>zasad łączenia kar obowiązujących w prawie karnym do dnia 30 czerwca 2015 r. powinna spowodować</w:t>
            </w:r>
            <w:r>
              <w:rPr>
                <w:rFonts w:ascii="Times New Roman" w:hAnsi="Times New Roman"/>
                <w:spacing w:val="-2"/>
              </w:rPr>
              <w:t xml:space="preserve"> zmniejszenie liczby spraw w sądach kierowanych do rozpoznania na rozprawie, a w konsekwencji zniwelowanie zaległości w rozpoznawaniu spraw w sądach, spowodowanych przerwą w ich działaniu wynikającą ze stanu epidemii. </w:t>
            </w:r>
          </w:p>
        </w:tc>
      </w:tr>
      <w:tr w:rsidR="002E71C6" w:rsidRPr="008D6E94" w:rsidTr="002A37BC">
        <w:trPr>
          <w:trHeight w:val="142"/>
        </w:trPr>
        <w:tc>
          <w:tcPr>
            <w:tcW w:w="11039" w:type="dxa"/>
            <w:gridSpan w:val="28"/>
            <w:shd w:val="clear" w:color="auto" w:fill="99CCFF"/>
          </w:tcPr>
          <w:p w:rsidR="002E71C6" w:rsidRPr="004B4C6E" w:rsidRDefault="002E71C6" w:rsidP="00983F37">
            <w:pPr>
              <w:spacing w:line="240" w:lineRule="auto"/>
              <w:jc w:val="both"/>
              <w:rPr>
                <w:rFonts w:ascii="Times New Roman" w:hAnsi="Times New Roman"/>
                <w:b/>
                <w:color w:val="000000"/>
              </w:rPr>
            </w:pPr>
            <w:r w:rsidRPr="004B4C6E">
              <w:rPr>
                <w:rFonts w:ascii="Times New Roman" w:hAnsi="Times New Roman"/>
                <w:b/>
                <w:color w:val="000000"/>
              </w:rPr>
              <w:t xml:space="preserve">9. Wpływ na rynek pracy </w:t>
            </w:r>
          </w:p>
        </w:tc>
      </w:tr>
      <w:tr w:rsidR="002E71C6" w:rsidRPr="008D6E94" w:rsidTr="002A37BC">
        <w:trPr>
          <w:trHeight w:val="142"/>
        </w:trPr>
        <w:tc>
          <w:tcPr>
            <w:tcW w:w="11039" w:type="dxa"/>
            <w:gridSpan w:val="28"/>
          </w:tcPr>
          <w:p w:rsidR="002E71C6" w:rsidRDefault="002E71C6" w:rsidP="00163D26">
            <w:pPr>
              <w:spacing w:after="120" w:line="240" w:lineRule="auto"/>
              <w:jc w:val="both"/>
              <w:rPr>
                <w:rFonts w:ascii="Times New Roman" w:hAnsi="Times New Roman"/>
                <w:color w:val="000000"/>
              </w:rPr>
            </w:pPr>
            <w:r w:rsidRPr="00163D26">
              <w:rPr>
                <w:rFonts w:ascii="Times New Roman" w:hAnsi="Times New Roman"/>
                <w:color w:val="000000"/>
              </w:rPr>
              <w:t>Dzięki przewidzianym rozwiązaniom projekt może oddziaływać pozytywnie na rynek pracy poprzez zwiększenie poczucia stabilizacji wśród przedsiębiorców oraz poprzez zwiększenie poczucia bezpieczeństwa ekonomicznego obywateli zatrudnionych u przedsiębiorców mających problem z płynnością finansową.</w:t>
            </w:r>
            <w:r>
              <w:rPr>
                <w:rFonts w:ascii="Times New Roman" w:hAnsi="Times New Roman"/>
                <w:color w:val="000000"/>
              </w:rPr>
              <w:t xml:space="preserve"> </w:t>
            </w:r>
          </w:p>
          <w:p w:rsidR="002E71C6" w:rsidRPr="00490987" w:rsidRDefault="002E71C6" w:rsidP="0077453C">
            <w:pPr>
              <w:spacing w:after="120" w:line="240" w:lineRule="auto"/>
              <w:jc w:val="both"/>
              <w:rPr>
                <w:rFonts w:ascii="Times New Roman" w:hAnsi="Times New Roman"/>
              </w:rPr>
            </w:pPr>
            <w:r w:rsidRPr="00C45C69">
              <w:rPr>
                <w:rFonts w:ascii="Times New Roman" w:hAnsi="Times New Roman"/>
                <w:color w:val="000000"/>
                <w:spacing w:val="-2"/>
              </w:rPr>
              <w:t xml:space="preserve">Zmiany w zakresie prawa pracy zwiększą elastyczność w organizacji pracy i pozwolą dostosować działalność przedsiębiorstw do nowych uwarunkowań prawno-gospodarczych. </w:t>
            </w:r>
            <w:r w:rsidRPr="00C45C69">
              <w:rPr>
                <w:rFonts w:ascii="Times New Roman" w:hAnsi="Times New Roman"/>
              </w:rPr>
              <w:t xml:space="preserve">Przedkładane propozycje będą wspierały pracodawców, u których wystąpił spadek obrotów gospodarczych w następstwie wystąpienia COVID-19, co zagwarantuje stabilność zatrudnienia w okresie stanu zagrożenia epidemicznego lub stanu epidemii. </w:t>
            </w:r>
            <w:r>
              <w:rPr>
                <w:rFonts w:ascii="Times New Roman" w:hAnsi="Times New Roman"/>
                <w:color w:val="000000"/>
                <w:spacing w:val="-2"/>
              </w:rPr>
              <w:t>Projekt przewiduje też możliwość z</w:t>
            </w:r>
            <w:r w:rsidRPr="00C45C69">
              <w:rPr>
                <w:rFonts w:ascii="Times New Roman" w:hAnsi="Times New Roman"/>
                <w:color w:val="000000"/>
                <w:spacing w:val="-2"/>
              </w:rPr>
              <w:t>awieszeni</w:t>
            </w:r>
            <w:r>
              <w:rPr>
                <w:rFonts w:ascii="Times New Roman" w:hAnsi="Times New Roman"/>
                <w:color w:val="000000"/>
                <w:spacing w:val="-2"/>
              </w:rPr>
              <w:t>a</w:t>
            </w:r>
            <w:r w:rsidRPr="00C45C69">
              <w:rPr>
                <w:rFonts w:ascii="Times New Roman" w:hAnsi="Times New Roman"/>
                <w:color w:val="000000"/>
                <w:spacing w:val="-2"/>
              </w:rPr>
              <w:t xml:space="preserve"> obowiązków dot. zakładowego funduszu świadczeń socjalnych i innych funduszy mających socjalny charakter, w czasie obowiązywania stanu zagrożenia epidemicznego albo stanu epidemii ogłoszonego z powodu COVID-19, w przypadku wystąpienia u pracodawcy określonego spadku obrotów gospodarczych</w:t>
            </w:r>
            <w:r>
              <w:rPr>
                <w:rFonts w:ascii="Times New Roman" w:hAnsi="Times New Roman"/>
                <w:color w:val="000000"/>
                <w:spacing w:val="-2"/>
              </w:rPr>
              <w:t xml:space="preserve">, co umożliwi </w:t>
            </w:r>
            <w:r w:rsidRPr="00490987">
              <w:rPr>
                <w:rFonts w:ascii="Times New Roman" w:hAnsi="Times New Roman"/>
              </w:rPr>
              <w:t xml:space="preserve">przeznaczenie zaoszczędzonych w ten sposób środków na utrzymanie miejsc pracy. </w:t>
            </w:r>
          </w:p>
          <w:p w:rsidR="002E71C6" w:rsidRPr="00163D26" w:rsidRDefault="002E71C6" w:rsidP="00163D26">
            <w:pPr>
              <w:spacing w:after="120" w:line="240" w:lineRule="auto"/>
              <w:jc w:val="both"/>
              <w:rPr>
                <w:rFonts w:ascii="Times New Roman" w:hAnsi="Times New Roman"/>
                <w:color w:val="000000"/>
              </w:rPr>
            </w:pPr>
            <w:r w:rsidRPr="00163D26">
              <w:rPr>
                <w:rFonts w:ascii="Times New Roman" w:hAnsi="Times New Roman"/>
                <w:color w:val="000000"/>
              </w:rPr>
              <w:t>Zwiększenie dostępu do rynku zamówień publicznych w okresie występowania COVID-19 dla wykonawców, w szczególności tych należących do sektora MŚP, będzie sprzyjało utrzymywaniu dotychczasowych miejsc pracy.</w:t>
            </w:r>
          </w:p>
          <w:p w:rsidR="002E71C6" w:rsidRPr="00163D26" w:rsidRDefault="002E71C6" w:rsidP="00163D26">
            <w:pPr>
              <w:spacing w:line="240" w:lineRule="auto"/>
              <w:jc w:val="both"/>
              <w:rPr>
                <w:rFonts w:ascii="Times New Roman" w:hAnsi="Times New Roman"/>
                <w:color w:val="000000"/>
              </w:rPr>
            </w:pPr>
            <w:r w:rsidRPr="00163D26">
              <w:rPr>
                <w:rFonts w:ascii="Times New Roman" w:hAnsi="Times New Roman"/>
                <w:color w:val="000000"/>
              </w:rPr>
              <w:t>Powstrzymanie przerw w trwających procedurach planistycznych oraz umożliwienie płynnego przeprowadzenia nowych jest niezbędne dla ograniczenia strat przedsiębiorstw, którym zlecane jest sporządzenie i obsługa aktów planistycznych, co dla większości z tych podmiotów jest wyłącznym źródłem dochodu. W oczywisty sposób pozwoli to uniknąć likwidacji wielu przedsiębiorstw, a tym samym zachowa</w:t>
            </w:r>
            <w:r>
              <w:rPr>
                <w:rFonts w:ascii="Times New Roman" w:hAnsi="Times New Roman"/>
                <w:color w:val="000000"/>
              </w:rPr>
              <w:t>ć</w:t>
            </w:r>
            <w:r w:rsidRPr="00163D26">
              <w:rPr>
                <w:rFonts w:ascii="Times New Roman" w:hAnsi="Times New Roman"/>
                <w:color w:val="000000"/>
              </w:rPr>
              <w:t xml:space="preserve"> istniejąc</w:t>
            </w:r>
            <w:r>
              <w:rPr>
                <w:rFonts w:ascii="Times New Roman" w:hAnsi="Times New Roman"/>
                <w:color w:val="000000"/>
              </w:rPr>
              <w:t>e</w:t>
            </w:r>
            <w:r w:rsidRPr="00163D26">
              <w:rPr>
                <w:rFonts w:ascii="Times New Roman" w:hAnsi="Times New Roman"/>
                <w:color w:val="000000"/>
              </w:rPr>
              <w:t xml:space="preserve"> miejsc</w:t>
            </w:r>
            <w:r>
              <w:rPr>
                <w:rFonts w:ascii="Times New Roman" w:hAnsi="Times New Roman"/>
                <w:color w:val="000000"/>
              </w:rPr>
              <w:t>a</w:t>
            </w:r>
            <w:r w:rsidRPr="00163D26">
              <w:rPr>
                <w:rFonts w:ascii="Times New Roman" w:hAnsi="Times New Roman"/>
                <w:color w:val="000000"/>
              </w:rPr>
              <w:t xml:space="preserve"> pracy.</w:t>
            </w:r>
          </w:p>
          <w:p w:rsidR="002E71C6" w:rsidRPr="00163D26" w:rsidRDefault="002E71C6" w:rsidP="00163D26">
            <w:pPr>
              <w:spacing w:after="120" w:line="240" w:lineRule="auto"/>
              <w:jc w:val="both"/>
              <w:rPr>
                <w:rFonts w:ascii="Times New Roman" w:hAnsi="Times New Roman"/>
                <w:color w:val="000000"/>
              </w:rPr>
            </w:pPr>
            <w:r w:rsidRPr="00163D26">
              <w:rPr>
                <w:rFonts w:ascii="Times New Roman" w:hAnsi="Times New Roman"/>
                <w:color w:val="000000"/>
              </w:rPr>
              <w:t>Wprowadzane rozwiązania umożliwiają efektywniejsze funkcjonowanie przedsiębiorstw geodezyjnych, co powinno mieć kluczowe znaczenie dla ich dalszego działania w obliczu kryzysu wywołanego epidemią.</w:t>
            </w:r>
          </w:p>
          <w:p w:rsidR="002E71C6" w:rsidRDefault="002E71C6" w:rsidP="00613FA0">
            <w:pPr>
              <w:spacing w:after="120" w:line="240" w:lineRule="auto"/>
              <w:jc w:val="both"/>
              <w:rPr>
                <w:rFonts w:ascii="Times New Roman" w:hAnsi="Times New Roman"/>
                <w:color w:val="000000"/>
              </w:rPr>
            </w:pPr>
            <w:r w:rsidRPr="00163D26">
              <w:rPr>
                <w:rFonts w:ascii="Times New Roman" w:hAnsi="Times New Roman"/>
                <w:color w:val="000000"/>
              </w:rPr>
              <w:t xml:space="preserve">Proponowana regulacja wprowadza także możliwość elastycznego wykorzystania środków pochodzących z opłat nałożonych na podstawie ustawy o wychowaniu w trzeźwości i przeciwdziałaniu alkoholizmowi, na zwalczanie skutków kryzysu wywołanego epidemią. Pozyskane w ten sposób środki </w:t>
            </w:r>
            <w:proofErr w:type="spellStart"/>
            <w:r w:rsidRPr="00163D26">
              <w:rPr>
                <w:rFonts w:ascii="Times New Roman" w:hAnsi="Times New Roman"/>
                <w:color w:val="000000"/>
              </w:rPr>
              <w:t>jst</w:t>
            </w:r>
            <w:proofErr w:type="spellEnd"/>
            <w:r w:rsidRPr="00163D26">
              <w:rPr>
                <w:rFonts w:ascii="Times New Roman" w:hAnsi="Times New Roman"/>
                <w:color w:val="000000"/>
              </w:rPr>
              <w:t xml:space="preserve"> mogą wydatkować m.in. na ochronę miejsc pracy.</w:t>
            </w:r>
          </w:p>
          <w:p w:rsidR="00196EC2" w:rsidRPr="004B4C6E" w:rsidRDefault="00196EC2" w:rsidP="00196EC2">
            <w:pPr>
              <w:spacing w:after="120" w:line="240" w:lineRule="auto"/>
              <w:jc w:val="both"/>
              <w:rPr>
                <w:rFonts w:ascii="Times New Roman" w:hAnsi="Times New Roman"/>
                <w:color w:val="000000"/>
              </w:rPr>
            </w:pPr>
            <w:r>
              <w:rPr>
                <w:rFonts w:ascii="Times New Roman" w:hAnsi="Times New Roman"/>
              </w:rPr>
              <w:t>Regulacja dot. rozszerzenia kręgu</w:t>
            </w:r>
            <w:r w:rsidRPr="002E34D3">
              <w:rPr>
                <w:rFonts w:ascii="Times New Roman" w:hAnsi="Times New Roman"/>
              </w:rPr>
              <w:t xml:space="preserve"> osób uprawnionych do dodatkowego zasiłku opiekuńczego o rodzi</w:t>
            </w:r>
            <w:r>
              <w:rPr>
                <w:rFonts w:ascii="Times New Roman" w:hAnsi="Times New Roman"/>
              </w:rPr>
              <w:t>ców i opiekunów dzieci do lat 8 wpłynie na rynek pracy, ponieważ wydłuża okres zwolnienia opiekunów z konieczności świadczenia pracy</w:t>
            </w:r>
            <w:r w:rsidRPr="007D53A9">
              <w:rPr>
                <w:rFonts w:ascii="Times New Roman" w:hAnsi="Times New Roman"/>
              </w:rPr>
              <w:t>.</w:t>
            </w:r>
          </w:p>
        </w:tc>
      </w:tr>
      <w:tr w:rsidR="002E71C6" w:rsidRPr="008D6E94" w:rsidTr="002A37BC">
        <w:trPr>
          <w:trHeight w:val="142"/>
        </w:trPr>
        <w:tc>
          <w:tcPr>
            <w:tcW w:w="11039" w:type="dxa"/>
            <w:gridSpan w:val="28"/>
            <w:shd w:val="clear" w:color="auto" w:fill="99CCFF"/>
          </w:tcPr>
          <w:p w:rsidR="002E71C6" w:rsidRPr="004B4C6E" w:rsidRDefault="002E71C6" w:rsidP="00983F37">
            <w:pPr>
              <w:spacing w:line="240" w:lineRule="auto"/>
              <w:jc w:val="both"/>
              <w:rPr>
                <w:rFonts w:ascii="Times New Roman" w:hAnsi="Times New Roman"/>
                <w:b/>
                <w:color w:val="000000"/>
              </w:rPr>
            </w:pPr>
            <w:r w:rsidRPr="004B4C6E">
              <w:rPr>
                <w:rFonts w:ascii="Times New Roman" w:hAnsi="Times New Roman"/>
                <w:b/>
                <w:color w:val="000000"/>
              </w:rPr>
              <w:t>10. Wpływ na pozostałe obszary</w:t>
            </w:r>
          </w:p>
        </w:tc>
      </w:tr>
      <w:tr w:rsidR="002E71C6" w:rsidRPr="008D6E94" w:rsidTr="002A37BC">
        <w:trPr>
          <w:trHeight w:val="1031"/>
        </w:trPr>
        <w:tc>
          <w:tcPr>
            <w:tcW w:w="3006" w:type="dxa"/>
            <w:gridSpan w:val="7"/>
            <w:shd w:val="clear" w:color="auto" w:fill="FFFFFF"/>
          </w:tcPr>
          <w:p w:rsidR="002E71C6" w:rsidRPr="004B4C6E" w:rsidRDefault="002E71C6" w:rsidP="00983F37">
            <w:pPr>
              <w:spacing w:line="240" w:lineRule="auto"/>
              <w:rPr>
                <w:rFonts w:ascii="Times New Roman" w:hAnsi="Times New Roman"/>
                <w:color w:val="000000"/>
              </w:rPr>
            </w:pPr>
          </w:p>
          <w:p w:rsidR="002E71C6" w:rsidRPr="004B4C6E" w:rsidRDefault="002E71C6" w:rsidP="00983F37">
            <w:pPr>
              <w:spacing w:line="240" w:lineRule="auto"/>
              <w:rPr>
                <w:rFonts w:ascii="Times New Roman" w:hAnsi="Times New Roman"/>
                <w:color w:val="000000"/>
                <w:spacing w:val="-2"/>
              </w:rPr>
            </w:pPr>
            <w:r w:rsidRPr="004B4C6E">
              <w:rPr>
                <w:rFonts w:ascii="Times New Roman" w:hAnsi="Times New Roman"/>
                <w:color w:val="000000"/>
              </w:rPr>
              <w:fldChar w:fldCharType="begin">
                <w:ffData>
                  <w:name w:val="Wybór1"/>
                  <w:enabled/>
                  <w:calcOnExit w:val="0"/>
                  <w:checkBox>
                    <w:sizeAuto/>
                    <w:default w:val="0"/>
                  </w:checkBox>
                </w:ffData>
              </w:fldChar>
            </w:r>
            <w:r w:rsidRPr="008B0E19">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środowisko naturalne</w:t>
            </w:r>
          </w:p>
          <w:p w:rsidR="002E71C6" w:rsidRPr="004B4C6E" w:rsidRDefault="002E71C6" w:rsidP="00983F3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sytuacja i rozwój regionalny</w:t>
            </w:r>
          </w:p>
          <w:p w:rsidR="002E71C6" w:rsidRPr="004B4C6E" w:rsidRDefault="002E71C6" w:rsidP="00B40CB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inne</w:t>
            </w:r>
            <w:r w:rsidRPr="008A39A1">
              <w:rPr>
                <w:rFonts w:ascii="Times New Roman" w:hAnsi="Times New Roman"/>
                <w:color w:val="000000"/>
                <w:spacing w:val="-2"/>
              </w:rPr>
              <w:t xml:space="preserve">: </w:t>
            </w:r>
          </w:p>
        </w:tc>
        <w:tc>
          <w:tcPr>
            <w:tcW w:w="5148" w:type="dxa"/>
            <w:gridSpan w:val="16"/>
            <w:shd w:val="clear" w:color="auto" w:fill="FFFFFF"/>
          </w:tcPr>
          <w:p w:rsidR="002E71C6" w:rsidRPr="004B4C6E" w:rsidRDefault="002E71C6" w:rsidP="00983F37">
            <w:pPr>
              <w:spacing w:line="240" w:lineRule="auto"/>
              <w:rPr>
                <w:rFonts w:ascii="Times New Roman" w:hAnsi="Times New Roman"/>
                <w:color w:val="000000"/>
              </w:rPr>
            </w:pPr>
          </w:p>
          <w:p w:rsidR="002E71C6" w:rsidRPr="004B4C6E" w:rsidRDefault="002E71C6" w:rsidP="00983F37">
            <w:pPr>
              <w:spacing w:line="240" w:lineRule="auto"/>
              <w:rPr>
                <w:rFonts w:ascii="Times New Roman" w:hAnsi="Times New Roman"/>
                <w:color w:val="000000"/>
                <w:spacing w:val="-2"/>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demografia</w:t>
            </w:r>
          </w:p>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fldChar w:fldCharType="begin">
                <w:ffData>
                  <w:name w:val="Wybór1"/>
                  <w:enabled/>
                  <w:calcOnExit w:val="0"/>
                  <w:checkBox>
                    <w:sizeAuto/>
                    <w:default w:val="0"/>
                  </w:checkBox>
                </w:ffData>
              </w:fldChar>
            </w:r>
            <w:r w:rsidRPr="004B4C6E">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sidRPr="004B4C6E">
              <w:rPr>
                <w:rFonts w:ascii="Times New Roman" w:hAnsi="Times New Roman"/>
                <w:color w:val="000000"/>
              </w:rPr>
              <w:fldChar w:fldCharType="end"/>
            </w:r>
            <w:r w:rsidRPr="004B4C6E">
              <w:rPr>
                <w:rFonts w:ascii="Times New Roman" w:hAnsi="Times New Roman"/>
                <w:color w:val="000000"/>
              </w:rPr>
              <w:t xml:space="preserve"> mienie państwowe</w:t>
            </w:r>
          </w:p>
        </w:tc>
        <w:tc>
          <w:tcPr>
            <w:tcW w:w="2885" w:type="dxa"/>
            <w:gridSpan w:val="5"/>
            <w:shd w:val="clear" w:color="auto" w:fill="FFFFFF"/>
          </w:tcPr>
          <w:p w:rsidR="002E71C6" w:rsidRPr="004B4C6E" w:rsidRDefault="002E71C6" w:rsidP="00983F37">
            <w:pPr>
              <w:spacing w:line="240" w:lineRule="auto"/>
              <w:rPr>
                <w:rFonts w:ascii="Times New Roman" w:hAnsi="Times New Roman"/>
                <w:color w:val="000000"/>
              </w:rPr>
            </w:pPr>
          </w:p>
          <w:p w:rsidR="002E71C6" w:rsidRPr="004B4C6E" w:rsidRDefault="002E71C6" w:rsidP="00983F3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02F3">
              <w:rPr>
                <w:rFonts w:ascii="Times New Roman" w:hAnsi="Times New Roman"/>
                <w:color w:val="000000"/>
              </w:rPr>
            </w:r>
            <w:r w:rsidR="008E02F3">
              <w:rPr>
                <w:rFonts w:ascii="Times New Roman" w:hAnsi="Times New Roman"/>
                <w:color w:val="000000"/>
              </w:rPr>
              <w:fldChar w:fldCharType="separate"/>
            </w:r>
            <w:r>
              <w:rPr>
                <w:rFonts w:ascii="Times New Roman" w:hAnsi="Times New Roman"/>
                <w:color w:val="000000"/>
              </w:rPr>
              <w:fldChar w:fldCharType="end"/>
            </w:r>
            <w:r w:rsidRPr="004B4C6E">
              <w:rPr>
                <w:rFonts w:ascii="Times New Roman" w:hAnsi="Times New Roman"/>
                <w:color w:val="000000"/>
              </w:rPr>
              <w:t xml:space="preserve"> </w:t>
            </w:r>
            <w:r w:rsidRPr="004B4C6E">
              <w:rPr>
                <w:rFonts w:ascii="Times New Roman" w:hAnsi="Times New Roman"/>
                <w:color w:val="000000"/>
                <w:spacing w:val="-2"/>
              </w:rPr>
              <w:t>informatyzacja</w:t>
            </w:r>
          </w:p>
          <w:p w:rsidR="002E71C6" w:rsidRPr="004B4C6E" w:rsidRDefault="002E71C6" w:rsidP="00983F37">
            <w:pPr>
              <w:spacing w:line="240" w:lineRule="auto"/>
              <w:rPr>
                <w:rFonts w:ascii="Times New Roman" w:hAnsi="Times New Roman"/>
                <w:color w:val="000000"/>
              </w:rPr>
            </w:pPr>
          </w:p>
        </w:tc>
      </w:tr>
      <w:tr w:rsidR="002E71C6" w:rsidRPr="008D6E94" w:rsidTr="002A37BC">
        <w:trPr>
          <w:trHeight w:val="712"/>
        </w:trPr>
        <w:tc>
          <w:tcPr>
            <w:tcW w:w="1866" w:type="dxa"/>
            <w:gridSpan w:val="4"/>
            <w:shd w:val="clear" w:color="auto" w:fill="FFFFFF"/>
            <w:vAlign w:val="center"/>
          </w:tcPr>
          <w:p w:rsidR="002E71C6" w:rsidRPr="004B4C6E" w:rsidRDefault="002E71C6" w:rsidP="00983F37">
            <w:pPr>
              <w:spacing w:line="240" w:lineRule="auto"/>
              <w:rPr>
                <w:rFonts w:ascii="Times New Roman" w:hAnsi="Times New Roman"/>
                <w:color w:val="000000"/>
              </w:rPr>
            </w:pPr>
            <w:r w:rsidRPr="004B4C6E">
              <w:rPr>
                <w:rFonts w:ascii="Times New Roman" w:hAnsi="Times New Roman"/>
                <w:color w:val="000000"/>
              </w:rPr>
              <w:t>Omówienie wpływu</w:t>
            </w:r>
          </w:p>
        </w:tc>
        <w:tc>
          <w:tcPr>
            <w:tcW w:w="9173" w:type="dxa"/>
            <w:gridSpan w:val="24"/>
            <w:shd w:val="clear" w:color="auto" w:fill="FFFFFF"/>
            <w:vAlign w:val="center"/>
          </w:tcPr>
          <w:p w:rsidR="002E71C6" w:rsidRDefault="002E71C6" w:rsidP="00DE72D8">
            <w:pPr>
              <w:spacing w:after="120" w:line="240" w:lineRule="auto"/>
              <w:jc w:val="both"/>
              <w:rPr>
                <w:rFonts w:ascii="Times New Roman" w:hAnsi="Times New Roman"/>
                <w:color w:val="000000"/>
                <w:spacing w:val="-2"/>
              </w:rPr>
            </w:pPr>
            <w:r>
              <w:rPr>
                <w:rFonts w:ascii="Times New Roman" w:hAnsi="Times New Roman"/>
                <w:color w:val="000000"/>
                <w:spacing w:val="-2"/>
              </w:rPr>
              <w:t>Projekt pozwoli na poprawę sytuacji finansowej samorządów, w tym utrzymanie tempa prowadzenia inwestycji lokalnych oraz wykonywania zadań publicznych.</w:t>
            </w:r>
          </w:p>
          <w:p w:rsidR="002E71C6" w:rsidRDefault="002E71C6" w:rsidP="00C43815">
            <w:pPr>
              <w:spacing w:after="120" w:line="240" w:lineRule="auto"/>
              <w:jc w:val="both"/>
              <w:rPr>
                <w:rFonts w:ascii="Times New Roman" w:hAnsi="Times New Roman"/>
                <w:color w:val="000000"/>
                <w:spacing w:val="-2"/>
              </w:rPr>
            </w:pPr>
            <w:r>
              <w:rPr>
                <w:rFonts w:ascii="Times New Roman" w:hAnsi="Times New Roman"/>
                <w:color w:val="000000"/>
                <w:spacing w:val="-2"/>
              </w:rPr>
              <w:t>Poprawa informatyzacji wynika z cyfryzacji procedur planistycznych.</w:t>
            </w:r>
          </w:p>
          <w:p w:rsidR="002E71C6" w:rsidRPr="007C4CCA" w:rsidRDefault="002E71C6" w:rsidP="007C4CCA">
            <w:pPr>
              <w:snapToGrid w:val="0"/>
              <w:spacing w:line="240" w:lineRule="auto"/>
              <w:jc w:val="both"/>
              <w:rPr>
                <w:rFonts w:ascii="Times New Roman" w:hAnsi="Times New Roman"/>
                <w:color w:val="000000"/>
              </w:rPr>
            </w:pPr>
            <w:r w:rsidRPr="007F5772">
              <w:rPr>
                <w:rFonts w:ascii="Times New Roman" w:hAnsi="Times New Roman"/>
                <w:color w:val="000000"/>
              </w:rPr>
              <w:t>Kontynuacja procesów inwestycyjnych związanych ze strategicznymi projektami infrastrukturalnymi będzie miała wpływ na poprawę bezpieczeństwa energetycznego i dostępności transportowej.</w:t>
            </w:r>
          </w:p>
        </w:tc>
      </w:tr>
      <w:tr w:rsidR="002E71C6" w:rsidRPr="008D6E94" w:rsidTr="002A37BC">
        <w:trPr>
          <w:trHeight w:val="142"/>
        </w:trPr>
        <w:tc>
          <w:tcPr>
            <w:tcW w:w="11039" w:type="dxa"/>
            <w:gridSpan w:val="28"/>
            <w:shd w:val="clear" w:color="auto" w:fill="99CCFF"/>
          </w:tcPr>
          <w:p w:rsidR="002E71C6" w:rsidRPr="004B4C6E" w:rsidRDefault="002E71C6" w:rsidP="00983F37">
            <w:pPr>
              <w:pStyle w:val="Akapitzlist"/>
              <w:numPr>
                <w:ilvl w:val="0"/>
                <w:numId w:val="2"/>
              </w:numPr>
              <w:spacing w:line="240" w:lineRule="auto"/>
              <w:ind w:left="347"/>
              <w:jc w:val="both"/>
              <w:rPr>
                <w:rFonts w:ascii="Times New Roman" w:hAnsi="Times New Roman"/>
                <w:b/>
              </w:rPr>
            </w:pPr>
            <w:r w:rsidRPr="004B4C6E">
              <w:rPr>
                <w:rFonts w:ascii="Times New Roman" w:hAnsi="Times New Roman"/>
                <w:b/>
                <w:spacing w:val="-2"/>
              </w:rPr>
              <w:t>Planowane wykonanie przepisów aktu prawnego</w:t>
            </w:r>
          </w:p>
        </w:tc>
      </w:tr>
      <w:tr w:rsidR="002E71C6" w:rsidRPr="008D6E94" w:rsidTr="002A37BC">
        <w:trPr>
          <w:trHeight w:val="142"/>
        </w:trPr>
        <w:tc>
          <w:tcPr>
            <w:tcW w:w="11039" w:type="dxa"/>
            <w:gridSpan w:val="28"/>
            <w:shd w:val="clear" w:color="auto" w:fill="FFFFFF"/>
          </w:tcPr>
          <w:p w:rsidR="002E71C6" w:rsidRPr="00FF7BAE" w:rsidRDefault="002E71C6" w:rsidP="00C870BF">
            <w:pPr>
              <w:spacing w:line="240" w:lineRule="auto"/>
              <w:jc w:val="both"/>
              <w:rPr>
                <w:rFonts w:ascii="Times New Roman" w:hAnsi="Times New Roman"/>
                <w:spacing w:val="-2"/>
              </w:rPr>
            </w:pPr>
            <w:r w:rsidRPr="004B4C6E">
              <w:rPr>
                <w:rFonts w:ascii="Times New Roman" w:hAnsi="Times New Roman"/>
                <w:spacing w:val="-2"/>
              </w:rPr>
              <w:t>Przewiduje się wejście w życie projektowanych regulacji</w:t>
            </w:r>
            <w:r>
              <w:rPr>
                <w:rFonts w:ascii="Times New Roman" w:hAnsi="Times New Roman"/>
                <w:spacing w:val="-2"/>
              </w:rPr>
              <w:t xml:space="preserve"> co do zasady z dniem następującym </w:t>
            </w:r>
            <w:r w:rsidRPr="004B4C6E">
              <w:rPr>
                <w:rFonts w:ascii="Times New Roman" w:hAnsi="Times New Roman"/>
                <w:spacing w:val="-2"/>
              </w:rPr>
              <w:t>po dni</w:t>
            </w:r>
            <w:r>
              <w:rPr>
                <w:rFonts w:ascii="Times New Roman" w:hAnsi="Times New Roman"/>
                <w:spacing w:val="-2"/>
              </w:rPr>
              <w:t>u</w:t>
            </w:r>
            <w:r w:rsidRPr="004B4C6E">
              <w:rPr>
                <w:rFonts w:ascii="Times New Roman" w:hAnsi="Times New Roman"/>
                <w:spacing w:val="-2"/>
              </w:rPr>
              <w:t xml:space="preserve"> ogłoszenia.</w:t>
            </w:r>
            <w:r>
              <w:rPr>
                <w:rFonts w:ascii="Times New Roman" w:hAnsi="Times New Roman"/>
                <w:spacing w:val="-2"/>
              </w:rPr>
              <w:t xml:space="preserve"> </w:t>
            </w:r>
            <w:r w:rsidRPr="004B4C6E">
              <w:rPr>
                <w:rFonts w:ascii="Times New Roman" w:hAnsi="Times New Roman"/>
                <w:spacing w:val="-2"/>
              </w:rPr>
              <w:t xml:space="preserve">Wynika to z konieczności podjęcia działań w związku z potencjalnym rozprzestrzenieniem się </w:t>
            </w:r>
            <w:proofErr w:type="spellStart"/>
            <w:r w:rsidRPr="004B4C6E">
              <w:rPr>
                <w:rFonts w:ascii="Times New Roman" w:hAnsi="Times New Roman"/>
                <w:spacing w:val="-2"/>
              </w:rPr>
              <w:t>koronawirusa</w:t>
            </w:r>
            <w:proofErr w:type="spellEnd"/>
            <w:r w:rsidRPr="004B4C6E">
              <w:rPr>
                <w:rFonts w:ascii="Times New Roman" w:hAnsi="Times New Roman"/>
                <w:spacing w:val="-2"/>
              </w:rPr>
              <w:t xml:space="preserve"> powodującego chorobę COVID-19, tym samym mającego wpływ na kondycję finansową przedsiębiorców. </w:t>
            </w:r>
          </w:p>
        </w:tc>
      </w:tr>
      <w:tr w:rsidR="002E71C6" w:rsidRPr="008D6E94" w:rsidTr="002A37BC">
        <w:trPr>
          <w:trHeight w:val="142"/>
        </w:trPr>
        <w:tc>
          <w:tcPr>
            <w:tcW w:w="11039" w:type="dxa"/>
            <w:gridSpan w:val="28"/>
            <w:shd w:val="clear" w:color="auto" w:fill="99CCFF"/>
          </w:tcPr>
          <w:p w:rsidR="002E71C6" w:rsidRPr="004B4C6E" w:rsidRDefault="002E71C6" w:rsidP="00983F37">
            <w:pPr>
              <w:pStyle w:val="Akapitzlist"/>
              <w:numPr>
                <w:ilvl w:val="0"/>
                <w:numId w:val="2"/>
              </w:numPr>
              <w:spacing w:line="240" w:lineRule="auto"/>
              <w:ind w:left="205" w:hanging="284"/>
              <w:jc w:val="both"/>
              <w:rPr>
                <w:rFonts w:ascii="Times New Roman" w:hAnsi="Times New Roman"/>
                <w:b/>
                <w:color w:val="000000"/>
              </w:rPr>
            </w:pPr>
            <w:r w:rsidRPr="004B4C6E">
              <w:rPr>
                <w:rFonts w:ascii="Times New Roman" w:hAnsi="Times New Roman"/>
                <w:b/>
                <w:color w:val="000000"/>
              </w:rPr>
              <w:t xml:space="preserve"> </w:t>
            </w:r>
            <w:r w:rsidRPr="004B4C6E">
              <w:rPr>
                <w:rFonts w:ascii="Times New Roman" w:hAnsi="Times New Roman"/>
                <w:b/>
                <w:spacing w:val="-2"/>
              </w:rPr>
              <w:t>W jaki sposób i kiedy nastąpi ewaluacja efektów projektu oraz jakie mierniki zostaną zastosowane?</w:t>
            </w:r>
          </w:p>
        </w:tc>
      </w:tr>
      <w:tr w:rsidR="002E71C6" w:rsidRPr="008D6E94" w:rsidTr="002A37BC">
        <w:trPr>
          <w:trHeight w:val="142"/>
        </w:trPr>
        <w:tc>
          <w:tcPr>
            <w:tcW w:w="11039" w:type="dxa"/>
            <w:gridSpan w:val="28"/>
            <w:shd w:val="clear" w:color="auto" w:fill="FFFFFF"/>
          </w:tcPr>
          <w:p w:rsidR="002E71C6" w:rsidRDefault="002E71C6" w:rsidP="00FF7BAE">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zakresie rozwiązania dot. dopłat do oprocentowania kredytów - zgodnie z projektem ustawy - BGK będzie raz w roku przekazywał ministrowi właściwemu do spraw gospodarki sprawozdanie z realizacji planu finansowego Funduszu za rok poprzedni. </w:t>
            </w:r>
            <w:r w:rsidRPr="00D03D36">
              <w:rPr>
                <w:rFonts w:ascii="Times New Roman" w:hAnsi="Times New Roman"/>
                <w:color w:val="000000"/>
                <w:spacing w:val="-2"/>
              </w:rPr>
              <w:t>Ponadto, BGK będzie przekazywał ministrowi właściwemu do spraw finansów publicznych kwartalne informacje o realizacji planu finansowego Funduszu w terminie do końca miesiąca następującego po danym kwartale.</w:t>
            </w:r>
          </w:p>
          <w:p w:rsidR="002E71C6" w:rsidRDefault="002E71C6" w:rsidP="00FF7BAE">
            <w:pPr>
              <w:spacing w:line="240" w:lineRule="auto"/>
              <w:jc w:val="both"/>
              <w:rPr>
                <w:rFonts w:ascii="Times New Roman" w:hAnsi="Times New Roman"/>
                <w:color w:val="000000"/>
                <w:spacing w:val="-2"/>
              </w:rPr>
            </w:pPr>
            <w:r>
              <w:rPr>
                <w:rFonts w:ascii="Times New Roman" w:hAnsi="Times New Roman"/>
                <w:color w:val="000000"/>
                <w:spacing w:val="-2"/>
              </w:rPr>
              <w:t>W zakresie części dot. tarczy samorządowej jej skutki będą monitorowane na bieżąco przy wykorzystaniu takich mierników jak np.:</w:t>
            </w:r>
          </w:p>
          <w:p w:rsidR="002E71C6" w:rsidRDefault="002E71C6" w:rsidP="00FF7BAE">
            <w:pPr>
              <w:numPr>
                <w:ilvl w:val="0"/>
                <w:numId w:val="11"/>
              </w:numPr>
              <w:suppressAutoHyphens/>
              <w:spacing w:line="240" w:lineRule="auto"/>
              <w:jc w:val="both"/>
              <w:rPr>
                <w:rFonts w:ascii="Times New Roman" w:hAnsi="Times New Roman"/>
                <w:color w:val="000000"/>
                <w:spacing w:val="-2"/>
              </w:rPr>
            </w:pPr>
            <w:r>
              <w:rPr>
                <w:rFonts w:ascii="Times New Roman" w:hAnsi="Times New Roman"/>
                <w:color w:val="000000"/>
                <w:spacing w:val="-2"/>
              </w:rPr>
              <w:t xml:space="preserve">liczba kredytobiorców, którzy zdecydowali się na skorzystanie z zawieszenia spłat rat kapitałowych i uzyskania </w:t>
            </w:r>
            <w:r>
              <w:rPr>
                <w:rFonts w:ascii="Times New Roman" w:hAnsi="Times New Roman"/>
                <w:color w:val="000000"/>
                <w:spacing w:val="-2"/>
              </w:rPr>
              <w:lastRenderedPageBreak/>
              <w:t>dopłat do odsetek,</w:t>
            </w:r>
          </w:p>
          <w:p w:rsidR="002E71C6" w:rsidRDefault="002E71C6" w:rsidP="00FF7BAE">
            <w:pPr>
              <w:numPr>
                <w:ilvl w:val="0"/>
                <w:numId w:val="11"/>
              </w:numPr>
              <w:suppressAutoHyphens/>
              <w:spacing w:line="240" w:lineRule="auto"/>
              <w:jc w:val="both"/>
              <w:rPr>
                <w:rFonts w:ascii="Times New Roman" w:hAnsi="Times New Roman"/>
                <w:color w:val="000000"/>
                <w:spacing w:val="-2"/>
              </w:rPr>
            </w:pPr>
            <w:r>
              <w:rPr>
                <w:rFonts w:ascii="Times New Roman" w:hAnsi="Times New Roman"/>
                <w:color w:val="000000"/>
                <w:spacing w:val="-2"/>
              </w:rPr>
              <w:t>liczba kredytobiorców, którzy skorzystali z możliwości zawieszenia spłat kredytu,</w:t>
            </w:r>
          </w:p>
          <w:p w:rsidR="002E71C6" w:rsidRPr="00B23B0B" w:rsidRDefault="002E71C6" w:rsidP="00FF7BAE">
            <w:pPr>
              <w:numPr>
                <w:ilvl w:val="0"/>
                <w:numId w:val="11"/>
              </w:numPr>
              <w:suppressAutoHyphens/>
              <w:spacing w:line="240" w:lineRule="auto"/>
              <w:jc w:val="both"/>
              <w:rPr>
                <w:rFonts w:ascii="Times New Roman" w:hAnsi="Times New Roman"/>
                <w:color w:val="000000"/>
                <w:spacing w:val="-2"/>
              </w:rPr>
            </w:pPr>
            <w:r>
              <w:rPr>
                <w:rFonts w:ascii="Times New Roman" w:hAnsi="Times New Roman"/>
                <w:color w:val="000000"/>
                <w:spacing w:val="-2"/>
              </w:rPr>
              <w:t>l</w:t>
            </w:r>
            <w:r w:rsidRPr="00B23B0B">
              <w:rPr>
                <w:rFonts w:ascii="Times New Roman" w:hAnsi="Times New Roman"/>
                <w:color w:val="000000"/>
                <w:spacing w:val="-2"/>
              </w:rPr>
              <w:t>iczba osób wnioskujących o przyznanie dodatku mieszkaniowego z mocą wsteczną</w:t>
            </w:r>
            <w:r>
              <w:rPr>
                <w:rFonts w:ascii="Times New Roman" w:hAnsi="Times New Roman"/>
                <w:color w:val="000000"/>
                <w:spacing w:val="-2"/>
              </w:rPr>
              <w:t>,</w:t>
            </w:r>
          </w:p>
          <w:p w:rsidR="002E71C6" w:rsidRDefault="002E71C6" w:rsidP="001268AA">
            <w:pPr>
              <w:numPr>
                <w:ilvl w:val="0"/>
                <w:numId w:val="11"/>
              </w:numPr>
              <w:suppressAutoHyphens/>
              <w:spacing w:line="240" w:lineRule="auto"/>
              <w:ind w:left="714" w:hanging="357"/>
              <w:jc w:val="both"/>
              <w:rPr>
                <w:rFonts w:ascii="Times New Roman" w:hAnsi="Times New Roman"/>
                <w:color w:val="000000"/>
                <w:spacing w:val="-2"/>
              </w:rPr>
            </w:pPr>
            <w:r>
              <w:rPr>
                <w:rFonts w:ascii="Times New Roman" w:hAnsi="Times New Roman"/>
                <w:color w:val="000000"/>
                <w:spacing w:val="-2"/>
              </w:rPr>
              <w:t>w</w:t>
            </w:r>
            <w:r w:rsidRPr="00B23B0B">
              <w:rPr>
                <w:rFonts w:ascii="Times New Roman" w:hAnsi="Times New Roman"/>
                <w:color w:val="000000"/>
                <w:spacing w:val="-2"/>
              </w:rPr>
              <w:t xml:space="preserve">artość </w:t>
            </w:r>
            <w:proofErr w:type="spellStart"/>
            <w:r w:rsidRPr="00B23B0B">
              <w:rPr>
                <w:rFonts w:ascii="Times New Roman" w:hAnsi="Times New Roman"/>
                <w:color w:val="000000"/>
                <w:spacing w:val="-2"/>
              </w:rPr>
              <w:t>wyrównań</w:t>
            </w:r>
            <w:proofErr w:type="spellEnd"/>
            <w:r w:rsidRPr="00B23B0B">
              <w:rPr>
                <w:rFonts w:ascii="Times New Roman" w:hAnsi="Times New Roman"/>
                <w:color w:val="000000"/>
                <w:spacing w:val="-2"/>
              </w:rPr>
              <w:t xml:space="preserve"> wypłaconych dodatków mieszkaniowych z mocą wsteczną</w:t>
            </w:r>
            <w:r>
              <w:rPr>
                <w:rFonts w:ascii="Times New Roman" w:hAnsi="Times New Roman"/>
                <w:color w:val="000000"/>
                <w:spacing w:val="-2"/>
              </w:rPr>
              <w:t>.</w:t>
            </w:r>
          </w:p>
          <w:p w:rsidR="002E71C6" w:rsidRDefault="002E71C6" w:rsidP="007C4CCA">
            <w:pPr>
              <w:spacing w:after="120" w:line="240" w:lineRule="auto"/>
              <w:jc w:val="both"/>
              <w:rPr>
                <w:rFonts w:ascii="Times New Roman" w:hAnsi="Times New Roman"/>
                <w:color w:val="000000"/>
                <w:spacing w:val="-2"/>
              </w:rPr>
            </w:pPr>
            <w:r>
              <w:rPr>
                <w:rFonts w:ascii="Times New Roman" w:hAnsi="Times New Roman"/>
                <w:color w:val="000000"/>
                <w:spacing w:val="-2"/>
              </w:rPr>
              <w:t>Badanie efektów rozwiązań przewidujących zwolnienia z opłat rocznych za użytkowanie wieczyste i czynsze najmu, dzierżawy i użytkowania będzie dokonane na podstawie danych z ankiet wysłanych po zakończeniu okresu pandemii do samorządów i organów reprezentujących Skarb Państwa, za pomocą mierników takich jak: liczba podmiotów, które skorzystały z rozwiązań i kwoty przyznanych ulg. Ponadto ewaluacja tych rozwiązań będzie dokonana na podstawie analizy sprawozdań finansowych samorządów przekazywanych za 2020 r. do resortu finansów.</w:t>
            </w:r>
          </w:p>
          <w:p w:rsidR="002E71C6" w:rsidRPr="004B4C6E" w:rsidRDefault="002E71C6" w:rsidP="007C4CCA">
            <w:pPr>
              <w:spacing w:after="120" w:line="240" w:lineRule="auto"/>
              <w:jc w:val="both"/>
              <w:rPr>
                <w:rFonts w:ascii="Times New Roman" w:hAnsi="Times New Roman"/>
                <w:color w:val="000000"/>
                <w:spacing w:val="-2"/>
              </w:rPr>
            </w:pPr>
            <w:r>
              <w:rPr>
                <w:rFonts w:ascii="Times New Roman" w:hAnsi="Times New Roman"/>
                <w:color w:val="000000"/>
                <w:spacing w:val="-2"/>
              </w:rPr>
              <w:t>Zmiany dot. wakacji kredytowych będą poddane ewaluacji poprzez bieżący monitoring sytuacji rynkowej.</w:t>
            </w:r>
          </w:p>
        </w:tc>
      </w:tr>
      <w:tr w:rsidR="002E71C6" w:rsidRPr="008D6E94" w:rsidTr="002A37BC">
        <w:trPr>
          <w:trHeight w:val="142"/>
        </w:trPr>
        <w:tc>
          <w:tcPr>
            <w:tcW w:w="11039" w:type="dxa"/>
            <w:gridSpan w:val="28"/>
            <w:shd w:val="clear" w:color="auto" w:fill="99CCFF"/>
          </w:tcPr>
          <w:p w:rsidR="002E71C6" w:rsidRPr="004B4C6E" w:rsidRDefault="002E71C6" w:rsidP="00983F37">
            <w:pPr>
              <w:pStyle w:val="Akapitzlist"/>
              <w:numPr>
                <w:ilvl w:val="0"/>
                <w:numId w:val="2"/>
              </w:numPr>
              <w:spacing w:line="240" w:lineRule="auto"/>
              <w:ind w:left="347" w:hanging="347"/>
              <w:jc w:val="both"/>
              <w:rPr>
                <w:rFonts w:ascii="Times New Roman" w:hAnsi="Times New Roman"/>
                <w:b/>
                <w:color w:val="000000"/>
                <w:spacing w:val="-2"/>
              </w:rPr>
            </w:pPr>
            <w:r w:rsidRPr="004B4C6E">
              <w:rPr>
                <w:rFonts w:ascii="Times New Roman" w:hAnsi="Times New Roman"/>
                <w:b/>
                <w:color w:val="000000"/>
                <w:spacing w:val="-2"/>
              </w:rPr>
              <w:lastRenderedPageBreak/>
              <w:t xml:space="preserve">Załączniki </w:t>
            </w:r>
            <w:r w:rsidRPr="004B4C6E">
              <w:rPr>
                <w:rFonts w:ascii="Times New Roman" w:hAnsi="Times New Roman"/>
                <w:b/>
                <w:spacing w:val="-2"/>
              </w:rPr>
              <w:t>(istotne dokumenty źródłowe, badania, analizy itp.</w:t>
            </w:r>
            <w:r w:rsidRPr="004B4C6E">
              <w:rPr>
                <w:rFonts w:ascii="Times New Roman" w:hAnsi="Times New Roman"/>
                <w:b/>
                <w:color w:val="000000"/>
                <w:spacing w:val="-2"/>
              </w:rPr>
              <w:t xml:space="preserve">) </w:t>
            </w:r>
          </w:p>
        </w:tc>
      </w:tr>
      <w:tr w:rsidR="002E71C6" w:rsidRPr="008D6E94" w:rsidTr="002A37BC">
        <w:trPr>
          <w:trHeight w:val="142"/>
        </w:trPr>
        <w:tc>
          <w:tcPr>
            <w:tcW w:w="11039" w:type="dxa"/>
            <w:gridSpan w:val="28"/>
            <w:shd w:val="clear" w:color="auto" w:fill="FFFFFF"/>
          </w:tcPr>
          <w:p w:rsidR="002E71C6" w:rsidRPr="004B4C6E" w:rsidRDefault="002E71C6" w:rsidP="00983F37">
            <w:pPr>
              <w:spacing w:line="240" w:lineRule="auto"/>
              <w:jc w:val="both"/>
              <w:rPr>
                <w:rFonts w:ascii="Times New Roman" w:hAnsi="Times New Roman"/>
                <w:spacing w:val="-2"/>
              </w:rPr>
            </w:pPr>
            <w:r w:rsidRPr="004B4C6E">
              <w:rPr>
                <w:rFonts w:ascii="Times New Roman" w:hAnsi="Times New Roman"/>
                <w:spacing w:val="-2"/>
              </w:rPr>
              <w:t>Nie dotyczy</w:t>
            </w:r>
          </w:p>
        </w:tc>
      </w:tr>
    </w:tbl>
    <w:p w:rsidR="008F5DB9" w:rsidRPr="008D6E94" w:rsidRDefault="008F5DB9" w:rsidP="002A37BC">
      <w:pPr>
        <w:spacing w:line="240" w:lineRule="auto"/>
        <w:rPr>
          <w:rFonts w:asciiTheme="minorHAnsi" w:hAnsiTheme="minorHAnsi" w:cstheme="minorHAnsi"/>
          <w:sz w:val="18"/>
          <w:szCs w:val="18"/>
        </w:rPr>
      </w:pPr>
    </w:p>
    <w:sectPr w:rsidR="008F5DB9" w:rsidRPr="008D6E94" w:rsidSect="008D3065">
      <w:footerReference w:type="default" r:id="rId13"/>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C2" w:rsidRDefault="00196EC2" w:rsidP="00F9477F">
      <w:pPr>
        <w:spacing w:line="240" w:lineRule="auto"/>
      </w:pPr>
      <w:r>
        <w:separator/>
      </w:r>
    </w:p>
  </w:endnote>
  <w:endnote w:type="continuationSeparator" w:id="0">
    <w:p w:rsidR="00196EC2" w:rsidRDefault="00196EC2" w:rsidP="00F9477F">
      <w:pPr>
        <w:spacing w:line="240" w:lineRule="auto"/>
      </w:pPr>
      <w:r>
        <w:continuationSeparator/>
      </w:r>
    </w:p>
  </w:endnote>
  <w:endnote w:type="continuationNotice" w:id="1">
    <w:p w:rsidR="00196EC2" w:rsidRDefault="00196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60360"/>
      <w:docPartObj>
        <w:docPartGallery w:val="Page Numbers (Bottom of Page)"/>
        <w:docPartUnique/>
      </w:docPartObj>
    </w:sdtPr>
    <w:sdtEndPr>
      <w:rPr>
        <w:rFonts w:ascii="Times New Roman" w:hAnsi="Times New Roman"/>
        <w:sz w:val="20"/>
      </w:rPr>
    </w:sdtEndPr>
    <w:sdtContent>
      <w:p w:rsidR="00196EC2" w:rsidRPr="009233E4" w:rsidRDefault="00196EC2">
        <w:pPr>
          <w:pStyle w:val="Stopka"/>
          <w:jc w:val="center"/>
          <w:rPr>
            <w:rFonts w:ascii="Times New Roman" w:hAnsi="Times New Roman"/>
            <w:sz w:val="20"/>
          </w:rPr>
        </w:pPr>
        <w:r w:rsidRPr="009233E4">
          <w:rPr>
            <w:rFonts w:ascii="Times New Roman" w:hAnsi="Times New Roman"/>
            <w:sz w:val="20"/>
          </w:rPr>
          <w:fldChar w:fldCharType="begin"/>
        </w:r>
        <w:r w:rsidRPr="009233E4">
          <w:rPr>
            <w:rFonts w:ascii="Times New Roman" w:hAnsi="Times New Roman"/>
            <w:sz w:val="20"/>
          </w:rPr>
          <w:instrText>PAGE   \* MERGEFORMAT</w:instrText>
        </w:r>
        <w:r w:rsidRPr="009233E4">
          <w:rPr>
            <w:rFonts w:ascii="Times New Roman" w:hAnsi="Times New Roman"/>
            <w:sz w:val="20"/>
          </w:rPr>
          <w:fldChar w:fldCharType="separate"/>
        </w:r>
        <w:r w:rsidR="008E02F3">
          <w:rPr>
            <w:rFonts w:ascii="Times New Roman" w:hAnsi="Times New Roman"/>
            <w:noProof/>
            <w:sz w:val="20"/>
          </w:rPr>
          <w:t>37</w:t>
        </w:r>
        <w:r w:rsidRPr="009233E4">
          <w:rPr>
            <w:rFonts w:ascii="Times New Roman" w:hAnsi="Times New Roman"/>
            <w:sz w:val="20"/>
          </w:rPr>
          <w:fldChar w:fldCharType="end"/>
        </w:r>
      </w:p>
    </w:sdtContent>
  </w:sdt>
  <w:p w:rsidR="00196EC2" w:rsidRDefault="00196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C2" w:rsidRDefault="00196EC2" w:rsidP="00F9477F">
      <w:pPr>
        <w:spacing w:line="240" w:lineRule="auto"/>
      </w:pPr>
      <w:r>
        <w:separator/>
      </w:r>
    </w:p>
  </w:footnote>
  <w:footnote w:type="continuationSeparator" w:id="0">
    <w:p w:rsidR="00196EC2" w:rsidRDefault="00196EC2" w:rsidP="00F9477F">
      <w:pPr>
        <w:spacing w:line="240" w:lineRule="auto"/>
      </w:pPr>
      <w:r>
        <w:continuationSeparator/>
      </w:r>
    </w:p>
  </w:footnote>
  <w:footnote w:type="continuationNotice" w:id="1">
    <w:p w:rsidR="00196EC2" w:rsidRDefault="00196EC2">
      <w:pPr>
        <w:spacing w:line="240" w:lineRule="auto"/>
      </w:pPr>
    </w:p>
  </w:footnote>
  <w:footnote w:id="2">
    <w:p w:rsidR="00196EC2" w:rsidRPr="00E02B81" w:rsidRDefault="00196EC2">
      <w:pPr>
        <w:pStyle w:val="Tekstprzypisudolnego"/>
        <w:rPr>
          <w:rFonts w:ascii="Times New Roman" w:hAnsi="Times New Roman"/>
        </w:rPr>
      </w:pPr>
      <w:r w:rsidRPr="00E02B81">
        <w:rPr>
          <w:rStyle w:val="Odwoanieprzypisudolnego"/>
          <w:rFonts w:ascii="Times New Roman" w:hAnsi="Times New Roman"/>
        </w:rPr>
        <w:footnoteRef/>
      </w:r>
      <w:r w:rsidRPr="00E02B81">
        <w:rPr>
          <w:rFonts w:ascii="Times New Roman" w:hAnsi="Times New Roman"/>
        </w:rPr>
        <w:t xml:space="preserve"> Dane Zakładu Ubezpieczeń Społecznych.</w:t>
      </w:r>
    </w:p>
  </w:footnote>
  <w:footnote w:id="3">
    <w:p w:rsidR="00196EC2" w:rsidRPr="009A03C0" w:rsidRDefault="00196EC2" w:rsidP="009A03C0">
      <w:pPr>
        <w:pStyle w:val="Tekstprzypisudolnego"/>
        <w:spacing w:line="240" w:lineRule="auto"/>
        <w:jc w:val="both"/>
        <w:rPr>
          <w:rFonts w:ascii="Times New Roman" w:hAnsi="Times New Roman"/>
        </w:rPr>
      </w:pPr>
      <w:r w:rsidRPr="009A03C0">
        <w:rPr>
          <w:rStyle w:val="Odwoanieprzypisudolnego"/>
          <w:rFonts w:ascii="Times New Roman" w:hAnsi="Times New Roman"/>
        </w:rPr>
        <w:footnoteRef/>
      </w:r>
      <w:r w:rsidRPr="009A03C0">
        <w:rPr>
          <w:rFonts w:ascii="Times New Roman" w:hAnsi="Times New Roman"/>
        </w:rPr>
        <w:t xml:space="preserve"> Pewne instrumenty wspierające płynność finansową przedsiębiorstw wdrożono</w:t>
      </w:r>
      <w:r>
        <w:rPr>
          <w:rFonts w:ascii="Times New Roman" w:hAnsi="Times New Roman"/>
        </w:rPr>
        <w:t xml:space="preserve"> m.in.</w:t>
      </w:r>
      <w:r w:rsidRPr="009A03C0">
        <w:rPr>
          <w:rFonts w:ascii="Times New Roman" w:hAnsi="Times New Roman"/>
        </w:rPr>
        <w:t xml:space="preserve"> </w:t>
      </w:r>
      <w:r w:rsidRPr="009A03C0">
        <w:rPr>
          <w:rFonts w:ascii="Times New Roman" w:hAnsi="Times New Roman"/>
          <w:i/>
          <w:spacing w:val="-2"/>
        </w:rPr>
        <w:t>ustawą z 31 marca 2020 r. o zmianie ustawy o</w:t>
      </w:r>
      <w:r w:rsidRPr="00DD1F89">
        <w:rPr>
          <w:rFonts w:ascii="Times New Roman" w:hAnsi="Times New Roman"/>
          <w:i/>
          <w:spacing w:val="-2"/>
        </w:rPr>
        <w:t> </w:t>
      </w:r>
      <w:r w:rsidRPr="009A03C0">
        <w:rPr>
          <w:rFonts w:ascii="Times New Roman" w:hAnsi="Times New Roman"/>
          <w:i/>
          <w:spacing w:val="-2"/>
        </w:rPr>
        <w:t>szczególnych rozwiązaniach związanych z zapobieganiem, przeciwdziałaniem i zwalczaniem COVID-19, innych chorób zakaźnych oraz wywołanych nimi sytuacji kryzysowych oraz niektórych innych ustaw</w:t>
      </w:r>
      <w:r w:rsidRPr="00DD1F89">
        <w:rPr>
          <w:rFonts w:ascii="Times New Roman" w:hAnsi="Times New Roman"/>
          <w:spacing w:val="-2"/>
        </w:rPr>
        <w:t xml:space="preserve"> oraz </w:t>
      </w:r>
      <w:r w:rsidRPr="009A03C0">
        <w:rPr>
          <w:rFonts w:ascii="Times New Roman" w:hAnsi="Times New Roman"/>
          <w:i/>
          <w:spacing w:val="-2"/>
        </w:rPr>
        <w:t>ustawą z dnia 16 kwietnia 2020 r. o szczególnych instrumentach wsparcia w związku z rozprzestrzenianiem się wirusa SARS-CoV-2</w:t>
      </w:r>
      <w:r w:rsidRPr="00DD1F89">
        <w:rPr>
          <w:rFonts w:ascii="Times New Roman" w:hAnsi="Times New Roman"/>
          <w:spacing w:val="-2"/>
        </w:rPr>
        <w:t>.</w:t>
      </w:r>
    </w:p>
  </w:footnote>
  <w:footnote w:id="4">
    <w:p w:rsidR="00196EC2" w:rsidRPr="008E02F3" w:rsidRDefault="00196EC2">
      <w:pPr>
        <w:pStyle w:val="Tekstprzypisudolnego"/>
        <w:rPr>
          <w:rFonts w:ascii="Times New Roman" w:hAnsi="Times New Roman"/>
        </w:rPr>
      </w:pPr>
      <w:r w:rsidRPr="008E02F3">
        <w:rPr>
          <w:rStyle w:val="Odwoanieprzypisudolnego"/>
          <w:rFonts w:ascii="Times New Roman" w:hAnsi="Times New Roman"/>
        </w:rPr>
        <w:footnoteRef/>
      </w:r>
      <w:r w:rsidRPr="008E02F3">
        <w:rPr>
          <w:rFonts w:ascii="Times New Roman" w:hAnsi="Times New Roman"/>
        </w:rPr>
        <w:t xml:space="preserve"> Na podstawie materiału opracowanego przez Departament Handlu i Współpracy Międzynarodowej w Ministerstwie Rozwoju.</w:t>
      </w:r>
    </w:p>
  </w:footnote>
  <w:footnote w:id="5">
    <w:p w:rsidR="00196EC2" w:rsidRPr="00C54CA6" w:rsidRDefault="00196EC2" w:rsidP="008E02F3">
      <w:pPr>
        <w:pStyle w:val="Tekstprzypisudolnego"/>
        <w:jc w:val="both"/>
        <w:rPr>
          <w:rFonts w:ascii="Times New Roman" w:hAnsi="Times New Roman"/>
        </w:rPr>
      </w:pPr>
      <w:r w:rsidRPr="00C54CA6">
        <w:rPr>
          <w:rStyle w:val="Odwoanieprzypisudolnego"/>
          <w:rFonts w:ascii="Times New Roman" w:hAnsi="Times New Roman"/>
        </w:rPr>
        <w:footnoteRef/>
      </w:r>
      <w:r w:rsidRPr="00C54CA6">
        <w:rPr>
          <w:rFonts w:ascii="Times New Roman" w:hAnsi="Times New Roman"/>
        </w:rPr>
        <w:t xml:space="preserve"> Źródło: Na podstawie art</w:t>
      </w:r>
      <w:r>
        <w:rPr>
          <w:rFonts w:ascii="Times New Roman" w:hAnsi="Times New Roman"/>
        </w:rPr>
        <w:t>ykułu</w:t>
      </w:r>
      <w:r w:rsidRPr="00C54CA6">
        <w:rPr>
          <w:rFonts w:ascii="Times New Roman" w:hAnsi="Times New Roman"/>
        </w:rPr>
        <w:t xml:space="preserve"> z dnia 5 kwietnia 2020 r.:  </w:t>
      </w:r>
      <w:hyperlink r:id="rId1" w:history="1">
        <w:r w:rsidRPr="00C54CA6">
          <w:rPr>
            <w:rStyle w:val="Hipercze"/>
            <w:rFonts w:ascii="Times New Roman" w:hAnsi="Times New Roman"/>
          </w:rPr>
          <w:t>https://www.money.pl/gospodarka/upadlosc-firm-jak-panstwa-ue-chronia-firmy-podczas-epidemii-6495871674672769a.html</w:t>
        </w:r>
      </w:hyperlink>
    </w:p>
  </w:footnote>
  <w:footnote w:id="6">
    <w:p w:rsidR="00196EC2" w:rsidRPr="009A03C0" w:rsidRDefault="00196EC2" w:rsidP="009A03C0">
      <w:pPr>
        <w:pStyle w:val="Tekstprzypisudolnego"/>
        <w:jc w:val="both"/>
        <w:rPr>
          <w:rFonts w:ascii="Times New Roman" w:hAnsi="Times New Roman"/>
        </w:rPr>
      </w:pPr>
      <w:r w:rsidRPr="009A03C0">
        <w:rPr>
          <w:rStyle w:val="Odwoanieprzypisudolnego"/>
          <w:rFonts w:ascii="Times New Roman" w:hAnsi="Times New Roman"/>
        </w:rPr>
        <w:footnoteRef/>
      </w:r>
      <w:r w:rsidRPr="009A03C0">
        <w:rPr>
          <w:rFonts w:ascii="Times New Roman" w:hAnsi="Times New Roman"/>
        </w:rPr>
        <w:t xml:space="preserve"> </w:t>
      </w:r>
      <w:r w:rsidRPr="009A03C0">
        <w:rPr>
          <w:rFonts w:ascii="Times New Roman" w:hAnsi="Times New Roman"/>
          <w:i/>
        </w:rPr>
        <w:t>Wytyczne</w:t>
      </w:r>
      <w:r w:rsidRPr="009A03C0">
        <w:rPr>
          <w:rFonts w:ascii="Times New Roman" w:hAnsi="Times New Roman"/>
        </w:rPr>
        <w:t xml:space="preserve"> </w:t>
      </w:r>
      <w:r>
        <w:rPr>
          <w:rFonts w:ascii="Times New Roman" w:hAnsi="Times New Roman"/>
          <w:i/>
          <w:color w:val="000000"/>
        </w:rPr>
        <w:t>dotyczące</w:t>
      </w:r>
      <w:r w:rsidRPr="004B4200">
        <w:rPr>
          <w:rFonts w:ascii="Times New Roman" w:hAnsi="Times New Roman"/>
          <w:i/>
          <w:color w:val="000000"/>
        </w:rPr>
        <w:t xml:space="preserve"> stosowania jednolitych wskaźników makroekonomicznych będących podstawą oszacowania skutków finansowych projektowanych ustaw</w:t>
      </w:r>
      <w:r>
        <w:rPr>
          <w:rFonts w:ascii="Times New Roman" w:hAnsi="Times New Roman"/>
          <w:i/>
          <w:color w:val="000000"/>
        </w:rPr>
        <w:t xml:space="preserve"> </w:t>
      </w:r>
      <w:r w:rsidRPr="009A03C0">
        <w:rPr>
          <w:rFonts w:ascii="Times New Roman" w:hAnsi="Times New Roman"/>
          <w:color w:val="000000"/>
        </w:rPr>
        <w:t>(</w:t>
      </w:r>
      <w:hyperlink r:id="rId2" w:history="1">
        <w:r w:rsidRPr="009A03C0">
          <w:rPr>
            <w:rStyle w:val="Hipercze"/>
            <w:rFonts w:ascii="Times New Roman" w:hAnsi="Times New Roman"/>
          </w:rPr>
          <w:t>https://www.gov.pl/web/finanse/wytyczne-sytuacja-makroekonomiczna</w:t>
        </w:r>
      </w:hyperlink>
      <w:r w:rsidRPr="009A03C0">
        <w:rPr>
          <w:rFonts w:ascii="Times New Roman" w:hAnsi="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color w:val="000000"/>
        <w:spacing w:val="-2"/>
      </w:rPr>
    </w:lvl>
  </w:abstractNum>
  <w:abstractNum w:abstractNumId="1">
    <w:nsid w:val="036F591E"/>
    <w:multiLevelType w:val="hybridMultilevel"/>
    <w:tmpl w:val="81168696"/>
    <w:lvl w:ilvl="0" w:tplc="4B683EB2">
      <w:start w:val="1"/>
      <w:numFmt w:val="upperRoman"/>
      <w:lvlText w:val="%1."/>
      <w:lvlJc w:val="left"/>
      <w:pPr>
        <w:ind w:left="1800" w:hanging="720"/>
      </w:pPr>
      <w:rPr>
        <w:rFonts w:eastAsia="Calibri"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0370D2"/>
    <w:multiLevelType w:val="hybridMultilevel"/>
    <w:tmpl w:val="F272B9EA"/>
    <w:lvl w:ilvl="0" w:tplc="04150001">
      <w:start w:val="1"/>
      <w:numFmt w:val="bullet"/>
      <w:lvlText w:val=""/>
      <w:lvlJc w:val="left"/>
      <w:pPr>
        <w:ind w:left="720" w:hanging="360"/>
      </w:pPr>
      <w:rPr>
        <w:rFonts w:ascii="Symbol" w:hAnsi="Symbo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A3C53"/>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687CEE"/>
    <w:multiLevelType w:val="hybridMultilevel"/>
    <w:tmpl w:val="BE34400C"/>
    <w:lvl w:ilvl="0" w:tplc="3F0E7A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9D3BA7"/>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15110"/>
    <w:multiLevelType w:val="hybridMultilevel"/>
    <w:tmpl w:val="5A22346C"/>
    <w:lvl w:ilvl="0" w:tplc="E9E0F61C">
      <w:start w:val="1"/>
      <w:numFmt w:val="decimal"/>
      <w:lvlText w:val="%1)"/>
      <w:lvlJc w:val="left"/>
      <w:pPr>
        <w:ind w:left="1141" w:hanging="432"/>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E20054F"/>
    <w:multiLevelType w:val="hybridMultilevel"/>
    <w:tmpl w:val="AE404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70865"/>
    <w:multiLevelType w:val="hybridMultilevel"/>
    <w:tmpl w:val="85F48282"/>
    <w:lvl w:ilvl="0" w:tplc="46081802">
      <w:start w:val="1"/>
      <w:numFmt w:val="upperRoman"/>
      <w:lvlText w:val="%1."/>
      <w:lvlJc w:val="left"/>
      <w:pPr>
        <w:ind w:left="1080" w:hanging="720"/>
      </w:pPr>
      <w:rPr>
        <w:rFonts w:eastAsia="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92401"/>
    <w:multiLevelType w:val="hybridMultilevel"/>
    <w:tmpl w:val="F8020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B942F4"/>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A75C0"/>
    <w:multiLevelType w:val="hybridMultilevel"/>
    <w:tmpl w:val="32507F2E"/>
    <w:lvl w:ilvl="0" w:tplc="7E946EF4">
      <w:start w:val="1"/>
      <w:numFmt w:val="bullet"/>
      <w:lvlText w:val=""/>
      <w:lvlJc w:val="left"/>
      <w:pPr>
        <w:ind w:left="720" w:hanging="360"/>
      </w:pPr>
      <w:rPr>
        <w:rFonts w:ascii="Symbol" w:hAnsi="Symbol"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227A53"/>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5B604F"/>
    <w:multiLevelType w:val="hybridMultilevel"/>
    <w:tmpl w:val="EDC2BC08"/>
    <w:lvl w:ilvl="0" w:tplc="04150013">
      <w:start w:val="1"/>
      <w:numFmt w:val="upperRoman"/>
      <w:lvlText w:val="%1."/>
      <w:lvlJc w:val="righ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98E221E"/>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044680"/>
    <w:multiLevelType w:val="hybridMultilevel"/>
    <w:tmpl w:val="A2AC4ED4"/>
    <w:lvl w:ilvl="0" w:tplc="327C484E">
      <w:start w:val="1"/>
      <w:numFmt w:val="bullet"/>
      <w:lvlText w:val=""/>
      <w:lvlJc w:val="left"/>
      <w:pPr>
        <w:ind w:left="720" w:hanging="360"/>
      </w:pPr>
      <w:rPr>
        <w:rFonts w:ascii="Symbol" w:hAnsi="Symbol"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F35EF5"/>
    <w:multiLevelType w:val="hybridMultilevel"/>
    <w:tmpl w:val="4C78E81A"/>
    <w:lvl w:ilvl="0" w:tplc="CF382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3E6DF8"/>
    <w:multiLevelType w:val="hybridMultilevel"/>
    <w:tmpl w:val="18BA01D8"/>
    <w:lvl w:ilvl="0" w:tplc="327C48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8E0630A"/>
    <w:multiLevelType w:val="hybridMultilevel"/>
    <w:tmpl w:val="5EE887AA"/>
    <w:lvl w:ilvl="0" w:tplc="327C484E">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EB20EB"/>
    <w:multiLevelType w:val="hybridMultilevel"/>
    <w:tmpl w:val="8608703C"/>
    <w:lvl w:ilvl="0" w:tplc="76D89CEC">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CC412C3"/>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872B4D"/>
    <w:multiLevelType w:val="hybridMultilevel"/>
    <w:tmpl w:val="855A3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F040D5"/>
    <w:multiLevelType w:val="hybridMultilevel"/>
    <w:tmpl w:val="54F0CB84"/>
    <w:lvl w:ilvl="0" w:tplc="29086C20">
      <w:start w:val="1"/>
      <w:numFmt w:val="upperRoman"/>
      <w:lvlText w:val="%1."/>
      <w:lvlJc w:val="left"/>
      <w:pPr>
        <w:ind w:left="1080" w:hanging="720"/>
      </w:pPr>
      <w:rPr>
        <w:rFonts w:ascii="Times New Roman" w:hAnsi="Times New Roman"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446CD"/>
    <w:multiLevelType w:val="hybridMultilevel"/>
    <w:tmpl w:val="A036B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2D3319"/>
    <w:multiLevelType w:val="hybridMultilevel"/>
    <w:tmpl w:val="F9F60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92A41E7"/>
    <w:multiLevelType w:val="hybridMultilevel"/>
    <w:tmpl w:val="F244A6A0"/>
    <w:lvl w:ilvl="0" w:tplc="680E46FE">
      <w:start w:val="1"/>
      <w:numFmt w:val="decimal"/>
      <w:lvlText w:val="%1."/>
      <w:lvlJc w:val="left"/>
      <w:pPr>
        <w:tabs>
          <w:tab w:val="num" w:pos="360"/>
        </w:tabs>
        <w:ind w:left="360" w:hanging="360"/>
      </w:pPr>
      <w:rPr>
        <w:rFonts w:cs="Times New Roman" w:hint="default"/>
        <w:b/>
      </w:rPr>
    </w:lvl>
    <w:lvl w:ilvl="1" w:tplc="DFE04F6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D83018"/>
    <w:multiLevelType w:val="hybridMultilevel"/>
    <w:tmpl w:val="CFEAF1A8"/>
    <w:lvl w:ilvl="0" w:tplc="01D6D73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C1A70B1"/>
    <w:multiLevelType w:val="hybridMultilevel"/>
    <w:tmpl w:val="086C9A34"/>
    <w:lvl w:ilvl="0" w:tplc="327C484E">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E36D9"/>
    <w:multiLevelType w:val="hybridMultilevel"/>
    <w:tmpl w:val="E6A6041A"/>
    <w:lvl w:ilvl="0" w:tplc="327C4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E63775"/>
    <w:multiLevelType w:val="hybridMultilevel"/>
    <w:tmpl w:val="6016C0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5F2CCE"/>
    <w:multiLevelType w:val="hybridMultilevel"/>
    <w:tmpl w:val="14AA0F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40900687"/>
    <w:multiLevelType w:val="hybridMultilevel"/>
    <w:tmpl w:val="4CC8EAC8"/>
    <w:lvl w:ilvl="0" w:tplc="7E946EF4">
      <w:start w:val="1"/>
      <w:numFmt w:val="bullet"/>
      <w:lvlText w:val=""/>
      <w:lvlJc w:val="left"/>
      <w:pPr>
        <w:ind w:left="720" w:hanging="360"/>
      </w:pPr>
      <w:rPr>
        <w:rFonts w:ascii="Symbol" w:hAnsi="Symbol"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231137"/>
    <w:multiLevelType w:val="hybridMultilevel"/>
    <w:tmpl w:val="41444C3A"/>
    <w:lvl w:ilvl="0" w:tplc="327C484E">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A2ECD"/>
    <w:multiLevelType w:val="hybridMultilevel"/>
    <w:tmpl w:val="40AEE5CE"/>
    <w:lvl w:ilvl="0" w:tplc="57B87FB8">
      <w:start w:val="1"/>
      <w:numFmt w:val="decimal"/>
      <w:lvlText w:val="%1)"/>
      <w:lvlJc w:val="left"/>
      <w:pPr>
        <w:ind w:left="1350" w:hanging="840"/>
      </w:pPr>
    </w:lvl>
    <w:lvl w:ilvl="1" w:tplc="04150017">
      <w:start w:val="1"/>
      <w:numFmt w:val="lowerLetter"/>
      <w:lvlText w:val="%2)"/>
      <w:lvlJc w:val="left"/>
      <w:pPr>
        <w:ind w:left="1353"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4">
    <w:nsid w:val="48215B58"/>
    <w:multiLevelType w:val="hybridMultilevel"/>
    <w:tmpl w:val="D1EE4370"/>
    <w:lvl w:ilvl="0" w:tplc="04150013">
      <w:start w:val="1"/>
      <w:numFmt w:val="upperRoman"/>
      <w:lvlText w:val="%1."/>
      <w:lvlJc w:val="right"/>
      <w:pPr>
        <w:ind w:left="720" w:hanging="360"/>
      </w:pPr>
      <w:rPr>
        <w:rFonts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865B2B"/>
    <w:multiLevelType w:val="hybridMultilevel"/>
    <w:tmpl w:val="A8D6B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763683"/>
    <w:multiLevelType w:val="hybridMultilevel"/>
    <w:tmpl w:val="4254FD12"/>
    <w:lvl w:ilvl="0" w:tplc="AAAC29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550EA5"/>
    <w:multiLevelType w:val="hybridMultilevel"/>
    <w:tmpl w:val="D2FCCC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051045"/>
    <w:multiLevelType w:val="hybridMultilevel"/>
    <w:tmpl w:val="4254FD12"/>
    <w:lvl w:ilvl="0" w:tplc="AAAC29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D2FA2"/>
    <w:multiLevelType w:val="hybridMultilevel"/>
    <w:tmpl w:val="2D56BEE0"/>
    <w:lvl w:ilvl="0" w:tplc="327C484E">
      <w:start w:val="1"/>
      <w:numFmt w:val="bullet"/>
      <w:lvlText w:val=""/>
      <w:lvlJc w:val="left"/>
      <w:pPr>
        <w:ind w:left="1004" w:hanging="72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1671F20"/>
    <w:multiLevelType w:val="hybridMultilevel"/>
    <w:tmpl w:val="B066DC00"/>
    <w:lvl w:ilvl="0" w:tplc="6F28E2BE">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8E2B9C"/>
    <w:multiLevelType w:val="hybridMultilevel"/>
    <w:tmpl w:val="D696D4A2"/>
    <w:lvl w:ilvl="0" w:tplc="AAAC29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356D32"/>
    <w:multiLevelType w:val="hybridMultilevel"/>
    <w:tmpl w:val="AD3C63F6"/>
    <w:lvl w:ilvl="0" w:tplc="327C484E">
      <w:start w:val="1"/>
      <w:numFmt w:val="bullet"/>
      <w:lvlText w:val=""/>
      <w:lvlJc w:val="left"/>
      <w:pPr>
        <w:ind w:left="720" w:hanging="360"/>
      </w:pPr>
      <w:rPr>
        <w:rFonts w:ascii="Symbol" w:hAnsi="Symbol"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BC5D86"/>
    <w:multiLevelType w:val="hybridMultilevel"/>
    <w:tmpl w:val="30DA6A9C"/>
    <w:lvl w:ilvl="0" w:tplc="9F5CF2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A4F541C"/>
    <w:multiLevelType w:val="hybridMultilevel"/>
    <w:tmpl w:val="958C9F64"/>
    <w:lvl w:ilvl="0" w:tplc="47AC219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8C42EF"/>
    <w:multiLevelType w:val="hybridMultilevel"/>
    <w:tmpl w:val="17929160"/>
    <w:lvl w:ilvl="0" w:tplc="7E946EF4">
      <w:start w:val="1"/>
      <w:numFmt w:val="bullet"/>
      <w:lvlText w:val=""/>
      <w:lvlJc w:val="left"/>
      <w:pPr>
        <w:ind w:left="720" w:hanging="360"/>
      </w:pPr>
      <w:rPr>
        <w:rFonts w:ascii="Symbol" w:hAnsi="Symbol"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D960AC"/>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085E96"/>
    <w:multiLevelType w:val="hybridMultilevel"/>
    <w:tmpl w:val="C168347E"/>
    <w:lvl w:ilvl="0" w:tplc="DA2E9404">
      <w:start w:val="1"/>
      <w:numFmt w:val="upperRoman"/>
      <w:lvlText w:val="%1."/>
      <w:lvlJc w:val="left"/>
      <w:pPr>
        <w:ind w:left="1860" w:hanging="720"/>
      </w:pPr>
      <w:rPr>
        <w:rFonts w:eastAsia="Calibri" w:hint="default"/>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8">
    <w:nsid w:val="5DFB2C33"/>
    <w:multiLevelType w:val="hybridMultilevel"/>
    <w:tmpl w:val="20B660B6"/>
    <w:lvl w:ilvl="0" w:tplc="C1A205C8">
      <w:start w:val="1"/>
      <w:numFmt w:val="decimal"/>
      <w:lvlText w:val="%1."/>
      <w:lvlJc w:val="left"/>
      <w:pPr>
        <w:ind w:left="720" w:hanging="360"/>
      </w:pPr>
      <w:rPr>
        <w:rFonts w:ascii="Times New Roman" w:hAnsi="Times New Roman" w:cs="Times New Roman" w:hint="default"/>
        <w:b w:val="0"/>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C834A9"/>
    <w:multiLevelType w:val="hybridMultilevel"/>
    <w:tmpl w:val="F9E8C3C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62925243"/>
    <w:multiLevelType w:val="hybridMultilevel"/>
    <w:tmpl w:val="DEA04222"/>
    <w:lvl w:ilvl="0" w:tplc="558E8FF2">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3A3D07"/>
    <w:multiLevelType w:val="hybridMultilevel"/>
    <w:tmpl w:val="54F0CB84"/>
    <w:lvl w:ilvl="0" w:tplc="29086C20">
      <w:start w:val="1"/>
      <w:numFmt w:val="upperRoman"/>
      <w:lvlText w:val="%1."/>
      <w:lvlJc w:val="left"/>
      <w:pPr>
        <w:ind w:left="1080" w:hanging="720"/>
      </w:pPr>
      <w:rPr>
        <w:rFonts w:ascii="Times New Roman" w:hAnsi="Times New Roman"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5F72ED"/>
    <w:multiLevelType w:val="hybridMultilevel"/>
    <w:tmpl w:val="767CD3A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nsid w:val="6EB1442E"/>
    <w:multiLevelType w:val="hybridMultilevel"/>
    <w:tmpl w:val="D4A8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943DBB"/>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960344"/>
    <w:multiLevelType w:val="hybridMultilevel"/>
    <w:tmpl w:val="4254FD12"/>
    <w:lvl w:ilvl="0" w:tplc="AAAC29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0430D4"/>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84027"/>
    <w:multiLevelType w:val="hybridMultilevel"/>
    <w:tmpl w:val="94BA3370"/>
    <w:lvl w:ilvl="0" w:tplc="9F5CF2E6">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7FD77C7"/>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032E95"/>
    <w:multiLevelType w:val="hybridMultilevel"/>
    <w:tmpl w:val="E9563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807DAA"/>
    <w:multiLevelType w:val="hybridMultilevel"/>
    <w:tmpl w:val="4254FD12"/>
    <w:lvl w:ilvl="0" w:tplc="AAAC29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0C677A"/>
    <w:multiLevelType w:val="hybridMultilevel"/>
    <w:tmpl w:val="608EBCFE"/>
    <w:lvl w:ilvl="0" w:tplc="F0DEF344">
      <w:start w:val="1"/>
      <w:numFmt w:val="decimal"/>
      <w:lvlText w:val="%1."/>
      <w:lvlJc w:val="left"/>
      <w:pPr>
        <w:ind w:left="720" w:hanging="360"/>
      </w:pPr>
      <w:rPr>
        <w:rFonts w:ascii="Times New Roman" w:hAnsi="Times New Roman" w:cs="Times New Roman" w:hint="default"/>
        <w:color w:val="auto"/>
        <w:sz w:val="22"/>
      </w:rPr>
    </w:lvl>
    <w:lvl w:ilvl="1" w:tplc="71AC6106">
      <w:start w:val="1"/>
      <w:numFmt w:val="upperRoman"/>
      <w:lvlText w:val="%2."/>
      <w:lvlJc w:val="left"/>
      <w:pPr>
        <w:ind w:left="1800" w:hanging="72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B7236F"/>
    <w:multiLevelType w:val="hybridMultilevel"/>
    <w:tmpl w:val="2FB46BAE"/>
    <w:lvl w:ilvl="0" w:tplc="04150001">
      <w:start w:val="1"/>
      <w:numFmt w:val="bullet"/>
      <w:lvlText w:val=""/>
      <w:lvlJc w:val="left"/>
      <w:pPr>
        <w:ind w:left="1004" w:hanging="72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BA1142E"/>
    <w:multiLevelType w:val="hybridMultilevel"/>
    <w:tmpl w:val="CFEAF1A8"/>
    <w:lvl w:ilvl="0" w:tplc="01D6D73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DDB1533"/>
    <w:multiLevelType w:val="hybridMultilevel"/>
    <w:tmpl w:val="2A706AF0"/>
    <w:lvl w:ilvl="0" w:tplc="031816EE">
      <w:start w:val="1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B10E33"/>
    <w:multiLevelType w:val="hybridMultilevel"/>
    <w:tmpl w:val="3E824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4"/>
  </w:num>
  <w:num w:numId="3">
    <w:abstractNumId w:val="9"/>
  </w:num>
  <w:num w:numId="4">
    <w:abstractNumId w:val="59"/>
  </w:num>
  <w:num w:numId="5">
    <w:abstractNumId w:val="44"/>
  </w:num>
  <w:num w:numId="6">
    <w:abstractNumId w:val="21"/>
  </w:num>
  <w:num w:numId="7">
    <w:abstractNumId w:val="37"/>
  </w:num>
  <w:num w:numId="8">
    <w:abstractNumId w:val="24"/>
  </w:num>
  <w:num w:numId="9">
    <w:abstractNumId w:val="53"/>
  </w:num>
  <w:num w:numId="10">
    <w:abstractNumId w:val="52"/>
  </w:num>
  <w:num w:numId="11">
    <w:abstractNumId w:val="0"/>
  </w:num>
  <w:num w:numId="12">
    <w:abstractNumId w:val="22"/>
  </w:num>
  <w:num w:numId="13">
    <w:abstractNumId w:val="49"/>
  </w:num>
  <w:num w:numId="14">
    <w:abstractNumId w:val="19"/>
  </w:num>
  <w:num w:numId="15">
    <w:abstractNumId w:val="30"/>
  </w:num>
  <w:num w:numId="16">
    <w:abstractNumId w:val="65"/>
  </w:num>
  <w:num w:numId="17">
    <w:abstractNumId w:val="57"/>
  </w:num>
  <w:num w:numId="18">
    <w:abstractNumId w:val="38"/>
  </w:num>
  <w:num w:numId="19">
    <w:abstractNumId w:val="48"/>
  </w:num>
  <w:num w:numId="20">
    <w:abstractNumId w:val="29"/>
  </w:num>
  <w:num w:numId="21">
    <w:abstractNumId w:val="41"/>
  </w:num>
  <w:num w:numId="22">
    <w:abstractNumId w:val="47"/>
  </w:num>
  <w:num w:numId="23">
    <w:abstractNumId w:val="13"/>
  </w:num>
  <w:num w:numId="24">
    <w:abstractNumId w:val="8"/>
  </w:num>
  <w:num w:numId="25">
    <w:abstractNumId w:val="1"/>
  </w:num>
  <w:num w:numId="26">
    <w:abstractNumId w:val="26"/>
  </w:num>
  <w:num w:numId="27">
    <w:abstractNumId w:val="6"/>
  </w:num>
  <w:num w:numId="28">
    <w:abstractNumId w:val="16"/>
  </w:num>
  <w:num w:numId="29">
    <w:abstractNumId w:val="40"/>
  </w:num>
  <w:num w:numId="30">
    <w:abstractNumId w:val="61"/>
  </w:num>
  <w:num w:numId="31">
    <w:abstractNumId w:val="35"/>
  </w:num>
  <w:num w:numId="32">
    <w:abstractNumId w:val="34"/>
  </w:num>
  <w:num w:numId="33">
    <w:abstractNumId w:val="36"/>
  </w:num>
  <w:num w:numId="34">
    <w:abstractNumId w:val="60"/>
  </w:num>
  <w:num w:numId="35">
    <w:abstractNumId w:val="54"/>
  </w:num>
  <w:num w:numId="36">
    <w:abstractNumId w:val="63"/>
  </w:num>
  <w:num w:numId="37">
    <w:abstractNumId w:val="62"/>
  </w:num>
  <w:num w:numId="38">
    <w:abstractNumId w:val="39"/>
  </w:num>
  <w:num w:numId="39">
    <w:abstractNumId w:val="28"/>
  </w:num>
  <w:num w:numId="40">
    <w:abstractNumId w:val="32"/>
  </w:num>
  <w:num w:numId="41">
    <w:abstractNumId w:val="17"/>
  </w:num>
  <w:num w:numId="42">
    <w:abstractNumId w:val="23"/>
  </w:num>
  <w:num w:numId="43">
    <w:abstractNumId w:val="55"/>
  </w:num>
  <w:num w:numId="44">
    <w:abstractNumId w:val="51"/>
  </w:num>
  <w:num w:numId="45">
    <w:abstractNumId w:val="18"/>
  </w:num>
  <w:num w:numId="46">
    <w:abstractNumId w:val="27"/>
  </w:num>
  <w:num w:numId="47">
    <w:abstractNumId w:val="5"/>
  </w:num>
  <w:num w:numId="48">
    <w:abstractNumId w:val="43"/>
  </w:num>
  <w:num w:numId="49">
    <w:abstractNumId w:val="7"/>
  </w:num>
  <w:num w:numId="50">
    <w:abstractNumId w:val="50"/>
  </w:num>
  <w:num w:numId="51">
    <w:abstractNumId w:val="4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5"/>
  </w:num>
  <w:num w:numId="55">
    <w:abstractNumId w:val="2"/>
  </w:num>
  <w:num w:numId="56">
    <w:abstractNumId w:val="31"/>
  </w:num>
  <w:num w:numId="57">
    <w:abstractNumId w:val="15"/>
  </w:num>
  <w:num w:numId="58">
    <w:abstractNumId w:val="11"/>
  </w:num>
  <w:num w:numId="59">
    <w:abstractNumId w:val="46"/>
  </w:num>
  <w:num w:numId="60">
    <w:abstractNumId w:val="14"/>
  </w:num>
  <w:num w:numId="61">
    <w:abstractNumId w:val="3"/>
  </w:num>
  <w:num w:numId="62">
    <w:abstractNumId w:val="12"/>
  </w:num>
  <w:num w:numId="63">
    <w:abstractNumId w:val="58"/>
  </w:num>
  <w:num w:numId="64">
    <w:abstractNumId w:val="10"/>
  </w:num>
  <w:num w:numId="65">
    <w:abstractNumId w:val="20"/>
  </w:num>
  <w:num w:numId="66">
    <w:abstractNumId w:val="5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ba Pliszka">
    <w15:presenceInfo w15:providerId="Windows Live" w15:userId="6fb58be3d17f2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7F"/>
    <w:rsid w:val="00000A7E"/>
    <w:rsid w:val="00003512"/>
    <w:rsid w:val="00004592"/>
    <w:rsid w:val="000056F0"/>
    <w:rsid w:val="000106C9"/>
    <w:rsid w:val="000273BA"/>
    <w:rsid w:val="00030567"/>
    <w:rsid w:val="000315D8"/>
    <w:rsid w:val="000318E4"/>
    <w:rsid w:val="00042423"/>
    <w:rsid w:val="00045BCE"/>
    <w:rsid w:val="00046CD3"/>
    <w:rsid w:val="00047DE1"/>
    <w:rsid w:val="00057F43"/>
    <w:rsid w:val="00060EC1"/>
    <w:rsid w:val="0007081D"/>
    <w:rsid w:val="00070FFD"/>
    <w:rsid w:val="000755D2"/>
    <w:rsid w:val="00080502"/>
    <w:rsid w:val="00085200"/>
    <w:rsid w:val="00086488"/>
    <w:rsid w:val="000874FC"/>
    <w:rsid w:val="00087B56"/>
    <w:rsid w:val="00093855"/>
    <w:rsid w:val="000A2F38"/>
    <w:rsid w:val="000A3A05"/>
    <w:rsid w:val="000A4238"/>
    <w:rsid w:val="000A77F8"/>
    <w:rsid w:val="000B1AE6"/>
    <w:rsid w:val="000B75CA"/>
    <w:rsid w:val="000C0558"/>
    <w:rsid w:val="000C3F65"/>
    <w:rsid w:val="000C6664"/>
    <w:rsid w:val="000D0A87"/>
    <w:rsid w:val="000D2E1F"/>
    <w:rsid w:val="000D3DD1"/>
    <w:rsid w:val="000D487E"/>
    <w:rsid w:val="000D6ED0"/>
    <w:rsid w:val="000E5496"/>
    <w:rsid w:val="000E5952"/>
    <w:rsid w:val="000E7895"/>
    <w:rsid w:val="000E7B29"/>
    <w:rsid w:val="000F1DC0"/>
    <w:rsid w:val="000F25FC"/>
    <w:rsid w:val="000F5B72"/>
    <w:rsid w:val="000F5E12"/>
    <w:rsid w:val="000F5FEB"/>
    <w:rsid w:val="000F7D4F"/>
    <w:rsid w:val="00100CB3"/>
    <w:rsid w:val="00100E13"/>
    <w:rsid w:val="00112374"/>
    <w:rsid w:val="00116346"/>
    <w:rsid w:val="0012089D"/>
    <w:rsid w:val="00124839"/>
    <w:rsid w:val="00125584"/>
    <w:rsid w:val="001268AA"/>
    <w:rsid w:val="00131616"/>
    <w:rsid w:val="00131B7F"/>
    <w:rsid w:val="00131DBA"/>
    <w:rsid w:val="00134C36"/>
    <w:rsid w:val="00134FE4"/>
    <w:rsid w:val="0014249F"/>
    <w:rsid w:val="0015252C"/>
    <w:rsid w:val="00153EAA"/>
    <w:rsid w:val="00157F4D"/>
    <w:rsid w:val="001609BF"/>
    <w:rsid w:val="00160B11"/>
    <w:rsid w:val="00163D26"/>
    <w:rsid w:val="0017412C"/>
    <w:rsid w:val="001766DE"/>
    <w:rsid w:val="00176F22"/>
    <w:rsid w:val="00180E55"/>
    <w:rsid w:val="00181368"/>
    <w:rsid w:val="001854DF"/>
    <w:rsid w:val="00191079"/>
    <w:rsid w:val="00196EC2"/>
    <w:rsid w:val="001A03F1"/>
    <w:rsid w:val="001A3520"/>
    <w:rsid w:val="001A497F"/>
    <w:rsid w:val="001B2CCA"/>
    <w:rsid w:val="001B2DE3"/>
    <w:rsid w:val="001B7039"/>
    <w:rsid w:val="001C17F3"/>
    <w:rsid w:val="001C2D72"/>
    <w:rsid w:val="001C56B3"/>
    <w:rsid w:val="001C5A23"/>
    <w:rsid w:val="001C6D26"/>
    <w:rsid w:val="001D1B5B"/>
    <w:rsid w:val="001D1C4F"/>
    <w:rsid w:val="001D4031"/>
    <w:rsid w:val="001D5642"/>
    <w:rsid w:val="001D5EA2"/>
    <w:rsid w:val="001E13B9"/>
    <w:rsid w:val="001E40A1"/>
    <w:rsid w:val="001E6414"/>
    <w:rsid w:val="001F02FD"/>
    <w:rsid w:val="001F1791"/>
    <w:rsid w:val="001F29C3"/>
    <w:rsid w:val="001F58F5"/>
    <w:rsid w:val="001F6C49"/>
    <w:rsid w:val="002019A4"/>
    <w:rsid w:val="00205640"/>
    <w:rsid w:val="00207781"/>
    <w:rsid w:val="0021037E"/>
    <w:rsid w:val="002117C2"/>
    <w:rsid w:val="00213FD7"/>
    <w:rsid w:val="00221105"/>
    <w:rsid w:val="00221D18"/>
    <w:rsid w:val="00226444"/>
    <w:rsid w:val="002318CA"/>
    <w:rsid w:val="0023299A"/>
    <w:rsid w:val="00232B8F"/>
    <w:rsid w:val="002340B0"/>
    <w:rsid w:val="00235561"/>
    <w:rsid w:val="002368C1"/>
    <w:rsid w:val="0023734C"/>
    <w:rsid w:val="002443B2"/>
    <w:rsid w:val="00251746"/>
    <w:rsid w:val="00251FCB"/>
    <w:rsid w:val="00253589"/>
    <w:rsid w:val="00273EC6"/>
    <w:rsid w:val="00277F1F"/>
    <w:rsid w:val="002821ED"/>
    <w:rsid w:val="002827F6"/>
    <w:rsid w:val="0028744C"/>
    <w:rsid w:val="00294496"/>
    <w:rsid w:val="002963A3"/>
    <w:rsid w:val="00297B59"/>
    <w:rsid w:val="002A0689"/>
    <w:rsid w:val="002A1566"/>
    <w:rsid w:val="002A1EBA"/>
    <w:rsid w:val="002A37BC"/>
    <w:rsid w:val="002A4BA7"/>
    <w:rsid w:val="002A6E1B"/>
    <w:rsid w:val="002A7092"/>
    <w:rsid w:val="002B4A63"/>
    <w:rsid w:val="002B5EDE"/>
    <w:rsid w:val="002C24B8"/>
    <w:rsid w:val="002C3D01"/>
    <w:rsid w:val="002D22E0"/>
    <w:rsid w:val="002D259C"/>
    <w:rsid w:val="002E319D"/>
    <w:rsid w:val="002E34D3"/>
    <w:rsid w:val="002E71C6"/>
    <w:rsid w:val="002F41AC"/>
    <w:rsid w:val="003123A4"/>
    <w:rsid w:val="003134E3"/>
    <w:rsid w:val="00314249"/>
    <w:rsid w:val="00331774"/>
    <w:rsid w:val="00335D0C"/>
    <w:rsid w:val="00337C2B"/>
    <w:rsid w:val="003440CE"/>
    <w:rsid w:val="00350837"/>
    <w:rsid w:val="00350F83"/>
    <w:rsid w:val="00355D2F"/>
    <w:rsid w:val="003640CA"/>
    <w:rsid w:val="00366A5A"/>
    <w:rsid w:val="00367381"/>
    <w:rsid w:val="003705F7"/>
    <w:rsid w:val="00370D7D"/>
    <w:rsid w:val="00372968"/>
    <w:rsid w:val="003735AA"/>
    <w:rsid w:val="00374D13"/>
    <w:rsid w:val="00380C43"/>
    <w:rsid w:val="0038194E"/>
    <w:rsid w:val="00391119"/>
    <w:rsid w:val="0039180C"/>
    <w:rsid w:val="003A0C2D"/>
    <w:rsid w:val="003B5276"/>
    <w:rsid w:val="003B5F8B"/>
    <w:rsid w:val="003B646D"/>
    <w:rsid w:val="003C34CF"/>
    <w:rsid w:val="003C70DF"/>
    <w:rsid w:val="003D3B8E"/>
    <w:rsid w:val="003D62BC"/>
    <w:rsid w:val="003D64A9"/>
    <w:rsid w:val="003F0F48"/>
    <w:rsid w:val="003F30AB"/>
    <w:rsid w:val="003F3E30"/>
    <w:rsid w:val="003F76CD"/>
    <w:rsid w:val="00400913"/>
    <w:rsid w:val="004047A7"/>
    <w:rsid w:val="00406013"/>
    <w:rsid w:val="00406D64"/>
    <w:rsid w:val="004115C2"/>
    <w:rsid w:val="0041453B"/>
    <w:rsid w:val="00414AD1"/>
    <w:rsid w:val="00415F29"/>
    <w:rsid w:val="0042524E"/>
    <w:rsid w:val="0043080C"/>
    <w:rsid w:val="00435A45"/>
    <w:rsid w:val="00437522"/>
    <w:rsid w:val="00442696"/>
    <w:rsid w:val="00443C39"/>
    <w:rsid w:val="004506F6"/>
    <w:rsid w:val="00451BCB"/>
    <w:rsid w:val="0045234E"/>
    <w:rsid w:val="004530E6"/>
    <w:rsid w:val="004536C1"/>
    <w:rsid w:val="00455ADA"/>
    <w:rsid w:val="00456864"/>
    <w:rsid w:val="00460448"/>
    <w:rsid w:val="004610E2"/>
    <w:rsid w:val="0046334D"/>
    <w:rsid w:val="004637A9"/>
    <w:rsid w:val="004638CD"/>
    <w:rsid w:val="0046528F"/>
    <w:rsid w:val="004666EB"/>
    <w:rsid w:val="00472CC9"/>
    <w:rsid w:val="00475799"/>
    <w:rsid w:val="0047704B"/>
    <w:rsid w:val="00482AF3"/>
    <w:rsid w:val="00485501"/>
    <w:rsid w:val="00485929"/>
    <w:rsid w:val="00491AC1"/>
    <w:rsid w:val="00495190"/>
    <w:rsid w:val="004957C4"/>
    <w:rsid w:val="004971BF"/>
    <w:rsid w:val="004A5F92"/>
    <w:rsid w:val="004A7BEA"/>
    <w:rsid w:val="004B4200"/>
    <w:rsid w:val="004B4C6E"/>
    <w:rsid w:val="004B6F20"/>
    <w:rsid w:val="004C08FD"/>
    <w:rsid w:val="004C34E2"/>
    <w:rsid w:val="004C49DC"/>
    <w:rsid w:val="004D1088"/>
    <w:rsid w:val="004D2EEE"/>
    <w:rsid w:val="004D3BD8"/>
    <w:rsid w:val="004D3FCA"/>
    <w:rsid w:val="004D4B2C"/>
    <w:rsid w:val="004E06C1"/>
    <w:rsid w:val="004E5634"/>
    <w:rsid w:val="004E5B35"/>
    <w:rsid w:val="004E6CB7"/>
    <w:rsid w:val="004E7534"/>
    <w:rsid w:val="004F2F8A"/>
    <w:rsid w:val="004F7471"/>
    <w:rsid w:val="00501241"/>
    <w:rsid w:val="0050264E"/>
    <w:rsid w:val="00506DD2"/>
    <w:rsid w:val="00510DE4"/>
    <w:rsid w:val="00516CBD"/>
    <w:rsid w:val="005265B7"/>
    <w:rsid w:val="00527E71"/>
    <w:rsid w:val="00533949"/>
    <w:rsid w:val="0054411B"/>
    <w:rsid w:val="0054575C"/>
    <w:rsid w:val="00545D45"/>
    <w:rsid w:val="005504A7"/>
    <w:rsid w:val="00552F6B"/>
    <w:rsid w:val="00553603"/>
    <w:rsid w:val="0055371C"/>
    <w:rsid w:val="005552B6"/>
    <w:rsid w:val="00560425"/>
    <w:rsid w:val="00561496"/>
    <w:rsid w:val="00565221"/>
    <w:rsid w:val="00570615"/>
    <w:rsid w:val="00570EAA"/>
    <w:rsid w:val="00571369"/>
    <w:rsid w:val="00574E1A"/>
    <w:rsid w:val="00582F14"/>
    <w:rsid w:val="0058584D"/>
    <w:rsid w:val="00587240"/>
    <w:rsid w:val="00593D32"/>
    <w:rsid w:val="00596DF3"/>
    <w:rsid w:val="005A1574"/>
    <w:rsid w:val="005A3DF9"/>
    <w:rsid w:val="005A5646"/>
    <w:rsid w:val="005A62E8"/>
    <w:rsid w:val="005B0F33"/>
    <w:rsid w:val="005B348B"/>
    <w:rsid w:val="005B6B95"/>
    <w:rsid w:val="005C0816"/>
    <w:rsid w:val="005C40CF"/>
    <w:rsid w:val="005E1A10"/>
    <w:rsid w:val="005E4E44"/>
    <w:rsid w:val="005E6839"/>
    <w:rsid w:val="005E7D2D"/>
    <w:rsid w:val="005F27A5"/>
    <w:rsid w:val="005F69A5"/>
    <w:rsid w:val="00601E0E"/>
    <w:rsid w:val="00605451"/>
    <w:rsid w:val="00613BB7"/>
    <w:rsid w:val="00613FA0"/>
    <w:rsid w:val="00620D23"/>
    <w:rsid w:val="006249E6"/>
    <w:rsid w:val="00625847"/>
    <w:rsid w:val="00630028"/>
    <w:rsid w:val="006308CD"/>
    <w:rsid w:val="00636DCA"/>
    <w:rsid w:val="0064366F"/>
    <w:rsid w:val="00647B55"/>
    <w:rsid w:val="00651142"/>
    <w:rsid w:val="00653AE1"/>
    <w:rsid w:val="00657991"/>
    <w:rsid w:val="006677A6"/>
    <w:rsid w:val="006732C4"/>
    <w:rsid w:val="0067661A"/>
    <w:rsid w:val="00677C1E"/>
    <w:rsid w:val="006818D6"/>
    <w:rsid w:val="00694086"/>
    <w:rsid w:val="00694A36"/>
    <w:rsid w:val="0069764C"/>
    <w:rsid w:val="006A21CA"/>
    <w:rsid w:val="006A5F5E"/>
    <w:rsid w:val="006A6FD9"/>
    <w:rsid w:val="006B330B"/>
    <w:rsid w:val="006B48FD"/>
    <w:rsid w:val="006B556E"/>
    <w:rsid w:val="006C4CAF"/>
    <w:rsid w:val="006C5AEF"/>
    <w:rsid w:val="006C7C63"/>
    <w:rsid w:val="006D24E0"/>
    <w:rsid w:val="006D5297"/>
    <w:rsid w:val="006D58DC"/>
    <w:rsid w:val="006D7278"/>
    <w:rsid w:val="006E030C"/>
    <w:rsid w:val="006E1587"/>
    <w:rsid w:val="006E78DE"/>
    <w:rsid w:val="006F10BA"/>
    <w:rsid w:val="006F20CE"/>
    <w:rsid w:val="006F2662"/>
    <w:rsid w:val="006F2981"/>
    <w:rsid w:val="006F37A0"/>
    <w:rsid w:val="006F51C7"/>
    <w:rsid w:val="006F6DE8"/>
    <w:rsid w:val="006F7038"/>
    <w:rsid w:val="0070665C"/>
    <w:rsid w:val="00710DB8"/>
    <w:rsid w:val="007144DB"/>
    <w:rsid w:val="00715B7C"/>
    <w:rsid w:val="00716686"/>
    <w:rsid w:val="00720657"/>
    <w:rsid w:val="00722964"/>
    <w:rsid w:val="00724A27"/>
    <w:rsid w:val="00727E11"/>
    <w:rsid w:val="00727F8F"/>
    <w:rsid w:val="0073760C"/>
    <w:rsid w:val="00737FD6"/>
    <w:rsid w:val="007409E1"/>
    <w:rsid w:val="00741C67"/>
    <w:rsid w:val="00742BBA"/>
    <w:rsid w:val="00754B9B"/>
    <w:rsid w:val="00756CB6"/>
    <w:rsid w:val="007602B0"/>
    <w:rsid w:val="00760B51"/>
    <w:rsid w:val="00761C40"/>
    <w:rsid w:val="007674A3"/>
    <w:rsid w:val="007718A4"/>
    <w:rsid w:val="00773E8D"/>
    <w:rsid w:val="00774292"/>
    <w:rsid w:val="0077453C"/>
    <w:rsid w:val="0078013C"/>
    <w:rsid w:val="0078650A"/>
    <w:rsid w:val="00793EDE"/>
    <w:rsid w:val="00794592"/>
    <w:rsid w:val="007948A0"/>
    <w:rsid w:val="007978C7"/>
    <w:rsid w:val="007A1A57"/>
    <w:rsid w:val="007A2610"/>
    <w:rsid w:val="007A4BE9"/>
    <w:rsid w:val="007C4CCA"/>
    <w:rsid w:val="007C5EF0"/>
    <w:rsid w:val="007C6ACB"/>
    <w:rsid w:val="007C7773"/>
    <w:rsid w:val="007D0CF1"/>
    <w:rsid w:val="007D2762"/>
    <w:rsid w:val="007D46BF"/>
    <w:rsid w:val="007D70C1"/>
    <w:rsid w:val="007E43FE"/>
    <w:rsid w:val="007F22F7"/>
    <w:rsid w:val="007F5772"/>
    <w:rsid w:val="007F6210"/>
    <w:rsid w:val="0080751C"/>
    <w:rsid w:val="00807D7C"/>
    <w:rsid w:val="008105F4"/>
    <w:rsid w:val="00810EF2"/>
    <w:rsid w:val="00811571"/>
    <w:rsid w:val="008164E5"/>
    <w:rsid w:val="00816841"/>
    <w:rsid w:val="0082178E"/>
    <w:rsid w:val="008313FF"/>
    <w:rsid w:val="008320E9"/>
    <w:rsid w:val="00833252"/>
    <w:rsid w:val="00836D56"/>
    <w:rsid w:val="008408AF"/>
    <w:rsid w:val="00855133"/>
    <w:rsid w:val="00856585"/>
    <w:rsid w:val="0085725D"/>
    <w:rsid w:val="008620AE"/>
    <w:rsid w:val="00862B3A"/>
    <w:rsid w:val="00863ACF"/>
    <w:rsid w:val="00867EF2"/>
    <w:rsid w:val="00870CA5"/>
    <w:rsid w:val="00872310"/>
    <w:rsid w:val="008725D2"/>
    <w:rsid w:val="008831BA"/>
    <w:rsid w:val="00887DC3"/>
    <w:rsid w:val="0089266A"/>
    <w:rsid w:val="008A3556"/>
    <w:rsid w:val="008A39A1"/>
    <w:rsid w:val="008A492C"/>
    <w:rsid w:val="008A7DAA"/>
    <w:rsid w:val="008B005D"/>
    <w:rsid w:val="008B0E19"/>
    <w:rsid w:val="008C4C35"/>
    <w:rsid w:val="008C5684"/>
    <w:rsid w:val="008C5839"/>
    <w:rsid w:val="008C6AEC"/>
    <w:rsid w:val="008D2F37"/>
    <w:rsid w:val="008D3065"/>
    <w:rsid w:val="008D4EF5"/>
    <w:rsid w:val="008D6E94"/>
    <w:rsid w:val="008E02F3"/>
    <w:rsid w:val="008F5DB9"/>
    <w:rsid w:val="008F6D5A"/>
    <w:rsid w:val="00904480"/>
    <w:rsid w:val="00904A00"/>
    <w:rsid w:val="00906318"/>
    <w:rsid w:val="00906B3C"/>
    <w:rsid w:val="00910B7F"/>
    <w:rsid w:val="0091266A"/>
    <w:rsid w:val="00913365"/>
    <w:rsid w:val="00917158"/>
    <w:rsid w:val="00917903"/>
    <w:rsid w:val="009233E4"/>
    <w:rsid w:val="00924557"/>
    <w:rsid w:val="009249E2"/>
    <w:rsid w:val="00924CF8"/>
    <w:rsid w:val="00926E8B"/>
    <w:rsid w:val="00932E15"/>
    <w:rsid w:val="00934696"/>
    <w:rsid w:val="00935BB3"/>
    <w:rsid w:val="00941F40"/>
    <w:rsid w:val="0095001A"/>
    <w:rsid w:val="0095248C"/>
    <w:rsid w:val="00973213"/>
    <w:rsid w:val="00975016"/>
    <w:rsid w:val="009763D1"/>
    <w:rsid w:val="00976A1B"/>
    <w:rsid w:val="009818FC"/>
    <w:rsid w:val="009821EB"/>
    <w:rsid w:val="00983F37"/>
    <w:rsid w:val="00984882"/>
    <w:rsid w:val="0098554C"/>
    <w:rsid w:val="00987682"/>
    <w:rsid w:val="00990F0D"/>
    <w:rsid w:val="00993301"/>
    <w:rsid w:val="009A03C0"/>
    <w:rsid w:val="009B4516"/>
    <w:rsid w:val="009C14BB"/>
    <w:rsid w:val="009C37C8"/>
    <w:rsid w:val="009C77E4"/>
    <w:rsid w:val="009D2E56"/>
    <w:rsid w:val="009D30BD"/>
    <w:rsid w:val="009D7F88"/>
    <w:rsid w:val="009E1C25"/>
    <w:rsid w:val="009E31E5"/>
    <w:rsid w:val="009E39E7"/>
    <w:rsid w:val="009E6050"/>
    <w:rsid w:val="00A00763"/>
    <w:rsid w:val="00A014E4"/>
    <w:rsid w:val="00A03C9E"/>
    <w:rsid w:val="00A10DBA"/>
    <w:rsid w:val="00A127B8"/>
    <w:rsid w:val="00A142F5"/>
    <w:rsid w:val="00A14FFF"/>
    <w:rsid w:val="00A24C55"/>
    <w:rsid w:val="00A3102B"/>
    <w:rsid w:val="00A33DC7"/>
    <w:rsid w:val="00A34575"/>
    <w:rsid w:val="00A3479C"/>
    <w:rsid w:val="00A3754A"/>
    <w:rsid w:val="00A40BBF"/>
    <w:rsid w:val="00A41513"/>
    <w:rsid w:val="00A41CAC"/>
    <w:rsid w:val="00A454A1"/>
    <w:rsid w:val="00A46399"/>
    <w:rsid w:val="00A56807"/>
    <w:rsid w:val="00A60234"/>
    <w:rsid w:val="00A61328"/>
    <w:rsid w:val="00A615D2"/>
    <w:rsid w:val="00A6685F"/>
    <w:rsid w:val="00A71AE6"/>
    <w:rsid w:val="00A72F42"/>
    <w:rsid w:val="00A73031"/>
    <w:rsid w:val="00A73E1E"/>
    <w:rsid w:val="00A750AC"/>
    <w:rsid w:val="00A75A4C"/>
    <w:rsid w:val="00A80819"/>
    <w:rsid w:val="00A90562"/>
    <w:rsid w:val="00A9079D"/>
    <w:rsid w:val="00A91064"/>
    <w:rsid w:val="00A9236B"/>
    <w:rsid w:val="00A9266F"/>
    <w:rsid w:val="00A9522E"/>
    <w:rsid w:val="00A9645E"/>
    <w:rsid w:val="00A972FB"/>
    <w:rsid w:val="00AB02F5"/>
    <w:rsid w:val="00AB0C30"/>
    <w:rsid w:val="00AB142D"/>
    <w:rsid w:val="00AB3FAB"/>
    <w:rsid w:val="00AB5440"/>
    <w:rsid w:val="00AB74DE"/>
    <w:rsid w:val="00AC3183"/>
    <w:rsid w:val="00AC63A3"/>
    <w:rsid w:val="00AC6A0C"/>
    <w:rsid w:val="00AD28AE"/>
    <w:rsid w:val="00AD4E27"/>
    <w:rsid w:val="00AE07E8"/>
    <w:rsid w:val="00AE3782"/>
    <w:rsid w:val="00AE3D10"/>
    <w:rsid w:val="00AE4DE0"/>
    <w:rsid w:val="00AE6F74"/>
    <w:rsid w:val="00AE7BE3"/>
    <w:rsid w:val="00AF1BCB"/>
    <w:rsid w:val="00AF5B1D"/>
    <w:rsid w:val="00AF60E5"/>
    <w:rsid w:val="00AF659E"/>
    <w:rsid w:val="00AF69A3"/>
    <w:rsid w:val="00AF6CFA"/>
    <w:rsid w:val="00B04B92"/>
    <w:rsid w:val="00B106F8"/>
    <w:rsid w:val="00B11DEC"/>
    <w:rsid w:val="00B21151"/>
    <w:rsid w:val="00B21702"/>
    <w:rsid w:val="00B26CA6"/>
    <w:rsid w:val="00B27F91"/>
    <w:rsid w:val="00B30FC8"/>
    <w:rsid w:val="00B40CB3"/>
    <w:rsid w:val="00B43D36"/>
    <w:rsid w:val="00B46514"/>
    <w:rsid w:val="00B5236E"/>
    <w:rsid w:val="00B55741"/>
    <w:rsid w:val="00B56336"/>
    <w:rsid w:val="00B61FED"/>
    <w:rsid w:val="00B63432"/>
    <w:rsid w:val="00B8244F"/>
    <w:rsid w:val="00B834B0"/>
    <w:rsid w:val="00B83E67"/>
    <w:rsid w:val="00B90760"/>
    <w:rsid w:val="00B92FC7"/>
    <w:rsid w:val="00BA0212"/>
    <w:rsid w:val="00BA7396"/>
    <w:rsid w:val="00BC0425"/>
    <w:rsid w:val="00BC3046"/>
    <w:rsid w:val="00BD47A7"/>
    <w:rsid w:val="00BD54D0"/>
    <w:rsid w:val="00BD7BC9"/>
    <w:rsid w:val="00BE0DA6"/>
    <w:rsid w:val="00BE2387"/>
    <w:rsid w:val="00BE42A3"/>
    <w:rsid w:val="00BE7428"/>
    <w:rsid w:val="00BE7A41"/>
    <w:rsid w:val="00BE7A65"/>
    <w:rsid w:val="00BF086E"/>
    <w:rsid w:val="00BF128B"/>
    <w:rsid w:val="00BF278E"/>
    <w:rsid w:val="00BF2F9B"/>
    <w:rsid w:val="00BF3B6A"/>
    <w:rsid w:val="00BF60EF"/>
    <w:rsid w:val="00C00DAF"/>
    <w:rsid w:val="00C02A94"/>
    <w:rsid w:val="00C07821"/>
    <w:rsid w:val="00C079B3"/>
    <w:rsid w:val="00C13EED"/>
    <w:rsid w:val="00C20407"/>
    <w:rsid w:val="00C21746"/>
    <w:rsid w:val="00C240D2"/>
    <w:rsid w:val="00C26CFA"/>
    <w:rsid w:val="00C2736E"/>
    <w:rsid w:val="00C32039"/>
    <w:rsid w:val="00C43815"/>
    <w:rsid w:val="00C457E3"/>
    <w:rsid w:val="00C45C69"/>
    <w:rsid w:val="00C45F80"/>
    <w:rsid w:val="00C50909"/>
    <w:rsid w:val="00C57242"/>
    <w:rsid w:val="00C61285"/>
    <w:rsid w:val="00C615DB"/>
    <w:rsid w:val="00C70BC7"/>
    <w:rsid w:val="00C72A7E"/>
    <w:rsid w:val="00C80E1F"/>
    <w:rsid w:val="00C83335"/>
    <w:rsid w:val="00C84B91"/>
    <w:rsid w:val="00C870BF"/>
    <w:rsid w:val="00C878CC"/>
    <w:rsid w:val="00C934F8"/>
    <w:rsid w:val="00C95BAD"/>
    <w:rsid w:val="00C97E37"/>
    <w:rsid w:val="00CA1938"/>
    <w:rsid w:val="00CB1C97"/>
    <w:rsid w:val="00CB4464"/>
    <w:rsid w:val="00CB5C15"/>
    <w:rsid w:val="00CB643C"/>
    <w:rsid w:val="00CC4053"/>
    <w:rsid w:val="00CC588D"/>
    <w:rsid w:val="00CC5D4D"/>
    <w:rsid w:val="00CC7DED"/>
    <w:rsid w:val="00CD0D48"/>
    <w:rsid w:val="00CD55A0"/>
    <w:rsid w:val="00CD6B6F"/>
    <w:rsid w:val="00CE5FC2"/>
    <w:rsid w:val="00CE722D"/>
    <w:rsid w:val="00CE7EFD"/>
    <w:rsid w:val="00CF0E0A"/>
    <w:rsid w:val="00CF3AE1"/>
    <w:rsid w:val="00CF5CD5"/>
    <w:rsid w:val="00D03D36"/>
    <w:rsid w:val="00D120EF"/>
    <w:rsid w:val="00D122D9"/>
    <w:rsid w:val="00D2150F"/>
    <w:rsid w:val="00D21B88"/>
    <w:rsid w:val="00D22645"/>
    <w:rsid w:val="00D238B4"/>
    <w:rsid w:val="00D24B9A"/>
    <w:rsid w:val="00D25F9A"/>
    <w:rsid w:val="00D309BF"/>
    <w:rsid w:val="00D334FB"/>
    <w:rsid w:val="00D42732"/>
    <w:rsid w:val="00D42A97"/>
    <w:rsid w:val="00D46E25"/>
    <w:rsid w:val="00D551EA"/>
    <w:rsid w:val="00D62319"/>
    <w:rsid w:val="00D64025"/>
    <w:rsid w:val="00D67B6D"/>
    <w:rsid w:val="00D724F0"/>
    <w:rsid w:val="00D809A1"/>
    <w:rsid w:val="00D80A26"/>
    <w:rsid w:val="00D860E5"/>
    <w:rsid w:val="00DA275D"/>
    <w:rsid w:val="00DA2907"/>
    <w:rsid w:val="00DA3EFF"/>
    <w:rsid w:val="00DB1E2D"/>
    <w:rsid w:val="00DB2D29"/>
    <w:rsid w:val="00DC0FE5"/>
    <w:rsid w:val="00DC2CD0"/>
    <w:rsid w:val="00DC70FE"/>
    <w:rsid w:val="00DC760A"/>
    <w:rsid w:val="00DD02F0"/>
    <w:rsid w:val="00DD16EE"/>
    <w:rsid w:val="00DD1F89"/>
    <w:rsid w:val="00DD2AA7"/>
    <w:rsid w:val="00DD5825"/>
    <w:rsid w:val="00DD7CB7"/>
    <w:rsid w:val="00DE19ED"/>
    <w:rsid w:val="00DE47AB"/>
    <w:rsid w:val="00DE59EF"/>
    <w:rsid w:val="00DE72D8"/>
    <w:rsid w:val="00DE738A"/>
    <w:rsid w:val="00DF17BA"/>
    <w:rsid w:val="00DF368C"/>
    <w:rsid w:val="00DF6CBD"/>
    <w:rsid w:val="00E01DB3"/>
    <w:rsid w:val="00E0255E"/>
    <w:rsid w:val="00E02B81"/>
    <w:rsid w:val="00E0562D"/>
    <w:rsid w:val="00E06984"/>
    <w:rsid w:val="00E07206"/>
    <w:rsid w:val="00E11331"/>
    <w:rsid w:val="00E15DD4"/>
    <w:rsid w:val="00E20FB4"/>
    <w:rsid w:val="00E23B71"/>
    <w:rsid w:val="00E2799E"/>
    <w:rsid w:val="00E35968"/>
    <w:rsid w:val="00E36D9A"/>
    <w:rsid w:val="00E407C8"/>
    <w:rsid w:val="00E4195C"/>
    <w:rsid w:val="00E45EC8"/>
    <w:rsid w:val="00E46503"/>
    <w:rsid w:val="00E53C90"/>
    <w:rsid w:val="00E54FEF"/>
    <w:rsid w:val="00E63C98"/>
    <w:rsid w:val="00E66814"/>
    <w:rsid w:val="00E67654"/>
    <w:rsid w:val="00E73A3A"/>
    <w:rsid w:val="00E7540E"/>
    <w:rsid w:val="00E84DF6"/>
    <w:rsid w:val="00E86859"/>
    <w:rsid w:val="00E9174B"/>
    <w:rsid w:val="00EA4B06"/>
    <w:rsid w:val="00EB1521"/>
    <w:rsid w:val="00EB2CBC"/>
    <w:rsid w:val="00EB3BE8"/>
    <w:rsid w:val="00EB4440"/>
    <w:rsid w:val="00EC41B0"/>
    <w:rsid w:val="00ED24A5"/>
    <w:rsid w:val="00ED372B"/>
    <w:rsid w:val="00ED3A7D"/>
    <w:rsid w:val="00ED4685"/>
    <w:rsid w:val="00ED694A"/>
    <w:rsid w:val="00ED6A66"/>
    <w:rsid w:val="00ED6B25"/>
    <w:rsid w:val="00EE0444"/>
    <w:rsid w:val="00EE1F97"/>
    <w:rsid w:val="00EF0D7F"/>
    <w:rsid w:val="00EF0D9C"/>
    <w:rsid w:val="00EF3E33"/>
    <w:rsid w:val="00EF4BB9"/>
    <w:rsid w:val="00EF6C27"/>
    <w:rsid w:val="00F0004A"/>
    <w:rsid w:val="00F008A6"/>
    <w:rsid w:val="00F0469A"/>
    <w:rsid w:val="00F06917"/>
    <w:rsid w:val="00F13E77"/>
    <w:rsid w:val="00F141C5"/>
    <w:rsid w:val="00F1750A"/>
    <w:rsid w:val="00F176DA"/>
    <w:rsid w:val="00F179C3"/>
    <w:rsid w:val="00F20DF2"/>
    <w:rsid w:val="00F27D4B"/>
    <w:rsid w:val="00F3118C"/>
    <w:rsid w:val="00F317FA"/>
    <w:rsid w:val="00F36E9E"/>
    <w:rsid w:val="00F40262"/>
    <w:rsid w:val="00F4058B"/>
    <w:rsid w:val="00F46615"/>
    <w:rsid w:val="00F5103A"/>
    <w:rsid w:val="00F53F41"/>
    <w:rsid w:val="00F5553F"/>
    <w:rsid w:val="00F55788"/>
    <w:rsid w:val="00F55E4C"/>
    <w:rsid w:val="00F56759"/>
    <w:rsid w:val="00F6069B"/>
    <w:rsid w:val="00F63916"/>
    <w:rsid w:val="00F66BC5"/>
    <w:rsid w:val="00F67ECF"/>
    <w:rsid w:val="00F75716"/>
    <w:rsid w:val="00F84C68"/>
    <w:rsid w:val="00F856D7"/>
    <w:rsid w:val="00F86966"/>
    <w:rsid w:val="00F92555"/>
    <w:rsid w:val="00F938E6"/>
    <w:rsid w:val="00F9477F"/>
    <w:rsid w:val="00F95210"/>
    <w:rsid w:val="00FA11F8"/>
    <w:rsid w:val="00FA49A4"/>
    <w:rsid w:val="00FA4D0E"/>
    <w:rsid w:val="00FA6B2D"/>
    <w:rsid w:val="00FB6373"/>
    <w:rsid w:val="00FB7BDB"/>
    <w:rsid w:val="00FC6925"/>
    <w:rsid w:val="00FC7E9A"/>
    <w:rsid w:val="00FD1A41"/>
    <w:rsid w:val="00FD6C8D"/>
    <w:rsid w:val="00FD6F00"/>
    <w:rsid w:val="00FE4743"/>
    <w:rsid w:val="00FE6CAB"/>
    <w:rsid w:val="00FF65D1"/>
    <w:rsid w:val="00FF7BAE"/>
    <w:rsid w:val="00FF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B7F"/>
    <w:pPr>
      <w:spacing w:after="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F9477F"/>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477F"/>
    <w:rPr>
      <w:rFonts w:ascii="Arial" w:eastAsia="Times New Roman" w:hAnsi="Arial" w:cs="Arial"/>
      <w:b/>
      <w:bCs/>
      <w:kern w:val="32"/>
      <w:sz w:val="32"/>
      <w:szCs w:val="32"/>
      <w:lang w:eastAsia="pl-PL"/>
    </w:rPr>
  </w:style>
  <w:style w:type="paragraph" w:styleId="Akapitzlist">
    <w:name w:val="List Paragraph"/>
    <w:basedOn w:val="Normalny"/>
    <w:uiPriority w:val="34"/>
    <w:qFormat/>
    <w:rsid w:val="00F9477F"/>
    <w:pPr>
      <w:ind w:left="720"/>
      <w:contextualSpacing/>
    </w:pPr>
  </w:style>
  <w:style w:type="paragraph" w:styleId="Tekstkomentarza">
    <w:name w:val="annotation text"/>
    <w:basedOn w:val="Normalny"/>
    <w:link w:val="TekstkomentarzaZnak"/>
    <w:uiPriority w:val="99"/>
    <w:semiHidden/>
    <w:rsid w:val="00F9477F"/>
    <w:rPr>
      <w:sz w:val="20"/>
      <w:szCs w:val="20"/>
    </w:rPr>
  </w:style>
  <w:style w:type="character" w:customStyle="1" w:styleId="TekstkomentarzaZnak">
    <w:name w:val="Tekst komentarza Znak"/>
    <w:basedOn w:val="Domylnaczcionkaakapitu"/>
    <w:link w:val="Tekstkomentarza"/>
    <w:uiPriority w:val="99"/>
    <w:semiHidden/>
    <w:rsid w:val="00F9477F"/>
    <w:rPr>
      <w:rFonts w:ascii="Calibri" w:eastAsia="Calibri" w:hAnsi="Calibri" w:cs="Times New Roman"/>
      <w:sz w:val="20"/>
      <w:szCs w:val="20"/>
    </w:rPr>
  </w:style>
  <w:style w:type="paragraph" w:styleId="Tekstprzypisudolnego">
    <w:name w:val="footnote text"/>
    <w:basedOn w:val="Normalny"/>
    <w:link w:val="TekstprzypisudolnegoZnak"/>
    <w:uiPriority w:val="99"/>
    <w:semiHidden/>
    <w:rsid w:val="00F9477F"/>
    <w:rPr>
      <w:sz w:val="20"/>
      <w:szCs w:val="20"/>
    </w:rPr>
  </w:style>
  <w:style w:type="character" w:customStyle="1" w:styleId="TekstprzypisudolnegoZnak">
    <w:name w:val="Tekst przypisu dolnego Znak"/>
    <w:basedOn w:val="Domylnaczcionkaakapitu"/>
    <w:link w:val="Tekstprzypisudolnego"/>
    <w:uiPriority w:val="99"/>
    <w:semiHidden/>
    <w:rsid w:val="00F9477F"/>
    <w:rPr>
      <w:rFonts w:ascii="Calibri" w:eastAsia="Calibri" w:hAnsi="Calibri" w:cs="Times New Roman"/>
      <w:sz w:val="20"/>
      <w:szCs w:val="20"/>
    </w:rPr>
  </w:style>
  <w:style w:type="character" w:styleId="Odwoanieprzypisudolnego">
    <w:name w:val="footnote reference"/>
    <w:basedOn w:val="Domylnaczcionkaakapitu"/>
    <w:uiPriority w:val="99"/>
    <w:semiHidden/>
    <w:rsid w:val="00F9477F"/>
    <w:rPr>
      <w:rFonts w:cs="Times New Roman"/>
      <w:vertAlign w:val="superscript"/>
    </w:rPr>
  </w:style>
  <w:style w:type="character" w:styleId="Hipercze">
    <w:name w:val="Hyperlink"/>
    <w:basedOn w:val="Domylnaczcionkaakapitu"/>
    <w:uiPriority w:val="99"/>
    <w:rsid w:val="00F9477F"/>
    <w:rPr>
      <w:rFonts w:cs="Times New Roman"/>
      <w:color w:val="0000FF"/>
      <w:u w:val="single"/>
    </w:rPr>
  </w:style>
  <w:style w:type="paragraph" w:styleId="Tekstprzypisukocowego">
    <w:name w:val="endnote text"/>
    <w:basedOn w:val="Normalny"/>
    <w:link w:val="TekstprzypisukocowegoZnak"/>
    <w:uiPriority w:val="99"/>
    <w:semiHidden/>
    <w:unhideWhenUsed/>
    <w:rsid w:val="00B2115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11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21151"/>
    <w:rPr>
      <w:vertAlign w:val="superscript"/>
    </w:rPr>
  </w:style>
  <w:style w:type="paragraph" w:styleId="Tekstpodstawowywcity2">
    <w:name w:val="Body Text Indent 2"/>
    <w:basedOn w:val="Normalny"/>
    <w:link w:val="Tekstpodstawowywcity2Znak"/>
    <w:rsid w:val="006F266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6F26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06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065"/>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367381"/>
    <w:rPr>
      <w:sz w:val="16"/>
      <w:szCs w:val="16"/>
    </w:rPr>
  </w:style>
  <w:style w:type="paragraph" w:styleId="Tematkomentarza">
    <w:name w:val="annotation subject"/>
    <w:basedOn w:val="Tekstkomentarza"/>
    <w:next w:val="Tekstkomentarza"/>
    <w:link w:val="TematkomentarzaZnak"/>
    <w:uiPriority w:val="99"/>
    <w:semiHidden/>
    <w:unhideWhenUsed/>
    <w:rsid w:val="00367381"/>
    <w:pPr>
      <w:spacing w:line="240" w:lineRule="auto"/>
    </w:pPr>
    <w:rPr>
      <w:b/>
      <w:bCs/>
    </w:rPr>
  </w:style>
  <w:style w:type="character" w:customStyle="1" w:styleId="TematkomentarzaZnak">
    <w:name w:val="Temat komentarza Znak"/>
    <w:basedOn w:val="TekstkomentarzaZnak"/>
    <w:link w:val="Tematkomentarza"/>
    <w:uiPriority w:val="99"/>
    <w:semiHidden/>
    <w:rsid w:val="00367381"/>
    <w:rPr>
      <w:rFonts w:ascii="Calibri" w:eastAsia="Calibri" w:hAnsi="Calibri" w:cs="Times New Roman"/>
      <w:b/>
      <w:bCs/>
      <w:sz w:val="20"/>
      <w:szCs w:val="20"/>
    </w:rPr>
  </w:style>
  <w:style w:type="paragraph" w:styleId="Nagwek">
    <w:name w:val="header"/>
    <w:basedOn w:val="Normalny"/>
    <w:link w:val="NagwekZnak"/>
    <w:uiPriority w:val="99"/>
    <w:unhideWhenUsed/>
    <w:rsid w:val="00716686"/>
    <w:pPr>
      <w:tabs>
        <w:tab w:val="center" w:pos="4536"/>
        <w:tab w:val="right" w:pos="9072"/>
      </w:tabs>
      <w:spacing w:line="240" w:lineRule="auto"/>
    </w:pPr>
  </w:style>
  <w:style w:type="character" w:customStyle="1" w:styleId="NagwekZnak">
    <w:name w:val="Nagłówek Znak"/>
    <w:basedOn w:val="Domylnaczcionkaakapitu"/>
    <w:link w:val="Nagwek"/>
    <w:uiPriority w:val="99"/>
    <w:rsid w:val="00716686"/>
    <w:rPr>
      <w:rFonts w:ascii="Calibri" w:eastAsia="Calibri" w:hAnsi="Calibri" w:cs="Times New Roman"/>
    </w:rPr>
  </w:style>
  <w:style w:type="paragraph" w:styleId="Stopka">
    <w:name w:val="footer"/>
    <w:basedOn w:val="Normalny"/>
    <w:link w:val="StopkaZnak"/>
    <w:unhideWhenUsed/>
    <w:rsid w:val="00716686"/>
    <w:pPr>
      <w:tabs>
        <w:tab w:val="center" w:pos="4536"/>
        <w:tab w:val="right" w:pos="9072"/>
      </w:tabs>
      <w:spacing w:line="240" w:lineRule="auto"/>
    </w:pPr>
  </w:style>
  <w:style w:type="character" w:customStyle="1" w:styleId="StopkaZnak">
    <w:name w:val="Stopka Znak"/>
    <w:basedOn w:val="Domylnaczcionkaakapitu"/>
    <w:link w:val="Stopka"/>
    <w:rsid w:val="00716686"/>
    <w:rPr>
      <w:rFonts w:ascii="Calibri" w:eastAsia="Calibri" w:hAnsi="Calibri" w:cs="Times New Roman"/>
    </w:rPr>
  </w:style>
  <w:style w:type="paragraph" w:styleId="Poprawka">
    <w:name w:val="Revision"/>
    <w:hidden/>
    <w:uiPriority w:val="99"/>
    <w:semiHidden/>
    <w:rsid w:val="004B4C6E"/>
    <w:pPr>
      <w:spacing w:after="0" w:line="240" w:lineRule="auto"/>
    </w:pPr>
    <w:rPr>
      <w:rFonts w:ascii="Calibri" w:eastAsia="Calibri" w:hAnsi="Calibri" w:cs="Times New Roman"/>
    </w:rPr>
  </w:style>
  <w:style w:type="character" w:customStyle="1" w:styleId="qowt-font10-arial">
    <w:name w:val="qowt-font10-arial"/>
    <w:basedOn w:val="Domylnaczcionkaakapitu"/>
    <w:rsid w:val="00F5553F"/>
  </w:style>
  <w:style w:type="character" w:styleId="Pogrubienie">
    <w:name w:val="Strong"/>
    <w:basedOn w:val="Domylnaczcionkaakapitu"/>
    <w:uiPriority w:val="22"/>
    <w:qFormat/>
    <w:rsid w:val="00F5553F"/>
    <w:rPr>
      <w:b/>
      <w:bCs/>
    </w:rPr>
  </w:style>
  <w:style w:type="paragraph" w:customStyle="1" w:styleId="Default">
    <w:name w:val="Default"/>
    <w:rsid w:val="00810EF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03C9E"/>
    <w:rPr>
      <w:color w:val="954F72" w:themeColor="followedHyperlink"/>
      <w:u w:val="single"/>
    </w:rPr>
  </w:style>
  <w:style w:type="character" w:customStyle="1" w:styleId="tlid-translation">
    <w:name w:val="tlid-translation"/>
    <w:basedOn w:val="Domylnaczcionkaakapitu"/>
    <w:rsid w:val="000D2E1F"/>
  </w:style>
  <w:style w:type="character" w:customStyle="1" w:styleId="Domylnaczcionkaakapitu1">
    <w:name w:val="Domyślna czcionka akapitu1"/>
    <w:rsid w:val="00EA4B06"/>
  </w:style>
  <w:style w:type="paragraph" w:customStyle="1" w:styleId="Textbody">
    <w:name w:val="Text body"/>
    <w:basedOn w:val="Normalny"/>
    <w:rsid w:val="00EA4B06"/>
    <w:pPr>
      <w:suppressAutoHyphens/>
      <w:autoSpaceDN w:val="0"/>
      <w:spacing w:after="120"/>
      <w:textAlignment w:val="baseline"/>
    </w:pPr>
    <w:rPr>
      <w:kern w:val="3"/>
      <w:lang w:eastAsia="zh-CN"/>
    </w:rPr>
  </w:style>
  <w:style w:type="paragraph" w:customStyle="1" w:styleId="Normalny1">
    <w:name w:val="Normalny1"/>
    <w:rsid w:val="00EA4B0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6B48FD"/>
    <w:pPr>
      <w:suppressAutoHyphens/>
      <w:autoSpaceDN w:val="0"/>
      <w:spacing w:after="0" w:line="276" w:lineRule="auto"/>
      <w:textAlignment w:val="baseline"/>
    </w:pPr>
    <w:rPr>
      <w:rFonts w:ascii="Calibri" w:eastAsia="Calibri" w:hAnsi="Calibri" w:cs="Times New Roman"/>
      <w:kern w:val="3"/>
      <w:lang w:eastAsia="zh-CN"/>
    </w:rPr>
  </w:style>
  <w:style w:type="paragraph" w:customStyle="1" w:styleId="ZPKTzmpktartykuempunktem">
    <w:name w:val="Z/PKT – zm. pkt artykułem (punktem)"/>
    <w:basedOn w:val="Normalny"/>
    <w:uiPriority w:val="31"/>
    <w:qFormat/>
    <w:rsid w:val="00AE7BE3"/>
    <w:pPr>
      <w:spacing w:line="360" w:lineRule="auto"/>
      <w:ind w:left="1020" w:hanging="510"/>
      <w:jc w:val="both"/>
    </w:pPr>
    <w:rPr>
      <w:rFonts w:ascii="Times" w:eastAsiaTheme="minorEastAsia" w:hAnsi="Times" w:cs="Arial"/>
      <w:bCs/>
      <w:sz w:val="24"/>
      <w:szCs w:val="20"/>
      <w:lang w:eastAsia="pl-PL"/>
    </w:rPr>
  </w:style>
  <w:style w:type="paragraph" w:styleId="Bezodstpw">
    <w:name w:val="No Spacing"/>
    <w:uiPriority w:val="1"/>
    <w:qFormat/>
    <w:rsid w:val="00613FA0"/>
    <w:pPr>
      <w:spacing w:after="0" w:line="240" w:lineRule="auto"/>
    </w:pPr>
    <w:rPr>
      <w:rFonts w:ascii="Calibri" w:eastAsia="Calibri" w:hAnsi="Calibri" w:cs="Times New Roman"/>
    </w:rPr>
  </w:style>
  <w:style w:type="character" w:customStyle="1" w:styleId="FontStyle23">
    <w:name w:val="Font Style23"/>
    <w:uiPriority w:val="99"/>
    <w:rsid w:val="00F4661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B7F"/>
    <w:pPr>
      <w:spacing w:after="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F9477F"/>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9477F"/>
    <w:rPr>
      <w:rFonts w:ascii="Arial" w:eastAsia="Times New Roman" w:hAnsi="Arial" w:cs="Arial"/>
      <w:b/>
      <w:bCs/>
      <w:kern w:val="32"/>
      <w:sz w:val="32"/>
      <w:szCs w:val="32"/>
      <w:lang w:eastAsia="pl-PL"/>
    </w:rPr>
  </w:style>
  <w:style w:type="paragraph" w:styleId="Akapitzlist">
    <w:name w:val="List Paragraph"/>
    <w:basedOn w:val="Normalny"/>
    <w:uiPriority w:val="34"/>
    <w:qFormat/>
    <w:rsid w:val="00F9477F"/>
    <w:pPr>
      <w:ind w:left="720"/>
      <w:contextualSpacing/>
    </w:pPr>
  </w:style>
  <w:style w:type="paragraph" w:styleId="Tekstkomentarza">
    <w:name w:val="annotation text"/>
    <w:basedOn w:val="Normalny"/>
    <w:link w:val="TekstkomentarzaZnak"/>
    <w:uiPriority w:val="99"/>
    <w:semiHidden/>
    <w:rsid w:val="00F9477F"/>
    <w:rPr>
      <w:sz w:val="20"/>
      <w:szCs w:val="20"/>
    </w:rPr>
  </w:style>
  <w:style w:type="character" w:customStyle="1" w:styleId="TekstkomentarzaZnak">
    <w:name w:val="Tekst komentarza Znak"/>
    <w:basedOn w:val="Domylnaczcionkaakapitu"/>
    <w:link w:val="Tekstkomentarza"/>
    <w:uiPriority w:val="99"/>
    <w:semiHidden/>
    <w:rsid w:val="00F9477F"/>
    <w:rPr>
      <w:rFonts w:ascii="Calibri" w:eastAsia="Calibri" w:hAnsi="Calibri" w:cs="Times New Roman"/>
      <w:sz w:val="20"/>
      <w:szCs w:val="20"/>
    </w:rPr>
  </w:style>
  <w:style w:type="paragraph" w:styleId="Tekstprzypisudolnego">
    <w:name w:val="footnote text"/>
    <w:basedOn w:val="Normalny"/>
    <w:link w:val="TekstprzypisudolnegoZnak"/>
    <w:uiPriority w:val="99"/>
    <w:semiHidden/>
    <w:rsid w:val="00F9477F"/>
    <w:rPr>
      <w:sz w:val="20"/>
      <w:szCs w:val="20"/>
    </w:rPr>
  </w:style>
  <w:style w:type="character" w:customStyle="1" w:styleId="TekstprzypisudolnegoZnak">
    <w:name w:val="Tekst przypisu dolnego Znak"/>
    <w:basedOn w:val="Domylnaczcionkaakapitu"/>
    <w:link w:val="Tekstprzypisudolnego"/>
    <w:uiPriority w:val="99"/>
    <w:semiHidden/>
    <w:rsid w:val="00F9477F"/>
    <w:rPr>
      <w:rFonts w:ascii="Calibri" w:eastAsia="Calibri" w:hAnsi="Calibri" w:cs="Times New Roman"/>
      <w:sz w:val="20"/>
      <w:szCs w:val="20"/>
    </w:rPr>
  </w:style>
  <w:style w:type="character" w:styleId="Odwoanieprzypisudolnego">
    <w:name w:val="footnote reference"/>
    <w:basedOn w:val="Domylnaczcionkaakapitu"/>
    <w:uiPriority w:val="99"/>
    <w:semiHidden/>
    <w:rsid w:val="00F9477F"/>
    <w:rPr>
      <w:rFonts w:cs="Times New Roman"/>
      <w:vertAlign w:val="superscript"/>
    </w:rPr>
  </w:style>
  <w:style w:type="character" w:styleId="Hipercze">
    <w:name w:val="Hyperlink"/>
    <w:basedOn w:val="Domylnaczcionkaakapitu"/>
    <w:uiPriority w:val="99"/>
    <w:rsid w:val="00F9477F"/>
    <w:rPr>
      <w:rFonts w:cs="Times New Roman"/>
      <w:color w:val="0000FF"/>
      <w:u w:val="single"/>
    </w:rPr>
  </w:style>
  <w:style w:type="paragraph" w:styleId="Tekstprzypisukocowego">
    <w:name w:val="endnote text"/>
    <w:basedOn w:val="Normalny"/>
    <w:link w:val="TekstprzypisukocowegoZnak"/>
    <w:uiPriority w:val="99"/>
    <w:semiHidden/>
    <w:unhideWhenUsed/>
    <w:rsid w:val="00B2115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115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21151"/>
    <w:rPr>
      <w:vertAlign w:val="superscript"/>
    </w:rPr>
  </w:style>
  <w:style w:type="paragraph" w:styleId="Tekstpodstawowywcity2">
    <w:name w:val="Body Text Indent 2"/>
    <w:basedOn w:val="Normalny"/>
    <w:link w:val="Tekstpodstawowywcity2Znak"/>
    <w:rsid w:val="006F266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6F26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06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065"/>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367381"/>
    <w:rPr>
      <w:sz w:val="16"/>
      <w:szCs w:val="16"/>
    </w:rPr>
  </w:style>
  <w:style w:type="paragraph" w:styleId="Tematkomentarza">
    <w:name w:val="annotation subject"/>
    <w:basedOn w:val="Tekstkomentarza"/>
    <w:next w:val="Tekstkomentarza"/>
    <w:link w:val="TematkomentarzaZnak"/>
    <w:uiPriority w:val="99"/>
    <w:semiHidden/>
    <w:unhideWhenUsed/>
    <w:rsid w:val="00367381"/>
    <w:pPr>
      <w:spacing w:line="240" w:lineRule="auto"/>
    </w:pPr>
    <w:rPr>
      <w:b/>
      <w:bCs/>
    </w:rPr>
  </w:style>
  <w:style w:type="character" w:customStyle="1" w:styleId="TematkomentarzaZnak">
    <w:name w:val="Temat komentarza Znak"/>
    <w:basedOn w:val="TekstkomentarzaZnak"/>
    <w:link w:val="Tematkomentarza"/>
    <w:uiPriority w:val="99"/>
    <w:semiHidden/>
    <w:rsid w:val="00367381"/>
    <w:rPr>
      <w:rFonts w:ascii="Calibri" w:eastAsia="Calibri" w:hAnsi="Calibri" w:cs="Times New Roman"/>
      <w:b/>
      <w:bCs/>
      <w:sz w:val="20"/>
      <w:szCs w:val="20"/>
    </w:rPr>
  </w:style>
  <w:style w:type="paragraph" w:styleId="Nagwek">
    <w:name w:val="header"/>
    <w:basedOn w:val="Normalny"/>
    <w:link w:val="NagwekZnak"/>
    <w:uiPriority w:val="99"/>
    <w:unhideWhenUsed/>
    <w:rsid w:val="00716686"/>
    <w:pPr>
      <w:tabs>
        <w:tab w:val="center" w:pos="4536"/>
        <w:tab w:val="right" w:pos="9072"/>
      </w:tabs>
      <w:spacing w:line="240" w:lineRule="auto"/>
    </w:pPr>
  </w:style>
  <w:style w:type="character" w:customStyle="1" w:styleId="NagwekZnak">
    <w:name w:val="Nagłówek Znak"/>
    <w:basedOn w:val="Domylnaczcionkaakapitu"/>
    <w:link w:val="Nagwek"/>
    <w:uiPriority w:val="99"/>
    <w:rsid w:val="00716686"/>
    <w:rPr>
      <w:rFonts w:ascii="Calibri" w:eastAsia="Calibri" w:hAnsi="Calibri" w:cs="Times New Roman"/>
    </w:rPr>
  </w:style>
  <w:style w:type="paragraph" w:styleId="Stopka">
    <w:name w:val="footer"/>
    <w:basedOn w:val="Normalny"/>
    <w:link w:val="StopkaZnak"/>
    <w:unhideWhenUsed/>
    <w:rsid w:val="00716686"/>
    <w:pPr>
      <w:tabs>
        <w:tab w:val="center" w:pos="4536"/>
        <w:tab w:val="right" w:pos="9072"/>
      </w:tabs>
      <w:spacing w:line="240" w:lineRule="auto"/>
    </w:pPr>
  </w:style>
  <w:style w:type="character" w:customStyle="1" w:styleId="StopkaZnak">
    <w:name w:val="Stopka Znak"/>
    <w:basedOn w:val="Domylnaczcionkaakapitu"/>
    <w:link w:val="Stopka"/>
    <w:rsid w:val="00716686"/>
    <w:rPr>
      <w:rFonts w:ascii="Calibri" w:eastAsia="Calibri" w:hAnsi="Calibri" w:cs="Times New Roman"/>
    </w:rPr>
  </w:style>
  <w:style w:type="paragraph" w:styleId="Poprawka">
    <w:name w:val="Revision"/>
    <w:hidden/>
    <w:uiPriority w:val="99"/>
    <w:semiHidden/>
    <w:rsid w:val="004B4C6E"/>
    <w:pPr>
      <w:spacing w:after="0" w:line="240" w:lineRule="auto"/>
    </w:pPr>
    <w:rPr>
      <w:rFonts w:ascii="Calibri" w:eastAsia="Calibri" w:hAnsi="Calibri" w:cs="Times New Roman"/>
    </w:rPr>
  </w:style>
  <w:style w:type="character" w:customStyle="1" w:styleId="qowt-font10-arial">
    <w:name w:val="qowt-font10-arial"/>
    <w:basedOn w:val="Domylnaczcionkaakapitu"/>
    <w:rsid w:val="00F5553F"/>
  </w:style>
  <w:style w:type="character" w:styleId="Pogrubienie">
    <w:name w:val="Strong"/>
    <w:basedOn w:val="Domylnaczcionkaakapitu"/>
    <w:uiPriority w:val="22"/>
    <w:qFormat/>
    <w:rsid w:val="00F5553F"/>
    <w:rPr>
      <w:b/>
      <w:bCs/>
    </w:rPr>
  </w:style>
  <w:style w:type="paragraph" w:customStyle="1" w:styleId="Default">
    <w:name w:val="Default"/>
    <w:rsid w:val="00810EF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03C9E"/>
    <w:rPr>
      <w:color w:val="954F72" w:themeColor="followedHyperlink"/>
      <w:u w:val="single"/>
    </w:rPr>
  </w:style>
  <w:style w:type="character" w:customStyle="1" w:styleId="tlid-translation">
    <w:name w:val="tlid-translation"/>
    <w:basedOn w:val="Domylnaczcionkaakapitu"/>
    <w:rsid w:val="000D2E1F"/>
  </w:style>
  <w:style w:type="character" w:customStyle="1" w:styleId="Domylnaczcionkaakapitu1">
    <w:name w:val="Domyślna czcionka akapitu1"/>
    <w:rsid w:val="00EA4B06"/>
  </w:style>
  <w:style w:type="paragraph" w:customStyle="1" w:styleId="Textbody">
    <w:name w:val="Text body"/>
    <w:basedOn w:val="Normalny"/>
    <w:rsid w:val="00EA4B06"/>
    <w:pPr>
      <w:suppressAutoHyphens/>
      <w:autoSpaceDN w:val="0"/>
      <w:spacing w:after="120"/>
      <w:textAlignment w:val="baseline"/>
    </w:pPr>
    <w:rPr>
      <w:kern w:val="3"/>
      <w:lang w:eastAsia="zh-CN"/>
    </w:rPr>
  </w:style>
  <w:style w:type="paragraph" w:customStyle="1" w:styleId="Normalny1">
    <w:name w:val="Normalny1"/>
    <w:rsid w:val="00EA4B0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6B48FD"/>
    <w:pPr>
      <w:suppressAutoHyphens/>
      <w:autoSpaceDN w:val="0"/>
      <w:spacing w:after="0" w:line="276" w:lineRule="auto"/>
      <w:textAlignment w:val="baseline"/>
    </w:pPr>
    <w:rPr>
      <w:rFonts w:ascii="Calibri" w:eastAsia="Calibri" w:hAnsi="Calibri" w:cs="Times New Roman"/>
      <w:kern w:val="3"/>
      <w:lang w:eastAsia="zh-CN"/>
    </w:rPr>
  </w:style>
  <w:style w:type="paragraph" w:customStyle="1" w:styleId="ZPKTzmpktartykuempunktem">
    <w:name w:val="Z/PKT – zm. pkt artykułem (punktem)"/>
    <w:basedOn w:val="Normalny"/>
    <w:uiPriority w:val="31"/>
    <w:qFormat/>
    <w:rsid w:val="00AE7BE3"/>
    <w:pPr>
      <w:spacing w:line="360" w:lineRule="auto"/>
      <w:ind w:left="1020" w:hanging="510"/>
      <w:jc w:val="both"/>
    </w:pPr>
    <w:rPr>
      <w:rFonts w:ascii="Times" w:eastAsiaTheme="minorEastAsia" w:hAnsi="Times" w:cs="Arial"/>
      <w:bCs/>
      <w:sz w:val="24"/>
      <w:szCs w:val="20"/>
      <w:lang w:eastAsia="pl-PL"/>
    </w:rPr>
  </w:style>
  <w:style w:type="paragraph" w:styleId="Bezodstpw">
    <w:name w:val="No Spacing"/>
    <w:uiPriority w:val="1"/>
    <w:qFormat/>
    <w:rsid w:val="00613FA0"/>
    <w:pPr>
      <w:spacing w:after="0" w:line="240" w:lineRule="auto"/>
    </w:pPr>
    <w:rPr>
      <w:rFonts w:ascii="Calibri" w:eastAsia="Calibri" w:hAnsi="Calibri" w:cs="Times New Roman"/>
    </w:rPr>
  </w:style>
  <w:style w:type="character" w:customStyle="1" w:styleId="FontStyle23">
    <w:name w:val="Font Style23"/>
    <w:uiPriority w:val="99"/>
    <w:rsid w:val="00F4661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679">
      <w:bodyDiv w:val="1"/>
      <w:marLeft w:val="0"/>
      <w:marRight w:val="0"/>
      <w:marTop w:val="0"/>
      <w:marBottom w:val="0"/>
      <w:divBdr>
        <w:top w:val="none" w:sz="0" w:space="0" w:color="auto"/>
        <w:left w:val="none" w:sz="0" w:space="0" w:color="auto"/>
        <w:bottom w:val="none" w:sz="0" w:space="0" w:color="auto"/>
        <w:right w:val="none" w:sz="0" w:space="0" w:color="auto"/>
      </w:divBdr>
    </w:div>
    <w:div w:id="78064027">
      <w:bodyDiv w:val="1"/>
      <w:marLeft w:val="0"/>
      <w:marRight w:val="0"/>
      <w:marTop w:val="0"/>
      <w:marBottom w:val="0"/>
      <w:divBdr>
        <w:top w:val="none" w:sz="0" w:space="0" w:color="auto"/>
        <w:left w:val="none" w:sz="0" w:space="0" w:color="auto"/>
        <w:bottom w:val="none" w:sz="0" w:space="0" w:color="auto"/>
        <w:right w:val="none" w:sz="0" w:space="0" w:color="auto"/>
      </w:divBdr>
      <w:divsChild>
        <w:div w:id="703602273">
          <w:marLeft w:val="0"/>
          <w:marRight w:val="0"/>
          <w:marTop w:val="0"/>
          <w:marBottom w:val="0"/>
          <w:divBdr>
            <w:top w:val="none" w:sz="0" w:space="0" w:color="auto"/>
            <w:left w:val="none" w:sz="0" w:space="0" w:color="auto"/>
            <w:bottom w:val="none" w:sz="0" w:space="0" w:color="auto"/>
            <w:right w:val="none" w:sz="0" w:space="0" w:color="auto"/>
          </w:divBdr>
        </w:div>
      </w:divsChild>
    </w:div>
    <w:div w:id="142963860">
      <w:bodyDiv w:val="1"/>
      <w:marLeft w:val="0"/>
      <w:marRight w:val="0"/>
      <w:marTop w:val="0"/>
      <w:marBottom w:val="0"/>
      <w:divBdr>
        <w:top w:val="none" w:sz="0" w:space="0" w:color="auto"/>
        <w:left w:val="none" w:sz="0" w:space="0" w:color="auto"/>
        <w:bottom w:val="none" w:sz="0" w:space="0" w:color="auto"/>
        <w:right w:val="none" w:sz="0" w:space="0" w:color="auto"/>
      </w:divBdr>
    </w:div>
    <w:div w:id="178666040">
      <w:bodyDiv w:val="1"/>
      <w:marLeft w:val="0"/>
      <w:marRight w:val="0"/>
      <w:marTop w:val="0"/>
      <w:marBottom w:val="0"/>
      <w:divBdr>
        <w:top w:val="none" w:sz="0" w:space="0" w:color="auto"/>
        <w:left w:val="none" w:sz="0" w:space="0" w:color="auto"/>
        <w:bottom w:val="none" w:sz="0" w:space="0" w:color="auto"/>
        <w:right w:val="none" w:sz="0" w:space="0" w:color="auto"/>
      </w:divBdr>
    </w:div>
    <w:div w:id="360477055">
      <w:bodyDiv w:val="1"/>
      <w:marLeft w:val="0"/>
      <w:marRight w:val="0"/>
      <w:marTop w:val="0"/>
      <w:marBottom w:val="0"/>
      <w:divBdr>
        <w:top w:val="none" w:sz="0" w:space="0" w:color="auto"/>
        <w:left w:val="none" w:sz="0" w:space="0" w:color="auto"/>
        <w:bottom w:val="none" w:sz="0" w:space="0" w:color="auto"/>
        <w:right w:val="none" w:sz="0" w:space="0" w:color="auto"/>
      </w:divBdr>
    </w:div>
    <w:div w:id="369958506">
      <w:bodyDiv w:val="1"/>
      <w:marLeft w:val="0"/>
      <w:marRight w:val="0"/>
      <w:marTop w:val="0"/>
      <w:marBottom w:val="0"/>
      <w:divBdr>
        <w:top w:val="none" w:sz="0" w:space="0" w:color="auto"/>
        <w:left w:val="none" w:sz="0" w:space="0" w:color="auto"/>
        <w:bottom w:val="none" w:sz="0" w:space="0" w:color="auto"/>
        <w:right w:val="none" w:sz="0" w:space="0" w:color="auto"/>
      </w:divBdr>
    </w:div>
    <w:div w:id="499926894">
      <w:bodyDiv w:val="1"/>
      <w:marLeft w:val="0"/>
      <w:marRight w:val="0"/>
      <w:marTop w:val="0"/>
      <w:marBottom w:val="0"/>
      <w:divBdr>
        <w:top w:val="none" w:sz="0" w:space="0" w:color="auto"/>
        <w:left w:val="none" w:sz="0" w:space="0" w:color="auto"/>
        <w:bottom w:val="none" w:sz="0" w:space="0" w:color="auto"/>
        <w:right w:val="none" w:sz="0" w:space="0" w:color="auto"/>
      </w:divBdr>
      <w:divsChild>
        <w:div w:id="1636597241">
          <w:marLeft w:val="0"/>
          <w:marRight w:val="0"/>
          <w:marTop w:val="0"/>
          <w:marBottom w:val="0"/>
          <w:divBdr>
            <w:top w:val="none" w:sz="0" w:space="0" w:color="auto"/>
            <w:left w:val="none" w:sz="0" w:space="0" w:color="auto"/>
            <w:bottom w:val="none" w:sz="0" w:space="0" w:color="auto"/>
            <w:right w:val="none" w:sz="0" w:space="0" w:color="auto"/>
          </w:divBdr>
        </w:div>
        <w:div w:id="2021932533">
          <w:marLeft w:val="0"/>
          <w:marRight w:val="0"/>
          <w:marTop w:val="0"/>
          <w:marBottom w:val="0"/>
          <w:divBdr>
            <w:top w:val="none" w:sz="0" w:space="0" w:color="auto"/>
            <w:left w:val="none" w:sz="0" w:space="0" w:color="auto"/>
            <w:bottom w:val="none" w:sz="0" w:space="0" w:color="auto"/>
            <w:right w:val="none" w:sz="0" w:space="0" w:color="auto"/>
          </w:divBdr>
        </w:div>
        <w:div w:id="1823813218">
          <w:marLeft w:val="0"/>
          <w:marRight w:val="0"/>
          <w:marTop w:val="0"/>
          <w:marBottom w:val="0"/>
          <w:divBdr>
            <w:top w:val="none" w:sz="0" w:space="0" w:color="auto"/>
            <w:left w:val="none" w:sz="0" w:space="0" w:color="auto"/>
            <w:bottom w:val="none" w:sz="0" w:space="0" w:color="auto"/>
            <w:right w:val="none" w:sz="0" w:space="0" w:color="auto"/>
          </w:divBdr>
        </w:div>
        <w:div w:id="2121795530">
          <w:marLeft w:val="0"/>
          <w:marRight w:val="0"/>
          <w:marTop w:val="0"/>
          <w:marBottom w:val="0"/>
          <w:divBdr>
            <w:top w:val="none" w:sz="0" w:space="0" w:color="auto"/>
            <w:left w:val="none" w:sz="0" w:space="0" w:color="auto"/>
            <w:bottom w:val="none" w:sz="0" w:space="0" w:color="auto"/>
            <w:right w:val="none" w:sz="0" w:space="0" w:color="auto"/>
          </w:divBdr>
        </w:div>
        <w:div w:id="1482623040">
          <w:marLeft w:val="0"/>
          <w:marRight w:val="0"/>
          <w:marTop w:val="0"/>
          <w:marBottom w:val="0"/>
          <w:divBdr>
            <w:top w:val="none" w:sz="0" w:space="0" w:color="auto"/>
            <w:left w:val="none" w:sz="0" w:space="0" w:color="auto"/>
            <w:bottom w:val="none" w:sz="0" w:space="0" w:color="auto"/>
            <w:right w:val="none" w:sz="0" w:space="0" w:color="auto"/>
          </w:divBdr>
        </w:div>
        <w:div w:id="67768921">
          <w:marLeft w:val="0"/>
          <w:marRight w:val="0"/>
          <w:marTop w:val="0"/>
          <w:marBottom w:val="0"/>
          <w:divBdr>
            <w:top w:val="none" w:sz="0" w:space="0" w:color="auto"/>
            <w:left w:val="none" w:sz="0" w:space="0" w:color="auto"/>
            <w:bottom w:val="none" w:sz="0" w:space="0" w:color="auto"/>
            <w:right w:val="none" w:sz="0" w:space="0" w:color="auto"/>
          </w:divBdr>
        </w:div>
        <w:div w:id="1520001074">
          <w:marLeft w:val="0"/>
          <w:marRight w:val="0"/>
          <w:marTop w:val="0"/>
          <w:marBottom w:val="0"/>
          <w:divBdr>
            <w:top w:val="none" w:sz="0" w:space="0" w:color="auto"/>
            <w:left w:val="none" w:sz="0" w:space="0" w:color="auto"/>
            <w:bottom w:val="none" w:sz="0" w:space="0" w:color="auto"/>
            <w:right w:val="none" w:sz="0" w:space="0" w:color="auto"/>
          </w:divBdr>
        </w:div>
        <w:div w:id="15891084">
          <w:marLeft w:val="0"/>
          <w:marRight w:val="0"/>
          <w:marTop w:val="0"/>
          <w:marBottom w:val="0"/>
          <w:divBdr>
            <w:top w:val="none" w:sz="0" w:space="0" w:color="auto"/>
            <w:left w:val="none" w:sz="0" w:space="0" w:color="auto"/>
            <w:bottom w:val="none" w:sz="0" w:space="0" w:color="auto"/>
            <w:right w:val="none" w:sz="0" w:space="0" w:color="auto"/>
          </w:divBdr>
        </w:div>
        <w:div w:id="1986004355">
          <w:marLeft w:val="0"/>
          <w:marRight w:val="0"/>
          <w:marTop w:val="0"/>
          <w:marBottom w:val="0"/>
          <w:divBdr>
            <w:top w:val="none" w:sz="0" w:space="0" w:color="auto"/>
            <w:left w:val="none" w:sz="0" w:space="0" w:color="auto"/>
            <w:bottom w:val="none" w:sz="0" w:space="0" w:color="auto"/>
            <w:right w:val="none" w:sz="0" w:space="0" w:color="auto"/>
          </w:divBdr>
        </w:div>
        <w:div w:id="181629071">
          <w:marLeft w:val="0"/>
          <w:marRight w:val="0"/>
          <w:marTop w:val="0"/>
          <w:marBottom w:val="0"/>
          <w:divBdr>
            <w:top w:val="none" w:sz="0" w:space="0" w:color="auto"/>
            <w:left w:val="none" w:sz="0" w:space="0" w:color="auto"/>
            <w:bottom w:val="none" w:sz="0" w:space="0" w:color="auto"/>
            <w:right w:val="none" w:sz="0" w:space="0" w:color="auto"/>
          </w:divBdr>
        </w:div>
        <w:div w:id="1192569097">
          <w:marLeft w:val="0"/>
          <w:marRight w:val="0"/>
          <w:marTop w:val="0"/>
          <w:marBottom w:val="0"/>
          <w:divBdr>
            <w:top w:val="none" w:sz="0" w:space="0" w:color="auto"/>
            <w:left w:val="none" w:sz="0" w:space="0" w:color="auto"/>
            <w:bottom w:val="none" w:sz="0" w:space="0" w:color="auto"/>
            <w:right w:val="none" w:sz="0" w:space="0" w:color="auto"/>
          </w:divBdr>
        </w:div>
        <w:div w:id="1549564796">
          <w:marLeft w:val="0"/>
          <w:marRight w:val="0"/>
          <w:marTop w:val="0"/>
          <w:marBottom w:val="0"/>
          <w:divBdr>
            <w:top w:val="none" w:sz="0" w:space="0" w:color="auto"/>
            <w:left w:val="none" w:sz="0" w:space="0" w:color="auto"/>
            <w:bottom w:val="none" w:sz="0" w:space="0" w:color="auto"/>
            <w:right w:val="none" w:sz="0" w:space="0" w:color="auto"/>
          </w:divBdr>
        </w:div>
        <w:div w:id="1581520590">
          <w:marLeft w:val="0"/>
          <w:marRight w:val="0"/>
          <w:marTop w:val="0"/>
          <w:marBottom w:val="0"/>
          <w:divBdr>
            <w:top w:val="none" w:sz="0" w:space="0" w:color="auto"/>
            <w:left w:val="none" w:sz="0" w:space="0" w:color="auto"/>
            <w:bottom w:val="none" w:sz="0" w:space="0" w:color="auto"/>
            <w:right w:val="none" w:sz="0" w:space="0" w:color="auto"/>
          </w:divBdr>
        </w:div>
        <w:div w:id="1662467402">
          <w:marLeft w:val="0"/>
          <w:marRight w:val="0"/>
          <w:marTop w:val="0"/>
          <w:marBottom w:val="0"/>
          <w:divBdr>
            <w:top w:val="none" w:sz="0" w:space="0" w:color="auto"/>
            <w:left w:val="none" w:sz="0" w:space="0" w:color="auto"/>
            <w:bottom w:val="none" w:sz="0" w:space="0" w:color="auto"/>
            <w:right w:val="none" w:sz="0" w:space="0" w:color="auto"/>
          </w:divBdr>
        </w:div>
        <w:div w:id="1446853567">
          <w:marLeft w:val="0"/>
          <w:marRight w:val="0"/>
          <w:marTop w:val="0"/>
          <w:marBottom w:val="0"/>
          <w:divBdr>
            <w:top w:val="none" w:sz="0" w:space="0" w:color="auto"/>
            <w:left w:val="none" w:sz="0" w:space="0" w:color="auto"/>
            <w:bottom w:val="none" w:sz="0" w:space="0" w:color="auto"/>
            <w:right w:val="none" w:sz="0" w:space="0" w:color="auto"/>
          </w:divBdr>
        </w:div>
        <w:div w:id="579799028">
          <w:marLeft w:val="0"/>
          <w:marRight w:val="0"/>
          <w:marTop w:val="0"/>
          <w:marBottom w:val="0"/>
          <w:divBdr>
            <w:top w:val="none" w:sz="0" w:space="0" w:color="auto"/>
            <w:left w:val="none" w:sz="0" w:space="0" w:color="auto"/>
            <w:bottom w:val="none" w:sz="0" w:space="0" w:color="auto"/>
            <w:right w:val="none" w:sz="0" w:space="0" w:color="auto"/>
          </w:divBdr>
        </w:div>
        <w:div w:id="629940857">
          <w:marLeft w:val="0"/>
          <w:marRight w:val="0"/>
          <w:marTop w:val="0"/>
          <w:marBottom w:val="0"/>
          <w:divBdr>
            <w:top w:val="none" w:sz="0" w:space="0" w:color="auto"/>
            <w:left w:val="none" w:sz="0" w:space="0" w:color="auto"/>
            <w:bottom w:val="none" w:sz="0" w:space="0" w:color="auto"/>
            <w:right w:val="none" w:sz="0" w:space="0" w:color="auto"/>
          </w:divBdr>
        </w:div>
        <w:div w:id="155150413">
          <w:marLeft w:val="0"/>
          <w:marRight w:val="0"/>
          <w:marTop w:val="0"/>
          <w:marBottom w:val="0"/>
          <w:divBdr>
            <w:top w:val="none" w:sz="0" w:space="0" w:color="auto"/>
            <w:left w:val="none" w:sz="0" w:space="0" w:color="auto"/>
            <w:bottom w:val="none" w:sz="0" w:space="0" w:color="auto"/>
            <w:right w:val="none" w:sz="0" w:space="0" w:color="auto"/>
          </w:divBdr>
        </w:div>
        <w:div w:id="1744257014">
          <w:marLeft w:val="0"/>
          <w:marRight w:val="0"/>
          <w:marTop w:val="0"/>
          <w:marBottom w:val="0"/>
          <w:divBdr>
            <w:top w:val="none" w:sz="0" w:space="0" w:color="auto"/>
            <w:left w:val="none" w:sz="0" w:space="0" w:color="auto"/>
            <w:bottom w:val="none" w:sz="0" w:space="0" w:color="auto"/>
            <w:right w:val="none" w:sz="0" w:space="0" w:color="auto"/>
          </w:divBdr>
        </w:div>
        <w:div w:id="1349793155">
          <w:marLeft w:val="0"/>
          <w:marRight w:val="0"/>
          <w:marTop w:val="0"/>
          <w:marBottom w:val="0"/>
          <w:divBdr>
            <w:top w:val="none" w:sz="0" w:space="0" w:color="auto"/>
            <w:left w:val="none" w:sz="0" w:space="0" w:color="auto"/>
            <w:bottom w:val="none" w:sz="0" w:space="0" w:color="auto"/>
            <w:right w:val="none" w:sz="0" w:space="0" w:color="auto"/>
          </w:divBdr>
        </w:div>
        <w:div w:id="1974406926">
          <w:marLeft w:val="0"/>
          <w:marRight w:val="0"/>
          <w:marTop w:val="0"/>
          <w:marBottom w:val="0"/>
          <w:divBdr>
            <w:top w:val="none" w:sz="0" w:space="0" w:color="auto"/>
            <w:left w:val="none" w:sz="0" w:space="0" w:color="auto"/>
            <w:bottom w:val="none" w:sz="0" w:space="0" w:color="auto"/>
            <w:right w:val="none" w:sz="0" w:space="0" w:color="auto"/>
          </w:divBdr>
        </w:div>
      </w:divsChild>
    </w:div>
    <w:div w:id="568079728">
      <w:bodyDiv w:val="1"/>
      <w:marLeft w:val="0"/>
      <w:marRight w:val="0"/>
      <w:marTop w:val="0"/>
      <w:marBottom w:val="0"/>
      <w:divBdr>
        <w:top w:val="none" w:sz="0" w:space="0" w:color="auto"/>
        <w:left w:val="none" w:sz="0" w:space="0" w:color="auto"/>
        <w:bottom w:val="none" w:sz="0" w:space="0" w:color="auto"/>
        <w:right w:val="none" w:sz="0" w:space="0" w:color="auto"/>
      </w:divBdr>
      <w:divsChild>
        <w:div w:id="1792480463">
          <w:marLeft w:val="0"/>
          <w:marRight w:val="0"/>
          <w:marTop w:val="0"/>
          <w:marBottom w:val="0"/>
          <w:divBdr>
            <w:top w:val="none" w:sz="0" w:space="0" w:color="auto"/>
            <w:left w:val="none" w:sz="0" w:space="0" w:color="auto"/>
            <w:bottom w:val="none" w:sz="0" w:space="0" w:color="auto"/>
            <w:right w:val="none" w:sz="0" w:space="0" w:color="auto"/>
          </w:divBdr>
        </w:div>
        <w:div w:id="1361591157">
          <w:marLeft w:val="0"/>
          <w:marRight w:val="0"/>
          <w:marTop w:val="0"/>
          <w:marBottom w:val="0"/>
          <w:divBdr>
            <w:top w:val="none" w:sz="0" w:space="0" w:color="auto"/>
            <w:left w:val="none" w:sz="0" w:space="0" w:color="auto"/>
            <w:bottom w:val="none" w:sz="0" w:space="0" w:color="auto"/>
            <w:right w:val="none" w:sz="0" w:space="0" w:color="auto"/>
          </w:divBdr>
        </w:div>
      </w:divsChild>
    </w:div>
    <w:div w:id="693271030">
      <w:bodyDiv w:val="1"/>
      <w:marLeft w:val="0"/>
      <w:marRight w:val="0"/>
      <w:marTop w:val="0"/>
      <w:marBottom w:val="0"/>
      <w:divBdr>
        <w:top w:val="none" w:sz="0" w:space="0" w:color="auto"/>
        <w:left w:val="none" w:sz="0" w:space="0" w:color="auto"/>
        <w:bottom w:val="none" w:sz="0" w:space="0" w:color="auto"/>
        <w:right w:val="none" w:sz="0" w:space="0" w:color="auto"/>
      </w:divBdr>
    </w:div>
    <w:div w:id="733890818">
      <w:bodyDiv w:val="1"/>
      <w:marLeft w:val="0"/>
      <w:marRight w:val="0"/>
      <w:marTop w:val="0"/>
      <w:marBottom w:val="0"/>
      <w:divBdr>
        <w:top w:val="none" w:sz="0" w:space="0" w:color="auto"/>
        <w:left w:val="none" w:sz="0" w:space="0" w:color="auto"/>
        <w:bottom w:val="none" w:sz="0" w:space="0" w:color="auto"/>
        <w:right w:val="none" w:sz="0" w:space="0" w:color="auto"/>
      </w:divBdr>
    </w:div>
    <w:div w:id="971131293">
      <w:bodyDiv w:val="1"/>
      <w:marLeft w:val="0"/>
      <w:marRight w:val="0"/>
      <w:marTop w:val="0"/>
      <w:marBottom w:val="0"/>
      <w:divBdr>
        <w:top w:val="none" w:sz="0" w:space="0" w:color="auto"/>
        <w:left w:val="none" w:sz="0" w:space="0" w:color="auto"/>
        <w:bottom w:val="none" w:sz="0" w:space="0" w:color="auto"/>
        <w:right w:val="none" w:sz="0" w:space="0" w:color="auto"/>
      </w:divBdr>
    </w:div>
    <w:div w:id="1066874676">
      <w:bodyDiv w:val="1"/>
      <w:marLeft w:val="0"/>
      <w:marRight w:val="0"/>
      <w:marTop w:val="0"/>
      <w:marBottom w:val="0"/>
      <w:divBdr>
        <w:top w:val="none" w:sz="0" w:space="0" w:color="auto"/>
        <w:left w:val="none" w:sz="0" w:space="0" w:color="auto"/>
        <w:bottom w:val="none" w:sz="0" w:space="0" w:color="auto"/>
        <w:right w:val="none" w:sz="0" w:space="0" w:color="auto"/>
      </w:divBdr>
    </w:div>
    <w:div w:id="1666667912">
      <w:bodyDiv w:val="1"/>
      <w:marLeft w:val="0"/>
      <w:marRight w:val="0"/>
      <w:marTop w:val="0"/>
      <w:marBottom w:val="0"/>
      <w:divBdr>
        <w:top w:val="none" w:sz="0" w:space="0" w:color="auto"/>
        <w:left w:val="none" w:sz="0" w:space="0" w:color="auto"/>
        <w:bottom w:val="none" w:sz="0" w:space="0" w:color="auto"/>
        <w:right w:val="none" w:sz="0" w:space="0" w:color="auto"/>
      </w:divBdr>
    </w:div>
    <w:div w:id="1741248275">
      <w:bodyDiv w:val="1"/>
      <w:marLeft w:val="0"/>
      <w:marRight w:val="0"/>
      <w:marTop w:val="0"/>
      <w:marBottom w:val="0"/>
      <w:divBdr>
        <w:top w:val="none" w:sz="0" w:space="0" w:color="auto"/>
        <w:left w:val="none" w:sz="0" w:space="0" w:color="auto"/>
        <w:bottom w:val="none" w:sz="0" w:space="0" w:color="auto"/>
        <w:right w:val="none" w:sz="0" w:space="0" w:color="auto"/>
      </w:divBdr>
      <w:divsChild>
        <w:div w:id="17463961">
          <w:marLeft w:val="0"/>
          <w:marRight w:val="0"/>
          <w:marTop w:val="0"/>
          <w:marBottom w:val="0"/>
          <w:divBdr>
            <w:top w:val="none" w:sz="0" w:space="0" w:color="auto"/>
            <w:left w:val="none" w:sz="0" w:space="0" w:color="auto"/>
            <w:bottom w:val="none" w:sz="0" w:space="0" w:color="auto"/>
            <w:right w:val="none" w:sz="0" w:space="0" w:color="auto"/>
          </w:divBdr>
        </w:div>
      </w:divsChild>
    </w:div>
    <w:div w:id="1814642905">
      <w:bodyDiv w:val="1"/>
      <w:marLeft w:val="0"/>
      <w:marRight w:val="0"/>
      <w:marTop w:val="0"/>
      <w:marBottom w:val="0"/>
      <w:divBdr>
        <w:top w:val="none" w:sz="0" w:space="0" w:color="auto"/>
        <w:left w:val="none" w:sz="0" w:space="0" w:color="auto"/>
        <w:bottom w:val="none" w:sz="0" w:space="0" w:color="auto"/>
        <w:right w:val="none" w:sz="0" w:space="0" w:color="auto"/>
      </w:divBdr>
    </w:div>
    <w:div w:id="1848906307">
      <w:bodyDiv w:val="1"/>
      <w:marLeft w:val="0"/>
      <w:marRight w:val="0"/>
      <w:marTop w:val="0"/>
      <w:marBottom w:val="0"/>
      <w:divBdr>
        <w:top w:val="none" w:sz="0" w:space="0" w:color="auto"/>
        <w:left w:val="none" w:sz="0" w:space="0" w:color="auto"/>
        <w:bottom w:val="none" w:sz="0" w:space="0" w:color="auto"/>
        <w:right w:val="none" w:sz="0" w:space="0" w:color="auto"/>
      </w:divBdr>
    </w:div>
    <w:div w:id="1875582160">
      <w:bodyDiv w:val="1"/>
      <w:marLeft w:val="0"/>
      <w:marRight w:val="0"/>
      <w:marTop w:val="0"/>
      <w:marBottom w:val="0"/>
      <w:divBdr>
        <w:top w:val="none" w:sz="0" w:space="0" w:color="auto"/>
        <w:left w:val="none" w:sz="0" w:space="0" w:color="auto"/>
        <w:bottom w:val="none" w:sz="0" w:space="0" w:color="auto"/>
        <w:right w:val="none" w:sz="0" w:space="0" w:color="auto"/>
      </w:divBdr>
    </w:div>
    <w:div w:id="1882790790">
      <w:bodyDiv w:val="1"/>
      <w:marLeft w:val="0"/>
      <w:marRight w:val="0"/>
      <w:marTop w:val="0"/>
      <w:marBottom w:val="0"/>
      <w:divBdr>
        <w:top w:val="none" w:sz="0" w:space="0" w:color="auto"/>
        <w:left w:val="none" w:sz="0" w:space="0" w:color="auto"/>
        <w:bottom w:val="none" w:sz="0" w:space="0" w:color="auto"/>
        <w:right w:val="none" w:sz="0" w:space="0" w:color="auto"/>
      </w:divBdr>
      <w:divsChild>
        <w:div w:id="642125316">
          <w:marLeft w:val="0"/>
          <w:marRight w:val="0"/>
          <w:marTop w:val="0"/>
          <w:marBottom w:val="0"/>
          <w:divBdr>
            <w:top w:val="none" w:sz="0" w:space="0" w:color="auto"/>
            <w:left w:val="none" w:sz="0" w:space="0" w:color="auto"/>
            <w:bottom w:val="none" w:sz="0" w:space="0" w:color="auto"/>
            <w:right w:val="none" w:sz="0" w:space="0" w:color="auto"/>
          </w:divBdr>
        </w:div>
        <w:div w:id="842743616">
          <w:marLeft w:val="0"/>
          <w:marRight w:val="0"/>
          <w:marTop w:val="0"/>
          <w:marBottom w:val="0"/>
          <w:divBdr>
            <w:top w:val="none" w:sz="0" w:space="0" w:color="auto"/>
            <w:left w:val="none" w:sz="0" w:space="0" w:color="auto"/>
            <w:bottom w:val="none" w:sz="0" w:space="0" w:color="auto"/>
            <w:right w:val="none" w:sz="0" w:space="0" w:color="auto"/>
          </w:divBdr>
        </w:div>
        <w:div w:id="362873474">
          <w:marLeft w:val="0"/>
          <w:marRight w:val="0"/>
          <w:marTop w:val="0"/>
          <w:marBottom w:val="0"/>
          <w:divBdr>
            <w:top w:val="none" w:sz="0" w:space="0" w:color="auto"/>
            <w:left w:val="none" w:sz="0" w:space="0" w:color="auto"/>
            <w:bottom w:val="none" w:sz="0" w:space="0" w:color="auto"/>
            <w:right w:val="none" w:sz="0" w:space="0" w:color="auto"/>
          </w:divBdr>
        </w:div>
        <w:div w:id="893809290">
          <w:marLeft w:val="0"/>
          <w:marRight w:val="0"/>
          <w:marTop w:val="0"/>
          <w:marBottom w:val="0"/>
          <w:divBdr>
            <w:top w:val="none" w:sz="0" w:space="0" w:color="auto"/>
            <w:left w:val="none" w:sz="0" w:space="0" w:color="auto"/>
            <w:bottom w:val="none" w:sz="0" w:space="0" w:color="auto"/>
            <w:right w:val="none" w:sz="0" w:space="0" w:color="auto"/>
          </w:divBdr>
        </w:div>
        <w:div w:id="1126464645">
          <w:marLeft w:val="0"/>
          <w:marRight w:val="0"/>
          <w:marTop w:val="0"/>
          <w:marBottom w:val="0"/>
          <w:divBdr>
            <w:top w:val="none" w:sz="0" w:space="0" w:color="auto"/>
            <w:left w:val="none" w:sz="0" w:space="0" w:color="auto"/>
            <w:bottom w:val="none" w:sz="0" w:space="0" w:color="auto"/>
            <w:right w:val="none" w:sz="0" w:space="0" w:color="auto"/>
          </w:divBdr>
        </w:div>
        <w:div w:id="834689108">
          <w:marLeft w:val="0"/>
          <w:marRight w:val="0"/>
          <w:marTop w:val="0"/>
          <w:marBottom w:val="0"/>
          <w:divBdr>
            <w:top w:val="none" w:sz="0" w:space="0" w:color="auto"/>
            <w:left w:val="none" w:sz="0" w:space="0" w:color="auto"/>
            <w:bottom w:val="none" w:sz="0" w:space="0" w:color="auto"/>
            <w:right w:val="none" w:sz="0" w:space="0" w:color="auto"/>
          </w:divBdr>
        </w:div>
        <w:div w:id="853806564">
          <w:marLeft w:val="0"/>
          <w:marRight w:val="0"/>
          <w:marTop w:val="0"/>
          <w:marBottom w:val="0"/>
          <w:divBdr>
            <w:top w:val="none" w:sz="0" w:space="0" w:color="auto"/>
            <w:left w:val="none" w:sz="0" w:space="0" w:color="auto"/>
            <w:bottom w:val="none" w:sz="0" w:space="0" w:color="auto"/>
            <w:right w:val="none" w:sz="0" w:space="0" w:color="auto"/>
          </w:divBdr>
        </w:div>
        <w:div w:id="1766220885">
          <w:marLeft w:val="0"/>
          <w:marRight w:val="0"/>
          <w:marTop w:val="0"/>
          <w:marBottom w:val="0"/>
          <w:divBdr>
            <w:top w:val="none" w:sz="0" w:space="0" w:color="auto"/>
            <w:left w:val="none" w:sz="0" w:space="0" w:color="auto"/>
            <w:bottom w:val="none" w:sz="0" w:space="0" w:color="auto"/>
            <w:right w:val="none" w:sz="0" w:space="0" w:color="auto"/>
          </w:divBdr>
        </w:div>
        <w:div w:id="878585794">
          <w:marLeft w:val="0"/>
          <w:marRight w:val="0"/>
          <w:marTop w:val="0"/>
          <w:marBottom w:val="0"/>
          <w:divBdr>
            <w:top w:val="none" w:sz="0" w:space="0" w:color="auto"/>
            <w:left w:val="none" w:sz="0" w:space="0" w:color="auto"/>
            <w:bottom w:val="none" w:sz="0" w:space="0" w:color="auto"/>
            <w:right w:val="none" w:sz="0" w:space="0" w:color="auto"/>
          </w:divBdr>
        </w:div>
        <w:div w:id="1647978548">
          <w:marLeft w:val="0"/>
          <w:marRight w:val="0"/>
          <w:marTop w:val="0"/>
          <w:marBottom w:val="0"/>
          <w:divBdr>
            <w:top w:val="none" w:sz="0" w:space="0" w:color="auto"/>
            <w:left w:val="none" w:sz="0" w:space="0" w:color="auto"/>
            <w:bottom w:val="none" w:sz="0" w:space="0" w:color="auto"/>
            <w:right w:val="none" w:sz="0" w:space="0" w:color="auto"/>
          </w:divBdr>
        </w:div>
        <w:div w:id="1438022975">
          <w:marLeft w:val="0"/>
          <w:marRight w:val="0"/>
          <w:marTop w:val="0"/>
          <w:marBottom w:val="0"/>
          <w:divBdr>
            <w:top w:val="none" w:sz="0" w:space="0" w:color="auto"/>
            <w:left w:val="none" w:sz="0" w:space="0" w:color="auto"/>
            <w:bottom w:val="none" w:sz="0" w:space="0" w:color="auto"/>
            <w:right w:val="none" w:sz="0" w:space="0" w:color="auto"/>
          </w:divBdr>
        </w:div>
        <w:div w:id="90392710">
          <w:marLeft w:val="0"/>
          <w:marRight w:val="0"/>
          <w:marTop w:val="0"/>
          <w:marBottom w:val="0"/>
          <w:divBdr>
            <w:top w:val="none" w:sz="0" w:space="0" w:color="auto"/>
            <w:left w:val="none" w:sz="0" w:space="0" w:color="auto"/>
            <w:bottom w:val="none" w:sz="0" w:space="0" w:color="auto"/>
            <w:right w:val="none" w:sz="0" w:space="0" w:color="auto"/>
          </w:divBdr>
        </w:div>
        <w:div w:id="1490364135">
          <w:marLeft w:val="0"/>
          <w:marRight w:val="0"/>
          <w:marTop w:val="0"/>
          <w:marBottom w:val="0"/>
          <w:divBdr>
            <w:top w:val="none" w:sz="0" w:space="0" w:color="auto"/>
            <w:left w:val="none" w:sz="0" w:space="0" w:color="auto"/>
            <w:bottom w:val="none" w:sz="0" w:space="0" w:color="auto"/>
            <w:right w:val="none" w:sz="0" w:space="0" w:color="auto"/>
          </w:divBdr>
        </w:div>
        <w:div w:id="2062442272">
          <w:marLeft w:val="0"/>
          <w:marRight w:val="0"/>
          <w:marTop w:val="0"/>
          <w:marBottom w:val="0"/>
          <w:divBdr>
            <w:top w:val="none" w:sz="0" w:space="0" w:color="auto"/>
            <w:left w:val="none" w:sz="0" w:space="0" w:color="auto"/>
            <w:bottom w:val="none" w:sz="0" w:space="0" w:color="auto"/>
            <w:right w:val="none" w:sz="0" w:space="0" w:color="auto"/>
          </w:divBdr>
        </w:div>
        <w:div w:id="1955356268">
          <w:marLeft w:val="0"/>
          <w:marRight w:val="0"/>
          <w:marTop w:val="0"/>
          <w:marBottom w:val="0"/>
          <w:divBdr>
            <w:top w:val="none" w:sz="0" w:space="0" w:color="auto"/>
            <w:left w:val="none" w:sz="0" w:space="0" w:color="auto"/>
            <w:bottom w:val="none" w:sz="0" w:space="0" w:color="auto"/>
            <w:right w:val="none" w:sz="0" w:space="0" w:color="auto"/>
          </w:divBdr>
        </w:div>
        <w:div w:id="74325101">
          <w:marLeft w:val="0"/>
          <w:marRight w:val="0"/>
          <w:marTop w:val="0"/>
          <w:marBottom w:val="0"/>
          <w:divBdr>
            <w:top w:val="none" w:sz="0" w:space="0" w:color="auto"/>
            <w:left w:val="none" w:sz="0" w:space="0" w:color="auto"/>
            <w:bottom w:val="none" w:sz="0" w:space="0" w:color="auto"/>
            <w:right w:val="none" w:sz="0" w:space="0" w:color="auto"/>
          </w:divBdr>
        </w:div>
        <w:div w:id="76247144">
          <w:marLeft w:val="0"/>
          <w:marRight w:val="0"/>
          <w:marTop w:val="0"/>
          <w:marBottom w:val="0"/>
          <w:divBdr>
            <w:top w:val="none" w:sz="0" w:space="0" w:color="auto"/>
            <w:left w:val="none" w:sz="0" w:space="0" w:color="auto"/>
            <w:bottom w:val="none" w:sz="0" w:space="0" w:color="auto"/>
            <w:right w:val="none" w:sz="0" w:space="0" w:color="auto"/>
          </w:divBdr>
        </w:div>
      </w:divsChild>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2064015585">
      <w:bodyDiv w:val="1"/>
      <w:marLeft w:val="0"/>
      <w:marRight w:val="0"/>
      <w:marTop w:val="0"/>
      <w:marBottom w:val="0"/>
      <w:divBdr>
        <w:top w:val="none" w:sz="0" w:space="0" w:color="auto"/>
        <w:left w:val="none" w:sz="0" w:space="0" w:color="auto"/>
        <w:bottom w:val="none" w:sz="0" w:space="0" w:color="auto"/>
        <w:right w:val="none" w:sz="0" w:space="0" w:color="auto"/>
      </w:divBdr>
    </w:div>
    <w:div w:id="21350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jestry.ure.gov.p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f.gov.pl/podmioty/Podmioty_sektora_bankoweg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ie.net.pl/obnizki-wynagrodzen-w-polowie-firm-i-zwolnienia-w-co-czwartej-to-strategie-przedsiebiorstw-na-pandemie/" TargetMode="External"/><Relationship Id="rId4" Type="http://schemas.microsoft.com/office/2007/relationships/stylesWithEffects" Target="stylesWithEffects.xml"/><Relationship Id="rId9" Type="http://schemas.openxmlformats.org/officeDocument/2006/relationships/hyperlink" Target="https://www.geoportail-urbanisme.gouv.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finanse/wytyczne-sytuacja-makroekonomiczna" TargetMode="External"/><Relationship Id="rId1" Type="http://schemas.openxmlformats.org/officeDocument/2006/relationships/hyperlink" Target="https://www.money.pl/gospodarka/upadlosc-firm-jak-panstwa-ue-chronia-firmy-podczas-epidemii-6495871674672769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8BB4-9C1F-43A4-B35A-9713D34A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20127</Words>
  <Characters>120763</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Budziszewska-Makulska Alina</dc:creator>
  <cp:lastModifiedBy>Marta Brzozowska-Katner</cp:lastModifiedBy>
  <cp:revision>2</cp:revision>
  <dcterms:created xsi:type="dcterms:W3CDTF">2020-05-20T21:41:00Z</dcterms:created>
  <dcterms:modified xsi:type="dcterms:W3CDTF">2020-05-20T21:41:00Z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emroc@bank.com.pl</vt:lpwstr>
  </property>
  <property fmtid="{D5CDD505-2E9C-101B-9397-08002B2CF9AE}" pid="5" name="MSIP_Label_ffd642cb-f5ac-4f9c-8f91-3377ed972e0d_SetDate">
    <vt:lpwstr>2020-03-15T13:51:27.2162231Z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emroc@bank.com.pl</vt:lpwstr>
  </property>
  <property fmtid="{D5CDD505-2E9C-101B-9397-08002B2CF9AE}" pid="12" name="MSIP_Label_c668bcff-e2d1-47e2-adc1-b3354af02961_SetDate">
    <vt:lpwstr>2020-03-15T13:51:27.2162231Z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