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287CEA8C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90CB44B" w14:textId="77777777" w:rsidR="006A701A" w:rsidRPr="008B4FE6" w:rsidRDefault="006A701A" w:rsidP="000F0F89">
            <w:pPr>
              <w:spacing w:before="120" w:line="240" w:lineRule="auto"/>
              <w:ind w:left="45"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76D552D" w14:textId="3E2AF2BE" w:rsidR="006A701A" w:rsidRPr="008B4FE6" w:rsidRDefault="005A1793" w:rsidP="000F0F89">
            <w:pPr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</w:t>
            </w:r>
            <w:r w:rsidR="00301502">
              <w:rPr>
                <w:rFonts w:ascii="Times New Roman" w:hAnsi="Times New Roman"/>
                <w:color w:val="000000"/>
              </w:rPr>
              <w:t>staw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301502">
              <w:rPr>
                <w:rFonts w:ascii="Times New Roman" w:hAnsi="Times New Roman"/>
                <w:color w:val="000000"/>
              </w:rPr>
              <w:t xml:space="preserve"> o zmianie ustawy o obrocie instrumentami finansowymi oraz niektórych innych ustaw</w:t>
            </w:r>
          </w:p>
          <w:p w14:paraId="58694E1A" w14:textId="77777777" w:rsidR="006A701A" w:rsidRPr="008B4FE6" w:rsidRDefault="006A701A" w:rsidP="000F0F89">
            <w:pPr>
              <w:spacing w:before="120" w:line="240" w:lineRule="auto"/>
              <w:ind w:left="45"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5AE62278" w14:textId="77777777" w:rsidR="006A701A" w:rsidRDefault="00B9116C" w:rsidP="000F0F89">
            <w:pPr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49C54C6E" w14:textId="77777777" w:rsidR="001B3460" w:rsidRPr="00642825" w:rsidRDefault="001B3460" w:rsidP="000F0F89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111F4F3" w14:textId="77777777" w:rsidR="001B3460" w:rsidRPr="0063060B" w:rsidRDefault="00B9116C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Piotr Nowak, Podsekretarz Stanu</w:t>
            </w:r>
            <w:r w:rsidR="000F0F89">
              <w:rPr>
                <w:rFonts w:ascii="Times New Roman" w:hAnsi="Times New Roman"/>
                <w:sz w:val="21"/>
                <w:szCs w:val="21"/>
              </w:rPr>
              <w:t xml:space="preserve"> w Ministerstwie Finansów</w:t>
            </w:r>
          </w:p>
          <w:p w14:paraId="18EED1B7" w14:textId="77777777" w:rsidR="006A701A" w:rsidRDefault="006A701A" w:rsidP="000F0F89">
            <w:pPr>
              <w:spacing w:before="120" w:line="240" w:lineRule="auto"/>
              <w:ind w:left="45"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0DABEE1" w14:textId="642C550A" w:rsidR="00A56301" w:rsidRPr="00C834B7" w:rsidRDefault="00A56301" w:rsidP="000F0F89">
            <w:pPr>
              <w:spacing w:before="120" w:line="240" w:lineRule="auto"/>
              <w:ind w:left="45" w:hanging="45"/>
              <w:rPr>
                <w:rFonts w:ascii="Times New Roman" w:hAnsi="Times New Roman"/>
                <w:color w:val="000000"/>
              </w:rPr>
            </w:pPr>
            <w:r w:rsidRPr="00C834B7">
              <w:rPr>
                <w:rFonts w:ascii="Times New Roman" w:hAnsi="Times New Roman"/>
                <w:color w:val="000000"/>
              </w:rPr>
              <w:t xml:space="preserve">Jarosław Niezgoda, Naczelnik Wydziału Nadzoru i Wymogów Kapitałowych w Departamencie Rozwoju Rynku Finansowego, </w:t>
            </w:r>
            <w:hyperlink r:id="rId7" w:history="1">
              <w:r w:rsidRPr="00C834B7">
                <w:rPr>
                  <w:rStyle w:val="Hipercze"/>
                  <w:rFonts w:ascii="Times New Roman" w:hAnsi="Times New Roman"/>
                </w:rPr>
                <w:t>jaroslaw.niezgoda@mf.gov.pl</w:t>
              </w:r>
            </w:hyperlink>
            <w:r w:rsidRPr="00C834B7">
              <w:rPr>
                <w:rFonts w:ascii="Times New Roman" w:hAnsi="Times New Roman"/>
                <w:color w:val="000000"/>
              </w:rPr>
              <w:t xml:space="preserve"> , tel. 22 694 58 49</w:t>
            </w:r>
            <w:r w:rsidR="00C834B7">
              <w:rPr>
                <w:rFonts w:ascii="Times New Roman" w:hAnsi="Times New Roman"/>
                <w:color w:val="000000"/>
              </w:rPr>
              <w:t>;</w:t>
            </w:r>
          </w:p>
          <w:p w14:paraId="1CF01F3E" w14:textId="0DF89767" w:rsidR="000F0F89" w:rsidRPr="00AF7491" w:rsidRDefault="00D12B16" w:rsidP="000F0F89">
            <w:pPr>
              <w:spacing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Magdalena Beczek</w:t>
            </w:r>
            <w:r w:rsidR="000F0F89" w:rsidRPr="00AF7491">
              <w:rPr>
                <w:rFonts w:ascii="Times New Roman" w:hAnsi="Times New Roman"/>
                <w:color w:val="000000"/>
              </w:rPr>
              <w:t>,</w:t>
            </w:r>
            <w:r w:rsidR="007026E8">
              <w:rPr>
                <w:rFonts w:ascii="Times New Roman" w:hAnsi="Times New Roman"/>
                <w:color w:val="000000"/>
              </w:rPr>
              <w:t xml:space="preserve"> Specjalista w Departamencie Rozwoju Rynku Finansowego,</w:t>
            </w:r>
            <w:r w:rsidR="000F0F89" w:rsidRPr="00AF7491">
              <w:rPr>
                <w:rFonts w:ascii="Times New Roman" w:hAnsi="Times New Roman"/>
                <w:color w:val="000000"/>
              </w:rPr>
              <w:t xml:space="preserve"> </w:t>
            </w:r>
            <w:hyperlink r:id="rId8" w:history="1">
              <w:r w:rsidRPr="00043887">
                <w:rPr>
                  <w:rStyle w:val="Hipercze"/>
                  <w:rFonts w:ascii="Times New Roman" w:hAnsi="Times New Roman"/>
                </w:rPr>
                <w:t>magdalena.beczek@mf.gov.pl</w:t>
              </w:r>
            </w:hyperlink>
            <w:r w:rsidR="000F0F8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 tel. 22 694 46 71</w:t>
            </w:r>
          </w:p>
          <w:p w14:paraId="42EB451F" w14:textId="5F87B73B" w:rsidR="006A701A" w:rsidRPr="008B4FE6" w:rsidRDefault="006A701A" w:rsidP="000F0F89">
            <w:pPr>
              <w:spacing w:after="120" w:line="240" w:lineRule="auto"/>
              <w:ind w:left="34"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4E1F91F" w14:textId="77777777" w:rsidR="0038078E" w:rsidRDefault="0038078E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6C7878F" w14:textId="38605280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0-07-0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7943C0">
                  <w:rPr>
                    <w:rFonts w:ascii="Times New Roman" w:hAnsi="Times New Roman"/>
                    <w:sz w:val="21"/>
                    <w:szCs w:val="21"/>
                  </w:rPr>
                  <w:t>06.07.2020</w:t>
                </w:r>
              </w:sdtContent>
            </w:sdt>
            <w:r w:rsidR="00BF01A3">
              <w:rPr>
                <w:rFonts w:ascii="Times New Roman" w:hAnsi="Times New Roman"/>
                <w:sz w:val="21"/>
                <w:szCs w:val="21"/>
              </w:rPr>
              <w:t xml:space="preserve"> r. </w:t>
            </w:r>
          </w:p>
          <w:p w14:paraId="3FA855DC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37F2BBC1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7619A4FD" w14:textId="77777777" w:rsidR="00F76884" w:rsidRPr="00EF290C" w:rsidRDefault="00B9116C" w:rsidP="00F768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Prawo UE</w:t>
                </w:r>
              </w:p>
            </w:sdtContent>
          </w:sdt>
          <w:p w14:paraId="1011A9D2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6A38BF98" w14:textId="77777777" w:rsidR="00A6621C" w:rsidRDefault="006A701A" w:rsidP="00A6621C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174B10">
              <w:rPr>
                <w:rFonts w:ascii="Times New Roman" w:hAnsi="Times New Roman"/>
                <w:b/>
                <w:color w:val="000000"/>
              </w:rPr>
              <w:t>legislacyjnych  Rady Ministrów:</w:t>
            </w:r>
            <w:r w:rsidR="00A6621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C1A5007" w14:textId="1E1B087B" w:rsidR="006A701A" w:rsidRPr="008B4FE6" w:rsidRDefault="00082508" w:rsidP="00A6621C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UC33</w:t>
            </w:r>
          </w:p>
        </w:tc>
      </w:tr>
      <w:tr w:rsidR="006A701A" w:rsidRPr="0022687A" w14:paraId="0F80FF1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3EB3B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B75F668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C71B7A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9F163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5F43CED" w14:textId="1794FC67" w:rsidR="00726800" w:rsidRDefault="00D02E8B" w:rsidP="00301502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301502" w:rsidRPr="003015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Celem projektu jest dokonanie zmian w krajowym porządku prawnym w związku z wejściem w życie regulacji Unii Europejskiej </w:t>
            </w:r>
            <w:r w:rsidR="007268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stanowiących wynik przeglądu przepisów </w:t>
            </w:r>
            <w:r w:rsidR="00FD19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dotyczących</w:t>
            </w:r>
            <w:r w:rsidR="007268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1502" w:rsidRPr="003015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Europejski</w:t>
            </w:r>
            <w:r w:rsidR="00FD19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</w:t>
            </w:r>
            <w:r w:rsidR="00924E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1502" w:rsidRPr="003015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Urzęd</w:t>
            </w:r>
            <w:r w:rsidR="00FD197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ów</w:t>
            </w:r>
            <w:r w:rsidR="00B65A0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01502" w:rsidRPr="003015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Nadzoru (ESAs)</w:t>
            </w:r>
            <w:r w:rsidR="007268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5EDB5D1A" w14:textId="53049C5B" w:rsidR="00726800" w:rsidRPr="00726800" w:rsidRDefault="00726800" w:rsidP="004003EC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68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Na ESAs składają się Europejski Urząd Nadzoru Bankowego (EBA), Europejski Urząd Nadzoru Giełd i Papierów Wartościowych </w:t>
            </w:r>
            <w:r w:rsidR="00BB096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7268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ESMA) oraz Europejski Urząd Ubezpieczeń i Pracowniczych Programów Emerytalnych (EIOPA). Urzędy </w:t>
            </w:r>
            <w:r w:rsidR="00924E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te </w:t>
            </w:r>
            <w:r w:rsidRPr="007268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powstały jako odpowiedź na kryzys finansowy lat 2007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7268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2008, a ich celem jest zrównoważone wzmocnienie stabilności i efektywności systemu finansowego w całej Unii oraz poprawa ochrony konsumentów i inwestorów. </w:t>
            </w:r>
          </w:p>
          <w:p w14:paraId="28D2877F" w14:textId="63388AFD" w:rsidR="00301502" w:rsidRPr="00301502" w:rsidRDefault="00726800" w:rsidP="00301502">
            <w:pPr>
              <w:pStyle w:val="NIEARTTEKSTtekstnieartykuowanynppodstprawnarozplubpreambua"/>
              <w:spacing w:before="0" w:after="12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Regulacje unijne </w:t>
            </w:r>
            <w:r w:rsidR="00301502" w:rsidRPr="003015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obejmuj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ą</w:t>
            </w:r>
            <w:r w:rsidR="00301502" w:rsidRPr="003015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</w:p>
          <w:p w14:paraId="2FA4E64F" w14:textId="08E03AB9" w:rsidR="00301502" w:rsidRPr="006603C2" w:rsidRDefault="0026186F" w:rsidP="006603C2">
            <w:pPr>
              <w:pStyle w:val="Akapitzlist"/>
              <w:numPr>
                <w:ilvl w:val="0"/>
                <w:numId w:val="28"/>
              </w:numPr>
              <w:spacing w:after="120" w:line="240" w:lineRule="auto"/>
              <w:jc w:val="both"/>
              <w:rPr>
                <w:rFonts w:ascii="Times New Roman" w:hAnsi="Times New Roman"/>
                <w:i/>
                <w:color w:val="000000" w:themeColor="text1"/>
                <w:lang w:eastAsia="pl-PL"/>
              </w:rPr>
            </w:pPr>
            <w:r w:rsidRPr="006603C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</w:t>
            </w:r>
            <w:r w:rsidR="00301502" w:rsidRPr="006603C2">
              <w:rPr>
                <w:rFonts w:ascii="Times New Roman" w:hAnsi="Times New Roman"/>
              </w:rPr>
              <w:t>yrektywę Parlamentu Europejskiego i Rady (UE) 2019/2177 z dnia 18 grudnia 2019 r. zmieniającą dyrektywę 2009/138/WE w sprawie podejmowania i prowadzenia działalności ubezpieczeniowej i reasekuracyjnej (Wypłacalność II), dyrektywę  2014/65/UE w sprawie rynków instrumentów finansowych oraz dyrektywę (UE) 2015/849 w sprawie zapobiegania wykorzystywaniu systemu finansowego do prania pieniędzy lub finansowania terroryzmu (Dz. Urz. UE L 334 z 27.12.2019, str. 155)</w:t>
            </w:r>
            <w:r w:rsidR="00A70DF1" w:rsidRPr="006603C2">
              <w:rPr>
                <w:rFonts w:ascii="Times New Roman" w:hAnsi="Times New Roman"/>
              </w:rPr>
              <w:t>, dalej „dyrektywa 2019/2177”</w:t>
            </w:r>
            <w:r w:rsidR="00924EA3" w:rsidRPr="006603C2">
              <w:rPr>
                <w:rFonts w:ascii="Times New Roman" w:hAnsi="Times New Roman"/>
              </w:rPr>
              <w:t>,</w:t>
            </w:r>
          </w:p>
          <w:p w14:paraId="64243000" w14:textId="77C43BF9" w:rsidR="00301502" w:rsidRDefault="0026186F" w:rsidP="006603C2">
            <w:pPr>
              <w:pStyle w:val="PKTODNONIKApunktodnonika"/>
              <w:numPr>
                <w:ilvl w:val="0"/>
                <w:numId w:val="28"/>
              </w:num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</w:t>
            </w:r>
            <w:r w:rsidR="00301502" w:rsidRPr="00301502">
              <w:rPr>
                <w:rFonts w:cs="Times New Roman"/>
                <w:sz w:val="22"/>
                <w:szCs w:val="22"/>
              </w:rPr>
              <w:t>ozporządzenie Parlamentu Europejskiego i Rady (UE) nr 2019/2175 z dnia 18 grudnia 2019 r. zmieniając</w:t>
            </w:r>
            <w:r w:rsidR="00D1457F">
              <w:rPr>
                <w:rFonts w:cs="Times New Roman"/>
                <w:sz w:val="22"/>
                <w:szCs w:val="22"/>
              </w:rPr>
              <w:t>e</w:t>
            </w:r>
            <w:r w:rsidR="00301502" w:rsidRPr="00301502">
              <w:rPr>
                <w:rFonts w:cs="Times New Roman"/>
                <w:sz w:val="22"/>
                <w:szCs w:val="22"/>
              </w:rPr>
              <w:t xml:space="preserve"> rozporządzenie (UE) nr 1093/2010 w sprawie ustanowienia Europejskiego Urzędu Nadzoru (Europejskiego Urzędu Nadzoru Bankowego), rozporządzenie (UE) nr 1094/2010 w sprawie ustanowienia Europejskiego Urzędu Nadzoru (Europejskiego Urzędu Nadzoru Ubezpieczeń i Pracowniczych Planów Emerytalnych), rozporządzenie (UE) nr 1095/2010 w sprawie ustanowienia Europejskiego Urzędu Nadzoru (Europejskiego Urzędu Nadzoru Giełd i Papierów Wartościowych), rozporządzenie (UE) nr 600/2014 w sprawie rynków instrumentów finansowych, rozporządzenie (UE) 2016/1011 w sprawie indeksów stosowanych jako wskaźniki referencyjne w instrumentach finansowych i umowach finansowych lub do pomiaru wyników funduszy inwestycyjnych oraz rozporządzenie (UE) 2015/847 w sprawie informacji towarzyszących transferom środków pieniężnych (Dz. Urz. UE L 334 z 27.12.2019, str. 1).</w:t>
            </w:r>
          </w:p>
          <w:p w14:paraId="0FE75799" w14:textId="77777777" w:rsidR="00D1457F" w:rsidRPr="00301502" w:rsidRDefault="00D1457F" w:rsidP="00301502">
            <w:pPr>
              <w:pStyle w:val="PKTODNONIKApunktodnonika"/>
              <w:rPr>
                <w:rFonts w:cs="Times New Roman"/>
                <w:sz w:val="22"/>
                <w:szCs w:val="22"/>
              </w:rPr>
            </w:pPr>
          </w:p>
          <w:p w14:paraId="1EB2E2A6" w14:textId="7F2107CE" w:rsidR="005E25CD" w:rsidRDefault="00D02E8B" w:rsidP="00432C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27F71">
              <w:rPr>
                <w:rFonts w:ascii="Times New Roman" w:hAnsi="Times New Roman"/>
              </w:rPr>
              <w:t>Zmi</w:t>
            </w:r>
            <w:r w:rsidR="007E6C89">
              <w:rPr>
                <w:rFonts w:ascii="Times New Roman" w:hAnsi="Times New Roman"/>
              </w:rPr>
              <w:t xml:space="preserve">anie ulegają </w:t>
            </w:r>
            <w:r w:rsidR="00432C9B" w:rsidRPr="00432C9B">
              <w:rPr>
                <w:rFonts w:ascii="Times New Roman" w:hAnsi="Times New Roman"/>
              </w:rPr>
              <w:t xml:space="preserve">przepisy </w:t>
            </w:r>
            <w:r w:rsidR="00924EA3">
              <w:rPr>
                <w:rFonts w:ascii="Times New Roman" w:hAnsi="Times New Roman"/>
              </w:rPr>
              <w:t xml:space="preserve">dotyczące działalności </w:t>
            </w:r>
            <w:r w:rsidR="00432C9B" w:rsidRPr="00432C9B">
              <w:rPr>
                <w:rFonts w:ascii="Times New Roman" w:hAnsi="Times New Roman"/>
              </w:rPr>
              <w:t>dostawców usług w zakresie udostępniania informacji</w:t>
            </w:r>
            <w:r w:rsidR="00924EA3">
              <w:rPr>
                <w:rFonts w:ascii="Times New Roman" w:hAnsi="Times New Roman"/>
              </w:rPr>
              <w:t xml:space="preserve">, którzy </w:t>
            </w:r>
            <w:r w:rsidR="00432C9B" w:rsidRPr="00432C9B">
              <w:rPr>
                <w:rFonts w:ascii="Times New Roman" w:hAnsi="Times New Roman"/>
              </w:rPr>
              <w:t>świadczą usługi jako zatwierdzony podmiot publikujący, zatwi</w:t>
            </w:r>
            <w:r w:rsidR="00432C9B">
              <w:rPr>
                <w:rFonts w:ascii="Times New Roman" w:hAnsi="Times New Roman"/>
              </w:rPr>
              <w:t xml:space="preserve">erdzony mechanizm sprawozdawczy </w:t>
            </w:r>
            <w:r w:rsidR="00432C9B" w:rsidRPr="00432C9B">
              <w:rPr>
                <w:rFonts w:ascii="Times New Roman" w:hAnsi="Times New Roman"/>
              </w:rPr>
              <w:t xml:space="preserve">lub dostawca informacji skonsolidowanych. Dotychczas dostawcy usług w zakresie udostępniania informacji uzyskiwali zezwolenia oraz byli nadzorowani przez krajowe organy nadzoru. </w:t>
            </w:r>
            <w:r w:rsidR="005E25CD">
              <w:rPr>
                <w:rFonts w:ascii="Times New Roman" w:hAnsi="Times New Roman"/>
              </w:rPr>
              <w:t>T</w:t>
            </w:r>
            <w:r w:rsidR="00432C9B" w:rsidRPr="00432C9B">
              <w:rPr>
                <w:rFonts w:ascii="Times New Roman" w:hAnsi="Times New Roman"/>
              </w:rPr>
              <w:t>ransgraniczny wymiar przetwarzania danych w Unii Europejskiej oraz negatywny wpływ ewentualnych rozbieżności w praktykach nadzorczych różnych państw członkowskich wpływa</w:t>
            </w:r>
            <w:r w:rsidR="007E6C89">
              <w:rPr>
                <w:rFonts w:ascii="Times New Roman" w:hAnsi="Times New Roman"/>
              </w:rPr>
              <w:t>ł</w:t>
            </w:r>
            <w:r w:rsidR="00432C9B" w:rsidRPr="00432C9B">
              <w:rPr>
                <w:rFonts w:ascii="Times New Roman" w:hAnsi="Times New Roman"/>
              </w:rPr>
              <w:t xml:space="preserve"> </w:t>
            </w:r>
            <w:r w:rsidR="00924EA3">
              <w:rPr>
                <w:rFonts w:ascii="Times New Roman" w:hAnsi="Times New Roman"/>
              </w:rPr>
              <w:t xml:space="preserve">jednak negatywnie </w:t>
            </w:r>
            <w:r w:rsidR="00432C9B" w:rsidRPr="00432C9B">
              <w:rPr>
                <w:rFonts w:ascii="Times New Roman" w:hAnsi="Times New Roman"/>
              </w:rPr>
              <w:t xml:space="preserve">na jakość danych transakcyjnych i zadania dostawców usług w zakresie udostępniania informacji. </w:t>
            </w:r>
          </w:p>
          <w:p w14:paraId="671313FD" w14:textId="7BFC2906" w:rsidR="006A701A" w:rsidRDefault="00924EA3" w:rsidP="00432C9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Dlatego </w:t>
            </w:r>
            <w:r w:rsidR="00432C9B" w:rsidRPr="00432C9B">
              <w:rPr>
                <w:rFonts w:ascii="Times New Roman" w:hAnsi="Times New Roman"/>
              </w:rPr>
              <w:t>wprowadzon</w:t>
            </w:r>
            <w:r w:rsidR="007E6C89">
              <w:rPr>
                <w:rFonts w:ascii="Times New Roman" w:hAnsi="Times New Roman"/>
              </w:rPr>
              <w:t xml:space="preserve">e </w:t>
            </w:r>
            <w:r w:rsidR="00432C9B" w:rsidRPr="00432C9B">
              <w:rPr>
                <w:rFonts w:ascii="Times New Roman" w:hAnsi="Times New Roman"/>
              </w:rPr>
              <w:t>został</w:t>
            </w:r>
            <w:r w:rsidR="007E6C89">
              <w:rPr>
                <w:rFonts w:ascii="Times New Roman" w:hAnsi="Times New Roman"/>
              </w:rPr>
              <w:t>y</w:t>
            </w:r>
            <w:r w:rsidR="00432C9B" w:rsidRPr="00432C9B">
              <w:rPr>
                <w:rFonts w:ascii="Times New Roman" w:hAnsi="Times New Roman"/>
              </w:rPr>
              <w:t xml:space="preserve"> </w:t>
            </w:r>
            <w:r w:rsidR="007E6C89">
              <w:rPr>
                <w:rFonts w:ascii="Times New Roman" w:hAnsi="Times New Roman"/>
              </w:rPr>
              <w:t xml:space="preserve">rozwiązania </w:t>
            </w:r>
            <w:r w:rsidR="00432C9B" w:rsidRPr="00432C9B">
              <w:rPr>
                <w:rFonts w:ascii="Times New Roman" w:hAnsi="Times New Roman"/>
              </w:rPr>
              <w:t>polegając</w:t>
            </w:r>
            <w:r w:rsidR="007E6C89">
              <w:rPr>
                <w:rFonts w:ascii="Times New Roman" w:hAnsi="Times New Roman"/>
              </w:rPr>
              <w:t>e</w:t>
            </w:r>
            <w:r w:rsidR="00432C9B" w:rsidRPr="00432C9B">
              <w:rPr>
                <w:rFonts w:ascii="Times New Roman" w:hAnsi="Times New Roman"/>
              </w:rPr>
              <w:t xml:space="preserve"> na przeniesieniu uprawnień do udzielania zezwoleń dostawcom usług w zakresie udostępniania informacji oraz nadzoru nad nimi z poziomu właś</w:t>
            </w:r>
            <w:r w:rsidR="00A778AC">
              <w:rPr>
                <w:rFonts w:ascii="Times New Roman" w:hAnsi="Times New Roman"/>
              </w:rPr>
              <w:t>ciwych organów krajowych do ESMA</w:t>
            </w:r>
            <w:r w:rsidR="00432C9B" w:rsidRPr="00432C9B">
              <w:rPr>
                <w:rFonts w:ascii="Times New Roman" w:hAnsi="Times New Roman"/>
              </w:rPr>
              <w:t>. Wyjątkiem będą zatwierdzone podmioty publikujące lub zatwierdzone mechanizmy sprawozdawcze</w:t>
            </w:r>
            <w:r>
              <w:rPr>
                <w:rFonts w:ascii="Times New Roman" w:hAnsi="Times New Roman"/>
              </w:rPr>
              <w:t xml:space="preserve">, </w:t>
            </w:r>
            <w:r w:rsidR="00432C9B" w:rsidRPr="00432C9B">
              <w:rPr>
                <w:rFonts w:ascii="Times New Roman" w:hAnsi="Times New Roman"/>
              </w:rPr>
              <w:t xml:space="preserve">które z racji ich ograniczonego znaczenia dla rynku wewnętrznego zostały wyłączone spod bezpośredniego nadzoru ESMA i nie podlegają wymogowi uzyskania </w:t>
            </w:r>
            <w:r w:rsidR="007E6C89">
              <w:rPr>
                <w:rFonts w:ascii="Times New Roman" w:hAnsi="Times New Roman"/>
              </w:rPr>
              <w:t xml:space="preserve">zezwolenia </w:t>
            </w:r>
            <w:r w:rsidR="00432C9B" w:rsidRPr="00432C9B">
              <w:rPr>
                <w:rFonts w:ascii="Times New Roman" w:hAnsi="Times New Roman"/>
              </w:rPr>
              <w:t xml:space="preserve">od tego Urzędu. </w:t>
            </w:r>
            <w:r w:rsidR="007E6C89">
              <w:rPr>
                <w:rFonts w:ascii="Times New Roman" w:hAnsi="Times New Roman"/>
              </w:rPr>
              <w:t xml:space="preserve">Możliwość </w:t>
            </w:r>
            <w:r w:rsidR="00432C9B" w:rsidRPr="00432C9B">
              <w:rPr>
                <w:rFonts w:ascii="Times New Roman" w:hAnsi="Times New Roman"/>
              </w:rPr>
              <w:t>korzysta</w:t>
            </w:r>
            <w:r w:rsidR="007E6C89">
              <w:rPr>
                <w:rFonts w:ascii="Times New Roman" w:hAnsi="Times New Roman"/>
              </w:rPr>
              <w:t xml:space="preserve">nia </w:t>
            </w:r>
            <w:r w:rsidR="00432C9B" w:rsidRPr="00432C9B">
              <w:rPr>
                <w:rFonts w:ascii="Times New Roman" w:hAnsi="Times New Roman"/>
              </w:rPr>
              <w:t xml:space="preserve">z odstępstwa </w:t>
            </w:r>
            <w:r w:rsidR="007E6C89">
              <w:rPr>
                <w:rFonts w:ascii="Times New Roman" w:hAnsi="Times New Roman"/>
              </w:rPr>
              <w:t xml:space="preserve">będzie uzależniona od </w:t>
            </w:r>
            <w:r w:rsidR="00432C9B" w:rsidRPr="00432C9B">
              <w:rPr>
                <w:rFonts w:ascii="Times New Roman" w:hAnsi="Times New Roman"/>
              </w:rPr>
              <w:t>spełni</w:t>
            </w:r>
            <w:r w:rsidR="007E6C89">
              <w:rPr>
                <w:rFonts w:ascii="Times New Roman" w:hAnsi="Times New Roman"/>
              </w:rPr>
              <w:t xml:space="preserve">enia </w:t>
            </w:r>
            <w:r w:rsidR="00432C9B" w:rsidRPr="00432C9B">
              <w:rPr>
                <w:rFonts w:ascii="Times New Roman" w:hAnsi="Times New Roman"/>
              </w:rPr>
              <w:t>kryteri</w:t>
            </w:r>
            <w:r>
              <w:rPr>
                <w:rFonts w:ascii="Times New Roman" w:hAnsi="Times New Roman"/>
              </w:rPr>
              <w:t>ów</w:t>
            </w:r>
            <w:r w:rsidR="00432C9B" w:rsidRPr="00432C9B">
              <w:rPr>
                <w:rFonts w:ascii="Times New Roman" w:hAnsi="Times New Roman"/>
              </w:rPr>
              <w:t xml:space="preserve"> służąc</w:t>
            </w:r>
            <w:r w:rsidR="007E6C89">
              <w:rPr>
                <w:rFonts w:ascii="Times New Roman" w:hAnsi="Times New Roman"/>
              </w:rPr>
              <w:t xml:space="preserve">ych </w:t>
            </w:r>
            <w:r w:rsidR="00432C9B" w:rsidRPr="00432C9B">
              <w:rPr>
                <w:rFonts w:ascii="Times New Roman" w:hAnsi="Times New Roman"/>
              </w:rPr>
              <w:t xml:space="preserve">identyfikacji </w:t>
            </w:r>
            <w:r>
              <w:rPr>
                <w:rFonts w:ascii="Times New Roman" w:hAnsi="Times New Roman"/>
              </w:rPr>
              <w:t xml:space="preserve">tych </w:t>
            </w:r>
            <w:r w:rsidR="00432C9B" w:rsidRPr="00432C9B">
              <w:rPr>
                <w:rFonts w:ascii="Times New Roman" w:hAnsi="Times New Roman"/>
              </w:rPr>
              <w:t>podmiotów w akcie delegowanym</w:t>
            </w:r>
            <w:r w:rsidR="007E6C89">
              <w:rPr>
                <w:rFonts w:ascii="Times New Roman" w:hAnsi="Times New Roman"/>
              </w:rPr>
              <w:t xml:space="preserve"> </w:t>
            </w:r>
            <w:r w:rsidR="00432C9B" w:rsidRPr="00432C9B">
              <w:rPr>
                <w:rFonts w:ascii="Times New Roman" w:hAnsi="Times New Roman"/>
              </w:rPr>
              <w:t>wydan</w:t>
            </w:r>
            <w:r w:rsidR="007E6C89">
              <w:rPr>
                <w:rFonts w:ascii="Times New Roman" w:hAnsi="Times New Roman"/>
              </w:rPr>
              <w:t xml:space="preserve">ym przez </w:t>
            </w:r>
            <w:r w:rsidR="00432C9B" w:rsidRPr="00432C9B">
              <w:rPr>
                <w:rFonts w:ascii="Times New Roman" w:hAnsi="Times New Roman"/>
              </w:rPr>
              <w:t>Komisj</w:t>
            </w:r>
            <w:r w:rsidR="007E6C89">
              <w:rPr>
                <w:rFonts w:ascii="Times New Roman" w:hAnsi="Times New Roman"/>
              </w:rPr>
              <w:t>ę</w:t>
            </w:r>
            <w:r w:rsidR="00432C9B" w:rsidRPr="00432C9B">
              <w:rPr>
                <w:rFonts w:ascii="Times New Roman" w:hAnsi="Times New Roman"/>
              </w:rPr>
              <w:t xml:space="preserve"> Europejsk</w:t>
            </w:r>
            <w:r w:rsidR="007E6C89">
              <w:rPr>
                <w:rFonts w:ascii="Times New Roman" w:hAnsi="Times New Roman"/>
              </w:rPr>
              <w:t>ą</w:t>
            </w:r>
            <w:r w:rsidR="00432C9B" w:rsidRPr="00432C9B">
              <w:rPr>
                <w:rFonts w:ascii="Times New Roman" w:hAnsi="Times New Roman"/>
              </w:rPr>
              <w:t>.</w:t>
            </w:r>
          </w:p>
          <w:p w14:paraId="7611602D" w14:textId="77777777" w:rsidR="007E6C89" w:rsidRDefault="007E6C89" w:rsidP="00C834B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2BB331D" w14:textId="13BED0EE" w:rsidR="00D02E8B" w:rsidRDefault="00D02E8B" w:rsidP="00A554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 w:rsidR="00A5541F" w:rsidRPr="00C834B7">
              <w:rPr>
                <w:rFonts w:ascii="Times New Roman" w:hAnsi="Times New Roman"/>
                <w:color w:val="000000"/>
              </w:rPr>
              <w:t>Z</w:t>
            </w:r>
            <w:r w:rsidR="00A5541F">
              <w:rPr>
                <w:rFonts w:ascii="Times New Roman" w:hAnsi="Times New Roman"/>
                <w:color w:val="000000"/>
              </w:rPr>
              <w:t xml:space="preserve"> </w:t>
            </w:r>
            <w:r w:rsidR="00A5541F" w:rsidRPr="00C834B7">
              <w:rPr>
                <w:rFonts w:ascii="Times New Roman" w:hAnsi="Times New Roman"/>
                <w:color w:val="000000"/>
              </w:rPr>
              <w:t xml:space="preserve">uwagi na </w:t>
            </w:r>
            <w:r w:rsidR="00A5541F">
              <w:rPr>
                <w:rFonts w:ascii="Times New Roman" w:hAnsi="Times New Roman"/>
                <w:color w:val="000000"/>
              </w:rPr>
              <w:t>rosnący udział transgranicznej działalności ubezpieczeniowej i reasekuracyjnej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5541F">
              <w:rPr>
                <w:rFonts w:ascii="Times New Roman" w:hAnsi="Times New Roman"/>
                <w:color w:val="000000"/>
              </w:rPr>
              <w:t xml:space="preserve">wykonywanej przez zakłady ubezpieczeń i zakłady reasekuracji na zasadzie swobody świadczenia usług lub przez oddział oraz przypadki </w:t>
            </w:r>
            <w:r w:rsidR="00A5541F">
              <w:rPr>
                <w:rFonts w:ascii="Times New Roman" w:hAnsi="Times New Roman"/>
                <w:color w:val="000000"/>
              </w:rPr>
              <w:lastRenderedPageBreak/>
              <w:t xml:space="preserve">niewypłacalności i upadłości europejskich zakładów ubezpieczeń wykonujących znaczącą działalność transgraniczną,   </w:t>
            </w:r>
            <w:r w:rsidR="00A5541F" w:rsidRPr="00C834B7">
              <w:rPr>
                <w:rFonts w:ascii="Times New Roman" w:hAnsi="Times New Roman"/>
                <w:color w:val="000000"/>
              </w:rPr>
              <w:t xml:space="preserve">konieczne </w:t>
            </w:r>
            <w:r w:rsidR="00A5541F">
              <w:rPr>
                <w:rFonts w:ascii="Times New Roman" w:hAnsi="Times New Roman"/>
                <w:color w:val="000000"/>
              </w:rPr>
              <w:t xml:space="preserve">jest </w:t>
            </w:r>
            <w:r>
              <w:rPr>
                <w:rFonts w:ascii="Times New Roman" w:hAnsi="Times New Roman"/>
                <w:color w:val="000000"/>
              </w:rPr>
              <w:t xml:space="preserve">także </w:t>
            </w:r>
            <w:r w:rsidR="00A5541F">
              <w:rPr>
                <w:rFonts w:ascii="Times New Roman" w:hAnsi="Times New Roman"/>
                <w:color w:val="000000"/>
              </w:rPr>
              <w:t xml:space="preserve">wzmocnienie nadzoru nad tego typu działalnością i zapewnienie bardziej efektywnej ochrony klientów takich zakładów. </w:t>
            </w:r>
          </w:p>
          <w:p w14:paraId="1DB75AE7" w14:textId="03AB9D25" w:rsidR="00A5541F" w:rsidRDefault="00A5541F" w:rsidP="00A5541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Występujące na rynku europejskim nieprawidłowości powodują konieczność zapewnienia koordynacji działań  organów nadzorczych, na terytorium których dany zakład </w:t>
            </w:r>
            <w:r w:rsidR="00D02E8B">
              <w:rPr>
                <w:rFonts w:ascii="Times New Roman" w:hAnsi="Times New Roman"/>
                <w:color w:val="000000"/>
              </w:rPr>
              <w:t xml:space="preserve">ubezpieczeń lub </w:t>
            </w:r>
            <w:r w:rsidR="00385F5B">
              <w:rPr>
                <w:rFonts w:ascii="Times New Roman" w:hAnsi="Times New Roman"/>
                <w:color w:val="000000"/>
              </w:rPr>
              <w:t xml:space="preserve"> zakład </w:t>
            </w:r>
            <w:r w:rsidR="00D02E8B">
              <w:rPr>
                <w:rFonts w:ascii="Times New Roman" w:hAnsi="Times New Roman"/>
                <w:color w:val="000000"/>
              </w:rPr>
              <w:t xml:space="preserve"> reasekuracji </w:t>
            </w:r>
            <w:r>
              <w:rPr>
                <w:rFonts w:ascii="Times New Roman" w:hAnsi="Times New Roman"/>
                <w:color w:val="000000"/>
              </w:rPr>
              <w:t>wykonuje działalność transgraniczną</w:t>
            </w:r>
            <w:r w:rsidR="00D02E8B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 xml:space="preserve"> i usprawnienia komunikacji pomiędzy tymi organami. </w:t>
            </w:r>
            <w:r w:rsidR="00385F5B">
              <w:rPr>
                <w:rFonts w:ascii="Times New Roman" w:hAnsi="Times New Roman"/>
                <w:color w:val="000000"/>
              </w:rPr>
              <w:t xml:space="preserve">Dlatego konieczne jest wprowadzenie mechanizmów wzajemnego przekazywania informacji pomiędzy organami nadzorczymi poszczególnych państwa członkowskich i EIOPA. </w:t>
            </w:r>
            <w:r>
              <w:rPr>
                <w:rFonts w:ascii="Times New Roman" w:hAnsi="Times New Roman"/>
                <w:color w:val="000000"/>
              </w:rPr>
              <w:t xml:space="preserve">Pozwoli to na podjęcie </w:t>
            </w:r>
            <w:r w:rsidR="00385F5B">
              <w:rPr>
                <w:rFonts w:ascii="Times New Roman" w:hAnsi="Times New Roman"/>
                <w:color w:val="000000"/>
              </w:rPr>
              <w:t xml:space="preserve">odpowiednich </w:t>
            </w:r>
            <w:r>
              <w:rPr>
                <w:rFonts w:ascii="Times New Roman" w:hAnsi="Times New Roman"/>
                <w:color w:val="000000"/>
              </w:rPr>
              <w:t xml:space="preserve">działań prewencyjnych i interwencji. Ważnym narzędziem poprawiającym skuteczność nadzoru nad działalnością transgraniczną podmiotów rynku ubezpieczeniowego </w:t>
            </w:r>
            <w:r w:rsidR="00D02E8B">
              <w:rPr>
                <w:rFonts w:ascii="Times New Roman" w:hAnsi="Times New Roman"/>
                <w:color w:val="000000"/>
              </w:rPr>
              <w:t xml:space="preserve">będą </w:t>
            </w:r>
            <w:r>
              <w:rPr>
                <w:rFonts w:ascii="Times New Roman" w:hAnsi="Times New Roman"/>
                <w:color w:val="000000"/>
              </w:rPr>
              <w:t>platformy współpracy</w:t>
            </w:r>
            <w:r w:rsidR="00D02E8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ustanawiane przez właściwe organy nadzorcze albo EIOPA. </w:t>
            </w:r>
          </w:p>
          <w:p w14:paraId="3E96CADD" w14:textId="7C625998" w:rsidR="00D123D1" w:rsidRPr="00432C9B" w:rsidRDefault="00D123D1" w:rsidP="00A5541F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701A" w:rsidRPr="008B4FE6" w14:paraId="7B1B959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87A6EC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5C45A2A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69A58D8" w14:textId="286D4F70" w:rsidR="00F4130B" w:rsidRPr="007337F1" w:rsidRDefault="00385F5B" w:rsidP="00590608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827600">
              <w:rPr>
                <w:rFonts w:ascii="Times New Roman" w:hAnsi="Times New Roman"/>
              </w:rPr>
              <w:t>prowadzenie zmian</w:t>
            </w:r>
            <w:r w:rsidR="00F4130B" w:rsidRPr="007337F1">
              <w:rPr>
                <w:rFonts w:ascii="Times New Roman" w:hAnsi="Times New Roman"/>
              </w:rPr>
              <w:t xml:space="preserve"> w następujących akt</w:t>
            </w:r>
            <w:r w:rsidR="00BA312A">
              <w:rPr>
                <w:rFonts w:ascii="Times New Roman" w:hAnsi="Times New Roman"/>
              </w:rPr>
              <w:t>ach</w:t>
            </w:r>
            <w:r w:rsidR="00F4130B" w:rsidRPr="007337F1">
              <w:rPr>
                <w:rFonts w:ascii="Times New Roman" w:hAnsi="Times New Roman"/>
              </w:rPr>
              <w:t xml:space="preserve"> prawnych:</w:t>
            </w:r>
          </w:p>
          <w:p w14:paraId="4FC9CFCB" w14:textId="679A4758" w:rsidR="00284F42" w:rsidRPr="00673D8D" w:rsidRDefault="00284F42" w:rsidP="00590608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A56301">
              <w:rPr>
                <w:rFonts w:ascii="Times New Roman" w:hAnsi="Times New Roman"/>
              </w:rPr>
              <w:t>ustaw</w:t>
            </w:r>
            <w:r w:rsidR="00BA312A">
              <w:rPr>
                <w:rFonts w:ascii="Times New Roman" w:hAnsi="Times New Roman"/>
              </w:rPr>
              <w:t>a</w:t>
            </w:r>
            <w:r w:rsidRPr="00A56301">
              <w:rPr>
                <w:rFonts w:ascii="Times New Roman" w:hAnsi="Times New Roman"/>
              </w:rPr>
              <w:t xml:space="preserve"> z dnia 29 lipca 2005 r. o obrocie instrumentami finansowymi</w:t>
            </w:r>
            <w:r w:rsidR="00F2102A" w:rsidRPr="00673D8D">
              <w:rPr>
                <w:rFonts w:ascii="Times New Roman" w:hAnsi="Times New Roman"/>
              </w:rPr>
              <w:t xml:space="preserve"> </w:t>
            </w:r>
            <w:r w:rsidR="00A56301" w:rsidRPr="00C834B7">
              <w:rPr>
                <w:rFonts w:ascii="Times New Roman" w:hAnsi="Times New Roman"/>
              </w:rPr>
              <w:t xml:space="preserve">(Dz. U. z 2020 r. poz. 89, </w:t>
            </w:r>
            <w:r w:rsidR="00A70DF1">
              <w:rPr>
                <w:rFonts w:ascii="Times New Roman" w:hAnsi="Times New Roman"/>
              </w:rPr>
              <w:t>z późn. zm.</w:t>
            </w:r>
            <w:r w:rsidR="00A56301" w:rsidRPr="00C834B7">
              <w:rPr>
                <w:rFonts w:ascii="Times New Roman" w:hAnsi="Times New Roman"/>
              </w:rPr>
              <w:t xml:space="preserve">); </w:t>
            </w:r>
          </w:p>
          <w:p w14:paraId="22E4C1B4" w14:textId="335988F9" w:rsidR="00284F42" w:rsidRPr="00673D8D" w:rsidRDefault="00284F42" w:rsidP="00590608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673D8D">
              <w:rPr>
                <w:rFonts w:ascii="Times New Roman" w:hAnsi="Times New Roman"/>
              </w:rPr>
              <w:t>ustaw</w:t>
            </w:r>
            <w:r w:rsidR="00BA312A">
              <w:rPr>
                <w:rFonts w:ascii="Times New Roman" w:hAnsi="Times New Roman"/>
              </w:rPr>
              <w:t>a</w:t>
            </w:r>
            <w:r w:rsidRPr="00673D8D">
              <w:rPr>
                <w:rFonts w:ascii="Times New Roman" w:hAnsi="Times New Roman"/>
              </w:rPr>
              <w:t xml:space="preserve"> z dnia 29 lipca 2005 r. o nadzorze nad rynkiem kapitałowym</w:t>
            </w:r>
            <w:r w:rsidR="00A56301" w:rsidRPr="00673D8D">
              <w:rPr>
                <w:rFonts w:ascii="Times New Roman" w:hAnsi="Times New Roman"/>
              </w:rPr>
              <w:t xml:space="preserve"> </w:t>
            </w:r>
            <w:r w:rsidR="00A56301" w:rsidRPr="00C834B7">
              <w:rPr>
                <w:rFonts w:ascii="Times New Roman" w:hAnsi="Times New Roman"/>
              </w:rPr>
              <w:t>(Dz. U. z 2019 r. poz. 1871</w:t>
            </w:r>
            <w:r w:rsidR="00A70DF1">
              <w:rPr>
                <w:rFonts w:ascii="Times New Roman" w:hAnsi="Times New Roman"/>
              </w:rPr>
              <w:t>, z późn. zm.</w:t>
            </w:r>
            <w:r w:rsidR="00A56301" w:rsidRPr="00C834B7">
              <w:rPr>
                <w:rFonts w:ascii="Times New Roman" w:hAnsi="Times New Roman"/>
              </w:rPr>
              <w:t>)</w:t>
            </w:r>
            <w:r w:rsidRPr="00A56301">
              <w:rPr>
                <w:rFonts w:ascii="Times New Roman" w:hAnsi="Times New Roman"/>
              </w:rPr>
              <w:t>;</w:t>
            </w:r>
          </w:p>
          <w:p w14:paraId="7C4661D5" w14:textId="17820944" w:rsidR="007C1084" w:rsidRPr="00082508" w:rsidRDefault="00C92554" w:rsidP="00270672">
            <w:pPr>
              <w:pStyle w:val="Akapitzlist"/>
              <w:numPr>
                <w:ilvl w:val="0"/>
                <w:numId w:val="23"/>
              </w:numPr>
              <w:spacing w:before="120" w:after="12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C834B7">
              <w:rPr>
                <w:rFonts w:ascii="Times New Roman" w:hAnsi="Times New Roman"/>
              </w:rPr>
              <w:t>ustaw</w:t>
            </w:r>
            <w:r w:rsidR="00BA312A">
              <w:rPr>
                <w:rFonts w:ascii="Times New Roman" w:hAnsi="Times New Roman"/>
              </w:rPr>
              <w:t>a</w:t>
            </w:r>
            <w:r w:rsidRPr="00C834B7">
              <w:rPr>
                <w:rFonts w:ascii="Times New Roman" w:hAnsi="Times New Roman"/>
              </w:rPr>
              <w:t xml:space="preserve"> z dnia 11 września 2015 r. o działalności ubezpieczeniowej i reasekuracyjnej</w:t>
            </w:r>
            <w:r w:rsidR="00A56301" w:rsidRPr="00A56301">
              <w:rPr>
                <w:rFonts w:ascii="Times New Roman" w:hAnsi="Times New Roman"/>
              </w:rPr>
              <w:t xml:space="preserve"> </w:t>
            </w:r>
            <w:r w:rsidR="00A56301" w:rsidRPr="00082508">
              <w:rPr>
                <w:rFonts w:ascii="Times New Roman" w:hAnsi="Times New Roman"/>
              </w:rPr>
              <w:t>(Dz. U. z</w:t>
            </w:r>
            <w:r w:rsidR="00082508" w:rsidRPr="00082508">
              <w:rPr>
                <w:rFonts w:ascii="Times New Roman" w:hAnsi="Times New Roman"/>
              </w:rPr>
              <w:t xml:space="preserve"> 2020 r. poz. 895</w:t>
            </w:r>
            <w:r w:rsidR="00A56301" w:rsidRPr="00082508">
              <w:rPr>
                <w:rFonts w:ascii="Times New Roman" w:hAnsi="Times New Roman"/>
              </w:rPr>
              <w:t>).</w:t>
            </w:r>
          </w:p>
          <w:p w14:paraId="19A305C5" w14:textId="77777777" w:rsidR="00385F5B" w:rsidRDefault="00385F5B" w:rsidP="00385F5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A8B2B75" w14:textId="6CDE3FF9" w:rsidR="00385F5B" w:rsidRDefault="00385F5B" w:rsidP="00385F5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zakresie ustawy o obrocie instrumentami finansowymi i ustawy o nadzorze nad rynkiem kapitałowym projekt przewiduje:</w:t>
            </w:r>
          </w:p>
          <w:p w14:paraId="073CBFC4" w14:textId="0CC8F3E6" w:rsidR="00385F5B" w:rsidRPr="006603C2" w:rsidRDefault="00385F5B" w:rsidP="006603C2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603C2">
              <w:rPr>
                <w:rFonts w:ascii="Times New Roman" w:hAnsi="Times New Roman"/>
              </w:rPr>
              <w:t xml:space="preserve">uchylenie przepisów dotyczących wymogów operacyjnych dla dostawców usług w zakresie udostępniania informacji oraz uprawnień Komisji Nadzoru Finansowego </w:t>
            </w:r>
            <w:r w:rsidR="004B55D6" w:rsidRPr="006603C2">
              <w:rPr>
                <w:rFonts w:ascii="Times New Roman" w:hAnsi="Times New Roman"/>
              </w:rPr>
              <w:t xml:space="preserve">(KNF) </w:t>
            </w:r>
            <w:r w:rsidRPr="006603C2">
              <w:rPr>
                <w:rFonts w:ascii="Times New Roman" w:hAnsi="Times New Roman"/>
              </w:rPr>
              <w:t>w odniesieniu do dostawców takich usług</w:t>
            </w:r>
            <w:r w:rsidR="00A404B4" w:rsidRPr="006603C2">
              <w:rPr>
                <w:rFonts w:ascii="Times New Roman" w:hAnsi="Times New Roman"/>
              </w:rPr>
              <w:t>;</w:t>
            </w:r>
          </w:p>
          <w:p w14:paraId="420C97A8" w14:textId="2D0CEE72" w:rsidR="00385F5B" w:rsidRPr="006603C2" w:rsidRDefault="00C20A95" w:rsidP="006603C2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603C2">
              <w:rPr>
                <w:rFonts w:ascii="Times New Roman" w:hAnsi="Times New Roman"/>
              </w:rPr>
              <w:t>uaktualnienie pojęć dotyczących zatwierdzonego podmiotu publikującego, zatwierdzonego mechanizmu sprawozdawczego oraz dostawców usług w zakresie udostępniania informacji;</w:t>
            </w:r>
          </w:p>
          <w:p w14:paraId="5059CC11" w14:textId="70CE66F0" w:rsidR="004B55D6" w:rsidRPr="006603C2" w:rsidRDefault="00767680" w:rsidP="006603C2">
            <w:pPr>
              <w:pStyle w:val="Akapitzlist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603C2">
              <w:rPr>
                <w:rFonts w:ascii="Times New Roman" w:hAnsi="Times New Roman"/>
              </w:rPr>
              <w:t xml:space="preserve">umożliwienie </w:t>
            </w:r>
            <w:r w:rsidR="004B55D6" w:rsidRPr="006603C2">
              <w:rPr>
                <w:rFonts w:ascii="Times New Roman" w:hAnsi="Times New Roman"/>
              </w:rPr>
              <w:t xml:space="preserve">KNF </w:t>
            </w:r>
            <w:r w:rsidRPr="006603C2">
              <w:rPr>
                <w:rFonts w:ascii="Times New Roman" w:hAnsi="Times New Roman"/>
              </w:rPr>
              <w:t>wykonywania nadzoru i wszelkich czynności z nim związanych w związku ze sprawowaniem</w:t>
            </w:r>
            <w:r w:rsidR="004B55D6" w:rsidRPr="006603C2">
              <w:rPr>
                <w:rFonts w:ascii="Times New Roman" w:hAnsi="Times New Roman"/>
              </w:rPr>
              <w:t xml:space="preserve"> nadzoru nad zatwierdzonymi podmiotami publikującymi lub zatwierdzonymi mechanizmami sprawozdawczymi, o których mowa w aktach delegowanych, przyjętych przez Komisję Europejską na podstawie art. 2 ust. 3 rozporządzenia 600/2014.</w:t>
            </w:r>
          </w:p>
          <w:p w14:paraId="44DF9066" w14:textId="77777777" w:rsidR="0089303F" w:rsidRDefault="0089303F" w:rsidP="00385F5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0BD6DAF" w14:textId="3D05FD0C" w:rsidR="00385F5B" w:rsidRDefault="00385F5B" w:rsidP="006D46D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W zakresie </w:t>
            </w:r>
            <w:r w:rsidR="00A5541F">
              <w:rPr>
                <w:rFonts w:ascii="Times New Roman" w:hAnsi="Times New Roman"/>
              </w:rPr>
              <w:t>ustaw</w:t>
            </w:r>
            <w:r>
              <w:rPr>
                <w:rFonts w:ascii="Times New Roman" w:hAnsi="Times New Roman"/>
              </w:rPr>
              <w:t xml:space="preserve">y </w:t>
            </w:r>
            <w:r w:rsidR="00A5541F" w:rsidRPr="00C834B7">
              <w:rPr>
                <w:rFonts w:ascii="Times New Roman" w:hAnsi="Times New Roman"/>
              </w:rPr>
              <w:t xml:space="preserve"> o działalności ubezpieczeniowej i reasekuracyjnej</w:t>
            </w:r>
            <w:r w:rsidR="00A5541F" w:rsidRPr="00A56301">
              <w:rPr>
                <w:rFonts w:ascii="Times New Roman" w:hAnsi="Times New Roman"/>
              </w:rPr>
              <w:t xml:space="preserve"> </w:t>
            </w:r>
            <w:r w:rsidR="00A554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projekt przewiduje: </w:t>
            </w:r>
          </w:p>
          <w:p w14:paraId="07B739B2" w14:textId="12CD040F" w:rsidR="00385F5B" w:rsidRPr="006603C2" w:rsidRDefault="00385F5B" w:rsidP="006603C2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603C2">
              <w:rPr>
                <w:rFonts w:ascii="Times New Roman" w:hAnsi="Times New Roman"/>
                <w:color w:val="000000"/>
              </w:rPr>
              <w:t xml:space="preserve">zobowiązanie </w:t>
            </w:r>
            <w:r w:rsidR="00A5541F" w:rsidRPr="006603C2">
              <w:rPr>
                <w:rFonts w:ascii="Times New Roman" w:hAnsi="Times New Roman"/>
                <w:color w:val="000000"/>
              </w:rPr>
              <w:t>organ</w:t>
            </w:r>
            <w:r w:rsidR="00653243" w:rsidRPr="006603C2">
              <w:rPr>
                <w:rFonts w:ascii="Times New Roman" w:hAnsi="Times New Roman"/>
                <w:color w:val="000000"/>
              </w:rPr>
              <w:t>u</w:t>
            </w:r>
            <w:r w:rsidR="00A5541F" w:rsidRPr="006603C2">
              <w:rPr>
                <w:rFonts w:ascii="Times New Roman" w:hAnsi="Times New Roman"/>
                <w:color w:val="000000"/>
              </w:rPr>
              <w:t xml:space="preserve"> nadzoru</w:t>
            </w:r>
            <w:r w:rsidRPr="006603C2">
              <w:rPr>
                <w:rFonts w:ascii="Times New Roman" w:hAnsi="Times New Roman"/>
                <w:color w:val="000000"/>
              </w:rPr>
              <w:t>, tj. Komisj</w:t>
            </w:r>
            <w:r w:rsidR="00653243" w:rsidRPr="006603C2">
              <w:rPr>
                <w:rFonts w:ascii="Times New Roman" w:hAnsi="Times New Roman"/>
                <w:color w:val="000000"/>
              </w:rPr>
              <w:t>i</w:t>
            </w:r>
            <w:r w:rsidRPr="006603C2">
              <w:rPr>
                <w:rFonts w:ascii="Times New Roman" w:hAnsi="Times New Roman"/>
                <w:color w:val="000000"/>
              </w:rPr>
              <w:t xml:space="preserve"> Nadzoru Finansowego (KNF)</w:t>
            </w:r>
            <w:r w:rsidR="00653243" w:rsidRPr="006603C2">
              <w:rPr>
                <w:rFonts w:ascii="Times New Roman" w:hAnsi="Times New Roman"/>
                <w:color w:val="000000"/>
              </w:rPr>
              <w:t>,</w:t>
            </w:r>
            <w:r w:rsidRPr="006603C2">
              <w:rPr>
                <w:rFonts w:ascii="Times New Roman" w:hAnsi="Times New Roman"/>
                <w:color w:val="000000"/>
              </w:rPr>
              <w:t xml:space="preserve"> </w:t>
            </w:r>
            <w:r w:rsidR="00A5541F" w:rsidRPr="006603C2">
              <w:rPr>
                <w:rFonts w:ascii="Times New Roman" w:hAnsi="Times New Roman"/>
                <w:color w:val="000000"/>
              </w:rPr>
              <w:t xml:space="preserve"> do niezwłocznego przekazywania właściwym organom nadzorczym innych państw członkowskich Unii Europejskiej oraz EIOPA informacji dotyczących krajowych zakładów ubezpieczeń lub krajowych zakładów reasekuracji, które wykonują lub </w:t>
            </w:r>
            <w:r w:rsidRPr="006603C2">
              <w:rPr>
                <w:rFonts w:ascii="Times New Roman" w:hAnsi="Times New Roman"/>
                <w:color w:val="000000"/>
              </w:rPr>
              <w:t xml:space="preserve">zamierzają </w:t>
            </w:r>
            <w:r w:rsidR="00A5541F" w:rsidRPr="006603C2">
              <w:rPr>
                <w:rFonts w:ascii="Times New Roman" w:hAnsi="Times New Roman"/>
                <w:color w:val="000000"/>
              </w:rPr>
              <w:t>wykonywać znaczącą działalność transgraniczną na terytorium tych państw oraz o ryzykach związanych z tą działalnością</w:t>
            </w:r>
            <w:r w:rsidR="00A404B4" w:rsidRPr="006603C2">
              <w:rPr>
                <w:rFonts w:ascii="Times New Roman" w:hAnsi="Times New Roman"/>
                <w:color w:val="000000"/>
              </w:rPr>
              <w:t>;</w:t>
            </w:r>
          </w:p>
          <w:p w14:paraId="6DCEDE4F" w14:textId="79598C78" w:rsidR="00A5541F" w:rsidRPr="006603C2" w:rsidRDefault="00A5541F" w:rsidP="006603C2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6603C2">
              <w:rPr>
                <w:rFonts w:ascii="Times New Roman" w:hAnsi="Times New Roman"/>
                <w:color w:val="000000"/>
              </w:rPr>
              <w:t>zobowiązan</w:t>
            </w:r>
            <w:r w:rsidR="000816F0" w:rsidRPr="006603C2">
              <w:rPr>
                <w:rFonts w:ascii="Times New Roman" w:hAnsi="Times New Roman"/>
                <w:color w:val="000000"/>
              </w:rPr>
              <w:t xml:space="preserve">ie KNF </w:t>
            </w:r>
            <w:r w:rsidRPr="006603C2">
              <w:rPr>
                <w:rFonts w:ascii="Times New Roman" w:hAnsi="Times New Roman"/>
                <w:color w:val="000000"/>
              </w:rPr>
              <w:t>do niezwłocznego przekazywania właściwym organom nadzorczym innych państw członkowskich Unii Europejskiej oraz EIOPA informacji o działalności transgranicznej zagranicznych zakładów ubezpieczeń na terytorium RP w przypadku  stwierdzenia możliwość naruszenia interesów klientów tych zakładów</w:t>
            </w:r>
            <w:r w:rsidR="00A404B4" w:rsidRPr="006603C2">
              <w:rPr>
                <w:rFonts w:ascii="Times New Roman" w:hAnsi="Times New Roman"/>
                <w:color w:val="000000"/>
              </w:rPr>
              <w:t>;</w:t>
            </w:r>
          </w:p>
          <w:p w14:paraId="216B5496" w14:textId="77777777" w:rsidR="00BA312A" w:rsidRPr="00917925" w:rsidRDefault="000816F0" w:rsidP="006603C2">
            <w:pPr>
              <w:pStyle w:val="Akapitzlist"/>
              <w:numPr>
                <w:ilvl w:val="0"/>
                <w:numId w:val="27"/>
              </w:numPr>
              <w:spacing w:before="120" w:after="120" w:line="240" w:lineRule="auto"/>
              <w:jc w:val="both"/>
            </w:pPr>
            <w:r w:rsidRPr="006603C2">
              <w:rPr>
                <w:rFonts w:ascii="Times New Roman" w:hAnsi="Times New Roman"/>
              </w:rPr>
              <w:t xml:space="preserve">umożliwienie KNF </w:t>
            </w:r>
            <w:r w:rsidR="00A5541F" w:rsidRPr="006603C2">
              <w:rPr>
                <w:rFonts w:ascii="Times New Roman" w:hAnsi="Times New Roman"/>
              </w:rPr>
              <w:t>występowani</w:t>
            </w:r>
            <w:r w:rsidRPr="006603C2">
              <w:rPr>
                <w:rFonts w:ascii="Times New Roman" w:hAnsi="Times New Roman"/>
              </w:rPr>
              <w:t>a</w:t>
            </w:r>
            <w:r w:rsidR="00A5541F" w:rsidRPr="006603C2">
              <w:rPr>
                <w:rFonts w:ascii="Times New Roman" w:hAnsi="Times New Roman"/>
              </w:rPr>
              <w:t xml:space="preserve"> z wnioskiem do właściwych organów nadzorczych innych państw członkowskich Unii Europejskiej </w:t>
            </w:r>
            <w:r w:rsidRPr="006603C2">
              <w:rPr>
                <w:rFonts w:ascii="Times New Roman" w:hAnsi="Times New Roman"/>
              </w:rPr>
              <w:t xml:space="preserve">i </w:t>
            </w:r>
            <w:r w:rsidR="00A5541F" w:rsidRPr="006603C2">
              <w:rPr>
                <w:rFonts w:ascii="Times New Roman" w:hAnsi="Times New Roman"/>
              </w:rPr>
              <w:t>EIOPA o ustanowienie i koordynowanie platform współpracy</w:t>
            </w:r>
            <w:r w:rsidRPr="006603C2">
              <w:rPr>
                <w:rFonts w:ascii="Times New Roman" w:hAnsi="Times New Roman"/>
              </w:rPr>
              <w:t xml:space="preserve"> oraz </w:t>
            </w:r>
            <w:r w:rsidR="00A5541F" w:rsidRPr="006603C2">
              <w:rPr>
                <w:rFonts w:ascii="Times New Roman" w:hAnsi="Times New Roman"/>
              </w:rPr>
              <w:t>uczestnictwo w takich platformach</w:t>
            </w:r>
            <w:r w:rsidRPr="006603C2">
              <w:rPr>
                <w:rFonts w:ascii="Times New Roman" w:hAnsi="Times New Roman"/>
              </w:rPr>
              <w:t xml:space="preserve">. </w:t>
            </w:r>
            <w:r w:rsidRPr="006603C2">
              <w:rPr>
                <w:rFonts w:ascii="Times New Roman" w:hAnsi="Times New Roman"/>
                <w:color w:val="000000"/>
              </w:rPr>
              <w:t>Z</w:t>
            </w:r>
            <w:r w:rsidR="00A5541F" w:rsidRPr="006603C2">
              <w:rPr>
                <w:rFonts w:ascii="Times New Roman" w:hAnsi="Times New Roman"/>
                <w:color w:val="000000"/>
              </w:rPr>
              <w:t xml:space="preserve">apewni </w:t>
            </w:r>
            <w:r w:rsidRPr="006603C2">
              <w:rPr>
                <w:rFonts w:ascii="Times New Roman" w:hAnsi="Times New Roman"/>
                <w:color w:val="000000"/>
              </w:rPr>
              <w:t xml:space="preserve">to </w:t>
            </w:r>
            <w:r w:rsidR="00A5541F" w:rsidRPr="006603C2">
              <w:rPr>
                <w:rFonts w:ascii="Times New Roman" w:hAnsi="Times New Roman"/>
                <w:color w:val="000000"/>
              </w:rPr>
              <w:t xml:space="preserve">usprawnienie wymiany informacji pomiędzy KNF </w:t>
            </w:r>
            <w:r w:rsidRPr="006603C2">
              <w:rPr>
                <w:rFonts w:ascii="Times New Roman" w:hAnsi="Times New Roman"/>
                <w:color w:val="000000"/>
              </w:rPr>
              <w:t xml:space="preserve">i innymi organami, </w:t>
            </w:r>
            <w:r w:rsidR="00A5541F" w:rsidRPr="006603C2">
              <w:rPr>
                <w:rFonts w:ascii="Times New Roman" w:hAnsi="Times New Roman"/>
                <w:color w:val="000000"/>
              </w:rPr>
              <w:t>identyfikację środków prewencyjnych</w:t>
            </w:r>
            <w:r w:rsidRPr="006603C2">
              <w:rPr>
                <w:rFonts w:ascii="Times New Roman" w:hAnsi="Times New Roman"/>
                <w:color w:val="000000"/>
              </w:rPr>
              <w:t xml:space="preserve">, </w:t>
            </w:r>
            <w:r w:rsidR="00A5541F" w:rsidRPr="006603C2">
              <w:rPr>
                <w:rFonts w:ascii="Times New Roman" w:hAnsi="Times New Roman"/>
                <w:color w:val="000000"/>
              </w:rPr>
              <w:t>podejmowani</w:t>
            </w:r>
            <w:r w:rsidRPr="006603C2">
              <w:rPr>
                <w:rFonts w:ascii="Times New Roman" w:hAnsi="Times New Roman"/>
                <w:color w:val="000000"/>
              </w:rPr>
              <w:t>e</w:t>
            </w:r>
            <w:r w:rsidR="00A5541F" w:rsidRPr="006603C2">
              <w:rPr>
                <w:rFonts w:ascii="Times New Roman" w:hAnsi="Times New Roman"/>
                <w:color w:val="000000"/>
              </w:rPr>
              <w:t xml:space="preserve"> </w:t>
            </w:r>
            <w:r w:rsidRPr="006603C2">
              <w:rPr>
                <w:rFonts w:ascii="Times New Roman" w:hAnsi="Times New Roman"/>
                <w:color w:val="000000"/>
              </w:rPr>
              <w:t xml:space="preserve">odpowiednich </w:t>
            </w:r>
            <w:r w:rsidR="00A5541F" w:rsidRPr="006603C2">
              <w:rPr>
                <w:rFonts w:ascii="Times New Roman" w:hAnsi="Times New Roman"/>
                <w:color w:val="000000"/>
              </w:rPr>
              <w:t xml:space="preserve">działań nadzorczych EIOPA będzie mogła </w:t>
            </w:r>
            <w:r w:rsidRPr="006603C2">
              <w:rPr>
                <w:rFonts w:ascii="Times New Roman" w:hAnsi="Times New Roman"/>
                <w:color w:val="000000"/>
              </w:rPr>
              <w:t xml:space="preserve">natomiast </w:t>
            </w:r>
            <w:r w:rsidR="00A5541F" w:rsidRPr="006603C2">
              <w:rPr>
                <w:rFonts w:ascii="Times New Roman" w:hAnsi="Times New Roman"/>
                <w:color w:val="000000"/>
              </w:rPr>
              <w:t xml:space="preserve">zapewnić odpowiednią koordynację działań nadzorczych.  </w:t>
            </w:r>
          </w:p>
          <w:p w14:paraId="31D53B03" w14:textId="324203CF" w:rsidR="00917925" w:rsidRPr="008C5521" w:rsidRDefault="00917925" w:rsidP="00917925">
            <w:pPr>
              <w:pStyle w:val="Akapitzlist"/>
              <w:spacing w:before="120" w:after="120" w:line="240" w:lineRule="auto"/>
              <w:ind w:left="770"/>
              <w:jc w:val="both"/>
            </w:pPr>
          </w:p>
        </w:tc>
      </w:tr>
      <w:tr w:rsidR="006A701A" w:rsidRPr="008B4FE6" w14:paraId="76346B96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7EB6B6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950B70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41042EA" w14:textId="77777777" w:rsidR="006A701A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7A2C4DBB" w14:textId="3B8BA43D" w:rsidR="00421698" w:rsidRDefault="00350B8B" w:rsidP="004216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Aktualnie nie </w:t>
            </w:r>
            <w:r w:rsidRPr="00CC631A">
              <w:rPr>
                <w:rFonts w:ascii="Times New Roman" w:hAnsi="Times New Roman"/>
              </w:rPr>
              <w:t>występują w tym zakresie</w:t>
            </w:r>
            <w:r>
              <w:rPr>
                <w:rFonts w:ascii="Times New Roman" w:hAnsi="Times New Roman"/>
              </w:rPr>
              <w:t xml:space="preserve"> rozwiązania w innych krajach </w:t>
            </w:r>
            <w:r w:rsidRPr="00CC631A">
              <w:rPr>
                <w:rFonts w:ascii="Times New Roman" w:hAnsi="Times New Roman"/>
              </w:rPr>
              <w:t>z uwagi na jednakowy termin na implementację dyrektywy</w:t>
            </w:r>
            <w:r w:rsidR="00A70DF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70DF1" w:rsidRPr="00301502">
              <w:rPr>
                <w:rFonts w:ascii="Times New Roman" w:hAnsi="Times New Roman"/>
              </w:rPr>
              <w:t>2019/2177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Zgodnie z informacją dostępną w bazie krajowych środków wykonawczych systemu EUR-lex, na dzień </w:t>
            </w:r>
            <w:r w:rsidR="00F2102A"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="00C92554">
              <w:rPr>
                <w:rFonts w:ascii="Times New Roman" w:hAnsi="Times New Roman"/>
                <w:color w:val="000000"/>
                <w:spacing w:val="-2"/>
              </w:rPr>
              <w:t xml:space="preserve"> marca </w:t>
            </w:r>
            <w:r>
              <w:rPr>
                <w:rFonts w:ascii="Times New Roman" w:hAnsi="Times New Roman"/>
                <w:color w:val="000000"/>
                <w:spacing w:val="-2"/>
              </w:rPr>
              <w:t>20</w:t>
            </w:r>
            <w:r w:rsidR="007B242A">
              <w:rPr>
                <w:rFonts w:ascii="Times New Roman" w:hAnsi="Times New Roman"/>
                <w:color w:val="000000"/>
                <w:spacing w:val="-2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r. żadne z państw członkowskich nie notyfikowało wdrożenia dyrektywy </w:t>
            </w:r>
            <w:r w:rsidR="00421698" w:rsidRPr="00301502">
              <w:rPr>
                <w:rFonts w:ascii="Times New Roman" w:hAnsi="Times New Roman"/>
              </w:rPr>
              <w:t xml:space="preserve">2019/2177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do krajowego porządku </w:t>
            </w:r>
            <w:r w:rsidR="006603C2">
              <w:rPr>
                <w:rFonts w:ascii="Times New Roman" w:hAnsi="Times New Roman"/>
                <w:color w:val="000000"/>
                <w:spacing w:val="-2"/>
              </w:rPr>
              <w:t>prawnego.</w:t>
            </w:r>
          </w:p>
          <w:p w14:paraId="5B1684BD" w14:textId="35F5F4DB" w:rsidR="00F4130B" w:rsidRDefault="00421698" w:rsidP="00421698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301502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</w:t>
            </w:r>
            <w:r>
              <w:rPr>
                <w:rFonts w:ascii="Times New Roman" w:hAnsi="Times New Roman"/>
              </w:rPr>
              <w:t>yrektywa</w:t>
            </w:r>
            <w:r w:rsidR="00653243">
              <w:rPr>
                <w:rFonts w:ascii="Times New Roman" w:hAnsi="Times New Roman"/>
              </w:rPr>
              <w:t xml:space="preserve"> 2019</w:t>
            </w:r>
            <w:r w:rsidRPr="00301502">
              <w:rPr>
                <w:rFonts w:ascii="Times New Roman" w:hAnsi="Times New Roman"/>
              </w:rPr>
              <w:t xml:space="preserve"> /2177 </w:t>
            </w:r>
            <w:r>
              <w:rPr>
                <w:rFonts w:ascii="Times New Roman" w:hAnsi="Times New Roman"/>
              </w:rPr>
              <w:t>weszła w życie trzeciego dnia po jej</w:t>
            </w:r>
            <w:r w:rsidR="00F4130B">
              <w:rPr>
                <w:rFonts w:ascii="Times New Roman" w:hAnsi="Times New Roman"/>
              </w:rPr>
              <w:t xml:space="preserve"> opublikowaniu w Dzienniku Urzędowym UE</w:t>
            </w:r>
            <w:r w:rsidR="00A70DF1">
              <w:rPr>
                <w:rFonts w:ascii="Times New Roman" w:hAnsi="Times New Roman"/>
              </w:rPr>
              <w:t xml:space="preserve">, </w:t>
            </w:r>
            <w:r w:rsidR="00F4130B">
              <w:rPr>
                <w:rFonts w:ascii="Times New Roman" w:hAnsi="Times New Roman"/>
              </w:rPr>
              <w:t xml:space="preserve"> tj. </w:t>
            </w:r>
            <w:r w:rsidR="00BF01A3">
              <w:rPr>
                <w:rFonts w:ascii="Times New Roman" w:hAnsi="Times New Roman"/>
              </w:rPr>
              <w:t xml:space="preserve">z dniem </w:t>
            </w:r>
            <w:r w:rsidR="00F4130B">
              <w:rPr>
                <w:rFonts w:ascii="Times New Roman" w:hAnsi="Times New Roman"/>
              </w:rPr>
              <w:t xml:space="preserve">27 </w:t>
            </w:r>
            <w:r>
              <w:rPr>
                <w:rFonts w:ascii="Times New Roman" w:hAnsi="Times New Roman"/>
              </w:rPr>
              <w:t xml:space="preserve">grudnia </w:t>
            </w:r>
            <w:r w:rsidR="00F4130B">
              <w:rPr>
                <w:rFonts w:ascii="Times New Roman" w:hAnsi="Times New Roman"/>
              </w:rPr>
              <w:t>2019 r. Czas przewidziany na jej transpozycję wynosi 18 miesięcy.</w:t>
            </w:r>
          </w:p>
          <w:p w14:paraId="2D98B890" w14:textId="77777777" w:rsidR="00917925" w:rsidRDefault="00917925" w:rsidP="004216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6ED3D62" w14:textId="77777777" w:rsidR="00917925" w:rsidRPr="00B37C80" w:rsidRDefault="00917925" w:rsidP="004216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9EF3854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3B887E9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88B1A9A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00BFA8A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E6CDE8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1A227C1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4DBE5D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30E257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33EEEF9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3B5326E" w14:textId="374DB6B3" w:rsidR="00260F33" w:rsidRPr="008B4FE6" w:rsidRDefault="00E16FA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Zatwierdzone podmioty publikujące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4DCD5A2" w14:textId="4190618B" w:rsidR="00260F33" w:rsidRPr="00B37C80" w:rsidRDefault="009C1FEB" w:rsidP="00CF7237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18</w:t>
            </w:r>
            <w:r w:rsidR="00E16FAD">
              <w:rPr>
                <w:rFonts w:ascii="Times New Roman" w:hAnsi="Times New Roman"/>
                <w:color w:val="000000"/>
                <w:spacing w:val="-2"/>
              </w:rPr>
              <w:t xml:space="preserve"> w Unii Europejskiej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6FC6572" w14:textId="75A1379E" w:rsidR="00260F33" w:rsidRPr="00FA5124" w:rsidRDefault="00FA5124" w:rsidP="00FF2E7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A5124">
              <w:rPr>
                <w:rFonts w:ascii="Times New Roman" w:hAnsi="Times New Roman"/>
                <w:noProof/>
                <w:color w:val="000000"/>
              </w:rPr>
              <w:t xml:space="preserve">Wykaz zatwierdzonych podmiotów publikujących </w:t>
            </w:r>
            <w:r w:rsidR="000F0F89" w:rsidRPr="00FA5124">
              <w:rPr>
                <w:rFonts w:ascii="Times New Roman" w:hAnsi="Times New Roman"/>
                <w:noProof/>
                <w:color w:val="000000"/>
              </w:rPr>
              <w:t xml:space="preserve">prowadzony przez </w:t>
            </w:r>
            <w:r w:rsidRPr="00FA5124">
              <w:rPr>
                <w:rFonts w:ascii="Times New Roman" w:hAnsi="Times New Roman"/>
                <w:noProof/>
                <w:color w:val="000000"/>
              </w:rPr>
              <w:t xml:space="preserve">Europejski </w:t>
            </w:r>
            <w:r w:rsidR="00A214DC">
              <w:rPr>
                <w:rFonts w:ascii="Times New Roman" w:hAnsi="Times New Roman"/>
                <w:noProof/>
                <w:color w:val="000000"/>
              </w:rPr>
              <w:t>U</w:t>
            </w:r>
            <w:r>
              <w:rPr>
                <w:rFonts w:ascii="Times New Roman" w:hAnsi="Times New Roman"/>
                <w:noProof/>
                <w:color w:val="000000"/>
              </w:rPr>
              <w:t>rząd Nadzoru Giełd i Papierów W</w:t>
            </w:r>
            <w:r w:rsidRPr="00FA5124">
              <w:rPr>
                <w:rFonts w:ascii="Times New Roman" w:hAnsi="Times New Roman"/>
                <w:noProof/>
                <w:color w:val="000000"/>
              </w:rPr>
              <w:t xml:space="preserve">artościowych </w:t>
            </w:r>
            <w:r w:rsidR="000F0F89" w:rsidRPr="00FA5124">
              <w:rPr>
                <w:rFonts w:ascii="Times New Roman" w:hAnsi="Times New Roman"/>
                <w:noProof/>
                <w:color w:val="000000"/>
              </w:rPr>
              <w:t>(</w:t>
            </w:r>
            <w:hyperlink r:id="rId9" w:history="1">
              <w:r w:rsidRPr="00FA5124">
                <w:rPr>
                  <w:rStyle w:val="Hipercze"/>
                  <w:rFonts w:ascii="Times New Roman" w:hAnsi="Times New Roman"/>
                </w:rPr>
                <w:t>https://registers.esma.europa.eu/publication/searchRegister?core=esma_registers_upreg</w:t>
              </w:r>
            </w:hyperlink>
            <w:r w:rsidRPr="00FA5124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0F0F89" w:rsidRPr="00FA5124">
              <w:rPr>
                <w:rFonts w:ascii="Times New Roman" w:hAnsi="Times New Roman"/>
                <w:noProof/>
                <w:color w:val="000000"/>
              </w:rPr>
              <w:t xml:space="preserve">– stan na </w:t>
            </w:r>
            <w:r w:rsidR="00C92554">
              <w:rPr>
                <w:rFonts w:ascii="Times New Roman" w:hAnsi="Times New Roman"/>
                <w:noProof/>
                <w:color w:val="000000"/>
              </w:rPr>
              <w:t>1</w:t>
            </w:r>
            <w:r w:rsidR="00635795">
              <w:rPr>
                <w:rFonts w:ascii="Times New Roman" w:hAnsi="Times New Roman"/>
                <w:noProof/>
                <w:color w:val="000000"/>
              </w:rPr>
              <w:t>0</w:t>
            </w:r>
            <w:r w:rsidR="00C92554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FF2E78">
              <w:rPr>
                <w:rFonts w:ascii="Times New Roman" w:hAnsi="Times New Roman"/>
                <w:noProof/>
                <w:color w:val="000000"/>
              </w:rPr>
              <w:t xml:space="preserve">kwietnia </w:t>
            </w:r>
            <w:r w:rsidR="000F0F89" w:rsidRPr="00FA5124">
              <w:rPr>
                <w:rFonts w:ascii="Times New Roman" w:hAnsi="Times New Roman"/>
                <w:noProof/>
                <w:color w:val="000000"/>
              </w:rPr>
              <w:t>20</w:t>
            </w:r>
            <w:r w:rsidR="007B242A" w:rsidRPr="00FA5124">
              <w:rPr>
                <w:rFonts w:ascii="Times New Roman" w:hAnsi="Times New Roman"/>
                <w:noProof/>
                <w:color w:val="000000"/>
              </w:rPr>
              <w:t>20</w:t>
            </w:r>
            <w:r w:rsidR="000F0F89" w:rsidRPr="00FA5124">
              <w:rPr>
                <w:rFonts w:ascii="Times New Roman" w:hAnsi="Times New Roman"/>
                <w:noProof/>
                <w:color w:val="000000"/>
              </w:rPr>
              <w:t xml:space="preserve"> r.</w:t>
            </w:r>
            <w:r w:rsidR="009C1FEB">
              <w:rPr>
                <w:rFonts w:ascii="Times New Roman" w:hAnsi="Times New Roman"/>
                <w:noProof/>
                <w:color w:val="000000"/>
              </w:rPr>
              <w:t xml:space="preserve"> bez podmiotów z Wielkiej Brytanii</w:t>
            </w:r>
            <w:r w:rsidR="000F0F89" w:rsidRPr="00FA5124">
              <w:rPr>
                <w:rFonts w:ascii="Times New Roman" w:hAnsi="Times New Roman"/>
                <w:noProof/>
                <w:color w:val="000000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331D11" w14:textId="20F2F12E" w:rsidR="004114ED" w:rsidRPr="00B37C80" w:rsidRDefault="000C36B6" w:rsidP="00A70D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dostosowanie do nowych wymogów, m.in. </w:t>
            </w:r>
            <w:r w:rsidR="004369AD">
              <w:rPr>
                <w:rFonts w:ascii="Times New Roman" w:hAnsi="Times New Roman"/>
                <w:color w:val="000000"/>
                <w:spacing w:val="-2"/>
              </w:rPr>
              <w:t xml:space="preserve">konieczność uzyskania zezwolenia  ESMA, nadzór ESMA nad bieżącą działalnością </w:t>
            </w:r>
            <w:r w:rsidR="00C91FD9">
              <w:rPr>
                <w:rFonts w:ascii="Times New Roman" w:hAnsi="Times New Roman"/>
                <w:color w:val="000000"/>
                <w:spacing w:val="-2"/>
              </w:rPr>
              <w:t>danego podmiotu</w:t>
            </w:r>
          </w:p>
        </w:tc>
      </w:tr>
      <w:tr w:rsidR="00260F33" w:rsidRPr="008B4FE6" w14:paraId="1346ACD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06B3D16" w14:textId="5DF07DD5" w:rsidR="00260F33" w:rsidRPr="008B4FE6" w:rsidRDefault="00803010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Zatwierdzone mechanizmy sprawozdawcze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D137A23" w14:textId="6E1837A8" w:rsidR="00260F33" w:rsidRPr="00B37C80" w:rsidRDefault="00803010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25 w Unii Europejskiej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F418860" w14:textId="335B5C1C" w:rsidR="00260F33" w:rsidRPr="00B37C80" w:rsidRDefault="00803010" w:rsidP="00FF2E78">
            <w:pPr>
              <w:spacing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FA5124">
              <w:rPr>
                <w:rFonts w:ascii="Times New Roman" w:hAnsi="Times New Roman"/>
                <w:noProof/>
                <w:color w:val="000000"/>
              </w:rPr>
              <w:t xml:space="preserve">Wykaz zatwierdzonych 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mechanizmów sprawozdawczych </w:t>
            </w:r>
            <w:r w:rsidRPr="00FA5124">
              <w:rPr>
                <w:rFonts w:ascii="Times New Roman" w:hAnsi="Times New Roman"/>
                <w:noProof/>
                <w:color w:val="000000"/>
              </w:rPr>
              <w:t xml:space="preserve">prowadzony przez Europejski </w:t>
            </w:r>
            <w:r w:rsidR="00A214DC">
              <w:rPr>
                <w:rFonts w:ascii="Times New Roman" w:hAnsi="Times New Roman"/>
                <w:noProof/>
                <w:color w:val="000000"/>
              </w:rPr>
              <w:t>U</w:t>
            </w:r>
            <w:r>
              <w:rPr>
                <w:rFonts w:ascii="Times New Roman" w:hAnsi="Times New Roman"/>
                <w:noProof/>
                <w:color w:val="000000"/>
              </w:rPr>
              <w:t>rząd Nadzoru Giełd i Papierów W</w:t>
            </w:r>
            <w:r w:rsidRPr="00FA5124">
              <w:rPr>
                <w:rFonts w:ascii="Times New Roman" w:hAnsi="Times New Roman"/>
                <w:noProof/>
                <w:color w:val="000000"/>
              </w:rPr>
              <w:t>artościowych (</w:t>
            </w:r>
            <w:hyperlink r:id="rId10" w:history="1">
              <w:r w:rsidRPr="00FA5124">
                <w:rPr>
                  <w:rStyle w:val="Hipercze"/>
                  <w:rFonts w:ascii="Times New Roman" w:hAnsi="Times New Roman"/>
                </w:rPr>
                <w:t>https://registers.esma.europa.eu/publication/searchRegister?core=esma_registers_upreg</w:t>
              </w:r>
            </w:hyperlink>
            <w:r w:rsidRPr="00FA5124">
              <w:rPr>
                <w:rFonts w:ascii="Times New Roman" w:hAnsi="Times New Roman"/>
                <w:noProof/>
                <w:color w:val="000000"/>
              </w:rPr>
              <w:t xml:space="preserve"> – stan na </w:t>
            </w:r>
            <w:r w:rsidR="00C92554">
              <w:rPr>
                <w:rFonts w:ascii="Times New Roman" w:hAnsi="Times New Roman"/>
                <w:noProof/>
                <w:color w:val="000000"/>
              </w:rPr>
              <w:t>1</w:t>
            </w:r>
            <w:r w:rsidR="00FF2E78">
              <w:rPr>
                <w:rFonts w:ascii="Times New Roman" w:hAnsi="Times New Roman"/>
                <w:noProof/>
                <w:color w:val="000000"/>
              </w:rPr>
              <w:t>0 kwietnia</w:t>
            </w:r>
            <w:r w:rsidR="00C92554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FA5124">
              <w:rPr>
                <w:rFonts w:ascii="Times New Roman" w:hAnsi="Times New Roman"/>
                <w:noProof/>
                <w:color w:val="000000"/>
              </w:rPr>
              <w:t>2020 r.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bez podmiotów z Wielkiej Brytanii</w:t>
            </w:r>
            <w:r w:rsidRPr="00FA5124">
              <w:rPr>
                <w:rFonts w:ascii="Times New Roman" w:hAnsi="Times New Roman"/>
                <w:noProof/>
                <w:color w:val="000000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019A7CA" w14:textId="48272795" w:rsidR="00260F33" w:rsidRPr="00B37C80" w:rsidRDefault="006603C2" w:rsidP="006603C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E5106D">
              <w:rPr>
                <w:rFonts w:ascii="Times New Roman" w:hAnsi="Times New Roman"/>
                <w:color w:val="000000"/>
                <w:spacing w:val="-2"/>
              </w:rPr>
              <w:t>ostosowanie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5106D">
              <w:rPr>
                <w:rFonts w:ascii="Times New Roman" w:hAnsi="Times New Roman"/>
                <w:color w:val="000000"/>
                <w:spacing w:val="-2"/>
              </w:rPr>
              <w:t>do nowych wymogów, m.in. konieczność uzyskania zezwolenia  ESMA, nadzór ESMA nad bieżącą działalnością</w:t>
            </w:r>
            <w:r w:rsidR="00C91FD9">
              <w:rPr>
                <w:rFonts w:ascii="Times New Roman" w:hAnsi="Times New Roman"/>
                <w:color w:val="000000"/>
                <w:spacing w:val="-2"/>
              </w:rPr>
              <w:t xml:space="preserve"> danego podmiotu</w:t>
            </w:r>
          </w:p>
        </w:tc>
      </w:tr>
      <w:tr w:rsidR="00F2102A" w:rsidRPr="008B4FE6" w14:paraId="30C7A23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7EB18DA" w14:textId="75A634B3" w:rsidR="00F2102A" w:rsidRDefault="00F2102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Komisja Nadzoru Finansowego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1254DD2" w14:textId="04409D62" w:rsidR="00F2102A" w:rsidRDefault="00F2102A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F2736F9" w14:textId="0B0E06C0" w:rsidR="00F2102A" w:rsidRPr="00FA5124" w:rsidRDefault="00F2102A" w:rsidP="00C92554">
            <w:pPr>
              <w:spacing w:after="120" w:line="240" w:lineRule="auto"/>
              <w:rPr>
                <w:rFonts w:ascii="Times New Roman" w:hAnsi="Times New Roman"/>
                <w:noProof/>
                <w:color w:val="000000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F93E4C9" w14:textId="77777777" w:rsidR="006603C2" w:rsidRDefault="00373B4D" w:rsidP="00373B4D">
            <w:pPr>
              <w:spacing w:line="240" w:lineRule="auto"/>
              <w:rPr>
                <w:rFonts w:ascii="Times New Roman" w:hAnsi="Times New Roman"/>
              </w:rPr>
            </w:pPr>
            <w:r w:rsidRPr="00373B4D">
              <w:rPr>
                <w:rFonts w:ascii="Times New Roman" w:hAnsi="Times New Roman"/>
              </w:rPr>
              <w:t>udzielanie zezwoleń i nadzór nad zatwierdzonymi podmiotami publikującymi lub zatwierdzonymi mechanizmami sprawozdawczymi pozostającymi w kompetencji KNF</w:t>
            </w:r>
            <w:r w:rsidR="006603C2">
              <w:rPr>
                <w:rFonts w:ascii="Times New Roman" w:hAnsi="Times New Roman"/>
              </w:rPr>
              <w:t xml:space="preserve">; </w:t>
            </w:r>
          </w:p>
          <w:p w14:paraId="279620E0" w14:textId="3E04F766" w:rsidR="00373B4D" w:rsidRPr="00373B4D" w:rsidRDefault="00373B4D" w:rsidP="00373B4D">
            <w:pPr>
              <w:spacing w:line="240" w:lineRule="auto"/>
              <w:rPr>
                <w:rFonts w:ascii="Times New Roman" w:hAnsi="Times New Roman"/>
              </w:rPr>
            </w:pPr>
            <w:r w:rsidRPr="00373B4D">
              <w:rPr>
                <w:rFonts w:ascii="Times New Roman" w:hAnsi="Times New Roman"/>
              </w:rPr>
              <w:t xml:space="preserve"> </w:t>
            </w:r>
          </w:p>
          <w:p w14:paraId="0E74C574" w14:textId="08974BBB" w:rsidR="001E4706" w:rsidRPr="00373B4D" w:rsidRDefault="00373B4D" w:rsidP="0027067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373B4D">
              <w:rPr>
                <w:rFonts w:ascii="Times New Roman" w:hAnsi="Times New Roman"/>
              </w:rPr>
              <w:t>możliwość występowania z wnioskiem do organów nadzorczych innych państw członkowskich Unii Europejskiej o ustanowienie oraz do EIOPA o ustanowienie i koordynowanie platform współpracy oraz uczestnictwa w takich platformach, mających na celu wzmocnienia nadzoru nad zakładami ubezpieczeń i zakładami reasekuracji wykonującymi działalność transgraniczną i zapewnienie bardziej efektywnej o</w:t>
            </w:r>
            <w:r w:rsidR="006603C2">
              <w:rPr>
                <w:rFonts w:ascii="Times New Roman" w:hAnsi="Times New Roman"/>
              </w:rPr>
              <w:t>chrony klientów takich zakładów</w:t>
            </w:r>
          </w:p>
        </w:tc>
      </w:tr>
      <w:tr w:rsidR="0036388C" w:rsidRPr="008B4FE6" w14:paraId="0D6C3E8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729933" w14:textId="47BCDFF7" w:rsidR="0036388C" w:rsidRPr="008B4FE6" w:rsidRDefault="0036388C" w:rsidP="003638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36388C" w:rsidRPr="008B4FE6" w14:paraId="40DFEB1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1163C3B" w14:textId="3EF88F50" w:rsidR="00E31E0B" w:rsidRDefault="00E31E0B" w:rsidP="00373B4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prowadzono konsultacji poprzedzających opracowanie projektu.</w:t>
            </w:r>
          </w:p>
          <w:p w14:paraId="31CD3E8E" w14:textId="4B6A3013" w:rsidR="00373B4D" w:rsidRDefault="00373B4D" w:rsidP="00373B4D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ustawy zostanie skierowany do uzgodnień, </w:t>
            </w:r>
            <w:r w:rsidRPr="001413B1">
              <w:rPr>
                <w:rFonts w:ascii="Times New Roman" w:hAnsi="Times New Roman"/>
              </w:rPr>
              <w:t>konsultacji publicznych i opiniowania do</w:t>
            </w:r>
            <w:r>
              <w:rPr>
                <w:rFonts w:ascii="Times New Roman" w:hAnsi="Times New Roman"/>
              </w:rPr>
              <w:t xml:space="preserve"> Urzędu Komisji Nadzoru Finansowego</w:t>
            </w:r>
            <w:r w:rsidRPr="001413B1">
              <w:rPr>
                <w:rFonts w:ascii="Times New Roman" w:hAnsi="Times New Roman"/>
              </w:rPr>
              <w:t>, Narodowego Banku Polskiego, Ba</w:t>
            </w:r>
            <w:r>
              <w:rPr>
                <w:rFonts w:ascii="Times New Roman" w:hAnsi="Times New Roman"/>
              </w:rPr>
              <w:t>nkowego Funduszu Gwarancyjnego,</w:t>
            </w:r>
            <w:r w:rsidRPr="001413B1">
              <w:rPr>
                <w:rFonts w:ascii="Times New Roman" w:hAnsi="Times New Roman"/>
              </w:rPr>
              <w:t xml:space="preserve"> Związku Banków Polskich</w:t>
            </w:r>
            <w:r>
              <w:rPr>
                <w:rFonts w:ascii="Times New Roman" w:hAnsi="Times New Roman"/>
              </w:rPr>
              <w:t>, Polskiej Izby Ubezpieczeń, Giełdy Papierów Wartościowych S.A.</w:t>
            </w:r>
            <w:r w:rsidRPr="00EF49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BondSpot S.A., Krajowego</w:t>
            </w:r>
            <w:r w:rsidR="004916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Depozytu Papierów Wartościowych S.A., Związku Maklerów i Doradców, Izby Domów Maklerskich, Stowarzyszenia Emitentów Giełdowych, Izby Zarządzających Funduszami i Aktywami, Polskiego Stowarzyszenia Inwestorów Kapitałowych, Stowarzyszenia Rynków </w:t>
            </w:r>
            <w:r>
              <w:rPr>
                <w:rFonts w:ascii="Times New Roman" w:hAnsi="Times New Roman"/>
              </w:rPr>
              <w:lastRenderedPageBreak/>
              <w:t>Finansowych – ACI Polska, Polskiej Izby Ubezpieczeń, Ubezpieczeniowego Funduszu Gwarancyjnego, Polski</w:t>
            </w:r>
            <w:r w:rsidR="006603C2">
              <w:rPr>
                <w:rFonts w:ascii="Times New Roman" w:hAnsi="Times New Roman"/>
              </w:rPr>
              <w:t>ego Biura</w:t>
            </w:r>
            <w:r>
              <w:rPr>
                <w:rFonts w:ascii="Times New Roman" w:hAnsi="Times New Roman"/>
              </w:rPr>
              <w:t xml:space="preserve"> Ubezpiecz</w:t>
            </w:r>
            <w:r w:rsidR="006B01CD">
              <w:rPr>
                <w:rFonts w:ascii="Times New Roman" w:hAnsi="Times New Roman"/>
              </w:rPr>
              <w:t xml:space="preserve">ycieli </w:t>
            </w:r>
            <w:r>
              <w:rPr>
                <w:rFonts w:ascii="Times New Roman" w:hAnsi="Times New Roman"/>
              </w:rPr>
              <w:t xml:space="preserve">Komunikacyjnych.  </w:t>
            </w:r>
          </w:p>
          <w:p w14:paraId="118F4893" w14:textId="662A4E5D" w:rsidR="00F2102A" w:rsidRPr="00B37C80" w:rsidRDefault="00373B4D" w:rsidP="00A70DF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Termin konsultacji publicznych zostanie określony na 21 dni.</w:t>
            </w:r>
          </w:p>
        </w:tc>
      </w:tr>
      <w:tr w:rsidR="0036388C" w:rsidRPr="008B4FE6" w14:paraId="1D3E4C8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94BD52F" w14:textId="77777777" w:rsidR="0036388C" w:rsidRPr="008B4FE6" w:rsidRDefault="0036388C" w:rsidP="003638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36388C" w:rsidRPr="008B4FE6" w14:paraId="491CFB1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A09E84C" w14:textId="77777777" w:rsidR="0036388C" w:rsidRPr="00C53F26" w:rsidRDefault="0036388C" w:rsidP="0036388C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92199FA" w14:textId="77777777" w:rsidR="0036388C" w:rsidRPr="00C53F26" w:rsidRDefault="0036388C" w:rsidP="0036388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36388C" w:rsidRPr="008B4FE6" w14:paraId="2B42C07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D97113" w14:textId="77777777" w:rsidR="0036388C" w:rsidRPr="00C53F26" w:rsidRDefault="0036388C" w:rsidP="0036388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BD3F04B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B659F8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A64826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2AB778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CD2C05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0F1E82DA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8EA02B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A3433A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56C4FE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CFEB3D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6804805" w14:textId="77777777" w:rsidR="0036388C" w:rsidRPr="00C53F26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257BEE1" w14:textId="77777777" w:rsidR="0036388C" w:rsidRPr="00C53F26" w:rsidRDefault="0036388C" w:rsidP="0036388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36388C" w:rsidRPr="008B4FE6" w14:paraId="2F206DC9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ADF53E7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A28C4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B4A18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864232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A6834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B082D0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B3B897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BD2CE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471898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B56BBC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F302E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9C26E0B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30482F3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1120271C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2072C4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DF8C44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14D5FC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61F0C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A5DC52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62178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2C86A2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735B55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7B99B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C3B3C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D5A886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FAEE9A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45B43B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704C4282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891153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6A60D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E10E63A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5D10AC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255428B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E6A0D8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B549D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DED95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244610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4A3602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06D1FA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6B2495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0B4B9E4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16B9E8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A05789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4AE23B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D5EBD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C675F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A98304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13FFF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4F02C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29EBD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B49CB2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03A9E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C98E93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138B476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6FCA89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3F19263E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157561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4512C2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ED748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9BD63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875521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DB4E6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35B2CD7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D41E2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94B2A7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96824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103D2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05C6F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AF09D5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1AA565FD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DCE7B9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B27DD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91C46B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2922A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22216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67442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AD812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C41775B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8CE05B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87FE78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D39FB5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46CFA5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3CD00D2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523D0079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6464B63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C702C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C3A3FB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76936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6027BC4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52C66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A9219B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1F223A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4F90A4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6CD9E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EEFD27A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6A533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706FDA2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40B4C96A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480CE2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C22F54C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292B1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67F4D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27C46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A57788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FE7826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81CB9C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16CE9A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B83A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077B0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008C7F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BED1113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1F555244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9FB43B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D23BA2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46ADF6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C96C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82078C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684DD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80067A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85657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9161E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661AF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2517B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80CE61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1E2A809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25FAF4F9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41AAE2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45721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3611C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55C994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23000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C47DB6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D1763F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61F090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956A03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4E8C3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66199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AF04FC7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0317FA7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3DB35A7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94BCFD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23092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2315C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08443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42EF88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0061F9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EBB89F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BA9848E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4F06AA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BF81B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E15BF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9316C8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5DDEBFE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4668AF3C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A39135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065447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DC0036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00D7FC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16A9325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9BDFEA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E9D5F1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3C178C4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4299BF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11041D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5D78A33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DDB32C" w14:textId="77777777" w:rsidR="0036388C" w:rsidRPr="00B37C8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C2F875B" w14:textId="77777777" w:rsidR="0036388C" w:rsidRPr="00B37C80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36388C" w:rsidRPr="008B4FE6" w14:paraId="0DF9E2D2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9177055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33D370F" w14:textId="77777777" w:rsidR="0036388C" w:rsidRPr="00B37C80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E760D8B" w14:textId="457AB278" w:rsidR="0036388C" w:rsidRPr="00B37C80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52E58">
              <w:rPr>
                <w:rFonts w:ascii="Times New Roman" w:hAnsi="Times New Roman"/>
              </w:rPr>
              <w:t xml:space="preserve">Wejście w życie </w:t>
            </w:r>
            <w:r w:rsidR="002437F3">
              <w:rPr>
                <w:rFonts w:ascii="Times New Roman" w:hAnsi="Times New Roman"/>
              </w:rPr>
              <w:t xml:space="preserve">ustawy </w:t>
            </w:r>
            <w:r w:rsidRPr="00D52E58">
              <w:rPr>
                <w:rFonts w:ascii="Times New Roman" w:hAnsi="Times New Roman"/>
              </w:rPr>
              <w:t>nie wpłynie na sektor finansów publicznych, w tym budżet państwa i budżety jednostek samorządu terytorialnego.</w:t>
            </w:r>
          </w:p>
          <w:p w14:paraId="41F27832" w14:textId="77777777" w:rsidR="0036388C" w:rsidRPr="00B37C80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6388C" w:rsidRPr="008B4FE6" w14:paraId="7A800D07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467F3ECC" w14:textId="77777777" w:rsidR="0036388C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A98EDE8" w14:textId="77777777" w:rsidR="0036388C" w:rsidRPr="00C53F2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7EB8FEE" w14:textId="77777777" w:rsidR="0036388C" w:rsidRPr="00C53F26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2FD9593" w14:textId="2AA43F50" w:rsidR="0036388C" w:rsidRPr="007D398C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D398C">
              <w:rPr>
                <w:rFonts w:ascii="Times New Roman" w:hAnsi="Times New Roman"/>
                <w:color w:val="000000"/>
              </w:rPr>
              <w:t xml:space="preserve">Wejście w życie </w:t>
            </w:r>
            <w:r w:rsidR="002437F3">
              <w:rPr>
                <w:rFonts w:ascii="Times New Roman" w:hAnsi="Times New Roman"/>
                <w:color w:val="000000"/>
              </w:rPr>
              <w:t xml:space="preserve">ustawy </w:t>
            </w:r>
            <w:r w:rsidRPr="007D398C">
              <w:rPr>
                <w:rFonts w:ascii="Times New Roman" w:hAnsi="Times New Roman"/>
                <w:color w:val="000000"/>
              </w:rPr>
              <w:t xml:space="preserve"> nie </w:t>
            </w:r>
            <w:r w:rsidR="00BF01A3">
              <w:rPr>
                <w:rFonts w:ascii="Times New Roman" w:hAnsi="Times New Roman"/>
                <w:color w:val="000000"/>
              </w:rPr>
              <w:t xml:space="preserve">wpłynie </w:t>
            </w:r>
            <w:r w:rsidRPr="007D398C">
              <w:rPr>
                <w:rFonts w:ascii="Times New Roman" w:hAnsi="Times New Roman"/>
                <w:color w:val="000000"/>
              </w:rPr>
              <w:t>na dochody i wydatki sektora finansów publicznych.</w:t>
            </w:r>
          </w:p>
          <w:p w14:paraId="755FE278" w14:textId="77777777" w:rsidR="0036388C" w:rsidRPr="00C53F26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36388C" w:rsidRPr="008B4FE6" w14:paraId="6D88A0A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D80B411" w14:textId="77777777" w:rsidR="0036388C" w:rsidRPr="008B4FE6" w:rsidRDefault="0036388C" w:rsidP="0036388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6388C" w:rsidRPr="008B4FE6" w14:paraId="5887CA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D881484" w14:textId="77777777" w:rsidR="0036388C" w:rsidRPr="00301959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6388C" w:rsidRPr="008B4FE6" w14:paraId="027113E8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C711D7D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A85480F" w14:textId="77777777" w:rsidR="0036388C" w:rsidRPr="00301959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2A46D4" w14:textId="77777777" w:rsidR="0036388C" w:rsidRPr="00301959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EEC3BFC" w14:textId="77777777" w:rsidR="0036388C" w:rsidRPr="00301959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7C60DE2" w14:textId="77777777" w:rsidR="0036388C" w:rsidRPr="00301959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40F810C" w14:textId="77777777" w:rsidR="0036388C" w:rsidRPr="00301959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1D6A36B" w14:textId="77777777" w:rsidR="0036388C" w:rsidRPr="00301959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2481596" w14:textId="77777777" w:rsidR="0036388C" w:rsidRPr="001B3460" w:rsidRDefault="0036388C" w:rsidP="0036388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6388C" w:rsidRPr="008B4FE6" w14:paraId="52EA7F7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155AC9" w14:textId="77777777" w:rsidR="0036388C" w:rsidRDefault="0036388C" w:rsidP="0036388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1948B102" w14:textId="77777777" w:rsidR="0036388C" w:rsidRDefault="0036388C" w:rsidP="0036388C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4BB57FF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22B82F0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A4B1EF6" w14:textId="779ACEEB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EEF7AE3" w14:textId="09010842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44A4728" w14:textId="07A67B43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098AA90" w14:textId="18D35E0F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D438C5" w14:textId="7FCC1912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792AB1F" w14:textId="53EACD83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20BB77AA" w14:textId="71DAEBBC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22F1F66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928AF62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DCEA16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0D43A1" w14:textId="769280A2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DE85838" w14:textId="6D5DB212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58D494B" w14:textId="3E855A0B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84179EC" w14:textId="1CDC3B6E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2EF04A4" w14:textId="47E09FDC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691BA01" w14:textId="0F619DE8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F999B91" w14:textId="2EF37EBC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1E21C86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7867009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84DFF6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390C046" w14:textId="4E51C7A4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32D2A74" w14:textId="3264B426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C262B5" w14:textId="5C5FD9EA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A5186EF" w14:textId="6437C41E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4B235C0" w14:textId="4A6B9222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3C4BFB3" w14:textId="1BD1F706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DFAEB4C" w14:textId="60FE5E65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141571A8" w14:textId="77777777" w:rsidTr="00C834B7">
        <w:trPr>
          <w:gridAfter w:val="1"/>
          <w:wAfter w:w="10" w:type="dxa"/>
          <w:trHeight w:val="101"/>
        </w:trPr>
        <w:tc>
          <w:tcPr>
            <w:tcW w:w="1596" w:type="dxa"/>
            <w:vMerge w:val="restart"/>
            <w:shd w:val="clear" w:color="auto" w:fill="FFFFFF"/>
          </w:tcPr>
          <w:p w14:paraId="1794BBC3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FF3EC53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BBE06BF" w14:textId="2B0073CD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2D50A64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5B5EA37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E6EB96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BE8CEC0" w14:textId="4B674083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7C633619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A085F8B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E46183B" w14:textId="77777777" w:rsidR="0036388C" w:rsidRPr="00301959" w:rsidRDefault="0036388C" w:rsidP="0036388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21C8D3D" w14:textId="5322AE8A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52F3665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65675D9B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7EF400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638509" w14:textId="263CC70D" w:rsidR="0036388C" w:rsidRPr="00B37C80" w:rsidRDefault="002437F3" w:rsidP="004576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6388C" w:rsidRPr="008B4FE6" w14:paraId="705F7D3A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1E441112" w14:textId="77777777" w:rsidR="0036388C" w:rsidRPr="00301959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44FB1A9" w14:textId="308A3266" w:rsidR="0036388C" w:rsidRPr="00590608" w:rsidRDefault="00BF01A3" w:rsidP="00BF01A3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Wejście w życie ustawy nie wpłynie </w:t>
            </w:r>
            <w:r w:rsidR="0036388C" w:rsidRPr="007D398C">
              <w:rPr>
                <w:rFonts w:ascii="Times New Roman" w:hAnsi="Times New Roman"/>
                <w:color w:val="000000"/>
              </w:rPr>
              <w:t xml:space="preserve"> </w:t>
            </w:r>
            <w:r w:rsidRPr="00D52E58">
              <w:rPr>
                <w:rFonts w:ascii="Times New Roman" w:hAnsi="Times New Roman"/>
                <w:color w:val="000000"/>
                <w:spacing w:val="-2"/>
              </w:rPr>
              <w:t>na wymienione obszary oraz sytuację ekonomiczną i społeczną rodziny, a także osób niepełnosprawnych oraz osób starszych.</w:t>
            </w:r>
          </w:p>
        </w:tc>
      </w:tr>
      <w:tr w:rsidR="0036388C" w:rsidRPr="008B4FE6" w14:paraId="27CE5DC3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A541C4C" w14:textId="77777777" w:rsidR="0036388C" w:rsidRPr="008B4FE6" w:rsidRDefault="0036388C" w:rsidP="003638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36388C" w:rsidRPr="008B4FE6" w14:paraId="33A3B83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2EFC6A0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36388C" w:rsidRPr="008B4FE6" w14:paraId="375BF0D6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ADF4337" w14:textId="77777777" w:rsidR="0036388C" w:rsidRDefault="0036388C" w:rsidP="0036388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226D05" w14:textId="77777777" w:rsidR="0036388C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BD4311" w14:textId="77777777" w:rsidR="0036388C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0C2AC62" w14:textId="77777777" w:rsidR="0036388C" w:rsidRDefault="00CF0343" w:rsidP="0036388C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36388C" w:rsidRPr="008B4FE6" w14:paraId="5235D894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D331549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BC47FAB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C62770D" w14:textId="77777777" w:rsidR="0036388C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87DDC7B" w14:textId="77777777" w:rsidR="0036388C" w:rsidRPr="008B4FE6" w:rsidRDefault="00CF0343" w:rsidP="0036388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6388C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6388C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F801B59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0A5F5CF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9D3BCD2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AFFAE17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36388C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36388C">
              <w:rPr>
                <w:rFonts w:ascii="Times New Roman" w:hAnsi="Times New Roman"/>
                <w:color w:val="000000"/>
              </w:rPr>
              <w:t>…</w:t>
            </w:r>
          </w:p>
          <w:p w14:paraId="4DC679A7" w14:textId="77777777" w:rsidR="0036388C" w:rsidRPr="008B4FE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388C" w:rsidRPr="008B4FE6" w14:paraId="3203E8AE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6C28898" w14:textId="77777777" w:rsidR="0036388C" w:rsidRPr="008B4FE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FFF1F77" w14:textId="77777777" w:rsidR="0036388C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966CF9B" w14:textId="77777777" w:rsidR="0036388C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83729B4" w14:textId="77777777" w:rsidR="0036388C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608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747A14E" w14:textId="77777777" w:rsidR="0036388C" w:rsidRPr="008B4FE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6388C" w:rsidRPr="008B4FE6" w14:paraId="5360269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EEADE55" w14:textId="77777777" w:rsidR="0036388C" w:rsidRPr="008B4FE6" w:rsidRDefault="0036388C" w:rsidP="0036388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36388C" w:rsidRPr="008B4FE6" w14:paraId="79FBBB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AB636AB" w14:textId="77777777" w:rsidR="0036388C" w:rsidRPr="008B4FE6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B5C0B99" w14:textId="77777777" w:rsidR="0036388C" w:rsidRPr="008B4FE6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C0E81">
              <w:rPr>
                <w:rFonts w:ascii="Times New Roman" w:hAnsi="Times New Roman"/>
              </w:rPr>
              <w:t>Wejście w życie rozporządzenia nie będzie miało wpływu na rynek pracy.</w:t>
            </w:r>
          </w:p>
          <w:p w14:paraId="0535BF62" w14:textId="77777777" w:rsidR="0036388C" w:rsidRPr="008B4FE6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6388C" w:rsidRPr="008B4FE6" w14:paraId="583D08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94431F3" w14:textId="77777777" w:rsidR="0036388C" w:rsidRPr="008B4FE6" w:rsidRDefault="0036388C" w:rsidP="0036388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36388C" w:rsidRPr="008B4FE6" w14:paraId="380EEA86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8848C0E" w14:textId="77777777" w:rsidR="0036388C" w:rsidRPr="008B4FE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FFDCFAC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714EA7A" w14:textId="77777777" w:rsidR="0036388C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87420DC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36388C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7A1D9041" w14:textId="77777777" w:rsidR="0036388C" w:rsidRPr="008B4FE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B3402E0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55F2F8D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FB02ECE" w14:textId="77777777" w:rsidR="0036388C" w:rsidRPr="008B4FE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50074F9" w14:textId="77777777" w:rsidR="0036388C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6388C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D9429A7" w14:textId="77777777" w:rsidR="0036388C" w:rsidRPr="008B4FE6" w:rsidRDefault="00CF0343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88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6388C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36388C" w:rsidRPr="008B4FE6" w14:paraId="44C6C464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F47DE16" w14:textId="4D35ABBB" w:rsidR="0036388C" w:rsidRPr="008B4FE6" w:rsidRDefault="0036388C" w:rsidP="0036388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31FCFCD" w14:textId="4CDF743D" w:rsidR="0036388C" w:rsidRDefault="0036388C" w:rsidP="0036388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8C0E81">
              <w:rPr>
                <w:rFonts w:ascii="Times New Roman" w:hAnsi="Times New Roman"/>
              </w:rPr>
              <w:t xml:space="preserve">Wejście w życie </w:t>
            </w:r>
            <w:r w:rsidR="00F2102A">
              <w:rPr>
                <w:rFonts w:ascii="Times New Roman" w:hAnsi="Times New Roman"/>
              </w:rPr>
              <w:t xml:space="preserve">ustawy </w:t>
            </w:r>
            <w:r w:rsidRPr="008C0E81">
              <w:rPr>
                <w:rFonts w:ascii="Times New Roman" w:hAnsi="Times New Roman"/>
              </w:rPr>
              <w:t xml:space="preserve">nie </w:t>
            </w:r>
            <w:r w:rsidR="00BF01A3">
              <w:rPr>
                <w:rFonts w:ascii="Times New Roman" w:hAnsi="Times New Roman"/>
              </w:rPr>
              <w:t>wpłynie na wymienione obszary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673D533" w14:textId="6FEFC25B" w:rsidR="0036388C" w:rsidRPr="008B4FE6" w:rsidRDefault="0036388C" w:rsidP="00F2102A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36388C" w:rsidRPr="008B4FE6" w14:paraId="12FF6B0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691961" w14:textId="77777777" w:rsidR="0036388C" w:rsidRPr="00627221" w:rsidRDefault="0036388C" w:rsidP="003638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36388C" w:rsidRPr="008B4FE6" w14:paraId="63209F9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BBA3F70" w14:textId="77777777" w:rsidR="0036388C" w:rsidRPr="00B37C80" w:rsidRDefault="0036388C" w:rsidP="00590608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13B92">
              <w:rPr>
                <w:rFonts w:ascii="Times New Roman" w:hAnsi="Times New Roman"/>
              </w:rPr>
              <w:t>Wykonanie przepisów aktu prawnego nastąpi z dniem wejścia w życie ustawy.</w:t>
            </w:r>
          </w:p>
        </w:tc>
      </w:tr>
      <w:tr w:rsidR="0036388C" w:rsidRPr="008B4FE6" w14:paraId="5765E0B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97B0C8" w14:textId="77777777" w:rsidR="0036388C" w:rsidRPr="008B4FE6" w:rsidRDefault="0036388C" w:rsidP="003638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36388C" w:rsidRPr="008B4FE6" w14:paraId="5B7955B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A69BFD6" w14:textId="69F388E4" w:rsidR="000036D6" w:rsidRPr="00590608" w:rsidRDefault="0036388C" w:rsidP="000036D6">
            <w:pPr>
              <w:spacing w:before="120" w:line="240" w:lineRule="auto"/>
              <w:jc w:val="both"/>
              <w:rPr>
                <w:rFonts w:ascii="Times New Roman" w:hAnsi="Times New Roman"/>
              </w:rPr>
            </w:pPr>
            <w:r w:rsidRPr="0015496E">
              <w:rPr>
                <w:rFonts w:ascii="Times New Roman" w:hAnsi="Times New Roman"/>
                <w:color w:val="000000"/>
                <w:spacing w:val="-2"/>
              </w:rPr>
              <w:t xml:space="preserve">Ewaluacja efektów projektu będzie dokonywana </w:t>
            </w:r>
            <w:r w:rsidR="000036D6">
              <w:rPr>
                <w:rFonts w:ascii="Times New Roman" w:hAnsi="Times New Roman"/>
                <w:color w:val="000000"/>
                <w:spacing w:val="-2"/>
              </w:rPr>
              <w:t xml:space="preserve">przez </w:t>
            </w:r>
            <w:r w:rsidR="00F2102A">
              <w:rPr>
                <w:rFonts w:ascii="Times New Roman" w:hAnsi="Times New Roman"/>
                <w:color w:val="000000"/>
                <w:spacing w:val="-2"/>
              </w:rPr>
              <w:t>Komisję Europejską</w:t>
            </w:r>
            <w:r w:rsidR="000036D6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45F17744" w14:textId="503C961B" w:rsidR="0036388C" w:rsidRPr="00590608" w:rsidRDefault="0036388C" w:rsidP="000C36B6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388C" w:rsidRPr="008B4FE6" w14:paraId="55821E6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8DA9B3B" w14:textId="77777777" w:rsidR="0036388C" w:rsidRPr="008B4FE6" w:rsidRDefault="0036388C" w:rsidP="0036388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6388C" w:rsidRPr="008B4FE6" w14:paraId="5BFDFD6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1E7C40D" w14:textId="16B48520" w:rsidR="0036388C" w:rsidRPr="00B37C80" w:rsidRDefault="00A70DF1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  <w:p w14:paraId="13591818" w14:textId="77777777" w:rsidR="0036388C" w:rsidRPr="00B37C80" w:rsidRDefault="0036388C" w:rsidP="0036388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39EE2F9B" w14:textId="77777777" w:rsidR="006176ED" w:rsidRPr="00522D94" w:rsidRDefault="006176ED" w:rsidP="00B9116C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37948" w14:textId="77777777" w:rsidR="00CF0343" w:rsidRDefault="00CF0343" w:rsidP="00044739">
      <w:pPr>
        <w:spacing w:line="240" w:lineRule="auto"/>
      </w:pPr>
      <w:r>
        <w:separator/>
      </w:r>
    </w:p>
  </w:endnote>
  <w:endnote w:type="continuationSeparator" w:id="0">
    <w:p w14:paraId="32ADE92D" w14:textId="77777777" w:rsidR="00CF0343" w:rsidRDefault="00CF034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7632" w14:textId="77777777" w:rsidR="00CF0343" w:rsidRDefault="00CF0343" w:rsidP="00044739">
      <w:pPr>
        <w:spacing w:line="240" w:lineRule="auto"/>
      </w:pPr>
      <w:r>
        <w:separator/>
      </w:r>
    </w:p>
  </w:footnote>
  <w:footnote w:type="continuationSeparator" w:id="0">
    <w:p w14:paraId="2641A5CC" w14:textId="77777777" w:rsidR="00CF0343" w:rsidRDefault="00CF034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6104"/>
    <w:multiLevelType w:val="hybridMultilevel"/>
    <w:tmpl w:val="108C1274"/>
    <w:lvl w:ilvl="0" w:tplc="21AAD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43EE"/>
    <w:multiLevelType w:val="hybridMultilevel"/>
    <w:tmpl w:val="70FC14E2"/>
    <w:lvl w:ilvl="0" w:tplc="21AA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879"/>
    <w:multiLevelType w:val="hybridMultilevel"/>
    <w:tmpl w:val="0644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E747ED7"/>
    <w:multiLevelType w:val="hybridMultilevel"/>
    <w:tmpl w:val="BEA081E8"/>
    <w:lvl w:ilvl="0" w:tplc="21AA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4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F724CA7"/>
    <w:multiLevelType w:val="hybridMultilevel"/>
    <w:tmpl w:val="4AB69F76"/>
    <w:lvl w:ilvl="0" w:tplc="21AADD80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8" w15:restartNumberingAfterBreak="0">
    <w:nsid w:val="4A880D67"/>
    <w:multiLevelType w:val="hybridMultilevel"/>
    <w:tmpl w:val="342259B8"/>
    <w:lvl w:ilvl="0" w:tplc="21AA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166616"/>
    <w:multiLevelType w:val="hybridMultilevel"/>
    <w:tmpl w:val="93E2C79E"/>
    <w:lvl w:ilvl="0" w:tplc="21AADD8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3"/>
  </w:num>
  <w:num w:numId="5">
    <w:abstractNumId w:val="3"/>
  </w:num>
  <w:num w:numId="6">
    <w:abstractNumId w:val="11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17"/>
  </w:num>
  <w:num w:numId="12">
    <w:abstractNumId w:val="5"/>
  </w:num>
  <w:num w:numId="13">
    <w:abstractNumId w:val="13"/>
  </w:num>
  <w:num w:numId="14">
    <w:abstractNumId w:val="24"/>
  </w:num>
  <w:num w:numId="15">
    <w:abstractNumId w:val="20"/>
  </w:num>
  <w:num w:numId="16">
    <w:abstractNumId w:val="22"/>
  </w:num>
  <w:num w:numId="17">
    <w:abstractNumId w:val="9"/>
  </w:num>
  <w:num w:numId="18">
    <w:abstractNumId w:val="25"/>
  </w:num>
  <w:num w:numId="19">
    <w:abstractNumId w:val="27"/>
  </w:num>
  <w:num w:numId="20">
    <w:abstractNumId w:val="21"/>
  </w:num>
  <w:num w:numId="21">
    <w:abstractNumId w:val="10"/>
  </w:num>
  <w:num w:numId="22">
    <w:abstractNumId w:val="0"/>
  </w:num>
  <w:num w:numId="23">
    <w:abstractNumId w:val="6"/>
  </w:num>
  <w:num w:numId="24">
    <w:abstractNumId w:val="4"/>
  </w:num>
  <w:num w:numId="25">
    <w:abstractNumId w:val="2"/>
  </w:num>
  <w:num w:numId="26">
    <w:abstractNumId w:val="18"/>
  </w:num>
  <w:num w:numId="27">
    <w:abstractNumId w:val="2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36D6"/>
    <w:rsid w:val="00004C6A"/>
    <w:rsid w:val="00012D11"/>
    <w:rsid w:val="00013EB5"/>
    <w:rsid w:val="00023836"/>
    <w:rsid w:val="000356A9"/>
    <w:rsid w:val="000415E8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816F0"/>
    <w:rsid w:val="00082508"/>
    <w:rsid w:val="00092FFA"/>
    <w:rsid w:val="000944AC"/>
    <w:rsid w:val="00094CB9"/>
    <w:rsid w:val="000956B2"/>
    <w:rsid w:val="000969E7"/>
    <w:rsid w:val="000A23DE"/>
    <w:rsid w:val="000A4020"/>
    <w:rsid w:val="000A4F07"/>
    <w:rsid w:val="000B54FB"/>
    <w:rsid w:val="000C29B0"/>
    <w:rsid w:val="000C36B6"/>
    <w:rsid w:val="000C76FC"/>
    <w:rsid w:val="000D38FC"/>
    <w:rsid w:val="000D4D90"/>
    <w:rsid w:val="000E2D10"/>
    <w:rsid w:val="000F0F89"/>
    <w:rsid w:val="000F3204"/>
    <w:rsid w:val="0010548B"/>
    <w:rsid w:val="001072D1"/>
    <w:rsid w:val="00110949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2F4"/>
    <w:rsid w:val="00155B15"/>
    <w:rsid w:val="001576A1"/>
    <w:rsid w:val="001625BE"/>
    <w:rsid w:val="001643A4"/>
    <w:rsid w:val="001727BB"/>
    <w:rsid w:val="00174B10"/>
    <w:rsid w:val="00180D25"/>
    <w:rsid w:val="0018318D"/>
    <w:rsid w:val="00183411"/>
    <w:rsid w:val="0018572C"/>
    <w:rsid w:val="00187E79"/>
    <w:rsid w:val="00187F0D"/>
    <w:rsid w:val="00192CC5"/>
    <w:rsid w:val="001956A7"/>
    <w:rsid w:val="001A118A"/>
    <w:rsid w:val="001A27F4"/>
    <w:rsid w:val="001A2D95"/>
    <w:rsid w:val="001B2586"/>
    <w:rsid w:val="001B3460"/>
    <w:rsid w:val="001B4CA1"/>
    <w:rsid w:val="001B75D8"/>
    <w:rsid w:val="001C1060"/>
    <w:rsid w:val="001C3C63"/>
    <w:rsid w:val="001C7D54"/>
    <w:rsid w:val="001D4732"/>
    <w:rsid w:val="001D6A3C"/>
    <w:rsid w:val="001D6D51"/>
    <w:rsid w:val="001E4706"/>
    <w:rsid w:val="001F306D"/>
    <w:rsid w:val="001F3332"/>
    <w:rsid w:val="001F653A"/>
    <w:rsid w:val="001F6979"/>
    <w:rsid w:val="00202BC6"/>
    <w:rsid w:val="00205141"/>
    <w:rsid w:val="0020516B"/>
    <w:rsid w:val="00213559"/>
    <w:rsid w:val="00213EFD"/>
    <w:rsid w:val="002172F1"/>
    <w:rsid w:val="00223C7B"/>
    <w:rsid w:val="00224633"/>
    <w:rsid w:val="00224AB1"/>
    <w:rsid w:val="0022687A"/>
    <w:rsid w:val="00230728"/>
    <w:rsid w:val="00234040"/>
    <w:rsid w:val="00235062"/>
    <w:rsid w:val="00235CD2"/>
    <w:rsid w:val="002437F3"/>
    <w:rsid w:val="0025001A"/>
    <w:rsid w:val="002546CA"/>
    <w:rsid w:val="00254DED"/>
    <w:rsid w:val="00255619"/>
    <w:rsid w:val="00255DAD"/>
    <w:rsid w:val="00256108"/>
    <w:rsid w:val="00260F33"/>
    <w:rsid w:val="002613BD"/>
    <w:rsid w:val="0026186F"/>
    <w:rsid w:val="00261B96"/>
    <w:rsid w:val="002621C3"/>
    <w:rsid w:val="002624F1"/>
    <w:rsid w:val="00270672"/>
    <w:rsid w:val="00270C81"/>
    <w:rsid w:val="00271558"/>
    <w:rsid w:val="00274862"/>
    <w:rsid w:val="00282D72"/>
    <w:rsid w:val="00283402"/>
    <w:rsid w:val="00284F42"/>
    <w:rsid w:val="00290FD6"/>
    <w:rsid w:val="00294259"/>
    <w:rsid w:val="002A2C81"/>
    <w:rsid w:val="002B3D1A"/>
    <w:rsid w:val="002C27D0"/>
    <w:rsid w:val="002C2C9B"/>
    <w:rsid w:val="002C5598"/>
    <w:rsid w:val="002D17D6"/>
    <w:rsid w:val="002D18D7"/>
    <w:rsid w:val="002D21CE"/>
    <w:rsid w:val="002E3DA3"/>
    <w:rsid w:val="002E450F"/>
    <w:rsid w:val="002E6B38"/>
    <w:rsid w:val="002E6D63"/>
    <w:rsid w:val="002E6E2B"/>
    <w:rsid w:val="002E771E"/>
    <w:rsid w:val="002F00AA"/>
    <w:rsid w:val="002F500B"/>
    <w:rsid w:val="00300991"/>
    <w:rsid w:val="00301502"/>
    <w:rsid w:val="00301959"/>
    <w:rsid w:val="00303024"/>
    <w:rsid w:val="00305B8A"/>
    <w:rsid w:val="003168C0"/>
    <w:rsid w:val="00331BF9"/>
    <w:rsid w:val="00333770"/>
    <w:rsid w:val="0033495E"/>
    <w:rsid w:val="00334A79"/>
    <w:rsid w:val="00334D8D"/>
    <w:rsid w:val="00337345"/>
    <w:rsid w:val="00337DD2"/>
    <w:rsid w:val="003404D1"/>
    <w:rsid w:val="003443FF"/>
    <w:rsid w:val="00350B8B"/>
    <w:rsid w:val="00355808"/>
    <w:rsid w:val="00355D07"/>
    <w:rsid w:val="00362C7E"/>
    <w:rsid w:val="00363309"/>
    <w:rsid w:val="00363601"/>
    <w:rsid w:val="0036388C"/>
    <w:rsid w:val="00371857"/>
    <w:rsid w:val="00373B4D"/>
    <w:rsid w:val="00376AC9"/>
    <w:rsid w:val="0038078E"/>
    <w:rsid w:val="00385F5B"/>
    <w:rsid w:val="00393032"/>
    <w:rsid w:val="00394B69"/>
    <w:rsid w:val="00397078"/>
    <w:rsid w:val="003A6953"/>
    <w:rsid w:val="003A7EC1"/>
    <w:rsid w:val="003B6083"/>
    <w:rsid w:val="003C3838"/>
    <w:rsid w:val="003C5847"/>
    <w:rsid w:val="003D0681"/>
    <w:rsid w:val="003D12F6"/>
    <w:rsid w:val="003D1426"/>
    <w:rsid w:val="003E2F4E"/>
    <w:rsid w:val="003E5786"/>
    <w:rsid w:val="003E720A"/>
    <w:rsid w:val="004003EC"/>
    <w:rsid w:val="00403E6E"/>
    <w:rsid w:val="004114ED"/>
    <w:rsid w:val="0041193C"/>
    <w:rsid w:val="004129B4"/>
    <w:rsid w:val="00417EF0"/>
    <w:rsid w:val="00421698"/>
    <w:rsid w:val="00422181"/>
    <w:rsid w:val="004244A8"/>
    <w:rsid w:val="00425F72"/>
    <w:rsid w:val="00427736"/>
    <w:rsid w:val="00427F71"/>
    <w:rsid w:val="00432C9B"/>
    <w:rsid w:val="004369AD"/>
    <w:rsid w:val="00441787"/>
    <w:rsid w:val="00444F2D"/>
    <w:rsid w:val="00452034"/>
    <w:rsid w:val="00455FA6"/>
    <w:rsid w:val="004576C5"/>
    <w:rsid w:val="0046271E"/>
    <w:rsid w:val="00466C70"/>
    <w:rsid w:val="004702C9"/>
    <w:rsid w:val="00472E45"/>
    <w:rsid w:val="00473FEA"/>
    <w:rsid w:val="0047427E"/>
    <w:rsid w:val="0047579D"/>
    <w:rsid w:val="00483262"/>
    <w:rsid w:val="00484107"/>
    <w:rsid w:val="00485CC5"/>
    <w:rsid w:val="004878CC"/>
    <w:rsid w:val="00491650"/>
    <w:rsid w:val="0049343F"/>
    <w:rsid w:val="00496431"/>
    <w:rsid w:val="004964FC"/>
    <w:rsid w:val="004A145E"/>
    <w:rsid w:val="004A1F15"/>
    <w:rsid w:val="004A298D"/>
    <w:rsid w:val="004A2A81"/>
    <w:rsid w:val="004A7835"/>
    <w:rsid w:val="004A7BD7"/>
    <w:rsid w:val="004B55D6"/>
    <w:rsid w:val="004B55F5"/>
    <w:rsid w:val="004C15C2"/>
    <w:rsid w:val="004C36D8"/>
    <w:rsid w:val="004C4649"/>
    <w:rsid w:val="004C4672"/>
    <w:rsid w:val="004D1248"/>
    <w:rsid w:val="004D1E3C"/>
    <w:rsid w:val="004D4114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60B"/>
    <w:rsid w:val="00522D94"/>
    <w:rsid w:val="00533D89"/>
    <w:rsid w:val="00536564"/>
    <w:rsid w:val="00544597"/>
    <w:rsid w:val="00544FFE"/>
    <w:rsid w:val="005473F5"/>
    <w:rsid w:val="005477E7"/>
    <w:rsid w:val="0055246D"/>
    <w:rsid w:val="00552794"/>
    <w:rsid w:val="00556C02"/>
    <w:rsid w:val="00563199"/>
    <w:rsid w:val="00564874"/>
    <w:rsid w:val="00567963"/>
    <w:rsid w:val="0057009A"/>
    <w:rsid w:val="00570193"/>
    <w:rsid w:val="00571260"/>
    <w:rsid w:val="0057189C"/>
    <w:rsid w:val="00573FC1"/>
    <w:rsid w:val="005741EE"/>
    <w:rsid w:val="0057668E"/>
    <w:rsid w:val="00590608"/>
    <w:rsid w:val="00595E83"/>
    <w:rsid w:val="00596530"/>
    <w:rsid w:val="005967F3"/>
    <w:rsid w:val="005A06DF"/>
    <w:rsid w:val="005A1793"/>
    <w:rsid w:val="005A5527"/>
    <w:rsid w:val="005A5AE6"/>
    <w:rsid w:val="005B1206"/>
    <w:rsid w:val="005B37E8"/>
    <w:rsid w:val="005B3E3B"/>
    <w:rsid w:val="005C0056"/>
    <w:rsid w:val="005D61D6"/>
    <w:rsid w:val="005E0D13"/>
    <w:rsid w:val="005E1F3F"/>
    <w:rsid w:val="005E25CD"/>
    <w:rsid w:val="005E38BC"/>
    <w:rsid w:val="005E5047"/>
    <w:rsid w:val="005E7205"/>
    <w:rsid w:val="005E7371"/>
    <w:rsid w:val="005F116C"/>
    <w:rsid w:val="005F2131"/>
    <w:rsid w:val="005F4279"/>
    <w:rsid w:val="005F7420"/>
    <w:rsid w:val="0060019B"/>
    <w:rsid w:val="00605DCF"/>
    <w:rsid w:val="00605EF6"/>
    <w:rsid w:val="00606455"/>
    <w:rsid w:val="00614929"/>
    <w:rsid w:val="00616511"/>
    <w:rsid w:val="006176ED"/>
    <w:rsid w:val="006179DF"/>
    <w:rsid w:val="006202F3"/>
    <w:rsid w:val="0062097A"/>
    <w:rsid w:val="00621DA6"/>
    <w:rsid w:val="00623CFE"/>
    <w:rsid w:val="00627221"/>
    <w:rsid w:val="00627EE8"/>
    <w:rsid w:val="006316FA"/>
    <w:rsid w:val="0063275A"/>
    <w:rsid w:val="00635795"/>
    <w:rsid w:val="00635A65"/>
    <w:rsid w:val="006370D2"/>
    <w:rsid w:val="0064074F"/>
    <w:rsid w:val="00641F55"/>
    <w:rsid w:val="00645E4A"/>
    <w:rsid w:val="00653243"/>
    <w:rsid w:val="00653688"/>
    <w:rsid w:val="006603C2"/>
    <w:rsid w:val="0066091B"/>
    <w:rsid w:val="006660E9"/>
    <w:rsid w:val="00667249"/>
    <w:rsid w:val="00667558"/>
    <w:rsid w:val="00671523"/>
    <w:rsid w:val="00673D8D"/>
    <w:rsid w:val="006754EF"/>
    <w:rsid w:val="00676C8D"/>
    <w:rsid w:val="00676F1F"/>
    <w:rsid w:val="00677381"/>
    <w:rsid w:val="00677414"/>
    <w:rsid w:val="00681A6E"/>
    <w:rsid w:val="006832CF"/>
    <w:rsid w:val="0068601E"/>
    <w:rsid w:val="0069486B"/>
    <w:rsid w:val="006A4904"/>
    <w:rsid w:val="006A548F"/>
    <w:rsid w:val="006A701A"/>
    <w:rsid w:val="006B01CD"/>
    <w:rsid w:val="006B64DC"/>
    <w:rsid w:val="006B7A91"/>
    <w:rsid w:val="006D46D9"/>
    <w:rsid w:val="006D4704"/>
    <w:rsid w:val="006D6A2D"/>
    <w:rsid w:val="006E1E18"/>
    <w:rsid w:val="006E31CE"/>
    <w:rsid w:val="006E34D3"/>
    <w:rsid w:val="006F1435"/>
    <w:rsid w:val="006F78C4"/>
    <w:rsid w:val="007026E8"/>
    <w:rsid w:val="007031A0"/>
    <w:rsid w:val="00705A29"/>
    <w:rsid w:val="00707498"/>
    <w:rsid w:val="00711A65"/>
    <w:rsid w:val="00714133"/>
    <w:rsid w:val="00714DA4"/>
    <w:rsid w:val="007158B2"/>
    <w:rsid w:val="00716081"/>
    <w:rsid w:val="00716364"/>
    <w:rsid w:val="00722B48"/>
    <w:rsid w:val="00724164"/>
    <w:rsid w:val="00725611"/>
    <w:rsid w:val="00725C77"/>
    <w:rsid w:val="00725DE7"/>
    <w:rsid w:val="0072636A"/>
    <w:rsid w:val="00726800"/>
    <w:rsid w:val="00726B44"/>
    <w:rsid w:val="007318DD"/>
    <w:rsid w:val="00733167"/>
    <w:rsid w:val="007337F1"/>
    <w:rsid w:val="007343B1"/>
    <w:rsid w:val="00740D2C"/>
    <w:rsid w:val="007415D0"/>
    <w:rsid w:val="00744BF9"/>
    <w:rsid w:val="00752623"/>
    <w:rsid w:val="00760F1F"/>
    <w:rsid w:val="0076423E"/>
    <w:rsid w:val="007646CB"/>
    <w:rsid w:val="0076658F"/>
    <w:rsid w:val="00767680"/>
    <w:rsid w:val="0077040A"/>
    <w:rsid w:val="00772D64"/>
    <w:rsid w:val="0077509E"/>
    <w:rsid w:val="007836F9"/>
    <w:rsid w:val="00792609"/>
    <w:rsid w:val="00792887"/>
    <w:rsid w:val="007943C0"/>
    <w:rsid w:val="007943E2"/>
    <w:rsid w:val="00794F2C"/>
    <w:rsid w:val="007A3BC7"/>
    <w:rsid w:val="007A5AC4"/>
    <w:rsid w:val="007B0FDD"/>
    <w:rsid w:val="007B242A"/>
    <w:rsid w:val="007B4802"/>
    <w:rsid w:val="007B6668"/>
    <w:rsid w:val="007B6B33"/>
    <w:rsid w:val="007B7772"/>
    <w:rsid w:val="007C1084"/>
    <w:rsid w:val="007C2701"/>
    <w:rsid w:val="007D2192"/>
    <w:rsid w:val="007D35A9"/>
    <w:rsid w:val="007D398C"/>
    <w:rsid w:val="007E6C89"/>
    <w:rsid w:val="007F0021"/>
    <w:rsid w:val="007F2F52"/>
    <w:rsid w:val="007F3108"/>
    <w:rsid w:val="00801F71"/>
    <w:rsid w:val="00803010"/>
    <w:rsid w:val="00805F28"/>
    <w:rsid w:val="0080749F"/>
    <w:rsid w:val="00811D46"/>
    <w:rsid w:val="008125B0"/>
    <w:rsid w:val="008144CB"/>
    <w:rsid w:val="00821717"/>
    <w:rsid w:val="00824210"/>
    <w:rsid w:val="008263C0"/>
    <w:rsid w:val="00827600"/>
    <w:rsid w:val="00841422"/>
    <w:rsid w:val="00841D3B"/>
    <w:rsid w:val="0084314C"/>
    <w:rsid w:val="00843171"/>
    <w:rsid w:val="008436FD"/>
    <w:rsid w:val="008523A8"/>
    <w:rsid w:val="00856799"/>
    <w:rsid w:val="008575C3"/>
    <w:rsid w:val="00863D28"/>
    <w:rsid w:val="008648C3"/>
    <w:rsid w:val="00880F26"/>
    <w:rsid w:val="00882618"/>
    <w:rsid w:val="00886A7B"/>
    <w:rsid w:val="0089303F"/>
    <w:rsid w:val="00896C2E"/>
    <w:rsid w:val="008A5095"/>
    <w:rsid w:val="008A608F"/>
    <w:rsid w:val="008B1A9A"/>
    <w:rsid w:val="008B4FE6"/>
    <w:rsid w:val="008B6779"/>
    <w:rsid w:val="008B6C37"/>
    <w:rsid w:val="008C5521"/>
    <w:rsid w:val="008E18F7"/>
    <w:rsid w:val="008E1E10"/>
    <w:rsid w:val="008E291B"/>
    <w:rsid w:val="008E4F2F"/>
    <w:rsid w:val="008E74B0"/>
    <w:rsid w:val="008F3064"/>
    <w:rsid w:val="009008A8"/>
    <w:rsid w:val="00902C88"/>
    <w:rsid w:val="009063B0"/>
    <w:rsid w:val="00907106"/>
    <w:rsid w:val="009107FD"/>
    <w:rsid w:val="0091137C"/>
    <w:rsid w:val="00911567"/>
    <w:rsid w:val="00913A5F"/>
    <w:rsid w:val="00917925"/>
    <w:rsid w:val="00917AAE"/>
    <w:rsid w:val="00924EA3"/>
    <w:rsid w:val="009251A9"/>
    <w:rsid w:val="00930699"/>
    <w:rsid w:val="00931F69"/>
    <w:rsid w:val="00934123"/>
    <w:rsid w:val="00936A16"/>
    <w:rsid w:val="00947BB1"/>
    <w:rsid w:val="00950233"/>
    <w:rsid w:val="00955774"/>
    <w:rsid w:val="009560B5"/>
    <w:rsid w:val="0096788D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700"/>
    <w:rsid w:val="009B2BCF"/>
    <w:rsid w:val="009B2FF8"/>
    <w:rsid w:val="009B5BA3"/>
    <w:rsid w:val="009C1FEB"/>
    <w:rsid w:val="009D0027"/>
    <w:rsid w:val="009D0655"/>
    <w:rsid w:val="009E1E98"/>
    <w:rsid w:val="009E2340"/>
    <w:rsid w:val="009E3ABE"/>
    <w:rsid w:val="009E3C4B"/>
    <w:rsid w:val="009E4F20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14DC"/>
    <w:rsid w:val="00A23191"/>
    <w:rsid w:val="00A24BEB"/>
    <w:rsid w:val="00A319C0"/>
    <w:rsid w:val="00A33560"/>
    <w:rsid w:val="00A356E2"/>
    <w:rsid w:val="00A364E4"/>
    <w:rsid w:val="00A371A5"/>
    <w:rsid w:val="00A404B4"/>
    <w:rsid w:val="00A45CA1"/>
    <w:rsid w:val="00A47BDF"/>
    <w:rsid w:val="00A51CD7"/>
    <w:rsid w:val="00A52ADB"/>
    <w:rsid w:val="00A533E8"/>
    <w:rsid w:val="00A542D9"/>
    <w:rsid w:val="00A5541F"/>
    <w:rsid w:val="00A56301"/>
    <w:rsid w:val="00A56E64"/>
    <w:rsid w:val="00A624C3"/>
    <w:rsid w:val="00A6610C"/>
    <w:rsid w:val="00A6621C"/>
    <w:rsid w:val="00A6641C"/>
    <w:rsid w:val="00A70DF1"/>
    <w:rsid w:val="00A767D2"/>
    <w:rsid w:val="00A77616"/>
    <w:rsid w:val="00A778AC"/>
    <w:rsid w:val="00A805DA"/>
    <w:rsid w:val="00A811B4"/>
    <w:rsid w:val="00A82F82"/>
    <w:rsid w:val="00A87CDE"/>
    <w:rsid w:val="00A92BAF"/>
    <w:rsid w:val="00A94737"/>
    <w:rsid w:val="00A94BA3"/>
    <w:rsid w:val="00A96CBA"/>
    <w:rsid w:val="00AA725D"/>
    <w:rsid w:val="00AB1ACD"/>
    <w:rsid w:val="00AB277F"/>
    <w:rsid w:val="00AB3C5F"/>
    <w:rsid w:val="00AB4099"/>
    <w:rsid w:val="00AB449A"/>
    <w:rsid w:val="00AC4A27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63A5D"/>
    <w:rsid w:val="00B65A0D"/>
    <w:rsid w:val="00B66DCC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16C"/>
    <w:rsid w:val="00B9189C"/>
    <w:rsid w:val="00B932A1"/>
    <w:rsid w:val="00B93834"/>
    <w:rsid w:val="00B96469"/>
    <w:rsid w:val="00BA0DA2"/>
    <w:rsid w:val="00BA2981"/>
    <w:rsid w:val="00BA2BB7"/>
    <w:rsid w:val="00BA312A"/>
    <w:rsid w:val="00BA42EE"/>
    <w:rsid w:val="00BA48F9"/>
    <w:rsid w:val="00BB096A"/>
    <w:rsid w:val="00BB0DCA"/>
    <w:rsid w:val="00BB0EEE"/>
    <w:rsid w:val="00BB2666"/>
    <w:rsid w:val="00BB6B80"/>
    <w:rsid w:val="00BC3773"/>
    <w:rsid w:val="00BC381A"/>
    <w:rsid w:val="00BC7B23"/>
    <w:rsid w:val="00BD0962"/>
    <w:rsid w:val="00BD1EED"/>
    <w:rsid w:val="00BE4CB8"/>
    <w:rsid w:val="00BE65F8"/>
    <w:rsid w:val="00BF01A3"/>
    <w:rsid w:val="00BF0DA2"/>
    <w:rsid w:val="00BF109C"/>
    <w:rsid w:val="00BF34FA"/>
    <w:rsid w:val="00C004B6"/>
    <w:rsid w:val="00C047A7"/>
    <w:rsid w:val="00C05DE5"/>
    <w:rsid w:val="00C20A95"/>
    <w:rsid w:val="00C33027"/>
    <w:rsid w:val="00C33D45"/>
    <w:rsid w:val="00C37667"/>
    <w:rsid w:val="00C435DB"/>
    <w:rsid w:val="00C44D73"/>
    <w:rsid w:val="00C45CF6"/>
    <w:rsid w:val="00C50B42"/>
    <w:rsid w:val="00C50B70"/>
    <w:rsid w:val="00C516FF"/>
    <w:rsid w:val="00C52BFA"/>
    <w:rsid w:val="00C53D1D"/>
    <w:rsid w:val="00C53F26"/>
    <w:rsid w:val="00C540BC"/>
    <w:rsid w:val="00C5499D"/>
    <w:rsid w:val="00C64F7D"/>
    <w:rsid w:val="00C67309"/>
    <w:rsid w:val="00C743E9"/>
    <w:rsid w:val="00C7614E"/>
    <w:rsid w:val="00C77BF1"/>
    <w:rsid w:val="00C80D60"/>
    <w:rsid w:val="00C82FBD"/>
    <w:rsid w:val="00C834B7"/>
    <w:rsid w:val="00C84C21"/>
    <w:rsid w:val="00C85267"/>
    <w:rsid w:val="00C8721B"/>
    <w:rsid w:val="00C91FD9"/>
    <w:rsid w:val="00C92554"/>
    <w:rsid w:val="00C9372C"/>
    <w:rsid w:val="00C9470E"/>
    <w:rsid w:val="00C95CEB"/>
    <w:rsid w:val="00CA01A9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0343"/>
    <w:rsid w:val="00CF112E"/>
    <w:rsid w:val="00CF1250"/>
    <w:rsid w:val="00CF5F4F"/>
    <w:rsid w:val="00CF7237"/>
    <w:rsid w:val="00D02E8B"/>
    <w:rsid w:val="00D04F8E"/>
    <w:rsid w:val="00D11E1B"/>
    <w:rsid w:val="00D123D1"/>
    <w:rsid w:val="00D12B16"/>
    <w:rsid w:val="00D1444E"/>
    <w:rsid w:val="00D1457F"/>
    <w:rsid w:val="00D2171A"/>
    <w:rsid w:val="00D218DC"/>
    <w:rsid w:val="00D24E56"/>
    <w:rsid w:val="00D25ABF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2AD3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0222"/>
    <w:rsid w:val="00DE5D80"/>
    <w:rsid w:val="00DF14AE"/>
    <w:rsid w:val="00DF2DA6"/>
    <w:rsid w:val="00DF58CD"/>
    <w:rsid w:val="00DF65DE"/>
    <w:rsid w:val="00E019A5"/>
    <w:rsid w:val="00E02EC8"/>
    <w:rsid w:val="00E037F5"/>
    <w:rsid w:val="00E04ECB"/>
    <w:rsid w:val="00E05A09"/>
    <w:rsid w:val="00E06CA1"/>
    <w:rsid w:val="00E1237A"/>
    <w:rsid w:val="00E16FAD"/>
    <w:rsid w:val="00E172B8"/>
    <w:rsid w:val="00E17FB4"/>
    <w:rsid w:val="00E20B75"/>
    <w:rsid w:val="00E214F2"/>
    <w:rsid w:val="00E2371E"/>
    <w:rsid w:val="00E24BD7"/>
    <w:rsid w:val="00E26523"/>
    <w:rsid w:val="00E26809"/>
    <w:rsid w:val="00E31E0B"/>
    <w:rsid w:val="00E3412D"/>
    <w:rsid w:val="00E442A9"/>
    <w:rsid w:val="00E50E74"/>
    <w:rsid w:val="00E5106D"/>
    <w:rsid w:val="00E57322"/>
    <w:rsid w:val="00E628CB"/>
    <w:rsid w:val="00E62AD9"/>
    <w:rsid w:val="00E638C8"/>
    <w:rsid w:val="00E7509B"/>
    <w:rsid w:val="00E86590"/>
    <w:rsid w:val="00E907FF"/>
    <w:rsid w:val="00E92702"/>
    <w:rsid w:val="00EA2683"/>
    <w:rsid w:val="00EA42D1"/>
    <w:rsid w:val="00EA42EF"/>
    <w:rsid w:val="00EB2DD1"/>
    <w:rsid w:val="00EB5FEF"/>
    <w:rsid w:val="00EB6B37"/>
    <w:rsid w:val="00EB6B4D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390D"/>
    <w:rsid w:val="00EF3E71"/>
    <w:rsid w:val="00EF4915"/>
    <w:rsid w:val="00EF7683"/>
    <w:rsid w:val="00EF7A2D"/>
    <w:rsid w:val="00F04F8D"/>
    <w:rsid w:val="00F06D2F"/>
    <w:rsid w:val="00F10AD0"/>
    <w:rsid w:val="00F116CC"/>
    <w:rsid w:val="00F12BD1"/>
    <w:rsid w:val="00F15327"/>
    <w:rsid w:val="00F168CF"/>
    <w:rsid w:val="00F2102A"/>
    <w:rsid w:val="00F2555C"/>
    <w:rsid w:val="00F31DF3"/>
    <w:rsid w:val="00F33AE5"/>
    <w:rsid w:val="00F3597D"/>
    <w:rsid w:val="00F4130B"/>
    <w:rsid w:val="00F4376D"/>
    <w:rsid w:val="00F45399"/>
    <w:rsid w:val="00F465EA"/>
    <w:rsid w:val="00F54E7B"/>
    <w:rsid w:val="00F55A88"/>
    <w:rsid w:val="00F74005"/>
    <w:rsid w:val="00F76884"/>
    <w:rsid w:val="00F82072"/>
    <w:rsid w:val="00F83D24"/>
    <w:rsid w:val="00F83DD9"/>
    <w:rsid w:val="00F83F40"/>
    <w:rsid w:val="00F87E8A"/>
    <w:rsid w:val="00FA117A"/>
    <w:rsid w:val="00FA5124"/>
    <w:rsid w:val="00FB386A"/>
    <w:rsid w:val="00FC0786"/>
    <w:rsid w:val="00FC49EF"/>
    <w:rsid w:val="00FD1970"/>
    <w:rsid w:val="00FE2E53"/>
    <w:rsid w:val="00FE36E2"/>
    <w:rsid w:val="00FE650B"/>
    <w:rsid w:val="00FF11AD"/>
    <w:rsid w:val="00FF2971"/>
    <w:rsid w:val="00FF2E78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F9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72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0150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Normalny"/>
    <w:uiPriority w:val="24"/>
    <w:qFormat/>
    <w:rsid w:val="00301502"/>
    <w:pPr>
      <w:spacing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beczek@mf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roslaw.niezgoda@mf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egisters.esma.europa.eu/publication/searchRegister?core=esma_registers_up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sters.esma.europa.eu/publication/searchRegister?core=esma_registers_upre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22122"/>
    <w:rsid w:val="000F2D9D"/>
    <w:rsid w:val="00103CC8"/>
    <w:rsid w:val="001850D3"/>
    <w:rsid w:val="00291B13"/>
    <w:rsid w:val="002C1436"/>
    <w:rsid w:val="004072EF"/>
    <w:rsid w:val="004175CD"/>
    <w:rsid w:val="00421FB1"/>
    <w:rsid w:val="00471A3C"/>
    <w:rsid w:val="004B030B"/>
    <w:rsid w:val="00551026"/>
    <w:rsid w:val="0061222C"/>
    <w:rsid w:val="0067197A"/>
    <w:rsid w:val="00816C0E"/>
    <w:rsid w:val="00824B5D"/>
    <w:rsid w:val="00865266"/>
    <w:rsid w:val="008C7CA2"/>
    <w:rsid w:val="00995F56"/>
    <w:rsid w:val="00A92ECD"/>
    <w:rsid w:val="00AD66A9"/>
    <w:rsid w:val="00B055D7"/>
    <w:rsid w:val="00BC39A7"/>
    <w:rsid w:val="00CB2767"/>
    <w:rsid w:val="00CF25CD"/>
    <w:rsid w:val="00D0441E"/>
    <w:rsid w:val="00D65FF0"/>
    <w:rsid w:val="00DA57F5"/>
    <w:rsid w:val="00E0255E"/>
    <w:rsid w:val="00F0252A"/>
    <w:rsid w:val="00F1310C"/>
    <w:rsid w:val="00F31E0B"/>
    <w:rsid w:val="00F523DD"/>
    <w:rsid w:val="00F7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14651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2020-07-09T06:08:00Z</dcterms:created>
  <dcterms:modified xsi:type="dcterms:W3CDTF">2020-07-09T06:08:00Z</dcterms:modified>
</cp:coreProperties>
</file>