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48EF5" w14:textId="77777777" w:rsidR="005401EF" w:rsidRDefault="005401EF">
      <w:bookmarkStart w:id="0" w:name="_GoBack"/>
      <w:bookmarkEnd w:id="0"/>
      <w:r>
        <w:t>`</w:t>
      </w:r>
      <w:r>
        <w:tab/>
      </w:r>
    </w:p>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5401EF" w:rsidRPr="008B4FE6" w14:paraId="2CC6DF94" w14:textId="77777777" w:rsidTr="00745C90">
        <w:trPr>
          <w:trHeight w:val="1611"/>
        </w:trPr>
        <w:tc>
          <w:tcPr>
            <w:tcW w:w="6631" w:type="dxa"/>
            <w:gridSpan w:val="17"/>
          </w:tcPr>
          <w:p w14:paraId="57BD1708" w14:textId="77777777" w:rsidR="005401EF" w:rsidRPr="00F26979" w:rsidRDefault="005401EF" w:rsidP="00D63F62">
            <w:pPr>
              <w:rPr>
                <w:color w:val="000000"/>
              </w:rPr>
            </w:pPr>
            <w:bookmarkStart w:id="1" w:name="t1"/>
            <w:r w:rsidRPr="00F26979">
              <w:rPr>
                <w:b/>
                <w:color w:val="000000"/>
              </w:rPr>
              <w:t>Nazwa projektu</w:t>
            </w:r>
          </w:p>
          <w:p w14:paraId="2E243D8A" w14:textId="098CCD90" w:rsidR="005401EF" w:rsidRDefault="005401EF" w:rsidP="00D63F62">
            <w:pPr>
              <w:pStyle w:val="Bezodstpw"/>
              <w:jc w:val="both"/>
              <w:rPr>
                <w:rStyle w:val="PodtytuZnak"/>
                <w:rFonts w:ascii="Times New Roman" w:hAnsi="Times New Roman"/>
                <w:sz w:val="22"/>
                <w:szCs w:val="22"/>
              </w:rPr>
            </w:pPr>
            <w:r w:rsidRPr="00CE3799">
              <w:rPr>
                <w:rStyle w:val="PodtytuZnak"/>
                <w:rFonts w:ascii="Times New Roman" w:hAnsi="Times New Roman"/>
                <w:sz w:val="22"/>
                <w:szCs w:val="22"/>
              </w:rPr>
              <w:t xml:space="preserve">Projekt ustawy o zmianie ustawy o obligacjach oraz niektórych innych ustaw </w:t>
            </w:r>
          </w:p>
          <w:p w14:paraId="3EBF680E" w14:textId="77777777" w:rsidR="00CE3799" w:rsidRPr="00CE3799" w:rsidRDefault="00CE3799" w:rsidP="00D63F62">
            <w:pPr>
              <w:pStyle w:val="Bezodstpw"/>
              <w:jc w:val="both"/>
              <w:rPr>
                <w:rFonts w:ascii="Times New Roman" w:hAnsi="Times New Roman"/>
                <w:color w:val="000000"/>
              </w:rPr>
            </w:pPr>
          </w:p>
          <w:p w14:paraId="3F59A309" w14:textId="77777777" w:rsidR="005401EF" w:rsidRPr="00F26979" w:rsidRDefault="005401EF" w:rsidP="00D63F62">
            <w:pPr>
              <w:rPr>
                <w:b/>
                <w:color w:val="000000"/>
              </w:rPr>
            </w:pPr>
            <w:r w:rsidRPr="00F26979">
              <w:rPr>
                <w:b/>
                <w:color w:val="000000"/>
              </w:rPr>
              <w:t>Ministerstwo wiodące i ministerstwa współpracujące</w:t>
            </w:r>
          </w:p>
          <w:p w14:paraId="128665B8" w14:textId="21D217C7" w:rsidR="005401EF" w:rsidRPr="00F26979" w:rsidRDefault="005401EF" w:rsidP="00D63F62">
            <w:pPr>
              <w:rPr>
                <w:color w:val="000000"/>
              </w:rPr>
            </w:pPr>
            <w:r w:rsidRPr="00F26979">
              <w:rPr>
                <w:color w:val="000000"/>
              </w:rPr>
              <w:t>Ministerstwo Finansów</w:t>
            </w:r>
          </w:p>
          <w:p w14:paraId="5007A75E" w14:textId="77777777" w:rsidR="00CE3799" w:rsidRDefault="00CE3799" w:rsidP="00D63F62">
            <w:pPr>
              <w:rPr>
                <w:b/>
                <w:color w:val="000000"/>
              </w:rPr>
            </w:pPr>
          </w:p>
          <w:p w14:paraId="48F8F2D3" w14:textId="77777777" w:rsidR="005401EF" w:rsidRPr="00F26979" w:rsidRDefault="005401EF" w:rsidP="00D63F62">
            <w:pPr>
              <w:rPr>
                <w:b/>
                <w:color w:val="000000"/>
              </w:rPr>
            </w:pPr>
            <w:r w:rsidRPr="00F26979">
              <w:rPr>
                <w:b/>
                <w:color w:val="000000"/>
              </w:rPr>
              <w:t xml:space="preserve">Osoba odpowiedzialna za projekt w randze Ministra, Sekretarza Stanu lub Podsekretarza Stanu </w:t>
            </w:r>
          </w:p>
          <w:p w14:paraId="11885E39" w14:textId="77777777" w:rsidR="005401EF" w:rsidRPr="00F26979" w:rsidRDefault="005401EF" w:rsidP="00D63F62">
            <w:r w:rsidRPr="00F26979">
              <w:rPr>
                <w:b/>
              </w:rPr>
              <w:t>Piotr Nowak</w:t>
            </w:r>
            <w:r w:rsidRPr="00F26979">
              <w:t>, Podsekretarz Stanu w  Ministerstwie Finansów</w:t>
            </w:r>
          </w:p>
          <w:p w14:paraId="50ACA986" w14:textId="77777777" w:rsidR="00CE3799" w:rsidRDefault="00CE3799" w:rsidP="00D63F62">
            <w:pPr>
              <w:rPr>
                <w:b/>
                <w:color w:val="000000"/>
              </w:rPr>
            </w:pPr>
          </w:p>
          <w:p w14:paraId="379374D1" w14:textId="77777777" w:rsidR="005401EF" w:rsidRPr="00F26979" w:rsidRDefault="005401EF" w:rsidP="00D63F62">
            <w:pPr>
              <w:rPr>
                <w:b/>
                <w:color w:val="000000"/>
              </w:rPr>
            </w:pPr>
            <w:r w:rsidRPr="00F26979">
              <w:rPr>
                <w:b/>
                <w:color w:val="000000"/>
              </w:rPr>
              <w:t>Kontakt do opiekuna merytorycznego projektu</w:t>
            </w:r>
          </w:p>
          <w:p w14:paraId="2EF55409" w14:textId="104B7495" w:rsidR="005401EF" w:rsidRPr="00F951A8" w:rsidRDefault="005401EF" w:rsidP="00D63F62">
            <w:pPr>
              <w:ind w:hanging="45"/>
              <w:rPr>
                <w:color w:val="000000"/>
              </w:rPr>
            </w:pPr>
            <w:r>
              <w:rPr>
                <w:b/>
                <w:color w:val="000000"/>
              </w:rPr>
              <w:t xml:space="preserve"> Piotr Pawliczak</w:t>
            </w:r>
            <w:r w:rsidRPr="00F26979">
              <w:rPr>
                <w:color w:val="000000"/>
              </w:rPr>
              <w:t>,</w:t>
            </w:r>
            <w:r w:rsidRPr="00F26979">
              <w:rPr>
                <w:b/>
                <w:color w:val="000000"/>
              </w:rPr>
              <w:t xml:space="preserve"> </w:t>
            </w:r>
            <w:r>
              <w:rPr>
                <w:color w:val="000000"/>
              </w:rPr>
              <w:t>Zastępca Dyrektora</w:t>
            </w:r>
            <w:r w:rsidRPr="00F26979">
              <w:rPr>
                <w:color w:val="000000"/>
              </w:rPr>
              <w:t xml:space="preserve"> Departament Rozwoju Rynku</w:t>
            </w:r>
            <w:r>
              <w:rPr>
                <w:color w:val="000000"/>
              </w:rPr>
              <w:t xml:space="preserve"> Finansowego</w:t>
            </w:r>
            <w:r w:rsidRPr="006D4233">
              <w:rPr>
                <w:color w:val="000000"/>
              </w:rPr>
              <w:t xml:space="preserve"> tel. 22 694 58 28</w:t>
            </w:r>
            <w:r>
              <w:rPr>
                <w:color w:val="000000"/>
              </w:rPr>
              <w:t>, e-mail: sekretariat.fn@mf.gov.pl</w:t>
            </w:r>
            <w:bookmarkEnd w:id="1"/>
          </w:p>
        </w:tc>
        <w:tc>
          <w:tcPr>
            <w:tcW w:w="4316" w:type="dxa"/>
            <w:gridSpan w:val="13"/>
            <w:shd w:val="clear" w:color="auto" w:fill="FFFFFF"/>
          </w:tcPr>
          <w:p w14:paraId="14A5BC82" w14:textId="0F6DFA9E" w:rsidR="005401EF" w:rsidRPr="00642825" w:rsidRDefault="005401EF" w:rsidP="00AC74E4">
            <w:pPr>
              <w:jc w:val="left"/>
              <w:rPr>
                <w:b/>
                <w:sz w:val="21"/>
                <w:szCs w:val="21"/>
              </w:rPr>
            </w:pPr>
            <w:r>
              <w:rPr>
                <w:b/>
                <w:sz w:val="21"/>
                <w:szCs w:val="21"/>
              </w:rPr>
              <w:t xml:space="preserve">Data </w:t>
            </w:r>
            <w:r w:rsidRPr="00642825">
              <w:rPr>
                <w:b/>
                <w:sz w:val="21"/>
                <w:szCs w:val="21"/>
              </w:rPr>
              <w:t>sporządzenia</w:t>
            </w:r>
            <w:r w:rsidRPr="00642825">
              <w:rPr>
                <w:b/>
                <w:sz w:val="21"/>
                <w:szCs w:val="21"/>
              </w:rPr>
              <w:br/>
            </w:r>
            <w:r w:rsidR="00304931">
              <w:rPr>
                <w:b/>
                <w:sz w:val="21"/>
                <w:szCs w:val="21"/>
              </w:rPr>
              <w:t>03</w:t>
            </w:r>
            <w:r>
              <w:rPr>
                <w:b/>
                <w:sz w:val="21"/>
                <w:szCs w:val="21"/>
              </w:rPr>
              <w:t>.0</w:t>
            </w:r>
            <w:r w:rsidR="00304931">
              <w:rPr>
                <w:b/>
                <w:sz w:val="21"/>
                <w:szCs w:val="21"/>
              </w:rPr>
              <w:t>7</w:t>
            </w:r>
            <w:r>
              <w:rPr>
                <w:b/>
                <w:sz w:val="21"/>
                <w:szCs w:val="21"/>
              </w:rPr>
              <w:t>.2020</w:t>
            </w:r>
            <w:r w:rsidR="00CE3799">
              <w:rPr>
                <w:b/>
                <w:sz w:val="21"/>
                <w:szCs w:val="21"/>
              </w:rPr>
              <w:t xml:space="preserve"> r.</w:t>
            </w:r>
          </w:p>
          <w:p w14:paraId="353D7589" w14:textId="77777777" w:rsidR="005401EF" w:rsidRDefault="005401EF" w:rsidP="00F76884">
            <w:pPr>
              <w:rPr>
                <w:b/>
              </w:rPr>
            </w:pPr>
          </w:p>
          <w:p w14:paraId="11D2C5FD" w14:textId="77777777" w:rsidR="005401EF" w:rsidRPr="0065019F" w:rsidRDefault="005401EF" w:rsidP="00F76884">
            <w:pPr>
              <w:rPr>
                <w:b/>
              </w:rPr>
            </w:pPr>
            <w:r w:rsidRPr="0065019F">
              <w:rPr>
                <w:b/>
              </w:rPr>
              <w:t xml:space="preserve">Źródło: </w:t>
            </w:r>
            <w:bookmarkStart w:id="2" w:name="Lista1"/>
          </w:p>
          <w:bookmarkEnd w:id="2"/>
          <w:p w14:paraId="5E023DBF" w14:textId="77777777" w:rsidR="005401EF" w:rsidRPr="00EF290C" w:rsidRDefault="005401EF" w:rsidP="00F76884">
            <w:r>
              <w:t>Prawo UE</w:t>
            </w:r>
          </w:p>
          <w:p w14:paraId="6A8CEED0" w14:textId="77777777" w:rsidR="00EC5DED" w:rsidRDefault="00EC5DED" w:rsidP="00EC5DED">
            <w:pPr>
              <w:rPr>
                <w:lang w:eastAsia="pl-PL"/>
              </w:rPr>
            </w:pPr>
          </w:p>
          <w:p w14:paraId="7AD94ECF" w14:textId="4E9156D8" w:rsidR="00EC5DED" w:rsidRDefault="00EC5DED" w:rsidP="00EC5DED">
            <w:pPr>
              <w:rPr>
                <w:lang w:eastAsia="pl-PL"/>
              </w:rPr>
            </w:pPr>
            <w:r>
              <w:rPr>
                <w:lang w:eastAsia="pl-PL"/>
              </w:rPr>
              <w:t xml:space="preserve">Rozporządzenie Parlamentu Europejskiego i Rady (UE) nr 575/2013 z dnia 26 czerwca 2013 r. w sprawie wymogów ostrożnościowych dla instytucji kredytowych i firm inwestycyjnych zmieniające rozporządzenie (UE) nr 648/2012 </w:t>
            </w:r>
          </w:p>
          <w:p w14:paraId="7DB146DE" w14:textId="77777777" w:rsidR="00EC5DED" w:rsidRDefault="00EC5DED" w:rsidP="00EC5DED">
            <w:pPr>
              <w:rPr>
                <w:lang w:eastAsia="pl-PL"/>
              </w:rPr>
            </w:pPr>
          </w:p>
          <w:p w14:paraId="14F8B39A" w14:textId="15AC3AEA" w:rsidR="00EC5DED" w:rsidRDefault="00EC5DED" w:rsidP="00EC5DED">
            <w:pPr>
              <w:rPr>
                <w:lang w:eastAsia="pl-PL"/>
              </w:rPr>
            </w:pPr>
            <w:r>
              <w:rPr>
                <w:lang w:eastAsia="pl-PL"/>
              </w:rPr>
              <w:t xml:space="preserve">Rozporządzenie delegowane Komisji (UE) nr 2015/35 z dnia 10 października 2014 r. uzupełniające dyrektywę Parlamentu Europejskiego i Rady 2009/138/WE w sprawie podejmowania i prowadzenia działalności ubezpieczeniowej i reasekuracyjnej (Wypłacalność  II) </w:t>
            </w:r>
          </w:p>
          <w:p w14:paraId="1B09DB31" w14:textId="77777777" w:rsidR="005401EF" w:rsidRPr="0065019F" w:rsidRDefault="005401EF" w:rsidP="00F76884"/>
          <w:p w14:paraId="642AB519" w14:textId="77777777" w:rsidR="005401EF" w:rsidRPr="008B4FE6" w:rsidRDefault="005401EF" w:rsidP="007943E2">
            <w:pPr>
              <w:spacing w:before="120"/>
              <w:rPr>
                <w:b/>
                <w:color w:val="000000"/>
              </w:rPr>
            </w:pPr>
            <w:r w:rsidRPr="008B4FE6">
              <w:rPr>
                <w:b/>
                <w:color w:val="000000"/>
              </w:rPr>
              <w:t xml:space="preserve">Nr </w:t>
            </w:r>
            <w:r>
              <w:rPr>
                <w:b/>
                <w:color w:val="000000"/>
              </w:rPr>
              <w:t>w</w:t>
            </w:r>
            <w:r w:rsidRPr="008B4FE6">
              <w:rPr>
                <w:b/>
                <w:color w:val="000000"/>
              </w:rPr>
              <w:t xml:space="preserve"> wykaz</w:t>
            </w:r>
            <w:r>
              <w:rPr>
                <w:b/>
                <w:color w:val="000000"/>
              </w:rPr>
              <w:t>ie</w:t>
            </w:r>
            <w:r w:rsidRPr="008B4FE6">
              <w:rPr>
                <w:b/>
                <w:color w:val="000000"/>
              </w:rPr>
              <w:t xml:space="preserve"> prac </w:t>
            </w:r>
          </w:p>
          <w:p w14:paraId="23690B10" w14:textId="77777777" w:rsidR="005401EF" w:rsidRDefault="00FA3DC4" w:rsidP="00A17CB2">
            <w:pPr>
              <w:rPr>
                <w:color w:val="000000"/>
              </w:rPr>
            </w:pPr>
            <w:r>
              <w:rPr>
                <w:b/>
                <w:color w:val="000000"/>
              </w:rPr>
              <w:t>UC32</w:t>
            </w:r>
          </w:p>
          <w:p w14:paraId="239F2E7B" w14:textId="67437EEC" w:rsidR="0010359C" w:rsidRPr="0010359C" w:rsidRDefault="0010359C" w:rsidP="00A17CB2">
            <w:pPr>
              <w:rPr>
                <w:color w:val="000000"/>
              </w:rPr>
            </w:pPr>
          </w:p>
        </w:tc>
      </w:tr>
      <w:tr w:rsidR="005401EF" w:rsidRPr="0022687A" w14:paraId="045C7D3F" w14:textId="77777777" w:rsidTr="00745C90">
        <w:trPr>
          <w:trHeight w:val="142"/>
        </w:trPr>
        <w:tc>
          <w:tcPr>
            <w:tcW w:w="10947" w:type="dxa"/>
            <w:gridSpan w:val="30"/>
            <w:shd w:val="clear" w:color="auto" w:fill="99CCFF"/>
          </w:tcPr>
          <w:p w14:paraId="647C01C3" w14:textId="77777777" w:rsidR="005401EF" w:rsidRPr="00627221" w:rsidRDefault="005401EF" w:rsidP="001B4CA1">
            <w:pPr>
              <w:ind w:left="57"/>
              <w:jc w:val="center"/>
              <w:rPr>
                <w:b/>
                <w:color w:val="FFFFFF"/>
                <w:sz w:val="32"/>
                <w:szCs w:val="32"/>
              </w:rPr>
            </w:pPr>
            <w:r w:rsidRPr="001E4895">
              <w:rPr>
                <w:b/>
                <w:color w:val="FFFFFF"/>
              </w:rPr>
              <w:t>OCENA SKUTKÓW REGULACJI</w:t>
            </w:r>
          </w:p>
        </w:tc>
      </w:tr>
      <w:tr w:rsidR="005401EF" w:rsidRPr="008B4FE6" w14:paraId="317690B4" w14:textId="77777777" w:rsidTr="00745C90">
        <w:trPr>
          <w:trHeight w:val="333"/>
        </w:trPr>
        <w:tc>
          <w:tcPr>
            <w:tcW w:w="10947" w:type="dxa"/>
            <w:gridSpan w:val="30"/>
            <w:shd w:val="clear" w:color="auto" w:fill="99CCFF"/>
            <w:vAlign w:val="center"/>
          </w:tcPr>
          <w:p w14:paraId="6B3D8079" w14:textId="77777777" w:rsidR="005401EF" w:rsidRPr="008B4FE6" w:rsidRDefault="005401EF" w:rsidP="0019627B">
            <w:pPr>
              <w:numPr>
                <w:ilvl w:val="0"/>
                <w:numId w:val="1"/>
              </w:numPr>
              <w:spacing w:before="60" w:after="60"/>
              <w:ind w:left="318" w:hanging="284"/>
              <w:rPr>
                <w:b/>
                <w:color w:val="000000"/>
              </w:rPr>
            </w:pPr>
            <w:r w:rsidRPr="001812C7">
              <w:rPr>
                <w:b/>
              </w:rPr>
              <w:t>Jaki problem jest rozwiązywany</w:t>
            </w:r>
            <w:r>
              <w:rPr>
                <w:b/>
              </w:rPr>
              <w:t>?</w:t>
            </w:r>
            <w:bookmarkStart w:id="3" w:name="Wybór1"/>
            <w:bookmarkEnd w:id="3"/>
          </w:p>
        </w:tc>
      </w:tr>
      <w:tr w:rsidR="005401EF" w:rsidRPr="008B4FE6" w14:paraId="6174D1BD" w14:textId="77777777" w:rsidTr="00676C8D">
        <w:trPr>
          <w:gridAfter w:val="1"/>
          <w:wAfter w:w="10" w:type="dxa"/>
          <w:trHeight w:val="142"/>
        </w:trPr>
        <w:tc>
          <w:tcPr>
            <w:tcW w:w="10937" w:type="dxa"/>
            <w:gridSpan w:val="29"/>
            <w:shd w:val="clear" w:color="auto" w:fill="FFFFFF"/>
          </w:tcPr>
          <w:p w14:paraId="59A6C824" w14:textId="07859F97" w:rsidR="00A21A3A" w:rsidRDefault="00A21A3A" w:rsidP="002F1859">
            <w:pPr>
              <w:spacing w:before="120"/>
              <w:outlineLvl w:val="0"/>
              <w:rPr>
                <w:szCs w:val="24"/>
              </w:rPr>
            </w:pPr>
            <w:r w:rsidRPr="00683209">
              <w:rPr>
                <w:szCs w:val="24"/>
              </w:rPr>
              <w:t xml:space="preserve">Projektowana ustawa ma na celu </w:t>
            </w:r>
            <w:r>
              <w:rPr>
                <w:szCs w:val="24"/>
              </w:rPr>
              <w:t>określenie zasad emisji instrumentów kapitałowych</w:t>
            </w:r>
            <w:r w:rsidRPr="00683209">
              <w:rPr>
                <w:szCs w:val="24"/>
              </w:rPr>
              <w:t xml:space="preserve"> </w:t>
            </w:r>
            <w:r>
              <w:rPr>
                <w:szCs w:val="24"/>
              </w:rPr>
              <w:t xml:space="preserve">kwalifikowanych do kapitału regulacyjnego banków i domów maklerskich </w:t>
            </w:r>
            <w:r w:rsidR="00BB6EC8">
              <w:rPr>
                <w:szCs w:val="24"/>
              </w:rPr>
              <w:t xml:space="preserve">oraz </w:t>
            </w:r>
            <w:r w:rsidRPr="00683209">
              <w:rPr>
                <w:szCs w:val="24"/>
              </w:rPr>
              <w:t xml:space="preserve">środków </w:t>
            </w:r>
            <w:r>
              <w:rPr>
                <w:szCs w:val="24"/>
              </w:rPr>
              <w:t>własnych zakładów ubezpieczeń i zakładów reasekuracji,</w:t>
            </w:r>
            <w:r w:rsidRPr="00683209">
              <w:rPr>
                <w:szCs w:val="24"/>
              </w:rPr>
              <w:t xml:space="preserve"> </w:t>
            </w:r>
            <w:r>
              <w:rPr>
                <w:szCs w:val="24"/>
              </w:rPr>
              <w:t>w</w:t>
            </w:r>
            <w:r w:rsidR="00535391">
              <w:rPr>
                <w:szCs w:val="24"/>
              </w:rPr>
              <w:t> </w:t>
            </w:r>
            <w:r>
              <w:rPr>
                <w:szCs w:val="24"/>
              </w:rPr>
              <w:t xml:space="preserve">tym emisji </w:t>
            </w:r>
            <w:r w:rsidR="00BB6EC8" w:rsidRPr="00683209">
              <w:rPr>
                <w:szCs w:val="24"/>
              </w:rPr>
              <w:t>obligacji kapitałowych</w:t>
            </w:r>
            <w:r w:rsidR="00BB6EC8">
              <w:rPr>
                <w:szCs w:val="24"/>
              </w:rPr>
              <w:t xml:space="preserve"> jako </w:t>
            </w:r>
            <w:r>
              <w:rPr>
                <w:szCs w:val="24"/>
              </w:rPr>
              <w:t xml:space="preserve">nowej kategorii </w:t>
            </w:r>
            <w:r w:rsidR="008B5E5F">
              <w:rPr>
                <w:szCs w:val="24"/>
              </w:rPr>
              <w:t>obligacji</w:t>
            </w:r>
            <w:r>
              <w:rPr>
                <w:szCs w:val="24"/>
              </w:rPr>
              <w:t xml:space="preserve"> przez </w:t>
            </w:r>
            <w:r w:rsidR="00BB6EC8">
              <w:rPr>
                <w:szCs w:val="24"/>
              </w:rPr>
              <w:t xml:space="preserve">te </w:t>
            </w:r>
            <w:r>
              <w:rPr>
                <w:szCs w:val="24"/>
              </w:rPr>
              <w:t xml:space="preserve">podmioty rynku finansowego, zgodnie z  właściwymi przepisami prawa Unii Europejskiej. </w:t>
            </w:r>
          </w:p>
          <w:p w14:paraId="2DD10DBB" w14:textId="77777777" w:rsidR="00E056FF" w:rsidRDefault="00BB6EC8" w:rsidP="002F1859">
            <w:pPr>
              <w:rPr>
                <w:szCs w:val="24"/>
              </w:rPr>
            </w:pPr>
            <w:r>
              <w:rPr>
                <w:szCs w:val="24"/>
              </w:rPr>
              <w:t>P</w:t>
            </w:r>
            <w:r w:rsidR="00A21A3A">
              <w:rPr>
                <w:szCs w:val="24"/>
              </w:rPr>
              <w:t xml:space="preserve">rojektowane rozwiązania zmierzają przede wszystkim do zniesienia barier w odniesieniu do emisji instrumentów, które będą </w:t>
            </w:r>
            <w:r w:rsidR="00A21A3A" w:rsidRPr="00B05DA5">
              <w:rPr>
                <w:szCs w:val="24"/>
              </w:rPr>
              <w:t xml:space="preserve">mogły być zaliczane do </w:t>
            </w:r>
            <w:r>
              <w:rPr>
                <w:szCs w:val="24"/>
              </w:rPr>
              <w:t xml:space="preserve">tzw. </w:t>
            </w:r>
            <w:r w:rsidR="00A21A3A" w:rsidRPr="00B05DA5">
              <w:rPr>
                <w:bCs/>
                <w:szCs w:val="24"/>
              </w:rPr>
              <w:t>kapitału dodatkowego Tier I i Tier II oraz klasyfikowa</w:t>
            </w:r>
            <w:r w:rsidR="00A21A3A">
              <w:rPr>
                <w:bCs/>
                <w:szCs w:val="24"/>
              </w:rPr>
              <w:t>ne</w:t>
            </w:r>
            <w:r w:rsidR="00A21A3A" w:rsidRPr="00B05DA5">
              <w:rPr>
                <w:bCs/>
                <w:szCs w:val="24"/>
              </w:rPr>
              <w:t xml:space="preserve"> do środków własnych jako pozycje </w:t>
            </w:r>
            <w:r>
              <w:rPr>
                <w:bCs/>
                <w:szCs w:val="24"/>
              </w:rPr>
              <w:t xml:space="preserve">tzw. </w:t>
            </w:r>
            <w:r w:rsidR="00A21A3A" w:rsidRPr="00B05DA5">
              <w:rPr>
                <w:bCs/>
                <w:szCs w:val="24"/>
              </w:rPr>
              <w:t>podstawowych środków własnych kategorii 1, kategorii 2 i kategorii 3</w:t>
            </w:r>
            <w:r w:rsidR="00A21A3A">
              <w:rPr>
                <w:bCs/>
                <w:szCs w:val="24"/>
              </w:rPr>
              <w:t xml:space="preserve"> – w przypadku podmiotów sektora ubezpieczeniowego</w:t>
            </w:r>
            <w:r w:rsidR="00A21A3A">
              <w:rPr>
                <w:szCs w:val="24"/>
              </w:rPr>
              <w:t xml:space="preserve">. </w:t>
            </w:r>
          </w:p>
          <w:p w14:paraId="2D388349" w14:textId="48088B23" w:rsidR="005401EF" w:rsidRDefault="00A21A3A" w:rsidP="002F1859">
            <w:pPr>
              <w:rPr>
                <w:szCs w:val="24"/>
              </w:rPr>
            </w:pPr>
            <w:r>
              <w:rPr>
                <w:szCs w:val="24"/>
              </w:rPr>
              <w:t xml:space="preserve">Proponuje się również doprecyzowanie istniejących rozwiązań prawnych, a także określenie kręgu emitentów uprawnionych do emisji instrumentów, które mogą być zaliczane </w:t>
            </w:r>
            <w:r w:rsidRPr="00CB2C0C">
              <w:rPr>
                <w:szCs w:val="24"/>
              </w:rPr>
              <w:t>do ich funduszy</w:t>
            </w:r>
            <w:r>
              <w:rPr>
                <w:szCs w:val="24"/>
              </w:rPr>
              <w:t xml:space="preserve"> własnych albo środków własnych</w:t>
            </w:r>
            <w:r w:rsidR="00BB6EC8">
              <w:rPr>
                <w:szCs w:val="24"/>
              </w:rPr>
              <w:t xml:space="preserve">. </w:t>
            </w:r>
            <w:r>
              <w:rPr>
                <w:szCs w:val="24"/>
              </w:rPr>
              <w:t xml:space="preserve"> </w:t>
            </w:r>
          </w:p>
          <w:p w14:paraId="1254254C" w14:textId="77777777" w:rsidR="005B622E" w:rsidRPr="005B622E" w:rsidRDefault="005B622E" w:rsidP="002F1859">
            <w:pPr>
              <w:rPr>
                <w:sz w:val="10"/>
                <w:szCs w:val="10"/>
              </w:rPr>
            </w:pPr>
          </w:p>
          <w:p w14:paraId="3109663C" w14:textId="66D5CA66" w:rsidR="00E056FF" w:rsidRDefault="00BB6EC8" w:rsidP="002F1859">
            <w:r>
              <w:t>O</w:t>
            </w:r>
            <w:r w:rsidR="005401EF" w:rsidRPr="00DD6667">
              <w:t xml:space="preserve">strożnościowe wymogi kapitałowe dla banków i domów maklerskich są regulowane w </w:t>
            </w:r>
            <w:r w:rsidR="00E056FF">
              <w:t xml:space="preserve">tzw. </w:t>
            </w:r>
            <w:r w:rsidR="005401EF" w:rsidRPr="00DD6667">
              <w:t xml:space="preserve">pakiecie CRD  IV/CRR, </w:t>
            </w:r>
            <w:r w:rsidR="00E056FF">
              <w:t xml:space="preserve">który </w:t>
            </w:r>
            <w:r w:rsidR="005401EF" w:rsidRPr="00DD6667">
              <w:t>obejmuj</w:t>
            </w:r>
            <w:r w:rsidR="00E056FF">
              <w:t>e:</w:t>
            </w:r>
          </w:p>
          <w:p w14:paraId="0CB6E5BB" w14:textId="32C2A8DC" w:rsidR="00E056FF" w:rsidRPr="00E567FB" w:rsidRDefault="00BB6EC8" w:rsidP="0017695F">
            <w:pPr>
              <w:pStyle w:val="Akapitzlist"/>
              <w:numPr>
                <w:ilvl w:val="0"/>
                <w:numId w:val="7"/>
              </w:numPr>
            </w:pPr>
            <w:r w:rsidRPr="00E567FB">
              <w:t>d</w:t>
            </w:r>
            <w:r w:rsidR="005401EF" w:rsidRPr="00E567FB">
              <w:t xml:space="preserve">yrektywę Parlamentu Europejskiego i Rady 2013/36/UE z dnia 26 czerwca 2013 r. </w:t>
            </w:r>
            <w:r w:rsidR="005401EF" w:rsidRPr="00E567FB">
              <w:rPr>
                <w:iCs/>
              </w:rPr>
              <w:t>w sprawie warunków dopuszczenia instytucji kredytowych do działalności oraz nadzoru ostrożnościowego nad instytucjami kredytowymi i  firmami inwestycyjnymi, zmieniając</w:t>
            </w:r>
            <w:r w:rsidRPr="00E567FB">
              <w:rPr>
                <w:iCs/>
              </w:rPr>
              <w:t>ą</w:t>
            </w:r>
            <w:r w:rsidR="005401EF" w:rsidRPr="00E567FB">
              <w:rPr>
                <w:iCs/>
              </w:rPr>
              <w:t xml:space="preserve"> dyrektywę 2002/87/WE i uchylając</w:t>
            </w:r>
            <w:r w:rsidRPr="00E567FB">
              <w:rPr>
                <w:iCs/>
              </w:rPr>
              <w:t>ą</w:t>
            </w:r>
            <w:r w:rsidR="005401EF" w:rsidRPr="00E567FB">
              <w:rPr>
                <w:iCs/>
              </w:rPr>
              <w:t xml:space="preserve"> dyrektywy 2006/48/WE oraz 2006/49/WE</w:t>
            </w:r>
            <w:r w:rsidR="005401EF" w:rsidRPr="00E567FB">
              <w:t xml:space="preserve"> </w:t>
            </w:r>
            <w:r w:rsidRPr="00E567FB">
              <w:t xml:space="preserve"> </w:t>
            </w:r>
            <w:r w:rsidR="009B30B9" w:rsidRPr="00E567FB">
              <w:t xml:space="preserve">(Dz. Urz. UE L 176 z 27.06.2013, str. 338) </w:t>
            </w:r>
            <w:r w:rsidRPr="00E567FB">
              <w:t>(d</w:t>
            </w:r>
            <w:r w:rsidR="005401EF" w:rsidRPr="00E567FB">
              <w:t>yrektyw</w:t>
            </w:r>
            <w:r w:rsidRPr="00E567FB">
              <w:t>a</w:t>
            </w:r>
            <w:r w:rsidR="005401EF" w:rsidRPr="00E567FB">
              <w:t xml:space="preserve"> CRD IV</w:t>
            </w:r>
            <w:r w:rsidRPr="00E567FB">
              <w:t>)</w:t>
            </w:r>
            <w:r w:rsidR="00E056FF" w:rsidRPr="00E567FB">
              <w:t>,</w:t>
            </w:r>
          </w:p>
          <w:p w14:paraId="3DA063E2" w14:textId="3FA21D7A" w:rsidR="00E056FF" w:rsidRPr="00E567FB" w:rsidRDefault="00BB6EC8" w:rsidP="0017695F">
            <w:pPr>
              <w:pStyle w:val="Akapitzlist"/>
              <w:numPr>
                <w:ilvl w:val="0"/>
                <w:numId w:val="7"/>
              </w:numPr>
            </w:pPr>
            <w:r w:rsidRPr="00E567FB">
              <w:t>r</w:t>
            </w:r>
            <w:r w:rsidR="005401EF" w:rsidRPr="00E567FB">
              <w:t>ozporządzenie Parlamentu Europejskiego i</w:t>
            </w:r>
            <w:r w:rsidR="00535391" w:rsidRPr="00E567FB">
              <w:t> </w:t>
            </w:r>
            <w:r w:rsidR="005401EF" w:rsidRPr="00E567FB">
              <w:t xml:space="preserve">Rady (UE) nr 575/2013 z  dnia 26 czerwca 2013 r. </w:t>
            </w:r>
            <w:r w:rsidR="005401EF" w:rsidRPr="00E567FB">
              <w:rPr>
                <w:iCs/>
              </w:rPr>
              <w:t>w sprawie wymogów ostrożnościowych dla instytucji kredytowych i firm inwestycyjnych, zmieniające rozporządzenie (UE) nr 648/2012</w:t>
            </w:r>
            <w:r w:rsidRPr="00E567FB">
              <w:rPr>
                <w:iCs/>
              </w:rPr>
              <w:t xml:space="preserve"> </w:t>
            </w:r>
            <w:r w:rsidR="009B30B9" w:rsidRPr="00E567FB">
              <w:t>(Dz. Urz. UE L 176 z 27.06.2013, str. 1, z późn. zm.)</w:t>
            </w:r>
            <w:r w:rsidR="009B30B9" w:rsidRPr="00E567FB">
              <w:rPr>
                <w:iCs/>
              </w:rPr>
              <w:t xml:space="preserve"> </w:t>
            </w:r>
            <w:r w:rsidRPr="00E567FB">
              <w:rPr>
                <w:iCs/>
              </w:rPr>
              <w:t>(</w:t>
            </w:r>
            <w:r w:rsidR="005401EF" w:rsidRPr="00E567FB">
              <w:t>rozporządzenie CRR</w:t>
            </w:r>
            <w:r w:rsidRPr="00E567FB">
              <w:t>)</w:t>
            </w:r>
            <w:r w:rsidR="00D63F62" w:rsidRPr="00E567FB">
              <w:t>.</w:t>
            </w:r>
          </w:p>
          <w:p w14:paraId="4D4FF1BF" w14:textId="1733973A" w:rsidR="00C02A12" w:rsidRPr="00346AAD" w:rsidRDefault="00C02A12" w:rsidP="00E056FF">
            <w:r w:rsidRPr="00DD6667">
              <w:t>Pakiet CRD IV/CRR</w:t>
            </w:r>
            <w:r w:rsidR="00E056FF">
              <w:t xml:space="preserve">, </w:t>
            </w:r>
            <w:r w:rsidR="00E056FF" w:rsidRPr="00BB6EC8">
              <w:t xml:space="preserve"> </w:t>
            </w:r>
            <w:r w:rsidR="00E056FF">
              <w:t xml:space="preserve">uwzględnia </w:t>
            </w:r>
            <w:r w:rsidR="00E056FF" w:rsidRPr="00BB6EC8">
              <w:t>zasad</w:t>
            </w:r>
            <w:r w:rsidR="00E056FF">
              <w:t xml:space="preserve">y uzgodnione </w:t>
            </w:r>
            <w:r w:rsidR="00E056FF" w:rsidRPr="00BB6EC8">
              <w:t xml:space="preserve">na poziomie międzynarodowym w </w:t>
            </w:r>
            <w:r w:rsidR="00E056FF">
              <w:t>ramach</w:t>
            </w:r>
            <w:r w:rsidR="00E056FF" w:rsidRPr="00BB6EC8">
              <w:t xml:space="preserve"> </w:t>
            </w:r>
            <w:r w:rsidR="00E056FF">
              <w:t>tzw.</w:t>
            </w:r>
            <w:r w:rsidR="00E056FF" w:rsidRPr="00BB6EC8">
              <w:t xml:space="preserve"> Bazyle</w:t>
            </w:r>
            <w:r w:rsidR="00E056FF">
              <w:t>i</w:t>
            </w:r>
            <w:r w:rsidR="00E056FF" w:rsidRPr="00BB6EC8">
              <w:t xml:space="preserve"> III. </w:t>
            </w:r>
            <w:r w:rsidRPr="00DD6667">
              <w:t xml:space="preserve"> </w:t>
            </w:r>
            <w:r w:rsidR="00E056FF">
              <w:t>U</w:t>
            </w:r>
            <w:r w:rsidRPr="00DD6667">
              <w:t>stanawia</w:t>
            </w:r>
            <w:r>
              <w:t xml:space="preserve"> nową</w:t>
            </w:r>
            <w:r w:rsidRPr="00DD6667">
              <w:t xml:space="preserve"> strukturę </w:t>
            </w:r>
            <w:r>
              <w:t xml:space="preserve">kapitałów </w:t>
            </w:r>
            <w:r w:rsidRPr="00DD6667">
              <w:t>instytucji finansowych</w:t>
            </w:r>
            <w:r>
              <w:t>, która opiera się</w:t>
            </w:r>
            <w:r w:rsidRPr="00DD6667">
              <w:t xml:space="preserve"> na </w:t>
            </w:r>
            <w:r w:rsidR="00E056FF">
              <w:t xml:space="preserve">dotychczasowym </w:t>
            </w:r>
            <w:r w:rsidRPr="00DD6667">
              <w:t xml:space="preserve">podziale kapitału na kategorie </w:t>
            </w:r>
            <w:r>
              <w:t>(</w:t>
            </w:r>
            <w:r w:rsidRPr="00E056FF">
              <w:rPr>
                <w:i/>
              </w:rPr>
              <w:t>Tiers)</w:t>
            </w:r>
            <w:r w:rsidRPr="00DD6667">
              <w:t>,</w:t>
            </w:r>
            <w:r>
              <w:t xml:space="preserve"> ale</w:t>
            </w:r>
            <w:r w:rsidRPr="00DD6667">
              <w:t xml:space="preserve"> jednocześnie</w:t>
            </w:r>
            <w:r>
              <w:t xml:space="preserve"> doprecyzowuje cechy</w:t>
            </w:r>
            <w:r w:rsidR="00E056FF">
              <w:t xml:space="preserve">, </w:t>
            </w:r>
            <w:r>
              <w:t xml:space="preserve">jakie muszą </w:t>
            </w:r>
            <w:r w:rsidR="00E056FF">
              <w:t xml:space="preserve">posiadać </w:t>
            </w:r>
            <w:r>
              <w:t>poszczególne rodzaje instrumentów, żeby mogły zostać zakwalifikowane do funduszy własnych</w:t>
            </w:r>
            <w:r w:rsidR="00E056FF">
              <w:t>. P</w:t>
            </w:r>
            <w:r>
              <w:t xml:space="preserve">rzyczynia się </w:t>
            </w:r>
            <w:r w:rsidR="00E056FF">
              <w:t xml:space="preserve">to </w:t>
            </w:r>
            <w:r>
              <w:t>do istotnego podniesienia jakości składników funduszy własnych i ich możliwości absorbcji strat.</w:t>
            </w:r>
            <w:r w:rsidRPr="00DD6667">
              <w:t xml:space="preserve"> </w:t>
            </w:r>
            <w:r>
              <w:t xml:space="preserve">Przepisy pakietu </w:t>
            </w:r>
            <w:r w:rsidR="00E056FF">
              <w:t>u</w:t>
            </w:r>
            <w:r w:rsidRPr="00DD6667">
              <w:t>możliw</w:t>
            </w:r>
            <w:r w:rsidR="00E056FF">
              <w:t xml:space="preserve">iają także </w:t>
            </w:r>
            <w:r w:rsidRPr="00DD6667">
              <w:t>kwalifikacj</w:t>
            </w:r>
            <w:r w:rsidR="00E056FF">
              <w:t>ę</w:t>
            </w:r>
            <w:r>
              <w:t xml:space="preserve"> instrumentów finansowych </w:t>
            </w:r>
            <w:r w:rsidRPr="00DD6667">
              <w:t>o charakterze hybrydowym</w:t>
            </w:r>
            <w:r w:rsidR="00E056FF">
              <w:t xml:space="preserve"> do funduszy własnych</w:t>
            </w:r>
            <w:r w:rsidRPr="00E056FF">
              <w:rPr>
                <w:i/>
              </w:rPr>
              <w:t>.</w:t>
            </w:r>
          </w:p>
          <w:p w14:paraId="1052FA81" w14:textId="77777777" w:rsidR="005401EF" w:rsidRPr="005B622E" w:rsidRDefault="005401EF" w:rsidP="002F1859">
            <w:pPr>
              <w:autoSpaceDE w:val="0"/>
              <w:autoSpaceDN w:val="0"/>
              <w:adjustRightInd w:val="0"/>
              <w:rPr>
                <w:rStyle w:val="Pogrubienie"/>
                <w:b w:val="0"/>
                <w:sz w:val="10"/>
                <w:szCs w:val="10"/>
              </w:rPr>
            </w:pPr>
          </w:p>
          <w:p w14:paraId="601E3BE6" w14:textId="77777777" w:rsidR="0017695F" w:rsidRDefault="005401EF" w:rsidP="002F1859">
            <w:pPr>
              <w:autoSpaceDE w:val="0"/>
              <w:autoSpaceDN w:val="0"/>
              <w:adjustRightInd w:val="0"/>
              <w:rPr>
                <w:rStyle w:val="Pogrubienie"/>
                <w:b w:val="0"/>
              </w:rPr>
            </w:pPr>
            <w:r>
              <w:rPr>
                <w:rStyle w:val="Pogrubienie"/>
                <w:b w:val="0"/>
              </w:rPr>
              <w:t>Zasady wykonywania działalności ubezpieczeniowej i reasekuracyjnej w Unii Europejskiej oraz zasady sprawowania nadzoru grupowego</w:t>
            </w:r>
            <w:r w:rsidRPr="00BF54E5">
              <w:rPr>
                <w:rStyle w:val="Pogrubienie"/>
                <w:b w:val="0"/>
              </w:rPr>
              <w:t xml:space="preserve"> </w:t>
            </w:r>
            <w:r>
              <w:rPr>
                <w:rStyle w:val="Pogrubienie"/>
                <w:b w:val="0"/>
              </w:rPr>
              <w:t>określa</w:t>
            </w:r>
            <w:r w:rsidR="0017695F">
              <w:rPr>
                <w:rStyle w:val="Pogrubienie"/>
                <w:b w:val="0"/>
              </w:rPr>
              <w:t>:</w:t>
            </w:r>
          </w:p>
          <w:p w14:paraId="4AB7C822" w14:textId="313D56A0" w:rsidR="0017695F" w:rsidRDefault="00063987" w:rsidP="0017695F">
            <w:pPr>
              <w:pStyle w:val="Akapitzlist"/>
              <w:numPr>
                <w:ilvl w:val="0"/>
                <w:numId w:val="8"/>
              </w:numPr>
              <w:autoSpaceDE w:val="0"/>
              <w:autoSpaceDN w:val="0"/>
              <w:adjustRightInd w:val="0"/>
              <w:rPr>
                <w:rStyle w:val="Pogrubienie"/>
                <w:b w:val="0"/>
              </w:rPr>
            </w:pPr>
            <w:r w:rsidRPr="0017695F">
              <w:rPr>
                <w:rStyle w:val="Pogrubienie"/>
                <w:b w:val="0"/>
              </w:rPr>
              <w:t xml:space="preserve">dyrektywa </w:t>
            </w:r>
            <w:r w:rsidR="005401EF" w:rsidRPr="0017695F">
              <w:rPr>
                <w:rStyle w:val="Pogrubienie"/>
                <w:b w:val="0"/>
              </w:rPr>
              <w:t>Parlamentu Europejskiego i Rady nr 2009/138/WE z dnia 25 listopada 2009 r. w</w:t>
            </w:r>
            <w:r w:rsidR="00535391" w:rsidRPr="0017695F">
              <w:rPr>
                <w:rStyle w:val="Pogrubienie"/>
                <w:b w:val="0"/>
              </w:rPr>
              <w:t> </w:t>
            </w:r>
            <w:r w:rsidR="005401EF" w:rsidRPr="0017695F">
              <w:rPr>
                <w:rStyle w:val="Pogrubienie"/>
                <w:b w:val="0"/>
              </w:rPr>
              <w:t>sprawie podejmowania i prowadzenia działalności ubezpieczeniowej i reasekuracyjnej (Wypłacalność II)</w:t>
            </w:r>
            <w:r w:rsidR="004778F3" w:rsidRPr="0017695F">
              <w:rPr>
                <w:szCs w:val="24"/>
              </w:rPr>
              <w:t xml:space="preserve"> (Dz. U. UE. </w:t>
            </w:r>
            <w:r w:rsidR="009F4EAC" w:rsidRPr="0017695F">
              <w:rPr>
                <w:szCs w:val="24"/>
              </w:rPr>
              <w:t xml:space="preserve">z 2009 </w:t>
            </w:r>
            <w:r w:rsidR="00535391" w:rsidRPr="0017695F">
              <w:rPr>
                <w:szCs w:val="24"/>
              </w:rPr>
              <w:t xml:space="preserve">r. </w:t>
            </w:r>
            <w:r w:rsidR="009F4EAC" w:rsidRPr="0017695F">
              <w:rPr>
                <w:szCs w:val="24"/>
              </w:rPr>
              <w:t xml:space="preserve">Nr 335, str. 1, </w:t>
            </w:r>
            <w:r w:rsidR="004778F3" w:rsidRPr="0017695F">
              <w:rPr>
                <w:szCs w:val="24"/>
              </w:rPr>
              <w:t>z późn. zm.)</w:t>
            </w:r>
            <w:r w:rsidR="00BB6EC8" w:rsidRPr="0017695F">
              <w:rPr>
                <w:rStyle w:val="Pogrubienie"/>
                <w:b w:val="0"/>
              </w:rPr>
              <w:t xml:space="preserve"> (dyrektywa Wypłacalność II)</w:t>
            </w:r>
            <w:r w:rsidR="0017695F">
              <w:rPr>
                <w:rStyle w:val="Pogrubienie"/>
                <w:b w:val="0"/>
              </w:rPr>
              <w:t>,</w:t>
            </w:r>
          </w:p>
          <w:p w14:paraId="2C1D3C72" w14:textId="0E3957CA" w:rsidR="0017695F" w:rsidRPr="0017695F" w:rsidRDefault="005401EF" w:rsidP="0017695F">
            <w:pPr>
              <w:pStyle w:val="Akapitzlist"/>
              <w:numPr>
                <w:ilvl w:val="0"/>
                <w:numId w:val="8"/>
              </w:numPr>
              <w:autoSpaceDE w:val="0"/>
              <w:autoSpaceDN w:val="0"/>
              <w:adjustRightInd w:val="0"/>
              <w:rPr>
                <w:rStyle w:val="Pogrubienie"/>
                <w:b w:val="0"/>
              </w:rPr>
            </w:pPr>
            <w:r w:rsidRPr="0017695F">
              <w:rPr>
                <w:rStyle w:val="Pogrubienie"/>
                <w:b w:val="0"/>
              </w:rPr>
              <w:t>rozporządzeni</w:t>
            </w:r>
            <w:r w:rsidR="0017695F">
              <w:rPr>
                <w:rStyle w:val="Pogrubienie"/>
                <w:b w:val="0"/>
              </w:rPr>
              <w:t>e</w:t>
            </w:r>
            <w:r w:rsidRPr="0017695F">
              <w:rPr>
                <w:rStyle w:val="Pogrubienie"/>
                <w:b w:val="0"/>
              </w:rPr>
              <w:t xml:space="preserve"> delegowan</w:t>
            </w:r>
            <w:r w:rsidR="0017695F">
              <w:rPr>
                <w:rStyle w:val="Pogrubienie"/>
                <w:b w:val="0"/>
              </w:rPr>
              <w:t>e</w:t>
            </w:r>
            <w:r w:rsidRPr="0017695F">
              <w:rPr>
                <w:rStyle w:val="Pogrubienie"/>
                <w:b w:val="0"/>
              </w:rPr>
              <w:t xml:space="preserve"> Komisji (UE) 2015/35 z dnia 10 października 2014 r. uzupełniającym dyrektywę Parlamentu Europejskiego i Rady 2009/138/WE w sprawie podejmowania i prowadzenia działalności </w:t>
            </w:r>
            <w:r w:rsidRPr="0017695F">
              <w:rPr>
                <w:rStyle w:val="Pogrubienie"/>
                <w:b w:val="0"/>
              </w:rPr>
              <w:lastRenderedPageBreak/>
              <w:t>ubezpieczeniowej i reasekuracyjnej (Wypłacalność II)</w:t>
            </w:r>
            <w:r w:rsidR="004778F3" w:rsidRPr="0017695F">
              <w:rPr>
                <w:rStyle w:val="Pogrubienie"/>
                <w:b w:val="0"/>
              </w:rPr>
              <w:t xml:space="preserve"> </w:t>
            </w:r>
            <w:r w:rsidR="004778F3" w:rsidRPr="0017695F">
              <w:rPr>
                <w:szCs w:val="24"/>
              </w:rPr>
              <w:t>(Dz. U. UE. L. z 2015 r. Nr 12, str. 1</w:t>
            </w:r>
            <w:r w:rsidR="00E056FF" w:rsidRPr="0017695F">
              <w:rPr>
                <w:szCs w:val="24"/>
              </w:rPr>
              <w:t>,</w:t>
            </w:r>
            <w:r w:rsidR="004778F3" w:rsidRPr="0017695F">
              <w:rPr>
                <w:szCs w:val="24"/>
              </w:rPr>
              <w:t xml:space="preserve"> z późn. zm.)</w:t>
            </w:r>
            <w:r w:rsidR="00BB6EC8" w:rsidRPr="0017695F">
              <w:rPr>
                <w:rStyle w:val="Pogrubienie"/>
                <w:b w:val="0"/>
              </w:rPr>
              <w:t xml:space="preserve"> (rozporządzenie 2015/35)</w:t>
            </w:r>
            <w:r w:rsidR="005B7A42" w:rsidRPr="0017695F">
              <w:rPr>
                <w:rStyle w:val="Pogrubienie"/>
                <w:b w:val="0"/>
              </w:rPr>
              <w:t>.</w:t>
            </w:r>
            <w:r w:rsidRPr="0017695F">
              <w:rPr>
                <w:rStyle w:val="Pogrubienie"/>
                <w:b w:val="0"/>
              </w:rPr>
              <w:t xml:space="preserve"> </w:t>
            </w:r>
          </w:p>
          <w:p w14:paraId="146C047F" w14:textId="78A4AA17" w:rsidR="00BB6EC8" w:rsidRDefault="005401EF" w:rsidP="002F1859">
            <w:pPr>
              <w:autoSpaceDE w:val="0"/>
              <w:autoSpaceDN w:val="0"/>
              <w:adjustRightInd w:val="0"/>
              <w:rPr>
                <w:rStyle w:val="Pogrubienie"/>
                <w:b w:val="0"/>
              </w:rPr>
            </w:pPr>
            <w:r>
              <w:rPr>
                <w:rStyle w:val="Pogrubienie"/>
                <w:b w:val="0"/>
              </w:rPr>
              <w:t>Przepisy dyrektywy Wypłacalność II i rozporządzenia 2</w:t>
            </w:r>
            <w:r w:rsidRPr="00710664">
              <w:rPr>
                <w:rStyle w:val="Pogrubienie"/>
                <w:b w:val="0"/>
              </w:rPr>
              <w:t xml:space="preserve">015/35 </w:t>
            </w:r>
            <w:r>
              <w:rPr>
                <w:rStyle w:val="Pogrubienie"/>
                <w:b w:val="0"/>
              </w:rPr>
              <w:t xml:space="preserve">określają m.in. wymogi kapitałowe dla podmiotów rynku ubezpieczeniowego i </w:t>
            </w:r>
            <w:r w:rsidR="00B05794">
              <w:rPr>
                <w:rStyle w:val="Pogrubienie"/>
                <w:b w:val="0"/>
              </w:rPr>
              <w:t> </w:t>
            </w:r>
            <w:r>
              <w:rPr>
                <w:rStyle w:val="Pogrubienie"/>
                <w:b w:val="0"/>
              </w:rPr>
              <w:t>zasady klasyfikacji środków własnych do poszczególnych kategorii</w:t>
            </w:r>
            <w:r w:rsidR="00BB6EC8">
              <w:rPr>
                <w:rStyle w:val="Pogrubienie"/>
                <w:b w:val="0"/>
              </w:rPr>
              <w:t xml:space="preserve">, </w:t>
            </w:r>
            <w:r>
              <w:rPr>
                <w:rStyle w:val="Pogrubienie"/>
                <w:b w:val="0"/>
              </w:rPr>
              <w:t xml:space="preserve"> a także limity ilościowe dla kwot pozycji środków własnych klasyfikowanych do poszczególnych kategorii. </w:t>
            </w:r>
          </w:p>
          <w:p w14:paraId="5A60D026" w14:textId="7F632DD6" w:rsidR="005401EF" w:rsidRDefault="005401EF" w:rsidP="002F1859">
            <w:pPr>
              <w:autoSpaceDE w:val="0"/>
              <w:autoSpaceDN w:val="0"/>
              <w:adjustRightInd w:val="0"/>
              <w:rPr>
                <w:rStyle w:val="Pogrubienie"/>
                <w:b w:val="0"/>
              </w:rPr>
            </w:pPr>
            <w:r>
              <w:rPr>
                <w:rStyle w:val="Pogrubienie"/>
                <w:b w:val="0"/>
              </w:rPr>
              <w:t xml:space="preserve">Dyrektywa Wypłacalność II </w:t>
            </w:r>
            <w:r w:rsidRPr="00BF54E5">
              <w:rPr>
                <w:rStyle w:val="Pogrubienie"/>
                <w:b w:val="0"/>
              </w:rPr>
              <w:t xml:space="preserve">została implementowana do krajowego porządku prawnego </w:t>
            </w:r>
            <w:r w:rsidR="00063987">
              <w:rPr>
                <w:rStyle w:val="Pogrubienie"/>
                <w:b w:val="0"/>
              </w:rPr>
              <w:t>ustawą</w:t>
            </w:r>
            <w:r w:rsidR="00B05794">
              <w:rPr>
                <w:rStyle w:val="Pogrubienie"/>
                <w:b w:val="0"/>
              </w:rPr>
              <w:t xml:space="preserve"> </w:t>
            </w:r>
            <w:r>
              <w:rPr>
                <w:rStyle w:val="Pogrubienie"/>
                <w:b w:val="0"/>
              </w:rPr>
              <w:t xml:space="preserve">z dnia 11 </w:t>
            </w:r>
            <w:r w:rsidRPr="00BF54E5">
              <w:rPr>
                <w:rStyle w:val="Pogrubienie"/>
                <w:b w:val="0"/>
              </w:rPr>
              <w:t>września 2015</w:t>
            </w:r>
            <w:r w:rsidR="00514A1E">
              <w:rPr>
                <w:rStyle w:val="Pogrubienie"/>
                <w:b w:val="0"/>
              </w:rPr>
              <w:t> </w:t>
            </w:r>
            <w:r w:rsidRPr="00BF54E5">
              <w:rPr>
                <w:rStyle w:val="Pogrubienie"/>
                <w:b w:val="0"/>
              </w:rPr>
              <w:t xml:space="preserve">r. o działalności ubezpieczeniowej i reasekuracyjnej (Dz. U. </w:t>
            </w:r>
            <w:r w:rsidR="00BB6EC8">
              <w:rPr>
                <w:rStyle w:val="Pogrubienie"/>
                <w:b w:val="0"/>
              </w:rPr>
              <w:t>z 20</w:t>
            </w:r>
            <w:r w:rsidR="00DE5A31">
              <w:rPr>
                <w:rStyle w:val="Pogrubienie"/>
                <w:b w:val="0"/>
              </w:rPr>
              <w:t>20</w:t>
            </w:r>
            <w:r w:rsidR="00BB6EC8">
              <w:rPr>
                <w:rStyle w:val="Pogrubienie"/>
                <w:b w:val="0"/>
              </w:rPr>
              <w:t xml:space="preserve"> r. </w:t>
            </w:r>
            <w:r w:rsidRPr="00BF54E5">
              <w:rPr>
                <w:rStyle w:val="Pogrubienie"/>
                <w:b w:val="0"/>
              </w:rPr>
              <w:t xml:space="preserve">poz. </w:t>
            </w:r>
            <w:r w:rsidR="00DE5A31">
              <w:rPr>
                <w:rStyle w:val="Pogrubienie"/>
                <w:b w:val="0"/>
              </w:rPr>
              <w:t>895</w:t>
            </w:r>
            <w:r w:rsidRPr="00BF54E5">
              <w:rPr>
                <w:rStyle w:val="Pogrubienie"/>
                <w:b w:val="0"/>
              </w:rPr>
              <w:t>)</w:t>
            </w:r>
            <w:r>
              <w:rPr>
                <w:rStyle w:val="Pogrubienie"/>
                <w:b w:val="0"/>
              </w:rPr>
              <w:t xml:space="preserve">. Przepisy europejskie i przepisy prawa polskiego odnoszące się do zakładów ubezpieczeń i zakładów reasekuracji umożliwiają tym podmiotom </w:t>
            </w:r>
            <w:r w:rsidRPr="00710664">
              <w:rPr>
                <w:rStyle w:val="Pogrubienie"/>
                <w:b w:val="0"/>
              </w:rPr>
              <w:t>emisj</w:t>
            </w:r>
            <w:r>
              <w:rPr>
                <w:rStyle w:val="Pogrubienie"/>
                <w:b w:val="0"/>
              </w:rPr>
              <w:t>ę</w:t>
            </w:r>
            <w:r w:rsidRPr="00710664">
              <w:rPr>
                <w:rStyle w:val="Pogrubienie"/>
                <w:b w:val="0"/>
              </w:rPr>
              <w:t xml:space="preserve"> długu podporządkowanego w formie obligacji</w:t>
            </w:r>
            <w:r>
              <w:rPr>
                <w:rStyle w:val="Pogrubienie"/>
                <w:b w:val="0"/>
              </w:rPr>
              <w:t xml:space="preserve"> w celu ich zakwalifikowania do środków własnych jako pozycje podstawowych środków własnych</w:t>
            </w:r>
            <w:r w:rsidRPr="00710664">
              <w:rPr>
                <w:rStyle w:val="Pogrubienie"/>
                <w:b w:val="0"/>
              </w:rPr>
              <w:t xml:space="preserve">. </w:t>
            </w:r>
          </w:p>
          <w:p w14:paraId="4F1E1EDD" w14:textId="77777777" w:rsidR="005401EF" w:rsidRPr="005B622E" w:rsidRDefault="005401EF" w:rsidP="002F1859">
            <w:pPr>
              <w:autoSpaceDE w:val="0"/>
              <w:autoSpaceDN w:val="0"/>
              <w:adjustRightInd w:val="0"/>
              <w:rPr>
                <w:rStyle w:val="Pogrubienie"/>
                <w:b w:val="0"/>
                <w:sz w:val="10"/>
                <w:szCs w:val="10"/>
              </w:rPr>
            </w:pPr>
          </w:p>
          <w:p w14:paraId="495CAB1A" w14:textId="0D092153" w:rsidR="001A4F6E" w:rsidRDefault="00E056FF" w:rsidP="002F1859">
            <w:pPr>
              <w:outlineLvl w:val="0"/>
            </w:pPr>
            <w:r>
              <w:t>P</w:t>
            </w:r>
            <w:r w:rsidR="00C02A12">
              <w:t>rzepis</w:t>
            </w:r>
            <w:r>
              <w:t>y</w:t>
            </w:r>
            <w:r w:rsidR="00D4139B">
              <w:t xml:space="preserve"> </w:t>
            </w:r>
            <w:r w:rsidR="00C02A12">
              <w:t xml:space="preserve">obowiązującej ustawy </w:t>
            </w:r>
            <w:r w:rsidR="00C02A12" w:rsidRPr="00F0755A">
              <w:t>z dnia 15 stycznia 2015 r. o obligacjach (Dz.</w:t>
            </w:r>
            <w:r w:rsidR="00C02A12">
              <w:t xml:space="preserve"> </w:t>
            </w:r>
            <w:r w:rsidR="00C02A12" w:rsidRPr="00F0755A">
              <w:t xml:space="preserve">U. z </w:t>
            </w:r>
            <w:r w:rsidR="00514A1E">
              <w:t>2020 r. poz</w:t>
            </w:r>
            <w:r w:rsidR="00C02A12">
              <w:t>.</w:t>
            </w:r>
            <w:r w:rsidR="00514A1E">
              <w:t xml:space="preserve"> 1208</w:t>
            </w:r>
            <w:r w:rsidR="00C02A12" w:rsidRPr="00F0755A">
              <w:t xml:space="preserve">) </w:t>
            </w:r>
            <w:r>
              <w:t xml:space="preserve">nie przewidują emisji </w:t>
            </w:r>
            <w:r w:rsidR="00C02A12">
              <w:t>instrumentów</w:t>
            </w:r>
            <w:r>
              <w:t xml:space="preserve"> finansowych </w:t>
            </w:r>
            <w:r w:rsidR="00C02A12" w:rsidRPr="00F0755A">
              <w:t>posiadają</w:t>
            </w:r>
            <w:r w:rsidR="00C02A12">
              <w:t>cych</w:t>
            </w:r>
            <w:r w:rsidR="00C02A12" w:rsidRPr="00F0755A">
              <w:t xml:space="preserve"> </w:t>
            </w:r>
            <w:r>
              <w:t xml:space="preserve">cechy, </w:t>
            </w:r>
            <w:r w:rsidR="00C02A12" w:rsidRPr="00F0755A">
              <w:t xml:space="preserve">które </w:t>
            </w:r>
            <w:r w:rsidR="00C02A12">
              <w:t>pozwoliłyby na</w:t>
            </w:r>
            <w:r w:rsidR="00C02A12" w:rsidRPr="00F0755A">
              <w:t xml:space="preserve"> </w:t>
            </w:r>
            <w:r>
              <w:t xml:space="preserve">ich </w:t>
            </w:r>
            <w:r w:rsidR="00C02A12" w:rsidRPr="00F0755A">
              <w:t>zakwalifikowane</w:t>
            </w:r>
            <w:r w:rsidR="00C02A12">
              <w:t xml:space="preserve"> </w:t>
            </w:r>
            <w:r w:rsidR="00C02A12" w:rsidRPr="00F0755A">
              <w:t xml:space="preserve">do kapitału dodatkowego Tier I </w:t>
            </w:r>
            <w:r w:rsidR="008D3DF8">
              <w:t>zgodnie</w:t>
            </w:r>
            <w:r w:rsidR="00C02A12" w:rsidRPr="00F0755A">
              <w:t xml:space="preserve"> </w:t>
            </w:r>
            <w:r w:rsidR="00C02A12">
              <w:t xml:space="preserve">z </w:t>
            </w:r>
            <w:r w:rsidR="00C02A12" w:rsidRPr="00F0755A">
              <w:t>rozporządzeni</w:t>
            </w:r>
            <w:r w:rsidR="008D3DF8">
              <w:t>em</w:t>
            </w:r>
            <w:r w:rsidR="00C02A12" w:rsidRPr="00F0755A">
              <w:t xml:space="preserve"> CRR lub środków własnych kategorii 1 zgodnie z rozporządzeniem 2015/35.</w:t>
            </w:r>
            <w:r w:rsidR="00C02A12">
              <w:t xml:space="preserve"> </w:t>
            </w:r>
          </w:p>
          <w:p w14:paraId="56E67272" w14:textId="77777777" w:rsidR="00020C4F" w:rsidRPr="00020C4F" w:rsidRDefault="00020C4F" w:rsidP="002F1859">
            <w:pPr>
              <w:outlineLvl w:val="0"/>
              <w:rPr>
                <w:sz w:val="10"/>
                <w:szCs w:val="10"/>
              </w:rPr>
            </w:pPr>
          </w:p>
          <w:p w14:paraId="150A71C2" w14:textId="1FE53A65" w:rsidR="00BB6EC8" w:rsidRDefault="005401EF" w:rsidP="002F1859">
            <w:pPr>
              <w:outlineLvl w:val="0"/>
            </w:pPr>
            <w:r w:rsidRPr="00F0755A">
              <w:t>Zespół Roboczy Rady Rozwoju Rynku Finansowego</w:t>
            </w:r>
            <w:r w:rsidR="007B080D">
              <w:t xml:space="preserve"> w Ministerstwie Finansów</w:t>
            </w:r>
            <w:r w:rsidR="00E056FF">
              <w:t xml:space="preserve"> (jego </w:t>
            </w:r>
            <w:r w:rsidR="007B080D">
              <w:t>uczestnikami</w:t>
            </w:r>
            <w:r w:rsidR="00E056FF">
              <w:t>,</w:t>
            </w:r>
            <w:r w:rsidR="007B080D">
              <w:t xml:space="preserve"> oprócz przedstawicieli Ministerstwa Finansów</w:t>
            </w:r>
            <w:r w:rsidR="00E056FF">
              <w:t>,</w:t>
            </w:r>
            <w:r w:rsidR="007B080D">
              <w:t xml:space="preserve"> byli przedstawiciele Komisji Nadzoru Finansowego, Narodowego Banku Polskiego</w:t>
            </w:r>
            <w:r w:rsidR="00BB6EC8">
              <w:t xml:space="preserve"> i </w:t>
            </w:r>
            <w:r w:rsidR="007B080D">
              <w:t xml:space="preserve">Bankowego Funduszu Gwarancyjnego oraz reprezentanci sektora bankowego i </w:t>
            </w:r>
            <w:r w:rsidR="007B080D" w:rsidRPr="00BE685A">
              <w:t xml:space="preserve">sektora </w:t>
            </w:r>
            <w:r w:rsidR="007B080D">
              <w:t>ubezpieczeniowego</w:t>
            </w:r>
            <w:r w:rsidR="00E056FF">
              <w:t xml:space="preserve">) </w:t>
            </w:r>
            <w:r w:rsidR="00BB6EC8">
              <w:t xml:space="preserve">dokonał </w:t>
            </w:r>
            <w:r w:rsidRPr="00F0755A">
              <w:t xml:space="preserve">analizy rozwiązań prawnych dotyczących instrumentów finansowych, które mogły być zaliczane do </w:t>
            </w:r>
            <w:r w:rsidR="00CD34C8">
              <w:t xml:space="preserve">odpowiednich kategorii </w:t>
            </w:r>
            <w:r w:rsidRPr="00F0755A">
              <w:t>kapitału</w:t>
            </w:r>
            <w:r w:rsidR="00CD34C8">
              <w:t xml:space="preserve"> regulacyjnego instytucji finansowych</w:t>
            </w:r>
            <w:r w:rsidRPr="00F0755A">
              <w:t>.</w:t>
            </w:r>
            <w:r>
              <w:t xml:space="preserve"> P</w:t>
            </w:r>
            <w:r w:rsidRPr="00F0755A">
              <w:t xml:space="preserve">rojekt ustawy odzwierciedla wyniki </w:t>
            </w:r>
            <w:r w:rsidR="00BB6EC8">
              <w:t xml:space="preserve">prac </w:t>
            </w:r>
            <w:r w:rsidRPr="00F0755A">
              <w:t xml:space="preserve">Zespołu, które zostały zakończone w </w:t>
            </w:r>
            <w:r w:rsidR="008D3DF8">
              <w:t> </w:t>
            </w:r>
            <w:r w:rsidRPr="00F0755A">
              <w:t xml:space="preserve">lutym 2020 r. </w:t>
            </w:r>
          </w:p>
          <w:p w14:paraId="5192F50D" w14:textId="73563608" w:rsidR="005401EF" w:rsidRDefault="005401EF" w:rsidP="002F1859">
            <w:pPr>
              <w:outlineLvl w:val="0"/>
            </w:pPr>
            <w:r w:rsidRPr="00F0755A">
              <w:t xml:space="preserve">Przyjęte w projekcie rozwiązania tworzą podstawy prawne do emitowania przez banki, </w:t>
            </w:r>
            <w:r w:rsidR="00DA0317" w:rsidRPr="00F0755A">
              <w:t>domy maklerskie</w:t>
            </w:r>
            <w:r w:rsidR="00DA0317">
              <w:t>,</w:t>
            </w:r>
            <w:r w:rsidR="00DA0317" w:rsidRPr="00F0755A">
              <w:t xml:space="preserve"> </w:t>
            </w:r>
            <w:r w:rsidRPr="00F0755A">
              <w:t>zakłady ubezpieczeń</w:t>
            </w:r>
            <w:r w:rsidR="00DA0317">
              <w:t xml:space="preserve"> oraz</w:t>
            </w:r>
            <w:r w:rsidRPr="00F0755A">
              <w:t xml:space="preserve"> zakłady reasekuracji instrumentów kapitałowych wyposażonych w mechanizm absorbcji strat i pozwalają </w:t>
            </w:r>
            <w:r w:rsidR="00BB6EC8">
              <w:t xml:space="preserve">tym </w:t>
            </w:r>
            <w:r w:rsidRPr="00F0755A">
              <w:t xml:space="preserve">podmiotom rynku finansowego na pozyskanie dodatkowego kapitału regulacyjnego, zgodnie z wymogami prawa UE. </w:t>
            </w:r>
          </w:p>
          <w:p w14:paraId="0DCFDBBA" w14:textId="77777777" w:rsidR="005401EF" w:rsidRPr="005B622E" w:rsidRDefault="005401EF" w:rsidP="002F1859">
            <w:pPr>
              <w:rPr>
                <w:sz w:val="10"/>
                <w:szCs w:val="10"/>
              </w:rPr>
            </w:pPr>
          </w:p>
          <w:p w14:paraId="3FF9A1E0" w14:textId="77777777" w:rsidR="001A4F6E" w:rsidRPr="00020C4F" w:rsidRDefault="001A4F6E" w:rsidP="001A4F6E">
            <w:pPr>
              <w:rPr>
                <w:sz w:val="10"/>
                <w:szCs w:val="10"/>
              </w:rPr>
            </w:pPr>
          </w:p>
          <w:p w14:paraId="045405B7" w14:textId="00432DDE" w:rsidR="00FE2CF9" w:rsidRDefault="00FE2CF9" w:rsidP="00FE2CF9">
            <w:pPr>
              <w:spacing w:after="120"/>
            </w:pPr>
            <w:r>
              <w:t>Projektowane rozwiązania mają przede wszystkim na celu umożliwić bankom zasilanie kapitałów regulacyjnych wskazanymi instrumentami kapitałowymi. Ich wprowadzenie może wpłynąć na dostosowanie podmiotów rynku finansowego do konieczności spełnienia minimalnego wymogu funduszy własnych i zobowiązań podlegających umorzeniu lub konwersji (</w:t>
            </w:r>
            <w:r w:rsidR="002E6BF6">
              <w:t xml:space="preserve">tzw. </w:t>
            </w:r>
            <w:r>
              <w:t>MREL). Niezbędne jest zatem umożliwienie bankom korzystania z innych dostępnych form finansowania, tj. przez emisję instrumentów, które zgodnie z rozporządzeniem CRR mogą być zaliczane do funduszy własnych.</w:t>
            </w:r>
          </w:p>
          <w:p w14:paraId="266BF574" w14:textId="77777777" w:rsidR="00FE2CF9" w:rsidRDefault="00FE2CF9" w:rsidP="00FE2CF9">
            <w:pPr>
              <w:spacing w:after="120"/>
            </w:pPr>
            <w:r>
              <w:t xml:space="preserve">Przeprowadzone analizy wykazały, iż obligacje kapitałowe mogą  być uznane za dobry instrument dywersyfikujący portfel podporządkowanego długu zakładu ubezpieczeń i zakładu reasekuracji. </w:t>
            </w:r>
          </w:p>
          <w:p w14:paraId="10DBF5E3" w14:textId="6B2BEC1A" w:rsidR="001A4F6E" w:rsidRPr="00033472" w:rsidRDefault="00D63F62" w:rsidP="001A4F6E">
            <w:pPr>
              <w:spacing w:after="120"/>
            </w:pPr>
            <w:r>
              <w:t>U</w:t>
            </w:r>
            <w:r w:rsidR="000308EE" w:rsidRPr="00F0755A">
              <w:t xml:space="preserve">sunięcie istniejących barier </w:t>
            </w:r>
            <w:r w:rsidR="000308EE">
              <w:t xml:space="preserve">i wprowadzenie możliwości zaliczenia odpowiedniej kategorii instrumentów </w:t>
            </w:r>
            <w:r w:rsidR="000308EE" w:rsidRPr="00F0755A">
              <w:t>kapitałowych jako dodatkow</w:t>
            </w:r>
            <w:r>
              <w:t xml:space="preserve">ych </w:t>
            </w:r>
            <w:r w:rsidR="000308EE" w:rsidRPr="00F0755A">
              <w:t>składnik</w:t>
            </w:r>
            <w:r>
              <w:t xml:space="preserve">ów </w:t>
            </w:r>
            <w:r w:rsidR="000308EE" w:rsidRPr="00F0755A">
              <w:t xml:space="preserve">funduszy własnych lub środków własnych instytucji finansowych </w:t>
            </w:r>
            <w:r w:rsidR="000308EE">
              <w:t xml:space="preserve">przyczyni się do zwiększenia bazy kapitałowej banków, domów maklerskich, zakładów ubezpieczeń i zakładów reasekuracji oraz może pozytywnie oddziaływać na </w:t>
            </w:r>
            <w:r w:rsidR="000308EE" w:rsidRPr="00735A06">
              <w:rPr>
                <w:szCs w:val="24"/>
              </w:rPr>
              <w:t xml:space="preserve">ich konkurencyjność </w:t>
            </w:r>
            <w:r>
              <w:rPr>
                <w:szCs w:val="24"/>
              </w:rPr>
              <w:t xml:space="preserve">i </w:t>
            </w:r>
            <w:r w:rsidR="000308EE" w:rsidRPr="00735A06">
              <w:rPr>
                <w:szCs w:val="24"/>
              </w:rPr>
              <w:t>poziom stabilności finansowej</w:t>
            </w:r>
            <w:r w:rsidR="000308EE">
              <w:t>.</w:t>
            </w:r>
          </w:p>
        </w:tc>
      </w:tr>
      <w:tr w:rsidR="005401EF" w:rsidRPr="008B4FE6" w14:paraId="4CDD98E8" w14:textId="77777777" w:rsidTr="00676C8D">
        <w:trPr>
          <w:gridAfter w:val="1"/>
          <w:wAfter w:w="10" w:type="dxa"/>
          <w:trHeight w:val="142"/>
        </w:trPr>
        <w:tc>
          <w:tcPr>
            <w:tcW w:w="10937" w:type="dxa"/>
            <w:gridSpan w:val="29"/>
            <w:shd w:val="clear" w:color="auto" w:fill="99CCFF"/>
            <w:vAlign w:val="center"/>
          </w:tcPr>
          <w:p w14:paraId="599F3C6A" w14:textId="77777777" w:rsidR="005401EF" w:rsidRPr="008B4FE6" w:rsidRDefault="005401EF" w:rsidP="0019627B">
            <w:pPr>
              <w:numPr>
                <w:ilvl w:val="0"/>
                <w:numId w:val="1"/>
              </w:numPr>
              <w:ind w:left="318" w:hanging="284"/>
              <w:rPr>
                <w:b/>
                <w:color w:val="000000"/>
              </w:rPr>
            </w:pPr>
            <w:r w:rsidRPr="001A5FDA">
              <w:rPr>
                <w:b/>
                <w:color w:val="000000"/>
                <w:spacing w:val="-2"/>
              </w:rPr>
              <w:lastRenderedPageBreak/>
              <w:t>Rekomendowane rozwiązanie</w:t>
            </w:r>
            <w:r>
              <w:rPr>
                <w:b/>
                <w:color w:val="000000"/>
                <w:spacing w:val="-2"/>
              </w:rPr>
              <w:t>,</w:t>
            </w:r>
            <w:r w:rsidRPr="001A5FDA">
              <w:rPr>
                <w:b/>
                <w:color w:val="000000"/>
                <w:spacing w:val="-2"/>
              </w:rPr>
              <w:t xml:space="preserve"> w tym planowane narzędzia interwencji</w:t>
            </w:r>
            <w:r>
              <w:rPr>
                <w:b/>
                <w:color w:val="000000"/>
                <w:spacing w:val="-2"/>
              </w:rPr>
              <w:t>,</w:t>
            </w:r>
            <w:r w:rsidRPr="001A5FDA">
              <w:rPr>
                <w:b/>
                <w:color w:val="000000"/>
                <w:spacing w:val="-2"/>
              </w:rPr>
              <w:t xml:space="preserve"> i oczekiwany efekt</w:t>
            </w:r>
          </w:p>
        </w:tc>
      </w:tr>
      <w:tr w:rsidR="000E0808" w:rsidRPr="008B4FE6" w14:paraId="3260546F" w14:textId="77777777" w:rsidTr="000E0808">
        <w:trPr>
          <w:gridAfter w:val="1"/>
          <w:wAfter w:w="10" w:type="dxa"/>
          <w:trHeight w:val="142"/>
        </w:trPr>
        <w:tc>
          <w:tcPr>
            <w:tcW w:w="10937" w:type="dxa"/>
            <w:gridSpan w:val="29"/>
            <w:shd w:val="clear" w:color="auto" w:fill="auto"/>
            <w:vAlign w:val="center"/>
          </w:tcPr>
          <w:p w14:paraId="3943C6C5" w14:textId="77777777" w:rsidR="000E0808" w:rsidRDefault="000E0808" w:rsidP="000E0808">
            <w:pPr>
              <w:widowControl w:val="0"/>
              <w:autoSpaceDE w:val="0"/>
              <w:autoSpaceDN w:val="0"/>
              <w:adjustRightInd w:val="0"/>
              <w:spacing w:before="120"/>
              <w:outlineLvl w:val="0"/>
              <w:rPr>
                <w:rStyle w:val="Pogrubienie"/>
                <w:b w:val="0"/>
              </w:rPr>
            </w:pPr>
            <w:r>
              <w:rPr>
                <w:rStyle w:val="Pogrubienie"/>
                <w:b w:val="0"/>
              </w:rPr>
              <w:t>Z</w:t>
            </w:r>
            <w:r w:rsidRPr="00316341">
              <w:rPr>
                <w:rStyle w:val="Pogrubienie"/>
                <w:b w:val="0"/>
              </w:rPr>
              <w:t>większenie możliwości pozyskiwania przez podmioty krajowe finansowania dłużnego w celu zakwalifikowania go do składników funduszy własnych</w:t>
            </w:r>
            <w:r>
              <w:rPr>
                <w:rStyle w:val="Pogrubienie"/>
                <w:b w:val="0"/>
              </w:rPr>
              <w:t xml:space="preserve"> (w przypadku banków oraz domów maklerskich) albo do środków własnych jako pozycje podstawowych środków własnych (w przypadku zakładów ubezpieczeń i zakładów reasekuracji) wymaga dokonania zmian: </w:t>
            </w:r>
          </w:p>
          <w:p w14:paraId="782D3487" w14:textId="77777777" w:rsidR="000E0808" w:rsidRDefault="000E0808" w:rsidP="000E0808">
            <w:pPr>
              <w:pStyle w:val="Akapitzlist"/>
              <w:widowControl w:val="0"/>
              <w:numPr>
                <w:ilvl w:val="0"/>
                <w:numId w:val="3"/>
              </w:numPr>
              <w:autoSpaceDE w:val="0"/>
              <w:autoSpaceDN w:val="0"/>
              <w:adjustRightInd w:val="0"/>
              <w:outlineLvl w:val="0"/>
              <w:rPr>
                <w:lang w:eastAsia="pl-PL"/>
              </w:rPr>
            </w:pPr>
            <w:r w:rsidRPr="00561529">
              <w:rPr>
                <w:rStyle w:val="Pogrubienie"/>
                <w:b w:val="0"/>
              </w:rPr>
              <w:t>w</w:t>
            </w:r>
            <w:r w:rsidRPr="00F174DA">
              <w:rPr>
                <w:lang w:eastAsia="pl-PL"/>
              </w:rPr>
              <w:t xml:space="preserve"> ustawie z dnia 15 stycznia 2015 r. o </w:t>
            </w:r>
            <w:r w:rsidRPr="00B05794">
              <w:rPr>
                <w:color w:val="000000" w:themeColor="text1"/>
                <w:lang w:eastAsia="pl-PL"/>
              </w:rPr>
              <w:t xml:space="preserve">obligacjach, </w:t>
            </w:r>
            <w:r>
              <w:rPr>
                <w:lang w:eastAsia="pl-PL"/>
              </w:rPr>
              <w:t>przez:</w:t>
            </w:r>
          </w:p>
          <w:p w14:paraId="79450B63" w14:textId="77777777" w:rsidR="000E0808" w:rsidRPr="00E86F46" w:rsidRDefault="000E0808" w:rsidP="000E0808">
            <w:pPr>
              <w:pStyle w:val="Akapitzlist"/>
              <w:widowControl w:val="0"/>
              <w:numPr>
                <w:ilvl w:val="0"/>
                <w:numId w:val="5"/>
              </w:numPr>
              <w:autoSpaceDE w:val="0"/>
              <w:autoSpaceDN w:val="0"/>
              <w:adjustRightInd w:val="0"/>
              <w:outlineLvl w:val="0"/>
              <w:rPr>
                <w:lang w:eastAsia="pl-PL"/>
              </w:rPr>
            </w:pPr>
            <w:r w:rsidRPr="00B43C23">
              <w:rPr>
                <w:lang w:eastAsia="pl-PL"/>
              </w:rPr>
              <w:t>wprowadzeni</w:t>
            </w:r>
            <w:r>
              <w:rPr>
                <w:lang w:eastAsia="pl-PL"/>
              </w:rPr>
              <w:t>e</w:t>
            </w:r>
            <w:r w:rsidRPr="00B43C23">
              <w:rPr>
                <w:lang w:eastAsia="pl-PL"/>
              </w:rPr>
              <w:t xml:space="preserve"> zasad emisji obligacji kapitałowych spełniających wymogi art. 52 i art. 63 rozporządzenia </w:t>
            </w:r>
            <w:r>
              <w:rPr>
                <w:lang w:eastAsia="pl-PL"/>
              </w:rPr>
              <w:t xml:space="preserve">CRR </w:t>
            </w:r>
            <w:r w:rsidRPr="00B43C23">
              <w:rPr>
                <w:lang w:eastAsia="pl-PL"/>
              </w:rPr>
              <w:t xml:space="preserve">oraz art. 71, </w:t>
            </w:r>
            <w:r>
              <w:rPr>
                <w:lang w:eastAsia="pl-PL"/>
              </w:rPr>
              <w:t xml:space="preserve">art. </w:t>
            </w:r>
            <w:r w:rsidRPr="00B43C23">
              <w:rPr>
                <w:lang w:eastAsia="pl-PL"/>
              </w:rPr>
              <w:t xml:space="preserve">73 i </w:t>
            </w:r>
            <w:r>
              <w:rPr>
                <w:lang w:eastAsia="pl-PL"/>
              </w:rPr>
              <w:t xml:space="preserve">art. </w:t>
            </w:r>
            <w:r w:rsidRPr="00B43C23">
              <w:rPr>
                <w:lang w:eastAsia="pl-PL"/>
              </w:rPr>
              <w:t>77 rozporządzenia delegowanego 2015/35</w:t>
            </w:r>
            <w:r>
              <w:rPr>
                <w:lang w:eastAsia="pl-PL"/>
              </w:rPr>
              <w:t xml:space="preserve">. </w:t>
            </w:r>
            <w:r w:rsidRPr="00E86F46">
              <w:rPr>
                <w:lang w:eastAsia="pl-PL"/>
              </w:rPr>
              <w:t xml:space="preserve">Obligacje kapitałowe wyposażone zostały przede wszystkim </w:t>
            </w:r>
            <w:r>
              <w:rPr>
                <w:lang w:eastAsia="pl-PL"/>
              </w:rPr>
              <w:t>w</w:t>
            </w:r>
            <w:r w:rsidRPr="00E86F46">
              <w:rPr>
                <w:lang w:eastAsia="pl-PL"/>
              </w:rPr>
              <w:t xml:space="preserve"> mechanizm warunkowej zamiany na akcje lub umorzenia wartości nominalnej </w:t>
            </w:r>
            <w:r>
              <w:rPr>
                <w:lang w:eastAsia="pl-PL"/>
              </w:rPr>
              <w:t>(</w:t>
            </w:r>
            <w:r w:rsidRPr="008A59ED">
              <w:rPr>
                <w:i/>
                <w:lang w:eastAsia="pl-PL"/>
              </w:rPr>
              <w:t>write down</w:t>
            </w:r>
            <w:r>
              <w:rPr>
                <w:lang w:eastAsia="pl-PL"/>
              </w:rPr>
              <w:t xml:space="preserve">) </w:t>
            </w:r>
            <w:r w:rsidRPr="00E86F46">
              <w:rPr>
                <w:lang w:eastAsia="pl-PL"/>
              </w:rPr>
              <w:t>w przypadku wystąpienia określonego w warunkach emisji zdarzenia inicjującego, na zasadach określo</w:t>
            </w:r>
            <w:r>
              <w:rPr>
                <w:lang w:eastAsia="pl-PL"/>
              </w:rPr>
              <w:t>nych w </w:t>
            </w:r>
            <w:r w:rsidRPr="00E86F46">
              <w:rPr>
                <w:lang w:eastAsia="pl-PL"/>
              </w:rPr>
              <w:t xml:space="preserve">rozporządzeniu </w:t>
            </w:r>
            <w:r>
              <w:rPr>
                <w:lang w:eastAsia="pl-PL"/>
              </w:rPr>
              <w:t>CRR</w:t>
            </w:r>
            <w:r>
              <w:t xml:space="preserve"> </w:t>
            </w:r>
            <w:r w:rsidRPr="00AE0F07">
              <w:rPr>
                <w:lang w:eastAsia="pl-PL"/>
              </w:rPr>
              <w:t>lub rozporządzeniu delegowanym 2015/35</w:t>
            </w:r>
            <w:r>
              <w:rPr>
                <w:lang w:eastAsia="pl-PL"/>
              </w:rPr>
              <w:t>,</w:t>
            </w:r>
          </w:p>
          <w:p w14:paraId="68D2C7FA" w14:textId="77777777" w:rsidR="000E0808" w:rsidRDefault="000E0808" w:rsidP="000E0808">
            <w:pPr>
              <w:pStyle w:val="Akapitzlist"/>
              <w:widowControl w:val="0"/>
              <w:numPr>
                <w:ilvl w:val="0"/>
                <w:numId w:val="5"/>
              </w:numPr>
              <w:autoSpaceDE w:val="0"/>
              <w:autoSpaceDN w:val="0"/>
              <w:adjustRightInd w:val="0"/>
              <w:outlineLvl w:val="0"/>
              <w:rPr>
                <w:lang w:eastAsia="pl-PL"/>
              </w:rPr>
            </w:pPr>
            <w:r>
              <w:rPr>
                <w:lang w:eastAsia="pl-PL"/>
              </w:rPr>
              <w:t>określenie katalogu emitentów uprawionych do emisji obligacji kapitałowych (bank krajowy, dom maklerski, krajowy zakład ubezpieczeń, krajowy zakład reasekuracji);</w:t>
            </w:r>
          </w:p>
          <w:p w14:paraId="794EBB20" w14:textId="77777777" w:rsidR="000E0808" w:rsidRPr="006041B9" w:rsidRDefault="000E0808" w:rsidP="000E0808">
            <w:pPr>
              <w:pStyle w:val="Akapitzlist"/>
              <w:widowControl w:val="0"/>
              <w:numPr>
                <w:ilvl w:val="0"/>
                <w:numId w:val="3"/>
              </w:numPr>
              <w:autoSpaceDE w:val="0"/>
              <w:autoSpaceDN w:val="0"/>
              <w:adjustRightInd w:val="0"/>
              <w:outlineLvl w:val="0"/>
              <w:rPr>
                <w:lang w:eastAsia="pl-PL"/>
              </w:rPr>
            </w:pPr>
            <w:r>
              <w:rPr>
                <w:lang w:eastAsia="pl-PL"/>
              </w:rPr>
              <w:t xml:space="preserve">w </w:t>
            </w:r>
            <w:r w:rsidRPr="006041B9">
              <w:rPr>
                <w:lang w:eastAsia="pl-PL"/>
              </w:rPr>
              <w:t xml:space="preserve">ustawie z dnia 29 sierpnia 1997 r. </w:t>
            </w:r>
            <w:r>
              <w:rPr>
                <w:lang w:eastAsia="pl-PL"/>
              </w:rPr>
              <w:t>–</w:t>
            </w:r>
            <w:r w:rsidRPr="006041B9">
              <w:rPr>
                <w:lang w:eastAsia="pl-PL"/>
              </w:rPr>
              <w:t xml:space="preserve"> Prawo bankowe (Dz.U. z 2019 r. poz. 2357</w:t>
            </w:r>
            <w:r>
              <w:rPr>
                <w:lang w:eastAsia="pl-PL"/>
              </w:rPr>
              <w:t>, z późn. zm.</w:t>
            </w:r>
            <w:r w:rsidRPr="006041B9">
              <w:rPr>
                <w:lang w:eastAsia="pl-PL"/>
              </w:rPr>
              <w:t>)</w:t>
            </w:r>
            <w:r>
              <w:rPr>
                <w:lang w:eastAsia="pl-PL"/>
              </w:rPr>
              <w:t xml:space="preserve"> przez</w:t>
            </w:r>
            <w:r w:rsidRPr="006041B9">
              <w:rPr>
                <w:lang w:eastAsia="pl-PL"/>
              </w:rPr>
              <w:t>:</w:t>
            </w:r>
          </w:p>
          <w:p w14:paraId="5C6DBDC0" w14:textId="77777777" w:rsidR="000E0808" w:rsidRDefault="000E0808" w:rsidP="000E0808">
            <w:pPr>
              <w:pStyle w:val="Akapitzlist"/>
              <w:widowControl w:val="0"/>
              <w:numPr>
                <w:ilvl w:val="0"/>
                <w:numId w:val="4"/>
              </w:numPr>
              <w:autoSpaceDE w:val="0"/>
              <w:autoSpaceDN w:val="0"/>
              <w:adjustRightInd w:val="0"/>
              <w:outlineLvl w:val="0"/>
              <w:rPr>
                <w:lang w:eastAsia="pl-PL"/>
              </w:rPr>
            </w:pPr>
            <w:r w:rsidRPr="00097A4E">
              <w:rPr>
                <w:lang w:eastAsia="pl-PL"/>
              </w:rPr>
              <w:t>wprowadzeni</w:t>
            </w:r>
            <w:r>
              <w:rPr>
                <w:lang w:eastAsia="pl-PL"/>
              </w:rPr>
              <w:t>e</w:t>
            </w:r>
            <w:r w:rsidRPr="00097A4E">
              <w:rPr>
                <w:lang w:eastAsia="pl-PL"/>
              </w:rPr>
              <w:t xml:space="preserve"> wymogu podjęcia przez </w:t>
            </w:r>
            <w:r>
              <w:rPr>
                <w:lang w:eastAsia="pl-PL"/>
              </w:rPr>
              <w:t>walne zgromadzenie</w:t>
            </w:r>
            <w:r w:rsidRPr="00097A4E">
              <w:rPr>
                <w:lang w:eastAsia="pl-PL"/>
              </w:rPr>
              <w:t xml:space="preserve"> uchwały w sprawie emisji instrumentów kapitałowych</w:t>
            </w:r>
            <w:r>
              <w:rPr>
                <w:lang w:eastAsia="pl-PL"/>
              </w:rPr>
              <w:t xml:space="preserve"> oraz</w:t>
            </w:r>
            <w:r w:rsidRPr="00097A4E">
              <w:rPr>
                <w:lang w:eastAsia="pl-PL"/>
              </w:rPr>
              <w:t xml:space="preserve"> uchwały o warunkowym podwyższeniu kapitału zakładowego</w:t>
            </w:r>
            <w:r>
              <w:rPr>
                <w:lang w:eastAsia="pl-PL"/>
              </w:rPr>
              <w:t>,</w:t>
            </w:r>
          </w:p>
          <w:p w14:paraId="791543CA" w14:textId="77777777" w:rsidR="000E0808" w:rsidRDefault="000E0808" w:rsidP="000E0808">
            <w:pPr>
              <w:pStyle w:val="Akapitzlist"/>
              <w:widowControl w:val="0"/>
              <w:numPr>
                <w:ilvl w:val="0"/>
                <w:numId w:val="4"/>
              </w:numPr>
              <w:autoSpaceDE w:val="0"/>
              <w:autoSpaceDN w:val="0"/>
              <w:adjustRightInd w:val="0"/>
              <w:outlineLvl w:val="0"/>
              <w:rPr>
                <w:lang w:eastAsia="pl-PL"/>
              </w:rPr>
            </w:pPr>
            <w:r>
              <w:rPr>
                <w:lang w:eastAsia="pl-PL"/>
              </w:rPr>
              <w:t>wprowadzenie możliwości upoważnienia zarządu</w:t>
            </w:r>
            <w:r w:rsidRPr="00097A4E">
              <w:rPr>
                <w:lang w:eastAsia="pl-PL"/>
              </w:rPr>
              <w:t xml:space="preserve"> banku do określenia warunków emisji</w:t>
            </w:r>
            <w:r>
              <w:rPr>
                <w:lang w:eastAsia="pl-PL"/>
              </w:rPr>
              <w:t xml:space="preserve"> w zakresie określonym przez walne zgromadzenie</w:t>
            </w:r>
            <w:r w:rsidRPr="00097A4E">
              <w:rPr>
                <w:lang w:eastAsia="pl-PL"/>
              </w:rPr>
              <w:t xml:space="preserve">, </w:t>
            </w:r>
          </w:p>
          <w:p w14:paraId="3FD6A2CE" w14:textId="77777777" w:rsidR="000E0808" w:rsidRDefault="000E0808" w:rsidP="000E0808">
            <w:pPr>
              <w:pStyle w:val="Akapitzlist"/>
              <w:widowControl w:val="0"/>
              <w:numPr>
                <w:ilvl w:val="0"/>
                <w:numId w:val="4"/>
              </w:numPr>
              <w:autoSpaceDE w:val="0"/>
              <w:autoSpaceDN w:val="0"/>
              <w:adjustRightInd w:val="0"/>
              <w:outlineLvl w:val="0"/>
              <w:rPr>
                <w:lang w:eastAsia="pl-PL"/>
              </w:rPr>
            </w:pPr>
            <w:r w:rsidRPr="00097A4E">
              <w:rPr>
                <w:lang w:eastAsia="pl-PL"/>
              </w:rPr>
              <w:t>określeni</w:t>
            </w:r>
            <w:r>
              <w:rPr>
                <w:lang w:eastAsia="pl-PL"/>
              </w:rPr>
              <w:t>e</w:t>
            </w:r>
            <w:r w:rsidRPr="00097A4E">
              <w:rPr>
                <w:lang w:eastAsia="pl-PL"/>
              </w:rPr>
              <w:t xml:space="preserve"> </w:t>
            </w:r>
            <w:r>
              <w:rPr>
                <w:lang w:eastAsia="pl-PL"/>
              </w:rPr>
              <w:t>zasad dla</w:t>
            </w:r>
            <w:r w:rsidRPr="00097A4E">
              <w:rPr>
                <w:lang w:eastAsia="pl-PL"/>
              </w:rPr>
              <w:t xml:space="preserve"> pożyczki podporządkowanej</w:t>
            </w:r>
            <w:r>
              <w:rPr>
                <w:lang w:eastAsia="pl-PL"/>
              </w:rPr>
              <w:t xml:space="preserve"> spełniającej wymogi art. 52 rozporządzania CRR,</w:t>
            </w:r>
          </w:p>
          <w:p w14:paraId="28308D95" w14:textId="77777777" w:rsidR="000E0808" w:rsidRPr="00097A4E" w:rsidRDefault="000E0808" w:rsidP="000E0808">
            <w:pPr>
              <w:pStyle w:val="Akapitzlist"/>
              <w:widowControl w:val="0"/>
              <w:numPr>
                <w:ilvl w:val="0"/>
                <w:numId w:val="4"/>
              </w:numPr>
              <w:autoSpaceDE w:val="0"/>
              <w:autoSpaceDN w:val="0"/>
              <w:adjustRightInd w:val="0"/>
              <w:outlineLvl w:val="0"/>
              <w:rPr>
                <w:lang w:eastAsia="pl-PL"/>
              </w:rPr>
            </w:pPr>
            <w:r w:rsidRPr="00097A4E">
              <w:rPr>
                <w:lang w:eastAsia="pl-PL"/>
              </w:rPr>
              <w:t>wyłączeni</w:t>
            </w:r>
            <w:r>
              <w:rPr>
                <w:lang w:eastAsia="pl-PL"/>
              </w:rPr>
              <w:t>e</w:t>
            </w:r>
            <w:r w:rsidRPr="00097A4E">
              <w:rPr>
                <w:lang w:eastAsia="pl-PL"/>
              </w:rPr>
              <w:t xml:space="preserve"> kategorii bankowych papierów wartościowych z instrumentów kapitałowych</w:t>
            </w:r>
            <w:r>
              <w:rPr>
                <w:lang w:eastAsia="pl-PL"/>
              </w:rPr>
              <w:t>;</w:t>
            </w:r>
          </w:p>
          <w:p w14:paraId="69B45150" w14:textId="77777777" w:rsidR="000E0808" w:rsidRDefault="000E0808" w:rsidP="000E0808">
            <w:pPr>
              <w:pStyle w:val="Akapitzlist"/>
              <w:widowControl w:val="0"/>
              <w:numPr>
                <w:ilvl w:val="0"/>
                <w:numId w:val="3"/>
              </w:numPr>
              <w:autoSpaceDE w:val="0"/>
              <w:autoSpaceDN w:val="0"/>
              <w:adjustRightInd w:val="0"/>
              <w:outlineLvl w:val="0"/>
              <w:rPr>
                <w:lang w:eastAsia="pl-PL"/>
              </w:rPr>
            </w:pPr>
            <w:r>
              <w:rPr>
                <w:lang w:eastAsia="pl-PL"/>
              </w:rPr>
              <w:t>w u</w:t>
            </w:r>
            <w:r w:rsidRPr="00316341">
              <w:rPr>
                <w:lang w:eastAsia="pl-PL"/>
              </w:rPr>
              <w:t>staw</w:t>
            </w:r>
            <w:r>
              <w:rPr>
                <w:lang w:eastAsia="pl-PL"/>
              </w:rPr>
              <w:t xml:space="preserve">ie </w:t>
            </w:r>
            <w:r w:rsidRPr="00316341">
              <w:rPr>
                <w:lang w:eastAsia="pl-PL"/>
              </w:rPr>
              <w:t xml:space="preserve"> z dnia 29 lipca 2005 r. o obrocie instrumentami finans</w:t>
            </w:r>
            <w:r>
              <w:rPr>
                <w:lang w:eastAsia="pl-PL"/>
              </w:rPr>
              <w:t>owymi (Dz.U. z 2020 r. poz. 89, z późn. zm.) przez:</w:t>
            </w:r>
          </w:p>
          <w:p w14:paraId="45A04F24" w14:textId="77777777" w:rsidR="000E0808" w:rsidRDefault="000E0808" w:rsidP="000E0808">
            <w:pPr>
              <w:pStyle w:val="Akapitzlist"/>
              <w:widowControl w:val="0"/>
              <w:numPr>
                <w:ilvl w:val="0"/>
                <w:numId w:val="6"/>
              </w:numPr>
              <w:autoSpaceDE w:val="0"/>
              <w:autoSpaceDN w:val="0"/>
              <w:adjustRightInd w:val="0"/>
              <w:outlineLvl w:val="0"/>
              <w:rPr>
                <w:lang w:eastAsia="pl-PL"/>
              </w:rPr>
            </w:pPr>
            <w:r>
              <w:rPr>
                <w:lang w:eastAsia="pl-PL"/>
              </w:rPr>
              <w:t xml:space="preserve">określenie </w:t>
            </w:r>
            <w:r w:rsidRPr="006041B9">
              <w:rPr>
                <w:lang w:eastAsia="pl-PL"/>
              </w:rPr>
              <w:t xml:space="preserve">zasad kwalifikacji instrumentów kapitałowych i pożyczek podporządkowanych jako instrumentów dodatkowych w Tier I i Tier II </w:t>
            </w:r>
            <w:r>
              <w:rPr>
                <w:lang w:eastAsia="pl-PL"/>
              </w:rPr>
              <w:t>domów</w:t>
            </w:r>
            <w:r w:rsidRPr="006041B9">
              <w:rPr>
                <w:lang w:eastAsia="pl-PL"/>
              </w:rPr>
              <w:t xml:space="preserve"> </w:t>
            </w:r>
            <w:r>
              <w:rPr>
                <w:lang w:eastAsia="pl-PL"/>
              </w:rPr>
              <w:t>maklerskich,</w:t>
            </w:r>
            <w:r w:rsidRPr="006041B9">
              <w:rPr>
                <w:lang w:eastAsia="pl-PL"/>
              </w:rPr>
              <w:t xml:space="preserve"> </w:t>
            </w:r>
          </w:p>
          <w:p w14:paraId="3208F331" w14:textId="77777777" w:rsidR="000E0808" w:rsidRDefault="000E0808" w:rsidP="000E0808">
            <w:pPr>
              <w:pStyle w:val="Akapitzlist"/>
              <w:widowControl w:val="0"/>
              <w:numPr>
                <w:ilvl w:val="0"/>
                <w:numId w:val="6"/>
              </w:numPr>
              <w:autoSpaceDE w:val="0"/>
              <w:autoSpaceDN w:val="0"/>
              <w:adjustRightInd w:val="0"/>
              <w:outlineLvl w:val="0"/>
              <w:rPr>
                <w:lang w:eastAsia="pl-PL"/>
              </w:rPr>
            </w:pPr>
            <w:r>
              <w:rPr>
                <w:lang w:eastAsia="pl-PL"/>
              </w:rPr>
              <w:t xml:space="preserve">wprowadzenie zmian dotyczących emisji instrumentów kapitałowych analogicznych jak w Prawie bankowym; </w:t>
            </w:r>
          </w:p>
          <w:p w14:paraId="1C6673D9" w14:textId="77777777" w:rsidR="000E0808" w:rsidRDefault="000E0808" w:rsidP="000E0808">
            <w:pPr>
              <w:pStyle w:val="Akapitzlist"/>
              <w:widowControl w:val="0"/>
              <w:numPr>
                <w:ilvl w:val="0"/>
                <w:numId w:val="3"/>
              </w:numPr>
              <w:autoSpaceDE w:val="0"/>
              <w:autoSpaceDN w:val="0"/>
              <w:adjustRightInd w:val="0"/>
              <w:outlineLvl w:val="0"/>
              <w:rPr>
                <w:lang w:eastAsia="pl-PL"/>
              </w:rPr>
            </w:pPr>
            <w:r>
              <w:rPr>
                <w:lang w:eastAsia="pl-PL"/>
              </w:rPr>
              <w:lastRenderedPageBreak/>
              <w:t>w u</w:t>
            </w:r>
            <w:r w:rsidRPr="00316341">
              <w:rPr>
                <w:lang w:eastAsia="pl-PL"/>
              </w:rPr>
              <w:t>staw</w:t>
            </w:r>
            <w:r>
              <w:rPr>
                <w:lang w:eastAsia="pl-PL"/>
              </w:rPr>
              <w:t xml:space="preserve">ie </w:t>
            </w:r>
            <w:r w:rsidRPr="00316341">
              <w:rPr>
                <w:lang w:eastAsia="pl-PL"/>
              </w:rPr>
              <w:t xml:space="preserve"> z dnia 11 września 2015 r. o działalności ubezpieczeniowej i reasekuracy</w:t>
            </w:r>
            <w:r>
              <w:rPr>
                <w:lang w:eastAsia="pl-PL"/>
              </w:rPr>
              <w:t>jnej  przez wprowadzenie zmian dotyczących emisji instrumentów kapitałowych analogicznych jak w Prawie bankowym</w:t>
            </w:r>
            <w:r>
              <w:t xml:space="preserve"> </w:t>
            </w:r>
            <w:r w:rsidRPr="00AE0F07">
              <w:rPr>
                <w:lang w:eastAsia="pl-PL"/>
              </w:rPr>
              <w:t>i zasad dla pożyczki podporządkowanej</w:t>
            </w:r>
            <w:r>
              <w:rPr>
                <w:lang w:eastAsia="pl-PL"/>
              </w:rPr>
              <w:t xml:space="preserve">; </w:t>
            </w:r>
          </w:p>
          <w:p w14:paraId="21770587" w14:textId="77777777" w:rsidR="000E0808" w:rsidRDefault="000E0808" w:rsidP="000E0808">
            <w:pPr>
              <w:pStyle w:val="Akapitzlist"/>
              <w:widowControl w:val="0"/>
              <w:numPr>
                <w:ilvl w:val="0"/>
                <w:numId w:val="3"/>
              </w:numPr>
              <w:autoSpaceDE w:val="0"/>
              <w:autoSpaceDN w:val="0"/>
              <w:adjustRightInd w:val="0"/>
              <w:outlineLvl w:val="0"/>
              <w:rPr>
                <w:lang w:eastAsia="pl-PL"/>
              </w:rPr>
            </w:pPr>
            <w:r>
              <w:rPr>
                <w:lang w:eastAsia="pl-PL"/>
              </w:rPr>
              <w:t xml:space="preserve">w ustawie z dnia 28 lutego 2003 r. – Prawo upadłościowe (Dz.U. z 2019 r. poz. 498, z późn. zm.), m.in. przez </w:t>
            </w:r>
            <w:r w:rsidRPr="001443A8">
              <w:rPr>
                <w:lang w:eastAsia="pl-PL"/>
              </w:rPr>
              <w:t>doprecyzowan</w:t>
            </w:r>
            <w:r>
              <w:rPr>
                <w:lang w:eastAsia="pl-PL"/>
              </w:rPr>
              <w:t xml:space="preserve">ie </w:t>
            </w:r>
            <w:r w:rsidRPr="001443A8">
              <w:rPr>
                <w:lang w:eastAsia="pl-PL"/>
              </w:rPr>
              <w:t>hierarchi</w:t>
            </w:r>
            <w:r>
              <w:rPr>
                <w:lang w:eastAsia="pl-PL"/>
              </w:rPr>
              <w:t>i</w:t>
            </w:r>
            <w:r w:rsidRPr="001443A8">
              <w:rPr>
                <w:lang w:eastAsia="pl-PL"/>
              </w:rPr>
              <w:t xml:space="preserve"> wierzytelności</w:t>
            </w:r>
            <w:r>
              <w:rPr>
                <w:lang w:eastAsia="pl-PL"/>
              </w:rPr>
              <w:t xml:space="preserve"> i ich zaspokojenia</w:t>
            </w:r>
            <w:r w:rsidRPr="001443A8">
              <w:rPr>
                <w:lang w:eastAsia="pl-PL"/>
              </w:rPr>
              <w:t>;</w:t>
            </w:r>
            <w:r>
              <w:rPr>
                <w:lang w:eastAsia="pl-PL"/>
              </w:rPr>
              <w:t xml:space="preserve"> </w:t>
            </w:r>
          </w:p>
          <w:p w14:paraId="6E1BE0A2" w14:textId="77777777" w:rsidR="000E0808" w:rsidRPr="00561529" w:rsidRDefault="000E0808" w:rsidP="000E0808">
            <w:pPr>
              <w:pStyle w:val="Akapitzlist"/>
              <w:widowControl w:val="0"/>
              <w:numPr>
                <w:ilvl w:val="0"/>
                <w:numId w:val="3"/>
              </w:numPr>
              <w:autoSpaceDE w:val="0"/>
              <w:autoSpaceDN w:val="0"/>
              <w:adjustRightInd w:val="0"/>
              <w:outlineLvl w:val="0"/>
              <w:rPr>
                <w:lang w:eastAsia="pl-PL"/>
              </w:rPr>
            </w:pPr>
            <w:r>
              <w:rPr>
                <w:lang w:eastAsia="pl-PL"/>
              </w:rPr>
              <w:t>w  ustawie z dnia 15 września 2000 r. – Kodeks spółek handlowych (Dz.U. z 2019 r. poz. 505,  z późn. zm.), przez wprowadzenie kompetencji walnego zgromadzenia do podjęcia uchwały w sprawie emisji obligacji kapitałowych.</w:t>
            </w:r>
          </w:p>
          <w:p w14:paraId="5345A88F" w14:textId="77777777" w:rsidR="000E0808" w:rsidRPr="001A5FDA" w:rsidRDefault="000E0808" w:rsidP="000E0808">
            <w:pPr>
              <w:ind w:left="318"/>
              <w:rPr>
                <w:b/>
                <w:color w:val="000000"/>
                <w:spacing w:val="-2"/>
              </w:rPr>
            </w:pPr>
          </w:p>
        </w:tc>
      </w:tr>
      <w:tr w:rsidR="005401EF" w:rsidRPr="008B4FE6" w14:paraId="509BE396" w14:textId="77777777" w:rsidTr="00676C8D">
        <w:trPr>
          <w:gridAfter w:val="1"/>
          <w:wAfter w:w="10" w:type="dxa"/>
          <w:trHeight w:val="307"/>
        </w:trPr>
        <w:tc>
          <w:tcPr>
            <w:tcW w:w="10937" w:type="dxa"/>
            <w:gridSpan w:val="29"/>
            <w:shd w:val="clear" w:color="auto" w:fill="99CCFF"/>
            <w:vAlign w:val="center"/>
          </w:tcPr>
          <w:p w14:paraId="0E904B0D" w14:textId="77777777" w:rsidR="005401EF" w:rsidRPr="008B4FE6" w:rsidRDefault="005401EF" w:rsidP="00D4139B">
            <w:pPr>
              <w:numPr>
                <w:ilvl w:val="0"/>
                <w:numId w:val="1"/>
              </w:numPr>
              <w:ind w:left="0" w:hanging="284"/>
              <w:rPr>
                <w:b/>
                <w:color w:val="000000"/>
              </w:rPr>
            </w:pPr>
            <w:r>
              <w:rPr>
                <w:b/>
                <w:spacing w:val="-2"/>
              </w:rPr>
              <w:lastRenderedPageBreak/>
              <w:t>Jak problem został rozwiązany</w:t>
            </w:r>
            <w:r w:rsidRPr="001812C7">
              <w:rPr>
                <w:b/>
                <w:spacing w:val="-2"/>
              </w:rPr>
              <w:t xml:space="preserve"> w innych krajach, w szczególności krajach członkowskich OECD/UE</w:t>
            </w:r>
            <w:r w:rsidRPr="008B4FE6">
              <w:rPr>
                <w:b/>
                <w:color w:val="000000"/>
              </w:rPr>
              <w:t>?</w:t>
            </w:r>
            <w:r w:rsidRPr="008B4FE6">
              <w:rPr>
                <w:i/>
                <w:color w:val="000000"/>
              </w:rPr>
              <w:t xml:space="preserve"> </w:t>
            </w:r>
          </w:p>
        </w:tc>
      </w:tr>
      <w:tr w:rsidR="005401EF" w:rsidRPr="00D06C3F" w14:paraId="46619DDD" w14:textId="77777777" w:rsidTr="00676C8D">
        <w:trPr>
          <w:gridAfter w:val="1"/>
          <w:wAfter w:w="10" w:type="dxa"/>
          <w:trHeight w:val="142"/>
        </w:trPr>
        <w:tc>
          <w:tcPr>
            <w:tcW w:w="10937" w:type="dxa"/>
            <w:gridSpan w:val="29"/>
          </w:tcPr>
          <w:p w14:paraId="7A6A412B" w14:textId="4938F0F3" w:rsidR="005401EF" w:rsidRPr="00B05794" w:rsidRDefault="005401EF" w:rsidP="00EA55E1">
            <w:pPr>
              <w:pStyle w:val="Tekstprzypisudolnego"/>
              <w:spacing w:before="120"/>
              <w:rPr>
                <w:lang w:eastAsia="pl-PL"/>
              </w:rPr>
            </w:pPr>
            <w:r w:rsidRPr="00D4139B">
              <w:rPr>
                <w:rFonts w:ascii="Times New Roman" w:hAnsi="Times New Roman"/>
                <w:bCs/>
                <w:sz w:val="22"/>
                <w:szCs w:val="22"/>
                <w:lang w:eastAsia="pl-PL"/>
              </w:rPr>
              <w:t xml:space="preserve">Instrumenty zaliczane do </w:t>
            </w:r>
            <w:r w:rsidR="00D741D3" w:rsidRPr="00D4139B">
              <w:rPr>
                <w:rFonts w:ascii="Times New Roman" w:hAnsi="Times New Roman"/>
                <w:bCs/>
                <w:sz w:val="22"/>
                <w:szCs w:val="22"/>
                <w:lang w:eastAsia="pl-PL"/>
              </w:rPr>
              <w:t>kapitału dodatkowego klasy 1</w:t>
            </w:r>
            <w:r w:rsidRPr="00D4139B">
              <w:rPr>
                <w:rFonts w:ascii="Times New Roman" w:hAnsi="Times New Roman"/>
                <w:bCs/>
                <w:sz w:val="22"/>
                <w:szCs w:val="22"/>
                <w:lang w:eastAsia="pl-PL"/>
              </w:rPr>
              <w:t xml:space="preserve"> (</w:t>
            </w:r>
            <w:r w:rsidRPr="00D4139B">
              <w:rPr>
                <w:rFonts w:ascii="Times New Roman" w:hAnsi="Times New Roman"/>
                <w:bCs/>
                <w:i/>
                <w:sz w:val="22"/>
                <w:szCs w:val="22"/>
                <w:lang w:eastAsia="pl-PL"/>
              </w:rPr>
              <w:t>Additional Tier I - AT1</w:t>
            </w:r>
            <w:r w:rsidRPr="00D4139B">
              <w:rPr>
                <w:rFonts w:ascii="Times New Roman" w:hAnsi="Times New Roman"/>
                <w:bCs/>
                <w:sz w:val="22"/>
                <w:szCs w:val="22"/>
                <w:lang w:eastAsia="pl-PL"/>
              </w:rPr>
              <w:t>) oraz środków własnych kategorii 1 (</w:t>
            </w:r>
            <w:r w:rsidRPr="00D4139B">
              <w:rPr>
                <w:rFonts w:ascii="Times New Roman" w:hAnsi="Times New Roman"/>
                <w:bCs/>
                <w:i/>
                <w:sz w:val="22"/>
                <w:szCs w:val="22"/>
                <w:lang w:eastAsia="pl-PL"/>
              </w:rPr>
              <w:t>Restricted Tier 1</w:t>
            </w:r>
            <w:r w:rsidR="00BB6EC8" w:rsidRPr="00D4139B">
              <w:rPr>
                <w:rFonts w:ascii="Times New Roman" w:hAnsi="Times New Roman"/>
                <w:bCs/>
                <w:i/>
                <w:sz w:val="22"/>
                <w:szCs w:val="22"/>
                <w:lang w:eastAsia="pl-PL"/>
              </w:rPr>
              <w:t xml:space="preserve"> – RT1</w:t>
            </w:r>
            <w:r w:rsidRPr="00D4139B">
              <w:rPr>
                <w:rFonts w:ascii="Times New Roman" w:hAnsi="Times New Roman"/>
                <w:bCs/>
                <w:sz w:val="22"/>
                <w:szCs w:val="22"/>
                <w:lang w:eastAsia="pl-PL"/>
              </w:rPr>
              <w:t>)</w:t>
            </w:r>
            <w:r w:rsidRPr="00D4139B">
              <w:rPr>
                <w:rFonts w:ascii="Times New Roman" w:hAnsi="Times New Roman"/>
                <w:b/>
                <w:bCs/>
                <w:sz w:val="22"/>
                <w:szCs w:val="22"/>
                <w:lang w:eastAsia="pl-PL"/>
              </w:rPr>
              <w:t xml:space="preserve"> </w:t>
            </w:r>
            <w:r w:rsidRPr="00D4139B">
              <w:rPr>
                <w:rFonts w:ascii="Times New Roman" w:hAnsi="Times New Roman"/>
                <w:sz w:val="22"/>
                <w:szCs w:val="22"/>
                <w:lang w:eastAsia="pl-PL"/>
              </w:rPr>
              <w:t>znalazły zastosowanie w krajach Europejskiego Obszaru Gospodarczego, przyczyniając się do wzmocnienia bazy kapitałowej oraz podniesienia zdolności absorpcji strat przez funkcjonujące tam podmioty rynku finansowego</w:t>
            </w:r>
            <w:r w:rsidR="00B05794" w:rsidRPr="00D4139B">
              <w:rPr>
                <w:rFonts w:ascii="Times New Roman" w:hAnsi="Times New Roman"/>
                <w:sz w:val="22"/>
                <w:szCs w:val="22"/>
                <w:lang w:eastAsia="pl-PL"/>
              </w:rPr>
              <w:t xml:space="preserve">. </w:t>
            </w:r>
            <w:r w:rsidRPr="00D4139B">
              <w:rPr>
                <w:rFonts w:ascii="Times New Roman" w:hAnsi="Times New Roman"/>
                <w:sz w:val="22"/>
                <w:szCs w:val="22"/>
                <w:lang w:eastAsia="pl-PL"/>
              </w:rPr>
              <w:t>Uregulowanie kwestii kapitał</w:t>
            </w:r>
            <w:r w:rsidR="00BB6EC8" w:rsidRPr="00D4139B">
              <w:rPr>
                <w:rFonts w:ascii="Times New Roman" w:hAnsi="Times New Roman"/>
                <w:sz w:val="22"/>
                <w:szCs w:val="22"/>
                <w:lang w:eastAsia="pl-PL"/>
              </w:rPr>
              <w:t xml:space="preserve">ów </w:t>
            </w:r>
            <w:r w:rsidRPr="00D4139B">
              <w:rPr>
                <w:rFonts w:ascii="Times New Roman" w:hAnsi="Times New Roman"/>
                <w:sz w:val="22"/>
                <w:szCs w:val="22"/>
                <w:lang w:eastAsia="pl-PL"/>
              </w:rPr>
              <w:t>banków</w:t>
            </w:r>
            <w:r w:rsidR="00BB6EC8" w:rsidRPr="00D4139B">
              <w:rPr>
                <w:rFonts w:ascii="Times New Roman" w:hAnsi="Times New Roman"/>
                <w:sz w:val="22"/>
                <w:szCs w:val="22"/>
                <w:lang w:eastAsia="pl-PL"/>
              </w:rPr>
              <w:t xml:space="preserve"> i </w:t>
            </w:r>
            <w:r w:rsidRPr="00D4139B">
              <w:rPr>
                <w:rFonts w:ascii="Times New Roman" w:hAnsi="Times New Roman"/>
                <w:sz w:val="22"/>
                <w:szCs w:val="22"/>
                <w:lang w:eastAsia="pl-PL"/>
              </w:rPr>
              <w:t>domów maklerskich</w:t>
            </w:r>
            <w:r w:rsidR="00BB6EC8" w:rsidRPr="00D4139B">
              <w:rPr>
                <w:rFonts w:ascii="Times New Roman" w:hAnsi="Times New Roman"/>
                <w:sz w:val="22"/>
                <w:szCs w:val="22"/>
                <w:lang w:eastAsia="pl-PL"/>
              </w:rPr>
              <w:t xml:space="preserve"> oraz </w:t>
            </w:r>
            <w:r w:rsidRPr="00D4139B">
              <w:rPr>
                <w:rFonts w:ascii="Times New Roman" w:hAnsi="Times New Roman"/>
                <w:sz w:val="22"/>
                <w:szCs w:val="22"/>
                <w:lang w:eastAsia="pl-PL"/>
              </w:rPr>
              <w:t xml:space="preserve">środków własnych zakładów ubezpieczeń i zakładów reasekuracji w rozporządzeniach </w:t>
            </w:r>
            <w:r w:rsidR="00BB6EC8" w:rsidRPr="00D4139B">
              <w:rPr>
                <w:rFonts w:ascii="Times New Roman" w:hAnsi="Times New Roman"/>
                <w:sz w:val="22"/>
                <w:szCs w:val="22"/>
                <w:lang w:eastAsia="pl-PL"/>
              </w:rPr>
              <w:t xml:space="preserve">i </w:t>
            </w:r>
            <w:r w:rsidRPr="00D4139B">
              <w:rPr>
                <w:rFonts w:ascii="Times New Roman" w:hAnsi="Times New Roman"/>
                <w:sz w:val="22"/>
                <w:szCs w:val="22"/>
                <w:lang w:eastAsia="pl-PL"/>
              </w:rPr>
              <w:t>dyrektywach służy ujednoliceniu zasad kwalifikacji instrumentów AT1 i RT1 w Unii Europejskiej.</w:t>
            </w:r>
            <w:r w:rsidRPr="00B05794">
              <w:rPr>
                <w:lang w:eastAsia="pl-PL"/>
              </w:rPr>
              <w:t xml:space="preserve"> </w:t>
            </w:r>
          </w:p>
          <w:p w14:paraId="494FCB46" w14:textId="77777777" w:rsidR="006B0618" w:rsidRPr="006B0618" w:rsidRDefault="006B0618" w:rsidP="00D63F62">
            <w:pPr>
              <w:outlineLvl w:val="0"/>
              <w:rPr>
                <w:sz w:val="10"/>
                <w:szCs w:val="10"/>
                <w:lang w:eastAsia="pl-PL"/>
              </w:rPr>
            </w:pPr>
          </w:p>
          <w:p w14:paraId="08206C5B" w14:textId="702F3507" w:rsidR="005401EF" w:rsidRPr="00B05794" w:rsidRDefault="005401EF" w:rsidP="00D63F62">
            <w:pPr>
              <w:outlineLvl w:val="0"/>
              <w:rPr>
                <w:lang w:eastAsia="pl-PL"/>
              </w:rPr>
            </w:pPr>
            <w:r w:rsidRPr="00B05794">
              <w:rPr>
                <w:lang w:eastAsia="pl-PL"/>
              </w:rPr>
              <w:t>Warto wskazać, że Europejski Urząd Nadzoru Bankowego (EBA) w raporcie w sprawie emisji instrumentów AT1</w:t>
            </w:r>
            <w:r w:rsidR="000A1207" w:rsidRPr="00B05794">
              <w:rPr>
                <w:lang w:eastAsia="pl-PL"/>
              </w:rPr>
              <w:t xml:space="preserve">, dla </w:t>
            </w:r>
            <w:r w:rsidR="00B05794">
              <w:rPr>
                <w:lang w:eastAsia="pl-PL"/>
              </w:rPr>
              <w:t> </w:t>
            </w:r>
            <w:r w:rsidR="000A1207" w:rsidRPr="00B05794">
              <w:rPr>
                <w:lang w:eastAsia="pl-PL"/>
              </w:rPr>
              <w:t xml:space="preserve">których podstawową jest forma </w:t>
            </w:r>
            <w:r w:rsidRPr="00B05794">
              <w:rPr>
                <w:lang w:eastAsia="pl-PL"/>
              </w:rPr>
              <w:t xml:space="preserve">obligacji typu </w:t>
            </w:r>
            <w:r w:rsidRPr="00B05794">
              <w:rPr>
                <w:i/>
                <w:lang w:eastAsia="pl-PL"/>
              </w:rPr>
              <w:t>contingent convertibles</w:t>
            </w:r>
            <w:r w:rsidRPr="00B05794">
              <w:rPr>
                <w:lang w:eastAsia="pl-PL"/>
              </w:rPr>
              <w:t xml:space="preserve"> (CoCos)</w:t>
            </w:r>
            <w:r w:rsidRPr="00B05794">
              <w:rPr>
                <w:vertAlign w:val="superscript"/>
                <w:lang w:eastAsia="pl-PL"/>
              </w:rPr>
              <w:t>2</w:t>
            </w:r>
            <w:r w:rsidRPr="00B05794">
              <w:rPr>
                <w:lang w:eastAsia="pl-PL"/>
              </w:rPr>
              <w:t xml:space="preserve"> odnotował zwiększenie standaryzacji warunków emisji tych instrumentów wśród banków europejskich, przy czym nadal mają tu istotne zastosowanie wydane w październiku 2016 r. szablony EBA w odniesieniu do niektórych definicji, jak również klauzul</w:t>
            </w:r>
            <w:r w:rsidRPr="00B05794">
              <w:rPr>
                <w:vertAlign w:val="superscript"/>
                <w:lang w:eastAsia="pl-PL"/>
              </w:rPr>
              <w:t>3</w:t>
            </w:r>
            <w:r w:rsidRPr="00B05794">
              <w:rPr>
                <w:lang w:eastAsia="pl-PL"/>
              </w:rPr>
              <w:t>. W ramach monitorowania rynku instrumentów AT1 (od 2015 r.</w:t>
            </w:r>
            <w:r w:rsidR="004037D5" w:rsidRPr="00B05794">
              <w:rPr>
                <w:lang w:eastAsia="pl-PL"/>
              </w:rPr>
              <w:t xml:space="preserve"> do 2018 r.</w:t>
            </w:r>
            <w:r w:rsidRPr="00B05794">
              <w:rPr>
                <w:lang w:eastAsia="pl-PL"/>
              </w:rPr>
              <w:t xml:space="preserve">) EBA dokonał przeglądu łącznie 56 emisji na łączną kwotę 44,7 mld </w:t>
            </w:r>
            <w:r w:rsidR="00B05794">
              <w:rPr>
                <w:lang w:eastAsia="pl-PL"/>
              </w:rPr>
              <w:t>euro</w:t>
            </w:r>
            <w:r w:rsidRPr="00B05794">
              <w:rPr>
                <w:lang w:eastAsia="pl-PL"/>
              </w:rPr>
              <w:t xml:space="preserve">.  </w:t>
            </w:r>
          </w:p>
          <w:p w14:paraId="5EE98D4A" w14:textId="77777777" w:rsidR="005401EF" w:rsidRPr="00EA55E1" w:rsidRDefault="005401EF" w:rsidP="0017695F">
            <w:pPr>
              <w:autoSpaceDE w:val="0"/>
              <w:autoSpaceDN w:val="0"/>
              <w:adjustRightInd w:val="0"/>
              <w:rPr>
                <w:sz w:val="10"/>
                <w:szCs w:val="10"/>
                <w:lang w:eastAsia="pl-PL"/>
              </w:rPr>
            </w:pPr>
          </w:p>
          <w:p w14:paraId="40DE2C7F" w14:textId="375FF0D5" w:rsidR="005401EF" w:rsidRPr="00B05794" w:rsidRDefault="005401EF" w:rsidP="00E41BD2">
            <w:pPr>
              <w:rPr>
                <w:lang w:eastAsia="pl-PL"/>
              </w:rPr>
            </w:pPr>
            <w:r w:rsidRPr="00B05794">
              <w:rPr>
                <w:color w:val="000000"/>
              </w:rPr>
              <w:t>Według stanu na koniec maja 2018 r. na rynku europejskim 65 emitentów z 14 krajów UE dokonało 165 emisji instrumentów AT1</w:t>
            </w:r>
            <w:r w:rsidR="002238DD" w:rsidRPr="00B05794">
              <w:rPr>
                <w:color w:val="000000"/>
              </w:rPr>
              <w:t xml:space="preserve">, </w:t>
            </w:r>
            <w:r w:rsidRPr="00B05794">
              <w:rPr>
                <w:color w:val="000000"/>
              </w:rPr>
              <w:t>o łącznej wartości blisk</w:t>
            </w:r>
            <w:r w:rsidR="001D048E">
              <w:rPr>
                <w:color w:val="000000"/>
              </w:rPr>
              <w:t xml:space="preserve">o </w:t>
            </w:r>
            <w:r w:rsidRPr="00B05794">
              <w:rPr>
                <w:color w:val="000000"/>
              </w:rPr>
              <w:t xml:space="preserve">o 141 mld </w:t>
            </w:r>
            <w:r w:rsidR="00B05794">
              <w:rPr>
                <w:color w:val="000000"/>
              </w:rPr>
              <w:t>euro</w:t>
            </w:r>
            <w:r w:rsidRPr="00B05794">
              <w:rPr>
                <w:vertAlign w:val="superscript"/>
                <w:lang w:eastAsia="pl-PL"/>
              </w:rPr>
              <w:t>4</w:t>
            </w:r>
            <w:r w:rsidR="002238DD" w:rsidRPr="00B05794">
              <w:rPr>
                <w:color w:val="000000"/>
              </w:rPr>
              <w:t xml:space="preserve"> </w:t>
            </w:r>
            <w:r w:rsidR="004037D5" w:rsidRPr="00B05794">
              <w:rPr>
                <w:color w:val="000000"/>
              </w:rPr>
              <w:t xml:space="preserve"> </w:t>
            </w:r>
            <w:r w:rsidR="002238DD" w:rsidRPr="00B05794">
              <w:rPr>
                <w:color w:val="000000"/>
              </w:rPr>
              <w:t>(</w:t>
            </w:r>
            <w:r w:rsidRPr="00B05794">
              <w:rPr>
                <w:color w:val="000000"/>
              </w:rPr>
              <w:t>101 emisji instrument</w:t>
            </w:r>
            <w:r w:rsidR="002238DD" w:rsidRPr="00B05794">
              <w:rPr>
                <w:color w:val="000000"/>
              </w:rPr>
              <w:t>ów</w:t>
            </w:r>
            <w:r w:rsidRPr="00B05794">
              <w:rPr>
                <w:color w:val="000000"/>
              </w:rPr>
              <w:t xml:space="preserve"> typu </w:t>
            </w:r>
            <w:r w:rsidRPr="00B05794">
              <w:rPr>
                <w:i/>
                <w:color w:val="000000"/>
              </w:rPr>
              <w:t>write-down</w:t>
            </w:r>
            <w:r w:rsidR="002238DD" w:rsidRPr="00B05794">
              <w:rPr>
                <w:i/>
                <w:color w:val="000000"/>
              </w:rPr>
              <w:t xml:space="preserve">, </w:t>
            </w:r>
            <w:r w:rsidRPr="00B05794">
              <w:rPr>
                <w:color w:val="000000"/>
              </w:rPr>
              <w:t xml:space="preserve">64 emisje z </w:t>
            </w:r>
            <w:r w:rsidR="001D048E">
              <w:rPr>
                <w:color w:val="000000"/>
              </w:rPr>
              <w:t> </w:t>
            </w:r>
            <w:r w:rsidRPr="00B05794">
              <w:rPr>
                <w:color w:val="000000"/>
              </w:rPr>
              <w:t>opcją zamiany na akcje</w:t>
            </w:r>
            <w:r w:rsidR="002238DD" w:rsidRPr="00B05794">
              <w:rPr>
                <w:color w:val="000000"/>
              </w:rPr>
              <w:t>)</w:t>
            </w:r>
            <w:r w:rsidRPr="00B05794">
              <w:rPr>
                <w:color w:val="000000"/>
              </w:rPr>
              <w:t>. Mając na uwadze charakter zdarzenia</w:t>
            </w:r>
            <w:r w:rsidRPr="00B05794">
              <w:t xml:space="preserve"> inicjującego</w:t>
            </w:r>
            <w:r w:rsidR="0017695F">
              <w:t>,</w:t>
            </w:r>
            <w:r w:rsidRPr="00B05794">
              <w:t xml:space="preserve"> określanego w odniesieniu do poziomu współczynnika kapita</w:t>
            </w:r>
            <w:r w:rsidRPr="00B05794">
              <w:softHyphen/>
              <w:t>łowego danej instytucji</w:t>
            </w:r>
            <w:r w:rsidR="0017695F">
              <w:t xml:space="preserve">, </w:t>
            </w:r>
            <w:r w:rsidRPr="00B05794">
              <w:t xml:space="preserve"> </w:t>
            </w:r>
            <w:r w:rsidRPr="00B05794">
              <w:rPr>
                <w:color w:val="000000"/>
              </w:rPr>
              <w:t xml:space="preserve">wyemitowano 94 instrumenty finansowe, których warunki emisji zawierają klauzulę o konwersji lub odpisie w razie spełnienia się warunku w postaci spadku </w:t>
            </w:r>
            <w:r w:rsidR="00E41BD2">
              <w:rPr>
                <w:color w:val="000000"/>
              </w:rPr>
              <w:t>w</w:t>
            </w:r>
            <w:r w:rsidR="00E41BD2" w:rsidRPr="00E41BD2">
              <w:rPr>
                <w:rFonts w:ascii="segoeui_bd" w:hAnsi="segoeui_bd"/>
                <w:color w:val="000000"/>
                <w:shd w:val="clear" w:color="auto" w:fill="FFFFFF"/>
              </w:rPr>
              <w:t>spółczynnik</w:t>
            </w:r>
            <w:r w:rsidR="00E41BD2">
              <w:rPr>
                <w:rFonts w:ascii="segoeui_bd" w:hAnsi="segoeui_bd"/>
                <w:color w:val="000000"/>
                <w:shd w:val="clear" w:color="auto" w:fill="FFFFFF"/>
              </w:rPr>
              <w:t>a</w:t>
            </w:r>
            <w:r w:rsidR="00E41BD2" w:rsidRPr="00E41BD2">
              <w:rPr>
                <w:rFonts w:ascii="segoeui_bd" w:hAnsi="segoeui_bd"/>
                <w:color w:val="000000"/>
                <w:shd w:val="clear" w:color="auto" w:fill="FFFFFF"/>
              </w:rPr>
              <w:t xml:space="preserve"> kapitału podstawowego Tier 1 </w:t>
            </w:r>
            <w:r w:rsidR="00E41BD2" w:rsidRPr="00B05794">
              <w:rPr>
                <w:color w:val="000000"/>
              </w:rPr>
              <w:t xml:space="preserve"> </w:t>
            </w:r>
            <w:r w:rsidR="00E41BD2">
              <w:rPr>
                <w:color w:val="000000"/>
              </w:rPr>
              <w:t>(</w:t>
            </w:r>
            <w:r w:rsidRPr="00B05794">
              <w:rPr>
                <w:color w:val="000000"/>
              </w:rPr>
              <w:t>CET1</w:t>
            </w:r>
            <w:r w:rsidR="00E41BD2">
              <w:rPr>
                <w:color w:val="000000"/>
              </w:rPr>
              <w:t xml:space="preserve">) </w:t>
            </w:r>
            <w:r w:rsidRPr="00B05794">
              <w:rPr>
                <w:color w:val="000000"/>
              </w:rPr>
              <w:t xml:space="preserve">do wysokości 7% </w:t>
            </w:r>
            <w:r w:rsidR="00E41BD2" w:rsidRPr="00D4139B">
              <w:rPr>
                <w:i/>
                <w:color w:val="000000"/>
              </w:rPr>
              <w:t>Risk Weighted Assets</w:t>
            </w:r>
            <w:r w:rsidR="00E41BD2">
              <w:rPr>
                <w:color w:val="000000"/>
              </w:rPr>
              <w:t xml:space="preserve"> - </w:t>
            </w:r>
            <w:r w:rsidRPr="00B05794">
              <w:rPr>
                <w:color w:val="000000"/>
              </w:rPr>
              <w:t>RWA (</w:t>
            </w:r>
            <w:r w:rsidRPr="00B05794">
              <w:rPr>
                <w:i/>
                <w:color w:val="000000"/>
              </w:rPr>
              <w:t>high trigger</w:t>
            </w:r>
            <w:r w:rsidRPr="00B05794">
              <w:rPr>
                <w:color w:val="000000"/>
              </w:rPr>
              <w:t>)</w:t>
            </w:r>
            <w:r w:rsidR="008B6636" w:rsidRPr="00B05794">
              <w:rPr>
                <w:color w:val="000000"/>
              </w:rPr>
              <w:t xml:space="preserve">, </w:t>
            </w:r>
            <w:r w:rsidRPr="00B05794">
              <w:rPr>
                <w:color w:val="000000"/>
              </w:rPr>
              <w:t>oraz 71 instrumentów finansowych zawierających klauzulę o wystąpieniu zdarzenia inicjującego na poziomie 5,125 % (</w:t>
            </w:r>
            <w:r w:rsidRPr="00B05794">
              <w:rPr>
                <w:i/>
                <w:color w:val="000000"/>
              </w:rPr>
              <w:t>low trigger</w:t>
            </w:r>
            <w:r w:rsidRPr="00B05794">
              <w:rPr>
                <w:color w:val="000000"/>
              </w:rPr>
              <w:t xml:space="preserve">). Największe </w:t>
            </w:r>
            <w:r w:rsidRPr="00B05794">
              <w:rPr>
                <w:lang w:eastAsia="pl-PL"/>
              </w:rPr>
              <w:t>emisje tych instrumentów miały dotychczas miejsce w Wielkiej Brytanii, Szwajcarii, Francji oraz Hiszpanii</w:t>
            </w:r>
            <w:r w:rsidRPr="00B05794">
              <w:rPr>
                <w:vertAlign w:val="superscript"/>
                <w:lang w:eastAsia="pl-PL"/>
              </w:rPr>
              <w:t>5</w:t>
            </w:r>
            <w:r w:rsidRPr="00B05794">
              <w:rPr>
                <w:lang w:eastAsia="pl-PL"/>
              </w:rPr>
              <w:t xml:space="preserve">. Według danych </w:t>
            </w:r>
            <w:r w:rsidRPr="00B05794">
              <w:rPr>
                <w:i/>
                <w:lang w:eastAsia="pl-PL"/>
              </w:rPr>
              <w:t>S&amp;P Global Ratings</w:t>
            </w:r>
            <w:r w:rsidRPr="00B05794">
              <w:rPr>
                <w:lang w:eastAsia="pl-PL"/>
              </w:rPr>
              <w:t xml:space="preserve"> w strukturze inwestorów nabywających </w:t>
            </w:r>
            <w:r w:rsidRPr="00B05794">
              <w:rPr>
                <w:color w:val="000000"/>
              </w:rPr>
              <w:t xml:space="preserve">obligacje typu </w:t>
            </w:r>
            <w:r w:rsidRPr="00B05794">
              <w:rPr>
                <w:i/>
              </w:rPr>
              <w:t xml:space="preserve">contingent convertibles </w:t>
            </w:r>
            <w:r w:rsidRPr="00B05794">
              <w:t>emitowane przez europejskie banki dominują</w:t>
            </w:r>
            <w:r w:rsidR="00354D9B" w:rsidRPr="00B05794">
              <w:t xml:space="preserve"> zarządzający funduszami inwestycyjnymi/fundusze hedgingowe</w:t>
            </w:r>
            <w:r w:rsidR="00B50BFA" w:rsidRPr="00B05794">
              <w:t>.</w:t>
            </w:r>
            <w:r w:rsidRPr="00B05794">
              <w:rPr>
                <w:vertAlign w:val="superscript"/>
              </w:rPr>
              <w:t>5</w:t>
            </w:r>
          </w:p>
          <w:p w14:paraId="265DCB19" w14:textId="77777777" w:rsidR="005401EF" w:rsidRPr="00EA55E1" w:rsidRDefault="005401EF">
            <w:pPr>
              <w:rPr>
                <w:color w:val="000000"/>
                <w:sz w:val="10"/>
                <w:szCs w:val="10"/>
              </w:rPr>
            </w:pPr>
          </w:p>
          <w:p w14:paraId="4E2CEC9D" w14:textId="15755DE1" w:rsidR="002238DD" w:rsidRPr="00B05794" w:rsidRDefault="005401EF">
            <w:pPr>
              <w:autoSpaceDE w:val="0"/>
              <w:autoSpaceDN w:val="0"/>
              <w:adjustRightInd w:val="0"/>
              <w:rPr>
                <w:lang w:eastAsia="pl-PL"/>
              </w:rPr>
            </w:pPr>
            <w:r w:rsidRPr="00B05794">
              <w:rPr>
                <w:color w:val="000000"/>
              </w:rPr>
              <w:t xml:space="preserve">Wśród emisji instrumentów CoCos kwalifikowanych do Tier 2 można wskazać przykłady emisji </w:t>
            </w:r>
            <w:r w:rsidRPr="00B05794">
              <w:rPr>
                <w:i/>
                <w:lang w:eastAsia="pl-PL"/>
              </w:rPr>
              <w:t>Credit Suisse Group</w:t>
            </w:r>
            <w:r w:rsidRPr="00B05794">
              <w:rPr>
                <w:lang w:eastAsia="pl-PL"/>
              </w:rPr>
              <w:t xml:space="preserve"> </w:t>
            </w:r>
            <w:r w:rsidRPr="00B05794">
              <w:rPr>
                <w:i/>
                <w:lang w:eastAsia="pl-PL"/>
              </w:rPr>
              <w:t xml:space="preserve">AG </w:t>
            </w:r>
            <w:r w:rsidRPr="00B05794">
              <w:rPr>
                <w:lang w:eastAsia="pl-PL"/>
              </w:rPr>
              <w:t>czy</w:t>
            </w:r>
            <w:r w:rsidRPr="00B05794">
              <w:rPr>
                <w:i/>
                <w:lang w:eastAsia="pl-PL"/>
              </w:rPr>
              <w:t xml:space="preserve"> Zürcher Kantonalbank</w:t>
            </w:r>
            <w:r w:rsidRPr="00B05794">
              <w:rPr>
                <w:lang w:eastAsia="pl-PL"/>
              </w:rPr>
              <w:t xml:space="preserve"> (np. emisja przeprowadzona w 2015 r. o wartości 500 mln </w:t>
            </w:r>
            <w:r w:rsidR="008B6636" w:rsidRPr="00B05794">
              <w:rPr>
                <w:lang w:eastAsia="pl-PL"/>
              </w:rPr>
              <w:t>euro</w:t>
            </w:r>
            <w:r w:rsidRPr="00B05794">
              <w:rPr>
                <w:lang w:eastAsia="pl-PL"/>
              </w:rPr>
              <w:t>)</w:t>
            </w:r>
            <w:r w:rsidRPr="00B05794">
              <w:rPr>
                <w:vertAlign w:val="superscript"/>
                <w:lang w:eastAsia="pl-PL"/>
              </w:rPr>
              <w:t xml:space="preserve">5 </w:t>
            </w:r>
            <w:r w:rsidRPr="00B05794">
              <w:rPr>
                <w:lang w:eastAsia="pl-PL"/>
              </w:rPr>
              <w:t>lub duńskiego banku hipotecznego Nykredit</w:t>
            </w:r>
            <w:r w:rsidR="00B50BFA" w:rsidRPr="00B05794">
              <w:rPr>
                <w:lang w:eastAsia="pl-PL"/>
              </w:rPr>
              <w:t>.</w:t>
            </w:r>
            <w:r w:rsidRPr="00B05794">
              <w:rPr>
                <w:vertAlign w:val="superscript"/>
                <w:lang w:eastAsia="pl-PL"/>
              </w:rPr>
              <w:t>6</w:t>
            </w:r>
            <w:r w:rsidRPr="00B05794">
              <w:rPr>
                <w:lang w:eastAsia="pl-PL"/>
              </w:rPr>
              <w:t xml:space="preserve"> </w:t>
            </w:r>
          </w:p>
          <w:p w14:paraId="1B637145" w14:textId="78D93A1E" w:rsidR="002238DD" w:rsidRPr="00EA55E1" w:rsidRDefault="005401EF">
            <w:pPr>
              <w:autoSpaceDE w:val="0"/>
              <w:autoSpaceDN w:val="0"/>
              <w:adjustRightInd w:val="0"/>
              <w:rPr>
                <w:sz w:val="10"/>
                <w:szCs w:val="10"/>
                <w:lang w:eastAsia="pl-PL"/>
              </w:rPr>
            </w:pPr>
            <w:r w:rsidRPr="00B05794">
              <w:rPr>
                <w:color w:val="000000"/>
              </w:rPr>
              <w:t xml:space="preserve">  </w:t>
            </w:r>
          </w:p>
          <w:p w14:paraId="5D34FCAF" w14:textId="2C7E8A5D" w:rsidR="005401EF" w:rsidRPr="00B05794" w:rsidRDefault="005401EF">
            <w:pPr>
              <w:rPr>
                <w:lang w:eastAsia="pl-PL"/>
              </w:rPr>
            </w:pPr>
            <w:r w:rsidRPr="00B05794">
              <w:rPr>
                <w:lang w:eastAsia="pl-PL"/>
              </w:rPr>
              <w:t xml:space="preserve">Obligacje </w:t>
            </w:r>
            <w:r w:rsidR="00354D9B" w:rsidRPr="00B05794">
              <w:rPr>
                <w:color w:val="000000"/>
              </w:rPr>
              <w:t xml:space="preserve">typu </w:t>
            </w:r>
            <w:r w:rsidR="00354D9B" w:rsidRPr="00B05794">
              <w:rPr>
                <w:i/>
              </w:rPr>
              <w:t xml:space="preserve">contingent convertibles </w:t>
            </w:r>
            <w:r w:rsidRPr="00B05794">
              <w:rPr>
                <w:lang w:eastAsia="pl-PL"/>
              </w:rPr>
              <w:t xml:space="preserve">mogą być emitowane także w celu ich klasyfikacji do środków własnych jako pozycji podstawowych środków własnych kategorii </w:t>
            </w:r>
            <w:r w:rsidR="004037D5" w:rsidRPr="00B05794">
              <w:rPr>
                <w:lang w:eastAsia="pl-PL"/>
              </w:rPr>
              <w:t xml:space="preserve">1, </w:t>
            </w:r>
            <w:r w:rsidRPr="00B05794">
              <w:rPr>
                <w:lang w:eastAsia="pl-PL"/>
              </w:rPr>
              <w:t xml:space="preserve">2 albo 3. </w:t>
            </w:r>
          </w:p>
          <w:p w14:paraId="45FB485B" w14:textId="77777777" w:rsidR="002238DD" w:rsidRPr="00B05794" w:rsidRDefault="005401EF">
            <w:pPr>
              <w:rPr>
                <w:lang w:eastAsia="pl-PL"/>
              </w:rPr>
            </w:pPr>
            <w:r w:rsidRPr="00B05794">
              <w:rPr>
                <w:lang w:eastAsia="pl-PL"/>
              </w:rPr>
              <w:t xml:space="preserve">Łączna wartość emisji obligacji RT1 CoCos dokonywanych przez europejskie zakłady ubezpieczeń i zakłady reasekuracji jest znacznie niższa niż wartość emisji instrumentów AT1 dokonywanych przez banki. Według danych zawartych na platformie </w:t>
            </w:r>
            <w:r w:rsidRPr="00B05794">
              <w:rPr>
                <w:i/>
                <w:lang w:eastAsia="pl-PL"/>
              </w:rPr>
              <w:t>Bloomberg</w:t>
            </w:r>
            <w:r w:rsidRPr="00B05794">
              <w:rPr>
                <w:lang w:eastAsia="pl-PL"/>
              </w:rPr>
              <w:t xml:space="preserve"> do dnia 11 marca 2020 r. podmioty europejskiego rynku ubezpieczeniowego dokonały 21 emisji obligacji RT1 CoCos. </w:t>
            </w:r>
          </w:p>
          <w:p w14:paraId="1519FEF1" w14:textId="0D8EEB8D" w:rsidR="005401EF" w:rsidRPr="00B05794" w:rsidRDefault="00DA1250">
            <w:pPr>
              <w:rPr>
                <w:lang w:eastAsia="pl-PL"/>
              </w:rPr>
            </w:pPr>
            <w:r w:rsidRPr="00B05794">
              <w:rPr>
                <w:lang w:eastAsia="pl-PL"/>
              </w:rPr>
              <w:t xml:space="preserve">Zidentyfikowane </w:t>
            </w:r>
            <w:r w:rsidR="00662AB4" w:rsidRPr="00B05794">
              <w:rPr>
                <w:lang w:eastAsia="pl-PL"/>
              </w:rPr>
              <w:t xml:space="preserve">emisje </w:t>
            </w:r>
            <w:r w:rsidR="005401EF" w:rsidRPr="00B05794">
              <w:rPr>
                <w:lang w:eastAsia="pl-PL"/>
              </w:rPr>
              <w:t xml:space="preserve">przeprowadziło 6 podmiotów z siedzibą w Wielkiej Brytanii, 4 podmioty z siedzibą w Holandii, 2 podmioty z siedzibą w Norwegii, 2 podmioty z siedzibą w Danii, 2 podmioty z siedzibą we Francji oraz 1 podmiot z </w:t>
            </w:r>
            <w:r w:rsidR="00B05794">
              <w:rPr>
                <w:lang w:eastAsia="pl-PL"/>
              </w:rPr>
              <w:t> </w:t>
            </w:r>
            <w:r w:rsidR="005401EF" w:rsidRPr="00B05794">
              <w:rPr>
                <w:lang w:eastAsia="pl-PL"/>
              </w:rPr>
              <w:t>siedzibą w Belgii, 1 podmiot z siedzibą w Szwecji i 1 podmiot z siedzibą w Luksemburgu</w:t>
            </w:r>
            <w:r w:rsidR="00B50BFA" w:rsidRPr="00B05794">
              <w:rPr>
                <w:lang w:eastAsia="pl-PL"/>
              </w:rPr>
              <w:t>.</w:t>
            </w:r>
            <w:r w:rsidR="004037D5" w:rsidRPr="00B05794" w:rsidDel="004037D5">
              <w:rPr>
                <w:vertAlign w:val="superscript"/>
                <w:lang w:eastAsia="pl-PL"/>
              </w:rPr>
              <w:t xml:space="preserve"> </w:t>
            </w:r>
          </w:p>
          <w:p w14:paraId="215627AA" w14:textId="77777777" w:rsidR="005401EF" w:rsidRPr="00EA55E1" w:rsidRDefault="005401EF">
            <w:pPr>
              <w:rPr>
                <w:color w:val="000000"/>
                <w:spacing w:val="-2"/>
                <w:sz w:val="10"/>
                <w:szCs w:val="10"/>
              </w:rPr>
            </w:pPr>
          </w:p>
          <w:p w14:paraId="4D36BC69" w14:textId="583E9597" w:rsidR="002238DD" w:rsidRPr="00B05794" w:rsidRDefault="004037D5">
            <w:pPr>
              <w:rPr>
                <w:color w:val="000000"/>
                <w:spacing w:val="-2"/>
              </w:rPr>
            </w:pPr>
            <w:r w:rsidRPr="00B05794">
              <w:rPr>
                <w:color w:val="000000"/>
                <w:spacing w:val="-2"/>
              </w:rPr>
              <w:t xml:space="preserve">Wśród przykładowych emisji można wskazać emisję </w:t>
            </w:r>
            <w:r w:rsidR="005401EF" w:rsidRPr="00B05794">
              <w:rPr>
                <w:color w:val="000000"/>
                <w:spacing w:val="-2"/>
              </w:rPr>
              <w:t xml:space="preserve">obligacji RT1 CoCos </w:t>
            </w:r>
            <w:r w:rsidRPr="00B05794">
              <w:rPr>
                <w:color w:val="000000"/>
                <w:spacing w:val="-2"/>
              </w:rPr>
              <w:t xml:space="preserve">dokonaną </w:t>
            </w:r>
            <w:r w:rsidR="005401EF" w:rsidRPr="00B05794">
              <w:rPr>
                <w:color w:val="000000"/>
                <w:spacing w:val="-2"/>
              </w:rPr>
              <w:t xml:space="preserve">we wrześniu 2016 r. </w:t>
            </w:r>
            <w:bookmarkStart w:id="4" w:name="RANGE!C7"/>
            <w:bookmarkEnd w:id="4"/>
            <w:r w:rsidR="005401EF" w:rsidRPr="00B05794">
              <w:rPr>
                <w:i/>
                <w:color w:val="000000"/>
                <w:spacing w:val="-2"/>
              </w:rPr>
              <w:t>Gjensidige Forsikring ASA</w:t>
            </w:r>
            <w:r w:rsidR="005401EF" w:rsidRPr="00B05794">
              <w:rPr>
                <w:color w:val="000000"/>
                <w:spacing w:val="-2"/>
              </w:rPr>
              <w:t xml:space="preserve"> z siedzibą w Norwegii (wartość emisji 1 mld </w:t>
            </w:r>
            <w:r w:rsidR="00DA1250" w:rsidRPr="00B05794">
              <w:rPr>
                <w:color w:val="000000"/>
                <w:spacing w:val="-2"/>
              </w:rPr>
              <w:t>koron</w:t>
            </w:r>
            <w:r w:rsidR="005401EF" w:rsidRPr="00B05794">
              <w:rPr>
                <w:color w:val="000000"/>
                <w:spacing w:val="-2"/>
              </w:rPr>
              <w:t xml:space="preserve">). </w:t>
            </w:r>
          </w:p>
          <w:p w14:paraId="7F52F3E5" w14:textId="75072D90" w:rsidR="002238DD" w:rsidRPr="00B05794" w:rsidRDefault="005401EF">
            <w:pPr>
              <w:rPr>
                <w:color w:val="000000"/>
                <w:spacing w:val="-2"/>
              </w:rPr>
            </w:pPr>
            <w:r w:rsidRPr="00B05794">
              <w:rPr>
                <w:color w:val="000000"/>
                <w:spacing w:val="-2"/>
              </w:rPr>
              <w:t xml:space="preserve">W 2017 r. obligacje RT1 </w:t>
            </w:r>
            <w:r w:rsidR="00BB64EB" w:rsidRPr="00B05794">
              <w:rPr>
                <w:color w:val="000000"/>
                <w:spacing w:val="-2"/>
              </w:rPr>
              <w:t xml:space="preserve">CoCos </w:t>
            </w:r>
            <w:r w:rsidRPr="00B05794">
              <w:rPr>
                <w:color w:val="000000"/>
                <w:spacing w:val="-2"/>
              </w:rPr>
              <w:t xml:space="preserve">zostały wyemitowane przez </w:t>
            </w:r>
            <w:r w:rsidRPr="00B05794">
              <w:rPr>
                <w:i/>
                <w:color w:val="000000"/>
                <w:spacing w:val="-2"/>
              </w:rPr>
              <w:t>ASR Netherland NV</w:t>
            </w:r>
            <w:r w:rsidRPr="00B05794">
              <w:rPr>
                <w:color w:val="000000"/>
                <w:spacing w:val="-2"/>
              </w:rPr>
              <w:t xml:space="preserve"> z siedzibą w Holandii (wartość emisji 300 mln </w:t>
            </w:r>
            <w:r w:rsidR="008B6636" w:rsidRPr="00B05794">
              <w:rPr>
                <w:color w:val="000000"/>
                <w:spacing w:val="-2"/>
              </w:rPr>
              <w:t>euro</w:t>
            </w:r>
            <w:r w:rsidRPr="00B05794">
              <w:rPr>
                <w:color w:val="000000"/>
                <w:spacing w:val="-2"/>
              </w:rPr>
              <w:t xml:space="preserve">), </w:t>
            </w:r>
            <w:r w:rsidRPr="00B05794">
              <w:rPr>
                <w:i/>
                <w:color w:val="000000"/>
                <w:spacing w:val="-2"/>
              </w:rPr>
              <w:t>Direct Line</w:t>
            </w:r>
            <w:r w:rsidRPr="00B05794">
              <w:rPr>
                <w:color w:val="000000"/>
                <w:spacing w:val="-2"/>
              </w:rPr>
              <w:t xml:space="preserve"> i </w:t>
            </w:r>
            <w:r w:rsidRPr="00B05794">
              <w:rPr>
                <w:i/>
                <w:color w:val="000000"/>
                <w:spacing w:val="-2"/>
              </w:rPr>
              <w:t>RSA Insurance Group PLC</w:t>
            </w:r>
            <w:r w:rsidRPr="00B05794">
              <w:rPr>
                <w:color w:val="000000"/>
                <w:spacing w:val="-2"/>
              </w:rPr>
              <w:t xml:space="preserve"> z siedzibą w Wielkiej Brytanii (wartość emisji odpowiednio 2,5 mld </w:t>
            </w:r>
            <w:r w:rsidR="008B6636" w:rsidRPr="00B05794">
              <w:rPr>
                <w:color w:val="000000"/>
                <w:spacing w:val="-2"/>
              </w:rPr>
              <w:t xml:space="preserve">koron </w:t>
            </w:r>
            <w:r w:rsidR="00D57250" w:rsidRPr="00B05794">
              <w:rPr>
                <w:color w:val="000000"/>
                <w:spacing w:val="-2"/>
              </w:rPr>
              <w:t xml:space="preserve"> szwedzkich i 650 mln koron duńskich</w:t>
            </w:r>
            <w:r w:rsidRPr="00B05794">
              <w:rPr>
                <w:color w:val="000000"/>
                <w:spacing w:val="-2"/>
              </w:rPr>
              <w:t xml:space="preserve">) oraz </w:t>
            </w:r>
            <w:r w:rsidRPr="00B05794">
              <w:rPr>
                <w:i/>
                <w:color w:val="000000"/>
                <w:spacing w:val="-2"/>
              </w:rPr>
              <w:t>Protector Forsikring ASA</w:t>
            </w:r>
            <w:r w:rsidRPr="00B05794">
              <w:rPr>
                <w:color w:val="000000"/>
                <w:spacing w:val="-2"/>
              </w:rPr>
              <w:t xml:space="preserve"> z siedzibą w Norwegii (350 mln </w:t>
            </w:r>
            <w:r w:rsidR="002238DD" w:rsidRPr="00B05794">
              <w:rPr>
                <w:color w:val="000000"/>
                <w:spacing w:val="-2"/>
              </w:rPr>
              <w:t>koron</w:t>
            </w:r>
            <w:r w:rsidRPr="00B05794">
              <w:rPr>
                <w:color w:val="000000"/>
                <w:spacing w:val="-2"/>
              </w:rPr>
              <w:t xml:space="preserve">). </w:t>
            </w:r>
          </w:p>
          <w:p w14:paraId="7F437704" w14:textId="58DD25A2" w:rsidR="002238DD" w:rsidRPr="00B05794" w:rsidRDefault="005401EF">
            <w:pPr>
              <w:rPr>
                <w:color w:val="000000"/>
                <w:spacing w:val="-2"/>
              </w:rPr>
            </w:pPr>
            <w:r w:rsidRPr="00B05794">
              <w:rPr>
                <w:color w:val="000000"/>
                <w:spacing w:val="-2"/>
              </w:rPr>
              <w:t xml:space="preserve">W 2018 r. miały miejsce emisje obligacji RT1 CoCos dokonane przez </w:t>
            </w:r>
            <w:r w:rsidRPr="00B05794">
              <w:rPr>
                <w:i/>
                <w:color w:val="000000"/>
                <w:spacing w:val="-2"/>
              </w:rPr>
              <w:t>Scor SE</w:t>
            </w:r>
            <w:r w:rsidRPr="00B05794">
              <w:rPr>
                <w:color w:val="000000"/>
                <w:spacing w:val="-2"/>
              </w:rPr>
              <w:t xml:space="preserve"> i </w:t>
            </w:r>
            <w:r w:rsidRPr="00B05794">
              <w:rPr>
                <w:i/>
                <w:color w:val="000000"/>
                <w:spacing w:val="-2"/>
              </w:rPr>
              <w:t>CNP Assurances S.A.</w:t>
            </w:r>
            <w:r w:rsidRPr="00B05794">
              <w:rPr>
                <w:color w:val="000000"/>
                <w:spacing w:val="-2"/>
              </w:rPr>
              <w:t xml:space="preserve"> z siedzibą we Francji (wartość emisji odpowiednio 625 mln </w:t>
            </w:r>
            <w:r w:rsidR="002238DD" w:rsidRPr="00B05794">
              <w:rPr>
                <w:color w:val="000000"/>
                <w:spacing w:val="-2"/>
              </w:rPr>
              <w:t xml:space="preserve">dolarów </w:t>
            </w:r>
            <w:r w:rsidRPr="00B05794">
              <w:rPr>
                <w:color w:val="000000"/>
                <w:spacing w:val="-2"/>
              </w:rPr>
              <w:t xml:space="preserve">i 500 mln </w:t>
            </w:r>
            <w:r w:rsidR="002238DD" w:rsidRPr="00B05794">
              <w:rPr>
                <w:color w:val="000000"/>
                <w:spacing w:val="-2"/>
              </w:rPr>
              <w:t>euro</w:t>
            </w:r>
            <w:r w:rsidRPr="00B05794">
              <w:rPr>
                <w:color w:val="000000"/>
                <w:spacing w:val="-2"/>
              </w:rPr>
              <w:t xml:space="preserve">), </w:t>
            </w:r>
            <w:r w:rsidRPr="00B05794">
              <w:rPr>
                <w:i/>
                <w:color w:val="000000"/>
                <w:spacing w:val="-2"/>
              </w:rPr>
              <w:t>Tryg Forsikring</w:t>
            </w:r>
            <w:r w:rsidRPr="00B05794">
              <w:rPr>
                <w:color w:val="000000"/>
                <w:spacing w:val="-2"/>
              </w:rPr>
              <w:t xml:space="preserve"> z siedzibą w Danii (700 mln </w:t>
            </w:r>
            <w:r w:rsidR="002238DD" w:rsidRPr="00B05794">
              <w:rPr>
                <w:color w:val="000000"/>
                <w:spacing w:val="-2"/>
              </w:rPr>
              <w:t>koron</w:t>
            </w:r>
            <w:r w:rsidRPr="00B05794">
              <w:rPr>
                <w:color w:val="000000"/>
                <w:spacing w:val="-2"/>
              </w:rPr>
              <w:t xml:space="preserve">), </w:t>
            </w:r>
            <w:r w:rsidRPr="00B05794">
              <w:rPr>
                <w:i/>
                <w:color w:val="000000"/>
                <w:spacing w:val="-2"/>
              </w:rPr>
              <w:t>Vivat NV</w:t>
            </w:r>
            <w:r w:rsidRPr="00B05794">
              <w:rPr>
                <w:color w:val="000000"/>
                <w:spacing w:val="-2"/>
              </w:rPr>
              <w:t xml:space="preserve"> z siedzibą w Holandii (300 mln </w:t>
            </w:r>
            <w:r w:rsidR="008B6636" w:rsidRPr="00B05794">
              <w:rPr>
                <w:color w:val="000000"/>
                <w:spacing w:val="-2"/>
              </w:rPr>
              <w:t>euro</w:t>
            </w:r>
            <w:r w:rsidRPr="00B05794">
              <w:rPr>
                <w:color w:val="000000"/>
                <w:spacing w:val="-2"/>
              </w:rPr>
              <w:t xml:space="preserve">), </w:t>
            </w:r>
            <w:r w:rsidRPr="00B05794">
              <w:rPr>
                <w:i/>
                <w:color w:val="000000"/>
                <w:spacing w:val="-2"/>
              </w:rPr>
              <w:t>Rothesa Life PLC</w:t>
            </w:r>
            <w:r w:rsidRPr="00B05794">
              <w:rPr>
                <w:color w:val="000000"/>
                <w:spacing w:val="-2"/>
              </w:rPr>
              <w:t xml:space="preserve"> i </w:t>
            </w:r>
            <w:r w:rsidRPr="00B05794">
              <w:rPr>
                <w:i/>
                <w:color w:val="000000"/>
                <w:spacing w:val="-2"/>
              </w:rPr>
              <w:t xml:space="preserve">Phoenix Group </w:t>
            </w:r>
            <w:r w:rsidRPr="00B05794">
              <w:rPr>
                <w:color w:val="000000"/>
                <w:spacing w:val="-2"/>
              </w:rPr>
              <w:t xml:space="preserve">z siedzibą w Wielkiej Brytanii (wartość emisji odpowiednio 350 mln </w:t>
            </w:r>
            <w:r w:rsidR="008B6636" w:rsidRPr="00B05794">
              <w:rPr>
                <w:color w:val="000000"/>
                <w:spacing w:val="-2"/>
              </w:rPr>
              <w:t xml:space="preserve">funtów </w:t>
            </w:r>
            <w:r w:rsidRPr="00B05794">
              <w:rPr>
                <w:color w:val="000000"/>
                <w:spacing w:val="-2"/>
              </w:rPr>
              <w:t xml:space="preserve">i 500 mln </w:t>
            </w:r>
            <w:r w:rsidR="008B6636" w:rsidRPr="00B05794">
              <w:rPr>
                <w:color w:val="000000"/>
                <w:spacing w:val="-2"/>
              </w:rPr>
              <w:t>funtów</w:t>
            </w:r>
            <w:r w:rsidRPr="00B05794">
              <w:rPr>
                <w:color w:val="000000"/>
                <w:spacing w:val="-2"/>
              </w:rPr>
              <w:t xml:space="preserve">). </w:t>
            </w:r>
          </w:p>
          <w:p w14:paraId="50F66C94" w14:textId="4825A839" w:rsidR="002238DD" w:rsidRPr="00B05794" w:rsidRDefault="005401EF">
            <w:pPr>
              <w:rPr>
                <w:color w:val="000000"/>
                <w:spacing w:val="-2"/>
              </w:rPr>
            </w:pPr>
            <w:r w:rsidRPr="00B05794">
              <w:rPr>
                <w:color w:val="000000"/>
                <w:spacing w:val="-2"/>
              </w:rPr>
              <w:t xml:space="preserve">W roku 2019 r. emisje obligacji RT1CoCos przeprowadziły </w:t>
            </w:r>
            <w:r w:rsidRPr="00B05794">
              <w:rPr>
                <w:i/>
                <w:color w:val="000000"/>
                <w:spacing w:val="-2"/>
              </w:rPr>
              <w:t>Just Group PLC</w:t>
            </w:r>
            <w:r w:rsidRPr="00B05794">
              <w:rPr>
                <w:color w:val="000000"/>
                <w:spacing w:val="-2"/>
              </w:rPr>
              <w:t xml:space="preserve"> i </w:t>
            </w:r>
            <w:r w:rsidRPr="00B05794">
              <w:rPr>
                <w:i/>
                <w:color w:val="000000"/>
                <w:spacing w:val="-2"/>
              </w:rPr>
              <w:t>Pension Insurance Corporation LPC</w:t>
            </w:r>
            <w:r w:rsidRPr="00B05794">
              <w:rPr>
                <w:color w:val="000000"/>
                <w:spacing w:val="-2"/>
              </w:rPr>
              <w:t xml:space="preserve"> z siedzibą w Wielkiej Brytanii (wartość emisji odpowiednio 300 mln </w:t>
            </w:r>
            <w:r w:rsidR="002238DD" w:rsidRPr="00B05794">
              <w:rPr>
                <w:color w:val="000000"/>
                <w:spacing w:val="-2"/>
              </w:rPr>
              <w:t>funtów</w:t>
            </w:r>
            <w:r w:rsidR="008B6636" w:rsidRPr="00B05794">
              <w:rPr>
                <w:color w:val="000000"/>
                <w:spacing w:val="-2"/>
              </w:rPr>
              <w:t xml:space="preserve"> </w:t>
            </w:r>
            <w:r w:rsidRPr="00B05794">
              <w:rPr>
                <w:color w:val="000000"/>
                <w:spacing w:val="-2"/>
              </w:rPr>
              <w:t xml:space="preserve">oraz 450 mln </w:t>
            </w:r>
            <w:r w:rsidR="002238DD" w:rsidRPr="00B05794">
              <w:rPr>
                <w:color w:val="000000"/>
                <w:spacing w:val="-2"/>
              </w:rPr>
              <w:t>funtów</w:t>
            </w:r>
            <w:r w:rsidR="008B6636" w:rsidRPr="00B05794">
              <w:rPr>
                <w:color w:val="000000"/>
                <w:spacing w:val="-2"/>
              </w:rPr>
              <w:t xml:space="preserve">) </w:t>
            </w:r>
            <w:r w:rsidRPr="00B05794">
              <w:rPr>
                <w:color w:val="000000"/>
                <w:spacing w:val="-2"/>
              </w:rPr>
              <w:t xml:space="preserve">, </w:t>
            </w:r>
            <w:r w:rsidRPr="00B05794">
              <w:rPr>
                <w:i/>
                <w:color w:val="000000"/>
                <w:spacing w:val="-2"/>
              </w:rPr>
              <w:t>Aegon NV</w:t>
            </w:r>
            <w:r w:rsidRPr="00B05794">
              <w:rPr>
                <w:color w:val="000000"/>
                <w:spacing w:val="-2"/>
              </w:rPr>
              <w:t xml:space="preserve"> i </w:t>
            </w:r>
            <w:r w:rsidRPr="00B05794">
              <w:rPr>
                <w:i/>
                <w:color w:val="000000"/>
                <w:spacing w:val="-2"/>
              </w:rPr>
              <w:t>Achmea BV</w:t>
            </w:r>
            <w:r w:rsidRPr="00B05794">
              <w:rPr>
                <w:color w:val="000000"/>
                <w:spacing w:val="-2"/>
              </w:rPr>
              <w:t xml:space="preserve"> z siedzibą w Holandii (wartość emisji po 500 mln </w:t>
            </w:r>
            <w:r w:rsidR="002238DD" w:rsidRPr="00B05794">
              <w:rPr>
                <w:color w:val="000000"/>
                <w:spacing w:val="-2"/>
              </w:rPr>
              <w:t>euro</w:t>
            </w:r>
            <w:r w:rsidRPr="00B05794">
              <w:rPr>
                <w:color w:val="000000"/>
                <w:spacing w:val="-2"/>
              </w:rPr>
              <w:t xml:space="preserve">) oraz </w:t>
            </w:r>
            <w:r w:rsidRPr="00B05794">
              <w:rPr>
                <w:i/>
                <w:color w:val="000000"/>
                <w:spacing w:val="-2"/>
              </w:rPr>
              <w:t>La Mondial Europartner</w:t>
            </w:r>
            <w:r w:rsidRPr="00B05794">
              <w:rPr>
                <w:color w:val="000000"/>
                <w:spacing w:val="-2"/>
              </w:rPr>
              <w:t xml:space="preserve"> z siedzibą w Luksemburgu (500 mln </w:t>
            </w:r>
            <w:r w:rsidR="002238DD" w:rsidRPr="00B05794">
              <w:rPr>
                <w:color w:val="000000"/>
                <w:spacing w:val="-2"/>
              </w:rPr>
              <w:t>euro</w:t>
            </w:r>
            <w:r w:rsidR="008B6636" w:rsidRPr="00B05794">
              <w:rPr>
                <w:color w:val="000000"/>
                <w:spacing w:val="-2"/>
              </w:rPr>
              <w:t>)</w:t>
            </w:r>
            <w:r w:rsidRPr="00B05794">
              <w:rPr>
                <w:color w:val="000000"/>
                <w:spacing w:val="-2"/>
              </w:rPr>
              <w:t xml:space="preserve"> i </w:t>
            </w:r>
            <w:r w:rsidRPr="00B05794">
              <w:rPr>
                <w:i/>
                <w:color w:val="000000"/>
                <w:spacing w:val="-2"/>
              </w:rPr>
              <w:t>Ageas SA/NV</w:t>
            </w:r>
            <w:r w:rsidRPr="00B05794">
              <w:rPr>
                <w:color w:val="000000"/>
                <w:spacing w:val="-2"/>
              </w:rPr>
              <w:t xml:space="preserve"> z siedzibą w Belgii (750 mln </w:t>
            </w:r>
            <w:r w:rsidR="002238DD" w:rsidRPr="00B05794">
              <w:rPr>
                <w:color w:val="000000"/>
                <w:spacing w:val="-2"/>
              </w:rPr>
              <w:t>euro</w:t>
            </w:r>
            <w:r w:rsidRPr="00B05794">
              <w:rPr>
                <w:color w:val="000000"/>
                <w:spacing w:val="-2"/>
              </w:rPr>
              <w:t xml:space="preserve">). </w:t>
            </w:r>
          </w:p>
          <w:p w14:paraId="013C5C82" w14:textId="58288006" w:rsidR="005401EF" w:rsidRPr="00B05794" w:rsidRDefault="005401EF">
            <w:r w:rsidRPr="00B05794">
              <w:rPr>
                <w:color w:val="000000"/>
                <w:spacing w:val="-2"/>
              </w:rPr>
              <w:t xml:space="preserve">W 2020 r. emitentem obligacji RT CoCos była ponownie </w:t>
            </w:r>
            <w:r w:rsidRPr="00B05794">
              <w:rPr>
                <w:i/>
                <w:color w:val="000000"/>
                <w:spacing w:val="-2"/>
              </w:rPr>
              <w:t>Phoenix Group</w:t>
            </w:r>
            <w:r w:rsidRPr="00B05794">
              <w:rPr>
                <w:color w:val="000000"/>
                <w:spacing w:val="-2"/>
              </w:rPr>
              <w:t xml:space="preserve"> z siedzibą w Wielkiej Brytanii (wartość emisji</w:t>
            </w:r>
            <w:r w:rsidRPr="00B05794">
              <w:t xml:space="preserve"> </w:t>
            </w:r>
            <w:r w:rsidRPr="00B05794">
              <w:rPr>
                <w:color w:val="000000"/>
                <w:spacing w:val="-2"/>
              </w:rPr>
              <w:t xml:space="preserve">750 mln </w:t>
            </w:r>
            <w:r w:rsidR="002238DD" w:rsidRPr="00B05794">
              <w:rPr>
                <w:color w:val="000000"/>
                <w:spacing w:val="-2"/>
              </w:rPr>
              <w:t>dolarów</w:t>
            </w:r>
            <w:r w:rsidRPr="00B05794">
              <w:rPr>
                <w:color w:val="000000"/>
                <w:spacing w:val="-2"/>
              </w:rPr>
              <w:t>).</w:t>
            </w:r>
          </w:p>
          <w:p w14:paraId="03B5A01A" w14:textId="58161989" w:rsidR="005401EF" w:rsidRPr="00B05794" w:rsidRDefault="005401EF">
            <w:pPr>
              <w:rPr>
                <w:color w:val="000000"/>
                <w:spacing w:val="-2"/>
              </w:rPr>
            </w:pPr>
            <w:r w:rsidRPr="00B05794">
              <w:t>E</w:t>
            </w:r>
            <w:r w:rsidRPr="00B05794">
              <w:rPr>
                <w:color w:val="000000"/>
                <w:spacing w:val="-2"/>
              </w:rPr>
              <w:t>misje obligacji RT1 CoCos w przypadku poszczególnych ubezpieczycieli miały na celu poprawę wskaźników wypłacalności, pokrycie kosztów restrukturyzacji albo sfinansowanie połączenia zakładów lub przejęcia innego zakładu ubezpieczeń</w:t>
            </w:r>
            <w:r w:rsidRPr="00B05794">
              <w:rPr>
                <w:color w:val="000000"/>
                <w:spacing w:val="-2"/>
                <w:vertAlign w:val="superscript"/>
              </w:rPr>
              <w:t>8</w:t>
            </w:r>
            <w:r w:rsidRPr="00B05794">
              <w:rPr>
                <w:color w:val="000000"/>
                <w:spacing w:val="-2"/>
              </w:rPr>
              <w:t>.</w:t>
            </w:r>
          </w:p>
          <w:p w14:paraId="69CBB3C0" w14:textId="77777777" w:rsidR="005401EF" w:rsidRPr="00EA55E1" w:rsidRDefault="005401EF">
            <w:pPr>
              <w:rPr>
                <w:sz w:val="10"/>
                <w:szCs w:val="10"/>
                <w:lang w:eastAsia="pl-PL"/>
              </w:rPr>
            </w:pPr>
          </w:p>
          <w:p w14:paraId="246400B7" w14:textId="73216118" w:rsidR="002238DD" w:rsidRPr="00B05794" w:rsidRDefault="002238DD">
            <w:pPr>
              <w:rPr>
                <w:lang w:eastAsia="pl-PL"/>
              </w:rPr>
            </w:pPr>
            <w:r w:rsidRPr="00B05794">
              <w:rPr>
                <w:lang w:eastAsia="pl-PL"/>
              </w:rPr>
              <w:t>Powyższe dane pokazują, że d</w:t>
            </w:r>
            <w:r w:rsidR="005401EF" w:rsidRPr="00B05794">
              <w:rPr>
                <w:lang w:eastAsia="pl-PL"/>
              </w:rPr>
              <w:t xml:space="preserve">otychczas miały miejsce pojedyncze emisje instrumentów finansowych w celu zakwalifikowania ich do środków własnych jako pozycji podstawowych środków własnych kategorii 2. </w:t>
            </w:r>
          </w:p>
          <w:p w14:paraId="12F1213D" w14:textId="62DE9028" w:rsidR="002238DD" w:rsidRPr="00B05794" w:rsidRDefault="005401EF">
            <w:pPr>
              <w:rPr>
                <w:lang w:eastAsia="pl-PL"/>
              </w:rPr>
            </w:pPr>
            <w:r w:rsidRPr="00B05794">
              <w:rPr>
                <w:lang w:eastAsia="pl-PL"/>
              </w:rPr>
              <w:t xml:space="preserve">Emisji takich instrumentów dokonały </w:t>
            </w:r>
            <w:r w:rsidR="002238DD" w:rsidRPr="00B05794">
              <w:rPr>
                <w:lang w:eastAsia="pl-PL"/>
              </w:rPr>
              <w:t xml:space="preserve">m. in. takie </w:t>
            </w:r>
            <w:r w:rsidRPr="00B05794">
              <w:rPr>
                <w:lang w:eastAsia="pl-PL"/>
              </w:rPr>
              <w:t xml:space="preserve">podmioty </w:t>
            </w:r>
            <w:r w:rsidR="002238DD" w:rsidRPr="00B05794">
              <w:rPr>
                <w:lang w:eastAsia="pl-PL"/>
              </w:rPr>
              <w:t xml:space="preserve">jak </w:t>
            </w:r>
            <w:r w:rsidRPr="00B05794">
              <w:rPr>
                <w:i/>
                <w:lang w:eastAsia="pl-PL"/>
              </w:rPr>
              <w:t>Aegon NV</w:t>
            </w:r>
            <w:r w:rsidRPr="00B05794">
              <w:rPr>
                <w:lang w:eastAsia="pl-PL"/>
              </w:rPr>
              <w:t xml:space="preserve"> z siedzibą w Holandii, </w:t>
            </w:r>
            <w:r w:rsidRPr="00B05794">
              <w:rPr>
                <w:i/>
                <w:lang w:eastAsia="pl-PL"/>
              </w:rPr>
              <w:t>Phoenix Group Holdings PLC</w:t>
            </w:r>
            <w:r w:rsidRPr="00B05794">
              <w:rPr>
                <w:lang w:eastAsia="pl-PL"/>
              </w:rPr>
              <w:t xml:space="preserve"> czy </w:t>
            </w:r>
            <w:r w:rsidRPr="00B05794">
              <w:rPr>
                <w:i/>
                <w:lang w:eastAsia="pl-PL"/>
              </w:rPr>
              <w:t>Prudential PLC</w:t>
            </w:r>
            <w:r w:rsidRPr="00B05794">
              <w:rPr>
                <w:lang w:eastAsia="pl-PL"/>
              </w:rPr>
              <w:t xml:space="preserve"> </w:t>
            </w:r>
            <w:r w:rsidR="00B50BFA" w:rsidRPr="00B05794">
              <w:rPr>
                <w:lang w:eastAsia="pl-PL"/>
              </w:rPr>
              <w:t>z siedzibą w Wielkiej Brytanii.</w:t>
            </w:r>
            <w:r w:rsidRPr="00B05794">
              <w:rPr>
                <w:vertAlign w:val="superscript"/>
                <w:lang w:eastAsia="pl-PL"/>
              </w:rPr>
              <w:t>9</w:t>
            </w:r>
            <w:r w:rsidRPr="00B05794">
              <w:rPr>
                <w:lang w:eastAsia="pl-PL"/>
              </w:rPr>
              <w:t xml:space="preserve"> </w:t>
            </w:r>
          </w:p>
          <w:p w14:paraId="46BBBBD4" w14:textId="0F4D443F" w:rsidR="005401EF" w:rsidRPr="00B05794" w:rsidRDefault="005401EF">
            <w:pPr>
              <w:rPr>
                <w:lang w:val="en-US" w:eastAsia="pl-PL"/>
              </w:rPr>
            </w:pPr>
            <w:r w:rsidRPr="00B05794">
              <w:rPr>
                <w:lang w:eastAsia="pl-PL"/>
              </w:rPr>
              <w:t>Wśród przykładów emisji instrumentów</w:t>
            </w:r>
            <w:r w:rsidRPr="00B05794">
              <w:t xml:space="preserve"> finansowych dokonanych przez podmioty ubezpieczeniowe w celu zakwalifikowania ich do środków własnych jako pozycji </w:t>
            </w:r>
            <w:r w:rsidRPr="00B05794">
              <w:rPr>
                <w:lang w:eastAsia="pl-PL"/>
              </w:rPr>
              <w:t>podstawowych środków własnych kategorii 3 można wskazać</w:t>
            </w:r>
            <w:r w:rsidR="002238DD" w:rsidRPr="00B05794">
              <w:rPr>
                <w:lang w:eastAsia="pl-PL"/>
              </w:rPr>
              <w:t xml:space="preserve"> emisję </w:t>
            </w:r>
            <w:r w:rsidRPr="00B05794">
              <w:rPr>
                <w:i/>
                <w:lang w:eastAsia="pl-PL"/>
              </w:rPr>
              <w:t xml:space="preserve">CNP Assurance </w:t>
            </w:r>
            <w:r w:rsidRPr="00B05794">
              <w:rPr>
                <w:lang w:eastAsia="pl-PL"/>
              </w:rPr>
              <w:t>z siedzibą we Francji</w:t>
            </w:r>
            <w:r w:rsidR="002238DD" w:rsidRPr="00B05794">
              <w:rPr>
                <w:lang w:eastAsia="pl-PL"/>
              </w:rPr>
              <w:t xml:space="preserve">, czy </w:t>
            </w:r>
            <w:r w:rsidRPr="00B05794">
              <w:rPr>
                <w:lang w:eastAsia="pl-PL"/>
              </w:rPr>
              <w:t>emisje przeprowadzone przez emitentów z Wielkiej Brytanii</w:t>
            </w:r>
            <w:r w:rsidR="008B6636" w:rsidRPr="00B05794">
              <w:rPr>
                <w:lang w:eastAsia="pl-PL"/>
              </w:rPr>
              <w:t xml:space="preserve">, tj. </w:t>
            </w:r>
            <w:r w:rsidRPr="00B05794">
              <w:rPr>
                <w:lang w:eastAsia="pl-PL"/>
              </w:rPr>
              <w:t xml:space="preserve"> </w:t>
            </w:r>
            <w:r w:rsidRPr="00B05794">
              <w:rPr>
                <w:i/>
                <w:lang w:val="en-US" w:eastAsia="pl-PL"/>
              </w:rPr>
              <w:t>Phoenix Group Holdings PLC</w:t>
            </w:r>
            <w:r w:rsidR="00B50BFA" w:rsidRPr="00B05794">
              <w:rPr>
                <w:lang w:val="en-US" w:eastAsia="pl-PL"/>
              </w:rPr>
              <w:t xml:space="preserve"> </w:t>
            </w:r>
            <w:r w:rsidRPr="00B05794">
              <w:rPr>
                <w:lang w:val="en-US" w:eastAsia="pl-PL"/>
              </w:rPr>
              <w:t xml:space="preserve">oraz </w:t>
            </w:r>
            <w:r w:rsidRPr="00B05794">
              <w:rPr>
                <w:i/>
                <w:lang w:val="en-US" w:eastAsia="pl-PL"/>
              </w:rPr>
              <w:t>Just Group PLC</w:t>
            </w:r>
            <w:r w:rsidR="002035FD" w:rsidRPr="00B05794">
              <w:rPr>
                <w:lang w:val="en-US" w:eastAsia="pl-PL"/>
              </w:rPr>
              <w:t>.</w:t>
            </w:r>
          </w:p>
          <w:p w14:paraId="2B217DE6" w14:textId="77777777" w:rsidR="005401EF" w:rsidRPr="00B50BFA" w:rsidRDefault="005401EF">
            <w:pPr>
              <w:rPr>
                <w:szCs w:val="20"/>
                <w:lang w:val="en-US" w:eastAsia="pl-PL"/>
              </w:rPr>
            </w:pPr>
          </w:p>
          <w:p w14:paraId="3EE797C7" w14:textId="5356D129" w:rsidR="005401EF" w:rsidRPr="0004139F" w:rsidRDefault="005401EF">
            <w:pPr>
              <w:outlineLvl w:val="0"/>
              <w:rPr>
                <w:i/>
                <w:sz w:val="18"/>
                <w:szCs w:val="18"/>
                <w:lang w:val="en-US" w:eastAsia="pl-PL"/>
              </w:rPr>
            </w:pPr>
            <w:r w:rsidRPr="0004139F">
              <w:rPr>
                <w:i/>
                <w:sz w:val="18"/>
                <w:szCs w:val="18"/>
                <w:lang w:val="en-US" w:eastAsia="pl-PL"/>
              </w:rPr>
              <w:t xml:space="preserve">Źródło danych: </w:t>
            </w:r>
          </w:p>
          <w:p w14:paraId="55B6821C" w14:textId="4513E10D" w:rsidR="005401EF" w:rsidRPr="0004139F" w:rsidRDefault="005401EF" w:rsidP="00E41BD2">
            <w:pPr>
              <w:ind w:hanging="142"/>
              <w:outlineLvl w:val="0"/>
              <w:rPr>
                <w:sz w:val="18"/>
                <w:szCs w:val="18"/>
                <w:lang w:eastAsia="pl-PL"/>
              </w:rPr>
            </w:pPr>
            <w:r w:rsidRPr="0004139F">
              <w:rPr>
                <w:sz w:val="18"/>
                <w:szCs w:val="18"/>
                <w:vertAlign w:val="superscript"/>
                <w:lang w:val="en-US" w:eastAsia="pl-PL"/>
              </w:rPr>
              <w:t xml:space="preserve">  </w:t>
            </w:r>
            <w:r w:rsidR="0004139F">
              <w:rPr>
                <w:sz w:val="18"/>
                <w:szCs w:val="18"/>
                <w:vertAlign w:val="superscript"/>
                <w:lang w:val="en-US" w:eastAsia="pl-PL"/>
              </w:rPr>
              <w:t xml:space="preserve">  </w:t>
            </w:r>
            <w:r w:rsidRPr="0004139F">
              <w:rPr>
                <w:sz w:val="18"/>
                <w:szCs w:val="18"/>
                <w:vertAlign w:val="superscript"/>
                <w:lang w:eastAsia="pl-PL"/>
              </w:rPr>
              <w:t>1</w:t>
            </w:r>
            <w:r w:rsidRPr="0004139F">
              <w:rPr>
                <w:sz w:val="18"/>
                <w:szCs w:val="18"/>
                <w:lang w:eastAsia="pl-PL"/>
              </w:rPr>
              <w:t xml:space="preserve"> Materiały i Studia No.335, Obligacje typu CoCo i bail-in jako instrumenty rekapitalizacji banków i zwiększenia stabilności finansowej, </w:t>
            </w:r>
          </w:p>
          <w:p w14:paraId="55AA5DB0" w14:textId="76A6F79D" w:rsidR="005401EF" w:rsidRPr="0004139F" w:rsidRDefault="005401EF" w:rsidP="00E41BD2">
            <w:pPr>
              <w:ind w:hanging="142"/>
              <w:outlineLvl w:val="0"/>
              <w:rPr>
                <w:sz w:val="18"/>
                <w:szCs w:val="18"/>
                <w:lang w:val="en-US" w:eastAsia="pl-PL"/>
              </w:rPr>
            </w:pPr>
            <w:r w:rsidRPr="0004139F">
              <w:rPr>
                <w:sz w:val="18"/>
                <w:szCs w:val="18"/>
                <w:lang w:eastAsia="pl-PL"/>
              </w:rPr>
              <w:t xml:space="preserve">    </w:t>
            </w:r>
            <w:r w:rsidRPr="0004139F">
              <w:rPr>
                <w:sz w:val="18"/>
                <w:szCs w:val="18"/>
                <w:lang w:val="en-US" w:eastAsia="pl-PL"/>
              </w:rPr>
              <w:t>NBP, Warszawa 2019 r.</w:t>
            </w:r>
            <w:r w:rsidR="00D63F62" w:rsidRPr="0004139F">
              <w:rPr>
                <w:sz w:val="18"/>
                <w:szCs w:val="18"/>
                <w:lang w:val="en-GB" w:eastAsia="pl-PL"/>
              </w:rPr>
              <w:t xml:space="preserve">; </w:t>
            </w:r>
            <w:r w:rsidRPr="0004139F">
              <w:rPr>
                <w:sz w:val="18"/>
                <w:szCs w:val="18"/>
                <w:lang w:val="en-GB" w:eastAsia="pl-PL"/>
              </w:rPr>
              <w:t xml:space="preserve"> K. Liberadzki, M. Liberadzki, </w:t>
            </w:r>
            <w:r w:rsidRPr="0004139F">
              <w:rPr>
                <w:bCs/>
                <w:color w:val="000000"/>
                <w:sz w:val="18"/>
                <w:szCs w:val="18"/>
                <w:shd w:val="clear" w:color="auto" w:fill="FFFFFF"/>
                <w:lang w:val="en-GB"/>
              </w:rPr>
              <w:t>Contingent Convertible Bonds, Corporate Hybrid Securities and Preferred Shares</w:t>
            </w:r>
            <w:r w:rsidRPr="0004139F">
              <w:rPr>
                <w:sz w:val="18"/>
                <w:szCs w:val="18"/>
                <w:lang w:val="en-GB" w:eastAsia="pl-PL"/>
              </w:rPr>
              <w:t>, 2019 r.</w:t>
            </w:r>
          </w:p>
          <w:p w14:paraId="03D909E6" w14:textId="234EA01E" w:rsidR="005401EF" w:rsidRPr="0004139F" w:rsidRDefault="005401EF" w:rsidP="00D63F62">
            <w:pPr>
              <w:pStyle w:val="Default"/>
              <w:rPr>
                <w:rFonts w:ascii="Times New Roman" w:hAnsi="Times New Roman" w:cs="Times New Roman"/>
                <w:sz w:val="18"/>
                <w:szCs w:val="18"/>
                <w:lang w:val="en-US"/>
              </w:rPr>
            </w:pPr>
            <w:r w:rsidRPr="0004139F">
              <w:rPr>
                <w:rFonts w:ascii="Times New Roman" w:hAnsi="Times New Roman" w:cs="Times New Roman"/>
                <w:color w:val="auto"/>
                <w:sz w:val="18"/>
                <w:szCs w:val="18"/>
                <w:vertAlign w:val="superscript"/>
                <w:lang w:val="en-US"/>
              </w:rPr>
              <w:t>2</w:t>
            </w:r>
            <w:r w:rsidRPr="0004139F">
              <w:rPr>
                <w:rFonts w:ascii="Times New Roman" w:hAnsi="Times New Roman" w:cs="Times New Roman"/>
                <w:sz w:val="18"/>
                <w:szCs w:val="18"/>
                <w:lang w:val="en-US"/>
              </w:rPr>
              <w:t xml:space="preserve"> Report on the monitoring of Additional Tier 1 (AT1) instruments of European Union (EU) Institutions – Third Update, </w:t>
            </w:r>
            <w:r w:rsidR="00C23C15" w:rsidRPr="0004139F">
              <w:rPr>
                <w:rFonts w:ascii="Times New Roman" w:hAnsi="Times New Roman" w:cs="Times New Roman"/>
                <w:sz w:val="18"/>
                <w:szCs w:val="18"/>
                <w:lang w:val="en-US"/>
              </w:rPr>
              <w:t xml:space="preserve">EBA, </w:t>
            </w:r>
            <w:r w:rsidRPr="0004139F">
              <w:rPr>
                <w:rFonts w:ascii="Times New Roman" w:hAnsi="Times New Roman" w:cs="Times New Roman"/>
                <w:sz w:val="18"/>
                <w:szCs w:val="18"/>
                <w:lang w:val="en-US"/>
              </w:rPr>
              <w:t xml:space="preserve">July 2018. </w:t>
            </w:r>
          </w:p>
          <w:p w14:paraId="385D71AE" w14:textId="691911D6" w:rsidR="005401EF" w:rsidRPr="0004139F" w:rsidRDefault="005401EF" w:rsidP="0017695F">
            <w:pPr>
              <w:pStyle w:val="Default"/>
              <w:rPr>
                <w:rFonts w:ascii="Times New Roman" w:hAnsi="Times New Roman" w:cs="Times New Roman"/>
                <w:sz w:val="18"/>
                <w:szCs w:val="18"/>
                <w:lang w:val="en-US"/>
              </w:rPr>
            </w:pPr>
            <w:r w:rsidRPr="0004139F">
              <w:rPr>
                <w:rFonts w:ascii="Times New Roman" w:hAnsi="Times New Roman" w:cs="Times New Roman"/>
                <w:color w:val="auto"/>
                <w:sz w:val="18"/>
                <w:szCs w:val="18"/>
                <w:vertAlign w:val="superscript"/>
                <w:lang w:val="en-US"/>
              </w:rPr>
              <w:t xml:space="preserve">3 </w:t>
            </w:r>
            <w:r w:rsidRPr="0004139F">
              <w:rPr>
                <w:rFonts w:ascii="Times New Roman" w:hAnsi="Times New Roman" w:cs="Times New Roman"/>
                <w:sz w:val="18"/>
                <w:szCs w:val="18"/>
                <w:lang w:val="en-US"/>
              </w:rPr>
              <w:t xml:space="preserve">Standardised templates for Additional Tier 1 (AT1) instruments – Final, </w:t>
            </w:r>
            <w:r w:rsidR="00C23C15" w:rsidRPr="0004139F">
              <w:rPr>
                <w:rFonts w:ascii="Times New Roman" w:hAnsi="Times New Roman" w:cs="Times New Roman"/>
                <w:sz w:val="18"/>
                <w:szCs w:val="18"/>
                <w:lang w:val="en-US"/>
              </w:rPr>
              <w:t xml:space="preserve">EBA, </w:t>
            </w:r>
            <w:r w:rsidRPr="0004139F">
              <w:rPr>
                <w:rFonts w:ascii="Times New Roman" w:hAnsi="Times New Roman" w:cs="Times New Roman"/>
                <w:sz w:val="18"/>
                <w:szCs w:val="18"/>
                <w:lang w:val="en-US"/>
              </w:rPr>
              <w:t>October 2016.</w:t>
            </w:r>
          </w:p>
          <w:p w14:paraId="73DEF1BB" w14:textId="72CECFF0" w:rsidR="005401EF" w:rsidRPr="0004139F" w:rsidRDefault="005401EF" w:rsidP="00E41BD2">
            <w:pPr>
              <w:pStyle w:val="Default"/>
              <w:rPr>
                <w:rFonts w:ascii="Times New Roman" w:hAnsi="Times New Roman" w:cs="Times New Roman"/>
                <w:color w:val="auto"/>
                <w:sz w:val="18"/>
                <w:szCs w:val="18"/>
              </w:rPr>
            </w:pPr>
            <w:r w:rsidRPr="0004139F">
              <w:rPr>
                <w:rFonts w:ascii="Times New Roman" w:hAnsi="Times New Roman" w:cs="Times New Roman"/>
                <w:color w:val="auto"/>
                <w:sz w:val="18"/>
                <w:szCs w:val="18"/>
                <w:vertAlign w:val="superscript"/>
              </w:rPr>
              <w:t>4</w:t>
            </w:r>
            <w:r w:rsidRPr="0004139F">
              <w:rPr>
                <w:rFonts w:ascii="Times New Roman" w:hAnsi="Times New Roman" w:cs="Times New Roman"/>
                <w:color w:val="auto"/>
                <w:sz w:val="18"/>
                <w:szCs w:val="18"/>
              </w:rPr>
              <w:t xml:space="preserve"> Materiały i Studia No.335, Obligacje typu CoCo i bail-in</w:t>
            </w:r>
            <w:r w:rsidR="00304931" w:rsidRPr="0004139F">
              <w:rPr>
                <w:rFonts w:ascii="Times New Roman" w:hAnsi="Times New Roman" w:cs="Times New Roman"/>
                <w:color w:val="auto"/>
                <w:sz w:val="18"/>
                <w:szCs w:val="18"/>
              </w:rPr>
              <w:t xml:space="preserve"> </w:t>
            </w:r>
            <w:r w:rsidRPr="0004139F">
              <w:rPr>
                <w:rFonts w:ascii="Times New Roman" w:hAnsi="Times New Roman" w:cs="Times New Roman"/>
                <w:color w:val="auto"/>
                <w:sz w:val="18"/>
                <w:szCs w:val="18"/>
              </w:rPr>
              <w:t>.op. cit.</w:t>
            </w:r>
          </w:p>
          <w:p w14:paraId="4AEC84C0" w14:textId="26AD95DA" w:rsidR="005401EF" w:rsidRPr="0004139F" w:rsidRDefault="005401EF">
            <w:pPr>
              <w:pStyle w:val="Nagwek2"/>
              <w:spacing w:before="0"/>
              <w:rPr>
                <w:sz w:val="18"/>
                <w:szCs w:val="18"/>
                <w:lang w:eastAsia="pl-PL"/>
              </w:rPr>
            </w:pPr>
            <w:r w:rsidRPr="0004139F">
              <w:rPr>
                <w:rFonts w:ascii="Times New Roman" w:hAnsi="Times New Roman"/>
                <w:color w:val="auto"/>
                <w:sz w:val="18"/>
                <w:szCs w:val="18"/>
                <w:vertAlign w:val="superscript"/>
              </w:rPr>
              <w:t>5</w:t>
            </w:r>
            <w:r w:rsidR="0004139F">
              <w:rPr>
                <w:rFonts w:ascii="Times New Roman" w:hAnsi="Times New Roman"/>
                <w:color w:val="auto"/>
                <w:sz w:val="18"/>
                <w:szCs w:val="18"/>
                <w:vertAlign w:val="superscript"/>
              </w:rPr>
              <w:t xml:space="preserve"> </w:t>
            </w:r>
            <w:r w:rsidRPr="0004139F">
              <w:rPr>
                <w:rFonts w:ascii="Times New Roman" w:hAnsi="Times New Roman"/>
                <w:color w:val="000000"/>
                <w:sz w:val="18"/>
                <w:szCs w:val="18"/>
                <w:lang w:eastAsia="pl-PL"/>
              </w:rPr>
              <w:t>https://www.spglobal.com/ratings/en/research/articles/200422-europe-s-at1-market-faces-the-covid-19-test-bend-not-break-11426208</w:t>
            </w:r>
          </w:p>
          <w:p w14:paraId="6EAD904A" w14:textId="62AE42ED" w:rsidR="005401EF" w:rsidRPr="0004139F" w:rsidRDefault="005401EF">
            <w:pPr>
              <w:autoSpaceDE w:val="0"/>
              <w:autoSpaceDN w:val="0"/>
              <w:adjustRightInd w:val="0"/>
              <w:rPr>
                <w:sz w:val="18"/>
                <w:szCs w:val="18"/>
                <w:lang w:val="en-GB" w:eastAsia="pl-PL"/>
              </w:rPr>
            </w:pPr>
            <w:r w:rsidRPr="0004139F">
              <w:rPr>
                <w:sz w:val="18"/>
                <w:szCs w:val="18"/>
                <w:vertAlign w:val="superscript"/>
                <w:lang w:val="en-US"/>
              </w:rPr>
              <w:t>6</w:t>
            </w:r>
            <w:r w:rsidRPr="0004139F">
              <w:rPr>
                <w:sz w:val="18"/>
                <w:szCs w:val="18"/>
                <w:lang w:val="en-US"/>
              </w:rPr>
              <w:t xml:space="preserve"> </w:t>
            </w:r>
            <w:r w:rsidRPr="0004139F">
              <w:rPr>
                <w:sz w:val="18"/>
                <w:szCs w:val="18"/>
                <w:lang w:val="en-GB" w:eastAsia="pl-PL"/>
              </w:rPr>
              <w:t>Contingent convertible bonds: design, regulation, usefulness, Deutsche Bundesbank, march 2018 r.:</w:t>
            </w:r>
          </w:p>
          <w:p w14:paraId="13855F38" w14:textId="524A5F6E" w:rsidR="005401EF" w:rsidRPr="0004139F" w:rsidRDefault="005401EF">
            <w:pPr>
              <w:autoSpaceDE w:val="0"/>
              <w:autoSpaceDN w:val="0"/>
              <w:adjustRightInd w:val="0"/>
              <w:rPr>
                <w:sz w:val="18"/>
                <w:szCs w:val="18"/>
                <w:lang w:val="en-GB" w:eastAsia="pl-PL"/>
              </w:rPr>
            </w:pPr>
            <w:r w:rsidRPr="0004139F">
              <w:rPr>
                <w:sz w:val="18"/>
                <w:szCs w:val="18"/>
                <w:lang w:val="en-GB" w:eastAsia="pl-PL"/>
              </w:rPr>
              <w:t xml:space="preserve">   https://www.bundesbank.de/resource/blob/723800/7dae3af896e09b2f3d0f3f5cc2ad12fd/mL/2018-03-cocos-data.pdf</w:t>
            </w:r>
          </w:p>
          <w:p w14:paraId="7EA2B664" w14:textId="6C5A95C6" w:rsidR="005401EF" w:rsidRPr="0004139F" w:rsidRDefault="0004139F" w:rsidP="00E41BD2">
            <w:pPr>
              <w:pStyle w:val="Default"/>
              <w:ind w:hanging="63"/>
              <w:rPr>
                <w:rFonts w:ascii="Times New Roman" w:hAnsi="Times New Roman" w:cs="Times New Roman"/>
                <w:sz w:val="18"/>
                <w:szCs w:val="18"/>
              </w:rPr>
            </w:pPr>
            <w:r w:rsidRPr="00374699">
              <w:rPr>
                <w:rFonts w:ascii="Times New Roman" w:hAnsi="Times New Roman" w:cs="Times New Roman"/>
                <w:color w:val="auto"/>
                <w:sz w:val="18"/>
                <w:szCs w:val="18"/>
                <w:vertAlign w:val="superscript"/>
                <w:lang w:val="en-GB" w:eastAsia="en-US"/>
              </w:rPr>
              <w:t xml:space="preserve"> </w:t>
            </w:r>
            <w:r w:rsidR="005401EF" w:rsidRPr="0004139F">
              <w:rPr>
                <w:rFonts w:ascii="Times New Roman" w:hAnsi="Times New Roman" w:cs="Times New Roman"/>
                <w:color w:val="auto"/>
                <w:sz w:val="18"/>
                <w:szCs w:val="18"/>
                <w:vertAlign w:val="superscript"/>
                <w:lang w:eastAsia="en-US"/>
              </w:rPr>
              <w:t>7</w:t>
            </w:r>
            <w:r w:rsidR="00C23C15" w:rsidRPr="0004139F">
              <w:rPr>
                <w:rFonts w:ascii="Times New Roman" w:hAnsi="Times New Roman" w:cs="Times New Roman"/>
                <w:sz w:val="18"/>
                <w:szCs w:val="18"/>
              </w:rPr>
              <w:t xml:space="preserve"> </w:t>
            </w:r>
            <w:r w:rsidR="005401EF" w:rsidRPr="0004139F">
              <w:rPr>
                <w:rFonts w:ascii="Times New Roman" w:hAnsi="Times New Roman" w:cs="Times New Roman"/>
                <w:sz w:val="18"/>
                <w:szCs w:val="18"/>
              </w:rPr>
              <w:t xml:space="preserve">Instrumenty typu AT1 i RT1 Contingent convertible - </w:t>
            </w:r>
            <w:r w:rsidR="005401EF" w:rsidRPr="0004139F">
              <w:rPr>
                <w:rFonts w:ascii="Times New Roman" w:hAnsi="Times New Roman" w:cs="Times New Roman"/>
                <w:bCs/>
                <w:sz w:val="18"/>
                <w:szCs w:val="18"/>
              </w:rPr>
              <w:t>doświadczenia</w:t>
            </w:r>
            <w:r w:rsidR="005401EF" w:rsidRPr="0004139F">
              <w:rPr>
                <w:rFonts w:ascii="Times New Roman" w:hAnsi="Times New Roman" w:cs="Times New Roman"/>
                <w:sz w:val="18"/>
                <w:szCs w:val="18"/>
              </w:rPr>
              <w:t xml:space="preserve"> </w:t>
            </w:r>
            <w:r w:rsidR="005401EF" w:rsidRPr="0004139F">
              <w:rPr>
                <w:rFonts w:ascii="Times New Roman" w:hAnsi="Times New Roman" w:cs="Times New Roman"/>
                <w:bCs/>
                <w:sz w:val="18"/>
                <w:szCs w:val="18"/>
              </w:rPr>
              <w:t xml:space="preserve">międzynarodowe oraz </w:t>
            </w:r>
            <w:r w:rsidR="005401EF" w:rsidRPr="0004139F">
              <w:rPr>
                <w:rFonts w:ascii="Times New Roman" w:hAnsi="Times New Roman" w:cs="Times New Roman"/>
                <w:bCs/>
                <w:color w:val="auto"/>
                <w:sz w:val="18"/>
                <w:szCs w:val="18"/>
              </w:rPr>
              <w:t xml:space="preserve">perspektywa polska </w:t>
            </w:r>
            <w:r w:rsidR="00C23C15" w:rsidRPr="0004139F">
              <w:rPr>
                <w:rFonts w:ascii="Times New Roman" w:hAnsi="Times New Roman" w:cs="Times New Roman"/>
                <w:bCs/>
                <w:color w:val="auto"/>
                <w:sz w:val="18"/>
                <w:szCs w:val="18"/>
              </w:rPr>
              <w:t xml:space="preserve">  </w:t>
            </w:r>
            <w:r w:rsidR="005401EF" w:rsidRPr="0004139F">
              <w:rPr>
                <w:rStyle w:val="Hipercze"/>
                <w:rFonts w:ascii="Times New Roman" w:hAnsi="Times New Roman"/>
                <w:bCs/>
                <w:color w:val="auto"/>
                <w:sz w:val="18"/>
                <w:szCs w:val="18"/>
                <w:u w:val="none"/>
              </w:rPr>
              <w:t>https://www.knf.gov.pl/knf/pl/komponenty/img/Prezentacje_CoCos_14-11-2019_67763.pdf</w:t>
            </w:r>
            <w:r w:rsidR="005401EF" w:rsidRPr="0004139F">
              <w:rPr>
                <w:rFonts w:ascii="Times New Roman" w:hAnsi="Times New Roman" w:cs="Times New Roman"/>
                <w:bCs/>
                <w:color w:val="auto"/>
                <w:sz w:val="18"/>
                <w:szCs w:val="18"/>
              </w:rPr>
              <w:t xml:space="preserve">  </w:t>
            </w:r>
          </w:p>
          <w:p w14:paraId="433C0C5E" w14:textId="629C7E99" w:rsidR="005401EF" w:rsidRPr="0004139F" w:rsidRDefault="005401EF" w:rsidP="00D63F62">
            <w:pPr>
              <w:rPr>
                <w:i/>
                <w:sz w:val="18"/>
                <w:szCs w:val="18"/>
                <w:lang w:val="en-US" w:eastAsia="pl-PL"/>
              </w:rPr>
            </w:pPr>
            <w:r w:rsidRPr="0004139F">
              <w:rPr>
                <w:sz w:val="18"/>
                <w:szCs w:val="18"/>
                <w:vertAlign w:val="superscript"/>
                <w:lang w:val="en-US" w:eastAsia="pl-PL"/>
              </w:rPr>
              <w:t>8</w:t>
            </w:r>
            <w:r w:rsidRPr="0004139F">
              <w:rPr>
                <w:i/>
                <w:sz w:val="18"/>
                <w:szCs w:val="18"/>
                <w:lang w:val="en-GB" w:eastAsia="pl-PL"/>
              </w:rPr>
              <w:t xml:space="preserve"> </w:t>
            </w:r>
            <w:r w:rsidRPr="0004139F">
              <w:rPr>
                <w:sz w:val="18"/>
                <w:szCs w:val="18"/>
                <w:lang w:val="en-GB" w:eastAsia="pl-PL"/>
              </w:rPr>
              <w:t xml:space="preserve">RT1: a primer. </w:t>
            </w:r>
            <w:r w:rsidR="00D63F62" w:rsidRPr="0004139F">
              <w:rPr>
                <w:sz w:val="18"/>
                <w:szCs w:val="18"/>
                <w:lang w:val="en-GB" w:eastAsia="pl-PL"/>
              </w:rPr>
              <w:t>"</w:t>
            </w:r>
            <w:r w:rsidRPr="0004139F">
              <w:rPr>
                <w:sz w:val="18"/>
                <w:szCs w:val="18"/>
                <w:lang w:val="en-US" w:eastAsia="pl-PL"/>
              </w:rPr>
              <w:t>Insurance Bulletin</w:t>
            </w:r>
            <w:r w:rsidR="00D63F62" w:rsidRPr="0004139F">
              <w:rPr>
                <w:sz w:val="18"/>
                <w:szCs w:val="18"/>
                <w:lang w:val="en-US" w:eastAsia="pl-PL"/>
              </w:rPr>
              <w:t xml:space="preserve">, </w:t>
            </w:r>
            <w:r w:rsidRPr="0004139F">
              <w:rPr>
                <w:sz w:val="18"/>
                <w:szCs w:val="18"/>
                <w:lang w:val="en-US" w:eastAsia="pl-PL"/>
              </w:rPr>
              <w:t>16 stycznia 2020 r., RaboResearch.</w:t>
            </w:r>
          </w:p>
          <w:p w14:paraId="3F2BECD0" w14:textId="2CD7B1E8" w:rsidR="00BC40B0" w:rsidRPr="0004139F" w:rsidRDefault="005401EF" w:rsidP="0017695F">
            <w:pPr>
              <w:rPr>
                <w:sz w:val="18"/>
                <w:szCs w:val="18"/>
                <w:lang w:val="en-GB" w:eastAsia="pl-PL"/>
              </w:rPr>
            </w:pPr>
            <w:r w:rsidRPr="0004139F">
              <w:rPr>
                <w:sz w:val="18"/>
                <w:szCs w:val="18"/>
                <w:vertAlign w:val="superscript"/>
                <w:lang w:val="en-US" w:eastAsia="pl-PL"/>
              </w:rPr>
              <w:t>9</w:t>
            </w:r>
            <w:r w:rsidRPr="0004139F">
              <w:rPr>
                <w:sz w:val="18"/>
                <w:szCs w:val="18"/>
                <w:lang w:val="en-GB" w:eastAsia="pl-PL"/>
              </w:rPr>
              <w:t xml:space="preserve"> </w:t>
            </w:r>
            <w:r w:rsidRPr="0004139F">
              <w:rPr>
                <w:i/>
                <w:sz w:val="18"/>
                <w:szCs w:val="18"/>
                <w:lang w:val="en-GB" w:eastAsia="pl-PL"/>
              </w:rPr>
              <w:t>European Insurance - Credit Highlights YE2019</w:t>
            </w:r>
            <w:r w:rsidRPr="0004139F">
              <w:rPr>
                <w:sz w:val="18"/>
                <w:szCs w:val="18"/>
                <w:lang w:val="en-GB" w:eastAsia="pl-PL"/>
              </w:rPr>
              <w:t xml:space="preserve">”, Arun Kumar, Bloomberg. </w:t>
            </w:r>
          </w:p>
          <w:p w14:paraId="091D5C11" w14:textId="62F7DE25" w:rsidR="00BC40B0" w:rsidRPr="009D14F0" w:rsidRDefault="00BC40B0" w:rsidP="0017695F">
            <w:pPr>
              <w:rPr>
                <w:sz w:val="18"/>
                <w:szCs w:val="18"/>
                <w:lang w:val="en-GB" w:eastAsia="pl-PL"/>
              </w:rPr>
            </w:pPr>
          </w:p>
        </w:tc>
      </w:tr>
      <w:tr w:rsidR="005401EF" w:rsidRPr="008B4FE6" w14:paraId="463B821D" w14:textId="77777777" w:rsidTr="00676C8D">
        <w:trPr>
          <w:gridAfter w:val="1"/>
          <w:wAfter w:w="10" w:type="dxa"/>
          <w:trHeight w:val="359"/>
        </w:trPr>
        <w:tc>
          <w:tcPr>
            <w:tcW w:w="10937" w:type="dxa"/>
            <w:gridSpan w:val="29"/>
            <w:shd w:val="clear" w:color="auto" w:fill="99CCFF"/>
            <w:vAlign w:val="center"/>
          </w:tcPr>
          <w:p w14:paraId="29F20F23" w14:textId="77777777" w:rsidR="005401EF" w:rsidRPr="008B4FE6" w:rsidRDefault="005401EF" w:rsidP="0019627B">
            <w:pPr>
              <w:numPr>
                <w:ilvl w:val="0"/>
                <w:numId w:val="1"/>
              </w:numPr>
              <w:spacing w:before="60" w:after="60"/>
              <w:rPr>
                <w:b/>
                <w:color w:val="000000"/>
              </w:rPr>
            </w:pPr>
            <w:r w:rsidRPr="00AF21B6">
              <w:rPr>
                <w:b/>
              </w:rPr>
              <w:t>Podmioty, na które oddziałuje projekt</w:t>
            </w:r>
          </w:p>
        </w:tc>
      </w:tr>
      <w:tr w:rsidR="005401EF" w:rsidRPr="008B4FE6" w14:paraId="516DEB25" w14:textId="77777777" w:rsidTr="00676C8D">
        <w:trPr>
          <w:gridAfter w:val="1"/>
          <w:wAfter w:w="10" w:type="dxa"/>
          <w:trHeight w:val="142"/>
        </w:trPr>
        <w:tc>
          <w:tcPr>
            <w:tcW w:w="2668" w:type="dxa"/>
            <w:gridSpan w:val="3"/>
          </w:tcPr>
          <w:p w14:paraId="73FB688D" w14:textId="77777777" w:rsidR="005401EF" w:rsidRPr="008B4FE6" w:rsidRDefault="005401EF" w:rsidP="0072636A">
            <w:pPr>
              <w:spacing w:before="40"/>
              <w:jc w:val="center"/>
              <w:rPr>
                <w:color w:val="000000"/>
                <w:spacing w:val="-2"/>
              </w:rPr>
            </w:pPr>
            <w:r w:rsidRPr="008B4FE6">
              <w:rPr>
                <w:color w:val="000000"/>
                <w:spacing w:val="-2"/>
              </w:rPr>
              <w:t>Grupa</w:t>
            </w:r>
          </w:p>
        </w:tc>
        <w:tc>
          <w:tcPr>
            <w:tcW w:w="2292" w:type="dxa"/>
            <w:gridSpan w:val="8"/>
          </w:tcPr>
          <w:p w14:paraId="0EE6D725" w14:textId="77777777" w:rsidR="005401EF" w:rsidRPr="008B4FE6" w:rsidRDefault="005401EF" w:rsidP="0072636A">
            <w:pPr>
              <w:spacing w:before="40"/>
              <w:jc w:val="center"/>
              <w:rPr>
                <w:color w:val="000000"/>
                <w:spacing w:val="-2"/>
              </w:rPr>
            </w:pPr>
            <w:r>
              <w:rPr>
                <w:color w:val="000000"/>
                <w:spacing w:val="-2"/>
              </w:rPr>
              <w:t>Wielkość</w:t>
            </w:r>
          </w:p>
        </w:tc>
        <w:tc>
          <w:tcPr>
            <w:tcW w:w="2996" w:type="dxa"/>
            <w:gridSpan w:val="12"/>
          </w:tcPr>
          <w:p w14:paraId="48D86BE6" w14:textId="77777777" w:rsidR="005401EF" w:rsidRPr="008B4FE6" w:rsidRDefault="005401EF" w:rsidP="0072636A">
            <w:pPr>
              <w:spacing w:before="40"/>
              <w:jc w:val="center"/>
              <w:rPr>
                <w:color w:val="000000"/>
                <w:spacing w:val="-2"/>
              </w:rPr>
            </w:pPr>
            <w:r w:rsidRPr="008B4FE6">
              <w:rPr>
                <w:color w:val="000000"/>
                <w:spacing w:val="-2"/>
              </w:rPr>
              <w:t>Źródło danych</w:t>
            </w:r>
            <w:r w:rsidRPr="008B4FE6" w:rsidDel="00260F33">
              <w:rPr>
                <w:color w:val="000000"/>
                <w:spacing w:val="-2"/>
              </w:rPr>
              <w:t xml:space="preserve"> </w:t>
            </w:r>
          </w:p>
        </w:tc>
        <w:tc>
          <w:tcPr>
            <w:tcW w:w="2981" w:type="dxa"/>
            <w:gridSpan w:val="6"/>
          </w:tcPr>
          <w:p w14:paraId="31B03F02" w14:textId="77777777" w:rsidR="005401EF" w:rsidRPr="008B4FE6" w:rsidRDefault="005401EF" w:rsidP="0072636A">
            <w:pPr>
              <w:spacing w:before="40"/>
              <w:jc w:val="center"/>
              <w:rPr>
                <w:color w:val="000000"/>
                <w:spacing w:val="-2"/>
              </w:rPr>
            </w:pPr>
            <w:r w:rsidRPr="008B4FE6">
              <w:rPr>
                <w:color w:val="000000"/>
                <w:spacing w:val="-2"/>
              </w:rPr>
              <w:t>Oddziaływanie</w:t>
            </w:r>
          </w:p>
        </w:tc>
      </w:tr>
      <w:tr w:rsidR="00A026A8" w:rsidRPr="008B4FE6" w14:paraId="1CF09497" w14:textId="77777777" w:rsidTr="00676C8D">
        <w:trPr>
          <w:gridAfter w:val="1"/>
          <w:wAfter w:w="10" w:type="dxa"/>
          <w:trHeight w:val="142"/>
        </w:trPr>
        <w:tc>
          <w:tcPr>
            <w:tcW w:w="2668" w:type="dxa"/>
            <w:gridSpan w:val="3"/>
          </w:tcPr>
          <w:p w14:paraId="7E275542" w14:textId="54812285" w:rsidR="00A026A8" w:rsidRPr="00E814E9" w:rsidRDefault="00A026A8" w:rsidP="00304931">
            <w:pPr>
              <w:spacing w:before="40"/>
              <w:jc w:val="center"/>
              <w:rPr>
                <w:rStyle w:val="Hipercze"/>
                <w:color w:val="000000"/>
                <w:spacing w:val="-2"/>
                <w:u w:val="none"/>
              </w:rPr>
            </w:pPr>
            <w:r>
              <w:rPr>
                <w:rStyle w:val="Hipercze"/>
                <w:color w:val="000000"/>
                <w:spacing w:val="-2"/>
                <w:u w:val="none"/>
              </w:rPr>
              <w:t>Komisja Nadzoru Finansowego</w:t>
            </w:r>
          </w:p>
        </w:tc>
        <w:tc>
          <w:tcPr>
            <w:tcW w:w="2292" w:type="dxa"/>
            <w:gridSpan w:val="8"/>
          </w:tcPr>
          <w:p w14:paraId="45FEAF73" w14:textId="791634F6" w:rsidR="00A026A8" w:rsidRDefault="00A026A8" w:rsidP="005F6CD6">
            <w:pPr>
              <w:spacing w:before="40"/>
              <w:jc w:val="center"/>
              <w:rPr>
                <w:color w:val="000000"/>
                <w:spacing w:val="-2"/>
              </w:rPr>
            </w:pPr>
            <w:r>
              <w:rPr>
                <w:color w:val="000000"/>
                <w:spacing w:val="-2"/>
              </w:rPr>
              <w:t>1</w:t>
            </w:r>
          </w:p>
        </w:tc>
        <w:tc>
          <w:tcPr>
            <w:tcW w:w="2996" w:type="dxa"/>
            <w:gridSpan w:val="12"/>
          </w:tcPr>
          <w:p w14:paraId="569DACF6" w14:textId="63FAA9BE" w:rsidR="00A026A8" w:rsidRPr="00247E87" w:rsidRDefault="00A026A8" w:rsidP="00180D06">
            <w:pPr>
              <w:spacing w:before="40"/>
              <w:jc w:val="center"/>
              <w:rPr>
                <w:color w:val="000000"/>
                <w:spacing w:val="-2"/>
              </w:rPr>
            </w:pPr>
            <w:r>
              <w:rPr>
                <w:color w:val="000000"/>
                <w:spacing w:val="-2"/>
              </w:rPr>
              <w:t>KNF</w:t>
            </w:r>
          </w:p>
        </w:tc>
        <w:tc>
          <w:tcPr>
            <w:tcW w:w="2981" w:type="dxa"/>
            <w:gridSpan w:val="6"/>
          </w:tcPr>
          <w:p w14:paraId="7A013F91" w14:textId="73E621C0" w:rsidR="00A026A8" w:rsidRDefault="003A3C11" w:rsidP="00304931">
            <w:pPr>
              <w:spacing w:before="40"/>
              <w:jc w:val="center"/>
              <w:rPr>
                <w:color w:val="000000"/>
                <w:spacing w:val="-2"/>
              </w:rPr>
            </w:pPr>
            <w:r>
              <w:rPr>
                <w:color w:val="000000"/>
                <w:spacing w:val="-2"/>
              </w:rPr>
              <w:t>U</w:t>
            </w:r>
            <w:r w:rsidR="00A026A8">
              <w:rPr>
                <w:color w:val="000000"/>
                <w:spacing w:val="-2"/>
              </w:rPr>
              <w:t>dziela</w:t>
            </w:r>
            <w:r>
              <w:rPr>
                <w:color w:val="000000"/>
                <w:spacing w:val="-2"/>
              </w:rPr>
              <w:t xml:space="preserve">nie </w:t>
            </w:r>
            <w:r w:rsidR="00A026A8">
              <w:rPr>
                <w:color w:val="000000"/>
                <w:spacing w:val="-2"/>
              </w:rPr>
              <w:t xml:space="preserve">zgody na kwalifikację </w:t>
            </w:r>
            <w:r>
              <w:rPr>
                <w:color w:val="000000"/>
                <w:spacing w:val="-2"/>
              </w:rPr>
              <w:t xml:space="preserve">wprowadzanych </w:t>
            </w:r>
            <w:r w:rsidR="00A026A8">
              <w:rPr>
                <w:color w:val="000000"/>
                <w:spacing w:val="-2"/>
              </w:rPr>
              <w:t xml:space="preserve">instrumentów </w:t>
            </w:r>
            <w:r>
              <w:rPr>
                <w:color w:val="000000"/>
                <w:spacing w:val="-2"/>
              </w:rPr>
              <w:t>kapitałowych</w:t>
            </w:r>
          </w:p>
        </w:tc>
      </w:tr>
      <w:tr w:rsidR="005401EF" w:rsidRPr="008B4FE6" w14:paraId="105A6C6B" w14:textId="77777777" w:rsidTr="00676C8D">
        <w:trPr>
          <w:gridAfter w:val="1"/>
          <w:wAfter w:w="10" w:type="dxa"/>
          <w:trHeight w:val="142"/>
        </w:trPr>
        <w:tc>
          <w:tcPr>
            <w:tcW w:w="2668" w:type="dxa"/>
            <w:gridSpan w:val="3"/>
          </w:tcPr>
          <w:p w14:paraId="00E2C5DC" w14:textId="77777777" w:rsidR="005401EF" w:rsidRPr="00E814E9" w:rsidRDefault="005401EF" w:rsidP="00304931">
            <w:pPr>
              <w:spacing w:before="40"/>
              <w:jc w:val="center"/>
              <w:rPr>
                <w:color w:val="000000"/>
                <w:spacing w:val="-2"/>
              </w:rPr>
            </w:pPr>
            <w:r w:rsidRPr="00E814E9">
              <w:rPr>
                <w:rStyle w:val="Hipercze"/>
                <w:color w:val="000000"/>
                <w:spacing w:val="-2"/>
                <w:u w:val="none"/>
              </w:rPr>
              <w:t>Banki w formie spółek akcyjnych</w:t>
            </w:r>
          </w:p>
        </w:tc>
        <w:tc>
          <w:tcPr>
            <w:tcW w:w="2292" w:type="dxa"/>
            <w:gridSpan w:val="8"/>
          </w:tcPr>
          <w:p w14:paraId="16CD2D1D" w14:textId="77777777" w:rsidR="005401EF" w:rsidRPr="00B37C80" w:rsidRDefault="005401EF" w:rsidP="005F6CD6">
            <w:pPr>
              <w:spacing w:before="40"/>
              <w:jc w:val="center"/>
              <w:rPr>
                <w:color w:val="000000"/>
                <w:spacing w:val="-2"/>
              </w:rPr>
            </w:pPr>
            <w:r>
              <w:rPr>
                <w:color w:val="000000"/>
                <w:spacing w:val="-2"/>
              </w:rPr>
              <w:t>29</w:t>
            </w:r>
          </w:p>
        </w:tc>
        <w:tc>
          <w:tcPr>
            <w:tcW w:w="2996" w:type="dxa"/>
            <w:gridSpan w:val="12"/>
          </w:tcPr>
          <w:p w14:paraId="5848811C" w14:textId="5A66273D" w:rsidR="005401EF" w:rsidRPr="00B37C80" w:rsidRDefault="005401EF" w:rsidP="001D048E">
            <w:pPr>
              <w:spacing w:before="40"/>
              <w:jc w:val="center"/>
              <w:rPr>
                <w:color w:val="000000"/>
                <w:spacing w:val="-2"/>
              </w:rPr>
            </w:pPr>
            <w:r w:rsidRPr="00247E87">
              <w:rPr>
                <w:color w:val="000000"/>
                <w:spacing w:val="-2"/>
              </w:rPr>
              <w:t xml:space="preserve">Rejestr podmiotów sektora bankowego KNF </w:t>
            </w:r>
            <w:r w:rsidRPr="008C5F9E">
              <w:rPr>
                <w:color w:val="000000"/>
                <w:spacing w:val="-2"/>
              </w:rPr>
              <w:t xml:space="preserve">(stan na dzień </w:t>
            </w:r>
            <w:r w:rsidR="001D048E">
              <w:rPr>
                <w:color w:val="000000"/>
                <w:spacing w:val="-2"/>
              </w:rPr>
              <w:t>1</w:t>
            </w:r>
            <w:r w:rsidR="0027073D">
              <w:rPr>
                <w:color w:val="000000"/>
                <w:spacing w:val="-2"/>
              </w:rPr>
              <w:t xml:space="preserve"> </w:t>
            </w:r>
            <w:r w:rsidR="001D048E">
              <w:rPr>
                <w:color w:val="000000"/>
                <w:spacing w:val="-2"/>
              </w:rPr>
              <w:t>lipca</w:t>
            </w:r>
            <w:r w:rsidRPr="008C5F9E">
              <w:rPr>
                <w:color w:val="000000"/>
                <w:spacing w:val="-2"/>
              </w:rPr>
              <w:t xml:space="preserve"> 20</w:t>
            </w:r>
            <w:r>
              <w:rPr>
                <w:color w:val="000000"/>
                <w:spacing w:val="-2"/>
              </w:rPr>
              <w:t>20</w:t>
            </w:r>
            <w:r w:rsidRPr="008C5F9E">
              <w:rPr>
                <w:color w:val="000000"/>
                <w:spacing w:val="-2"/>
              </w:rPr>
              <w:t xml:space="preserve"> r.)</w:t>
            </w:r>
          </w:p>
        </w:tc>
        <w:tc>
          <w:tcPr>
            <w:tcW w:w="2981" w:type="dxa"/>
            <w:gridSpan w:val="6"/>
          </w:tcPr>
          <w:p w14:paraId="708DF0C3" w14:textId="5EA9B70A" w:rsidR="005401EF" w:rsidRPr="00B37C80" w:rsidRDefault="00BB64EB" w:rsidP="00304931">
            <w:pPr>
              <w:spacing w:before="40"/>
              <w:jc w:val="center"/>
              <w:rPr>
                <w:color w:val="000000"/>
                <w:spacing w:val="-2"/>
              </w:rPr>
            </w:pPr>
            <w:r>
              <w:rPr>
                <w:color w:val="000000"/>
                <w:spacing w:val="-2"/>
              </w:rPr>
              <w:t xml:space="preserve">Stosowanie </w:t>
            </w:r>
            <w:r w:rsidR="003A3C11">
              <w:rPr>
                <w:color w:val="000000"/>
                <w:spacing w:val="-2"/>
              </w:rPr>
              <w:t xml:space="preserve">wprowadzanych </w:t>
            </w:r>
            <w:r w:rsidR="00D05B78">
              <w:rPr>
                <w:color w:val="000000"/>
                <w:spacing w:val="-2"/>
              </w:rPr>
              <w:t>instrumentów kapitałowych</w:t>
            </w:r>
            <w:r w:rsidR="005401EF">
              <w:rPr>
                <w:color w:val="000000"/>
                <w:spacing w:val="-2"/>
              </w:rPr>
              <w:t xml:space="preserve"> na zasadach określonych w ustawie</w:t>
            </w:r>
          </w:p>
        </w:tc>
      </w:tr>
      <w:tr w:rsidR="005401EF" w:rsidRPr="008B4FE6" w14:paraId="2D33DEE9" w14:textId="77777777" w:rsidTr="00676C8D">
        <w:trPr>
          <w:gridAfter w:val="1"/>
          <w:wAfter w:w="10" w:type="dxa"/>
          <w:trHeight w:val="142"/>
        </w:trPr>
        <w:tc>
          <w:tcPr>
            <w:tcW w:w="2668" w:type="dxa"/>
            <w:gridSpan w:val="3"/>
          </w:tcPr>
          <w:p w14:paraId="77FDF6D8" w14:textId="1CC9ACD0" w:rsidR="005401EF" w:rsidRPr="00E814E9" w:rsidRDefault="001A3A53" w:rsidP="00180D06">
            <w:pPr>
              <w:tabs>
                <w:tab w:val="left" w:pos="1560"/>
              </w:tabs>
              <w:spacing w:before="40"/>
              <w:jc w:val="center"/>
              <w:rPr>
                <w:color w:val="000000"/>
              </w:rPr>
            </w:pPr>
            <w:hyperlink r:id="rId11" w:history="1">
              <w:r w:rsidR="005401EF" w:rsidRPr="00E814E9">
                <w:rPr>
                  <w:rStyle w:val="Hipercze"/>
                  <w:color w:val="000000"/>
                  <w:u w:val="none"/>
                </w:rPr>
                <w:t xml:space="preserve">Banki </w:t>
              </w:r>
              <w:r w:rsidR="003A3C11">
                <w:rPr>
                  <w:rStyle w:val="Hipercze"/>
                  <w:color w:val="000000"/>
                  <w:u w:val="none"/>
                </w:rPr>
                <w:t>s</w:t>
              </w:r>
              <w:r w:rsidR="005401EF" w:rsidRPr="00E814E9">
                <w:rPr>
                  <w:rStyle w:val="Hipercze"/>
                  <w:color w:val="000000"/>
                  <w:u w:val="none"/>
                </w:rPr>
                <w:t>półdzielcze</w:t>
              </w:r>
            </w:hyperlink>
          </w:p>
        </w:tc>
        <w:tc>
          <w:tcPr>
            <w:tcW w:w="2292" w:type="dxa"/>
            <w:gridSpan w:val="8"/>
          </w:tcPr>
          <w:p w14:paraId="64F3C297" w14:textId="6D712E5A" w:rsidR="005401EF" w:rsidRPr="00B37C80" w:rsidRDefault="00662AB4" w:rsidP="005F6CD6">
            <w:pPr>
              <w:spacing w:before="40"/>
              <w:jc w:val="center"/>
              <w:rPr>
                <w:color w:val="000000"/>
                <w:spacing w:val="-2"/>
              </w:rPr>
            </w:pPr>
            <w:r>
              <w:rPr>
                <w:color w:val="000000"/>
                <w:spacing w:val="-2"/>
              </w:rPr>
              <w:t>533</w:t>
            </w:r>
          </w:p>
        </w:tc>
        <w:tc>
          <w:tcPr>
            <w:tcW w:w="2996" w:type="dxa"/>
            <w:gridSpan w:val="12"/>
          </w:tcPr>
          <w:p w14:paraId="767CFA16" w14:textId="4944BF71" w:rsidR="003A3C11" w:rsidRPr="00B37C80" w:rsidRDefault="00662AB4" w:rsidP="00180D06">
            <w:pPr>
              <w:spacing w:before="40"/>
              <w:jc w:val="center"/>
              <w:rPr>
                <w:color w:val="000000"/>
                <w:spacing w:val="-2"/>
              </w:rPr>
            </w:pPr>
            <w:r>
              <w:t xml:space="preserve"> </w:t>
            </w:r>
            <w:r w:rsidRPr="00662AB4">
              <w:rPr>
                <w:color w:val="000000"/>
                <w:spacing w:val="-2"/>
              </w:rPr>
              <w:t>Rejestr podmiotów sektora bankowego KNF (stan na dzień 1 lipca 2020 r.)</w:t>
            </w:r>
          </w:p>
        </w:tc>
        <w:tc>
          <w:tcPr>
            <w:tcW w:w="2981" w:type="dxa"/>
            <w:gridSpan w:val="6"/>
          </w:tcPr>
          <w:p w14:paraId="33931907" w14:textId="77777777" w:rsidR="005401EF" w:rsidRPr="00F23A8B" w:rsidRDefault="005401EF" w:rsidP="00180D06">
            <w:pPr>
              <w:spacing w:before="40"/>
              <w:jc w:val="center"/>
              <w:rPr>
                <w:b/>
                <w:color w:val="000000"/>
                <w:spacing w:val="-2"/>
              </w:rPr>
            </w:pPr>
            <w:r>
              <w:rPr>
                <w:color w:val="000000"/>
                <w:spacing w:val="-2"/>
              </w:rPr>
              <w:t>jw.</w:t>
            </w:r>
          </w:p>
        </w:tc>
      </w:tr>
      <w:tr w:rsidR="005401EF" w:rsidRPr="008B4FE6" w14:paraId="29E85649" w14:textId="77777777" w:rsidTr="00676C8D">
        <w:trPr>
          <w:gridAfter w:val="1"/>
          <w:wAfter w:w="10" w:type="dxa"/>
          <w:trHeight w:val="142"/>
        </w:trPr>
        <w:tc>
          <w:tcPr>
            <w:tcW w:w="2668" w:type="dxa"/>
            <w:gridSpan w:val="3"/>
          </w:tcPr>
          <w:p w14:paraId="39FB616B" w14:textId="27AC3545" w:rsidR="005401EF" w:rsidRPr="00E814E9" w:rsidRDefault="003A3C11" w:rsidP="00304931">
            <w:pPr>
              <w:tabs>
                <w:tab w:val="left" w:pos="1560"/>
              </w:tabs>
              <w:spacing w:before="40"/>
              <w:jc w:val="center"/>
              <w:rPr>
                <w:color w:val="000000"/>
              </w:rPr>
            </w:pPr>
            <w:r w:rsidRPr="00E814E9">
              <w:rPr>
                <w:rStyle w:val="Hipercze"/>
                <w:color w:val="000000"/>
                <w:spacing w:val="-2"/>
                <w:u w:val="none"/>
              </w:rPr>
              <w:t>Bank Gospodarstwa Krajowego</w:t>
            </w:r>
          </w:p>
        </w:tc>
        <w:tc>
          <w:tcPr>
            <w:tcW w:w="2292" w:type="dxa"/>
            <w:gridSpan w:val="8"/>
          </w:tcPr>
          <w:p w14:paraId="7BD5185D" w14:textId="65566296" w:rsidR="005401EF" w:rsidRPr="00B37C80" w:rsidRDefault="003A3C11" w:rsidP="005F6CD6">
            <w:pPr>
              <w:spacing w:before="40"/>
              <w:jc w:val="center"/>
              <w:rPr>
                <w:color w:val="000000"/>
                <w:spacing w:val="-2"/>
              </w:rPr>
            </w:pPr>
            <w:r>
              <w:rPr>
                <w:color w:val="000000"/>
                <w:spacing w:val="-2"/>
              </w:rPr>
              <w:t>1</w:t>
            </w:r>
          </w:p>
        </w:tc>
        <w:tc>
          <w:tcPr>
            <w:tcW w:w="2996" w:type="dxa"/>
            <w:gridSpan w:val="12"/>
          </w:tcPr>
          <w:p w14:paraId="7D3B887C" w14:textId="0E9F72EE" w:rsidR="005401EF" w:rsidRDefault="005401EF" w:rsidP="00180D06">
            <w:pPr>
              <w:spacing w:before="40"/>
              <w:jc w:val="center"/>
              <w:rPr>
                <w:color w:val="000000"/>
                <w:spacing w:val="-2"/>
              </w:rPr>
            </w:pPr>
          </w:p>
          <w:p w14:paraId="3914A777" w14:textId="1F4EBE54" w:rsidR="003A3C11" w:rsidRPr="00B37C80" w:rsidRDefault="003A3C11">
            <w:pPr>
              <w:spacing w:before="40"/>
              <w:jc w:val="center"/>
              <w:rPr>
                <w:color w:val="000000"/>
                <w:spacing w:val="-2"/>
              </w:rPr>
            </w:pPr>
            <w:r>
              <w:rPr>
                <w:color w:val="000000"/>
                <w:spacing w:val="-2"/>
              </w:rPr>
              <w:t>jw.</w:t>
            </w:r>
          </w:p>
        </w:tc>
        <w:tc>
          <w:tcPr>
            <w:tcW w:w="2981" w:type="dxa"/>
            <w:gridSpan w:val="6"/>
          </w:tcPr>
          <w:p w14:paraId="6869477C" w14:textId="77777777" w:rsidR="005401EF" w:rsidRPr="00B37C80" w:rsidRDefault="005401EF">
            <w:pPr>
              <w:spacing w:before="40"/>
              <w:jc w:val="center"/>
              <w:rPr>
                <w:color w:val="000000"/>
                <w:spacing w:val="-2"/>
              </w:rPr>
            </w:pPr>
            <w:r>
              <w:rPr>
                <w:color w:val="000000"/>
                <w:spacing w:val="-2"/>
              </w:rPr>
              <w:t>jw.</w:t>
            </w:r>
          </w:p>
        </w:tc>
      </w:tr>
      <w:tr w:rsidR="005401EF" w:rsidRPr="008B4FE6" w14:paraId="5E8B4DB2" w14:textId="77777777" w:rsidTr="00B177E1">
        <w:trPr>
          <w:gridAfter w:val="1"/>
          <w:wAfter w:w="10" w:type="dxa"/>
          <w:trHeight w:val="843"/>
        </w:trPr>
        <w:tc>
          <w:tcPr>
            <w:tcW w:w="2668" w:type="dxa"/>
            <w:gridSpan w:val="3"/>
          </w:tcPr>
          <w:p w14:paraId="6A2E4493" w14:textId="14846851" w:rsidR="003A3C11" w:rsidRDefault="003A3C11" w:rsidP="00304931">
            <w:pPr>
              <w:tabs>
                <w:tab w:val="left" w:pos="1560"/>
              </w:tabs>
              <w:spacing w:before="40"/>
              <w:jc w:val="center"/>
              <w:rPr>
                <w:rStyle w:val="Hipercze"/>
                <w:color w:val="000000"/>
                <w:spacing w:val="-2"/>
                <w:u w:val="none"/>
              </w:rPr>
            </w:pPr>
            <w:r w:rsidRPr="00E814E9">
              <w:rPr>
                <w:rStyle w:val="Hipercze"/>
                <w:color w:val="000000"/>
                <w:u w:val="none"/>
              </w:rPr>
              <w:t xml:space="preserve">Domy </w:t>
            </w:r>
            <w:r>
              <w:rPr>
                <w:rStyle w:val="Hipercze"/>
                <w:color w:val="000000"/>
                <w:u w:val="none"/>
              </w:rPr>
              <w:t>m</w:t>
            </w:r>
            <w:r w:rsidRPr="00E814E9">
              <w:rPr>
                <w:rStyle w:val="Hipercze"/>
                <w:color w:val="000000"/>
                <w:u w:val="none"/>
              </w:rPr>
              <w:t>aklerskie</w:t>
            </w:r>
          </w:p>
          <w:p w14:paraId="4F2569F4" w14:textId="1608D7D3" w:rsidR="005401EF" w:rsidRDefault="005401EF" w:rsidP="005F6CD6">
            <w:pPr>
              <w:tabs>
                <w:tab w:val="left" w:pos="1560"/>
              </w:tabs>
              <w:spacing w:before="40"/>
              <w:jc w:val="center"/>
              <w:rPr>
                <w:rStyle w:val="Hipercze"/>
                <w:color w:val="000000"/>
                <w:spacing w:val="-2"/>
                <w:u w:val="none"/>
              </w:rPr>
            </w:pPr>
          </w:p>
          <w:p w14:paraId="5142FA1F" w14:textId="61ADC7AA" w:rsidR="003A3C11" w:rsidRPr="00E814E9" w:rsidRDefault="003A3C11" w:rsidP="00180D06">
            <w:pPr>
              <w:tabs>
                <w:tab w:val="left" w:pos="1560"/>
              </w:tabs>
              <w:spacing w:before="40"/>
              <w:jc w:val="center"/>
              <w:rPr>
                <w:color w:val="000000"/>
              </w:rPr>
            </w:pPr>
          </w:p>
        </w:tc>
        <w:tc>
          <w:tcPr>
            <w:tcW w:w="2292" w:type="dxa"/>
            <w:gridSpan w:val="8"/>
          </w:tcPr>
          <w:p w14:paraId="11825BAB" w14:textId="3ED37284" w:rsidR="005401EF" w:rsidRPr="00B37C80" w:rsidRDefault="009846FF">
            <w:pPr>
              <w:spacing w:before="40"/>
              <w:jc w:val="center"/>
              <w:rPr>
                <w:color w:val="000000"/>
                <w:spacing w:val="-2"/>
              </w:rPr>
            </w:pPr>
            <w:r>
              <w:rPr>
                <w:color w:val="000000"/>
                <w:spacing w:val="-2"/>
              </w:rPr>
              <w:t>39</w:t>
            </w:r>
          </w:p>
        </w:tc>
        <w:tc>
          <w:tcPr>
            <w:tcW w:w="2996" w:type="dxa"/>
            <w:gridSpan w:val="12"/>
          </w:tcPr>
          <w:p w14:paraId="510371E2" w14:textId="1128A5D7" w:rsidR="005401EF" w:rsidRPr="00B37C80" w:rsidRDefault="005401EF" w:rsidP="001D048E">
            <w:pPr>
              <w:spacing w:before="40"/>
              <w:jc w:val="center"/>
              <w:rPr>
                <w:color w:val="000000"/>
                <w:spacing w:val="-2"/>
              </w:rPr>
            </w:pPr>
            <w:r>
              <w:rPr>
                <w:color w:val="000000"/>
                <w:spacing w:val="-2"/>
              </w:rPr>
              <w:t>R</w:t>
            </w:r>
            <w:r w:rsidRPr="00247E87">
              <w:rPr>
                <w:color w:val="000000"/>
                <w:spacing w:val="-2"/>
              </w:rPr>
              <w:t xml:space="preserve">ejestr podmiotów sektora </w:t>
            </w:r>
            <w:r w:rsidR="003A3C11">
              <w:rPr>
                <w:color w:val="000000"/>
                <w:spacing w:val="-2"/>
              </w:rPr>
              <w:t xml:space="preserve">kapitałowego </w:t>
            </w:r>
            <w:r w:rsidRPr="00247E87">
              <w:rPr>
                <w:color w:val="000000"/>
                <w:spacing w:val="-2"/>
              </w:rPr>
              <w:t>KNF (</w:t>
            </w:r>
            <w:r w:rsidRPr="000E74FC">
              <w:rPr>
                <w:color w:val="000000"/>
                <w:spacing w:val="-2"/>
              </w:rPr>
              <w:t xml:space="preserve">stan na </w:t>
            </w:r>
            <w:r w:rsidR="0027073D">
              <w:rPr>
                <w:color w:val="000000"/>
                <w:spacing w:val="-2"/>
              </w:rPr>
              <w:t xml:space="preserve">dzień </w:t>
            </w:r>
            <w:r w:rsidR="001D048E">
              <w:rPr>
                <w:color w:val="000000"/>
                <w:spacing w:val="-2"/>
              </w:rPr>
              <w:t>1</w:t>
            </w:r>
            <w:r w:rsidR="0027073D">
              <w:rPr>
                <w:color w:val="000000"/>
                <w:spacing w:val="-2"/>
              </w:rPr>
              <w:t xml:space="preserve"> </w:t>
            </w:r>
            <w:r w:rsidR="001D048E">
              <w:rPr>
                <w:color w:val="000000"/>
                <w:spacing w:val="-2"/>
              </w:rPr>
              <w:t>lipca</w:t>
            </w:r>
            <w:r w:rsidR="0027073D" w:rsidRPr="008C5F9E">
              <w:rPr>
                <w:color w:val="000000"/>
                <w:spacing w:val="-2"/>
              </w:rPr>
              <w:t xml:space="preserve"> </w:t>
            </w:r>
            <w:r w:rsidRPr="000E74FC">
              <w:rPr>
                <w:color w:val="000000"/>
                <w:spacing w:val="-2"/>
              </w:rPr>
              <w:t>2020 r.</w:t>
            </w:r>
            <w:r>
              <w:rPr>
                <w:color w:val="000000"/>
                <w:spacing w:val="-2"/>
              </w:rPr>
              <w:t>)</w:t>
            </w:r>
          </w:p>
        </w:tc>
        <w:tc>
          <w:tcPr>
            <w:tcW w:w="2981" w:type="dxa"/>
            <w:gridSpan w:val="6"/>
          </w:tcPr>
          <w:p w14:paraId="0C34BEE0" w14:textId="77777777" w:rsidR="005401EF" w:rsidRPr="00B37C80" w:rsidRDefault="005401EF" w:rsidP="005F6CD6">
            <w:pPr>
              <w:spacing w:before="40"/>
              <w:jc w:val="center"/>
              <w:rPr>
                <w:color w:val="000000"/>
                <w:spacing w:val="-2"/>
              </w:rPr>
            </w:pPr>
            <w:r>
              <w:rPr>
                <w:color w:val="000000"/>
                <w:spacing w:val="-2"/>
              </w:rPr>
              <w:t>jw.</w:t>
            </w:r>
          </w:p>
        </w:tc>
      </w:tr>
      <w:tr w:rsidR="005401EF" w:rsidRPr="008B4FE6" w14:paraId="28A24745" w14:textId="77777777" w:rsidTr="00676C8D">
        <w:trPr>
          <w:gridAfter w:val="1"/>
          <w:wAfter w:w="10" w:type="dxa"/>
          <w:trHeight w:val="142"/>
        </w:trPr>
        <w:tc>
          <w:tcPr>
            <w:tcW w:w="2668" w:type="dxa"/>
            <w:gridSpan w:val="3"/>
          </w:tcPr>
          <w:p w14:paraId="213099F4" w14:textId="77777777" w:rsidR="005401EF" w:rsidRPr="008B4FE6" w:rsidRDefault="005401EF" w:rsidP="00304931">
            <w:pPr>
              <w:tabs>
                <w:tab w:val="left" w:pos="1560"/>
              </w:tabs>
              <w:spacing w:before="40"/>
              <w:jc w:val="center"/>
              <w:rPr>
                <w:color w:val="000000"/>
              </w:rPr>
            </w:pPr>
            <w:r w:rsidRPr="00F652CE">
              <w:rPr>
                <w:color w:val="000000"/>
              </w:rPr>
              <w:t>Zakłady ubezpieczeń</w:t>
            </w:r>
            <w:r>
              <w:rPr>
                <w:color w:val="000000"/>
              </w:rPr>
              <w:t xml:space="preserve"> na życie działające </w:t>
            </w:r>
            <w:r w:rsidRPr="005769FF">
              <w:rPr>
                <w:color w:val="000000"/>
              </w:rPr>
              <w:t>w formie spółek akcyjnych</w:t>
            </w:r>
          </w:p>
        </w:tc>
        <w:tc>
          <w:tcPr>
            <w:tcW w:w="2292" w:type="dxa"/>
            <w:gridSpan w:val="8"/>
          </w:tcPr>
          <w:p w14:paraId="608EFBE2" w14:textId="77777777" w:rsidR="005401EF" w:rsidRPr="00B37C80" w:rsidRDefault="005401EF" w:rsidP="005F6CD6">
            <w:pPr>
              <w:spacing w:before="40"/>
              <w:jc w:val="center"/>
              <w:rPr>
                <w:color w:val="000000"/>
                <w:spacing w:val="-2"/>
              </w:rPr>
            </w:pPr>
            <w:r>
              <w:rPr>
                <w:color w:val="000000"/>
                <w:spacing w:val="-2"/>
              </w:rPr>
              <w:t>23</w:t>
            </w:r>
          </w:p>
        </w:tc>
        <w:tc>
          <w:tcPr>
            <w:tcW w:w="2996" w:type="dxa"/>
            <w:gridSpan w:val="12"/>
          </w:tcPr>
          <w:p w14:paraId="6861E990" w14:textId="02C48930" w:rsidR="005401EF" w:rsidRPr="00B37C80" w:rsidRDefault="005401EF" w:rsidP="001D048E">
            <w:pPr>
              <w:spacing w:before="40"/>
              <w:jc w:val="center"/>
              <w:rPr>
                <w:color w:val="000000"/>
                <w:spacing w:val="-2"/>
              </w:rPr>
            </w:pPr>
            <w:r>
              <w:rPr>
                <w:color w:val="000000"/>
                <w:spacing w:val="-2"/>
              </w:rPr>
              <w:t xml:space="preserve">Rejestr podmiotów sektora ubezpieczeniowego KNF </w:t>
            </w:r>
            <w:r w:rsidRPr="005769FF">
              <w:rPr>
                <w:color w:val="000000"/>
                <w:spacing w:val="-2"/>
              </w:rPr>
              <w:t xml:space="preserve">(stan </w:t>
            </w:r>
            <w:r w:rsidR="0027073D">
              <w:rPr>
                <w:color w:val="000000"/>
                <w:spacing w:val="-2"/>
              </w:rPr>
              <w:t xml:space="preserve">dzień </w:t>
            </w:r>
            <w:r w:rsidR="001D048E">
              <w:rPr>
                <w:color w:val="000000"/>
                <w:spacing w:val="-2"/>
              </w:rPr>
              <w:t>1</w:t>
            </w:r>
            <w:r w:rsidR="0027073D">
              <w:rPr>
                <w:color w:val="000000"/>
                <w:spacing w:val="-2"/>
              </w:rPr>
              <w:t xml:space="preserve"> </w:t>
            </w:r>
            <w:r w:rsidR="001D048E">
              <w:rPr>
                <w:color w:val="000000"/>
                <w:spacing w:val="-2"/>
              </w:rPr>
              <w:t>lipca</w:t>
            </w:r>
            <w:r w:rsidR="0027073D" w:rsidRPr="008C5F9E">
              <w:rPr>
                <w:color w:val="000000"/>
                <w:spacing w:val="-2"/>
              </w:rPr>
              <w:t xml:space="preserve"> </w:t>
            </w:r>
            <w:r w:rsidRPr="005769FF">
              <w:rPr>
                <w:color w:val="000000"/>
                <w:spacing w:val="-2"/>
              </w:rPr>
              <w:t>2020 r.)</w:t>
            </w:r>
          </w:p>
        </w:tc>
        <w:tc>
          <w:tcPr>
            <w:tcW w:w="2981" w:type="dxa"/>
            <w:gridSpan w:val="6"/>
          </w:tcPr>
          <w:p w14:paraId="0F4A18B3" w14:textId="77777777" w:rsidR="005401EF" w:rsidRPr="004B6DCE" w:rsidRDefault="005401EF" w:rsidP="005F6CD6">
            <w:pPr>
              <w:pStyle w:val="Akapitzlist"/>
              <w:spacing w:before="40"/>
              <w:ind w:left="45"/>
              <w:jc w:val="center"/>
              <w:rPr>
                <w:color w:val="000000"/>
                <w:spacing w:val="-2"/>
              </w:rPr>
            </w:pPr>
            <w:r w:rsidRPr="00825D70">
              <w:rPr>
                <w:color w:val="000000"/>
                <w:spacing w:val="-2"/>
              </w:rPr>
              <w:t>jw.</w:t>
            </w:r>
          </w:p>
        </w:tc>
      </w:tr>
      <w:tr w:rsidR="005401EF" w:rsidRPr="008B4FE6" w14:paraId="516DF66A" w14:textId="77777777" w:rsidTr="00676C8D">
        <w:trPr>
          <w:gridAfter w:val="1"/>
          <w:wAfter w:w="10" w:type="dxa"/>
          <w:trHeight w:val="142"/>
        </w:trPr>
        <w:tc>
          <w:tcPr>
            <w:tcW w:w="2668" w:type="dxa"/>
            <w:gridSpan w:val="3"/>
          </w:tcPr>
          <w:p w14:paraId="7494FD67" w14:textId="77777777" w:rsidR="005401EF" w:rsidRDefault="005401EF" w:rsidP="00304931">
            <w:pPr>
              <w:tabs>
                <w:tab w:val="left" w:pos="1560"/>
              </w:tabs>
              <w:spacing w:before="40"/>
              <w:jc w:val="center"/>
              <w:rPr>
                <w:color w:val="000000"/>
              </w:rPr>
            </w:pPr>
            <w:r>
              <w:rPr>
                <w:color w:val="000000"/>
              </w:rPr>
              <w:t>Z</w:t>
            </w:r>
            <w:r w:rsidRPr="005769FF">
              <w:rPr>
                <w:color w:val="000000"/>
              </w:rPr>
              <w:t>akłady ubezpieczeń na życie działające w formie towarzystwa ubezpieczeń wzajemnych</w:t>
            </w:r>
          </w:p>
        </w:tc>
        <w:tc>
          <w:tcPr>
            <w:tcW w:w="2292" w:type="dxa"/>
            <w:gridSpan w:val="8"/>
          </w:tcPr>
          <w:p w14:paraId="12CA425F" w14:textId="77777777" w:rsidR="005401EF" w:rsidRDefault="005401EF" w:rsidP="005F6CD6">
            <w:pPr>
              <w:spacing w:before="40"/>
              <w:jc w:val="center"/>
              <w:rPr>
                <w:color w:val="000000"/>
                <w:spacing w:val="-2"/>
              </w:rPr>
            </w:pPr>
            <w:r>
              <w:rPr>
                <w:color w:val="000000"/>
                <w:spacing w:val="-2"/>
              </w:rPr>
              <w:t>3</w:t>
            </w:r>
          </w:p>
        </w:tc>
        <w:tc>
          <w:tcPr>
            <w:tcW w:w="2996" w:type="dxa"/>
            <w:gridSpan w:val="12"/>
          </w:tcPr>
          <w:p w14:paraId="0589E0DA" w14:textId="668F0E59" w:rsidR="005401EF" w:rsidRDefault="005401EF" w:rsidP="00180D06">
            <w:pPr>
              <w:spacing w:before="40"/>
              <w:jc w:val="center"/>
              <w:rPr>
                <w:color w:val="000000"/>
                <w:spacing w:val="-2"/>
              </w:rPr>
            </w:pPr>
          </w:p>
          <w:p w14:paraId="7460E3FE" w14:textId="7B666676" w:rsidR="003A3C11" w:rsidRDefault="003A3C11">
            <w:pPr>
              <w:spacing w:before="40"/>
              <w:jc w:val="center"/>
              <w:rPr>
                <w:color w:val="000000"/>
                <w:spacing w:val="-2"/>
              </w:rPr>
            </w:pPr>
            <w:r>
              <w:rPr>
                <w:color w:val="000000"/>
                <w:spacing w:val="-2"/>
              </w:rPr>
              <w:t>jw.</w:t>
            </w:r>
          </w:p>
        </w:tc>
        <w:tc>
          <w:tcPr>
            <w:tcW w:w="2981" w:type="dxa"/>
            <w:gridSpan w:val="6"/>
          </w:tcPr>
          <w:p w14:paraId="44176AEE" w14:textId="77777777" w:rsidR="005401EF" w:rsidRDefault="005401EF">
            <w:pPr>
              <w:spacing w:before="40"/>
              <w:jc w:val="center"/>
              <w:rPr>
                <w:szCs w:val="24"/>
              </w:rPr>
            </w:pPr>
            <w:r w:rsidRPr="00825D70">
              <w:rPr>
                <w:color w:val="000000"/>
                <w:spacing w:val="-2"/>
              </w:rPr>
              <w:t>jw.</w:t>
            </w:r>
          </w:p>
        </w:tc>
      </w:tr>
      <w:tr w:rsidR="005401EF" w:rsidRPr="008B4FE6" w14:paraId="70F16692" w14:textId="77777777" w:rsidTr="00676C8D">
        <w:trPr>
          <w:gridAfter w:val="1"/>
          <w:wAfter w:w="10" w:type="dxa"/>
          <w:trHeight w:val="142"/>
        </w:trPr>
        <w:tc>
          <w:tcPr>
            <w:tcW w:w="2668" w:type="dxa"/>
            <w:gridSpan w:val="3"/>
          </w:tcPr>
          <w:p w14:paraId="02932511" w14:textId="77777777" w:rsidR="005401EF" w:rsidRDefault="005401EF" w:rsidP="00304931">
            <w:pPr>
              <w:tabs>
                <w:tab w:val="left" w:pos="1560"/>
              </w:tabs>
              <w:spacing w:before="40"/>
              <w:jc w:val="center"/>
              <w:rPr>
                <w:color w:val="000000"/>
              </w:rPr>
            </w:pPr>
            <w:r>
              <w:rPr>
                <w:color w:val="000000"/>
              </w:rPr>
              <w:t>Z</w:t>
            </w:r>
            <w:r w:rsidRPr="005769FF">
              <w:rPr>
                <w:color w:val="000000"/>
              </w:rPr>
              <w:t>akłady pozostałych ubezpieczeń osobowych i majątkowych działające w formie spółki akcyjnej</w:t>
            </w:r>
          </w:p>
        </w:tc>
        <w:tc>
          <w:tcPr>
            <w:tcW w:w="2292" w:type="dxa"/>
            <w:gridSpan w:val="8"/>
          </w:tcPr>
          <w:p w14:paraId="6201A782" w14:textId="77777777" w:rsidR="005401EF" w:rsidRDefault="005401EF" w:rsidP="005F6CD6">
            <w:pPr>
              <w:spacing w:before="40"/>
              <w:jc w:val="center"/>
              <w:rPr>
                <w:color w:val="000000"/>
                <w:spacing w:val="-2"/>
              </w:rPr>
            </w:pPr>
            <w:r>
              <w:rPr>
                <w:color w:val="000000"/>
                <w:spacing w:val="-2"/>
              </w:rPr>
              <w:t>25</w:t>
            </w:r>
          </w:p>
        </w:tc>
        <w:tc>
          <w:tcPr>
            <w:tcW w:w="2996" w:type="dxa"/>
            <w:gridSpan w:val="12"/>
          </w:tcPr>
          <w:p w14:paraId="260F622B" w14:textId="192653BC" w:rsidR="005401EF" w:rsidRDefault="005401EF" w:rsidP="00180D06">
            <w:pPr>
              <w:spacing w:before="40"/>
              <w:jc w:val="center"/>
              <w:rPr>
                <w:color w:val="000000"/>
                <w:spacing w:val="-2"/>
              </w:rPr>
            </w:pPr>
          </w:p>
          <w:p w14:paraId="7484181E" w14:textId="3735D1FB" w:rsidR="003A3C11" w:rsidRDefault="003A3C11">
            <w:pPr>
              <w:spacing w:before="40"/>
              <w:jc w:val="center"/>
              <w:rPr>
                <w:color w:val="000000"/>
                <w:spacing w:val="-2"/>
              </w:rPr>
            </w:pPr>
            <w:r>
              <w:rPr>
                <w:color w:val="000000"/>
                <w:spacing w:val="-2"/>
              </w:rPr>
              <w:t>jw.</w:t>
            </w:r>
          </w:p>
        </w:tc>
        <w:tc>
          <w:tcPr>
            <w:tcW w:w="2981" w:type="dxa"/>
            <w:gridSpan w:val="6"/>
          </w:tcPr>
          <w:p w14:paraId="0A9E2B57" w14:textId="77777777" w:rsidR="005401EF" w:rsidRPr="000D282A" w:rsidRDefault="005401EF">
            <w:pPr>
              <w:spacing w:before="40"/>
              <w:jc w:val="center"/>
              <w:rPr>
                <w:szCs w:val="24"/>
              </w:rPr>
            </w:pPr>
            <w:r w:rsidRPr="004128CE">
              <w:rPr>
                <w:color w:val="000000"/>
                <w:spacing w:val="-2"/>
              </w:rPr>
              <w:t>jw.</w:t>
            </w:r>
          </w:p>
        </w:tc>
      </w:tr>
      <w:tr w:rsidR="005401EF" w:rsidRPr="008B4FE6" w14:paraId="247F41A5" w14:textId="77777777" w:rsidTr="00676C8D">
        <w:trPr>
          <w:gridAfter w:val="1"/>
          <w:wAfter w:w="10" w:type="dxa"/>
          <w:trHeight w:val="142"/>
        </w:trPr>
        <w:tc>
          <w:tcPr>
            <w:tcW w:w="2668" w:type="dxa"/>
            <w:gridSpan w:val="3"/>
          </w:tcPr>
          <w:p w14:paraId="77F8D131" w14:textId="77777777" w:rsidR="005401EF" w:rsidRDefault="005401EF" w:rsidP="00304931">
            <w:pPr>
              <w:tabs>
                <w:tab w:val="left" w:pos="1560"/>
              </w:tabs>
              <w:spacing w:before="40"/>
              <w:jc w:val="center"/>
              <w:rPr>
                <w:color w:val="000000"/>
              </w:rPr>
            </w:pPr>
            <w:r>
              <w:rPr>
                <w:color w:val="000000"/>
              </w:rPr>
              <w:t>Z</w:t>
            </w:r>
            <w:r w:rsidRPr="005769FF">
              <w:rPr>
                <w:color w:val="000000"/>
              </w:rPr>
              <w:t>akłady pozostałych ubezpieczeń osobowych i majątkowych działających w formie towarzystwa ubezpieczeń wzajemnych</w:t>
            </w:r>
          </w:p>
        </w:tc>
        <w:tc>
          <w:tcPr>
            <w:tcW w:w="2292" w:type="dxa"/>
            <w:gridSpan w:val="8"/>
          </w:tcPr>
          <w:p w14:paraId="1F7E4335" w14:textId="7EB993C8" w:rsidR="005401EF" w:rsidRDefault="00C3262B" w:rsidP="005F6CD6">
            <w:pPr>
              <w:spacing w:before="40"/>
              <w:jc w:val="center"/>
              <w:rPr>
                <w:color w:val="000000"/>
                <w:spacing w:val="-2"/>
              </w:rPr>
            </w:pPr>
            <w:r>
              <w:rPr>
                <w:color w:val="000000"/>
                <w:spacing w:val="-2"/>
              </w:rPr>
              <w:t>8</w:t>
            </w:r>
          </w:p>
        </w:tc>
        <w:tc>
          <w:tcPr>
            <w:tcW w:w="2996" w:type="dxa"/>
            <w:gridSpan w:val="12"/>
          </w:tcPr>
          <w:p w14:paraId="26C5532A" w14:textId="6E67203F" w:rsidR="005401EF" w:rsidRDefault="005401EF" w:rsidP="00180D06">
            <w:pPr>
              <w:spacing w:before="40"/>
              <w:jc w:val="center"/>
              <w:rPr>
                <w:color w:val="000000"/>
                <w:spacing w:val="-2"/>
              </w:rPr>
            </w:pPr>
          </w:p>
          <w:p w14:paraId="49E50C37" w14:textId="7B1448F2" w:rsidR="003A3C11" w:rsidRDefault="003A3C11">
            <w:pPr>
              <w:spacing w:before="40"/>
              <w:jc w:val="center"/>
              <w:rPr>
                <w:color w:val="000000"/>
                <w:spacing w:val="-2"/>
              </w:rPr>
            </w:pPr>
            <w:r>
              <w:rPr>
                <w:color w:val="000000"/>
                <w:spacing w:val="-2"/>
              </w:rPr>
              <w:t>jw.</w:t>
            </w:r>
          </w:p>
        </w:tc>
        <w:tc>
          <w:tcPr>
            <w:tcW w:w="2981" w:type="dxa"/>
            <w:gridSpan w:val="6"/>
          </w:tcPr>
          <w:p w14:paraId="73126A27" w14:textId="77777777" w:rsidR="005401EF" w:rsidRPr="000D282A" w:rsidRDefault="005401EF">
            <w:pPr>
              <w:spacing w:before="40"/>
              <w:jc w:val="center"/>
              <w:rPr>
                <w:szCs w:val="24"/>
              </w:rPr>
            </w:pPr>
            <w:r w:rsidRPr="004128CE">
              <w:rPr>
                <w:color w:val="000000"/>
                <w:spacing w:val="-2"/>
              </w:rPr>
              <w:t>jw.</w:t>
            </w:r>
          </w:p>
        </w:tc>
      </w:tr>
      <w:tr w:rsidR="005401EF" w:rsidRPr="008B4FE6" w14:paraId="6C00FB32" w14:textId="77777777" w:rsidTr="00EA55E1">
        <w:trPr>
          <w:gridAfter w:val="1"/>
          <w:wAfter w:w="10" w:type="dxa"/>
          <w:trHeight w:val="630"/>
        </w:trPr>
        <w:tc>
          <w:tcPr>
            <w:tcW w:w="2668" w:type="dxa"/>
            <w:gridSpan w:val="3"/>
          </w:tcPr>
          <w:p w14:paraId="41062AF0" w14:textId="77777777" w:rsidR="005401EF" w:rsidRDefault="005401EF" w:rsidP="00304931">
            <w:pPr>
              <w:tabs>
                <w:tab w:val="left" w:pos="1560"/>
              </w:tabs>
              <w:spacing w:before="40"/>
              <w:jc w:val="center"/>
              <w:rPr>
                <w:color w:val="000000"/>
              </w:rPr>
            </w:pPr>
            <w:r>
              <w:rPr>
                <w:color w:val="000000"/>
              </w:rPr>
              <w:t>Zakład reasekuracji</w:t>
            </w:r>
          </w:p>
        </w:tc>
        <w:tc>
          <w:tcPr>
            <w:tcW w:w="2292" w:type="dxa"/>
            <w:gridSpan w:val="8"/>
          </w:tcPr>
          <w:p w14:paraId="24AA046B" w14:textId="77777777" w:rsidR="005401EF" w:rsidRDefault="005401EF" w:rsidP="005F6CD6">
            <w:pPr>
              <w:spacing w:before="40"/>
              <w:jc w:val="center"/>
              <w:rPr>
                <w:color w:val="000000"/>
                <w:spacing w:val="-2"/>
              </w:rPr>
            </w:pPr>
            <w:r>
              <w:rPr>
                <w:color w:val="000000"/>
                <w:spacing w:val="-2"/>
              </w:rPr>
              <w:t>1</w:t>
            </w:r>
          </w:p>
        </w:tc>
        <w:tc>
          <w:tcPr>
            <w:tcW w:w="2996" w:type="dxa"/>
            <w:gridSpan w:val="12"/>
          </w:tcPr>
          <w:p w14:paraId="29783E6F" w14:textId="17C1289D" w:rsidR="003A3C11" w:rsidRDefault="003A3C11" w:rsidP="00180D06">
            <w:pPr>
              <w:spacing w:before="40"/>
              <w:jc w:val="center"/>
              <w:rPr>
                <w:color w:val="000000"/>
                <w:spacing w:val="-2"/>
              </w:rPr>
            </w:pPr>
            <w:r>
              <w:rPr>
                <w:color w:val="000000"/>
                <w:spacing w:val="-2"/>
              </w:rPr>
              <w:t>jw.</w:t>
            </w:r>
          </w:p>
        </w:tc>
        <w:tc>
          <w:tcPr>
            <w:tcW w:w="2981" w:type="dxa"/>
            <w:gridSpan w:val="6"/>
          </w:tcPr>
          <w:p w14:paraId="537A61B3" w14:textId="77777777" w:rsidR="005401EF" w:rsidRDefault="005401EF">
            <w:pPr>
              <w:spacing w:before="40"/>
              <w:jc w:val="center"/>
              <w:rPr>
                <w:color w:val="000000"/>
                <w:spacing w:val="-2"/>
              </w:rPr>
            </w:pPr>
            <w:r w:rsidRPr="004128CE">
              <w:rPr>
                <w:color w:val="000000"/>
                <w:spacing w:val="-2"/>
              </w:rPr>
              <w:t>jw.</w:t>
            </w:r>
          </w:p>
          <w:p w14:paraId="2EE18D71" w14:textId="77777777" w:rsidR="008B6636" w:rsidRDefault="008B6636">
            <w:pPr>
              <w:spacing w:before="40"/>
              <w:jc w:val="center"/>
              <w:rPr>
                <w:szCs w:val="24"/>
              </w:rPr>
            </w:pPr>
          </w:p>
          <w:p w14:paraId="04FFFFB2" w14:textId="77777777" w:rsidR="009846FF" w:rsidRDefault="009846FF" w:rsidP="00EA55E1">
            <w:pPr>
              <w:spacing w:before="40"/>
              <w:rPr>
                <w:szCs w:val="24"/>
              </w:rPr>
            </w:pPr>
          </w:p>
        </w:tc>
      </w:tr>
      <w:tr w:rsidR="005401EF" w:rsidRPr="008B4FE6" w14:paraId="44A5BFBB" w14:textId="77777777" w:rsidTr="00676C8D">
        <w:trPr>
          <w:gridAfter w:val="1"/>
          <w:wAfter w:w="10" w:type="dxa"/>
          <w:trHeight w:val="302"/>
        </w:trPr>
        <w:tc>
          <w:tcPr>
            <w:tcW w:w="10937" w:type="dxa"/>
            <w:gridSpan w:val="29"/>
            <w:shd w:val="clear" w:color="auto" w:fill="99CCFF"/>
            <w:vAlign w:val="center"/>
          </w:tcPr>
          <w:p w14:paraId="7CB19B75" w14:textId="4E869D41" w:rsidR="005401EF" w:rsidRPr="00BE5F66" w:rsidRDefault="005401EF" w:rsidP="0019627B">
            <w:pPr>
              <w:pStyle w:val="Akapitzlist"/>
              <w:numPr>
                <w:ilvl w:val="0"/>
                <w:numId w:val="1"/>
              </w:numPr>
              <w:spacing w:before="60" w:after="60"/>
              <w:rPr>
                <w:b/>
                <w:color w:val="000000"/>
              </w:rPr>
            </w:pPr>
            <w:r w:rsidRPr="00BE5F66">
              <w:rPr>
                <w:b/>
                <w:color w:val="000000"/>
              </w:rPr>
              <w:t>Informacje na temat zakresu, czasu trwania i podsumowanie wyników konsultacji</w:t>
            </w:r>
          </w:p>
        </w:tc>
      </w:tr>
      <w:tr w:rsidR="005401EF" w:rsidRPr="008B4FE6" w14:paraId="68E25697" w14:textId="77777777" w:rsidTr="003A1C3A">
        <w:trPr>
          <w:gridAfter w:val="1"/>
          <w:wAfter w:w="10" w:type="dxa"/>
          <w:trHeight w:val="3505"/>
        </w:trPr>
        <w:tc>
          <w:tcPr>
            <w:tcW w:w="10937" w:type="dxa"/>
            <w:gridSpan w:val="29"/>
            <w:shd w:val="clear" w:color="auto" w:fill="FFFFFF"/>
          </w:tcPr>
          <w:p w14:paraId="25B935E3" w14:textId="1E3A9654" w:rsidR="005401EF" w:rsidRPr="0028619B" w:rsidRDefault="005401EF" w:rsidP="0028619B">
            <w:pPr>
              <w:spacing w:before="120" w:after="120"/>
              <w:rPr>
                <w:color w:val="000000"/>
                <w:spacing w:val="-2"/>
              </w:rPr>
            </w:pPr>
            <w:r w:rsidRPr="0028619B">
              <w:rPr>
                <w:color w:val="000000"/>
                <w:spacing w:val="-2"/>
              </w:rPr>
              <w:t>Projekt zostanie przekazany do konsultacji publicznych Związkowi Banków Polskich, Krajowemu Związkowi Banków Spółdzielczych, Giełdzie Papierów Wartościowych S. A w Warszawie, BondSpot S</w:t>
            </w:r>
            <w:r w:rsidR="00B50BFA">
              <w:rPr>
                <w:color w:val="000000"/>
                <w:spacing w:val="-2"/>
              </w:rPr>
              <w:t>.</w:t>
            </w:r>
            <w:r w:rsidRPr="0028619B">
              <w:rPr>
                <w:color w:val="000000"/>
                <w:spacing w:val="-2"/>
              </w:rPr>
              <w:t>A</w:t>
            </w:r>
            <w:r w:rsidR="00B50BFA">
              <w:rPr>
                <w:color w:val="000000"/>
                <w:spacing w:val="-2"/>
              </w:rPr>
              <w:t>.</w:t>
            </w:r>
            <w:r w:rsidRPr="0028619B">
              <w:rPr>
                <w:color w:val="000000"/>
                <w:spacing w:val="-2"/>
              </w:rPr>
              <w:t>, Krajowemu Depozytowi Papierów Wartościowych</w:t>
            </w:r>
            <w:r w:rsidR="00D05B78">
              <w:rPr>
                <w:color w:val="000000"/>
                <w:spacing w:val="-2"/>
              </w:rPr>
              <w:t xml:space="preserve"> S</w:t>
            </w:r>
            <w:r w:rsidR="00B50BFA">
              <w:rPr>
                <w:color w:val="000000"/>
                <w:spacing w:val="-2"/>
              </w:rPr>
              <w:t>.</w:t>
            </w:r>
            <w:r w:rsidR="00D05B78">
              <w:rPr>
                <w:color w:val="000000"/>
                <w:spacing w:val="-2"/>
              </w:rPr>
              <w:t>A</w:t>
            </w:r>
            <w:r w:rsidR="00B50BFA">
              <w:rPr>
                <w:color w:val="000000"/>
                <w:spacing w:val="-2"/>
              </w:rPr>
              <w:t>.</w:t>
            </w:r>
            <w:r w:rsidR="00D05B78">
              <w:rPr>
                <w:color w:val="000000"/>
                <w:spacing w:val="-2"/>
              </w:rPr>
              <w:t xml:space="preserve">, </w:t>
            </w:r>
            <w:r w:rsidRPr="0028619B">
              <w:rPr>
                <w:color w:val="000000"/>
                <w:spacing w:val="-2"/>
              </w:rPr>
              <w:t>Związkowi Maklerów i Doradców, Izbie Domów Maklerskich, Stowarzyszeniu Emitentów Giełdowych, Izbie Zarządzających Funduszami i Aktywami, Radzie Banków Depozytariuszy, Polskiemu Stowarzyszeniu Inwestorów Kapitałowych, Sto</w:t>
            </w:r>
            <w:r w:rsidR="00D05B78">
              <w:rPr>
                <w:color w:val="000000"/>
                <w:spacing w:val="-2"/>
              </w:rPr>
              <w:t xml:space="preserve">warzyszeniu Rynków Finansowych </w:t>
            </w:r>
            <w:r w:rsidRPr="0028619B">
              <w:rPr>
                <w:color w:val="000000"/>
                <w:spacing w:val="-2"/>
              </w:rPr>
              <w:t>ACI Polska, Federacji Przedsiębiorców Polskich, Izbie Rozliczeniowej Giełd Towarowych S.A</w:t>
            </w:r>
            <w:r w:rsidR="00B50BFA">
              <w:rPr>
                <w:color w:val="000000"/>
                <w:spacing w:val="-2"/>
              </w:rPr>
              <w:t>.</w:t>
            </w:r>
            <w:r w:rsidRPr="0028619B">
              <w:rPr>
                <w:color w:val="000000"/>
                <w:spacing w:val="-2"/>
              </w:rPr>
              <w:t>, Fundacji Polski Instytut Dyrektorów, CFA Society Poland, Polskiej Izbie Biegłych Rewidentów</w:t>
            </w:r>
            <w:r>
              <w:rPr>
                <w:color w:val="000000"/>
                <w:spacing w:val="-2"/>
              </w:rPr>
              <w:t>, Polskiej Izbie Ubezpieczeń i Polskiemu Stowarzyszeniu Aktuariuszy, Towarzystwu Funduszy Inwestycyjnych AGRO SA.</w:t>
            </w:r>
          </w:p>
          <w:p w14:paraId="7C0A7E37" w14:textId="49EBF089" w:rsidR="005401EF" w:rsidRDefault="005401EF" w:rsidP="0027073D">
            <w:pPr>
              <w:spacing w:before="120" w:after="120"/>
              <w:rPr>
                <w:color w:val="000000"/>
                <w:spacing w:val="-2"/>
              </w:rPr>
            </w:pPr>
            <w:r w:rsidRPr="0028619B">
              <w:rPr>
                <w:color w:val="000000"/>
                <w:spacing w:val="-2"/>
              </w:rPr>
              <w:t xml:space="preserve">Projekt zostanie także przekazany do zaopiniowania Narodowemu  Bankowi  Polskiemu, Komisji Nadzoru Finansowego, Bankowemu Funduszowi Gwarancyjnemu, Urzędowi Ochrony Konkurencji i Konsumentów, Rzecznikowi Finansowemu, Prokuratorii Generalnej </w:t>
            </w:r>
            <w:r w:rsidR="00514A1E">
              <w:rPr>
                <w:color w:val="000000"/>
                <w:spacing w:val="-2"/>
              </w:rPr>
              <w:t>Rzeczypospolitej Polskiej</w:t>
            </w:r>
            <w:r w:rsidRPr="0028619B">
              <w:rPr>
                <w:color w:val="000000"/>
                <w:spacing w:val="-2"/>
              </w:rPr>
              <w:t xml:space="preserve">, </w:t>
            </w:r>
            <w:r w:rsidR="003A3C11">
              <w:rPr>
                <w:color w:val="000000"/>
                <w:spacing w:val="-2"/>
              </w:rPr>
              <w:t xml:space="preserve">Prezesowi Urzędu </w:t>
            </w:r>
            <w:r w:rsidRPr="0028619B">
              <w:rPr>
                <w:color w:val="000000"/>
                <w:spacing w:val="-2"/>
              </w:rPr>
              <w:t>Ochrony Danych Osobowych</w:t>
            </w:r>
            <w:r>
              <w:rPr>
                <w:color w:val="000000"/>
                <w:spacing w:val="-2"/>
              </w:rPr>
              <w:t>.</w:t>
            </w:r>
          </w:p>
          <w:p w14:paraId="53010324" w14:textId="181A0CAD" w:rsidR="00A90545" w:rsidRPr="0027073D" w:rsidRDefault="00E41BD2" w:rsidP="005B5CC3">
            <w:pPr>
              <w:spacing w:before="120" w:after="120"/>
              <w:rPr>
                <w:color w:val="000000"/>
                <w:spacing w:val="-2"/>
              </w:rPr>
            </w:pPr>
            <w:r>
              <w:rPr>
                <w:color w:val="000000"/>
                <w:spacing w:val="-2"/>
              </w:rPr>
              <w:t xml:space="preserve">Przewidziano </w:t>
            </w:r>
            <w:r w:rsidR="00A90545" w:rsidRPr="00A90545">
              <w:rPr>
                <w:color w:val="000000"/>
                <w:spacing w:val="-2"/>
              </w:rPr>
              <w:t>21-dniow</w:t>
            </w:r>
            <w:r>
              <w:rPr>
                <w:color w:val="000000"/>
                <w:spacing w:val="-2"/>
              </w:rPr>
              <w:t>y</w:t>
            </w:r>
            <w:r w:rsidR="00A90545" w:rsidRPr="00A90545">
              <w:rPr>
                <w:color w:val="000000"/>
                <w:spacing w:val="-2"/>
              </w:rPr>
              <w:t xml:space="preserve"> termin</w:t>
            </w:r>
            <w:r>
              <w:rPr>
                <w:color w:val="000000"/>
                <w:spacing w:val="-2"/>
              </w:rPr>
              <w:t xml:space="preserve"> </w:t>
            </w:r>
            <w:r w:rsidR="00A90545" w:rsidRPr="00A90545">
              <w:rPr>
                <w:color w:val="000000"/>
                <w:spacing w:val="-2"/>
              </w:rPr>
              <w:t>zgł</w:t>
            </w:r>
            <w:r w:rsidR="005B5CC3">
              <w:rPr>
                <w:color w:val="000000"/>
                <w:spacing w:val="-2"/>
              </w:rPr>
              <w:t>a</w:t>
            </w:r>
            <w:r w:rsidR="00A90545" w:rsidRPr="00A90545">
              <w:rPr>
                <w:color w:val="000000"/>
                <w:spacing w:val="-2"/>
              </w:rPr>
              <w:t>sz</w:t>
            </w:r>
            <w:r w:rsidR="005B5CC3">
              <w:rPr>
                <w:color w:val="000000"/>
                <w:spacing w:val="-2"/>
              </w:rPr>
              <w:t>a</w:t>
            </w:r>
            <w:r w:rsidR="00A90545" w:rsidRPr="00A90545">
              <w:rPr>
                <w:color w:val="000000"/>
                <w:spacing w:val="-2"/>
              </w:rPr>
              <w:t>ni</w:t>
            </w:r>
            <w:r w:rsidR="00A90545">
              <w:rPr>
                <w:color w:val="000000"/>
                <w:spacing w:val="-2"/>
              </w:rPr>
              <w:t>a</w:t>
            </w:r>
            <w:r w:rsidR="00A90545" w:rsidRPr="00A90545">
              <w:rPr>
                <w:color w:val="000000"/>
                <w:spacing w:val="-2"/>
              </w:rPr>
              <w:t xml:space="preserve"> uwag.</w:t>
            </w:r>
          </w:p>
        </w:tc>
      </w:tr>
      <w:tr w:rsidR="005401EF" w:rsidRPr="008B4FE6" w14:paraId="5AC73A66" w14:textId="77777777" w:rsidTr="00676C8D">
        <w:trPr>
          <w:gridAfter w:val="1"/>
          <w:wAfter w:w="10" w:type="dxa"/>
          <w:trHeight w:val="363"/>
        </w:trPr>
        <w:tc>
          <w:tcPr>
            <w:tcW w:w="10937" w:type="dxa"/>
            <w:gridSpan w:val="29"/>
            <w:shd w:val="clear" w:color="auto" w:fill="99CCFF"/>
            <w:vAlign w:val="center"/>
          </w:tcPr>
          <w:p w14:paraId="4E20C8E1" w14:textId="0F82A3BE" w:rsidR="005401EF" w:rsidRPr="008B4FE6" w:rsidRDefault="00BE5F66" w:rsidP="00BE5F66">
            <w:pPr>
              <w:spacing w:before="60" w:after="60"/>
              <w:rPr>
                <w:b/>
                <w:color w:val="000000"/>
              </w:rPr>
            </w:pPr>
            <w:r>
              <w:rPr>
                <w:b/>
                <w:color w:val="000000"/>
              </w:rPr>
              <w:t xml:space="preserve">6. </w:t>
            </w:r>
            <w:r w:rsidR="005401EF" w:rsidRPr="008B4FE6">
              <w:rPr>
                <w:b/>
                <w:color w:val="000000"/>
              </w:rPr>
              <w:t xml:space="preserve"> Wpływ na sektor finansów publicznych</w:t>
            </w:r>
          </w:p>
        </w:tc>
      </w:tr>
      <w:tr w:rsidR="005401EF" w:rsidRPr="008B4FE6" w14:paraId="4A506DB9" w14:textId="77777777" w:rsidTr="00676C8D">
        <w:trPr>
          <w:gridAfter w:val="1"/>
          <w:wAfter w:w="10" w:type="dxa"/>
          <w:trHeight w:val="142"/>
        </w:trPr>
        <w:tc>
          <w:tcPr>
            <w:tcW w:w="3133" w:type="dxa"/>
            <w:gridSpan w:val="4"/>
            <w:vMerge w:val="restart"/>
            <w:shd w:val="clear" w:color="auto" w:fill="FFFFFF"/>
          </w:tcPr>
          <w:p w14:paraId="28185304" w14:textId="77777777" w:rsidR="005401EF" w:rsidRPr="00C53F26" w:rsidRDefault="005401EF" w:rsidP="002B5F66">
            <w:pPr>
              <w:spacing w:before="40" w:after="40"/>
              <w:rPr>
                <w:i/>
                <w:color w:val="000000"/>
                <w:sz w:val="21"/>
                <w:szCs w:val="21"/>
              </w:rPr>
            </w:pPr>
            <w:r w:rsidRPr="006F78C4">
              <w:rPr>
                <w:color w:val="000000"/>
                <w:sz w:val="21"/>
                <w:szCs w:val="21"/>
              </w:rPr>
              <w:t xml:space="preserve">(ceny </w:t>
            </w:r>
            <w:r>
              <w:rPr>
                <w:color w:val="000000"/>
                <w:sz w:val="21"/>
                <w:szCs w:val="21"/>
              </w:rPr>
              <w:t>stałe</w:t>
            </w:r>
            <w:r w:rsidRPr="006F78C4">
              <w:rPr>
                <w:color w:val="000000"/>
                <w:sz w:val="21"/>
                <w:szCs w:val="21"/>
              </w:rPr>
              <w:t xml:space="preserve"> z …… r.)</w:t>
            </w:r>
          </w:p>
        </w:tc>
        <w:tc>
          <w:tcPr>
            <w:tcW w:w="7804" w:type="dxa"/>
            <w:gridSpan w:val="25"/>
            <w:shd w:val="clear" w:color="auto" w:fill="FFFFFF"/>
          </w:tcPr>
          <w:p w14:paraId="483592E0" w14:textId="77777777" w:rsidR="005401EF" w:rsidRPr="00C53F26" w:rsidRDefault="005401EF" w:rsidP="002B5F66">
            <w:pPr>
              <w:spacing w:before="40" w:after="40"/>
              <w:jc w:val="center"/>
              <w:rPr>
                <w:i/>
                <w:color w:val="000000"/>
                <w:spacing w:val="-2"/>
                <w:sz w:val="21"/>
                <w:szCs w:val="21"/>
              </w:rPr>
            </w:pPr>
            <w:r w:rsidRPr="00C53F26">
              <w:rPr>
                <w:color w:val="000000"/>
                <w:sz w:val="21"/>
                <w:szCs w:val="21"/>
              </w:rPr>
              <w:t>Skutki w okresie 10 lat od wejścia w życie zmian [</w:t>
            </w:r>
            <w:r>
              <w:rPr>
                <w:color w:val="000000"/>
                <w:sz w:val="21"/>
                <w:szCs w:val="21"/>
              </w:rPr>
              <w:t xml:space="preserve">mln </w:t>
            </w:r>
            <w:r w:rsidRPr="00C53F26">
              <w:rPr>
                <w:color w:val="000000"/>
                <w:sz w:val="21"/>
                <w:szCs w:val="21"/>
              </w:rPr>
              <w:t>zł]</w:t>
            </w:r>
          </w:p>
        </w:tc>
      </w:tr>
      <w:tr w:rsidR="005401EF" w:rsidRPr="008B4FE6" w14:paraId="52EC2247" w14:textId="77777777" w:rsidTr="00676C8D">
        <w:trPr>
          <w:gridAfter w:val="1"/>
          <w:wAfter w:w="10" w:type="dxa"/>
          <w:trHeight w:val="142"/>
        </w:trPr>
        <w:tc>
          <w:tcPr>
            <w:tcW w:w="3133" w:type="dxa"/>
            <w:gridSpan w:val="4"/>
            <w:vMerge/>
            <w:shd w:val="clear" w:color="auto" w:fill="FFFFFF"/>
          </w:tcPr>
          <w:p w14:paraId="0A8E1D97" w14:textId="77777777" w:rsidR="005401EF" w:rsidRPr="00C53F26" w:rsidRDefault="005401EF" w:rsidP="002B5F66">
            <w:pPr>
              <w:spacing w:before="40" w:after="40"/>
              <w:rPr>
                <w:i/>
                <w:color w:val="000000"/>
                <w:sz w:val="21"/>
                <w:szCs w:val="21"/>
              </w:rPr>
            </w:pPr>
          </w:p>
        </w:tc>
        <w:tc>
          <w:tcPr>
            <w:tcW w:w="569" w:type="dxa"/>
            <w:gridSpan w:val="2"/>
            <w:shd w:val="clear" w:color="auto" w:fill="FFFFFF"/>
          </w:tcPr>
          <w:p w14:paraId="0911D2FF" w14:textId="77777777" w:rsidR="005401EF" w:rsidRPr="00C53F26" w:rsidRDefault="005401EF" w:rsidP="002B5F66">
            <w:pPr>
              <w:jc w:val="center"/>
              <w:rPr>
                <w:color w:val="000000"/>
                <w:sz w:val="21"/>
                <w:szCs w:val="21"/>
              </w:rPr>
            </w:pPr>
            <w:r w:rsidRPr="00C53F26">
              <w:rPr>
                <w:color w:val="000000"/>
                <w:sz w:val="21"/>
                <w:szCs w:val="21"/>
              </w:rPr>
              <w:t>0</w:t>
            </w:r>
          </w:p>
        </w:tc>
        <w:tc>
          <w:tcPr>
            <w:tcW w:w="570" w:type="dxa"/>
            <w:gridSpan w:val="2"/>
            <w:shd w:val="clear" w:color="auto" w:fill="FFFFFF"/>
          </w:tcPr>
          <w:p w14:paraId="0BD82967" w14:textId="77777777" w:rsidR="005401EF" w:rsidRPr="00C53F26" w:rsidRDefault="005401EF" w:rsidP="002B5F66">
            <w:pPr>
              <w:jc w:val="center"/>
              <w:rPr>
                <w:color w:val="000000"/>
                <w:sz w:val="21"/>
                <w:szCs w:val="21"/>
              </w:rPr>
            </w:pPr>
            <w:r w:rsidRPr="00C53F26">
              <w:rPr>
                <w:color w:val="000000"/>
                <w:sz w:val="21"/>
                <w:szCs w:val="21"/>
              </w:rPr>
              <w:t>1</w:t>
            </w:r>
          </w:p>
        </w:tc>
        <w:tc>
          <w:tcPr>
            <w:tcW w:w="570" w:type="dxa"/>
            <w:gridSpan w:val="2"/>
            <w:shd w:val="clear" w:color="auto" w:fill="FFFFFF"/>
          </w:tcPr>
          <w:p w14:paraId="7EB900B2" w14:textId="77777777" w:rsidR="005401EF" w:rsidRPr="00C53F26" w:rsidRDefault="005401EF" w:rsidP="002B5F66">
            <w:pPr>
              <w:jc w:val="center"/>
              <w:rPr>
                <w:color w:val="000000"/>
                <w:sz w:val="21"/>
                <w:szCs w:val="21"/>
              </w:rPr>
            </w:pPr>
            <w:r w:rsidRPr="00C53F26">
              <w:rPr>
                <w:color w:val="000000"/>
                <w:sz w:val="21"/>
                <w:szCs w:val="21"/>
              </w:rPr>
              <w:t>2</w:t>
            </w:r>
          </w:p>
        </w:tc>
        <w:tc>
          <w:tcPr>
            <w:tcW w:w="569" w:type="dxa"/>
            <w:gridSpan w:val="3"/>
            <w:shd w:val="clear" w:color="auto" w:fill="FFFFFF"/>
          </w:tcPr>
          <w:p w14:paraId="1A5CBA48" w14:textId="77777777" w:rsidR="005401EF" w:rsidRPr="00C53F26" w:rsidRDefault="005401EF" w:rsidP="002B5F66">
            <w:pPr>
              <w:jc w:val="center"/>
              <w:rPr>
                <w:color w:val="000000"/>
                <w:sz w:val="21"/>
                <w:szCs w:val="21"/>
              </w:rPr>
            </w:pPr>
            <w:r w:rsidRPr="00C53F26">
              <w:rPr>
                <w:color w:val="000000"/>
                <w:sz w:val="21"/>
                <w:szCs w:val="21"/>
              </w:rPr>
              <w:t>3</w:t>
            </w:r>
          </w:p>
        </w:tc>
        <w:tc>
          <w:tcPr>
            <w:tcW w:w="570" w:type="dxa"/>
            <w:gridSpan w:val="2"/>
            <w:shd w:val="clear" w:color="auto" w:fill="FFFFFF"/>
          </w:tcPr>
          <w:p w14:paraId="72631B51" w14:textId="77777777" w:rsidR="005401EF" w:rsidRPr="00C53F26" w:rsidRDefault="005401EF" w:rsidP="002B5F66">
            <w:pPr>
              <w:jc w:val="center"/>
              <w:rPr>
                <w:color w:val="000000"/>
                <w:sz w:val="21"/>
                <w:szCs w:val="21"/>
              </w:rPr>
            </w:pPr>
            <w:r w:rsidRPr="00C53F26">
              <w:rPr>
                <w:color w:val="000000"/>
                <w:sz w:val="21"/>
                <w:szCs w:val="21"/>
              </w:rPr>
              <w:t>4</w:t>
            </w:r>
          </w:p>
        </w:tc>
        <w:tc>
          <w:tcPr>
            <w:tcW w:w="570" w:type="dxa"/>
            <w:shd w:val="clear" w:color="auto" w:fill="FFFFFF"/>
          </w:tcPr>
          <w:p w14:paraId="5F1BF759" w14:textId="77777777" w:rsidR="005401EF" w:rsidRPr="00C53F26" w:rsidRDefault="005401EF" w:rsidP="002B5F66">
            <w:pPr>
              <w:jc w:val="center"/>
              <w:rPr>
                <w:color w:val="000000"/>
                <w:sz w:val="21"/>
                <w:szCs w:val="21"/>
              </w:rPr>
            </w:pPr>
            <w:r w:rsidRPr="00C53F26">
              <w:rPr>
                <w:color w:val="000000"/>
                <w:sz w:val="21"/>
                <w:szCs w:val="21"/>
              </w:rPr>
              <w:t>5</w:t>
            </w:r>
          </w:p>
        </w:tc>
        <w:tc>
          <w:tcPr>
            <w:tcW w:w="570" w:type="dxa"/>
            <w:gridSpan w:val="3"/>
            <w:shd w:val="clear" w:color="auto" w:fill="FFFFFF"/>
          </w:tcPr>
          <w:p w14:paraId="4EECF429" w14:textId="77777777" w:rsidR="005401EF" w:rsidRPr="00C53F26" w:rsidRDefault="005401EF" w:rsidP="002B5F66">
            <w:pPr>
              <w:jc w:val="center"/>
              <w:rPr>
                <w:color w:val="000000"/>
                <w:sz w:val="21"/>
                <w:szCs w:val="21"/>
              </w:rPr>
            </w:pPr>
            <w:r w:rsidRPr="00C53F26">
              <w:rPr>
                <w:color w:val="000000"/>
                <w:sz w:val="21"/>
                <w:szCs w:val="21"/>
              </w:rPr>
              <w:t>6</w:t>
            </w:r>
          </w:p>
        </w:tc>
        <w:tc>
          <w:tcPr>
            <w:tcW w:w="569" w:type="dxa"/>
            <w:gridSpan w:val="3"/>
            <w:shd w:val="clear" w:color="auto" w:fill="FFFFFF"/>
          </w:tcPr>
          <w:p w14:paraId="735FB922" w14:textId="77777777" w:rsidR="005401EF" w:rsidRPr="00C53F26" w:rsidRDefault="005401EF" w:rsidP="002B5F66">
            <w:pPr>
              <w:jc w:val="center"/>
              <w:rPr>
                <w:color w:val="000000"/>
                <w:sz w:val="21"/>
                <w:szCs w:val="21"/>
              </w:rPr>
            </w:pPr>
            <w:r w:rsidRPr="00C53F26">
              <w:rPr>
                <w:color w:val="000000"/>
                <w:sz w:val="21"/>
                <w:szCs w:val="21"/>
              </w:rPr>
              <w:t>7</w:t>
            </w:r>
          </w:p>
        </w:tc>
        <w:tc>
          <w:tcPr>
            <w:tcW w:w="570" w:type="dxa"/>
            <w:gridSpan w:val="2"/>
            <w:shd w:val="clear" w:color="auto" w:fill="FFFFFF"/>
          </w:tcPr>
          <w:p w14:paraId="3A4E514D" w14:textId="77777777" w:rsidR="005401EF" w:rsidRPr="00C53F26" w:rsidRDefault="005401EF" w:rsidP="002B5F66">
            <w:pPr>
              <w:jc w:val="center"/>
              <w:rPr>
                <w:color w:val="000000"/>
                <w:sz w:val="21"/>
                <w:szCs w:val="21"/>
              </w:rPr>
            </w:pPr>
            <w:r w:rsidRPr="00C53F26">
              <w:rPr>
                <w:color w:val="000000"/>
                <w:sz w:val="21"/>
                <w:szCs w:val="21"/>
              </w:rPr>
              <w:t>8</w:t>
            </w:r>
          </w:p>
        </w:tc>
        <w:tc>
          <w:tcPr>
            <w:tcW w:w="570" w:type="dxa"/>
            <w:gridSpan w:val="2"/>
            <w:shd w:val="clear" w:color="auto" w:fill="FFFFFF"/>
          </w:tcPr>
          <w:p w14:paraId="6991CBDD" w14:textId="77777777" w:rsidR="005401EF" w:rsidRPr="00C53F26" w:rsidRDefault="005401EF" w:rsidP="002B5F66">
            <w:pPr>
              <w:jc w:val="center"/>
              <w:rPr>
                <w:color w:val="000000"/>
                <w:sz w:val="21"/>
                <w:szCs w:val="21"/>
              </w:rPr>
            </w:pPr>
            <w:r w:rsidRPr="00C53F26">
              <w:rPr>
                <w:color w:val="000000"/>
                <w:sz w:val="21"/>
                <w:szCs w:val="21"/>
              </w:rPr>
              <w:t>9</w:t>
            </w:r>
          </w:p>
        </w:tc>
        <w:tc>
          <w:tcPr>
            <w:tcW w:w="570" w:type="dxa"/>
            <w:shd w:val="clear" w:color="auto" w:fill="FFFFFF"/>
          </w:tcPr>
          <w:p w14:paraId="1946D5C6" w14:textId="77777777" w:rsidR="005401EF" w:rsidRPr="00C53F26" w:rsidRDefault="005401EF" w:rsidP="002B5F66">
            <w:pPr>
              <w:jc w:val="center"/>
              <w:rPr>
                <w:color w:val="000000"/>
                <w:sz w:val="21"/>
                <w:szCs w:val="21"/>
              </w:rPr>
            </w:pPr>
            <w:r w:rsidRPr="00C53F26">
              <w:rPr>
                <w:color w:val="000000"/>
                <w:sz w:val="21"/>
                <w:szCs w:val="21"/>
              </w:rPr>
              <w:t>10</w:t>
            </w:r>
          </w:p>
        </w:tc>
        <w:tc>
          <w:tcPr>
            <w:tcW w:w="1537" w:type="dxa"/>
            <w:gridSpan w:val="2"/>
            <w:shd w:val="clear" w:color="auto" w:fill="FFFFFF"/>
          </w:tcPr>
          <w:p w14:paraId="4D83C367" w14:textId="77777777" w:rsidR="005401EF" w:rsidRPr="00C53F26" w:rsidRDefault="005401EF" w:rsidP="002B5F66">
            <w:pPr>
              <w:spacing w:before="40" w:after="40"/>
              <w:jc w:val="center"/>
              <w:rPr>
                <w:i/>
                <w:color w:val="000000"/>
                <w:spacing w:val="-2"/>
                <w:sz w:val="21"/>
                <w:szCs w:val="21"/>
              </w:rPr>
            </w:pPr>
            <w:r w:rsidRPr="00C53F26">
              <w:rPr>
                <w:i/>
                <w:color w:val="000000"/>
                <w:spacing w:val="-2"/>
                <w:sz w:val="21"/>
                <w:szCs w:val="21"/>
              </w:rPr>
              <w:t>Łącznie</w:t>
            </w:r>
            <w:r>
              <w:rPr>
                <w:i/>
                <w:color w:val="000000"/>
                <w:spacing w:val="-2"/>
                <w:sz w:val="21"/>
                <w:szCs w:val="21"/>
              </w:rPr>
              <w:t xml:space="preserve"> (0-10)</w:t>
            </w:r>
          </w:p>
        </w:tc>
      </w:tr>
      <w:tr w:rsidR="005401EF" w:rsidRPr="008B4FE6" w14:paraId="7E2604D8" w14:textId="77777777" w:rsidTr="00676C8D">
        <w:trPr>
          <w:trHeight w:val="321"/>
        </w:trPr>
        <w:tc>
          <w:tcPr>
            <w:tcW w:w="3133" w:type="dxa"/>
            <w:gridSpan w:val="4"/>
            <w:shd w:val="clear" w:color="auto" w:fill="FFFFFF"/>
            <w:vAlign w:val="center"/>
          </w:tcPr>
          <w:p w14:paraId="47EBF228" w14:textId="77777777" w:rsidR="005401EF" w:rsidRPr="00C53F26" w:rsidRDefault="005401EF" w:rsidP="002B5F66">
            <w:pPr>
              <w:rPr>
                <w:color w:val="000000"/>
                <w:sz w:val="21"/>
                <w:szCs w:val="21"/>
              </w:rPr>
            </w:pPr>
            <w:r w:rsidRPr="00C53F26">
              <w:rPr>
                <w:b/>
                <w:color w:val="000000"/>
                <w:sz w:val="21"/>
                <w:szCs w:val="21"/>
              </w:rPr>
              <w:t>Dochody ogółem</w:t>
            </w:r>
          </w:p>
        </w:tc>
        <w:tc>
          <w:tcPr>
            <w:tcW w:w="569" w:type="dxa"/>
            <w:gridSpan w:val="2"/>
            <w:shd w:val="clear" w:color="auto" w:fill="FFFFFF"/>
          </w:tcPr>
          <w:p w14:paraId="41B5C5BE" w14:textId="77777777" w:rsidR="005401EF" w:rsidRPr="00B37C80" w:rsidRDefault="005401EF" w:rsidP="002B5F66">
            <w:pPr>
              <w:jc w:val="center"/>
              <w:rPr>
                <w:color w:val="000000"/>
                <w:sz w:val="21"/>
                <w:szCs w:val="21"/>
              </w:rPr>
            </w:pPr>
            <w:r>
              <w:rPr>
                <w:color w:val="000000"/>
                <w:sz w:val="21"/>
                <w:szCs w:val="21"/>
              </w:rPr>
              <w:t>0</w:t>
            </w:r>
          </w:p>
        </w:tc>
        <w:tc>
          <w:tcPr>
            <w:tcW w:w="570" w:type="dxa"/>
            <w:gridSpan w:val="2"/>
            <w:shd w:val="clear" w:color="auto" w:fill="FFFFFF"/>
          </w:tcPr>
          <w:p w14:paraId="756FE25C" w14:textId="77777777" w:rsidR="005401EF" w:rsidRPr="00B37C80" w:rsidRDefault="005401EF" w:rsidP="002B5F66">
            <w:pPr>
              <w:jc w:val="center"/>
              <w:rPr>
                <w:color w:val="000000"/>
                <w:sz w:val="21"/>
                <w:szCs w:val="21"/>
              </w:rPr>
            </w:pPr>
            <w:r>
              <w:rPr>
                <w:color w:val="000000"/>
                <w:sz w:val="21"/>
                <w:szCs w:val="21"/>
              </w:rPr>
              <w:t>0</w:t>
            </w:r>
          </w:p>
        </w:tc>
        <w:tc>
          <w:tcPr>
            <w:tcW w:w="570" w:type="dxa"/>
            <w:gridSpan w:val="2"/>
            <w:shd w:val="clear" w:color="auto" w:fill="FFFFFF"/>
          </w:tcPr>
          <w:p w14:paraId="604BE98B" w14:textId="77777777" w:rsidR="005401EF" w:rsidRPr="00B37C80" w:rsidRDefault="005401EF" w:rsidP="002B5F66">
            <w:pPr>
              <w:jc w:val="center"/>
              <w:rPr>
                <w:color w:val="000000"/>
                <w:sz w:val="21"/>
                <w:szCs w:val="21"/>
              </w:rPr>
            </w:pPr>
            <w:r>
              <w:rPr>
                <w:color w:val="000000"/>
                <w:sz w:val="21"/>
                <w:szCs w:val="21"/>
              </w:rPr>
              <w:t>0</w:t>
            </w:r>
          </w:p>
        </w:tc>
        <w:tc>
          <w:tcPr>
            <w:tcW w:w="569" w:type="dxa"/>
            <w:gridSpan w:val="3"/>
            <w:shd w:val="clear" w:color="auto" w:fill="FFFFFF"/>
          </w:tcPr>
          <w:p w14:paraId="5B4B58BB" w14:textId="77777777" w:rsidR="005401EF" w:rsidRPr="00B37C80" w:rsidRDefault="005401EF" w:rsidP="002B5F66">
            <w:pPr>
              <w:jc w:val="center"/>
              <w:rPr>
                <w:color w:val="000000"/>
                <w:sz w:val="21"/>
                <w:szCs w:val="21"/>
              </w:rPr>
            </w:pPr>
            <w:r>
              <w:rPr>
                <w:color w:val="000000"/>
                <w:sz w:val="21"/>
                <w:szCs w:val="21"/>
              </w:rPr>
              <w:t>0</w:t>
            </w:r>
          </w:p>
        </w:tc>
        <w:tc>
          <w:tcPr>
            <w:tcW w:w="570" w:type="dxa"/>
            <w:gridSpan w:val="2"/>
            <w:shd w:val="clear" w:color="auto" w:fill="FFFFFF"/>
          </w:tcPr>
          <w:p w14:paraId="7497D29A" w14:textId="77777777" w:rsidR="005401EF" w:rsidRPr="00B37C80" w:rsidRDefault="005401EF" w:rsidP="002B5F66">
            <w:pPr>
              <w:jc w:val="center"/>
              <w:rPr>
                <w:color w:val="000000"/>
                <w:sz w:val="21"/>
                <w:szCs w:val="21"/>
              </w:rPr>
            </w:pPr>
            <w:r>
              <w:rPr>
                <w:color w:val="000000"/>
                <w:sz w:val="21"/>
                <w:szCs w:val="21"/>
              </w:rPr>
              <w:t>0</w:t>
            </w:r>
          </w:p>
        </w:tc>
        <w:tc>
          <w:tcPr>
            <w:tcW w:w="570" w:type="dxa"/>
            <w:shd w:val="clear" w:color="auto" w:fill="FFFFFF"/>
          </w:tcPr>
          <w:p w14:paraId="7F774185" w14:textId="77777777" w:rsidR="005401EF" w:rsidRPr="00B37C80" w:rsidRDefault="005401EF" w:rsidP="002B5F66">
            <w:pPr>
              <w:jc w:val="center"/>
              <w:rPr>
                <w:color w:val="000000"/>
                <w:sz w:val="21"/>
                <w:szCs w:val="21"/>
              </w:rPr>
            </w:pPr>
            <w:r>
              <w:rPr>
                <w:color w:val="000000"/>
                <w:sz w:val="21"/>
                <w:szCs w:val="21"/>
              </w:rPr>
              <w:t>0</w:t>
            </w:r>
          </w:p>
        </w:tc>
        <w:tc>
          <w:tcPr>
            <w:tcW w:w="570" w:type="dxa"/>
            <w:gridSpan w:val="3"/>
            <w:shd w:val="clear" w:color="auto" w:fill="FFFFFF"/>
          </w:tcPr>
          <w:p w14:paraId="1D199AF5" w14:textId="77777777" w:rsidR="005401EF" w:rsidRPr="00B37C80" w:rsidRDefault="005401EF" w:rsidP="002B5F66">
            <w:pPr>
              <w:jc w:val="center"/>
              <w:rPr>
                <w:color w:val="000000"/>
                <w:sz w:val="21"/>
                <w:szCs w:val="21"/>
              </w:rPr>
            </w:pPr>
            <w:r>
              <w:rPr>
                <w:color w:val="000000"/>
                <w:sz w:val="21"/>
                <w:szCs w:val="21"/>
              </w:rPr>
              <w:t>0</w:t>
            </w:r>
          </w:p>
        </w:tc>
        <w:tc>
          <w:tcPr>
            <w:tcW w:w="569" w:type="dxa"/>
            <w:gridSpan w:val="3"/>
            <w:shd w:val="clear" w:color="auto" w:fill="FFFFFF"/>
          </w:tcPr>
          <w:p w14:paraId="7A5A646B" w14:textId="77777777" w:rsidR="005401EF" w:rsidRPr="00B37C80" w:rsidRDefault="005401EF" w:rsidP="002B5F66">
            <w:pPr>
              <w:jc w:val="center"/>
              <w:rPr>
                <w:color w:val="000000"/>
                <w:sz w:val="21"/>
                <w:szCs w:val="21"/>
              </w:rPr>
            </w:pPr>
            <w:r>
              <w:rPr>
                <w:color w:val="000000"/>
                <w:sz w:val="21"/>
                <w:szCs w:val="21"/>
              </w:rPr>
              <w:t>0</w:t>
            </w:r>
          </w:p>
        </w:tc>
        <w:tc>
          <w:tcPr>
            <w:tcW w:w="570" w:type="dxa"/>
            <w:gridSpan w:val="2"/>
            <w:shd w:val="clear" w:color="auto" w:fill="FFFFFF"/>
          </w:tcPr>
          <w:p w14:paraId="78CB5EA5" w14:textId="77777777" w:rsidR="005401EF" w:rsidRPr="00B37C80" w:rsidRDefault="005401EF" w:rsidP="002B5F66">
            <w:pPr>
              <w:jc w:val="center"/>
              <w:rPr>
                <w:color w:val="000000"/>
                <w:sz w:val="21"/>
                <w:szCs w:val="21"/>
              </w:rPr>
            </w:pPr>
            <w:r>
              <w:rPr>
                <w:color w:val="000000"/>
                <w:sz w:val="21"/>
                <w:szCs w:val="21"/>
              </w:rPr>
              <w:t>0</w:t>
            </w:r>
          </w:p>
        </w:tc>
        <w:tc>
          <w:tcPr>
            <w:tcW w:w="570" w:type="dxa"/>
            <w:gridSpan w:val="2"/>
            <w:shd w:val="clear" w:color="auto" w:fill="FFFFFF"/>
          </w:tcPr>
          <w:p w14:paraId="2CFAD0DC" w14:textId="77777777" w:rsidR="005401EF" w:rsidRPr="00B37C80" w:rsidRDefault="005401EF" w:rsidP="002B5F66">
            <w:pPr>
              <w:jc w:val="center"/>
              <w:rPr>
                <w:color w:val="000000"/>
                <w:sz w:val="21"/>
                <w:szCs w:val="21"/>
              </w:rPr>
            </w:pPr>
            <w:r>
              <w:rPr>
                <w:color w:val="000000"/>
                <w:sz w:val="21"/>
                <w:szCs w:val="21"/>
              </w:rPr>
              <w:t>0</w:t>
            </w:r>
          </w:p>
        </w:tc>
        <w:tc>
          <w:tcPr>
            <w:tcW w:w="570" w:type="dxa"/>
            <w:shd w:val="clear" w:color="auto" w:fill="FFFFFF"/>
          </w:tcPr>
          <w:p w14:paraId="2D2B5792" w14:textId="77777777" w:rsidR="005401EF" w:rsidRPr="00B37C80" w:rsidRDefault="005401EF" w:rsidP="002B5F66">
            <w:pPr>
              <w:jc w:val="center"/>
              <w:rPr>
                <w:color w:val="000000"/>
                <w:sz w:val="21"/>
                <w:szCs w:val="21"/>
              </w:rPr>
            </w:pPr>
            <w:r>
              <w:rPr>
                <w:color w:val="000000"/>
                <w:sz w:val="21"/>
                <w:szCs w:val="21"/>
              </w:rPr>
              <w:t>0</w:t>
            </w:r>
          </w:p>
        </w:tc>
        <w:tc>
          <w:tcPr>
            <w:tcW w:w="1547" w:type="dxa"/>
            <w:gridSpan w:val="3"/>
            <w:shd w:val="clear" w:color="auto" w:fill="FFFFFF"/>
          </w:tcPr>
          <w:p w14:paraId="72CB5919" w14:textId="77777777" w:rsidR="005401EF" w:rsidRPr="00B37C80" w:rsidRDefault="005401EF" w:rsidP="002B5F66">
            <w:pPr>
              <w:jc w:val="center"/>
              <w:rPr>
                <w:color w:val="000000"/>
                <w:spacing w:val="-2"/>
                <w:sz w:val="21"/>
                <w:szCs w:val="21"/>
              </w:rPr>
            </w:pPr>
            <w:r>
              <w:rPr>
                <w:color w:val="000000"/>
                <w:sz w:val="21"/>
                <w:szCs w:val="21"/>
              </w:rPr>
              <w:t>0 zł</w:t>
            </w:r>
          </w:p>
        </w:tc>
      </w:tr>
      <w:tr w:rsidR="005401EF" w:rsidRPr="008B4FE6" w14:paraId="003EAFA1" w14:textId="77777777" w:rsidTr="00676C8D">
        <w:trPr>
          <w:trHeight w:val="321"/>
        </w:trPr>
        <w:tc>
          <w:tcPr>
            <w:tcW w:w="3133" w:type="dxa"/>
            <w:gridSpan w:val="4"/>
            <w:shd w:val="clear" w:color="auto" w:fill="FFFFFF"/>
            <w:vAlign w:val="center"/>
          </w:tcPr>
          <w:p w14:paraId="1394E0E9" w14:textId="77777777" w:rsidR="005401EF" w:rsidRPr="00C53F26" w:rsidRDefault="005401EF" w:rsidP="002B5F66">
            <w:pPr>
              <w:rPr>
                <w:color w:val="000000"/>
                <w:sz w:val="21"/>
                <w:szCs w:val="21"/>
              </w:rPr>
            </w:pPr>
            <w:r w:rsidRPr="00C53F26">
              <w:rPr>
                <w:color w:val="000000"/>
                <w:sz w:val="21"/>
                <w:szCs w:val="21"/>
              </w:rPr>
              <w:t>budżet państwa</w:t>
            </w:r>
          </w:p>
        </w:tc>
        <w:tc>
          <w:tcPr>
            <w:tcW w:w="569" w:type="dxa"/>
            <w:gridSpan w:val="2"/>
            <w:shd w:val="clear" w:color="auto" w:fill="FFFFFF"/>
          </w:tcPr>
          <w:p w14:paraId="518509A9" w14:textId="77777777" w:rsidR="005401EF" w:rsidRPr="00B37C80" w:rsidRDefault="005401EF" w:rsidP="002B5F66">
            <w:pPr>
              <w:rPr>
                <w:color w:val="000000"/>
                <w:sz w:val="21"/>
                <w:szCs w:val="21"/>
              </w:rPr>
            </w:pPr>
          </w:p>
        </w:tc>
        <w:tc>
          <w:tcPr>
            <w:tcW w:w="570" w:type="dxa"/>
            <w:gridSpan w:val="2"/>
            <w:shd w:val="clear" w:color="auto" w:fill="FFFFFF"/>
          </w:tcPr>
          <w:p w14:paraId="77D06904" w14:textId="77777777" w:rsidR="005401EF" w:rsidRPr="00B37C80" w:rsidRDefault="005401EF" w:rsidP="002B5F66">
            <w:pPr>
              <w:rPr>
                <w:color w:val="000000"/>
                <w:sz w:val="21"/>
                <w:szCs w:val="21"/>
              </w:rPr>
            </w:pPr>
          </w:p>
        </w:tc>
        <w:tc>
          <w:tcPr>
            <w:tcW w:w="570" w:type="dxa"/>
            <w:gridSpan w:val="2"/>
            <w:shd w:val="clear" w:color="auto" w:fill="FFFFFF"/>
          </w:tcPr>
          <w:p w14:paraId="1159A961" w14:textId="77777777" w:rsidR="005401EF" w:rsidRPr="00B37C80" w:rsidRDefault="005401EF" w:rsidP="002B5F66">
            <w:pPr>
              <w:rPr>
                <w:color w:val="000000"/>
                <w:sz w:val="21"/>
                <w:szCs w:val="21"/>
              </w:rPr>
            </w:pPr>
          </w:p>
        </w:tc>
        <w:tc>
          <w:tcPr>
            <w:tcW w:w="569" w:type="dxa"/>
            <w:gridSpan w:val="3"/>
            <w:shd w:val="clear" w:color="auto" w:fill="FFFFFF"/>
          </w:tcPr>
          <w:p w14:paraId="37C3A982" w14:textId="77777777" w:rsidR="005401EF" w:rsidRPr="00B37C80" w:rsidRDefault="005401EF" w:rsidP="002B5F66">
            <w:pPr>
              <w:rPr>
                <w:color w:val="000000"/>
                <w:sz w:val="21"/>
                <w:szCs w:val="21"/>
              </w:rPr>
            </w:pPr>
          </w:p>
        </w:tc>
        <w:tc>
          <w:tcPr>
            <w:tcW w:w="570" w:type="dxa"/>
            <w:gridSpan w:val="2"/>
            <w:shd w:val="clear" w:color="auto" w:fill="FFFFFF"/>
          </w:tcPr>
          <w:p w14:paraId="684AADB3" w14:textId="77777777" w:rsidR="005401EF" w:rsidRPr="00B37C80" w:rsidRDefault="005401EF" w:rsidP="002B5F66">
            <w:pPr>
              <w:rPr>
                <w:color w:val="000000"/>
                <w:sz w:val="21"/>
                <w:szCs w:val="21"/>
              </w:rPr>
            </w:pPr>
          </w:p>
        </w:tc>
        <w:tc>
          <w:tcPr>
            <w:tcW w:w="570" w:type="dxa"/>
            <w:shd w:val="clear" w:color="auto" w:fill="FFFFFF"/>
          </w:tcPr>
          <w:p w14:paraId="13F6A530" w14:textId="77777777" w:rsidR="005401EF" w:rsidRPr="00B37C80" w:rsidRDefault="005401EF" w:rsidP="002B5F66">
            <w:pPr>
              <w:rPr>
                <w:color w:val="000000"/>
                <w:sz w:val="21"/>
                <w:szCs w:val="21"/>
              </w:rPr>
            </w:pPr>
          </w:p>
        </w:tc>
        <w:tc>
          <w:tcPr>
            <w:tcW w:w="570" w:type="dxa"/>
            <w:gridSpan w:val="3"/>
            <w:shd w:val="clear" w:color="auto" w:fill="FFFFFF"/>
          </w:tcPr>
          <w:p w14:paraId="782BF142" w14:textId="77777777" w:rsidR="005401EF" w:rsidRPr="00B37C80" w:rsidRDefault="005401EF" w:rsidP="002B5F66">
            <w:pPr>
              <w:rPr>
                <w:color w:val="000000"/>
                <w:sz w:val="21"/>
                <w:szCs w:val="21"/>
              </w:rPr>
            </w:pPr>
          </w:p>
        </w:tc>
        <w:tc>
          <w:tcPr>
            <w:tcW w:w="569" w:type="dxa"/>
            <w:gridSpan w:val="3"/>
            <w:shd w:val="clear" w:color="auto" w:fill="FFFFFF"/>
          </w:tcPr>
          <w:p w14:paraId="48D3747A" w14:textId="77777777" w:rsidR="005401EF" w:rsidRPr="00B37C80" w:rsidRDefault="005401EF" w:rsidP="002B5F66">
            <w:pPr>
              <w:rPr>
                <w:color w:val="000000"/>
                <w:sz w:val="21"/>
                <w:szCs w:val="21"/>
              </w:rPr>
            </w:pPr>
          </w:p>
        </w:tc>
        <w:tc>
          <w:tcPr>
            <w:tcW w:w="570" w:type="dxa"/>
            <w:gridSpan w:val="2"/>
            <w:shd w:val="clear" w:color="auto" w:fill="FFFFFF"/>
          </w:tcPr>
          <w:p w14:paraId="73283DC4" w14:textId="77777777" w:rsidR="005401EF" w:rsidRPr="00B37C80" w:rsidRDefault="005401EF" w:rsidP="002B5F66">
            <w:pPr>
              <w:rPr>
                <w:color w:val="000000"/>
                <w:sz w:val="21"/>
                <w:szCs w:val="21"/>
              </w:rPr>
            </w:pPr>
          </w:p>
        </w:tc>
        <w:tc>
          <w:tcPr>
            <w:tcW w:w="570" w:type="dxa"/>
            <w:gridSpan w:val="2"/>
            <w:shd w:val="clear" w:color="auto" w:fill="FFFFFF"/>
          </w:tcPr>
          <w:p w14:paraId="69D6730C" w14:textId="77777777" w:rsidR="005401EF" w:rsidRPr="00B37C80" w:rsidRDefault="005401EF" w:rsidP="002B5F66">
            <w:pPr>
              <w:rPr>
                <w:color w:val="000000"/>
                <w:sz w:val="21"/>
                <w:szCs w:val="21"/>
              </w:rPr>
            </w:pPr>
          </w:p>
        </w:tc>
        <w:tc>
          <w:tcPr>
            <w:tcW w:w="570" w:type="dxa"/>
            <w:shd w:val="clear" w:color="auto" w:fill="FFFFFF"/>
          </w:tcPr>
          <w:p w14:paraId="63089476" w14:textId="77777777" w:rsidR="005401EF" w:rsidRPr="00B37C80" w:rsidRDefault="005401EF" w:rsidP="002B5F66">
            <w:pPr>
              <w:rPr>
                <w:color w:val="000000"/>
                <w:sz w:val="21"/>
                <w:szCs w:val="21"/>
              </w:rPr>
            </w:pPr>
          </w:p>
        </w:tc>
        <w:tc>
          <w:tcPr>
            <w:tcW w:w="1547" w:type="dxa"/>
            <w:gridSpan w:val="3"/>
            <w:shd w:val="clear" w:color="auto" w:fill="FFFFFF"/>
          </w:tcPr>
          <w:p w14:paraId="5B344B6E" w14:textId="77777777" w:rsidR="005401EF" w:rsidRPr="00B37C80" w:rsidRDefault="005401EF" w:rsidP="002B5F66">
            <w:pPr>
              <w:rPr>
                <w:color w:val="000000"/>
                <w:spacing w:val="-2"/>
                <w:sz w:val="21"/>
                <w:szCs w:val="21"/>
              </w:rPr>
            </w:pPr>
          </w:p>
        </w:tc>
      </w:tr>
      <w:tr w:rsidR="005401EF" w:rsidRPr="008B4FE6" w14:paraId="2DC0CA62" w14:textId="77777777" w:rsidTr="00676C8D">
        <w:trPr>
          <w:trHeight w:val="344"/>
        </w:trPr>
        <w:tc>
          <w:tcPr>
            <w:tcW w:w="3133" w:type="dxa"/>
            <w:gridSpan w:val="4"/>
            <w:shd w:val="clear" w:color="auto" w:fill="FFFFFF"/>
            <w:vAlign w:val="center"/>
          </w:tcPr>
          <w:p w14:paraId="7FE45FD8" w14:textId="77777777" w:rsidR="005401EF" w:rsidRPr="00C53F26" w:rsidRDefault="005401EF" w:rsidP="002B5F66">
            <w:pPr>
              <w:rPr>
                <w:color w:val="000000"/>
                <w:sz w:val="21"/>
                <w:szCs w:val="21"/>
              </w:rPr>
            </w:pPr>
            <w:r w:rsidRPr="00C53F26">
              <w:rPr>
                <w:color w:val="000000"/>
                <w:sz w:val="21"/>
                <w:szCs w:val="21"/>
              </w:rPr>
              <w:t>JST</w:t>
            </w:r>
          </w:p>
        </w:tc>
        <w:tc>
          <w:tcPr>
            <w:tcW w:w="569" w:type="dxa"/>
            <w:gridSpan w:val="2"/>
            <w:shd w:val="clear" w:color="auto" w:fill="FFFFFF"/>
          </w:tcPr>
          <w:p w14:paraId="773DCFB0" w14:textId="77777777" w:rsidR="005401EF" w:rsidRPr="00B37C80" w:rsidRDefault="005401EF" w:rsidP="002B5F66">
            <w:pPr>
              <w:rPr>
                <w:color w:val="000000"/>
                <w:sz w:val="21"/>
                <w:szCs w:val="21"/>
              </w:rPr>
            </w:pPr>
          </w:p>
        </w:tc>
        <w:tc>
          <w:tcPr>
            <w:tcW w:w="570" w:type="dxa"/>
            <w:gridSpan w:val="2"/>
            <w:shd w:val="clear" w:color="auto" w:fill="FFFFFF"/>
          </w:tcPr>
          <w:p w14:paraId="195582A9" w14:textId="77777777" w:rsidR="005401EF" w:rsidRPr="00B37C80" w:rsidRDefault="005401EF" w:rsidP="002B5F66">
            <w:pPr>
              <w:rPr>
                <w:color w:val="000000"/>
                <w:sz w:val="21"/>
                <w:szCs w:val="21"/>
              </w:rPr>
            </w:pPr>
          </w:p>
        </w:tc>
        <w:tc>
          <w:tcPr>
            <w:tcW w:w="570" w:type="dxa"/>
            <w:gridSpan w:val="2"/>
            <w:shd w:val="clear" w:color="auto" w:fill="FFFFFF"/>
          </w:tcPr>
          <w:p w14:paraId="00823A48" w14:textId="77777777" w:rsidR="005401EF" w:rsidRPr="00B37C80" w:rsidRDefault="005401EF" w:rsidP="002B5F66">
            <w:pPr>
              <w:rPr>
                <w:color w:val="000000"/>
                <w:sz w:val="21"/>
                <w:szCs w:val="21"/>
              </w:rPr>
            </w:pPr>
          </w:p>
        </w:tc>
        <w:tc>
          <w:tcPr>
            <w:tcW w:w="569" w:type="dxa"/>
            <w:gridSpan w:val="3"/>
            <w:shd w:val="clear" w:color="auto" w:fill="FFFFFF"/>
          </w:tcPr>
          <w:p w14:paraId="1F028811" w14:textId="77777777" w:rsidR="005401EF" w:rsidRPr="00B37C80" w:rsidRDefault="005401EF" w:rsidP="002B5F66">
            <w:pPr>
              <w:rPr>
                <w:color w:val="000000"/>
                <w:sz w:val="21"/>
                <w:szCs w:val="21"/>
              </w:rPr>
            </w:pPr>
          </w:p>
        </w:tc>
        <w:tc>
          <w:tcPr>
            <w:tcW w:w="570" w:type="dxa"/>
            <w:gridSpan w:val="2"/>
            <w:shd w:val="clear" w:color="auto" w:fill="FFFFFF"/>
          </w:tcPr>
          <w:p w14:paraId="3F2AB896" w14:textId="77777777" w:rsidR="005401EF" w:rsidRPr="00B37C80" w:rsidRDefault="005401EF" w:rsidP="002B5F66">
            <w:pPr>
              <w:rPr>
                <w:color w:val="000000"/>
                <w:sz w:val="21"/>
                <w:szCs w:val="21"/>
              </w:rPr>
            </w:pPr>
          </w:p>
        </w:tc>
        <w:tc>
          <w:tcPr>
            <w:tcW w:w="570" w:type="dxa"/>
            <w:shd w:val="clear" w:color="auto" w:fill="FFFFFF"/>
          </w:tcPr>
          <w:p w14:paraId="64F8319D" w14:textId="77777777" w:rsidR="005401EF" w:rsidRPr="00B37C80" w:rsidRDefault="005401EF" w:rsidP="002B5F66">
            <w:pPr>
              <w:rPr>
                <w:color w:val="000000"/>
                <w:sz w:val="21"/>
                <w:szCs w:val="21"/>
              </w:rPr>
            </w:pPr>
          </w:p>
        </w:tc>
        <w:tc>
          <w:tcPr>
            <w:tcW w:w="570" w:type="dxa"/>
            <w:gridSpan w:val="3"/>
            <w:shd w:val="clear" w:color="auto" w:fill="FFFFFF"/>
          </w:tcPr>
          <w:p w14:paraId="20943166" w14:textId="77777777" w:rsidR="005401EF" w:rsidRPr="00B37C80" w:rsidRDefault="005401EF" w:rsidP="002B5F66">
            <w:pPr>
              <w:rPr>
                <w:color w:val="000000"/>
                <w:sz w:val="21"/>
                <w:szCs w:val="21"/>
              </w:rPr>
            </w:pPr>
          </w:p>
        </w:tc>
        <w:tc>
          <w:tcPr>
            <w:tcW w:w="569" w:type="dxa"/>
            <w:gridSpan w:val="3"/>
            <w:shd w:val="clear" w:color="auto" w:fill="FFFFFF"/>
          </w:tcPr>
          <w:p w14:paraId="7037D5F7" w14:textId="77777777" w:rsidR="005401EF" w:rsidRPr="00B37C80" w:rsidRDefault="005401EF" w:rsidP="002B5F66">
            <w:pPr>
              <w:rPr>
                <w:color w:val="000000"/>
                <w:sz w:val="21"/>
                <w:szCs w:val="21"/>
              </w:rPr>
            </w:pPr>
          </w:p>
        </w:tc>
        <w:tc>
          <w:tcPr>
            <w:tcW w:w="570" w:type="dxa"/>
            <w:gridSpan w:val="2"/>
            <w:shd w:val="clear" w:color="auto" w:fill="FFFFFF"/>
          </w:tcPr>
          <w:p w14:paraId="2918629D" w14:textId="77777777" w:rsidR="005401EF" w:rsidRPr="00B37C80" w:rsidRDefault="005401EF" w:rsidP="002B5F66">
            <w:pPr>
              <w:rPr>
                <w:color w:val="000000"/>
                <w:sz w:val="21"/>
                <w:szCs w:val="21"/>
              </w:rPr>
            </w:pPr>
          </w:p>
        </w:tc>
        <w:tc>
          <w:tcPr>
            <w:tcW w:w="570" w:type="dxa"/>
            <w:gridSpan w:val="2"/>
            <w:shd w:val="clear" w:color="auto" w:fill="FFFFFF"/>
          </w:tcPr>
          <w:p w14:paraId="278BDA82" w14:textId="77777777" w:rsidR="005401EF" w:rsidRPr="00B37C80" w:rsidRDefault="005401EF" w:rsidP="002B5F66">
            <w:pPr>
              <w:rPr>
                <w:color w:val="000000"/>
                <w:sz w:val="21"/>
                <w:szCs w:val="21"/>
              </w:rPr>
            </w:pPr>
          </w:p>
        </w:tc>
        <w:tc>
          <w:tcPr>
            <w:tcW w:w="570" w:type="dxa"/>
            <w:shd w:val="clear" w:color="auto" w:fill="FFFFFF"/>
          </w:tcPr>
          <w:p w14:paraId="3B4A6CEB" w14:textId="77777777" w:rsidR="005401EF" w:rsidRPr="00B37C80" w:rsidRDefault="005401EF" w:rsidP="002B5F66">
            <w:pPr>
              <w:rPr>
                <w:color w:val="000000"/>
                <w:sz w:val="21"/>
                <w:szCs w:val="21"/>
              </w:rPr>
            </w:pPr>
          </w:p>
        </w:tc>
        <w:tc>
          <w:tcPr>
            <w:tcW w:w="1547" w:type="dxa"/>
            <w:gridSpan w:val="3"/>
            <w:shd w:val="clear" w:color="auto" w:fill="FFFFFF"/>
          </w:tcPr>
          <w:p w14:paraId="314135FC" w14:textId="77777777" w:rsidR="005401EF" w:rsidRPr="00B37C80" w:rsidRDefault="005401EF" w:rsidP="002B5F66">
            <w:pPr>
              <w:rPr>
                <w:color w:val="000000"/>
                <w:sz w:val="21"/>
                <w:szCs w:val="21"/>
              </w:rPr>
            </w:pPr>
          </w:p>
        </w:tc>
      </w:tr>
      <w:tr w:rsidR="005401EF" w:rsidRPr="008B4FE6" w14:paraId="10B3AA13" w14:textId="77777777" w:rsidTr="00676C8D">
        <w:trPr>
          <w:trHeight w:val="344"/>
        </w:trPr>
        <w:tc>
          <w:tcPr>
            <w:tcW w:w="3133" w:type="dxa"/>
            <w:gridSpan w:val="4"/>
            <w:shd w:val="clear" w:color="auto" w:fill="FFFFFF"/>
            <w:vAlign w:val="center"/>
          </w:tcPr>
          <w:p w14:paraId="5820D02A" w14:textId="77777777" w:rsidR="005401EF" w:rsidRPr="00C53F26" w:rsidRDefault="005401EF" w:rsidP="002B5F66">
            <w:pPr>
              <w:rPr>
                <w:color w:val="000000"/>
                <w:sz w:val="21"/>
                <w:szCs w:val="21"/>
              </w:rPr>
            </w:pPr>
            <w:r w:rsidRPr="00C53F26">
              <w:rPr>
                <w:color w:val="000000"/>
                <w:sz w:val="21"/>
                <w:szCs w:val="21"/>
              </w:rPr>
              <w:t>pozostałe jednostki (oddzielnie)</w:t>
            </w:r>
          </w:p>
        </w:tc>
        <w:tc>
          <w:tcPr>
            <w:tcW w:w="569" w:type="dxa"/>
            <w:gridSpan w:val="2"/>
            <w:shd w:val="clear" w:color="auto" w:fill="FFFFFF"/>
          </w:tcPr>
          <w:p w14:paraId="7DDECECB" w14:textId="77777777" w:rsidR="005401EF" w:rsidRPr="00B37C80" w:rsidRDefault="005401EF" w:rsidP="002B5F66">
            <w:pPr>
              <w:rPr>
                <w:color w:val="000000"/>
                <w:sz w:val="21"/>
                <w:szCs w:val="21"/>
              </w:rPr>
            </w:pPr>
          </w:p>
        </w:tc>
        <w:tc>
          <w:tcPr>
            <w:tcW w:w="570" w:type="dxa"/>
            <w:gridSpan w:val="2"/>
            <w:shd w:val="clear" w:color="auto" w:fill="FFFFFF"/>
          </w:tcPr>
          <w:p w14:paraId="67B04565" w14:textId="77777777" w:rsidR="005401EF" w:rsidRPr="00B37C80" w:rsidRDefault="005401EF" w:rsidP="002B5F66">
            <w:pPr>
              <w:rPr>
                <w:color w:val="000000"/>
                <w:sz w:val="21"/>
                <w:szCs w:val="21"/>
              </w:rPr>
            </w:pPr>
          </w:p>
        </w:tc>
        <w:tc>
          <w:tcPr>
            <w:tcW w:w="570" w:type="dxa"/>
            <w:gridSpan w:val="2"/>
            <w:shd w:val="clear" w:color="auto" w:fill="FFFFFF"/>
          </w:tcPr>
          <w:p w14:paraId="70631313" w14:textId="77777777" w:rsidR="005401EF" w:rsidRPr="00B37C80" w:rsidRDefault="005401EF" w:rsidP="002B5F66">
            <w:pPr>
              <w:rPr>
                <w:color w:val="000000"/>
                <w:sz w:val="21"/>
                <w:szCs w:val="21"/>
              </w:rPr>
            </w:pPr>
          </w:p>
        </w:tc>
        <w:tc>
          <w:tcPr>
            <w:tcW w:w="569" w:type="dxa"/>
            <w:gridSpan w:val="3"/>
            <w:shd w:val="clear" w:color="auto" w:fill="FFFFFF"/>
          </w:tcPr>
          <w:p w14:paraId="23DFA283" w14:textId="77777777" w:rsidR="005401EF" w:rsidRPr="00B37C80" w:rsidRDefault="005401EF" w:rsidP="002B5F66">
            <w:pPr>
              <w:rPr>
                <w:color w:val="000000"/>
                <w:sz w:val="21"/>
                <w:szCs w:val="21"/>
              </w:rPr>
            </w:pPr>
          </w:p>
        </w:tc>
        <w:tc>
          <w:tcPr>
            <w:tcW w:w="570" w:type="dxa"/>
            <w:gridSpan w:val="2"/>
            <w:shd w:val="clear" w:color="auto" w:fill="FFFFFF"/>
          </w:tcPr>
          <w:p w14:paraId="556A3090" w14:textId="77777777" w:rsidR="005401EF" w:rsidRPr="00B37C80" w:rsidRDefault="005401EF" w:rsidP="002B5F66">
            <w:pPr>
              <w:rPr>
                <w:color w:val="000000"/>
                <w:sz w:val="21"/>
                <w:szCs w:val="21"/>
              </w:rPr>
            </w:pPr>
          </w:p>
        </w:tc>
        <w:tc>
          <w:tcPr>
            <w:tcW w:w="570" w:type="dxa"/>
            <w:shd w:val="clear" w:color="auto" w:fill="FFFFFF"/>
          </w:tcPr>
          <w:p w14:paraId="65D5EE42" w14:textId="77777777" w:rsidR="005401EF" w:rsidRPr="00B37C80" w:rsidRDefault="005401EF" w:rsidP="002B5F66">
            <w:pPr>
              <w:rPr>
                <w:color w:val="000000"/>
                <w:sz w:val="21"/>
                <w:szCs w:val="21"/>
              </w:rPr>
            </w:pPr>
          </w:p>
        </w:tc>
        <w:tc>
          <w:tcPr>
            <w:tcW w:w="570" w:type="dxa"/>
            <w:gridSpan w:val="3"/>
            <w:shd w:val="clear" w:color="auto" w:fill="FFFFFF"/>
          </w:tcPr>
          <w:p w14:paraId="5B225409" w14:textId="77777777" w:rsidR="005401EF" w:rsidRPr="00B37C80" w:rsidRDefault="005401EF" w:rsidP="002B5F66">
            <w:pPr>
              <w:rPr>
                <w:color w:val="000000"/>
                <w:sz w:val="21"/>
                <w:szCs w:val="21"/>
              </w:rPr>
            </w:pPr>
          </w:p>
        </w:tc>
        <w:tc>
          <w:tcPr>
            <w:tcW w:w="569" w:type="dxa"/>
            <w:gridSpan w:val="3"/>
            <w:shd w:val="clear" w:color="auto" w:fill="FFFFFF"/>
          </w:tcPr>
          <w:p w14:paraId="4EFEB2FD" w14:textId="77777777" w:rsidR="005401EF" w:rsidRPr="00B37C80" w:rsidRDefault="005401EF" w:rsidP="002B5F66">
            <w:pPr>
              <w:rPr>
                <w:color w:val="000000"/>
                <w:sz w:val="21"/>
                <w:szCs w:val="21"/>
              </w:rPr>
            </w:pPr>
          </w:p>
        </w:tc>
        <w:tc>
          <w:tcPr>
            <w:tcW w:w="570" w:type="dxa"/>
            <w:gridSpan w:val="2"/>
            <w:shd w:val="clear" w:color="auto" w:fill="FFFFFF"/>
          </w:tcPr>
          <w:p w14:paraId="1C2565F6" w14:textId="77777777" w:rsidR="005401EF" w:rsidRPr="00B37C80" w:rsidRDefault="005401EF" w:rsidP="002B5F66">
            <w:pPr>
              <w:rPr>
                <w:color w:val="000000"/>
                <w:sz w:val="21"/>
                <w:szCs w:val="21"/>
              </w:rPr>
            </w:pPr>
          </w:p>
        </w:tc>
        <w:tc>
          <w:tcPr>
            <w:tcW w:w="570" w:type="dxa"/>
            <w:gridSpan w:val="2"/>
            <w:shd w:val="clear" w:color="auto" w:fill="FFFFFF"/>
          </w:tcPr>
          <w:p w14:paraId="61C53DDF" w14:textId="77777777" w:rsidR="005401EF" w:rsidRPr="00B37C80" w:rsidRDefault="005401EF" w:rsidP="002B5F66">
            <w:pPr>
              <w:rPr>
                <w:color w:val="000000"/>
                <w:sz w:val="21"/>
                <w:szCs w:val="21"/>
              </w:rPr>
            </w:pPr>
          </w:p>
        </w:tc>
        <w:tc>
          <w:tcPr>
            <w:tcW w:w="570" w:type="dxa"/>
            <w:shd w:val="clear" w:color="auto" w:fill="FFFFFF"/>
          </w:tcPr>
          <w:p w14:paraId="66E373FE" w14:textId="77777777" w:rsidR="005401EF" w:rsidRPr="00B37C80" w:rsidRDefault="005401EF" w:rsidP="002B5F66">
            <w:pPr>
              <w:rPr>
                <w:color w:val="000000"/>
                <w:sz w:val="21"/>
                <w:szCs w:val="21"/>
              </w:rPr>
            </w:pPr>
          </w:p>
        </w:tc>
        <w:tc>
          <w:tcPr>
            <w:tcW w:w="1547" w:type="dxa"/>
            <w:gridSpan w:val="3"/>
            <w:shd w:val="clear" w:color="auto" w:fill="FFFFFF"/>
          </w:tcPr>
          <w:p w14:paraId="3EE5CB43" w14:textId="77777777" w:rsidR="005401EF" w:rsidRPr="00B37C80" w:rsidRDefault="005401EF" w:rsidP="002B5F66">
            <w:pPr>
              <w:rPr>
                <w:color w:val="000000"/>
                <w:sz w:val="21"/>
                <w:szCs w:val="21"/>
              </w:rPr>
            </w:pPr>
          </w:p>
        </w:tc>
      </w:tr>
      <w:tr w:rsidR="005401EF" w:rsidRPr="008B4FE6" w14:paraId="31123A66" w14:textId="77777777" w:rsidTr="00676C8D">
        <w:trPr>
          <w:trHeight w:val="330"/>
        </w:trPr>
        <w:tc>
          <w:tcPr>
            <w:tcW w:w="3133" w:type="dxa"/>
            <w:gridSpan w:val="4"/>
            <w:shd w:val="clear" w:color="auto" w:fill="FFFFFF"/>
            <w:vAlign w:val="center"/>
          </w:tcPr>
          <w:p w14:paraId="5790617C" w14:textId="77777777" w:rsidR="005401EF" w:rsidRPr="00C53F26" w:rsidRDefault="005401EF" w:rsidP="002B5F66">
            <w:pPr>
              <w:rPr>
                <w:color w:val="000000"/>
                <w:sz w:val="21"/>
                <w:szCs w:val="21"/>
              </w:rPr>
            </w:pPr>
            <w:r w:rsidRPr="00C53F26">
              <w:rPr>
                <w:b/>
                <w:color w:val="000000"/>
                <w:sz w:val="21"/>
                <w:szCs w:val="21"/>
              </w:rPr>
              <w:t>Wydatki ogółem</w:t>
            </w:r>
          </w:p>
        </w:tc>
        <w:tc>
          <w:tcPr>
            <w:tcW w:w="569" w:type="dxa"/>
            <w:gridSpan w:val="2"/>
            <w:shd w:val="clear" w:color="auto" w:fill="FFFFFF"/>
          </w:tcPr>
          <w:p w14:paraId="58F8AFEE" w14:textId="77777777" w:rsidR="005401EF" w:rsidRPr="00B37C80" w:rsidRDefault="005401EF" w:rsidP="002B5F66">
            <w:pPr>
              <w:jc w:val="center"/>
              <w:rPr>
                <w:color w:val="000000"/>
                <w:sz w:val="21"/>
                <w:szCs w:val="21"/>
              </w:rPr>
            </w:pPr>
            <w:r>
              <w:rPr>
                <w:color w:val="000000"/>
                <w:sz w:val="21"/>
                <w:szCs w:val="21"/>
              </w:rPr>
              <w:t>0</w:t>
            </w:r>
          </w:p>
        </w:tc>
        <w:tc>
          <w:tcPr>
            <w:tcW w:w="570" w:type="dxa"/>
            <w:gridSpan w:val="2"/>
            <w:shd w:val="clear" w:color="auto" w:fill="FFFFFF"/>
          </w:tcPr>
          <w:p w14:paraId="57822E27" w14:textId="77777777" w:rsidR="005401EF" w:rsidRPr="00B37C80" w:rsidRDefault="005401EF" w:rsidP="002B5F66">
            <w:pPr>
              <w:jc w:val="center"/>
              <w:rPr>
                <w:color w:val="000000"/>
                <w:sz w:val="21"/>
                <w:szCs w:val="21"/>
              </w:rPr>
            </w:pPr>
            <w:r>
              <w:rPr>
                <w:color w:val="000000"/>
                <w:sz w:val="21"/>
                <w:szCs w:val="21"/>
              </w:rPr>
              <w:t>0</w:t>
            </w:r>
          </w:p>
        </w:tc>
        <w:tc>
          <w:tcPr>
            <w:tcW w:w="570" w:type="dxa"/>
            <w:gridSpan w:val="2"/>
            <w:shd w:val="clear" w:color="auto" w:fill="FFFFFF"/>
          </w:tcPr>
          <w:p w14:paraId="38316F33" w14:textId="77777777" w:rsidR="005401EF" w:rsidRPr="00B37C80" w:rsidRDefault="005401EF" w:rsidP="002B5F66">
            <w:pPr>
              <w:jc w:val="center"/>
              <w:rPr>
                <w:color w:val="000000"/>
                <w:sz w:val="21"/>
                <w:szCs w:val="21"/>
              </w:rPr>
            </w:pPr>
            <w:r>
              <w:rPr>
                <w:color w:val="000000"/>
                <w:sz w:val="21"/>
                <w:szCs w:val="21"/>
              </w:rPr>
              <w:t>0</w:t>
            </w:r>
          </w:p>
        </w:tc>
        <w:tc>
          <w:tcPr>
            <w:tcW w:w="569" w:type="dxa"/>
            <w:gridSpan w:val="3"/>
            <w:shd w:val="clear" w:color="auto" w:fill="FFFFFF"/>
          </w:tcPr>
          <w:p w14:paraId="5B83D9FB" w14:textId="77777777" w:rsidR="005401EF" w:rsidRPr="00B37C80" w:rsidRDefault="005401EF" w:rsidP="002B5F66">
            <w:pPr>
              <w:jc w:val="center"/>
              <w:rPr>
                <w:color w:val="000000"/>
                <w:sz w:val="21"/>
                <w:szCs w:val="21"/>
              </w:rPr>
            </w:pPr>
            <w:r>
              <w:rPr>
                <w:color w:val="000000"/>
                <w:sz w:val="21"/>
                <w:szCs w:val="21"/>
              </w:rPr>
              <w:t>0</w:t>
            </w:r>
          </w:p>
        </w:tc>
        <w:tc>
          <w:tcPr>
            <w:tcW w:w="570" w:type="dxa"/>
            <w:gridSpan w:val="2"/>
            <w:shd w:val="clear" w:color="auto" w:fill="FFFFFF"/>
          </w:tcPr>
          <w:p w14:paraId="6C4E65F2" w14:textId="77777777" w:rsidR="005401EF" w:rsidRPr="00B37C80" w:rsidRDefault="005401EF" w:rsidP="002B5F66">
            <w:pPr>
              <w:jc w:val="center"/>
              <w:rPr>
                <w:color w:val="000000"/>
                <w:sz w:val="21"/>
                <w:szCs w:val="21"/>
              </w:rPr>
            </w:pPr>
            <w:r>
              <w:rPr>
                <w:color w:val="000000"/>
                <w:sz w:val="21"/>
                <w:szCs w:val="21"/>
              </w:rPr>
              <w:t>0</w:t>
            </w:r>
          </w:p>
        </w:tc>
        <w:tc>
          <w:tcPr>
            <w:tcW w:w="570" w:type="dxa"/>
            <w:shd w:val="clear" w:color="auto" w:fill="FFFFFF"/>
          </w:tcPr>
          <w:p w14:paraId="16A9E71C" w14:textId="77777777" w:rsidR="005401EF" w:rsidRPr="00B37C80" w:rsidRDefault="005401EF" w:rsidP="002B5F66">
            <w:pPr>
              <w:jc w:val="center"/>
              <w:rPr>
                <w:color w:val="000000"/>
                <w:sz w:val="21"/>
                <w:szCs w:val="21"/>
              </w:rPr>
            </w:pPr>
            <w:r>
              <w:rPr>
                <w:color w:val="000000"/>
                <w:sz w:val="21"/>
                <w:szCs w:val="21"/>
              </w:rPr>
              <w:t>0</w:t>
            </w:r>
          </w:p>
        </w:tc>
        <w:tc>
          <w:tcPr>
            <w:tcW w:w="570" w:type="dxa"/>
            <w:gridSpan w:val="3"/>
            <w:shd w:val="clear" w:color="auto" w:fill="FFFFFF"/>
          </w:tcPr>
          <w:p w14:paraId="0F13C9C2" w14:textId="77777777" w:rsidR="005401EF" w:rsidRPr="00B37C80" w:rsidRDefault="005401EF" w:rsidP="002B5F66">
            <w:pPr>
              <w:jc w:val="center"/>
              <w:rPr>
                <w:color w:val="000000"/>
                <w:sz w:val="21"/>
                <w:szCs w:val="21"/>
              </w:rPr>
            </w:pPr>
            <w:r>
              <w:rPr>
                <w:color w:val="000000"/>
                <w:sz w:val="21"/>
                <w:szCs w:val="21"/>
              </w:rPr>
              <w:t>0</w:t>
            </w:r>
          </w:p>
        </w:tc>
        <w:tc>
          <w:tcPr>
            <w:tcW w:w="569" w:type="dxa"/>
            <w:gridSpan w:val="3"/>
            <w:shd w:val="clear" w:color="auto" w:fill="FFFFFF"/>
          </w:tcPr>
          <w:p w14:paraId="052FCDE1" w14:textId="77777777" w:rsidR="005401EF" w:rsidRPr="00B37C80" w:rsidRDefault="005401EF" w:rsidP="002B5F66">
            <w:pPr>
              <w:jc w:val="center"/>
              <w:rPr>
                <w:color w:val="000000"/>
                <w:sz w:val="21"/>
                <w:szCs w:val="21"/>
              </w:rPr>
            </w:pPr>
            <w:r>
              <w:rPr>
                <w:color w:val="000000"/>
                <w:sz w:val="21"/>
                <w:szCs w:val="21"/>
              </w:rPr>
              <w:t>0</w:t>
            </w:r>
          </w:p>
        </w:tc>
        <w:tc>
          <w:tcPr>
            <w:tcW w:w="570" w:type="dxa"/>
            <w:gridSpan w:val="2"/>
            <w:shd w:val="clear" w:color="auto" w:fill="FFFFFF"/>
          </w:tcPr>
          <w:p w14:paraId="15F9DF46" w14:textId="77777777" w:rsidR="005401EF" w:rsidRPr="00B37C80" w:rsidRDefault="005401EF" w:rsidP="002B5F66">
            <w:pPr>
              <w:jc w:val="center"/>
              <w:rPr>
                <w:color w:val="000000"/>
                <w:sz w:val="21"/>
                <w:szCs w:val="21"/>
              </w:rPr>
            </w:pPr>
            <w:r>
              <w:rPr>
                <w:color w:val="000000"/>
                <w:sz w:val="21"/>
                <w:szCs w:val="21"/>
              </w:rPr>
              <w:t>0</w:t>
            </w:r>
          </w:p>
        </w:tc>
        <w:tc>
          <w:tcPr>
            <w:tcW w:w="570" w:type="dxa"/>
            <w:gridSpan w:val="2"/>
            <w:shd w:val="clear" w:color="auto" w:fill="FFFFFF"/>
          </w:tcPr>
          <w:p w14:paraId="2DF72C30" w14:textId="77777777" w:rsidR="005401EF" w:rsidRPr="00B37C80" w:rsidRDefault="005401EF" w:rsidP="002B5F66">
            <w:pPr>
              <w:jc w:val="center"/>
              <w:rPr>
                <w:color w:val="000000"/>
                <w:sz w:val="21"/>
                <w:szCs w:val="21"/>
              </w:rPr>
            </w:pPr>
            <w:r>
              <w:rPr>
                <w:color w:val="000000"/>
                <w:sz w:val="21"/>
                <w:szCs w:val="21"/>
              </w:rPr>
              <w:t>0</w:t>
            </w:r>
          </w:p>
        </w:tc>
        <w:tc>
          <w:tcPr>
            <w:tcW w:w="570" w:type="dxa"/>
            <w:shd w:val="clear" w:color="auto" w:fill="FFFFFF"/>
          </w:tcPr>
          <w:p w14:paraId="7E670A45" w14:textId="77777777" w:rsidR="005401EF" w:rsidRPr="00B37C80" w:rsidRDefault="005401EF" w:rsidP="002B5F66">
            <w:pPr>
              <w:jc w:val="center"/>
              <w:rPr>
                <w:color w:val="000000"/>
                <w:sz w:val="21"/>
                <w:szCs w:val="21"/>
              </w:rPr>
            </w:pPr>
            <w:r>
              <w:rPr>
                <w:color w:val="000000"/>
                <w:sz w:val="21"/>
                <w:szCs w:val="21"/>
              </w:rPr>
              <w:t>0</w:t>
            </w:r>
          </w:p>
        </w:tc>
        <w:tc>
          <w:tcPr>
            <w:tcW w:w="1547" w:type="dxa"/>
            <w:gridSpan w:val="3"/>
            <w:shd w:val="clear" w:color="auto" w:fill="FFFFFF"/>
          </w:tcPr>
          <w:p w14:paraId="5201FB4A" w14:textId="77777777" w:rsidR="005401EF" w:rsidRPr="00B37C80" w:rsidRDefault="005401EF" w:rsidP="002B5F66">
            <w:pPr>
              <w:jc w:val="center"/>
              <w:rPr>
                <w:color w:val="000000"/>
                <w:sz w:val="21"/>
                <w:szCs w:val="21"/>
              </w:rPr>
            </w:pPr>
            <w:r>
              <w:rPr>
                <w:color w:val="000000"/>
                <w:sz w:val="21"/>
                <w:szCs w:val="21"/>
              </w:rPr>
              <w:t>0 zł</w:t>
            </w:r>
          </w:p>
        </w:tc>
      </w:tr>
      <w:tr w:rsidR="005401EF" w:rsidRPr="008B4FE6" w14:paraId="2C26739E" w14:textId="77777777" w:rsidTr="00676C8D">
        <w:trPr>
          <w:trHeight w:val="330"/>
        </w:trPr>
        <w:tc>
          <w:tcPr>
            <w:tcW w:w="3133" w:type="dxa"/>
            <w:gridSpan w:val="4"/>
            <w:shd w:val="clear" w:color="auto" w:fill="FFFFFF"/>
            <w:vAlign w:val="center"/>
          </w:tcPr>
          <w:p w14:paraId="23571FD7" w14:textId="77777777" w:rsidR="005401EF" w:rsidRPr="00C53F26" w:rsidRDefault="005401EF" w:rsidP="002B5F66">
            <w:pPr>
              <w:rPr>
                <w:color w:val="000000"/>
                <w:sz w:val="21"/>
                <w:szCs w:val="21"/>
              </w:rPr>
            </w:pPr>
            <w:r w:rsidRPr="00C53F26">
              <w:rPr>
                <w:color w:val="000000"/>
                <w:sz w:val="21"/>
                <w:szCs w:val="21"/>
              </w:rPr>
              <w:t>budżet państwa</w:t>
            </w:r>
          </w:p>
        </w:tc>
        <w:tc>
          <w:tcPr>
            <w:tcW w:w="569" w:type="dxa"/>
            <w:gridSpan w:val="2"/>
            <w:shd w:val="clear" w:color="auto" w:fill="FFFFFF"/>
          </w:tcPr>
          <w:p w14:paraId="606D4B34" w14:textId="77777777" w:rsidR="005401EF" w:rsidRPr="00B37C80" w:rsidRDefault="005401EF" w:rsidP="002B5F66">
            <w:pPr>
              <w:rPr>
                <w:color w:val="000000"/>
                <w:sz w:val="21"/>
                <w:szCs w:val="21"/>
              </w:rPr>
            </w:pPr>
          </w:p>
        </w:tc>
        <w:tc>
          <w:tcPr>
            <w:tcW w:w="570" w:type="dxa"/>
            <w:gridSpan w:val="2"/>
            <w:shd w:val="clear" w:color="auto" w:fill="FFFFFF"/>
          </w:tcPr>
          <w:p w14:paraId="5BEAEA66" w14:textId="77777777" w:rsidR="005401EF" w:rsidRPr="00B37C80" w:rsidRDefault="005401EF" w:rsidP="002B5F66">
            <w:pPr>
              <w:rPr>
                <w:color w:val="000000"/>
                <w:sz w:val="21"/>
                <w:szCs w:val="21"/>
              </w:rPr>
            </w:pPr>
          </w:p>
        </w:tc>
        <w:tc>
          <w:tcPr>
            <w:tcW w:w="570" w:type="dxa"/>
            <w:gridSpan w:val="2"/>
            <w:shd w:val="clear" w:color="auto" w:fill="FFFFFF"/>
          </w:tcPr>
          <w:p w14:paraId="5E2F2318" w14:textId="77777777" w:rsidR="005401EF" w:rsidRPr="00B37C80" w:rsidRDefault="005401EF" w:rsidP="002B5F66">
            <w:pPr>
              <w:rPr>
                <w:color w:val="000000"/>
                <w:sz w:val="21"/>
                <w:szCs w:val="21"/>
              </w:rPr>
            </w:pPr>
          </w:p>
        </w:tc>
        <w:tc>
          <w:tcPr>
            <w:tcW w:w="569" w:type="dxa"/>
            <w:gridSpan w:val="3"/>
            <w:shd w:val="clear" w:color="auto" w:fill="FFFFFF"/>
          </w:tcPr>
          <w:p w14:paraId="516239F7" w14:textId="77777777" w:rsidR="005401EF" w:rsidRPr="00B37C80" w:rsidRDefault="005401EF" w:rsidP="002B5F66">
            <w:pPr>
              <w:rPr>
                <w:color w:val="000000"/>
                <w:sz w:val="21"/>
                <w:szCs w:val="21"/>
              </w:rPr>
            </w:pPr>
          </w:p>
        </w:tc>
        <w:tc>
          <w:tcPr>
            <w:tcW w:w="570" w:type="dxa"/>
            <w:gridSpan w:val="2"/>
            <w:shd w:val="clear" w:color="auto" w:fill="FFFFFF"/>
          </w:tcPr>
          <w:p w14:paraId="4056A84D" w14:textId="77777777" w:rsidR="005401EF" w:rsidRPr="00B37C80" w:rsidRDefault="005401EF" w:rsidP="002B5F66">
            <w:pPr>
              <w:rPr>
                <w:color w:val="000000"/>
                <w:sz w:val="21"/>
                <w:szCs w:val="21"/>
              </w:rPr>
            </w:pPr>
          </w:p>
        </w:tc>
        <w:tc>
          <w:tcPr>
            <w:tcW w:w="570" w:type="dxa"/>
            <w:shd w:val="clear" w:color="auto" w:fill="FFFFFF"/>
          </w:tcPr>
          <w:p w14:paraId="57835735" w14:textId="77777777" w:rsidR="005401EF" w:rsidRPr="00B37C80" w:rsidRDefault="005401EF" w:rsidP="002B5F66">
            <w:pPr>
              <w:rPr>
                <w:color w:val="000000"/>
                <w:sz w:val="21"/>
                <w:szCs w:val="21"/>
              </w:rPr>
            </w:pPr>
          </w:p>
        </w:tc>
        <w:tc>
          <w:tcPr>
            <w:tcW w:w="570" w:type="dxa"/>
            <w:gridSpan w:val="3"/>
            <w:shd w:val="clear" w:color="auto" w:fill="FFFFFF"/>
          </w:tcPr>
          <w:p w14:paraId="64B55FCC" w14:textId="77777777" w:rsidR="005401EF" w:rsidRPr="00B37C80" w:rsidRDefault="005401EF" w:rsidP="002B5F66">
            <w:pPr>
              <w:rPr>
                <w:color w:val="000000"/>
                <w:sz w:val="21"/>
                <w:szCs w:val="21"/>
              </w:rPr>
            </w:pPr>
          </w:p>
        </w:tc>
        <w:tc>
          <w:tcPr>
            <w:tcW w:w="569" w:type="dxa"/>
            <w:gridSpan w:val="3"/>
            <w:shd w:val="clear" w:color="auto" w:fill="FFFFFF"/>
          </w:tcPr>
          <w:p w14:paraId="1D290342" w14:textId="77777777" w:rsidR="005401EF" w:rsidRPr="00B37C80" w:rsidRDefault="005401EF" w:rsidP="002B5F66">
            <w:pPr>
              <w:rPr>
                <w:color w:val="000000"/>
                <w:sz w:val="21"/>
                <w:szCs w:val="21"/>
              </w:rPr>
            </w:pPr>
          </w:p>
        </w:tc>
        <w:tc>
          <w:tcPr>
            <w:tcW w:w="570" w:type="dxa"/>
            <w:gridSpan w:val="2"/>
            <w:shd w:val="clear" w:color="auto" w:fill="FFFFFF"/>
          </w:tcPr>
          <w:p w14:paraId="496EAEE7" w14:textId="77777777" w:rsidR="005401EF" w:rsidRPr="00B37C80" w:rsidRDefault="005401EF" w:rsidP="002B5F66">
            <w:pPr>
              <w:rPr>
                <w:color w:val="000000"/>
                <w:sz w:val="21"/>
                <w:szCs w:val="21"/>
              </w:rPr>
            </w:pPr>
          </w:p>
        </w:tc>
        <w:tc>
          <w:tcPr>
            <w:tcW w:w="570" w:type="dxa"/>
            <w:gridSpan w:val="2"/>
            <w:shd w:val="clear" w:color="auto" w:fill="FFFFFF"/>
          </w:tcPr>
          <w:p w14:paraId="3638A90A" w14:textId="77777777" w:rsidR="005401EF" w:rsidRPr="00B37C80" w:rsidRDefault="005401EF" w:rsidP="002B5F66">
            <w:pPr>
              <w:rPr>
                <w:color w:val="000000"/>
                <w:sz w:val="21"/>
                <w:szCs w:val="21"/>
              </w:rPr>
            </w:pPr>
          </w:p>
        </w:tc>
        <w:tc>
          <w:tcPr>
            <w:tcW w:w="570" w:type="dxa"/>
            <w:shd w:val="clear" w:color="auto" w:fill="FFFFFF"/>
          </w:tcPr>
          <w:p w14:paraId="36B9A54C" w14:textId="77777777" w:rsidR="005401EF" w:rsidRPr="00B37C80" w:rsidRDefault="005401EF" w:rsidP="002B5F66">
            <w:pPr>
              <w:rPr>
                <w:color w:val="000000"/>
                <w:sz w:val="21"/>
                <w:szCs w:val="21"/>
              </w:rPr>
            </w:pPr>
          </w:p>
        </w:tc>
        <w:tc>
          <w:tcPr>
            <w:tcW w:w="1547" w:type="dxa"/>
            <w:gridSpan w:val="3"/>
            <w:shd w:val="clear" w:color="auto" w:fill="FFFFFF"/>
          </w:tcPr>
          <w:p w14:paraId="0B072516" w14:textId="77777777" w:rsidR="005401EF" w:rsidRPr="00B37C80" w:rsidRDefault="005401EF" w:rsidP="002B5F66">
            <w:pPr>
              <w:rPr>
                <w:color w:val="000000"/>
                <w:sz w:val="21"/>
                <w:szCs w:val="21"/>
              </w:rPr>
            </w:pPr>
          </w:p>
        </w:tc>
      </w:tr>
      <w:tr w:rsidR="005401EF" w:rsidRPr="008B4FE6" w14:paraId="7CD777AE" w14:textId="77777777" w:rsidTr="00676C8D">
        <w:trPr>
          <w:trHeight w:val="351"/>
        </w:trPr>
        <w:tc>
          <w:tcPr>
            <w:tcW w:w="3133" w:type="dxa"/>
            <w:gridSpan w:val="4"/>
            <w:shd w:val="clear" w:color="auto" w:fill="FFFFFF"/>
            <w:vAlign w:val="center"/>
          </w:tcPr>
          <w:p w14:paraId="5A2E37D5" w14:textId="77777777" w:rsidR="005401EF" w:rsidRPr="00C53F26" w:rsidRDefault="005401EF" w:rsidP="002B5F66">
            <w:pPr>
              <w:rPr>
                <w:color w:val="000000"/>
                <w:sz w:val="21"/>
                <w:szCs w:val="21"/>
              </w:rPr>
            </w:pPr>
            <w:r w:rsidRPr="00C53F26">
              <w:rPr>
                <w:color w:val="000000"/>
                <w:sz w:val="21"/>
                <w:szCs w:val="21"/>
              </w:rPr>
              <w:t>JST</w:t>
            </w:r>
          </w:p>
        </w:tc>
        <w:tc>
          <w:tcPr>
            <w:tcW w:w="569" w:type="dxa"/>
            <w:gridSpan w:val="2"/>
            <w:shd w:val="clear" w:color="auto" w:fill="FFFFFF"/>
          </w:tcPr>
          <w:p w14:paraId="3A20D280" w14:textId="77777777" w:rsidR="005401EF" w:rsidRPr="00B37C80" w:rsidRDefault="005401EF" w:rsidP="002B5F66">
            <w:pPr>
              <w:rPr>
                <w:color w:val="000000"/>
                <w:sz w:val="21"/>
                <w:szCs w:val="21"/>
              </w:rPr>
            </w:pPr>
          </w:p>
        </w:tc>
        <w:tc>
          <w:tcPr>
            <w:tcW w:w="570" w:type="dxa"/>
            <w:gridSpan w:val="2"/>
            <w:shd w:val="clear" w:color="auto" w:fill="FFFFFF"/>
          </w:tcPr>
          <w:p w14:paraId="18385676" w14:textId="77777777" w:rsidR="005401EF" w:rsidRPr="00B37C80" w:rsidRDefault="005401EF" w:rsidP="002B5F66">
            <w:pPr>
              <w:rPr>
                <w:color w:val="000000"/>
                <w:sz w:val="21"/>
                <w:szCs w:val="21"/>
              </w:rPr>
            </w:pPr>
          </w:p>
        </w:tc>
        <w:tc>
          <w:tcPr>
            <w:tcW w:w="570" w:type="dxa"/>
            <w:gridSpan w:val="2"/>
            <w:shd w:val="clear" w:color="auto" w:fill="FFFFFF"/>
          </w:tcPr>
          <w:p w14:paraId="4459BE2A" w14:textId="77777777" w:rsidR="005401EF" w:rsidRPr="00B37C80" w:rsidRDefault="005401EF" w:rsidP="002B5F66">
            <w:pPr>
              <w:rPr>
                <w:color w:val="000000"/>
                <w:sz w:val="21"/>
                <w:szCs w:val="21"/>
              </w:rPr>
            </w:pPr>
          </w:p>
        </w:tc>
        <w:tc>
          <w:tcPr>
            <w:tcW w:w="569" w:type="dxa"/>
            <w:gridSpan w:val="3"/>
            <w:shd w:val="clear" w:color="auto" w:fill="FFFFFF"/>
          </w:tcPr>
          <w:p w14:paraId="41E12E2B" w14:textId="77777777" w:rsidR="005401EF" w:rsidRPr="00B37C80" w:rsidRDefault="005401EF" w:rsidP="002B5F66">
            <w:pPr>
              <w:rPr>
                <w:color w:val="000000"/>
                <w:sz w:val="21"/>
                <w:szCs w:val="21"/>
              </w:rPr>
            </w:pPr>
          </w:p>
        </w:tc>
        <w:tc>
          <w:tcPr>
            <w:tcW w:w="570" w:type="dxa"/>
            <w:gridSpan w:val="2"/>
            <w:shd w:val="clear" w:color="auto" w:fill="FFFFFF"/>
          </w:tcPr>
          <w:p w14:paraId="76B50A73" w14:textId="77777777" w:rsidR="005401EF" w:rsidRPr="00B37C80" w:rsidRDefault="005401EF" w:rsidP="002B5F66">
            <w:pPr>
              <w:rPr>
                <w:color w:val="000000"/>
                <w:sz w:val="21"/>
                <w:szCs w:val="21"/>
              </w:rPr>
            </w:pPr>
          </w:p>
        </w:tc>
        <w:tc>
          <w:tcPr>
            <w:tcW w:w="570" w:type="dxa"/>
            <w:shd w:val="clear" w:color="auto" w:fill="FFFFFF"/>
          </w:tcPr>
          <w:p w14:paraId="1A5ECE06" w14:textId="77777777" w:rsidR="005401EF" w:rsidRPr="00B37C80" w:rsidRDefault="005401EF" w:rsidP="002B5F66">
            <w:pPr>
              <w:rPr>
                <w:color w:val="000000"/>
                <w:sz w:val="21"/>
                <w:szCs w:val="21"/>
              </w:rPr>
            </w:pPr>
          </w:p>
        </w:tc>
        <w:tc>
          <w:tcPr>
            <w:tcW w:w="570" w:type="dxa"/>
            <w:gridSpan w:val="3"/>
            <w:shd w:val="clear" w:color="auto" w:fill="FFFFFF"/>
          </w:tcPr>
          <w:p w14:paraId="4212738D" w14:textId="77777777" w:rsidR="005401EF" w:rsidRPr="00B37C80" w:rsidRDefault="005401EF" w:rsidP="002B5F66">
            <w:pPr>
              <w:rPr>
                <w:color w:val="000000"/>
                <w:sz w:val="21"/>
                <w:szCs w:val="21"/>
              </w:rPr>
            </w:pPr>
          </w:p>
        </w:tc>
        <w:tc>
          <w:tcPr>
            <w:tcW w:w="569" w:type="dxa"/>
            <w:gridSpan w:val="3"/>
            <w:shd w:val="clear" w:color="auto" w:fill="FFFFFF"/>
          </w:tcPr>
          <w:p w14:paraId="58E7CAFA" w14:textId="77777777" w:rsidR="005401EF" w:rsidRPr="00B37C80" w:rsidRDefault="005401EF" w:rsidP="002B5F66">
            <w:pPr>
              <w:rPr>
                <w:color w:val="000000"/>
                <w:sz w:val="21"/>
                <w:szCs w:val="21"/>
              </w:rPr>
            </w:pPr>
          </w:p>
        </w:tc>
        <w:tc>
          <w:tcPr>
            <w:tcW w:w="570" w:type="dxa"/>
            <w:gridSpan w:val="2"/>
            <w:shd w:val="clear" w:color="auto" w:fill="FFFFFF"/>
          </w:tcPr>
          <w:p w14:paraId="4F62C218" w14:textId="77777777" w:rsidR="005401EF" w:rsidRPr="00B37C80" w:rsidRDefault="005401EF" w:rsidP="002B5F66">
            <w:pPr>
              <w:rPr>
                <w:color w:val="000000"/>
                <w:sz w:val="21"/>
                <w:szCs w:val="21"/>
              </w:rPr>
            </w:pPr>
          </w:p>
        </w:tc>
        <w:tc>
          <w:tcPr>
            <w:tcW w:w="570" w:type="dxa"/>
            <w:gridSpan w:val="2"/>
            <w:shd w:val="clear" w:color="auto" w:fill="FFFFFF"/>
          </w:tcPr>
          <w:p w14:paraId="1ABCF46E" w14:textId="77777777" w:rsidR="005401EF" w:rsidRPr="00B37C80" w:rsidRDefault="005401EF" w:rsidP="002B5F66">
            <w:pPr>
              <w:rPr>
                <w:color w:val="000000"/>
                <w:sz w:val="21"/>
                <w:szCs w:val="21"/>
              </w:rPr>
            </w:pPr>
          </w:p>
        </w:tc>
        <w:tc>
          <w:tcPr>
            <w:tcW w:w="570" w:type="dxa"/>
            <w:shd w:val="clear" w:color="auto" w:fill="FFFFFF"/>
          </w:tcPr>
          <w:p w14:paraId="5DF9CE0A" w14:textId="77777777" w:rsidR="005401EF" w:rsidRPr="00B37C80" w:rsidRDefault="005401EF" w:rsidP="002B5F66">
            <w:pPr>
              <w:rPr>
                <w:color w:val="000000"/>
                <w:sz w:val="21"/>
                <w:szCs w:val="21"/>
              </w:rPr>
            </w:pPr>
          </w:p>
        </w:tc>
        <w:tc>
          <w:tcPr>
            <w:tcW w:w="1547" w:type="dxa"/>
            <w:gridSpan w:val="3"/>
            <w:shd w:val="clear" w:color="auto" w:fill="FFFFFF"/>
          </w:tcPr>
          <w:p w14:paraId="53624AAC" w14:textId="77777777" w:rsidR="005401EF" w:rsidRPr="00B37C80" w:rsidRDefault="005401EF" w:rsidP="002B5F66">
            <w:pPr>
              <w:rPr>
                <w:color w:val="000000"/>
                <w:sz w:val="21"/>
                <w:szCs w:val="21"/>
              </w:rPr>
            </w:pPr>
          </w:p>
        </w:tc>
      </w:tr>
      <w:tr w:rsidR="005401EF" w:rsidRPr="008B4FE6" w14:paraId="51A9F596" w14:textId="77777777" w:rsidTr="00676C8D">
        <w:trPr>
          <w:trHeight w:val="351"/>
        </w:trPr>
        <w:tc>
          <w:tcPr>
            <w:tcW w:w="3133" w:type="dxa"/>
            <w:gridSpan w:val="4"/>
            <w:shd w:val="clear" w:color="auto" w:fill="FFFFFF"/>
            <w:vAlign w:val="center"/>
          </w:tcPr>
          <w:p w14:paraId="71174E30" w14:textId="77777777" w:rsidR="005401EF" w:rsidRPr="00C53F26" w:rsidRDefault="005401EF" w:rsidP="002B5F66">
            <w:pPr>
              <w:rPr>
                <w:color w:val="000000"/>
                <w:sz w:val="21"/>
                <w:szCs w:val="21"/>
              </w:rPr>
            </w:pPr>
            <w:r w:rsidRPr="00C53F26">
              <w:rPr>
                <w:color w:val="000000"/>
                <w:sz w:val="21"/>
                <w:szCs w:val="21"/>
              </w:rPr>
              <w:t>pozostałe jednostki (oddzielnie)</w:t>
            </w:r>
          </w:p>
        </w:tc>
        <w:tc>
          <w:tcPr>
            <w:tcW w:w="569" w:type="dxa"/>
            <w:gridSpan w:val="2"/>
            <w:shd w:val="clear" w:color="auto" w:fill="FFFFFF"/>
          </w:tcPr>
          <w:p w14:paraId="261F6A92" w14:textId="77777777" w:rsidR="005401EF" w:rsidRPr="00B37C80" w:rsidRDefault="005401EF" w:rsidP="002B5F66">
            <w:pPr>
              <w:rPr>
                <w:color w:val="000000"/>
                <w:sz w:val="21"/>
                <w:szCs w:val="21"/>
              </w:rPr>
            </w:pPr>
          </w:p>
        </w:tc>
        <w:tc>
          <w:tcPr>
            <w:tcW w:w="570" w:type="dxa"/>
            <w:gridSpan w:val="2"/>
            <w:shd w:val="clear" w:color="auto" w:fill="FFFFFF"/>
          </w:tcPr>
          <w:p w14:paraId="1E482281" w14:textId="77777777" w:rsidR="005401EF" w:rsidRPr="00B37C80" w:rsidRDefault="005401EF" w:rsidP="002B5F66">
            <w:pPr>
              <w:rPr>
                <w:color w:val="000000"/>
                <w:sz w:val="21"/>
                <w:szCs w:val="21"/>
              </w:rPr>
            </w:pPr>
          </w:p>
        </w:tc>
        <w:tc>
          <w:tcPr>
            <w:tcW w:w="570" w:type="dxa"/>
            <w:gridSpan w:val="2"/>
            <w:shd w:val="clear" w:color="auto" w:fill="FFFFFF"/>
          </w:tcPr>
          <w:p w14:paraId="506082EF" w14:textId="77777777" w:rsidR="005401EF" w:rsidRPr="00B37C80" w:rsidRDefault="005401EF" w:rsidP="002B5F66">
            <w:pPr>
              <w:rPr>
                <w:color w:val="000000"/>
                <w:sz w:val="21"/>
                <w:szCs w:val="21"/>
              </w:rPr>
            </w:pPr>
          </w:p>
        </w:tc>
        <w:tc>
          <w:tcPr>
            <w:tcW w:w="569" w:type="dxa"/>
            <w:gridSpan w:val="3"/>
            <w:shd w:val="clear" w:color="auto" w:fill="FFFFFF"/>
          </w:tcPr>
          <w:p w14:paraId="218BDD06" w14:textId="77777777" w:rsidR="005401EF" w:rsidRPr="00B37C80" w:rsidRDefault="005401EF" w:rsidP="002B5F66">
            <w:pPr>
              <w:rPr>
                <w:color w:val="000000"/>
                <w:sz w:val="21"/>
                <w:szCs w:val="21"/>
              </w:rPr>
            </w:pPr>
          </w:p>
        </w:tc>
        <w:tc>
          <w:tcPr>
            <w:tcW w:w="570" w:type="dxa"/>
            <w:gridSpan w:val="2"/>
            <w:shd w:val="clear" w:color="auto" w:fill="FFFFFF"/>
          </w:tcPr>
          <w:p w14:paraId="0DAAECA0" w14:textId="77777777" w:rsidR="005401EF" w:rsidRPr="00B37C80" w:rsidRDefault="005401EF" w:rsidP="002B5F66">
            <w:pPr>
              <w:rPr>
                <w:color w:val="000000"/>
                <w:sz w:val="21"/>
                <w:szCs w:val="21"/>
              </w:rPr>
            </w:pPr>
          </w:p>
        </w:tc>
        <w:tc>
          <w:tcPr>
            <w:tcW w:w="570" w:type="dxa"/>
            <w:shd w:val="clear" w:color="auto" w:fill="FFFFFF"/>
          </w:tcPr>
          <w:p w14:paraId="71446780" w14:textId="77777777" w:rsidR="005401EF" w:rsidRPr="00B37C80" w:rsidRDefault="005401EF" w:rsidP="002B5F66">
            <w:pPr>
              <w:rPr>
                <w:color w:val="000000"/>
                <w:sz w:val="21"/>
                <w:szCs w:val="21"/>
              </w:rPr>
            </w:pPr>
          </w:p>
        </w:tc>
        <w:tc>
          <w:tcPr>
            <w:tcW w:w="570" w:type="dxa"/>
            <w:gridSpan w:val="3"/>
            <w:shd w:val="clear" w:color="auto" w:fill="FFFFFF"/>
          </w:tcPr>
          <w:p w14:paraId="68438E3C" w14:textId="77777777" w:rsidR="005401EF" w:rsidRPr="00B37C80" w:rsidRDefault="005401EF" w:rsidP="002B5F66">
            <w:pPr>
              <w:rPr>
                <w:color w:val="000000"/>
                <w:sz w:val="21"/>
                <w:szCs w:val="21"/>
              </w:rPr>
            </w:pPr>
          </w:p>
        </w:tc>
        <w:tc>
          <w:tcPr>
            <w:tcW w:w="569" w:type="dxa"/>
            <w:gridSpan w:val="3"/>
            <w:shd w:val="clear" w:color="auto" w:fill="FFFFFF"/>
          </w:tcPr>
          <w:p w14:paraId="02B49401" w14:textId="77777777" w:rsidR="005401EF" w:rsidRPr="00B37C80" w:rsidRDefault="005401EF" w:rsidP="002B5F66">
            <w:pPr>
              <w:rPr>
                <w:color w:val="000000"/>
                <w:sz w:val="21"/>
                <w:szCs w:val="21"/>
              </w:rPr>
            </w:pPr>
          </w:p>
        </w:tc>
        <w:tc>
          <w:tcPr>
            <w:tcW w:w="570" w:type="dxa"/>
            <w:gridSpan w:val="2"/>
            <w:shd w:val="clear" w:color="auto" w:fill="FFFFFF"/>
          </w:tcPr>
          <w:p w14:paraId="649E95AC" w14:textId="77777777" w:rsidR="005401EF" w:rsidRPr="00B37C80" w:rsidRDefault="005401EF" w:rsidP="002B5F66">
            <w:pPr>
              <w:rPr>
                <w:color w:val="000000"/>
                <w:sz w:val="21"/>
                <w:szCs w:val="21"/>
              </w:rPr>
            </w:pPr>
          </w:p>
        </w:tc>
        <w:tc>
          <w:tcPr>
            <w:tcW w:w="570" w:type="dxa"/>
            <w:gridSpan w:val="2"/>
            <w:shd w:val="clear" w:color="auto" w:fill="FFFFFF"/>
          </w:tcPr>
          <w:p w14:paraId="32E0C0E1" w14:textId="77777777" w:rsidR="005401EF" w:rsidRPr="00B37C80" w:rsidRDefault="005401EF" w:rsidP="002B5F66">
            <w:pPr>
              <w:rPr>
                <w:color w:val="000000"/>
                <w:sz w:val="21"/>
                <w:szCs w:val="21"/>
              </w:rPr>
            </w:pPr>
          </w:p>
        </w:tc>
        <w:tc>
          <w:tcPr>
            <w:tcW w:w="570" w:type="dxa"/>
            <w:shd w:val="clear" w:color="auto" w:fill="FFFFFF"/>
          </w:tcPr>
          <w:p w14:paraId="7354369A" w14:textId="77777777" w:rsidR="005401EF" w:rsidRPr="00B37C80" w:rsidRDefault="005401EF" w:rsidP="002B5F66">
            <w:pPr>
              <w:rPr>
                <w:color w:val="000000"/>
                <w:sz w:val="21"/>
                <w:szCs w:val="21"/>
              </w:rPr>
            </w:pPr>
          </w:p>
        </w:tc>
        <w:tc>
          <w:tcPr>
            <w:tcW w:w="1547" w:type="dxa"/>
            <w:gridSpan w:val="3"/>
            <w:shd w:val="clear" w:color="auto" w:fill="FFFFFF"/>
          </w:tcPr>
          <w:p w14:paraId="00BF9B00" w14:textId="77777777" w:rsidR="005401EF" w:rsidRPr="00B37C80" w:rsidRDefault="005401EF" w:rsidP="002B5F66">
            <w:pPr>
              <w:rPr>
                <w:color w:val="000000"/>
                <w:sz w:val="21"/>
                <w:szCs w:val="21"/>
              </w:rPr>
            </w:pPr>
          </w:p>
        </w:tc>
      </w:tr>
      <w:tr w:rsidR="005401EF" w:rsidRPr="008B4FE6" w14:paraId="063CFBC6" w14:textId="77777777" w:rsidTr="00676C8D">
        <w:trPr>
          <w:trHeight w:val="360"/>
        </w:trPr>
        <w:tc>
          <w:tcPr>
            <w:tcW w:w="3133" w:type="dxa"/>
            <w:gridSpan w:val="4"/>
            <w:shd w:val="clear" w:color="auto" w:fill="FFFFFF"/>
            <w:vAlign w:val="center"/>
          </w:tcPr>
          <w:p w14:paraId="003F6A3E" w14:textId="77777777" w:rsidR="005401EF" w:rsidRPr="00C53F26" w:rsidRDefault="005401EF" w:rsidP="002B5F66">
            <w:pPr>
              <w:rPr>
                <w:color w:val="000000"/>
                <w:sz w:val="21"/>
                <w:szCs w:val="21"/>
              </w:rPr>
            </w:pPr>
            <w:r w:rsidRPr="00C53F26">
              <w:rPr>
                <w:b/>
                <w:color w:val="000000"/>
                <w:sz w:val="21"/>
                <w:szCs w:val="21"/>
              </w:rPr>
              <w:t>Saldo ogółem</w:t>
            </w:r>
          </w:p>
        </w:tc>
        <w:tc>
          <w:tcPr>
            <w:tcW w:w="569" w:type="dxa"/>
            <w:gridSpan w:val="2"/>
            <w:shd w:val="clear" w:color="auto" w:fill="FFFFFF"/>
          </w:tcPr>
          <w:p w14:paraId="1BDB76EF" w14:textId="77777777" w:rsidR="005401EF" w:rsidRPr="00B37C80" w:rsidRDefault="005401EF" w:rsidP="002B5F66">
            <w:pPr>
              <w:rPr>
                <w:color w:val="000000"/>
                <w:sz w:val="21"/>
                <w:szCs w:val="21"/>
              </w:rPr>
            </w:pPr>
            <w:r>
              <w:rPr>
                <w:color w:val="000000"/>
                <w:sz w:val="18"/>
                <w:szCs w:val="18"/>
              </w:rPr>
              <w:t>0</w:t>
            </w:r>
          </w:p>
        </w:tc>
        <w:tc>
          <w:tcPr>
            <w:tcW w:w="570" w:type="dxa"/>
            <w:gridSpan w:val="2"/>
            <w:shd w:val="clear" w:color="auto" w:fill="FFFFFF"/>
          </w:tcPr>
          <w:p w14:paraId="4D6E8152" w14:textId="77777777" w:rsidR="005401EF" w:rsidRPr="00B37C80" w:rsidRDefault="005401EF" w:rsidP="00170C21">
            <w:pPr>
              <w:rPr>
                <w:color w:val="000000"/>
                <w:sz w:val="21"/>
                <w:szCs w:val="21"/>
              </w:rPr>
            </w:pPr>
            <w:r>
              <w:rPr>
                <w:color w:val="000000"/>
                <w:sz w:val="18"/>
                <w:szCs w:val="18"/>
              </w:rPr>
              <w:t>0</w:t>
            </w:r>
          </w:p>
        </w:tc>
        <w:tc>
          <w:tcPr>
            <w:tcW w:w="570" w:type="dxa"/>
            <w:gridSpan w:val="2"/>
            <w:shd w:val="clear" w:color="auto" w:fill="FFFFFF"/>
          </w:tcPr>
          <w:p w14:paraId="23640E7E" w14:textId="77777777" w:rsidR="005401EF" w:rsidRPr="00B37C80" w:rsidRDefault="005401EF" w:rsidP="002B5F66">
            <w:pPr>
              <w:rPr>
                <w:color w:val="000000"/>
                <w:sz w:val="21"/>
                <w:szCs w:val="21"/>
              </w:rPr>
            </w:pPr>
            <w:r>
              <w:rPr>
                <w:color w:val="000000"/>
                <w:sz w:val="18"/>
                <w:szCs w:val="18"/>
              </w:rPr>
              <w:t>0</w:t>
            </w:r>
          </w:p>
        </w:tc>
        <w:tc>
          <w:tcPr>
            <w:tcW w:w="569" w:type="dxa"/>
            <w:gridSpan w:val="3"/>
            <w:shd w:val="clear" w:color="auto" w:fill="FFFFFF"/>
          </w:tcPr>
          <w:p w14:paraId="508CBA3C" w14:textId="77777777" w:rsidR="005401EF" w:rsidRPr="00B37C80" w:rsidRDefault="005401EF" w:rsidP="002B5F66">
            <w:pPr>
              <w:rPr>
                <w:color w:val="000000"/>
                <w:sz w:val="21"/>
                <w:szCs w:val="21"/>
              </w:rPr>
            </w:pPr>
            <w:r>
              <w:rPr>
                <w:color w:val="000000"/>
                <w:sz w:val="18"/>
                <w:szCs w:val="18"/>
              </w:rPr>
              <w:t>0</w:t>
            </w:r>
          </w:p>
        </w:tc>
        <w:tc>
          <w:tcPr>
            <w:tcW w:w="570" w:type="dxa"/>
            <w:gridSpan w:val="2"/>
            <w:shd w:val="clear" w:color="auto" w:fill="FFFFFF"/>
          </w:tcPr>
          <w:p w14:paraId="41D16E0F" w14:textId="77777777" w:rsidR="005401EF" w:rsidRPr="00B37C80" w:rsidRDefault="005401EF" w:rsidP="002B5F66">
            <w:pPr>
              <w:rPr>
                <w:color w:val="000000"/>
                <w:sz w:val="21"/>
                <w:szCs w:val="21"/>
              </w:rPr>
            </w:pPr>
            <w:r>
              <w:rPr>
                <w:color w:val="000000"/>
                <w:sz w:val="18"/>
                <w:szCs w:val="18"/>
              </w:rPr>
              <w:t>0</w:t>
            </w:r>
          </w:p>
        </w:tc>
        <w:tc>
          <w:tcPr>
            <w:tcW w:w="570" w:type="dxa"/>
            <w:shd w:val="clear" w:color="auto" w:fill="FFFFFF"/>
          </w:tcPr>
          <w:p w14:paraId="1A77FC42" w14:textId="77777777" w:rsidR="005401EF" w:rsidRPr="00B37C80" w:rsidRDefault="005401EF" w:rsidP="002B5F66">
            <w:pPr>
              <w:rPr>
                <w:color w:val="000000"/>
                <w:sz w:val="21"/>
                <w:szCs w:val="21"/>
              </w:rPr>
            </w:pPr>
            <w:r>
              <w:rPr>
                <w:color w:val="000000"/>
                <w:sz w:val="18"/>
                <w:szCs w:val="18"/>
              </w:rPr>
              <w:t>0</w:t>
            </w:r>
          </w:p>
        </w:tc>
        <w:tc>
          <w:tcPr>
            <w:tcW w:w="570" w:type="dxa"/>
            <w:gridSpan w:val="3"/>
            <w:shd w:val="clear" w:color="auto" w:fill="FFFFFF"/>
          </w:tcPr>
          <w:p w14:paraId="08153C68" w14:textId="77777777" w:rsidR="005401EF" w:rsidRPr="00B37C80" w:rsidRDefault="005401EF" w:rsidP="002B5F66">
            <w:pPr>
              <w:rPr>
                <w:color w:val="000000"/>
                <w:sz w:val="21"/>
                <w:szCs w:val="21"/>
              </w:rPr>
            </w:pPr>
            <w:r>
              <w:rPr>
                <w:color w:val="000000"/>
                <w:sz w:val="18"/>
                <w:szCs w:val="18"/>
              </w:rPr>
              <w:t>0</w:t>
            </w:r>
          </w:p>
        </w:tc>
        <w:tc>
          <w:tcPr>
            <w:tcW w:w="569" w:type="dxa"/>
            <w:gridSpan w:val="3"/>
            <w:shd w:val="clear" w:color="auto" w:fill="FFFFFF"/>
          </w:tcPr>
          <w:p w14:paraId="31BB1FC0" w14:textId="77777777" w:rsidR="005401EF" w:rsidRPr="00B37C80" w:rsidRDefault="005401EF" w:rsidP="002B5F66">
            <w:pPr>
              <w:rPr>
                <w:color w:val="000000"/>
                <w:sz w:val="21"/>
                <w:szCs w:val="21"/>
              </w:rPr>
            </w:pPr>
            <w:r>
              <w:rPr>
                <w:color w:val="000000"/>
                <w:sz w:val="18"/>
                <w:szCs w:val="18"/>
              </w:rPr>
              <w:t>0</w:t>
            </w:r>
          </w:p>
        </w:tc>
        <w:tc>
          <w:tcPr>
            <w:tcW w:w="570" w:type="dxa"/>
            <w:gridSpan w:val="2"/>
            <w:shd w:val="clear" w:color="auto" w:fill="FFFFFF"/>
          </w:tcPr>
          <w:p w14:paraId="72BDC48A" w14:textId="77777777" w:rsidR="005401EF" w:rsidRPr="00B37C80" w:rsidRDefault="005401EF" w:rsidP="002B5F66">
            <w:pPr>
              <w:rPr>
                <w:color w:val="000000"/>
                <w:sz w:val="21"/>
                <w:szCs w:val="21"/>
              </w:rPr>
            </w:pPr>
            <w:r>
              <w:rPr>
                <w:color w:val="000000"/>
                <w:sz w:val="18"/>
                <w:szCs w:val="18"/>
              </w:rPr>
              <w:t>0</w:t>
            </w:r>
          </w:p>
        </w:tc>
        <w:tc>
          <w:tcPr>
            <w:tcW w:w="570" w:type="dxa"/>
            <w:gridSpan w:val="2"/>
            <w:shd w:val="clear" w:color="auto" w:fill="FFFFFF"/>
          </w:tcPr>
          <w:p w14:paraId="7529E062" w14:textId="77777777" w:rsidR="005401EF" w:rsidRPr="00B37C80" w:rsidRDefault="005401EF" w:rsidP="002B5F66">
            <w:pPr>
              <w:rPr>
                <w:color w:val="000000"/>
                <w:sz w:val="21"/>
                <w:szCs w:val="21"/>
              </w:rPr>
            </w:pPr>
            <w:r>
              <w:rPr>
                <w:color w:val="000000"/>
                <w:sz w:val="18"/>
                <w:szCs w:val="18"/>
              </w:rPr>
              <w:t>0</w:t>
            </w:r>
          </w:p>
        </w:tc>
        <w:tc>
          <w:tcPr>
            <w:tcW w:w="570" w:type="dxa"/>
            <w:shd w:val="clear" w:color="auto" w:fill="FFFFFF"/>
          </w:tcPr>
          <w:p w14:paraId="6292125A" w14:textId="77777777" w:rsidR="005401EF" w:rsidRPr="00B37C80" w:rsidRDefault="005401EF" w:rsidP="002B5F66">
            <w:pPr>
              <w:rPr>
                <w:color w:val="000000"/>
                <w:sz w:val="21"/>
                <w:szCs w:val="21"/>
              </w:rPr>
            </w:pPr>
            <w:r>
              <w:rPr>
                <w:color w:val="000000"/>
                <w:sz w:val="18"/>
                <w:szCs w:val="18"/>
              </w:rPr>
              <w:t>0</w:t>
            </w:r>
          </w:p>
        </w:tc>
        <w:tc>
          <w:tcPr>
            <w:tcW w:w="1547" w:type="dxa"/>
            <w:gridSpan w:val="3"/>
            <w:shd w:val="clear" w:color="auto" w:fill="FFFFFF"/>
          </w:tcPr>
          <w:p w14:paraId="18D6DF30" w14:textId="77777777" w:rsidR="005401EF" w:rsidRPr="00B37C80" w:rsidRDefault="005401EF" w:rsidP="00397273">
            <w:pPr>
              <w:jc w:val="center"/>
              <w:rPr>
                <w:color w:val="000000"/>
                <w:sz w:val="21"/>
                <w:szCs w:val="21"/>
              </w:rPr>
            </w:pPr>
            <w:r>
              <w:rPr>
                <w:color w:val="000000"/>
                <w:sz w:val="21"/>
                <w:szCs w:val="21"/>
              </w:rPr>
              <w:t>0 zł</w:t>
            </w:r>
          </w:p>
        </w:tc>
      </w:tr>
      <w:tr w:rsidR="005401EF" w:rsidRPr="008B4FE6" w14:paraId="0D29649C" w14:textId="77777777" w:rsidTr="00676C8D">
        <w:trPr>
          <w:trHeight w:val="360"/>
        </w:trPr>
        <w:tc>
          <w:tcPr>
            <w:tcW w:w="3133" w:type="dxa"/>
            <w:gridSpan w:val="4"/>
            <w:shd w:val="clear" w:color="auto" w:fill="FFFFFF"/>
            <w:vAlign w:val="center"/>
          </w:tcPr>
          <w:p w14:paraId="6C938B68" w14:textId="77777777" w:rsidR="005401EF" w:rsidRPr="00C53F26" w:rsidRDefault="005401EF" w:rsidP="002B5F66">
            <w:pPr>
              <w:rPr>
                <w:color w:val="000000"/>
                <w:sz w:val="21"/>
                <w:szCs w:val="21"/>
              </w:rPr>
            </w:pPr>
            <w:r w:rsidRPr="00C53F26">
              <w:rPr>
                <w:color w:val="000000"/>
                <w:sz w:val="21"/>
                <w:szCs w:val="21"/>
              </w:rPr>
              <w:t>budżet państwa</w:t>
            </w:r>
          </w:p>
        </w:tc>
        <w:tc>
          <w:tcPr>
            <w:tcW w:w="569" w:type="dxa"/>
            <w:gridSpan w:val="2"/>
            <w:shd w:val="clear" w:color="auto" w:fill="FFFFFF"/>
          </w:tcPr>
          <w:p w14:paraId="735802A0" w14:textId="77777777" w:rsidR="005401EF" w:rsidRPr="002B55EA" w:rsidRDefault="005401EF" w:rsidP="002B5F66">
            <w:pPr>
              <w:rPr>
                <w:color w:val="000000"/>
                <w:sz w:val="18"/>
                <w:szCs w:val="18"/>
              </w:rPr>
            </w:pPr>
          </w:p>
        </w:tc>
        <w:tc>
          <w:tcPr>
            <w:tcW w:w="570" w:type="dxa"/>
            <w:gridSpan w:val="2"/>
            <w:shd w:val="clear" w:color="auto" w:fill="FFFFFF"/>
          </w:tcPr>
          <w:p w14:paraId="1269990E" w14:textId="77777777" w:rsidR="005401EF" w:rsidRPr="00B37C80" w:rsidRDefault="005401EF" w:rsidP="002B5F66">
            <w:pPr>
              <w:rPr>
                <w:color w:val="000000"/>
                <w:sz w:val="21"/>
                <w:szCs w:val="21"/>
              </w:rPr>
            </w:pPr>
          </w:p>
        </w:tc>
        <w:tc>
          <w:tcPr>
            <w:tcW w:w="570" w:type="dxa"/>
            <w:gridSpan w:val="2"/>
            <w:shd w:val="clear" w:color="auto" w:fill="FFFFFF"/>
          </w:tcPr>
          <w:p w14:paraId="78217B55" w14:textId="77777777" w:rsidR="005401EF" w:rsidRPr="00B37C80" w:rsidRDefault="005401EF" w:rsidP="00170C21">
            <w:pPr>
              <w:rPr>
                <w:color w:val="000000"/>
                <w:sz w:val="21"/>
                <w:szCs w:val="21"/>
              </w:rPr>
            </w:pPr>
          </w:p>
        </w:tc>
        <w:tc>
          <w:tcPr>
            <w:tcW w:w="569" w:type="dxa"/>
            <w:gridSpan w:val="3"/>
            <w:shd w:val="clear" w:color="auto" w:fill="FFFFFF"/>
          </w:tcPr>
          <w:p w14:paraId="3785767F" w14:textId="77777777" w:rsidR="005401EF" w:rsidRPr="00B37C80" w:rsidRDefault="005401EF" w:rsidP="002B5F66">
            <w:pPr>
              <w:rPr>
                <w:color w:val="000000"/>
                <w:sz w:val="21"/>
                <w:szCs w:val="21"/>
              </w:rPr>
            </w:pPr>
          </w:p>
        </w:tc>
        <w:tc>
          <w:tcPr>
            <w:tcW w:w="570" w:type="dxa"/>
            <w:gridSpan w:val="2"/>
            <w:shd w:val="clear" w:color="auto" w:fill="FFFFFF"/>
          </w:tcPr>
          <w:p w14:paraId="161FC17A" w14:textId="77777777" w:rsidR="005401EF" w:rsidRPr="00B37C80" w:rsidRDefault="005401EF" w:rsidP="002B5F66">
            <w:pPr>
              <w:rPr>
                <w:color w:val="000000"/>
                <w:sz w:val="21"/>
                <w:szCs w:val="21"/>
              </w:rPr>
            </w:pPr>
          </w:p>
        </w:tc>
        <w:tc>
          <w:tcPr>
            <w:tcW w:w="570" w:type="dxa"/>
            <w:shd w:val="clear" w:color="auto" w:fill="FFFFFF"/>
          </w:tcPr>
          <w:p w14:paraId="5B4E28E7" w14:textId="77777777" w:rsidR="005401EF" w:rsidRPr="00B37C80" w:rsidRDefault="005401EF" w:rsidP="002B5F66">
            <w:pPr>
              <w:rPr>
                <w:color w:val="000000"/>
                <w:sz w:val="21"/>
                <w:szCs w:val="21"/>
              </w:rPr>
            </w:pPr>
          </w:p>
        </w:tc>
        <w:tc>
          <w:tcPr>
            <w:tcW w:w="570" w:type="dxa"/>
            <w:gridSpan w:val="3"/>
            <w:shd w:val="clear" w:color="auto" w:fill="FFFFFF"/>
          </w:tcPr>
          <w:p w14:paraId="60841FF9" w14:textId="77777777" w:rsidR="005401EF" w:rsidRPr="00B37C80" w:rsidRDefault="005401EF" w:rsidP="002B5F66">
            <w:pPr>
              <w:rPr>
                <w:color w:val="000000"/>
                <w:sz w:val="21"/>
                <w:szCs w:val="21"/>
              </w:rPr>
            </w:pPr>
          </w:p>
        </w:tc>
        <w:tc>
          <w:tcPr>
            <w:tcW w:w="569" w:type="dxa"/>
            <w:gridSpan w:val="3"/>
            <w:shd w:val="clear" w:color="auto" w:fill="FFFFFF"/>
          </w:tcPr>
          <w:p w14:paraId="47CB8F8A" w14:textId="77777777" w:rsidR="005401EF" w:rsidRPr="00B37C80" w:rsidRDefault="005401EF" w:rsidP="002B5F66">
            <w:pPr>
              <w:rPr>
                <w:color w:val="000000"/>
                <w:sz w:val="21"/>
                <w:szCs w:val="21"/>
              </w:rPr>
            </w:pPr>
          </w:p>
        </w:tc>
        <w:tc>
          <w:tcPr>
            <w:tcW w:w="570" w:type="dxa"/>
            <w:gridSpan w:val="2"/>
            <w:shd w:val="clear" w:color="auto" w:fill="FFFFFF"/>
          </w:tcPr>
          <w:p w14:paraId="674E732D" w14:textId="77777777" w:rsidR="005401EF" w:rsidRPr="00B37C80" w:rsidRDefault="005401EF" w:rsidP="00170C21">
            <w:pPr>
              <w:rPr>
                <w:color w:val="000000"/>
                <w:sz w:val="21"/>
                <w:szCs w:val="21"/>
              </w:rPr>
            </w:pPr>
          </w:p>
        </w:tc>
        <w:tc>
          <w:tcPr>
            <w:tcW w:w="570" w:type="dxa"/>
            <w:gridSpan w:val="2"/>
            <w:shd w:val="clear" w:color="auto" w:fill="FFFFFF"/>
          </w:tcPr>
          <w:p w14:paraId="47A58194" w14:textId="77777777" w:rsidR="005401EF" w:rsidRPr="00B37C80" w:rsidRDefault="005401EF" w:rsidP="002B5F66">
            <w:pPr>
              <w:rPr>
                <w:color w:val="000000"/>
                <w:sz w:val="21"/>
                <w:szCs w:val="21"/>
              </w:rPr>
            </w:pPr>
          </w:p>
        </w:tc>
        <w:tc>
          <w:tcPr>
            <w:tcW w:w="570" w:type="dxa"/>
            <w:shd w:val="clear" w:color="auto" w:fill="FFFFFF"/>
          </w:tcPr>
          <w:p w14:paraId="3368EAC0" w14:textId="77777777" w:rsidR="005401EF" w:rsidRPr="00B37C80" w:rsidRDefault="005401EF" w:rsidP="002B5F66">
            <w:pPr>
              <w:rPr>
                <w:color w:val="000000"/>
                <w:sz w:val="21"/>
                <w:szCs w:val="21"/>
              </w:rPr>
            </w:pPr>
          </w:p>
        </w:tc>
        <w:tc>
          <w:tcPr>
            <w:tcW w:w="1547" w:type="dxa"/>
            <w:gridSpan w:val="3"/>
            <w:shd w:val="clear" w:color="auto" w:fill="FFFFFF"/>
          </w:tcPr>
          <w:p w14:paraId="5B029560" w14:textId="77777777" w:rsidR="005401EF" w:rsidRPr="00B37C80" w:rsidRDefault="005401EF" w:rsidP="00397273">
            <w:pPr>
              <w:jc w:val="center"/>
              <w:rPr>
                <w:color w:val="000000"/>
                <w:sz w:val="21"/>
                <w:szCs w:val="21"/>
              </w:rPr>
            </w:pPr>
          </w:p>
        </w:tc>
      </w:tr>
      <w:tr w:rsidR="005401EF" w:rsidRPr="008B4FE6" w14:paraId="44753640" w14:textId="77777777" w:rsidTr="00676C8D">
        <w:trPr>
          <w:trHeight w:val="357"/>
        </w:trPr>
        <w:tc>
          <w:tcPr>
            <w:tcW w:w="3133" w:type="dxa"/>
            <w:gridSpan w:val="4"/>
            <w:shd w:val="clear" w:color="auto" w:fill="FFFFFF"/>
            <w:vAlign w:val="center"/>
          </w:tcPr>
          <w:p w14:paraId="08057B42" w14:textId="77777777" w:rsidR="005401EF" w:rsidRPr="00C53F26" w:rsidRDefault="005401EF" w:rsidP="002B5F66">
            <w:pPr>
              <w:rPr>
                <w:color w:val="000000"/>
                <w:sz w:val="21"/>
                <w:szCs w:val="21"/>
              </w:rPr>
            </w:pPr>
            <w:r w:rsidRPr="00C53F26">
              <w:rPr>
                <w:color w:val="000000"/>
                <w:sz w:val="21"/>
                <w:szCs w:val="21"/>
              </w:rPr>
              <w:t>JST</w:t>
            </w:r>
          </w:p>
        </w:tc>
        <w:tc>
          <w:tcPr>
            <w:tcW w:w="569" w:type="dxa"/>
            <w:gridSpan w:val="2"/>
            <w:shd w:val="clear" w:color="auto" w:fill="FFFFFF"/>
          </w:tcPr>
          <w:p w14:paraId="55564A7F" w14:textId="77777777" w:rsidR="005401EF" w:rsidRPr="00B37C80" w:rsidRDefault="005401EF" w:rsidP="002B5F66">
            <w:pPr>
              <w:rPr>
                <w:color w:val="000000"/>
                <w:sz w:val="21"/>
                <w:szCs w:val="21"/>
              </w:rPr>
            </w:pPr>
          </w:p>
        </w:tc>
        <w:tc>
          <w:tcPr>
            <w:tcW w:w="570" w:type="dxa"/>
            <w:gridSpan w:val="2"/>
            <w:shd w:val="clear" w:color="auto" w:fill="FFFFFF"/>
          </w:tcPr>
          <w:p w14:paraId="6A74DAD4" w14:textId="77777777" w:rsidR="005401EF" w:rsidRPr="00B37C80" w:rsidRDefault="005401EF" w:rsidP="002B5F66">
            <w:pPr>
              <w:rPr>
                <w:color w:val="000000"/>
                <w:sz w:val="21"/>
                <w:szCs w:val="21"/>
              </w:rPr>
            </w:pPr>
          </w:p>
        </w:tc>
        <w:tc>
          <w:tcPr>
            <w:tcW w:w="570" w:type="dxa"/>
            <w:gridSpan w:val="2"/>
            <w:shd w:val="clear" w:color="auto" w:fill="FFFFFF"/>
          </w:tcPr>
          <w:p w14:paraId="1FFBD80D" w14:textId="77777777" w:rsidR="005401EF" w:rsidRPr="00B37C80" w:rsidRDefault="005401EF" w:rsidP="002B5F66">
            <w:pPr>
              <w:rPr>
                <w:color w:val="000000"/>
                <w:sz w:val="21"/>
                <w:szCs w:val="21"/>
              </w:rPr>
            </w:pPr>
          </w:p>
        </w:tc>
        <w:tc>
          <w:tcPr>
            <w:tcW w:w="569" w:type="dxa"/>
            <w:gridSpan w:val="3"/>
            <w:shd w:val="clear" w:color="auto" w:fill="FFFFFF"/>
          </w:tcPr>
          <w:p w14:paraId="1B9C26D1" w14:textId="77777777" w:rsidR="005401EF" w:rsidRPr="00B37C80" w:rsidRDefault="005401EF" w:rsidP="002B5F66">
            <w:pPr>
              <w:rPr>
                <w:color w:val="000000"/>
                <w:sz w:val="21"/>
                <w:szCs w:val="21"/>
              </w:rPr>
            </w:pPr>
          </w:p>
        </w:tc>
        <w:tc>
          <w:tcPr>
            <w:tcW w:w="570" w:type="dxa"/>
            <w:gridSpan w:val="2"/>
            <w:shd w:val="clear" w:color="auto" w:fill="FFFFFF"/>
          </w:tcPr>
          <w:p w14:paraId="5089ED53" w14:textId="77777777" w:rsidR="005401EF" w:rsidRPr="00B37C80" w:rsidRDefault="005401EF" w:rsidP="002B5F66">
            <w:pPr>
              <w:rPr>
                <w:color w:val="000000"/>
                <w:sz w:val="21"/>
                <w:szCs w:val="21"/>
              </w:rPr>
            </w:pPr>
          </w:p>
        </w:tc>
        <w:tc>
          <w:tcPr>
            <w:tcW w:w="570" w:type="dxa"/>
            <w:shd w:val="clear" w:color="auto" w:fill="FFFFFF"/>
          </w:tcPr>
          <w:p w14:paraId="56627B58" w14:textId="77777777" w:rsidR="005401EF" w:rsidRPr="00B37C80" w:rsidRDefault="005401EF" w:rsidP="002B5F66">
            <w:pPr>
              <w:rPr>
                <w:color w:val="000000"/>
                <w:sz w:val="21"/>
                <w:szCs w:val="21"/>
              </w:rPr>
            </w:pPr>
          </w:p>
        </w:tc>
        <w:tc>
          <w:tcPr>
            <w:tcW w:w="570" w:type="dxa"/>
            <w:gridSpan w:val="3"/>
            <w:shd w:val="clear" w:color="auto" w:fill="FFFFFF"/>
          </w:tcPr>
          <w:p w14:paraId="1B22B1EB" w14:textId="77777777" w:rsidR="005401EF" w:rsidRPr="00B37C80" w:rsidRDefault="005401EF" w:rsidP="002B5F66">
            <w:pPr>
              <w:rPr>
                <w:color w:val="000000"/>
                <w:sz w:val="21"/>
                <w:szCs w:val="21"/>
              </w:rPr>
            </w:pPr>
          </w:p>
        </w:tc>
        <w:tc>
          <w:tcPr>
            <w:tcW w:w="569" w:type="dxa"/>
            <w:gridSpan w:val="3"/>
            <w:shd w:val="clear" w:color="auto" w:fill="FFFFFF"/>
          </w:tcPr>
          <w:p w14:paraId="1D103AC6" w14:textId="77777777" w:rsidR="005401EF" w:rsidRPr="00B37C80" w:rsidRDefault="005401EF" w:rsidP="002B5F66">
            <w:pPr>
              <w:rPr>
                <w:color w:val="000000"/>
                <w:sz w:val="21"/>
                <w:szCs w:val="21"/>
              </w:rPr>
            </w:pPr>
          </w:p>
        </w:tc>
        <w:tc>
          <w:tcPr>
            <w:tcW w:w="570" w:type="dxa"/>
            <w:gridSpan w:val="2"/>
            <w:shd w:val="clear" w:color="auto" w:fill="FFFFFF"/>
          </w:tcPr>
          <w:p w14:paraId="12AB6C77" w14:textId="77777777" w:rsidR="005401EF" w:rsidRPr="00B37C80" w:rsidRDefault="005401EF" w:rsidP="002B5F66">
            <w:pPr>
              <w:rPr>
                <w:color w:val="000000"/>
                <w:sz w:val="21"/>
                <w:szCs w:val="21"/>
              </w:rPr>
            </w:pPr>
          </w:p>
        </w:tc>
        <w:tc>
          <w:tcPr>
            <w:tcW w:w="570" w:type="dxa"/>
            <w:gridSpan w:val="2"/>
            <w:shd w:val="clear" w:color="auto" w:fill="FFFFFF"/>
          </w:tcPr>
          <w:p w14:paraId="556CBCFD" w14:textId="77777777" w:rsidR="005401EF" w:rsidRPr="00B37C80" w:rsidRDefault="005401EF" w:rsidP="002B5F66">
            <w:pPr>
              <w:rPr>
                <w:color w:val="000000"/>
                <w:sz w:val="21"/>
                <w:szCs w:val="21"/>
              </w:rPr>
            </w:pPr>
          </w:p>
        </w:tc>
        <w:tc>
          <w:tcPr>
            <w:tcW w:w="570" w:type="dxa"/>
            <w:shd w:val="clear" w:color="auto" w:fill="FFFFFF"/>
          </w:tcPr>
          <w:p w14:paraId="479B12BF" w14:textId="77777777" w:rsidR="005401EF" w:rsidRPr="00B37C80" w:rsidRDefault="005401EF" w:rsidP="002B5F66">
            <w:pPr>
              <w:rPr>
                <w:color w:val="000000"/>
                <w:sz w:val="21"/>
                <w:szCs w:val="21"/>
              </w:rPr>
            </w:pPr>
          </w:p>
        </w:tc>
        <w:tc>
          <w:tcPr>
            <w:tcW w:w="1547" w:type="dxa"/>
            <w:gridSpan w:val="3"/>
            <w:shd w:val="clear" w:color="auto" w:fill="FFFFFF"/>
          </w:tcPr>
          <w:p w14:paraId="232B0540" w14:textId="77777777" w:rsidR="005401EF" w:rsidRPr="00B37C80" w:rsidRDefault="005401EF" w:rsidP="002B5F66">
            <w:pPr>
              <w:rPr>
                <w:color w:val="000000"/>
                <w:sz w:val="21"/>
                <w:szCs w:val="21"/>
              </w:rPr>
            </w:pPr>
          </w:p>
        </w:tc>
      </w:tr>
      <w:tr w:rsidR="005401EF" w:rsidRPr="008B4FE6" w14:paraId="5CEA7BCE" w14:textId="77777777" w:rsidTr="00676C8D">
        <w:trPr>
          <w:trHeight w:val="357"/>
        </w:trPr>
        <w:tc>
          <w:tcPr>
            <w:tcW w:w="3133" w:type="dxa"/>
            <w:gridSpan w:val="4"/>
            <w:shd w:val="clear" w:color="auto" w:fill="FFFFFF"/>
            <w:vAlign w:val="center"/>
          </w:tcPr>
          <w:p w14:paraId="5FAF1276" w14:textId="77777777" w:rsidR="005401EF" w:rsidRPr="00C53F26" w:rsidRDefault="005401EF" w:rsidP="002B5F66">
            <w:pPr>
              <w:rPr>
                <w:color w:val="000000"/>
                <w:sz w:val="21"/>
                <w:szCs w:val="21"/>
              </w:rPr>
            </w:pPr>
            <w:r w:rsidRPr="00C53F26">
              <w:rPr>
                <w:color w:val="000000"/>
                <w:sz w:val="21"/>
                <w:szCs w:val="21"/>
              </w:rPr>
              <w:t>pozostałe jednostki (oddzielnie)</w:t>
            </w:r>
          </w:p>
        </w:tc>
        <w:tc>
          <w:tcPr>
            <w:tcW w:w="569" w:type="dxa"/>
            <w:gridSpan w:val="2"/>
            <w:shd w:val="clear" w:color="auto" w:fill="FFFFFF"/>
          </w:tcPr>
          <w:p w14:paraId="5A641135" w14:textId="77777777" w:rsidR="005401EF" w:rsidRPr="00B37C80" w:rsidRDefault="005401EF" w:rsidP="002B5F66">
            <w:pPr>
              <w:rPr>
                <w:color w:val="000000"/>
                <w:sz w:val="21"/>
                <w:szCs w:val="21"/>
              </w:rPr>
            </w:pPr>
          </w:p>
        </w:tc>
        <w:tc>
          <w:tcPr>
            <w:tcW w:w="570" w:type="dxa"/>
            <w:gridSpan w:val="2"/>
            <w:shd w:val="clear" w:color="auto" w:fill="FFFFFF"/>
          </w:tcPr>
          <w:p w14:paraId="4BF4FE03" w14:textId="77777777" w:rsidR="005401EF" w:rsidRPr="00B37C80" w:rsidRDefault="005401EF" w:rsidP="002B5F66">
            <w:pPr>
              <w:rPr>
                <w:color w:val="000000"/>
                <w:sz w:val="21"/>
                <w:szCs w:val="21"/>
              </w:rPr>
            </w:pPr>
          </w:p>
        </w:tc>
        <w:tc>
          <w:tcPr>
            <w:tcW w:w="570" w:type="dxa"/>
            <w:gridSpan w:val="2"/>
            <w:shd w:val="clear" w:color="auto" w:fill="FFFFFF"/>
          </w:tcPr>
          <w:p w14:paraId="10C1982D" w14:textId="77777777" w:rsidR="005401EF" w:rsidRPr="00B37C80" w:rsidRDefault="005401EF" w:rsidP="002B5F66">
            <w:pPr>
              <w:rPr>
                <w:color w:val="000000"/>
                <w:sz w:val="21"/>
                <w:szCs w:val="21"/>
              </w:rPr>
            </w:pPr>
          </w:p>
        </w:tc>
        <w:tc>
          <w:tcPr>
            <w:tcW w:w="569" w:type="dxa"/>
            <w:gridSpan w:val="3"/>
            <w:shd w:val="clear" w:color="auto" w:fill="FFFFFF"/>
          </w:tcPr>
          <w:p w14:paraId="6DF7BD14" w14:textId="77777777" w:rsidR="005401EF" w:rsidRPr="00B37C80" w:rsidRDefault="005401EF" w:rsidP="002B5F66">
            <w:pPr>
              <w:rPr>
                <w:color w:val="000000"/>
                <w:sz w:val="21"/>
                <w:szCs w:val="21"/>
              </w:rPr>
            </w:pPr>
          </w:p>
        </w:tc>
        <w:tc>
          <w:tcPr>
            <w:tcW w:w="570" w:type="dxa"/>
            <w:gridSpan w:val="2"/>
            <w:shd w:val="clear" w:color="auto" w:fill="FFFFFF"/>
          </w:tcPr>
          <w:p w14:paraId="541D9416" w14:textId="77777777" w:rsidR="005401EF" w:rsidRPr="00B37C80" w:rsidRDefault="005401EF" w:rsidP="002B5F66">
            <w:pPr>
              <w:rPr>
                <w:color w:val="000000"/>
                <w:sz w:val="21"/>
                <w:szCs w:val="21"/>
              </w:rPr>
            </w:pPr>
          </w:p>
        </w:tc>
        <w:tc>
          <w:tcPr>
            <w:tcW w:w="570" w:type="dxa"/>
            <w:shd w:val="clear" w:color="auto" w:fill="FFFFFF"/>
          </w:tcPr>
          <w:p w14:paraId="0DC6F885" w14:textId="77777777" w:rsidR="005401EF" w:rsidRPr="00B37C80" w:rsidRDefault="005401EF" w:rsidP="002B5F66">
            <w:pPr>
              <w:rPr>
                <w:color w:val="000000"/>
                <w:sz w:val="21"/>
                <w:szCs w:val="21"/>
              </w:rPr>
            </w:pPr>
          </w:p>
        </w:tc>
        <w:tc>
          <w:tcPr>
            <w:tcW w:w="570" w:type="dxa"/>
            <w:gridSpan w:val="3"/>
            <w:shd w:val="clear" w:color="auto" w:fill="FFFFFF"/>
          </w:tcPr>
          <w:p w14:paraId="2538C8B4" w14:textId="77777777" w:rsidR="005401EF" w:rsidRPr="00B37C80" w:rsidRDefault="005401EF" w:rsidP="002B5F66">
            <w:pPr>
              <w:rPr>
                <w:color w:val="000000"/>
                <w:sz w:val="21"/>
                <w:szCs w:val="21"/>
              </w:rPr>
            </w:pPr>
          </w:p>
        </w:tc>
        <w:tc>
          <w:tcPr>
            <w:tcW w:w="569" w:type="dxa"/>
            <w:gridSpan w:val="3"/>
            <w:shd w:val="clear" w:color="auto" w:fill="FFFFFF"/>
          </w:tcPr>
          <w:p w14:paraId="0E7878AF" w14:textId="77777777" w:rsidR="005401EF" w:rsidRPr="00B37C80" w:rsidRDefault="005401EF" w:rsidP="002B5F66">
            <w:pPr>
              <w:rPr>
                <w:color w:val="000000"/>
                <w:sz w:val="21"/>
                <w:szCs w:val="21"/>
              </w:rPr>
            </w:pPr>
          </w:p>
        </w:tc>
        <w:tc>
          <w:tcPr>
            <w:tcW w:w="570" w:type="dxa"/>
            <w:gridSpan w:val="2"/>
            <w:shd w:val="clear" w:color="auto" w:fill="FFFFFF"/>
          </w:tcPr>
          <w:p w14:paraId="3EBA9C81" w14:textId="77777777" w:rsidR="005401EF" w:rsidRPr="00B37C80" w:rsidRDefault="005401EF" w:rsidP="002B5F66">
            <w:pPr>
              <w:rPr>
                <w:color w:val="000000"/>
                <w:sz w:val="21"/>
                <w:szCs w:val="21"/>
              </w:rPr>
            </w:pPr>
          </w:p>
        </w:tc>
        <w:tc>
          <w:tcPr>
            <w:tcW w:w="570" w:type="dxa"/>
            <w:gridSpan w:val="2"/>
            <w:shd w:val="clear" w:color="auto" w:fill="FFFFFF"/>
          </w:tcPr>
          <w:p w14:paraId="1812CCEB" w14:textId="77777777" w:rsidR="005401EF" w:rsidRPr="00B37C80" w:rsidRDefault="005401EF" w:rsidP="002B5F66">
            <w:pPr>
              <w:rPr>
                <w:color w:val="000000"/>
                <w:sz w:val="21"/>
                <w:szCs w:val="21"/>
              </w:rPr>
            </w:pPr>
          </w:p>
        </w:tc>
        <w:tc>
          <w:tcPr>
            <w:tcW w:w="570" w:type="dxa"/>
            <w:shd w:val="clear" w:color="auto" w:fill="FFFFFF"/>
          </w:tcPr>
          <w:p w14:paraId="244C14DC" w14:textId="77777777" w:rsidR="005401EF" w:rsidRPr="00B37C80" w:rsidRDefault="005401EF" w:rsidP="002B5F66">
            <w:pPr>
              <w:rPr>
                <w:color w:val="000000"/>
                <w:sz w:val="21"/>
                <w:szCs w:val="21"/>
              </w:rPr>
            </w:pPr>
          </w:p>
        </w:tc>
        <w:tc>
          <w:tcPr>
            <w:tcW w:w="1547" w:type="dxa"/>
            <w:gridSpan w:val="3"/>
            <w:shd w:val="clear" w:color="auto" w:fill="FFFFFF"/>
          </w:tcPr>
          <w:p w14:paraId="15C90C53" w14:textId="77777777" w:rsidR="005401EF" w:rsidRPr="00B37C80" w:rsidRDefault="005401EF" w:rsidP="002B5F66">
            <w:pPr>
              <w:rPr>
                <w:color w:val="000000"/>
                <w:sz w:val="21"/>
                <w:szCs w:val="21"/>
              </w:rPr>
            </w:pPr>
          </w:p>
        </w:tc>
      </w:tr>
      <w:tr w:rsidR="005401EF" w:rsidRPr="008B4FE6" w14:paraId="6FF68767" w14:textId="77777777" w:rsidTr="00676C8D">
        <w:trPr>
          <w:gridAfter w:val="1"/>
          <w:wAfter w:w="10" w:type="dxa"/>
          <w:trHeight w:val="348"/>
        </w:trPr>
        <w:tc>
          <w:tcPr>
            <w:tcW w:w="2243" w:type="dxa"/>
            <w:gridSpan w:val="2"/>
            <w:shd w:val="clear" w:color="auto" w:fill="FFFFFF"/>
            <w:vAlign w:val="center"/>
          </w:tcPr>
          <w:p w14:paraId="2A9C7BC2" w14:textId="77777777" w:rsidR="005401EF" w:rsidRPr="00257293" w:rsidRDefault="005401EF" w:rsidP="002B5F66">
            <w:pPr>
              <w:rPr>
                <w:color w:val="000000"/>
                <w:sz w:val="21"/>
                <w:szCs w:val="21"/>
              </w:rPr>
            </w:pPr>
            <w:r w:rsidRPr="00257293">
              <w:rPr>
                <w:color w:val="000000"/>
                <w:sz w:val="21"/>
                <w:szCs w:val="21"/>
              </w:rPr>
              <w:t xml:space="preserve">Źródła finansowania </w:t>
            </w:r>
          </w:p>
        </w:tc>
        <w:tc>
          <w:tcPr>
            <w:tcW w:w="8694" w:type="dxa"/>
            <w:gridSpan w:val="27"/>
            <w:shd w:val="clear" w:color="auto" w:fill="FFFFFF"/>
            <w:vAlign w:val="center"/>
          </w:tcPr>
          <w:p w14:paraId="504486DC" w14:textId="4C2C7C5E" w:rsidR="005401EF" w:rsidRPr="009707EE" w:rsidRDefault="00E41BD2" w:rsidP="00257293">
            <w:pPr>
              <w:rPr>
                <w:color w:val="000000"/>
              </w:rPr>
            </w:pPr>
            <w:r w:rsidRPr="00257293">
              <w:rPr>
                <w:color w:val="000000"/>
              </w:rPr>
              <w:t>Wejście w życie ustawy nie będzie miało wpływu na sektor finansów publicznych, w tym na budżet państwa i budżety jednostek samorządu terytorialnego.</w:t>
            </w:r>
            <w:r w:rsidRPr="009502B3">
              <w:rPr>
                <w:color w:val="000000"/>
              </w:rPr>
              <w:t xml:space="preserve"> </w:t>
            </w:r>
          </w:p>
        </w:tc>
      </w:tr>
      <w:tr w:rsidR="005401EF" w:rsidRPr="008B4FE6" w14:paraId="5BEF0717" w14:textId="77777777" w:rsidTr="00D05B78">
        <w:trPr>
          <w:gridAfter w:val="1"/>
          <w:wAfter w:w="10" w:type="dxa"/>
          <w:trHeight w:val="1006"/>
        </w:trPr>
        <w:tc>
          <w:tcPr>
            <w:tcW w:w="2243" w:type="dxa"/>
            <w:gridSpan w:val="2"/>
            <w:shd w:val="clear" w:color="auto" w:fill="FFFFFF"/>
          </w:tcPr>
          <w:p w14:paraId="5FB56052" w14:textId="77777777" w:rsidR="005401EF" w:rsidRPr="00C53F26" w:rsidRDefault="005401EF" w:rsidP="002B5F66">
            <w:pPr>
              <w:rPr>
                <w:color w:val="000000"/>
                <w:sz w:val="21"/>
                <w:szCs w:val="21"/>
              </w:rPr>
            </w:pPr>
            <w:r w:rsidRPr="00301959">
              <w:rPr>
                <w:color w:val="000000"/>
                <w:sz w:val="21"/>
                <w:szCs w:val="21"/>
              </w:rPr>
              <w:t>Dodatkowe informacje, w tym wskazanie źródeł danych i przyjętych do obliczeń założeń</w:t>
            </w:r>
          </w:p>
        </w:tc>
        <w:tc>
          <w:tcPr>
            <w:tcW w:w="8694" w:type="dxa"/>
            <w:gridSpan w:val="27"/>
            <w:shd w:val="clear" w:color="auto" w:fill="FFFFFF"/>
          </w:tcPr>
          <w:p w14:paraId="4C3D04D4" w14:textId="5B944B29" w:rsidR="005401EF" w:rsidRPr="009707EE" w:rsidRDefault="005401EF" w:rsidP="00CE3799">
            <w:pPr>
              <w:rPr>
                <w:b/>
              </w:rPr>
            </w:pPr>
          </w:p>
        </w:tc>
      </w:tr>
      <w:tr w:rsidR="005401EF" w:rsidRPr="008B4FE6" w14:paraId="3CAC18FD" w14:textId="77777777" w:rsidTr="00676C8D">
        <w:trPr>
          <w:gridAfter w:val="1"/>
          <w:wAfter w:w="10" w:type="dxa"/>
          <w:trHeight w:val="345"/>
        </w:trPr>
        <w:tc>
          <w:tcPr>
            <w:tcW w:w="10937" w:type="dxa"/>
            <w:gridSpan w:val="29"/>
            <w:shd w:val="clear" w:color="auto" w:fill="99CCFF"/>
          </w:tcPr>
          <w:p w14:paraId="7BEFE188" w14:textId="42FD2FD5" w:rsidR="005401EF" w:rsidRPr="008B4FE6" w:rsidRDefault="00BE5F66" w:rsidP="00BE5F66">
            <w:pPr>
              <w:spacing w:before="120" w:after="120"/>
              <w:rPr>
                <w:b/>
                <w:color w:val="000000"/>
                <w:spacing w:val="-2"/>
              </w:rPr>
            </w:pPr>
            <w:r>
              <w:rPr>
                <w:b/>
                <w:color w:val="000000"/>
                <w:spacing w:val="-2"/>
              </w:rPr>
              <w:t xml:space="preserve">7. </w:t>
            </w:r>
            <w:r w:rsidR="005401EF" w:rsidRPr="008B4FE6">
              <w:rPr>
                <w:b/>
                <w:color w:val="000000"/>
                <w:spacing w:val="-2"/>
              </w:rPr>
              <w:t xml:space="preserve">Wpływ na </w:t>
            </w:r>
            <w:r w:rsidR="005401EF" w:rsidRPr="008B4FE6">
              <w:rPr>
                <w:b/>
                <w:color w:val="000000"/>
              </w:rPr>
              <w:t>konkurencyjność gospodark</w:t>
            </w:r>
            <w:r w:rsidR="005401EF">
              <w:rPr>
                <w:b/>
                <w:color w:val="000000"/>
              </w:rPr>
              <w:t>i</w:t>
            </w:r>
            <w:r w:rsidR="005401EF" w:rsidRPr="008B4FE6">
              <w:rPr>
                <w:b/>
                <w:color w:val="000000"/>
              </w:rPr>
              <w:t xml:space="preserve"> </w:t>
            </w:r>
            <w:r w:rsidR="005401EF">
              <w:rPr>
                <w:b/>
                <w:color w:val="000000"/>
              </w:rPr>
              <w:t>i przedsiębiorczość,</w:t>
            </w:r>
            <w:r w:rsidR="005401EF" w:rsidRPr="008B4FE6">
              <w:rPr>
                <w:b/>
                <w:color w:val="000000"/>
              </w:rPr>
              <w:t xml:space="preserve"> </w:t>
            </w:r>
            <w:r w:rsidR="005401EF">
              <w:rPr>
                <w:b/>
                <w:color w:val="000000"/>
              </w:rPr>
              <w:t xml:space="preserve">w tym </w:t>
            </w:r>
            <w:r w:rsidR="005401EF" w:rsidRPr="008B4FE6">
              <w:rPr>
                <w:b/>
                <w:color w:val="000000"/>
              </w:rPr>
              <w:t>funkcjonowanie przedsiębi</w:t>
            </w:r>
            <w:r w:rsidR="005401EF">
              <w:rPr>
                <w:b/>
                <w:color w:val="000000"/>
              </w:rPr>
              <w:t xml:space="preserve">orców oraz na rodzinę, obywateli i gospodarstwa domowe </w:t>
            </w:r>
          </w:p>
        </w:tc>
      </w:tr>
      <w:tr w:rsidR="005401EF" w:rsidRPr="008B4FE6" w14:paraId="1F54BB90" w14:textId="77777777" w:rsidTr="00676C8D">
        <w:trPr>
          <w:gridAfter w:val="1"/>
          <w:wAfter w:w="10" w:type="dxa"/>
          <w:trHeight w:val="142"/>
        </w:trPr>
        <w:tc>
          <w:tcPr>
            <w:tcW w:w="10937" w:type="dxa"/>
            <w:gridSpan w:val="29"/>
            <w:shd w:val="clear" w:color="auto" w:fill="FFFFFF"/>
          </w:tcPr>
          <w:p w14:paraId="3147820B" w14:textId="77777777" w:rsidR="005401EF" w:rsidRPr="00301959" w:rsidRDefault="005401EF" w:rsidP="002B5F66">
            <w:pPr>
              <w:jc w:val="center"/>
              <w:rPr>
                <w:color w:val="000000"/>
                <w:spacing w:val="-2"/>
                <w:sz w:val="21"/>
                <w:szCs w:val="21"/>
              </w:rPr>
            </w:pPr>
            <w:r>
              <w:rPr>
                <w:color w:val="000000"/>
                <w:spacing w:val="-2"/>
                <w:sz w:val="21"/>
                <w:szCs w:val="21"/>
              </w:rPr>
              <w:t>Skutki</w:t>
            </w:r>
          </w:p>
        </w:tc>
      </w:tr>
      <w:tr w:rsidR="005401EF" w:rsidRPr="008B4FE6" w14:paraId="0445811C" w14:textId="77777777" w:rsidTr="00676C8D">
        <w:trPr>
          <w:gridAfter w:val="1"/>
          <w:wAfter w:w="10" w:type="dxa"/>
          <w:trHeight w:val="142"/>
        </w:trPr>
        <w:tc>
          <w:tcPr>
            <w:tcW w:w="3889" w:type="dxa"/>
            <w:gridSpan w:val="7"/>
            <w:shd w:val="clear" w:color="auto" w:fill="FFFFFF"/>
          </w:tcPr>
          <w:p w14:paraId="10AC3571" w14:textId="77777777" w:rsidR="005401EF" w:rsidRPr="00301959" w:rsidRDefault="005401EF" w:rsidP="002B5F66">
            <w:pPr>
              <w:rPr>
                <w:color w:val="000000"/>
                <w:sz w:val="21"/>
                <w:szCs w:val="21"/>
              </w:rPr>
            </w:pPr>
            <w:r w:rsidRPr="00301959">
              <w:rPr>
                <w:color w:val="000000"/>
                <w:sz w:val="21"/>
                <w:szCs w:val="21"/>
              </w:rPr>
              <w:t>Czas w latach od wejścia w życie zmian</w:t>
            </w:r>
          </w:p>
        </w:tc>
        <w:tc>
          <w:tcPr>
            <w:tcW w:w="937" w:type="dxa"/>
            <w:gridSpan w:val="2"/>
            <w:shd w:val="clear" w:color="auto" w:fill="FFFFFF"/>
          </w:tcPr>
          <w:p w14:paraId="398AF762" w14:textId="77777777" w:rsidR="005401EF" w:rsidRPr="00301959" w:rsidRDefault="005401EF" w:rsidP="002B5F66">
            <w:pPr>
              <w:jc w:val="center"/>
              <w:rPr>
                <w:color w:val="000000"/>
                <w:sz w:val="21"/>
                <w:szCs w:val="21"/>
              </w:rPr>
            </w:pPr>
            <w:r w:rsidRPr="00301959">
              <w:rPr>
                <w:color w:val="000000"/>
                <w:sz w:val="21"/>
                <w:szCs w:val="21"/>
              </w:rPr>
              <w:t>0</w:t>
            </w:r>
          </w:p>
        </w:tc>
        <w:tc>
          <w:tcPr>
            <w:tcW w:w="938" w:type="dxa"/>
            <w:gridSpan w:val="5"/>
            <w:shd w:val="clear" w:color="auto" w:fill="FFFFFF"/>
          </w:tcPr>
          <w:p w14:paraId="23414172" w14:textId="77777777" w:rsidR="005401EF" w:rsidRPr="00301959" w:rsidRDefault="005401EF" w:rsidP="002B5F66">
            <w:pPr>
              <w:jc w:val="center"/>
              <w:rPr>
                <w:color w:val="000000"/>
                <w:sz w:val="21"/>
                <w:szCs w:val="21"/>
              </w:rPr>
            </w:pPr>
            <w:r w:rsidRPr="00301959">
              <w:rPr>
                <w:color w:val="000000"/>
                <w:sz w:val="21"/>
                <w:szCs w:val="21"/>
              </w:rPr>
              <w:t>1</w:t>
            </w:r>
          </w:p>
        </w:tc>
        <w:tc>
          <w:tcPr>
            <w:tcW w:w="938" w:type="dxa"/>
            <w:gridSpan w:val="4"/>
            <w:shd w:val="clear" w:color="auto" w:fill="FFFFFF"/>
          </w:tcPr>
          <w:p w14:paraId="197879E6" w14:textId="77777777" w:rsidR="005401EF" w:rsidRPr="00301959" w:rsidRDefault="005401EF" w:rsidP="002B5F66">
            <w:pPr>
              <w:jc w:val="center"/>
              <w:rPr>
                <w:color w:val="000000"/>
                <w:sz w:val="21"/>
                <w:szCs w:val="21"/>
              </w:rPr>
            </w:pPr>
            <w:r w:rsidRPr="00301959">
              <w:rPr>
                <w:color w:val="000000"/>
                <w:sz w:val="21"/>
                <w:szCs w:val="21"/>
              </w:rPr>
              <w:t>2</w:t>
            </w:r>
          </w:p>
        </w:tc>
        <w:tc>
          <w:tcPr>
            <w:tcW w:w="937" w:type="dxa"/>
            <w:gridSpan w:val="3"/>
            <w:shd w:val="clear" w:color="auto" w:fill="FFFFFF"/>
          </w:tcPr>
          <w:p w14:paraId="3DE92AF8" w14:textId="77777777" w:rsidR="005401EF" w:rsidRPr="00301959" w:rsidRDefault="005401EF" w:rsidP="002B5F66">
            <w:pPr>
              <w:jc w:val="center"/>
              <w:rPr>
                <w:color w:val="000000"/>
                <w:sz w:val="21"/>
                <w:szCs w:val="21"/>
              </w:rPr>
            </w:pPr>
            <w:r w:rsidRPr="00301959">
              <w:rPr>
                <w:color w:val="000000"/>
                <w:sz w:val="21"/>
                <w:szCs w:val="21"/>
              </w:rPr>
              <w:t>3</w:t>
            </w:r>
          </w:p>
        </w:tc>
        <w:tc>
          <w:tcPr>
            <w:tcW w:w="938" w:type="dxa"/>
            <w:gridSpan w:val="4"/>
            <w:shd w:val="clear" w:color="auto" w:fill="FFFFFF"/>
          </w:tcPr>
          <w:p w14:paraId="352251B3" w14:textId="77777777" w:rsidR="005401EF" w:rsidRPr="00301959" w:rsidRDefault="005401EF" w:rsidP="002B5F66">
            <w:pPr>
              <w:jc w:val="center"/>
              <w:rPr>
                <w:color w:val="000000"/>
                <w:sz w:val="21"/>
                <w:szCs w:val="21"/>
              </w:rPr>
            </w:pPr>
            <w:r w:rsidRPr="00301959">
              <w:rPr>
                <w:color w:val="000000"/>
                <w:sz w:val="21"/>
                <w:szCs w:val="21"/>
              </w:rPr>
              <w:t>5</w:t>
            </w:r>
          </w:p>
        </w:tc>
        <w:tc>
          <w:tcPr>
            <w:tcW w:w="938" w:type="dxa"/>
            <w:gridSpan w:val="3"/>
            <w:shd w:val="clear" w:color="auto" w:fill="FFFFFF"/>
          </w:tcPr>
          <w:p w14:paraId="00A4FF32" w14:textId="77777777" w:rsidR="005401EF" w:rsidRPr="00301959" w:rsidRDefault="005401EF" w:rsidP="002B5F66">
            <w:pPr>
              <w:jc w:val="center"/>
              <w:rPr>
                <w:color w:val="000000"/>
                <w:sz w:val="21"/>
                <w:szCs w:val="21"/>
              </w:rPr>
            </w:pPr>
            <w:r w:rsidRPr="00301959">
              <w:rPr>
                <w:color w:val="000000"/>
                <w:sz w:val="21"/>
                <w:szCs w:val="21"/>
              </w:rPr>
              <w:t>10</w:t>
            </w:r>
          </w:p>
        </w:tc>
        <w:tc>
          <w:tcPr>
            <w:tcW w:w="1422" w:type="dxa"/>
            <w:shd w:val="clear" w:color="auto" w:fill="FFFFFF"/>
          </w:tcPr>
          <w:p w14:paraId="54DED95C" w14:textId="77777777" w:rsidR="005401EF" w:rsidRPr="001B3460" w:rsidRDefault="005401EF" w:rsidP="002B5F66">
            <w:pPr>
              <w:jc w:val="center"/>
              <w:rPr>
                <w:i/>
                <w:color w:val="000000"/>
                <w:spacing w:val="-2"/>
                <w:sz w:val="21"/>
                <w:szCs w:val="21"/>
              </w:rPr>
            </w:pPr>
            <w:r w:rsidRPr="001B3460">
              <w:rPr>
                <w:i/>
                <w:color w:val="000000"/>
                <w:spacing w:val="-2"/>
                <w:sz w:val="21"/>
                <w:szCs w:val="21"/>
              </w:rPr>
              <w:t>Łącznie</w:t>
            </w:r>
            <w:r w:rsidRPr="001B3460" w:rsidDel="0073273A">
              <w:rPr>
                <w:i/>
                <w:color w:val="000000"/>
                <w:spacing w:val="-2"/>
                <w:sz w:val="21"/>
                <w:szCs w:val="21"/>
              </w:rPr>
              <w:t xml:space="preserve"> </w:t>
            </w:r>
            <w:r w:rsidRPr="001B3460">
              <w:rPr>
                <w:i/>
                <w:color w:val="000000"/>
                <w:spacing w:val="-2"/>
                <w:sz w:val="21"/>
                <w:szCs w:val="21"/>
              </w:rPr>
              <w:t>(0-10)</w:t>
            </w:r>
          </w:p>
        </w:tc>
      </w:tr>
      <w:tr w:rsidR="005401EF" w:rsidRPr="008B4FE6" w14:paraId="306F434C" w14:textId="77777777" w:rsidTr="008A5095">
        <w:trPr>
          <w:gridAfter w:val="1"/>
          <w:wAfter w:w="10" w:type="dxa"/>
          <w:trHeight w:val="142"/>
        </w:trPr>
        <w:tc>
          <w:tcPr>
            <w:tcW w:w="1596" w:type="dxa"/>
            <w:vMerge w:val="restart"/>
            <w:shd w:val="clear" w:color="auto" w:fill="FFFFFF"/>
          </w:tcPr>
          <w:p w14:paraId="7976B036" w14:textId="77777777" w:rsidR="005401EF" w:rsidRDefault="005401EF" w:rsidP="002B5F66">
            <w:pPr>
              <w:rPr>
                <w:color w:val="000000"/>
                <w:sz w:val="21"/>
                <w:szCs w:val="21"/>
              </w:rPr>
            </w:pPr>
            <w:r w:rsidRPr="00301959">
              <w:rPr>
                <w:color w:val="000000"/>
                <w:sz w:val="21"/>
                <w:szCs w:val="21"/>
              </w:rPr>
              <w:t xml:space="preserve">W </w:t>
            </w:r>
            <w:r>
              <w:rPr>
                <w:color w:val="000000"/>
                <w:sz w:val="21"/>
                <w:szCs w:val="21"/>
              </w:rPr>
              <w:t>ujęciu</w:t>
            </w:r>
            <w:r w:rsidRPr="00301959">
              <w:rPr>
                <w:color w:val="000000"/>
                <w:sz w:val="21"/>
                <w:szCs w:val="21"/>
              </w:rPr>
              <w:t xml:space="preserve"> pieniężnym</w:t>
            </w:r>
          </w:p>
          <w:p w14:paraId="59530BCA" w14:textId="77777777" w:rsidR="005401EF" w:rsidRDefault="005401EF" w:rsidP="002B5F66">
            <w:pPr>
              <w:rPr>
                <w:spacing w:val="-2"/>
                <w:sz w:val="21"/>
                <w:szCs w:val="21"/>
              </w:rPr>
            </w:pPr>
            <w:r>
              <w:rPr>
                <w:spacing w:val="-2"/>
                <w:sz w:val="21"/>
                <w:szCs w:val="21"/>
              </w:rPr>
              <w:t xml:space="preserve">(w mln zł, </w:t>
            </w:r>
          </w:p>
          <w:p w14:paraId="61F82E1B" w14:textId="77777777" w:rsidR="005401EF" w:rsidRPr="00301959" w:rsidRDefault="005401EF" w:rsidP="002B5F66">
            <w:pPr>
              <w:rPr>
                <w:color w:val="000000"/>
                <w:sz w:val="21"/>
                <w:szCs w:val="21"/>
              </w:rPr>
            </w:pPr>
            <w:r>
              <w:rPr>
                <w:spacing w:val="-2"/>
                <w:sz w:val="21"/>
                <w:szCs w:val="21"/>
              </w:rPr>
              <w:t>ceny stałe z …… r.)</w:t>
            </w:r>
          </w:p>
        </w:tc>
        <w:tc>
          <w:tcPr>
            <w:tcW w:w="2293" w:type="dxa"/>
            <w:gridSpan w:val="6"/>
            <w:shd w:val="clear" w:color="auto" w:fill="FFFFFF"/>
          </w:tcPr>
          <w:p w14:paraId="090DA6F7" w14:textId="77777777" w:rsidR="005401EF" w:rsidRPr="00301959" w:rsidRDefault="005401EF" w:rsidP="002B5F66">
            <w:pPr>
              <w:rPr>
                <w:color w:val="000000"/>
                <w:sz w:val="21"/>
                <w:szCs w:val="21"/>
              </w:rPr>
            </w:pPr>
            <w:r w:rsidRPr="00301959">
              <w:rPr>
                <w:color w:val="000000"/>
                <w:sz w:val="21"/>
                <w:szCs w:val="21"/>
              </w:rPr>
              <w:t>duże przedsiębiorstwa</w:t>
            </w:r>
          </w:p>
        </w:tc>
        <w:tc>
          <w:tcPr>
            <w:tcW w:w="937" w:type="dxa"/>
            <w:gridSpan w:val="2"/>
            <w:shd w:val="clear" w:color="auto" w:fill="FFFFFF"/>
          </w:tcPr>
          <w:p w14:paraId="6BCB0D72" w14:textId="77777777" w:rsidR="005401EF" w:rsidRPr="00B37C80" w:rsidRDefault="005401EF" w:rsidP="002B5F66">
            <w:pPr>
              <w:rPr>
                <w:color w:val="000000"/>
                <w:sz w:val="21"/>
                <w:szCs w:val="21"/>
              </w:rPr>
            </w:pPr>
          </w:p>
        </w:tc>
        <w:tc>
          <w:tcPr>
            <w:tcW w:w="938" w:type="dxa"/>
            <w:gridSpan w:val="5"/>
            <w:shd w:val="clear" w:color="auto" w:fill="FFFFFF"/>
          </w:tcPr>
          <w:p w14:paraId="67CFC5B3" w14:textId="77777777" w:rsidR="005401EF" w:rsidRPr="00B37C80" w:rsidRDefault="005401EF" w:rsidP="002B5F66">
            <w:pPr>
              <w:rPr>
                <w:color w:val="000000"/>
                <w:sz w:val="21"/>
                <w:szCs w:val="21"/>
              </w:rPr>
            </w:pPr>
          </w:p>
        </w:tc>
        <w:tc>
          <w:tcPr>
            <w:tcW w:w="938" w:type="dxa"/>
            <w:gridSpan w:val="4"/>
            <w:shd w:val="clear" w:color="auto" w:fill="FFFFFF"/>
          </w:tcPr>
          <w:p w14:paraId="28E04476" w14:textId="77777777" w:rsidR="005401EF" w:rsidRPr="00B37C80" w:rsidRDefault="005401EF" w:rsidP="002B5F66">
            <w:pPr>
              <w:rPr>
                <w:color w:val="000000"/>
                <w:sz w:val="21"/>
                <w:szCs w:val="21"/>
              </w:rPr>
            </w:pPr>
          </w:p>
        </w:tc>
        <w:tc>
          <w:tcPr>
            <w:tcW w:w="937" w:type="dxa"/>
            <w:gridSpan w:val="3"/>
            <w:shd w:val="clear" w:color="auto" w:fill="FFFFFF"/>
          </w:tcPr>
          <w:p w14:paraId="3EAF33F1" w14:textId="77777777" w:rsidR="005401EF" w:rsidRPr="00B37C80" w:rsidRDefault="005401EF" w:rsidP="002B5F66">
            <w:pPr>
              <w:rPr>
                <w:color w:val="000000"/>
                <w:sz w:val="21"/>
                <w:szCs w:val="21"/>
              </w:rPr>
            </w:pPr>
          </w:p>
        </w:tc>
        <w:tc>
          <w:tcPr>
            <w:tcW w:w="938" w:type="dxa"/>
            <w:gridSpan w:val="4"/>
            <w:shd w:val="clear" w:color="auto" w:fill="FFFFFF"/>
          </w:tcPr>
          <w:p w14:paraId="62686C8E" w14:textId="77777777" w:rsidR="005401EF" w:rsidRPr="00B37C80" w:rsidRDefault="005401EF" w:rsidP="002B5F66">
            <w:pPr>
              <w:rPr>
                <w:color w:val="000000"/>
                <w:sz w:val="21"/>
                <w:szCs w:val="21"/>
              </w:rPr>
            </w:pPr>
          </w:p>
        </w:tc>
        <w:tc>
          <w:tcPr>
            <w:tcW w:w="938" w:type="dxa"/>
            <w:gridSpan w:val="3"/>
            <w:shd w:val="clear" w:color="auto" w:fill="FFFFFF"/>
          </w:tcPr>
          <w:p w14:paraId="5B1972C7" w14:textId="77777777" w:rsidR="005401EF" w:rsidRPr="00B37C80" w:rsidRDefault="005401EF" w:rsidP="002B5F66">
            <w:pPr>
              <w:rPr>
                <w:color w:val="000000"/>
                <w:sz w:val="21"/>
                <w:szCs w:val="21"/>
              </w:rPr>
            </w:pPr>
          </w:p>
        </w:tc>
        <w:tc>
          <w:tcPr>
            <w:tcW w:w="1422" w:type="dxa"/>
            <w:shd w:val="clear" w:color="auto" w:fill="FFFFFF"/>
          </w:tcPr>
          <w:p w14:paraId="7A552B69" w14:textId="77777777" w:rsidR="005401EF" w:rsidRPr="00B37C80" w:rsidRDefault="005401EF" w:rsidP="002B5F66">
            <w:pPr>
              <w:rPr>
                <w:color w:val="000000"/>
                <w:spacing w:val="-2"/>
                <w:sz w:val="21"/>
                <w:szCs w:val="21"/>
              </w:rPr>
            </w:pPr>
          </w:p>
        </w:tc>
      </w:tr>
      <w:tr w:rsidR="005401EF" w:rsidRPr="008B4FE6" w14:paraId="5F14258F" w14:textId="77777777" w:rsidTr="008A5095">
        <w:trPr>
          <w:gridAfter w:val="1"/>
          <w:wAfter w:w="10" w:type="dxa"/>
          <w:trHeight w:val="142"/>
        </w:trPr>
        <w:tc>
          <w:tcPr>
            <w:tcW w:w="1596" w:type="dxa"/>
            <w:vMerge/>
            <w:shd w:val="clear" w:color="auto" w:fill="FFFFFF"/>
          </w:tcPr>
          <w:p w14:paraId="377580AB" w14:textId="77777777" w:rsidR="005401EF" w:rsidRPr="00301959" w:rsidRDefault="005401EF" w:rsidP="002B5F66">
            <w:pPr>
              <w:rPr>
                <w:color w:val="000000"/>
                <w:sz w:val="21"/>
                <w:szCs w:val="21"/>
              </w:rPr>
            </w:pPr>
          </w:p>
        </w:tc>
        <w:tc>
          <w:tcPr>
            <w:tcW w:w="2293" w:type="dxa"/>
            <w:gridSpan w:val="6"/>
            <w:shd w:val="clear" w:color="auto" w:fill="FFFFFF"/>
          </w:tcPr>
          <w:p w14:paraId="31D5F398" w14:textId="77777777" w:rsidR="005401EF" w:rsidRPr="00301959" w:rsidRDefault="005401EF" w:rsidP="002B5F66">
            <w:pPr>
              <w:rPr>
                <w:color w:val="000000"/>
                <w:sz w:val="21"/>
                <w:szCs w:val="21"/>
              </w:rPr>
            </w:pPr>
            <w:r w:rsidRPr="00301959">
              <w:rPr>
                <w:color w:val="000000"/>
                <w:sz w:val="21"/>
                <w:szCs w:val="21"/>
              </w:rPr>
              <w:t>sektor mikro-, małych i średnich przedsiębiorstw</w:t>
            </w:r>
          </w:p>
        </w:tc>
        <w:tc>
          <w:tcPr>
            <w:tcW w:w="937" w:type="dxa"/>
            <w:gridSpan w:val="2"/>
            <w:shd w:val="clear" w:color="auto" w:fill="FFFFFF"/>
          </w:tcPr>
          <w:p w14:paraId="77EECF07" w14:textId="77777777" w:rsidR="005401EF" w:rsidRPr="00B37C80" w:rsidRDefault="005401EF" w:rsidP="002B5F66">
            <w:pPr>
              <w:rPr>
                <w:color w:val="000000"/>
                <w:sz w:val="21"/>
                <w:szCs w:val="21"/>
              </w:rPr>
            </w:pPr>
          </w:p>
        </w:tc>
        <w:tc>
          <w:tcPr>
            <w:tcW w:w="938" w:type="dxa"/>
            <w:gridSpan w:val="5"/>
            <w:shd w:val="clear" w:color="auto" w:fill="FFFFFF"/>
          </w:tcPr>
          <w:p w14:paraId="1F894451" w14:textId="77777777" w:rsidR="005401EF" w:rsidRPr="00B37C80" w:rsidRDefault="005401EF" w:rsidP="002B5F66">
            <w:pPr>
              <w:rPr>
                <w:color w:val="000000"/>
                <w:sz w:val="21"/>
                <w:szCs w:val="21"/>
              </w:rPr>
            </w:pPr>
          </w:p>
        </w:tc>
        <w:tc>
          <w:tcPr>
            <w:tcW w:w="938" w:type="dxa"/>
            <w:gridSpan w:val="4"/>
            <w:shd w:val="clear" w:color="auto" w:fill="FFFFFF"/>
          </w:tcPr>
          <w:p w14:paraId="700EAC2B" w14:textId="77777777" w:rsidR="005401EF" w:rsidRPr="00B37C80" w:rsidRDefault="005401EF" w:rsidP="002B5F66">
            <w:pPr>
              <w:rPr>
                <w:color w:val="000000"/>
                <w:sz w:val="21"/>
                <w:szCs w:val="21"/>
              </w:rPr>
            </w:pPr>
          </w:p>
        </w:tc>
        <w:tc>
          <w:tcPr>
            <w:tcW w:w="937" w:type="dxa"/>
            <w:gridSpan w:val="3"/>
            <w:shd w:val="clear" w:color="auto" w:fill="FFFFFF"/>
          </w:tcPr>
          <w:p w14:paraId="7DEFD82A" w14:textId="77777777" w:rsidR="005401EF" w:rsidRPr="00B37C80" w:rsidRDefault="005401EF" w:rsidP="002B5F66">
            <w:pPr>
              <w:rPr>
                <w:color w:val="000000"/>
                <w:sz w:val="21"/>
                <w:szCs w:val="21"/>
              </w:rPr>
            </w:pPr>
          </w:p>
        </w:tc>
        <w:tc>
          <w:tcPr>
            <w:tcW w:w="938" w:type="dxa"/>
            <w:gridSpan w:val="4"/>
            <w:shd w:val="clear" w:color="auto" w:fill="FFFFFF"/>
          </w:tcPr>
          <w:p w14:paraId="7544CED9" w14:textId="77777777" w:rsidR="005401EF" w:rsidRPr="00B37C80" w:rsidRDefault="005401EF" w:rsidP="002B5F66">
            <w:pPr>
              <w:rPr>
                <w:color w:val="000000"/>
                <w:sz w:val="21"/>
                <w:szCs w:val="21"/>
              </w:rPr>
            </w:pPr>
          </w:p>
        </w:tc>
        <w:tc>
          <w:tcPr>
            <w:tcW w:w="938" w:type="dxa"/>
            <w:gridSpan w:val="3"/>
            <w:shd w:val="clear" w:color="auto" w:fill="FFFFFF"/>
          </w:tcPr>
          <w:p w14:paraId="6BC043F4" w14:textId="77777777" w:rsidR="005401EF" w:rsidRPr="00B37C80" w:rsidRDefault="005401EF" w:rsidP="002B5F66">
            <w:pPr>
              <w:rPr>
                <w:color w:val="000000"/>
                <w:sz w:val="21"/>
                <w:szCs w:val="21"/>
              </w:rPr>
            </w:pPr>
          </w:p>
        </w:tc>
        <w:tc>
          <w:tcPr>
            <w:tcW w:w="1422" w:type="dxa"/>
            <w:shd w:val="clear" w:color="auto" w:fill="FFFFFF"/>
          </w:tcPr>
          <w:p w14:paraId="49FBE1D9" w14:textId="77777777" w:rsidR="005401EF" w:rsidRPr="00B37C80" w:rsidRDefault="005401EF" w:rsidP="002B5F66">
            <w:pPr>
              <w:rPr>
                <w:color w:val="000000"/>
                <w:spacing w:val="-2"/>
                <w:sz w:val="21"/>
                <w:szCs w:val="21"/>
              </w:rPr>
            </w:pPr>
          </w:p>
        </w:tc>
      </w:tr>
      <w:tr w:rsidR="005401EF" w:rsidRPr="008B4FE6" w14:paraId="59BFB081" w14:textId="77777777" w:rsidTr="008A5095">
        <w:trPr>
          <w:gridAfter w:val="1"/>
          <w:wAfter w:w="10" w:type="dxa"/>
          <w:trHeight w:val="142"/>
        </w:trPr>
        <w:tc>
          <w:tcPr>
            <w:tcW w:w="1596" w:type="dxa"/>
            <w:vMerge/>
            <w:shd w:val="clear" w:color="auto" w:fill="FFFFFF"/>
          </w:tcPr>
          <w:p w14:paraId="22F1D616" w14:textId="77777777" w:rsidR="005401EF" w:rsidRPr="00301959" w:rsidRDefault="005401EF" w:rsidP="002B5F66">
            <w:pPr>
              <w:rPr>
                <w:color w:val="000000"/>
                <w:sz w:val="21"/>
                <w:szCs w:val="21"/>
              </w:rPr>
            </w:pPr>
          </w:p>
        </w:tc>
        <w:tc>
          <w:tcPr>
            <w:tcW w:w="2293" w:type="dxa"/>
            <w:gridSpan w:val="6"/>
            <w:shd w:val="clear" w:color="auto" w:fill="FFFFFF"/>
          </w:tcPr>
          <w:p w14:paraId="32AEDC7D" w14:textId="77777777" w:rsidR="005401EF" w:rsidRPr="00301959" w:rsidRDefault="005401EF" w:rsidP="002B5F66">
            <w:pPr>
              <w:rPr>
                <w:color w:val="000000"/>
                <w:sz w:val="21"/>
                <w:szCs w:val="21"/>
              </w:rPr>
            </w:pPr>
            <w:r>
              <w:rPr>
                <w:sz w:val="21"/>
                <w:szCs w:val="21"/>
              </w:rPr>
              <w:t xml:space="preserve">rodzina, </w:t>
            </w:r>
            <w:r w:rsidRPr="00301959">
              <w:rPr>
                <w:sz w:val="21"/>
                <w:szCs w:val="21"/>
              </w:rPr>
              <w:t>obywatele oraz gospodarstwa domowe</w:t>
            </w:r>
          </w:p>
        </w:tc>
        <w:tc>
          <w:tcPr>
            <w:tcW w:w="937" w:type="dxa"/>
            <w:gridSpan w:val="2"/>
            <w:shd w:val="clear" w:color="auto" w:fill="FFFFFF"/>
          </w:tcPr>
          <w:p w14:paraId="794D80B9" w14:textId="77777777" w:rsidR="005401EF" w:rsidRPr="00B37C80" w:rsidRDefault="005401EF" w:rsidP="002B5F66">
            <w:pPr>
              <w:rPr>
                <w:color w:val="000000"/>
                <w:sz w:val="21"/>
                <w:szCs w:val="21"/>
              </w:rPr>
            </w:pPr>
          </w:p>
        </w:tc>
        <w:tc>
          <w:tcPr>
            <w:tcW w:w="938" w:type="dxa"/>
            <w:gridSpan w:val="5"/>
            <w:shd w:val="clear" w:color="auto" w:fill="FFFFFF"/>
          </w:tcPr>
          <w:p w14:paraId="2D5026D4" w14:textId="77777777" w:rsidR="005401EF" w:rsidRPr="00B37C80" w:rsidRDefault="005401EF" w:rsidP="002B5F66">
            <w:pPr>
              <w:rPr>
                <w:color w:val="000000"/>
                <w:sz w:val="21"/>
                <w:szCs w:val="21"/>
              </w:rPr>
            </w:pPr>
          </w:p>
        </w:tc>
        <w:tc>
          <w:tcPr>
            <w:tcW w:w="938" w:type="dxa"/>
            <w:gridSpan w:val="4"/>
            <w:shd w:val="clear" w:color="auto" w:fill="FFFFFF"/>
          </w:tcPr>
          <w:p w14:paraId="76EE62F6" w14:textId="77777777" w:rsidR="005401EF" w:rsidRPr="00B37C80" w:rsidRDefault="005401EF" w:rsidP="002B5F66">
            <w:pPr>
              <w:rPr>
                <w:color w:val="000000"/>
                <w:sz w:val="21"/>
                <w:szCs w:val="21"/>
              </w:rPr>
            </w:pPr>
          </w:p>
        </w:tc>
        <w:tc>
          <w:tcPr>
            <w:tcW w:w="937" w:type="dxa"/>
            <w:gridSpan w:val="3"/>
            <w:shd w:val="clear" w:color="auto" w:fill="FFFFFF"/>
          </w:tcPr>
          <w:p w14:paraId="3257704D" w14:textId="77777777" w:rsidR="005401EF" w:rsidRPr="00B37C80" w:rsidRDefault="005401EF" w:rsidP="002B5F66">
            <w:pPr>
              <w:rPr>
                <w:color w:val="000000"/>
                <w:sz w:val="21"/>
                <w:szCs w:val="21"/>
              </w:rPr>
            </w:pPr>
          </w:p>
        </w:tc>
        <w:tc>
          <w:tcPr>
            <w:tcW w:w="938" w:type="dxa"/>
            <w:gridSpan w:val="4"/>
            <w:shd w:val="clear" w:color="auto" w:fill="FFFFFF"/>
          </w:tcPr>
          <w:p w14:paraId="5F7C1A67" w14:textId="77777777" w:rsidR="005401EF" w:rsidRPr="00B37C80" w:rsidRDefault="005401EF" w:rsidP="002B5F66">
            <w:pPr>
              <w:rPr>
                <w:color w:val="000000"/>
                <w:sz w:val="21"/>
                <w:szCs w:val="21"/>
              </w:rPr>
            </w:pPr>
          </w:p>
        </w:tc>
        <w:tc>
          <w:tcPr>
            <w:tcW w:w="938" w:type="dxa"/>
            <w:gridSpan w:val="3"/>
            <w:shd w:val="clear" w:color="auto" w:fill="FFFFFF"/>
          </w:tcPr>
          <w:p w14:paraId="370DD8DB" w14:textId="77777777" w:rsidR="005401EF" w:rsidRPr="00B37C80" w:rsidRDefault="005401EF" w:rsidP="002B5F66">
            <w:pPr>
              <w:rPr>
                <w:color w:val="000000"/>
                <w:sz w:val="21"/>
                <w:szCs w:val="21"/>
              </w:rPr>
            </w:pPr>
          </w:p>
        </w:tc>
        <w:tc>
          <w:tcPr>
            <w:tcW w:w="1422" w:type="dxa"/>
            <w:shd w:val="clear" w:color="auto" w:fill="FFFFFF"/>
          </w:tcPr>
          <w:p w14:paraId="29451191" w14:textId="77777777" w:rsidR="005401EF" w:rsidRPr="00B37C80" w:rsidRDefault="005401EF" w:rsidP="002B5F66">
            <w:pPr>
              <w:rPr>
                <w:color w:val="000000"/>
                <w:spacing w:val="-2"/>
                <w:sz w:val="21"/>
                <w:szCs w:val="21"/>
              </w:rPr>
            </w:pPr>
          </w:p>
        </w:tc>
      </w:tr>
      <w:tr w:rsidR="005401EF" w:rsidRPr="008B4FE6" w14:paraId="1F09B873" w14:textId="77777777" w:rsidTr="00676C8D">
        <w:trPr>
          <w:gridAfter w:val="1"/>
          <w:wAfter w:w="10" w:type="dxa"/>
          <w:trHeight w:val="142"/>
        </w:trPr>
        <w:tc>
          <w:tcPr>
            <w:tcW w:w="1596" w:type="dxa"/>
            <w:vMerge w:val="restart"/>
            <w:shd w:val="clear" w:color="auto" w:fill="FFFFFF"/>
          </w:tcPr>
          <w:p w14:paraId="29E333FC" w14:textId="77777777" w:rsidR="005401EF" w:rsidRPr="00301959" w:rsidRDefault="005401EF" w:rsidP="002B5F66">
            <w:pPr>
              <w:rPr>
                <w:color w:val="000000"/>
                <w:sz w:val="21"/>
                <w:szCs w:val="21"/>
              </w:rPr>
            </w:pPr>
            <w:r w:rsidRPr="00301959">
              <w:rPr>
                <w:color w:val="000000"/>
                <w:sz w:val="21"/>
                <w:szCs w:val="21"/>
              </w:rPr>
              <w:t xml:space="preserve">W </w:t>
            </w:r>
            <w:r>
              <w:rPr>
                <w:color w:val="000000"/>
                <w:sz w:val="21"/>
                <w:szCs w:val="21"/>
              </w:rPr>
              <w:t>ujęciu</w:t>
            </w:r>
            <w:r w:rsidRPr="00301959">
              <w:rPr>
                <w:color w:val="000000"/>
                <w:sz w:val="21"/>
                <w:szCs w:val="21"/>
              </w:rPr>
              <w:t xml:space="preserve"> niepieniężnym</w:t>
            </w:r>
          </w:p>
        </w:tc>
        <w:tc>
          <w:tcPr>
            <w:tcW w:w="2293" w:type="dxa"/>
            <w:gridSpan w:val="6"/>
            <w:shd w:val="clear" w:color="auto" w:fill="FFFFFF"/>
          </w:tcPr>
          <w:p w14:paraId="0C4E0C56" w14:textId="77777777" w:rsidR="005401EF" w:rsidRPr="00B14A9D" w:rsidRDefault="005401EF" w:rsidP="002B5F66">
            <w:pPr>
              <w:rPr>
                <w:color w:val="000000"/>
                <w:sz w:val="21"/>
                <w:szCs w:val="21"/>
              </w:rPr>
            </w:pPr>
            <w:r w:rsidRPr="00B14A9D">
              <w:rPr>
                <w:color w:val="000000"/>
                <w:sz w:val="21"/>
                <w:szCs w:val="21"/>
              </w:rPr>
              <w:t>duże przedsiębiorstwa</w:t>
            </w:r>
          </w:p>
        </w:tc>
        <w:tc>
          <w:tcPr>
            <w:tcW w:w="7048" w:type="dxa"/>
            <w:gridSpan w:val="22"/>
            <w:shd w:val="clear" w:color="auto" w:fill="FFFFFF"/>
          </w:tcPr>
          <w:p w14:paraId="7E9E6EB3" w14:textId="38C43FC1" w:rsidR="005401EF" w:rsidRPr="009707EE" w:rsidRDefault="005401EF" w:rsidP="00CE3799">
            <w:pPr>
              <w:rPr>
                <w:color w:val="000000"/>
                <w:spacing w:val="-2"/>
              </w:rPr>
            </w:pPr>
            <w:r w:rsidRPr="009707EE">
              <w:rPr>
                <w:color w:val="000000"/>
                <w:spacing w:val="-2"/>
              </w:rPr>
              <w:t>Wprowadzane rozwiązania mogą pozytywnie wpłynąć na postrzeganie polskiego systemu finansowego w szczególności sektora bankowego, firm inwestycyjnych oraz sektora ubezpieczeniowego przez wzrost ich konkurencyjności i wzmocnienie poziomu zaufania.</w:t>
            </w:r>
          </w:p>
        </w:tc>
      </w:tr>
      <w:tr w:rsidR="005401EF" w:rsidRPr="008B4FE6" w14:paraId="6AB83269" w14:textId="77777777" w:rsidTr="00676C8D">
        <w:trPr>
          <w:gridAfter w:val="1"/>
          <w:wAfter w:w="10" w:type="dxa"/>
          <w:trHeight w:val="142"/>
        </w:trPr>
        <w:tc>
          <w:tcPr>
            <w:tcW w:w="1596" w:type="dxa"/>
            <w:vMerge/>
            <w:shd w:val="clear" w:color="auto" w:fill="FFFFFF"/>
          </w:tcPr>
          <w:p w14:paraId="52F5CB26" w14:textId="77777777" w:rsidR="005401EF" w:rsidRPr="00301959" w:rsidRDefault="005401EF" w:rsidP="002B5F66">
            <w:pPr>
              <w:rPr>
                <w:color w:val="000000"/>
                <w:sz w:val="21"/>
                <w:szCs w:val="21"/>
              </w:rPr>
            </w:pPr>
          </w:p>
        </w:tc>
        <w:tc>
          <w:tcPr>
            <w:tcW w:w="2293" w:type="dxa"/>
            <w:gridSpan w:val="6"/>
            <w:shd w:val="clear" w:color="auto" w:fill="FFFFFF"/>
          </w:tcPr>
          <w:p w14:paraId="3A7F5390" w14:textId="77777777" w:rsidR="005401EF" w:rsidRPr="00301959" w:rsidRDefault="005401EF" w:rsidP="002B5F66">
            <w:pPr>
              <w:rPr>
                <w:color w:val="000000"/>
                <w:sz w:val="21"/>
                <w:szCs w:val="21"/>
              </w:rPr>
            </w:pPr>
            <w:r w:rsidRPr="00301959">
              <w:rPr>
                <w:color w:val="000000"/>
                <w:sz w:val="21"/>
                <w:szCs w:val="21"/>
              </w:rPr>
              <w:t>sektor mikro-, małych i średnich przedsiębiorstw</w:t>
            </w:r>
          </w:p>
        </w:tc>
        <w:tc>
          <w:tcPr>
            <w:tcW w:w="7048" w:type="dxa"/>
            <w:gridSpan w:val="22"/>
            <w:shd w:val="clear" w:color="auto" w:fill="FFFFFF"/>
          </w:tcPr>
          <w:p w14:paraId="41B57E39" w14:textId="128E9D1A" w:rsidR="005401EF" w:rsidRPr="009707EE" w:rsidRDefault="00CE3799" w:rsidP="008B6636">
            <w:pPr>
              <w:rPr>
                <w:color w:val="000000"/>
                <w:spacing w:val="-2"/>
              </w:rPr>
            </w:pPr>
            <w:r>
              <w:rPr>
                <w:color w:val="000000"/>
                <w:spacing w:val="-2"/>
              </w:rPr>
              <w:t xml:space="preserve">Wejście w życie ustawy </w:t>
            </w:r>
            <w:r w:rsidR="005401EF" w:rsidRPr="009707EE">
              <w:rPr>
                <w:color w:val="000000"/>
                <w:spacing w:val="-2"/>
              </w:rPr>
              <w:t>nie wpły</w:t>
            </w:r>
            <w:r>
              <w:rPr>
                <w:color w:val="000000"/>
                <w:spacing w:val="-2"/>
              </w:rPr>
              <w:t>nie</w:t>
            </w:r>
            <w:r w:rsidR="005401EF" w:rsidRPr="009707EE">
              <w:rPr>
                <w:color w:val="000000"/>
                <w:spacing w:val="-2"/>
              </w:rPr>
              <w:t xml:space="preserve"> na sektor mikro-, małych i średnich przedsiębiorstw.</w:t>
            </w:r>
          </w:p>
        </w:tc>
      </w:tr>
      <w:tr w:rsidR="005401EF" w:rsidRPr="008B4FE6" w14:paraId="4945B4BD" w14:textId="77777777" w:rsidTr="00676C8D">
        <w:trPr>
          <w:gridAfter w:val="1"/>
          <w:wAfter w:w="10" w:type="dxa"/>
          <w:trHeight w:val="596"/>
        </w:trPr>
        <w:tc>
          <w:tcPr>
            <w:tcW w:w="1596" w:type="dxa"/>
            <w:vMerge/>
            <w:shd w:val="clear" w:color="auto" w:fill="FFFFFF"/>
          </w:tcPr>
          <w:p w14:paraId="3772E0F4" w14:textId="77777777" w:rsidR="005401EF" w:rsidRPr="00301959" w:rsidRDefault="005401EF" w:rsidP="002B5F66">
            <w:pPr>
              <w:rPr>
                <w:color w:val="000000"/>
                <w:sz w:val="21"/>
                <w:szCs w:val="21"/>
              </w:rPr>
            </w:pPr>
          </w:p>
        </w:tc>
        <w:tc>
          <w:tcPr>
            <w:tcW w:w="2293" w:type="dxa"/>
            <w:gridSpan w:val="6"/>
            <w:shd w:val="clear" w:color="auto" w:fill="FFFFFF"/>
          </w:tcPr>
          <w:p w14:paraId="4D2CBF51" w14:textId="77777777" w:rsidR="005401EF" w:rsidRPr="00301959" w:rsidRDefault="005401EF" w:rsidP="002B5F66">
            <w:pPr>
              <w:tabs>
                <w:tab w:val="right" w:pos="1936"/>
              </w:tabs>
              <w:rPr>
                <w:color w:val="000000"/>
                <w:sz w:val="21"/>
                <w:szCs w:val="21"/>
              </w:rPr>
            </w:pPr>
            <w:r>
              <w:rPr>
                <w:sz w:val="21"/>
                <w:szCs w:val="21"/>
              </w:rPr>
              <w:t xml:space="preserve">rodzina, </w:t>
            </w:r>
            <w:r w:rsidRPr="00301959">
              <w:rPr>
                <w:sz w:val="21"/>
                <w:szCs w:val="21"/>
              </w:rPr>
              <w:t>obywatele oraz gospodarstwa domowe</w:t>
            </w:r>
            <w:r w:rsidRPr="00301959">
              <w:rPr>
                <w:color w:val="000000"/>
                <w:sz w:val="21"/>
                <w:szCs w:val="21"/>
              </w:rPr>
              <w:t xml:space="preserve"> </w:t>
            </w:r>
          </w:p>
        </w:tc>
        <w:tc>
          <w:tcPr>
            <w:tcW w:w="7048" w:type="dxa"/>
            <w:gridSpan w:val="22"/>
            <w:shd w:val="clear" w:color="auto" w:fill="FFFFFF"/>
          </w:tcPr>
          <w:p w14:paraId="48B455A0" w14:textId="21D5C0D7" w:rsidR="005401EF" w:rsidRPr="009707EE" w:rsidRDefault="00CE3799" w:rsidP="00CE3799">
            <w:pPr>
              <w:rPr>
                <w:color w:val="000000"/>
                <w:spacing w:val="-2"/>
              </w:rPr>
            </w:pPr>
            <w:r>
              <w:rPr>
                <w:color w:val="000000"/>
                <w:spacing w:val="-2"/>
              </w:rPr>
              <w:t xml:space="preserve">Wejście w życie ustawy </w:t>
            </w:r>
            <w:r w:rsidR="005401EF" w:rsidRPr="009707EE">
              <w:rPr>
                <w:color w:val="000000"/>
                <w:spacing w:val="-2"/>
              </w:rPr>
              <w:t>nie wpły</w:t>
            </w:r>
            <w:r>
              <w:rPr>
                <w:color w:val="000000"/>
                <w:spacing w:val="-2"/>
              </w:rPr>
              <w:t xml:space="preserve">nie </w:t>
            </w:r>
            <w:r w:rsidR="005401EF" w:rsidRPr="009707EE">
              <w:rPr>
                <w:color w:val="000000"/>
                <w:spacing w:val="-2"/>
              </w:rPr>
              <w:t>na sytuację ekonomiczną i społeczną rodziny, a także osób niepełnosprawnych oraz osób starszych.</w:t>
            </w:r>
          </w:p>
        </w:tc>
      </w:tr>
      <w:tr w:rsidR="005401EF" w:rsidRPr="008B4FE6" w14:paraId="2C89E73F" w14:textId="77777777" w:rsidTr="00676C8D">
        <w:trPr>
          <w:gridAfter w:val="1"/>
          <w:wAfter w:w="10" w:type="dxa"/>
          <w:trHeight w:val="142"/>
        </w:trPr>
        <w:tc>
          <w:tcPr>
            <w:tcW w:w="1596" w:type="dxa"/>
            <w:shd w:val="clear" w:color="auto" w:fill="FFFFFF"/>
          </w:tcPr>
          <w:p w14:paraId="123399CB" w14:textId="77777777" w:rsidR="005401EF" w:rsidRPr="00301959" w:rsidRDefault="005401EF" w:rsidP="002B5F66">
            <w:pPr>
              <w:rPr>
                <w:color w:val="000000"/>
                <w:sz w:val="21"/>
                <w:szCs w:val="21"/>
              </w:rPr>
            </w:pPr>
            <w:r w:rsidRPr="00301959">
              <w:rPr>
                <w:color w:val="000000"/>
                <w:sz w:val="21"/>
                <w:szCs w:val="21"/>
              </w:rPr>
              <w:t>Niemierzalne</w:t>
            </w:r>
          </w:p>
        </w:tc>
        <w:tc>
          <w:tcPr>
            <w:tcW w:w="2293" w:type="dxa"/>
            <w:gridSpan w:val="6"/>
            <w:shd w:val="clear" w:color="auto" w:fill="FFFFFF"/>
          </w:tcPr>
          <w:p w14:paraId="609FC022" w14:textId="77777777" w:rsidR="005401EF" w:rsidRPr="00301959" w:rsidRDefault="005401EF" w:rsidP="002B5F66">
            <w:pPr>
              <w:rPr>
                <w:color w:val="000000"/>
                <w:sz w:val="21"/>
                <w:szCs w:val="21"/>
              </w:rPr>
            </w:pPr>
          </w:p>
        </w:tc>
        <w:tc>
          <w:tcPr>
            <w:tcW w:w="7048" w:type="dxa"/>
            <w:gridSpan w:val="22"/>
            <w:shd w:val="clear" w:color="auto" w:fill="FFFFFF"/>
          </w:tcPr>
          <w:p w14:paraId="6B9ACBD0" w14:textId="77777777" w:rsidR="005401EF" w:rsidRPr="00B37C80" w:rsidRDefault="005401EF" w:rsidP="002B5F66">
            <w:pPr>
              <w:rPr>
                <w:color w:val="000000"/>
                <w:spacing w:val="-2"/>
                <w:sz w:val="21"/>
                <w:szCs w:val="21"/>
              </w:rPr>
            </w:pPr>
          </w:p>
        </w:tc>
      </w:tr>
      <w:tr w:rsidR="005401EF" w:rsidRPr="00D06C3F" w14:paraId="51B45046" w14:textId="77777777" w:rsidTr="009C48BF">
        <w:trPr>
          <w:gridAfter w:val="1"/>
          <w:wAfter w:w="10" w:type="dxa"/>
          <w:trHeight w:val="1124"/>
        </w:trPr>
        <w:tc>
          <w:tcPr>
            <w:tcW w:w="2243" w:type="dxa"/>
            <w:gridSpan w:val="2"/>
            <w:shd w:val="clear" w:color="auto" w:fill="FFFFFF"/>
          </w:tcPr>
          <w:p w14:paraId="417918F4" w14:textId="77777777" w:rsidR="005401EF" w:rsidRPr="00301959" w:rsidRDefault="005401EF" w:rsidP="002B5F66">
            <w:pPr>
              <w:rPr>
                <w:color w:val="000000"/>
                <w:sz w:val="21"/>
                <w:szCs w:val="21"/>
              </w:rPr>
            </w:pPr>
            <w:r w:rsidRPr="00301959">
              <w:rPr>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14:paraId="6488E85C" w14:textId="28B18DB9" w:rsidR="000308EE" w:rsidRDefault="005401EF" w:rsidP="003307BE">
            <w:r w:rsidRPr="00EF0530">
              <w:t xml:space="preserve">Wejście w życie </w:t>
            </w:r>
            <w:r w:rsidR="007A2E0F">
              <w:t xml:space="preserve">ustawy </w:t>
            </w:r>
            <w:r>
              <w:t xml:space="preserve">może wpłynąć </w:t>
            </w:r>
            <w:r w:rsidRPr="00EF0530">
              <w:t xml:space="preserve">na konkurencyjność </w:t>
            </w:r>
            <w:r>
              <w:t>polskiego rynku finansowego</w:t>
            </w:r>
            <w:r w:rsidR="007A2E0F">
              <w:t xml:space="preserve"> dzięki </w:t>
            </w:r>
            <w:r w:rsidRPr="00EF0530">
              <w:t xml:space="preserve"> wyrównani</w:t>
            </w:r>
            <w:r w:rsidR="007A2E0F">
              <w:t>u</w:t>
            </w:r>
            <w:r w:rsidRPr="00EF0530">
              <w:t xml:space="preserve"> szans rozwojowych </w:t>
            </w:r>
            <w:r>
              <w:t xml:space="preserve">w stosunku </w:t>
            </w:r>
            <w:r w:rsidRPr="00EF0530">
              <w:t xml:space="preserve">do </w:t>
            </w:r>
            <w:r w:rsidR="000308EE">
              <w:t xml:space="preserve">pozostałych </w:t>
            </w:r>
            <w:r w:rsidRPr="00EF0530">
              <w:t>rynk</w:t>
            </w:r>
            <w:r w:rsidR="000308EE">
              <w:t xml:space="preserve">ów </w:t>
            </w:r>
            <w:r w:rsidRPr="00EF0530">
              <w:t>europejski</w:t>
            </w:r>
            <w:r w:rsidR="000308EE">
              <w:t>ch</w:t>
            </w:r>
            <w:r w:rsidRPr="00EF0530">
              <w:t>.</w:t>
            </w:r>
            <w:r>
              <w:t xml:space="preserve"> Na obecnym etapie nie można </w:t>
            </w:r>
            <w:r w:rsidR="00D63F62">
              <w:t xml:space="preserve">jednak </w:t>
            </w:r>
            <w:r>
              <w:t xml:space="preserve">dokonać oszacowania </w:t>
            </w:r>
            <w:r w:rsidR="00E41BD2">
              <w:t xml:space="preserve">skali emisji </w:t>
            </w:r>
            <w:r w:rsidR="007A2E0F">
              <w:t xml:space="preserve">wprowadzanych </w:t>
            </w:r>
            <w:r>
              <w:t>instrumentów</w:t>
            </w:r>
            <w:r w:rsidR="007A2E0F">
              <w:t xml:space="preserve"> kapitałowych</w:t>
            </w:r>
            <w:r w:rsidR="00D63F62">
              <w:t xml:space="preserve">. </w:t>
            </w:r>
          </w:p>
          <w:p w14:paraId="5EE3F492" w14:textId="4376A62F" w:rsidR="003E7198" w:rsidRDefault="000308EE" w:rsidP="00DF3D37">
            <w:pPr>
              <w:rPr>
                <w:color w:val="000000"/>
              </w:rPr>
            </w:pPr>
            <w:r>
              <w:rPr>
                <w:color w:val="000000"/>
              </w:rPr>
              <w:t>Podmiotami</w:t>
            </w:r>
            <w:r w:rsidR="005401EF" w:rsidRPr="006662A9">
              <w:rPr>
                <w:color w:val="000000"/>
              </w:rPr>
              <w:t xml:space="preserve"> zainteresowanymi emisją instrumentów AT1 będą przede wszystkim największe banki komercyjne. </w:t>
            </w:r>
            <w:r w:rsidR="006662A9">
              <w:rPr>
                <w:color w:val="000000"/>
              </w:rPr>
              <w:t xml:space="preserve">Według </w:t>
            </w:r>
            <w:r w:rsidR="005401EF" w:rsidRPr="006662A9">
              <w:rPr>
                <w:color w:val="000000"/>
              </w:rPr>
              <w:t>szacunków</w:t>
            </w:r>
            <w:r w:rsidR="00E41BD2">
              <w:rPr>
                <w:color w:val="000000"/>
              </w:rPr>
              <w:t>,</w:t>
            </w:r>
            <w:r w:rsidR="006662A9" w:rsidRPr="006662A9">
              <w:rPr>
                <w:color w:val="000000"/>
              </w:rPr>
              <w:t xml:space="preserve"> </w:t>
            </w:r>
            <w:r w:rsidR="005401EF" w:rsidRPr="006662A9">
              <w:rPr>
                <w:color w:val="000000"/>
              </w:rPr>
              <w:t xml:space="preserve">potencjał krajowych banków komercyjnych do emisji instrumentów AT1 można oszacować w odniesieniu do poziomu RWA (993,3 mld </w:t>
            </w:r>
            <w:r w:rsidR="00B05794">
              <w:rPr>
                <w:color w:val="000000"/>
              </w:rPr>
              <w:t>zł</w:t>
            </w:r>
            <w:r w:rsidR="005401EF" w:rsidRPr="006662A9">
              <w:rPr>
                <w:color w:val="000000"/>
              </w:rPr>
              <w:t xml:space="preserve"> na koniec marca 2018 roku) x </w:t>
            </w:r>
            <w:r w:rsidR="00BB64EB">
              <w:rPr>
                <w:color w:val="000000"/>
              </w:rPr>
              <w:t> </w:t>
            </w:r>
            <w:r w:rsidR="005401EF" w:rsidRPr="006662A9">
              <w:rPr>
                <w:color w:val="000000"/>
              </w:rPr>
              <w:t>1,5</w:t>
            </w:r>
            <w:r w:rsidR="00D05B78">
              <w:rPr>
                <w:color w:val="000000"/>
              </w:rPr>
              <w:t> </w:t>
            </w:r>
            <w:r w:rsidR="005401EF" w:rsidRPr="006662A9">
              <w:rPr>
                <w:color w:val="000000"/>
              </w:rPr>
              <w:t xml:space="preserve">%, </w:t>
            </w:r>
            <w:r w:rsidR="0096594B">
              <w:rPr>
                <w:color w:val="000000"/>
              </w:rPr>
              <w:t>tj.</w:t>
            </w:r>
            <w:r w:rsidR="005401EF" w:rsidRPr="006662A9">
              <w:rPr>
                <w:color w:val="000000"/>
              </w:rPr>
              <w:t xml:space="preserve"> 14,9 mld </w:t>
            </w:r>
            <w:r w:rsidR="00B05794">
              <w:rPr>
                <w:color w:val="000000"/>
              </w:rPr>
              <w:t>zł</w:t>
            </w:r>
            <w:r w:rsidR="005401EF" w:rsidRPr="006662A9">
              <w:rPr>
                <w:color w:val="000000"/>
              </w:rPr>
              <w:t>.</w:t>
            </w:r>
            <w:r w:rsidR="0004139F">
              <w:rPr>
                <w:color w:val="000000"/>
              </w:rPr>
              <w:t xml:space="preserve"> </w:t>
            </w:r>
          </w:p>
          <w:p w14:paraId="6BE3F3DA" w14:textId="5C8A5626" w:rsidR="005401EF" w:rsidRPr="003E7198" w:rsidRDefault="003E7198" w:rsidP="00374699">
            <w:pPr>
              <w:rPr>
                <w:i/>
                <w:color w:val="000000"/>
                <w:sz w:val="20"/>
                <w:szCs w:val="20"/>
              </w:rPr>
            </w:pPr>
            <w:r w:rsidRPr="003E7198">
              <w:rPr>
                <w:i/>
                <w:color w:val="000000"/>
                <w:sz w:val="20"/>
                <w:szCs w:val="20"/>
              </w:rPr>
              <w:t>Ź</w:t>
            </w:r>
            <w:r w:rsidR="000308EE" w:rsidRPr="003E7198">
              <w:rPr>
                <w:i/>
                <w:color w:val="000000"/>
                <w:sz w:val="20"/>
                <w:szCs w:val="20"/>
              </w:rPr>
              <w:t>ródło</w:t>
            </w:r>
            <w:r w:rsidR="00E41BD2" w:rsidRPr="003E7198">
              <w:rPr>
                <w:i/>
                <w:color w:val="000000"/>
                <w:sz w:val="20"/>
                <w:szCs w:val="20"/>
              </w:rPr>
              <w:t xml:space="preserve"> danych</w:t>
            </w:r>
            <w:r w:rsidR="000308EE" w:rsidRPr="003E7198">
              <w:rPr>
                <w:i/>
                <w:color w:val="000000"/>
                <w:sz w:val="20"/>
                <w:szCs w:val="20"/>
              </w:rPr>
              <w:t xml:space="preserve">: </w:t>
            </w:r>
            <w:r w:rsidR="00374699" w:rsidRPr="008460DF">
              <w:rPr>
                <w:color w:val="000000"/>
                <w:sz w:val="20"/>
                <w:szCs w:val="20"/>
              </w:rPr>
              <w:t xml:space="preserve">Jaworski, P., Kowalski, A., Liberadzki, K., </w:t>
            </w:r>
            <w:r w:rsidR="008460DF" w:rsidRPr="008460DF">
              <w:rPr>
                <w:color w:val="000000"/>
                <w:sz w:val="20"/>
                <w:szCs w:val="20"/>
              </w:rPr>
              <w:t>Liberadzki, M</w:t>
            </w:r>
            <w:r w:rsidR="008460DF">
              <w:rPr>
                <w:i/>
                <w:color w:val="000000"/>
                <w:sz w:val="20"/>
                <w:szCs w:val="20"/>
              </w:rPr>
              <w:t xml:space="preserve">., </w:t>
            </w:r>
            <w:r w:rsidR="00374699" w:rsidRPr="00374699">
              <w:rPr>
                <w:i/>
                <w:color w:val="000000"/>
                <w:sz w:val="20"/>
                <w:szCs w:val="20"/>
              </w:rPr>
              <w:t xml:space="preserve">Obligacje typu CoCo i bail-in jako instrumenty rekapitalizacji banków i zwiększenia stabilności finansowej, </w:t>
            </w:r>
            <w:r w:rsidR="00AB347B" w:rsidRPr="00FE2CF9">
              <w:rPr>
                <w:color w:val="000000"/>
                <w:sz w:val="20"/>
                <w:szCs w:val="20"/>
              </w:rPr>
              <w:t>Narodowy Bank Polski</w:t>
            </w:r>
            <w:r w:rsidR="00AB347B" w:rsidRPr="00374699">
              <w:rPr>
                <w:i/>
                <w:color w:val="000000"/>
                <w:sz w:val="20"/>
                <w:szCs w:val="20"/>
              </w:rPr>
              <w:t xml:space="preserve"> </w:t>
            </w:r>
            <w:r w:rsidR="00374699" w:rsidRPr="00AB347B">
              <w:rPr>
                <w:color w:val="000000"/>
                <w:sz w:val="20"/>
                <w:szCs w:val="20"/>
              </w:rPr>
              <w:t>„Materiały i Studia” nr 335</w:t>
            </w:r>
            <w:r w:rsidR="00AB347B">
              <w:rPr>
                <w:i/>
                <w:color w:val="000000"/>
                <w:sz w:val="20"/>
                <w:szCs w:val="20"/>
              </w:rPr>
              <w:t xml:space="preserve">, </w:t>
            </w:r>
            <w:r w:rsidR="00FE2CF9" w:rsidRPr="00FE2CF9">
              <w:rPr>
                <w:color w:val="000000"/>
                <w:sz w:val="20"/>
                <w:szCs w:val="20"/>
              </w:rPr>
              <w:t xml:space="preserve"> Warszawa</w:t>
            </w:r>
            <w:r w:rsidR="00AB347B">
              <w:rPr>
                <w:color w:val="000000"/>
                <w:sz w:val="20"/>
                <w:szCs w:val="20"/>
              </w:rPr>
              <w:t>,</w:t>
            </w:r>
            <w:r w:rsidR="00FE2CF9" w:rsidRPr="00FE2CF9">
              <w:rPr>
                <w:color w:val="000000"/>
                <w:sz w:val="20"/>
                <w:szCs w:val="20"/>
              </w:rPr>
              <w:t xml:space="preserve"> 2019 r</w:t>
            </w:r>
            <w:r w:rsidR="00374699" w:rsidRPr="00FE2CF9">
              <w:rPr>
                <w:color w:val="000000"/>
                <w:sz w:val="20"/>
                <w:szCs w:val="20"/>
              </w:rPr>
              <w:t>.</w:t>
            </w:r>
          </w:p>
          <w:p w14:paraId="230EEE21" w14:textId="77777777" w:rsidR="005401EF" w:rsidRDefault="005401EF" w:rsidP="00AD207F">
            <w:pPr>
              <w:rPr>
                <w:color w:val="000000"/>
              </w:rPr>
            </w:pPr>
          </w:p>
          <w:p w14:paraId="5F62F5B6" w14:textId="73CC120C" w:rsidR="008B6636" w:rsidRDefault="005401EF" w:rsidP="00152E02">
            <w:pPr>
              <w:rPr>
                <w:color w:val="000000"/>
              </w:rPr>
            </w:pPr>
            <w:r>
              <w:rPr>
                <w:color w:val="000000"/>
              </w:rPr>
              <w:t xml:space="preserve">Obecnie utrudnione jest </w:t>
            </w:r>
            <w:r w:rsidR="007A2E0F">
              <w:rPr>
                <w:color w:val="000000"/>
              </w:rPr>
              <w:t xml:space="preserve">także </w:t>
            </w:r>
            <w:r>
              <w:rPr>
                <w:color w:val="000000"/>
              </w:rPr>
              <w:t xml:space="preserve">oszacowanie stopnia zainteresowania (prognozy) podmiotów krajowego rynku ubezpieczeniowego emisją obligacji kapitałowych. Należy oczekiwać, że podmiotami </w:t>
            </w:r>
            <w:r w:rsidRPr="00401592">
              <w:rPr>
                <w:color w:val="000000"/>
              </w:rPr>
              <w:t>zainteresowanymi emisją</w:t>
            </w:r>
            <w:r>
              <w:rPr>
                <w:color w:val="000000"/>
              </w:rPr>
              <w:t xml:space="preserve"> obligacji kapitałowych mogą być największe krajowe zakłady ubezpieczeń.</w:t>
            </w:r>
            <w:r w:rsidR="003E7198">
              <w:rPr>
                <w:color w:val="000000"/>
              </w:rPr>
              <w:t xml:space="preserve"> </w:t>
            </w:r>
            <w:r>
              <w:rPr>
                <w:color w:val="000000"/>
              </w:rPr>
              <w:t xml:space="preserve">Wartość emisji obligacji RT1 CoCos </w:t>
            </w:r>
            <w:r w:rsidR="007A2E0F">
              <w:rPr>
                <w:color w:val="000000"/>
              </w:rPr>
              <w:t xml:space="preserve">dokonywanych </w:t>
            </w:r>
            <w:r>
              <w:rPr>
                <w:color w:val="000000"/>
              </w:rPr>
              <w:t>przez europejskie podmioty rynku ubezpieczeniowego jest znacznie mniejsza niż wartość emisji obligacji CoCos dokonywanych przez podmioty rynku bankowego</w:t>
            </w:r>
            <w:r w:rsidR="0058286C">
              <w:rPr>
                <w:color w:val="000000"/>
              </w:rPr>
              <w:t>.</w:t>
            </w:r>
            <w:r>
              <w:rPr>
                <w:color w:val="000000"/>
              </w:rPr>
              <w:t xml:space="preserve"> </w:t>
            </w:r>
          </w:p>
          <w:p w14:paraId="2B8AAD55" w14:textId="5F1B62E3" w:rsidR="008B6636" w:rsidRDefault="005401EF" w:rsidP="00152E02">
            <w:pPr>
              <w:rPr>
                <w:rStyle w:val="Pogrubienie"/>
                <w:b w:val="0"/>
              </w:rPr>
            </w:pPr>
            <w:r w:rsidRPr="006F3E6B">
              <w:rPr>
                <w:color w:val="000000"/>
                <w:spacing w:val="-2"/>
              </w:rPr>
              <w:t xml:space="preserve">W przypadku zakładów ubezpieczeń i zakładów reasekuracji pierwsza emisja obligacji RT1 CoCos miała miejsce dopiero pod koniec 2016 r. </w:t>
            </w:r>
            <w:r w:rsidRPr="009629BB">
              <w:rPr>
                <w:rStyle w:val="Pogrubienie"/>
                <w:b w:val="0"/>
              </w:rPr>
              <w:t>Według stanu na listopad 2018 r. wielkość rynku instrumentów RT1</w:t>
            </w:r>
            <w:r>
              <w:rPr>
                <w:rStyle w:val="Pogrubienie"/>
                <w:b w:val="0"/>
              </w:rPr>
              <w:t xml:space="preserve"> wynosiła 4 mln </w:t>
            </w:r>
            <w:r w:rsidR="007A2E0F">
              <w:rPr>
                <w:rStyle w:val="Pogrubienie"/>
                <w:b w:val="0"/>
              </w:rPr>
              <w:t>dolarów</w:t>
            </w:r>
            <w:r>
              <w:rPr>
                <w:rStyle w:val="Pogrubienie"/>
                <w:b w:val="0"/>
              </w:rPr>
              <w:t xml:space="preserve">. Należy jednak oczekiwać, że w kolejnych latach nastąpi rozwój tego rynku W ocenie specjalistów wielkość tego rynku może wzrosnąć po 2026 r. do 50-75 mld </w:t>
            </w:r>
            <w:r w:rsidR="007A2E0F">
              <w:rPr>
                <w:rStyle w:val="Pogrubienie"/>
                <w:b w:val="0"/>
              </w:rPr>
              <w:t>dolarów</w:t>
            </w:r>
            <w:r>
              <w:rPr>
                <w:rStyle w:val="Pogrubienie"/>
                <w:b w:val="0"/>
              </w:rPr>
              <w:t xml:space="preserve">, a w wariancie optymistycznym nawet do 150 mld </w:t>
            </w:r>
            <w:r w:rsidR="007A2E0F">
              <w:rPr>
                <w:rStyle w:val="Pogrubienie"/>
                <w:b w:val="0"/>
              </w:rPr>
              <w:t>dolarów</w:t>
            </w:r>
            <w:r>
              <w:rPr>
                <w:rStyle w:val="Pogrubienie"/>
                <w:b w:val="0"/>
              </w:rPr>
              <w:t xml:space="preserve">. </w:t>
            </w:r>
          </w:p>
          <w:p w14:paraId="2FF858EF" w14:textId="02286A54" w:rsidR="005401EF" w:rsidRDefault="005401EF" w:rsidP="00152E02">
            <w:pPr>
              <w:rPr>
                <w:rStyle w:val="Pogrubienie"/>
                <w:b w:val="0"/>
              </w:rPr>
            </w:pPr>
            <w:r>
              <w:rPr>
                <w:rStyle w:val="Pogrubienie"/>
                <w:b w:val="0"/>
              </w:rPr>
              <w:t>Do 2026 r. trudno oczekiwać dynamicznego wzrostu wartości emisji tych instrumentów finansowych, co wynika z następujących przyczyn:</w:t>
            </w:r>
          </w:p>
          <w:p w14:paraId="65789FD0" w14:textId="41EE672F" w:rsidR="005401EF" w:rsidRPr="00D37FF9" w:rsidRDefault="005401EF" w:rsidP="0019627B">
            <w:pPr>
              <w:pStyle w:val="Akapitzlist"/>
              <w:numPr>
                <w:ilvl w:val="0"/>
                <w:numId w:val="2"/>
              </w:numPr>
              <w:rPr>
                <w:rStyle w:val="Pogrubienie"/>
                <w:b w:val="0"/>
              </w:rPr>
            </w:pPr>
            <w:r w:rsidRPr="00D37FF9">
              <w:rPr>
                <w:rStyle w:val="Pogrubienie"/>
                <w:b w:val="0"/>
              </w:rPr>
              <w:t xml:space="preserve">długiego horyzontu czasowego zapadalności instrumentów wyemitowanych przed dniem 1 stycznia 2016 r., które zgodnie z przepisami </w:t>
            </w:r>
            <w:r w:rsidR="0058286C">
              <w:rPr>
                <w:rStyle w:val="Pogrubienie"/>
                <w:b w:val="0"/>
              </w:rPr>
              <w:t>przejściowymi (art. 308b ust. 9</w:t>
            </w:r>
            <w:r w:rsidRPr="00D37FF9">
              <w:rPr>
                <w:rStyle w:val="Pogrubienie"/>
                <w:b w:val="0"/>
              </w:rPr>
              <w:t>b dyrektywy Wypłacalność II) mogą być klasyfikowane jako pozycje podstawowych środków własnych kategorii 1 do dnia 31 grudnia 2026 r.;</w:t>
            </w:r>
          </w:p>
          <w:p w14:paraId="5F97EA58" w14:textId="372ED170" w:rsidR="005401EF" w:rsidRPr="00D37FF9" w:rsidRDefault="005401EF" w:rsidP="0019627B">
            <w:pPr>
              <w:pStyle w:val="Akapitzlist"/>
              <w:numPr>
                <w:ilvl w:val="0"/>
                <w:numId w:val="2"/>
              </w:numPr>
              <w:rPr>
                <w:rStyle w:val="Pogrubienie"/>
                <w:b w:val="0"/>
              </w:rPr>
            </w:pPr>
            <w:r w:rsidRPr="00D37FF9">
              <w:rPr>
                <w:rStyle w:val="Pogrubienie"/>
                <w:b w:val="0"/>
              </w:rPr>
              <w:t>ograniczon</w:t>
            </w:r>
            <w:r w:rsidR="007A2E0F">
              <w:rPr>
                <w:rStyle w:val="Pogrubienie"/>
                <w:b w:val="0"/>
              </w:rPr>
              <w:t>ej</w:t>
            </w:r>
            <w:r w:rsidRPr="00D37FF9">
              <w:rPr>
                <w:rStyle w:val="Pogrubienie"/>
                <w:b w:val="0"/>
              </w:rPr>
              <w:t xml:space="preserve"> podaż</w:t>
            </w:r>
            <w:r w:rsidR="007A2E0F">
              <w:rPr>
                <w:rStyle w:val="Pogrubienie"/>
                <w:b w:val="0"/>
              </w:rPr>
              <w:t>y</w:t>
            </w:r>
            <w:r w:rsidRPr="00D37FF9">
              <w:rPr>
                <w:rStyle w:val="Pogrubienie"/>
                <w:b w:val="0"/>
              </w:rPr>
              <w:t xml:space="preserve"> wynikając</w:t>
            </w:r>
            <w:r w:rsidR="007A2E0F">
              <w:rPr>
                <w:rStyle w:val="Pogrubienie"/>
                <w:b w:val="0"/>
              </w:rPr>
              <w:t>ej</w:t>
            </w:r>
            <w:r w:rsidRPr="00D37FF9">
              <w:rPr>
                <w:rStyle w:val="Pogrubienie"/>
                <w:b w:val="0"/>
              </w:rPr>
              <w:t xml:space="preserve"> z limitu ilościowego określającego udział kwoty  podstawowych środków własnych zaliczanych do RT1 w łącznej kwocie pozycji podstawowych środków własnych kategorii 1 (20% łącznej kwoty)</w:t>
            </w:r>
            <w:r w:rsidR="007A2E0F">
              <w:rPr>
                <w:rStyle w:val="Pogrubienie"/>
                <w:b w:val="0"/>
              </w:rPr>
              <w:t>;</w:t>
            </w:r>
          </w:p>
          <w:p w14:paraId="5D897D12" w14:textId="1E7F74FC" w:rsidR="00E41BD2" w:rsidRPr="0004139F" w:rsidRDefault="005401EF" w:rsidP="0004139F">
            <w:pPr>
              <w:pStyle w:val="Akapitzlist"/>
              <w:numPr>
                <w:ilvl w:val="0"/>
                <w:numId w:val="2"/>
              </w:numPr>
              <w:rPr>
                <w:bCs/>
              </w:rPr>
            </w:pPr>
            <w:r w:rsidRPr="00D37FF9">
              <w:rPr>
                <w:rStyle w:val="Pogrubienie"/>
                <w:b w:val="0"/>
              </w:rPr>
              <w:t>wysokimi wskaźnikami pokrycia wymogów kapitałowych wykazywanymi przez europejskich ubezpieczycieli i reasekuratorów w sprawozdaniach dla organów nadzorczych (średni wskaźnik pokrycia kształtuje się na poziomie ponad 200% kapitałowego wymogu wypłacalności).</w:t>
            </w:r>
          </w:p>
          <w:p w14:paraId="1CC9EB6E" w14:textId="1DD44172" w:rsidR="005401EF" w:rsidRPr="00647FCC" w:rsidRDefault="005401EF" w:rsidP="00E41BD2">
            <w:pPr>
              <w:outlineLvl w:val="0"/>
              <w:rPr>
                <w:rStyle w:val="Pogrubienie"/>
                <w:b w:val="0"/>
                <w:bCs w:val="0"/>
                <w:sz w:val="20"/>
                <w:szCs w:val="20"/>
                <w:lang w:val="en-GB" w:eastAsia="pl-PL"/>
              </w:rPr>
            </w:pPr>
            <w:r w:rsidRPr="00647FCC">
              <w:rPr>
                <w:i/>
                <w:sz w:val="20"/>
                <w:szCs w:val="20"/>
                <w:lang w:val="en-GB" w:eastAsia="pl-PL"/>
              </w:rPr>
              <w:t>Źródło danych</w:t>
            </w:r>
            <w:r w:rsidRPr="00647FCC">
              <w:rPr>
                <w:sz w:val="20"/>
                <w:szCs w:val="20"/>
                <w:lang w:val="en-GB" w:eastAsia="pl-PL"/>
              </w:rPr>
              <w:t>:</w:t>
            </w:r>
            <w:r w:rsidR="00647FCC">
              <w:rPr>
                <w:sz w:val="20"/>
                <w:szCs w:val="20"/>
                <w:lang w:val="en-GB" w:eastAsia="pl-PL"/>
              </w:rPr>
              <w:t xml:space="preserve"> </w:t>
            </w:r>
            <w:r w:rsidRPr="00647FCC">
              <w:rPr>
                <w:rStyle w:val="Pogrubienie"/>
                <w:b w:val="0"/>
                <w:sz w:val="20"/>
                <w:szCs w:val="20"/>
                <w:lang w:val="en-GB"/>
              </w:rPr>
              <w:t xml:space="preserve">The first insurance restricted Tier 1 (RT1) deal was issued in late 2017. </w:t>
            </w:r>
            <w:r w:rsidRPr="00647FCC">
              <w:rPr>
                <w:rStyle w:val="Pogrubienie"/>
                <w:b w:val="0"/>
                <w:i/>
                <w:sz w:val="20"/>
                <w:szCs w:val="20"/>
                <w:lang w:val="en-GB"/>
              </w:rPr>
              <w:t>Romain Maginiac highlights why investors should consider these instruments and how they differ from traditional bank AT1</w:t>
            </w:r>
          </w:p>
          <w:p w14:paraId="4E0284FA" w14:textId="3F32D95F" w:rsidR="00E41BD2" w:rsidRPr="00582593" w:rsidRDefault="00E41BD2" w:rsidP="00E41BD2">
            <w:pPr>
              <w:outlineLvl w:val="0"/>
              <w:rPr>
                <w:color w:val="000000"/>
                <w:lang w:val="en-GB"/>
              </w:rPr>
            </w:pPr>
          </w:p>
        </w:tc>
      </w:tr>
      <w:tr w:rsidR="005401EF" w:rsidRPr="008B4FE6" w14:paraId="5EC8579E" w14:textId="77777777" w:rsidTr="00676C8D">
        <w:trPr>
          <w:gridAfter w:val="1"/>
          <w:wAfter w:w="10" w:type="dxa"/>
          <w:trHeight w:val="342"/>
        </w:trPr>
        <w:tc>
          <w:tcPr>
            <w:tcW w:w="10937" w:type="dxa"/>
            <w:gridSpan w:val="29"/>
            <w:shd w:val="clear" w:color="auto" w:fill="99CCFF"/>
            <w:vAlign w:val="center"/>
          </w:tcPr>
          <w:p w14:paraId="0D786506" w14:textId="62A13E68" w:rsidR="005401EF" w:rsidRPr="008B4FE6" w:rsidRDefault="00BE5F66" w:rsidP="00BE5F66">
            <w:pPr>
              <w:spacing w:before="60" w:after="60"/>
              <w:rPr>
                <w:b/>
                <w:color w:val="000000"/>
              </w:rPr>
            </w:pPr>
            <w:r w:rsidRPr="00B50BFA">
              <w:rPr>
                <w:b/>
                <w:color w:val="000000"/>
              </w:rPr>
              <w:t xml:space="preserve">8. </w:t>
            </w:r>
            <w:r w:rsidR="005401EF" w:rsidRPr="00B50BFA">
              <w:rPr>
                <w:b/>
                <w:color w:val="000000"/>
              </w:rPr>
              <w:t xml:space="preserve"> </w:t>
            </w:r>
            <w:r w:rsidR="005401EF" w:rsidRPr="00D16D63">
              <w:rPr>
                <w:b/>
              </w:rPr>
              <w:t>Zmiana obciążeń regulacyjnych (w tym obowiązków informacyjnych) wynikających z projektu</w:t>
            </w:r>
          </w:p>
        </w:tc>
      </w:tr>
      <w:tr w:rsidR="005401EF" w:rsidRPr="008B4FE6" w14:paraId="2122C1DE" w14:textId="77777777" w:rsidTr="00676C8D">
        <w:trPr>
          <w:gridAfter w:val="1"/>
          <w:wAfter w:w="10" w:type="dxa"/>
          <w:trHeight w:val="151"/>
        </w:trPr>
        <w:tc>
          <w:tcPr>
            <w:tcW w:w="10937" w:type="dxa"/>
            <w:gridSpan w:val="29"/>
            <w:shd w:val="clear" w:color="auto" w:fill="FFFFFF"/>
          </w:tcPr>
          <w:p w14:paraId="46D62A54" w14:textId="77777777" w:rsidR="005401EF" w:rsidRPr="008B4FE6" w:rsidRDefault="005401EF" w:rsidP="002B5F66">
            <w:pPr>
              <w:rPr>
                <w:color w:val="000000"/>
              </w:rPr>
            </w:pPr>
            <w:r>
              <w:rPr>
                <w:rFonts w:ascii="MS Gothic" w:eastAsia="MS Gothic" w:hAnsi="MS Gothic" w:hint="eastAsia"/>
                <w:color w:val="000000"/>
                <w:spacing w:val="-2"/>
              </w:rPr>
              <w:t>☒</w:t>
            </w:r>
            <w:r>
              <w:rPr>
                <w:color w:val="000000"/>
                <w:spacing w:val="-2"/>
              </w:rPr>
              <w:t xml:space="preserve"> </w:t>
            </w:r>
            <w:r w:rsidRPr="001A5FDA">
              <w:rPr>
                <w:color w:val="000000"/>
                <w:spacing w:val="-2"/>
              </w:rPr>
              <w:t>nie dotyczy</w:t>
            </w:r>
          </w:p>
        </w:tc>
      </w:tr>
      <w:tr w:rsidR="005401EF" w:rsidRPr="008B4FE6" w14:paraId="6502E0C1" w14:textId="77777777" w:rsidTr="00676C8D">
        <w:trPr>
          <w:gridAfter w:val="1"/>
          <w:wAfter w:w="10" w:type="dxa"/>
          <w:trHeight w:val="946"/>
        </w:trPr>
        <w:tc>
          <w:tcPr>
            <w:tcW w:w="5111" w:type="dxa"/>
            <w:gridSpan w:val="12"/>
            <w:shd w:val="clear" w:color="auto" w:fill="FFFFFF"/>
          </w:tcPr>
          <w:p w14:paraId="4D7423F6" w14:textId="77777777" w:rsidR="005401EF" w:rsidRDefault="005401EF" w:rsidP="002B5F66">
            <w:pPr>
              <w:rPr>
                <w:color w:val="000000"/>
                <w:spacing w:val="-2"/>
              </w:rPr>
            </w:pPr>
            <w:r>
              <w:rPr>
                <w:color w:val="000000"/>
                <w:spacing w:val="-2"/>
              </w:rPr>
              <w:t>W</w:t>
            </w:r>
            <w:r w:rsidRPr="00653688">
              <w:rPr>
                <w:color w:val="000000"/>
                <w:spacing w:val="-2"/>
              </w:rPr>
              <w:t xml:space="preserve">prowadzane są </w:t>
            </w:r>
            <w:r>
              <w:rPr>
                <w:color w:val="000000"/>
                <w:spacing w:val="-2"/>
              </w:rPr>
              <w:t>obciążenia</w:t>
            </w:r>
            <w:r w:rsidRPr="00653688">
              <w:rPr>
                <w:color w:val="000000"/>
                <w:spacing w:val="-2"/>
              </w:rPr>
              <w:t xml:space="preserve"> poza bezwzględnie wymaganymi przez UE</w:t>
            </w:r>
            <w:r>
              <w:rPr>
                <w:color w:val="000000"/>
                <w:spacing w:val="-2"/>
              </w:rPr>
              <w:t xml:space="preserve"> </w:t>
            </w:r>
            <w:r w:rsidRPr="008B4FE6">
              <w:rPr>
                <w:color w:val="000000"/>
              </w:rPr>
              <w:t>(szczegóły w odwróconej tabeli zgodności</w:t>
            </w:r>
            <w:r>
              <w:rPr>
                <w:color w:val="000000"/>
              </w:rPr>
              <w:t>).</w:t>
            </w:r>
          </w:p>
        </w:tc>
        <w:tc>
          <w:tcPr>
            <w:tcW w:w="5826" w:type="dxa"/>
            <w:gridSpan w:val="17"/>
            <w:shd w:val="clear" w:color="auto" w:fill="FFFFFF"/>
          </w:tcPr>
          <w:p w14:paraId="7B9464B0" w14:textId="77777777" w:rsidR="005401EF" w:rsidRDefault="005401EF" w:rsidP="002B5F66">
            <w:pPr>
              <w:rPr>
                <w:color w:val="000000"/>
              </w:rPr>
            </w:pPr>
            <w:r>
              <w:rPr>
                <w:rFonts w:ascii="MS Gothic" w:eastAsia="MS Gothic" w:hAnsi="MS Gothic" w:hint="eastAsia"/>
                <w:color w:val="000000"/>
              </w:rPr>
              <w:t>☐</w:t>
            </w:r>
            <w:r>
              <w:rPr>
                <w:color w:val="000000"/>
              </w:rPr>
              <w:t xml:space="preserve"> tak</w:t>
            </w:r>
          </w:p>
          <w:p w14:paraId="06E7A95B" w14:textId="77777777" w:rsidR="005401EF" w:rsidRDefault="005401EF" w:rsidP="002B5F66">
            <w:pPr>
              <w:rPr>
                <w:color w:val="000000"/>
              </w:rPr>
            </w:pPr>
            <w:r>
              <w:rPr>
                <w:rFonts w:ascii="MS Gothic" w:eastAsia="MS Gothic" w:hAnsi="MS Gothic" w:hint="eastAsia"/>
                <w:color w:val="000000"/>
              </w:rPr>
              <w:t>☐</w:t>
            </w:r>
            <w:r>
              <w:rPr>
                <w:color w:val="000000"/>
              </w:rPr>
              <w:t xml:space="preserve"> nie</w:t>
            </w:r>
          </w:p>
          <w:p w14:paraId="0058AD74" w14:textId="77777777" w:rsidR="005401EF" w:rsidRDefault="005401EF" w:rsidP="002B5F66">
            <w:pPr>
              <w:rPr>
                <w:color w:val="000000"/>
              </w:rPr>
            </w:pPr>
            <w:r>
              <w:rPr>
                <w:rFonts w:ascii="MS Gothic" w:eastAsia="MS Gothic" w:hAnsi="MS Gothic" w:hint="eastAsia"/>
                <w:color w:val="000000"/>
              </w:rPr>
              <w:t>☐</w:t>
            </w:r>
            <w:r>
              <w:rPr>
                <w:color w:val="000000"/>
              </w:rPr>
              <w:t xml:space="preserve"> nie dotyczy</w:t>
            </w:r>
          </w:p>
        </w:tc>
      </w:tr>
      <w:tr w:rsidR="005401EF" w:rsidRPr="008B4FE6" w14:paraId="24B82AB1" w14:textId="77777777" w:rsidTr="00676C8D">
        <w:trPr>
          <w:gridAfter w:val="1"/>
          <w:wAfter w:w="10" w:type="dxa"/>
          <w:trHeight w:val="1245"/>
        </w:trPr>
        <w:tc>
          <w:tcPr>
            <w:tcW w:w="5111" w:type="dxa"/>
            <w:gridSpan w:val="12"/>
            <w:shd w:val="clear" w:color="auto" w:fill="FFFFFF"/>
          </w:tcPr>
          <w:p w14:paraId="3A752CFF" w14:textId="77777777" w:rsidR="005401EF" w:rsidRPr="008B4FE6" w:rsidRDefault="005401EF" w:rsidP="002B5F66">
            <w:pPr>
              <w:rPr>
                <w:color w:val="000000"/>
                <w:spacing w:val="-2"/>
              </w:rPr>
            </w:pPr>
            <w:r>
              <w:rPr>
                <w:rFonts w:ascii="MS Gothic" w:eastAsia="MS Gothic" w:hAnsi="MS Gothic" w:hint="eastAsia"/>
                <w:color w:val="000000"/>
                <w:spacing w:val="-2"/>
              </w:rPr>
              <w:t>☐</w:t>
            </w:r>
            <w:r>
              <w:rPr>
                <w:color w:val="000000"/>
                <w:spacing w:val="-2"/>
              </w:rPr>
              <w:t xml:space="preserve"> </w:t>
            </w:r>
            <w:r w:rsidRPr="008B4FE6">
              <w:rPr>
                <w:color w:val="000000"/>
                <w:spacing w:val="-2"/>
              </w:rPr>
              <w:t>zmniejszenie liczby dokumentów</w:t>
            </w:r>
            <w:r>
              <w:rPr>
                <w:color w:val="000000"/>
                <w:spacing w:val="-2"/>
              </w:rPr>
              <w:t xml:space="preserve"> </w:t>
            </w:r>
          </w:p>
          <w:p w14:paraId="3C4C158B" w14:textId="77777777" w:rsidR="005401EF" w:rsidRPr="008B4FE6" w:rsidRDefault="005401EF" w:rsidP="002B5F66">
            <w:pPr>
              <w:rPr>
                <w:color w:val="000000"/>
                <w:spacing w:val="-2"/>
              </w:rPr>
            </w:pPr>
            <w:r>
              <w:rPr>
                <w:rFonts w:ascii="MS Gothic" w:eastAsia="MS Gothic" w:hAnsi="MS Gothic" w:hint="eastAsia"/>
                <w:color w:val="000000"/>
                <w:spacing w:val="-2"/>
              </w:rPr>
              <w:t>☐</w:t>
            </w:r>
            <w:r>
              <w:rPr>
                <w:color w:val="000000"/>
                <w:spacing w:val="-2"/>
              </w:rPr>
              <w:t xml:space="preserve"> </w:t>
            </w:r>
            <w:r w:rsidRPr="008B4FE6">
              <w:rPr>
                <w:color w:val="000000"/>
                <w:spacing w:val="-2"/>
              </w:rPr>
              <w:t>zmniejszenie liczby procedur</w:t>
            </w:r>
          </w:p>
          <w:p w14:paraId="4DE34658" w14:textId="77777777" w:rsidR="005401EF" w:rsidRDefault="005401EF" w:rsidP="002B5F66">
            <w:pPr>
              <w:rPr>
                <w:color w:val="000000"/>
                <w:spacing w:val="-2"/>
              </w:rPr>
            </w:pPr>
            <w:r>
              <w:rPr>
                <w:rFonts w:ascii="MS Gothic" w:eastAsia="MS Gothic" w:hAnsi="MS Gothic" w:hint="eastAsia"/>
                <w:color w:val="000000"/>
                <w:spacing w:val="-2"/>
              </w:rPr>
              <w:t>☐</w:t>
            </w:r>
            <w:r>
              <w:rPr>
                <w:color w:val="000000"/>
                <w:spacing w:val="-2"/>
              </w:rPr>
              <w:t xml:space="preserve"> </w:t>
            </w:r>
            <w:r w:rsidRPr="008B4FE6">
              <w:rPr>
                <w:color w:val="000000"/>
                <w:spacing w:val="-2"/>
              </w:rPr>
              <w:t>skrócenie czasu</w:t>
            </w:r>
            <w:r>
              <w:rPr>
                <w:color w:val="000000"/>
                <w:spacing w:val="-2"/>
              </w:rPr>
              <w:t xml:space="preserve"> na załatwienie sprawy</w:t>
            </w:r>
          </w:p>
          <w:p w14:paraId="230E776F" w14:textId="77777777" w:rsidR="005401EF" w:rsidRPr="008B4FE6" w:rsidRDefault="005401EF" w:rsidP="002B5F66">
            <w:pPr>
              <w:rPr>
                <w:b/>
                <w:color w:val="000000"/>
                <w:spacing w:val="-2"/>
              </w:rPr>
            </w:pPr>
            <w:r>
              <w:rPr>
                <w:rFonts w:ascii="MS Gothic" w:eastAsia="MS Gothic" w:hAnsi="MS Gothic" w:hint="eastAsia"/>
                <w:color w:val="000000"/>
                <w:spacing w:val="-2"/>
              </w:rPr>
              <w:t>☐</w:t>
            </w:r>
            <w:r>
              <w:rPr>
                <w:color w:val="000000"/>
                <w:spacing w:val="-2"/>
              </w:rPr>
              <w:t xml:space="preserve"> </w:t>
            </w:r>
            <w:r w:rsidRPr="008B4FE6">
              <w:rPr>
                <w:color w:val="000000"/>
                <w:spacing w:val="-2"/>
              </w:rPr>
              <w:t>inne:</w:t>
            </w:r>
            <w:r w:rsidRPr="008B4FE6">
              <w:rPr>
                <w:color w:val="000000"/>
              </w:rPr>
              <w:t xml:space="preserve"> </w:t>
            </w:r>
            <w:r>
              <w:rPr>
                <w:color w:val="000000"/>
              </w:rPr>
              <w:t>…</w:t>
            </w:r>
          </w:p>
        </w:tc>
        <w:tc>
          <w:tcPr>
            <w:tcW w:w="5826" w:type="dxa"/>
            <w:gridSpan w:val="17"/>
            <w:shd w:val="clear" w:color="auto" w:fill="FFFFFF"/>
          </w:tcPr>
          <w:p w14:paraId="7D08B284" w14:textId="77777777" w:rsidR="005401EF" w:rsidRPr="008B4FE6" w:rsidRDefault="005401EF" w:rsidP="002B5F66">
            <w:pPr>
              <w:rPr>
                <w:color w:val="000000"/>
                <w:spacing w:val="-2"/>
              </w:rPr>
            </w:pPr>
            <w:r>
              <w:rPr>
                <w:rFonts w:ascii="MS Gothic" w:eastAsia="MS Gothic" w:hAnsi="MS Gothic" w:hint="eastAsia"/>
                <w:color w:val="000000"/>
                <w:spacing w:val="-2"/>
              </w:rPr>
              <w:t>☐</w:t>
            </w:r>
            <w:r>
              <w:rPr>
                <w:color w:val="000000"/>
                <w:spacing w:val="-2"/>
              </w:rPr>
              <w:t xml:space="preserve"> </w:t>
            </w:r>
            <w:r w:rsidRPr="008B4FE6">
              <w:rPr>
                <w:color w:val="000000"/>
                <w:spacing w:val="-2"/>
              </w:rPr>
              <w:t>zwiększenie liczby dokumentów</w:t>
            </w:r>
          </w:p>
          <w:p w14:paraId="51B55FF2" w14:textId="77777777" w:rsidR="005401EF" w:rsidRPr="008B4FE6" w:rsidRDefault="005401EF" w:rsidP="002B5F66">
            <w:pPr>
              <w:rPr>
                <w:color w:val="000000"/>
                <w:spacing w:val="-2"/>
              </w:rPr>
            </w:pPr>
            <w:r>
              <w:rPr>
                <w:rFonts w:ascii="MS Gothic" w:eastAsia="MS Gothic" w:hAnsi="MS Gothic" w:hint="eastAsia"/>
                <w:color w:val="000000"/>
              </w:rPr>
              <w:t>☐</w:t>
            </w:r>
            <w:r>
              <w:rPr>
                <w:color w:val="000000"/>
              </w:rPr>
              <w:t xml:space="preserve"> </w:t>
            </w:r>
            <w:r w:rsidRPr="008B4FE6">
              <w:rPr>
                <w:color w:val="000000"/>
                <w:spacing w:val="-2"/>
              </w:rPr>
              <w:t>zwiększenie liczby procedur</w:t>
            </w:r>
          </w:p>
          <w:p w14:paraId="362EB9A1" w14:textId="77777777" w:rsidR="005401EF" w:rsidRPr="008B4FE6" w:rsidRDefault="005401EF" w:rsidP="002B5F66">
            <w:pPr>
              <w:rPr>
                <w:color w:val="000000"/>
                <w:spacing w:val="-2"/>
              </w:rPr>
            </w:pPr>
            <w:r>
              <w:rPr>
                <w:rFonts w:ascii="MS Gothic" w:eastAsia="MS Gothic" w:hAnsi="MS Gothic" w:hint="eastAsia"/>
                <w:color w:val="000000"/>
                <w:spacing w:val="-2"/>
              </w:rPr>
              <w:t>☐</w:t>
            </w:r>
            <w:r>
              <w:rPr>
                <w:color w:val="000000"/>
                <w:spacing w:val="-2"/>
              </w:rPr>
              <w:t xml:space="preserve"> </w:t>
            </w:r>
            <w:r w:rsidRPr="008B4FE6">
              <w:rPr>
                <w:color w:val="000000"/>
                <w:spacing w:val="-2"/>
              </w:rPr>
              <w:t>wydłużenie czasu</w:t>
            </w:r>
            <w:r>
              <w:rPr>
                <w:color w:val="000000"/>
                <w:spacing w:val="-2"/>
              </w:rPr>
              <w:t xml:space="preserve"> na załatwienie sprawy</w:t>
            </w:r>
          </w:p>
          <w:p w14:paraId="399432DA" w14:textId="77777777" w:rsidR="005401EF" w:rsidRPr="008B4FE6" w:rsidRDefault="005401EF" w:rsidP="002B5F66">
            <w:pPr>
              <w:rPr>
                <w:color w:val="000000"/>
              </w:rPr>
            </w:pPr>
            <w:r>
              <w:rPr>
                <w:rFonts w:ascii="MS Gothic" w:eastAsia="MS Gothic" w:hAnsi="MS Gothic" w:hint="eastAsia"/>
                <w:color w:val="000000"/>
                <w:spacing w:val="-2"/>
              </w:rPr>
              <w:t>☐</w:t>
            </w:r>
            <w:r>
              <w:rPr>
                <w:color w:val="000000"/>
                <w:spacing w:val="-2"/>
              </w:rPr>
              <w:t xml:space="preserve"> </w:t>
            </w:r>
            <w:r w:rsidRPr="008B4FE6">
              <w:rPr>
                <w:color w:val="000000"/>
                <w:spacing w:val="-2"/>
              </w:rPr>
              <w:t>inne:</w:t>
            </w:r>
            <w:r>
              <w:rPr>
                <w:color w:val="000000"/>
              </w:rPr>
              <w:t xml:space="preserve"> (komentarz)</w:t>
            </w:r>
          </w:p>
          <w:p w14:paraId="056F951D" w14:textId="77777777" w:rsidR="005401EF" w:rsidRPr="008B4FE6" w:rsidRDefault="005401EF" w:rsidP="002B5F66">
            <w:pPr>
              <w:rPr>
                <w:color w:val="000000"/>
              </w:rPr>
            </w:pPr>
          </w:p>
        </w:tc>
      </w:tr>
      <w:tr w:rsidR="005401EF" w:rsidRPr="008B4FE6" w14:paraId="33B402A4" w14:textId="77777777" w:rsidTr="00676C8D">
        <w:trPr>
          <w:gridAfter w:val="1"/>
          <w:wAfter w:w="10" w:type="dxa"/>
          <w:trHeight w:val="870"/>
        </w:trPr>
        <w:tc>
          <w:tcPr>
            <w:tcW w:w="5111" w:type="dxa"/>
            <w:gridSpan w:val="12"/>
            <w:shd w:val="clear" w:color="auto" w:fill="FFFFFF"/>
          </w:tcPr>
          <w:p w14:paraId="484A81C5" w14:textId="0EEC5818" w:rsidR="005401EF" w:rsidRPr="008B4FE6" w:rsidRDefault="005401EF" w:rsidP="002B5F66">
            <w:pPr>
              <w:rPr>
                <w:color w:val="000000"/>
              </w:rPr>
            </w:pPr>
            <w:r>
              <w:rPr>
                <w:color w:val="000000"/>
                <w:spacing w:val="-2"/>
              </w:rPr>
              <w:t>W</w:t>
            </w:r>
            <w:r w:rsidRPr="00653688">
              <w:rPr>
                <w:color w:val="000000"/>
                <w:spacing w:val="-2"/>
              </w:rPr>
              <w:t>prowadzane</w:t>
            </w:r>
            <w:r>
              <w:rPr>
                <w:color w:val="000000"/>
                <w:spacing w:val="-2"/>
              </w:rPr>
              <w:t xml:space="preserve"> obciążenia</w:t>
            </w:r>
            <w:r w:rsidRPr="00653688">
              <w:rPr>
                <w:color w:val="000000"/>
                <w:spacing w:val="-2"/>
              </w:rPr>
              <w:t xml:space="preserve"> są </w:t>
            </w:r>
            <w:r>
              <w:rPr>
                <w:color w:val="000000"/>
                <w:spacing w:val="-2"/>
              </w:rPr>
              <w:t>przys</w:t>
            </w:r>
            <w:r w:rsidR="0027073D">
              <w:rPr>
                <w:color w:val="000000"/>
                <w:spacing w:val="-2"/>
              </w:rPr>
              <w:t>tosowane do ich elektronizacji.</w:t>
            </w:r>
          </w:p>
        </w:tc>
        <w:tc>
          <w:tcPr>
            <w:tcW w:w="5826" w:type="dxa"/>
            <w:gridSpan w:val="17"/>
            <w:shd w:val="clear" w:color="auto" w:fill="FFFFFF"/>
          </w:tcPr>
          <w:p w14:paraId="6D61489E" w14:textId="77777777" w:rsidR="005401EF" w:rsidRDefault="005401EF" w:rsidP="002B5F66">
            <w:pPr>
              <w:rPr>
                <w:color w:val="000000"/>
              </w:rPr>
            </w:pPr>
            <w:r>
              <w:rPr>
                <w:rFonts w:ascii="MS Gothic" w:eastAsia="MS Gothic" w:hAnsi="MS Gothic" w:hint="eastAsia"/>
                <w:color w:val="000000"/>
              </w:rPr>
              <w:t>☐</w:t>
            </w:r>
            <w:r>
              <w:rPr>
                <w:color w:val="000000"/>
              </w:rPr>
              <w:t xml:space="preserve"> tak</w:t>
            </w:r>
          </w:p>
          <w:p w14:paraId="482BBE5F" w14:textId="77777777" w:rsidR="005401EF" w:rsidRDefault="005401EF" w:rsidP="002B5F66">
            <w:pPr>
              <w:rPr>
                <w:color w:val="000000"/>
              </w:rPr>
            </w:pPr>
            <w:r>
              <w:rPr>
                <w:rFonts w:ascii="MS Gothic" w:eastAsia="MS Gothic" w:hAnsi="MS Gothic" w:hint="eastAsia"/>
                <w:color w:val="000000"/>
              </w:rPr>
              <w:t>☐</w:t>
            </w:r>
            <w:r>
              <w:rPr>
                <w:color w:val="000000"/>
              </w:rPr>
              <w:t xml:space="preserve"> nie</w:t>
            </w:r>
          </w:p>
          <w:p w14:paraId="33969A8E" w14:textId="01F27C1E" w:rsidR="005401EF" w:rsidRPr="008B4FE6" w:rsidRDefault="005401EF" w:rsidP="002B5F66">
            <w:pPr>
              <w:rPr>
                <w:color w:val="000000"/>
              </w:rPr>
            </w:pPr>
            <w:r>
              <w:rPr>
                <w:rFonts w:ascii="MS Gothic" w:eastAsia="MS Gothic" w:hAnsi="MS Gothic" w:hint="eastAsia"/>
                <w:color w:val="000000"/>
              </w:rPr>
              <w:t>☐</w:t>
            </w:r>
            <w:r>
              <w:rPr>
                <w:color w:val="000000"/>
              </w:rPr>
              <w:t xml:space="preserve"> nie dotyczy</w:t>
            </w:r>
          </w:p>
        </w:tc>
      </w:tr>
      <w:tr w:rsidR="005401EF" w:rsidRPr="008B4FE6" w14:paraId="598C9308" w14:textId="77777777" w:rsidTr="00676C8D">
        <w:trPr>
          <w:gridAfter w:val="1"/>
          <w:wAfter w:w="10" w:type="dxa"/>
          <w:trHeight w:val="630"/>
        </w:trPr>
        <w:tc>
          <w:tcPr>
            <w:tcW w:w="10937" w:type="dxa"/>
            <w:gridSpan w:val="29"/>
            <w:shd w:val="clear" w:color="auto" w:fill="FFFFFF"/>
          </w:tcPr>
          <w:p w14:paraId="43EF974F" w14:textId="77777777" w:rsidR="005401EF" w:rsidRPr="008B4FE6" w:rsidRDefault="005401EF" w:rsidP="00800C3E">
            <w:pPr>
              <w:rPr>
                <w:color w:val="000000"/>
              </w:rPr>
            </w:pPr>
          </w:p>
        </w:tc>
      </w:tr>
      <w:tr w:rsidR="005401EF" w:rsidRPr="008B4FE6" w14:paraId="4D1CD397" w14:textId="77777777" w:rsidTr="00676C8D">
        <w:trPr>
          <w:gridAfter w:val="1"/>
          <w:wAfter w:w="10" w:type="dxa"/>
          <w:trHeight w:val="142"/>
        </w:trPr>
        <w:tc>
          <w:tcPr>
            <w:tcW w:w="10937" w:type="dxa"/>
            <w:gridSpan w:val="29"/>
            <w:shd w:val="clear" w:color="auto" w:fill="99CCFF"/>
          </w:tcPr>
          <w:p w14:paraId="00F188E1" w14:textId="350DEE46" w:rsidR="005401EF" w:rsidRPr="008B4FE6" w:rsidRDefault="00BE5F66" w:rsidP="00452A66">
            <w:pPr>
              <w:spacing w:before="60" w:after="60"/>
              <w:jc w:val="left"/>
              <w:rPr>
                <w:b/>
                <w:color w:val="000000"/>
              </w:rPr>
            </w:pPr>
            <w:r>
              <w:rPr>
                <w:b/>
                <w:color w:val="000000"/>
              </w:rPr>
              <w:t xml:space="preserve">9. </w:t>
            </w:r>
            <w:r w:rsidR="005401EF" w:rsidRPr="008B4FE6">
              <w:rPr>
                <w:b/>
                <w:color w:val="000000"/>
              </w:rPr>
              <w:t xml:space="preserve">Wpływ na rynek pracy </w:t>
            </w:r>
          </w:p>
        </w:tc>
      </w:tr>
      <w:tr w:rsidR="005401EF" w:rsidRPr="008B4FE6" w14:paraId="61715DDD" w14:textId="77777777" w:rsidTr="00676C8D">
        <w:trPr>
          <w:gridAfter w:val="1"/>
          <w:wAfter w:w="10" w:type="dxa"/>
          <w:trHeight w:val="142"/>
        </w:trPr>
        <w:tc>
          <w:tcPr>
            <w:tcW w:w="10937" w:type="dxa"/>
            <w:gridSpan w:val="29"/>
          </w:tcPr>
          <w:p w14:paraId="194AB0E7" w14:textId="4A7E3E8E" w:rsidR="005401EF" w:rsidRPr="008B4FE6" w:rsidRDefault="005401EF" w:rsidP="00296C13">
            <w:pPr>
              <w:spacing w:before="60" w:after="60"/>
              <w:rPr>
                <w:color w:val="000000"/>
              </w:rPr>
            </w:pPr>
            <w:r w:rsidRPr="001B3438">
              <w:rPr>
                <w:color w:val="000000"/>
              </w:rPr>
              <w:t>Wejście w życie ustawy nie wpły</w:t>
            </w:r>
            <w:r w:rsidR="00CE3799">
              <w:rPr>
                <w:color w:val="000000"/>
              </w:rPr>
              <w:t xml:space="preserve">nie </w:t>
            </w:r>
            <w:r w:rsidRPr="001B3438">
              <w:rPr>
                <w:color w:val="000000"/>
              </w:rPr>
              <w:t xml:space="preserve">na rynek pracy. </w:t>
            </w:r>
          </w:p>
        </w:tc>
      </w:tr>
      <w:tr w:rsidR="005401EF" w:rsidRPr="008B4FE6" w14:paraId="68E8A4A0" w14:textId="77777777" w:rsidTr="00676C8D">
        <w:trPr>
          <w:gridAfter w:val="1"/>
          <w:wAfter w:w="10" w:type="dxa"/>
          <w:trHeight w:val="142"/>
        </w:trPr>
        <w:tc>
          <w:tcPr>
            <w:tcW w:w="10937" w:type="dxa"/>
            <w:gridSpan w:val="29"/>
            <w:shd w:val="clear" w:color="auto" w:fill="99CCFF"/>
          </w:tcPr>
          <w:p w14:paraId="552AE038" w14:textId="727AD50F" w:rsidR="005401EF" w:rsidRPr="008B4FE6" w:rsidRDefault="00BE5F66" w:rsidP="00BE5F66">
            <w:pPr>
              <w:spacing w:before="60" w:after="60"/>
              <w:rPr>
                <w:b/>
                <w:color w:val="000000"/>
              </w:rPr>
            </w:pPr>
            <w:r>
              <w:rPr>
                <w:b/>
                <w:color w:val="000000"/>
              </w:rPr>
              <w:t xml:space="preserve">10. </w:t>
            </w:r>
            <w:r w:rsidR="005401EF" w:rsidRPr="008B4FE6">
              <w:rPr>
                <w:b/>
                <w:color w:val="000000"/>
              </w:rPr>
              <w:t>Wpływ na pozostałe obszary</w:t>
            </w:r>
          </w:p>
        </w:tc>
      </w:tr>
      <w:tr w:rsidR="005401EF" w:rsidRPr="008B4FE6" w14:paraId="62306846" w14:textId="77777777" w:rsidTr="00676C8D">
        <w:trPr>
          <w:gridAfter w:val="1"/>
          <w:wAfter w:w="10" w:type="dxa"/>
          <w:trHeight w:val="1031"/>
        </w:trPr>
        <w:tc>
          <w:tcPr>
            <w:tcW w:w="3547" w:type="dxa"/>
            <w:gridSpan w:val="5"/>
            <w:shd w:val="clear" w:color="auto" w:fill="FFFFFF"/>
          </w:tcPr>
          <w:p w14:paraId="400077A0" w14:textId="77777777" w:rsidR="005401EF" w:rsidRPr="008B4FE6" w:rsidRDefault="005401EF" w:rsidP="002B5F66">
            <w:pPr>
              <w:rPr>
                <w:color w:val="000000"/>
              </w:rPr>
            </w:pPr>
          </w:p>
          <w:p w14:paraId="6CFA055F" w14:textId="77777777" w:rsidR="005401EF" w:rsidRPr="008B4FE6" w:rsidRDefault="005401EF" w:rsidP="002B5F66">
            <w:pPr>
              <w:rPr>
                <w:color w:val="000000"/>
                <w:spacing w:val="-2"/>
              </w:rPr>
            </w:pPr>
            <w:r>
              <w:rPr>
                <w:rFonts w:ascii="MS Gothic" w:eastAsia="MS Gothic" w:hAnsi="MS Gothic" w:hint="eastAsia"/>
                <w:color w:val="000000"/>
              </w:rPr>
              <w:t>☐</w:t>
            </w:r>
            <w:r>
              <w:rPr>
                <w:color w:val="000000"/>
              </w:rPr>
              <w:t xml:space="preserve"> </w:t>
            </w:r>
            <w:r w:rsidRPr="008B4FE6">
              <w:rPr>
                <w:color w:val="000000"/>
                <w:spacing w:val="-2"/>
              </w:rPr>
              <w:t>środowisko naturalne</w:t>
            </w:r>
          </w:p>
          <w:p w14:paraId="4EACFBF5" w14:textId="77777777" w:rsidR="005401EF" w:rsidRDefault="005401EF" w:rsidP="002B5F66">
            <w:pPr>
              <w:rPr>
                <w:color w:val="000000"/>
              </w:rPr>
            </w:pPr>
            <w:r>
              <w:rPr>
                <w:rFonts w:ascii="MS Gothic" w:eastAsia="MS Gothic" w:hAnsi="MS Gothic" w:hint="eastAsia"/>
                <w:color w:val="000000"/>
              </w:rPr>
              <w:t>☐</w:t>
            </w:r>
            <w:r>
              <w:rPr>
                <w:color w:val="000000"/>
              </w:rPr>
              <w:t xml:space="preserve"> </w:t>
            </w:r>
            <w:r w:rsidRPr="008B4FE6">
              <w:rPr>
                <w:color w:val="000000"/>
              </w:rPr>
              <w:t>sytuacja i rozwój regionalny</w:t>
            </w:r>
          </w:p>
          <w:p w14:paraId="5D4AB5F3" w14:textId="77777777" w:rsidR="005401EF" w:rsidRPr="008B4FE6" w:rsidRDefault="005401EF" w:rsidP="002B5F66">
            <w:pPr>
              <w:rPr>
                <w:color w:val="000000"/>
                <w:spacing w:val="-2"/>
              </w:rPr>
            </w:pPr>
            <w:r>
              <w:rPr>
                <w:rFonts w:ascii="MS Gothic" w:eastAsia="MS Gothic" w:hAnsi="MS Gothic" w:hint="eastAsia"/>
                <w:color w:val="000000"/>
                <w:spacing w:val="-2"/>
              </w:rPr>
              <w:t>☐</w:t>
            </w:r>
            <w:r>
              <w:rPr>
                <w:color w:val="000000"/>
                <w:spacing w:val="-2"/>
              </w:rPr>
              <w:t xml:space="preserve"> </w:t>
            </w:r>
            <w:r w:rsidRPr="008B4FE6">
              <w:rPr>
                <w:color w:val="000000"/>
                <w:spacing w:val="-2"/>
              </w:rPr>
              <w:t xml:space="preserve">inne: </w:t>
            </w:r>
            <w:r>
              <w:rPr>
                <w:color w:val="000000"/>
              </w:rPr>
              <w:t>…</w:t>
            </w:r>
          </w:p>
        </w:tc>
        <w:tc>
          <w:tcPr>
            <w:tcW w:w="3687" w:type="dxa"/>
            <w:gridSpan w:val="15"/>
            <w:shd w:val="clear" w:color="auto" w:fill="FFFFFF"/>
          </w:tcPr>
          <w:p w14:paraId="16332437" w14:textId="77777777" w:rsidR="005401EF" w:rsidRPr="008B4FE6" w:rsidRDefault="005401EF" w:rsidP="002B5F66">
            <w:pPr>
              <w:rPr>
                <w:color w:val="000000"/>
              </w:rPr>
            </w:pPr>
          </w:p>
          <w:p w14:paraId="43010BE6" w14:textId="77777777" w:rsidR="005401EF" w:rsidRPr="008B4FE6" w:rsidRDefault="005401EF" w:rsidP="002B5F66">
            <w:pPr>
              <w:rPr>
                <w:color w:val="000000"/>
                <w:spacing w:val="-2"/>
              </w:rPr>
            </w:pPr>
            <w:r>
              <w:rPr>
                <w:rFonts w:ascii="MS Gothic" w:eastAsia="MS Gothic" w:hAnsi="MS Gothic" w:hint="eastAsia"/>
                <w:color w:val="000000"/>
                <w:spacing w:val="-2"/>
              </w:rPr>
              <w:t>☐</w:t>
            </w:r>
            <w:r>
              <w:rPr>
                <w:color w:val="000000"/>
                <w:spacing w:val="-2"/>
              </w:rPr>
              <w:t xml:space="preserve"> </w:t>
            </w:r>
            <w:r w:rsidRPr="008B4FE6">
              <w:rPr>
                <w:color w:val="000000"/>
                <w:spacing w:val="-2"/>
              </w:rPr>
              <w:t>demografia</w:t>
            </w:r>
          </w:p>
          <w:p w14:paraId="1A32600E" w14:textId="77777777" w:rsidR="005401EF" w:rsidRPr="008B4FE6" w:rsidRDefault="005401EF" w:rsidP="002B5F66">
            <w:pPr>
              <w:rPr>
                <w:color w:val="000000"/>
              </w:rPr>
            </w:pPr>
            <w:r>
              <w:rPr>
                <w:rFonts w:ascii="MS Gothic" w:eastAsia="MS Gothic" w:hAnsi="MS Gothic" w:hint="eastAsia"/>
                <w:color w:val="000000"/>
              </w:rPr>
              <w:t>☐</w:t>
            </w:r>
            <w:r>
              <w:rPr>
                <w:color w:val="000000"/>
              </w:rPr>
              <w:t xml:space="preserve"> mienie państwowe</w:t>
            </w:r>
          </w:p>
        </w:tc>
        <w:tc>
          <w:tcPr>
            <w:tcW w:w="3703" w:type="dxa"/>
            <w:gridSpan w:val="9"/>
            <w:shd w:val="clear" w:color="auto" w:fill="FFFFFF"/>
          </w:tcPr>
          <w:p w14:paraId="199BC956" w14:textId="77777777" w:rsidR="005401EF" w:rsidRPr="008B4FE6" w:rsidRDefault="005401EF" w:rsidP="002B5F66">
            <w:pPr>
              <w:rPr>
                <w:color w:val="000000"/>
              </w:rPr>
            </w:pPr>
          </w:p>
          <w:p w14:paraId="0887B054" w14:textId="77777777" w:rsidR="005401EF" w:rsidRDefault="005401EF" w:rsidP="002B5F66">
            <w:pPr>
              <w:rPr>
                <w:color w:val="000000"/>
                <w:spacing w:val="-2"/>
              </w:rPr>
            </w:pPr>
            <w:r>
              <w:rPr>
                <w:rFonts w:ascii="MS Gothic" w:eastAsia="MS Gothic" w:hAnsi="MS Gothic" w:hint="eastAsia"/>
                <w:color w:val="000000"/>
                <w:spacing w:val="-2"/>
              </w:rPr>
              <w:t>☐</w:t>
            </w:r>
            <w:r>
              <w:rPr>
                <w:color w:val="000000"/>
                <w:spacing w:val="-2"/>
              </w:rPr>
              <w:t xml:space="preserve"> </w:t>
            </w:r>
            <w:r w:rsidRPr="008B4FE6">
              <w:rPr>
                <w:color w:val="000000"/>
                <w:spacing w:val="-2"/>
              </w:rPr>
              <w:t>informatyzacja</w:t>
            </w:r>
          </w:p>
          <w:p w14:paraId="58842FF3" w14:textId="77777777" w:rsidR="005401EF" w:rsidRPr="008B4FE6" w:rsidRDefault="005401EF" w:rsidP="002B5F66">
            <w:pPr>
              <w:rPr>
                <w:color w:val="000000"/>
              </w:rPr>
            </w:pPr>
            <w:r>
              <w:rPr>
                <w:rFonts w:ascii="MS Gothic" w:eastAsia="MS Gothic" w:hAnsi="MS Gothic" w:hint="eastAsia"/>
                <w:color w:val="000000"/>
                <w:spacing w:val="-2"/>
              </w:rPr>
              <w:t>☐</w:t>
            </w:r>
            <w:r>
              <w:rPr>
                <w:color w:val="000000"/>
                <w:spacing w:val="-2"/>
              </w:rPr>
              <w:t xml:space="preserve"> zdrowie</w:t>
            </w:r>
          </w:p>
        </w:tc>
      </w:tr>
      <w:tr w:rsidR="005401EF" w:rsidRPr="008B4FE6" w14:paraId="38815123" w14:textId="77777777" w:rsidTr="00676C8D">
        <w:trPr>
          <w:gridAfter w:val="1"/>
          <w:wAfter w:w="10" w:type="dxa"/>
          <w:trHeight w:val="712"/>
        </w:trPr>
        <w:tc>
          <w:tcPr>
            <w:tcW w:w="2243" w:type="dxa"/>
            <w:gridSpan w:val="2"/>
            <w:shd w:val="clear" w:color="auto" w:fill="FFFFFF"/>
            <w:vAlign w:val="center"/>
          </w:tcPr>
          <w:p w14:paraId="761D2DF4" w14:textId="77777777" w:rsidR="005401EF" w:rsidRPr="008B4FE6" w:rsidRDefault="005401EF" w:rsidP="002B5F66">
            <w:pPr>
              <w:rPr>
                <w:color w:val="000000"/>
              </w:rPr>
            </w:pPr>
            <w:r w:rsidRPr="008B4FE6">
              <w:rPr>
                <w:color w:val="000000"/>
              </w:rPr>
              <w:t>Omówienie wpływu</w:t>
            </w:r>
          </w:p>
        </w:tc>
        <w:tc>
          <w:tcPr>
            <w:tcW w:w="8694" w:type="dxa"/>
            <w:gridSpan w:val="27"/>
            <w:shd w:val="clear" w:color="auto" w:fill="FFFFFF"/>
            <w:vAlign w:val="center"/>
          </w:tcPr>
          <w:p w14:paraId="5878D264" w14:textId="77777777" w:rsidR="005401EF" w:rsidRPr="00D05B78" w:rsidRDefault="005401EF" w:rsidP="002B5F66">
            <w:pPr>
              <w:rPr>
                <w:color w:val="000000"/>
                <w:spacing w:val="-2"/>
                <w:sz w:val="8"/>
                <w:szCs w:val="8"/>
              </w:rPr>
            </w:pPr>
          </w:p>
          <w:p w14:paraId="2E2C1DC5" w14:textId="3607996B" w:rsidR="005401EF" w:rsidRPr="008B4FE6" w:rsidRDefault="005401EF" w:rsidP="002B5F66">
            <w:pPr>
              <w:rPr>
                <w:color w:val="000000"/>
                <w:spacing w:val="-2"/>
              </w:rPr>
            </w:pPr>
            <w:r w:rsidRPr="00060AAA">
              <w:rPr>
                <w:color w:val="000000"/>
                <w:spacing w:val="-2"/>
              </w:rPr>
              <w:t>Wejście w życie ustawy nie wpły</w:t>
            </w:r>
            <w:r w:rsidR="00CE3799">
              <w:rPr>
                <w:color w:val="000000"/>
                <w:spacing w:val="-2"/>
              </w:rPr>
              <w:t xml:space="preserve">nie </w:t>
            </w:r>
            <w:r w:rsidRPr="00060AAA">
              <w:rPr>
                <w:color w:val="000000"/>
                <w:spacing w:val="-2"/>
              </w:rPr>
              <w:t>na sytuację i rozwój regionalny oraz pozostałe obszary wskazane w pkt 10.</w:t>
            </w:r>
          </w:p>
          <w:p w14:paraId="6D7EE76E" w14:textId="77777777" w:rsidR="005401EF" w:rsidRPr="00D05B78" w:rsidRDefault="005401EF" w:rsidP="002B5F66">
            <w:pPr>
              <w:rPr>
                <w:color w:val="000000"/>
                <w:spacing w:val="-2"/>
                <w:sz w:val="8"/>
                <w:szCs w:val="8"/>
              </w:rPr>
            </w:pPr>
          </w:p>
        </w:tc>
      </w:tr>
      <w:tr w:rsidR="005401EF" w:rsidRPr="008B4FE6" w14:paraId="6213D2DD" w14:textId="77777777" w:rsidTr="00676C8D">
        <w:trPr>
          <w:gridAfter w:val="1"/>
          <w:wAfter w:w="10" w:type="dxa"/>
          <w:trHeight w:val="142"/>
        </w:trPr>
        <w:tc>
          <w:tcPr>
            <w:tcW w:w="10937" w:type="dxa"/>
            <w:gridSpan w:val="29"/>
            <w:shd w:val="clear" w:color="auto" w:fill="99CCFF"/>
          </w:tcPr>
          <w:p w14:paraId="54126E07" w14:textId="6D4C9449" w:rsidR="005401EF" w:rsidRPr="00627221" w:rsidRDefault="00BE5F66" w:rsidP="00BE5F66">
            <w:pPr>
              <w:spacing w:before="60" w:after="60"/>
              <w:rPr>
                <w:b/>
              </w:rPr>
            </w:pPr>
            <w:r>
              <w:rPr>
                <w:b/>
                <w:spacing w:val="-2"/>
                <w:sz w:val="21"/>
                <w:szCs w:val="21"/>
              </w:rPr>
              <w:t xml:space="preserve">11. </w:t>
            </w:r>
            <w:r w:rsidR="005401EF">
              <w:rPr>
                <w:b/>
                <w:spacing w:val="-2"/>
                <w:sz w:val="21"/>
                <w:szCs w:val="21"/>
              </w:rPr>
              <w:t xml:space="preserve"> </w:t>
            </w:r>
            <w:r w:rsidR="005401EF" w:rsidRPr="00E20452">
              <w:rPr>
                <w:b/>
                <w:spacing w:val="-2"/>
                <w:sz w:val="21"/>
                <w:szCs w:val="21"/>
              </w:rPr>
              <w:t>Planowane wykonanie przepisów aktu prawnego</w:t>
            </w:r>
          </w:p>
        </w:tc>
      </w:tr>
      <w:tr w:rsidR="005401EF" w:rsidRPr="008B4FE6" w14:paraId="235067B5" w14:textId="77777777" w:rsidTr="00676C8D">
        <w:trPr>
          <w:gridAfter w:val="1"/>
          <w:wAfter w:w="10" w:type="dxa"/>
          <w:trHeight w:val="142"/>
        </w:trPr>
        <w:tc>
          <w:tcPr>
            <w:tcW w:w="10937" w:type="dxa"/>
            <w:gridSpan w:val="29"/>
            <w:shd w:val="clear" w:color="auto" w:fill="FFFFFF"/>
          </w:tcPr>
          <w:p w14:paraId="2D8D5DB3" w14:textId="24E4CEA9" w:rsidR="005401EF" w:rsidRPr="00FC5AC4" w:rsidRDefault="005401EF" w:rsidP="00CE3799">
            <w:pPr>
              <w:spacing w:before="120" w:after="160"/>
              <w:rPr>
                <w:szCs w:val="24"/>
              </w:rPr>
            </w:pPr>
            <w:r w:rsidRPr="003D0881">
              <w:rPr>
                <w:spacing w:val="-2"/>
              </w:rPr>
              <w:t xml:space="preserve">Planowane wykonanie przepisów ustawy nastąpi </w:t>
            </w:r>
            <w:r w:rsidR="00CE3799">
              <w:rPr>
                <w:spacing w:val="-2"/>
              </w:rPr>
              <w:t xml:space="preserve">z dniem jej </w:t>
            </w:r>
            <w:r w:rsidRPr="003D0881">
              <w:rPr>
                <w:spacing w:val="-2"/>
              </w:rPr>
              <w:t>wejści</w:t>
            </w:r>
            <w:r w:rsidR="00CE3799">
              <w:rPr>
                <w:spacing w:val="-2"/>
              </w:rPr>
              <w:t xml:space="preserve">a </w:t>
            </w:r>
            <w:r w:rsidRPr="003D0881">
              <w:rPr>
                <w:spacing w:val="-2"/>
              </w:rPr>
              <w:t xml:space="preserve">w życie. </w:t>
            </w:r>
          </w:p>
        </w:tc>
      </w:tr>
      <w:tr w:rsidR="005401EF" w:rsidRPr="008B4FE6" w14:paraId="53ABD0D8" w14:textId="77777777" w:rsidTr="00676C8D">
        <w:trPr>
          <w:gridAfter w:val="1"/>
          <w:wAfter w:w="10" w:type="dxa"/>
          <w:trHeight w:val="142"/>
        </w:trPr>
        <w:tc>
          <w:tcPr>
            <w:tcW w:w="10937" w:type="dxa"/>
            <w:gridSpan w:val="29"/>
            <w:shd w:val="clear" w:color="auto" w:fill="99CCFF"/>
          </w:tcPr>
          <w:p w14:paraId="5EA74FC3" w14:textId="701AE272" w:rsidR="005401EF" w:rsidRPr="008B4FE6" w:rsidRDefault="00BE5F66" w:rsidP="00BE5F66">
            <w:pPr>
              <w:spacing w:before="60" w:after="60"/>
              <w:rPr>
                <w:b/>
                <w:color w:val="000000"/>
              </w:rPr>
            </w:pPr>
            <w:r>
              <w:rPr>
                <w:b/>
                <w:color w:val="000000"/>
              </w:rPr>
              <w:t xml:space="preserve">12. </w:t>
            </w:r>
            <w:r w:rsidR="005401EF">
              <w:rPr>
                <w:b/>
                <w:spacing w:val="-2"/>
                <w:sz w:val="21"/>
                <w:szCs w:val="21"/>
              </w:rPr>
              <w:t xml:space="preserve">W jaki sposób i kiedy </w:t>
            </w:r>
            <w:r w:rsidR="005401EF" w:rsidRPr="0063060B">
              <w:rPr>
                <w:b/>
                <w:spacing w:val="-2"/>
                <w:sz w:val="21"/>
                <w:szCs w:val="21"/>
              </w:rPr>
              <w:t xml:space="preserve">nastąpi ewaluacja efektów projektu </w:t>
            </w:r>
            <w:r w:rsidR="005401EF">
              <w:rPr>
                <w:b/>
                <w:spacing w:val="-2"/>
                <w:sz w:val="21"/>
                <w:szCs w:val="21"/>
              </w:rPr>
              <w:t>oraz</w:t>
            </w:r>
            <w:r w:rsidR="005401EF" w:rsidRPr="0063060B">
              <w:rPr>
                <w:b/>
                <w:spacing w:val="-2"/>
                <w:sz w:val="21"/>
                <w:szCs w:val="21"/>
              </w:rPr>
              <w:t xml:space="preserve"> jakie mierniki zostaną zastosowane</w:t>
            </w:r>
            <w:r w:rsidR="005401EF">
              <w:rPr>
                <w:b/>
                <w:spacing w:val="-2"/>
                <w:sz w:val="21"/>
                <w:szCs w:val="21"/>
              </w:rPr>
              <w:t>?</w:t>
            </w:r>
          </w:p>
        </w:tc>
      </w:tr>
      <w:tr w:rsidR="005401EF" w:rsidRPr="008B4FE6" w14:paraId="44771932" w14:textId="77777777" w:rsidTr="00676C8D">
        <w:trPr>
          <w:gridAfter w:val="1"/>
          <w:wAfter w:w="10" w:type="dxa"/>
          <w:trHeight w:val="142"/>
        </w:trPr>
        <w:tc>
          <w:tcPr>
            <w:tcW w:w="10937" w:type="dxa"/>
            <w:gridSpan w:val="29"/>
            <w:shd w:val="clear" w:color="auto" w:fill="FFFFFF"/>
          </w:tcPr>
          <w:p w14:paraId="6A71DA33" w14:textId="38641F5D" w:rsidR="005401EF" w:rsidRPr="007070E6" w:rsidRDefault="00CE3799" w:rsidP="002B5F66">
            <w:pPr>
              <w:rPr>
                <w:spacing w:val="-2"/>
              </w:rPr>
            </w:pPr>
            <w:r>
              <w:rPr>
                <w:spacing w:val="-2"/>
              </w:rPr>
              <w:t>Ewaluacja efektów projektu będzie dokonywana</w:t>
            </w:r>
            <w:r w:rsidR="00DC09BD">
              <w:rPr>
                <w:spacing w:val="-2"/>
              </w:rPr>
              <w:t xml:space="preserve"> </w:t>
            </w:r>
            <w:r w:rsidR="009D14F0">
              <w:rPr>
                <w:spacing w:val="-2"/>
              </w:rPr>
              <w:t xml:space="preserve">przez Komisję Nadzoru Finansowego w ramach </w:t>
            </w:r>
            <w:r w:rsidR="009D14F0" w:rsidRPr="007070E6">
              <w:rPr>
                <w:spacing w:val="-2"/>
              </w:rPr>
              <w:t xml:space="preserve">prowadzonych </w:t>
            </w:r>
            <w:r w:rsidR="009D14F0">
              <w:rPr>
                <w:spacing w:val="-2"/>
              </w:rPr>
              <w:t>działań nadzorczych</w:t>
            </w:r>
            <w:r>
              <w:rPr>
                <w:spacing w:val="-2"/>
              </w:rPr>
              <w:t>.</w:t>
            </w:r>
          </w:p>
          <w:p w14:paraId="2CCCB637" w14:textId="77777777" w:rsidR="005401EF" w:rsidRPr="00D05B78" w:rsidRDefault="005401EF" w:rsidP="002B5F66">
            <w:pPr>
              <w:rPr>
                <w:color w:val="000000"/>
                <w:spacing w:val="-2"/>
                <w:sz w:val="8"/>
                <w:szCs w:val="8"/>
              </w:rPr>
            </w:pPr>
          </w:p>
        </w:tc>
      </w:tr>
      <w:tr w:rsidR="005401EF" w:rsidRPr="008B4FE6" w14:paraId="4EC5D686" w14:textId="77777777" w:rsidTr="00676C8D">
        <w:trPr>
          <w:gridAfter w:val="1"/>
          <w:wAfter w:w="10" w:type="dxa"/>
          <w:trHeight w:val="142"/>
        </w:trPr>
        <w:tc>
          <w:tcPr>
            <w:tcW w:w="10937" w:type="dxa"/>
            <w:gridSpan w:val="29"/>
            <w:shd w:val="clear" w:color="auto" w:fill="99CCFF"/>
          </w:tcPr>
          <w:p w14:paraId="280E7C5D" w14:textId="1E47792E" w:rsidR="005401EF" w:rsidRPr="008B4FE6" w:rsidRDefault="00452A66" w:rsidP="00452A66">
            <w:pPr>
              <w:spacing w:before="60" w:after="60"/>
              <w:rPr>
                <w:b/>
                <w:color w:val="000000"/>
                <w:spacing w:val="-2"/>
              </w:rPr>
            </w:pPr>
            <w:r>
              <w:rPr>
                <w:b/>
                <w:color w:val="000000"/>
                <w:spacing w:val="-2"/>
              </w:rPr>
              <w:t>13</w:t>
            </w:r>
            <w:r w:rsidR="00BE5F66">
              <w:rPr>
                <w:b/>
                <w:color w:val="000000"/>
                <w:spacing w:val="-2"/>
              </w:rPr>
              <w:t xml:space="preserve">. </w:t>
            </w:r>
            <w:r w:rsidR="005401EF" w:rsidRPr="008B4FE6">
              <w:rPr>
                <w:b/>
                <w:color w:val="000000"/>
                <w:spacing w:val="-2"/>
              </w:rPr>
              <w:t xml:space="preserve">Załączniki </w:t>
            </w:r>
            <w:r w:rsidR="005401EF" w:rsidRPr="0063060B">
              <w:rPr>
                <w:b/>
                <w:spacing w:val="-2"/>
                <w:sz w:val="21"/>
                <w:szCs w:val="21"/>
              </w:rPr>
              <w:t>(</w:t>
            </w:r>
            <w:r w:rsidR="005401EF">
              <w:rPr>
                <w:b/>
                <w:spacing w:val="-2"/>
                <w:sz w:val="21"/>
                <w:szCs w:val="21"/>
              </w:rPr>
              <w:t xml:space="preserve">istotne </w:t>
            </w:r>
            <w:r w:rsidR="005401EF" w:rsidRPr="0063060B">
              <w:rPr>
                <w:b/>
                <w:spacing w:val="-2"/>
                <w:sz w:val="21"/>
                <w:szCs w:val="21"/>
              </w:rPr>
              <w:t>dokumenty źródłowe,</w:t>
            </w:r>
            <w:r w:rsidR="005401EF">
              <w:rPr>
                <w:b/>
                <w:spacing w:val="-2"/>
                <w:sz w:val="21"/>
                <w:szCs w:val="21"/>
              </w:rPr>
              <w:t xml:space="preserve"> badania, analizy itp.</w:t>
            </w:r>
            <w:r w:rsidR="005401EF" w:rsidRPr="008B4FE6">
              <w:rPr>
                <w:b/>
                <w:color w:val="000000"/>
                <w:spacing w:val="-2"/>
              </w:rPr>
              <w:t xml:space="preserve">) </w:t>
            </w:r>
          </w:p>
        </w:tc>
      </w:tr>
      <w:tr w:rsidR="005401EF" w:rsidRPr="008B4FE6" w14:paraId="5C552EC0" w14:textId="77777777" w:rsidTr="00676C8D">
        <w:trPr>
          <w:gridAfter w:val="1"/>
          <w:wAfter w:w="10" w:type="dxa"/>
          <w:trHeight w:val="142"/>
        </w:trPr>
        <w:tc>
          <w:tcPr>
            <w:tcW w:w="10937" w:type="dxa"/>
            <w:gridSpan w:val="29"/>
            <w:shd w:val="clear" w:color="auto" w:fill="FFFFFF"/>
          </w:tcPr>
          <w:p w14:paraId="6B8D5E2F" w14:textId="77777777" w:rsidR="005401EF" w:rsidRDefault="005401EF" w:rsidP="00274801">
            <w:r>
              <w:t>Brak</w:t>
            </w:r>
          </w:p>
          <w:p w14:paraId="29632A29" w14:textId="77777777" w:rsidR="005401EF" w:rsidRPr="00AD684E" w:rsidRDefault="005401EF" w:rsidP="00274801"/>
        </w:tc>
      </w:tr>
    </w:tbl>
    <w:p w14:paraId="4AEF5D02" w14:textId="77777777" w:rsidR="005401EF" w:rsidRPr="00522D94" w:rsidRDefault="005401EF" w:rsidP="007070E6">
      <w:pPr>
        <w:pStyle w:val="Nagwek1"/>
        <w:rPr>
          <w:sz w:val="20"/>
          <w:szCs w:val="20"/>
        </w:rPr>
      </w:pPr>
    </w:p>
    <w:sectPr w:rsidR="005401EF"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57A73" w14:textId="77777777" w:rsidR="00AF7C76" w:rsidRDefault="00AF7C76" w:rsidP="00044739">
      <w:r>
        <w:separator/>
      </w:r>
    </w:p>
  </w:endnote>
  <w:endnote w:type="continuationSeparator" w:id="0">
    <w:p w14:paraId="04008492" w14:textId="77777777" w:rsidR="00AF7C76" w:rsidRDefault="00AF7C76" w:rsidP="00044739">
      <w:r>
        <w:continuationSeparator/>
      </w:r>
    </w:p>
  </w:endnote>
  <w:endnote w:type="continuationNotice" w:id="1">
    <w:p w14:paraId="19928C7E" w14:textId="77777777" w:rsidR="00AF7C76" w:rsidRDefault="00AF7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ui_b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B1F28" w14:textId="77777777" w:rsidR="00AF7C76" w:rsidRDefault="00AF7C76" w:rsidP="00044739">
      <w:r>
        <w:separator/>
      </w:r>
    </w:p>
  </w:footnote>
  <w:footnote w:type="continuationSeparator" w:id="0">
    <w:p w14:paraId="1421B394" w14:textId="77777777" w:rsidR="00AF7C76" w:rsidRDefault="00AF7C76" w:rsidP="00044739">
      <w:r>
        <w:continuationSeparator/>
      </w:r>
    </w:p>
  </w:footnote>
  <w:footnote w:type="continuationNotice" w:id="1">
    <w:p w14:paraId="5F4EB502" w14:textId="77777777" w:rsidR="00AF7C76" w:rsidRDefault="00AF7C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D411700"/>
    <w:multiLevelType w:val="hybridMultilevel"/>
    <w:tmpl w:val="3502D40A"/>
    <w:lvl w:ilvl="0" w:tplc="DA9E7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01D107D"/>
    <w:multiLevelType w:val="hybridMultilevel"/>
    <w:tmpl w:val="7194C10C"/>
    <w:lvl w:ilvl="0" w:tplc="DA9E71FE">
      <w:start w:val="1"/>
      <w:numFmt w:val="bullet"/>
      <w:lvlText w:val="-"/>
      <w:lvlJc w:val="left"/>
      <w:pPr>
        <w:ind w:left="778" w:hanging="360"/>
      </w:pPr>
      <w:rPr>
        <w:rFonts w:ascii="Courier New" w:hAnsi="Courier New"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 w15:restartNumberingAfterBreak="0">
    <w:nsid w:val="60EA29DC"/>
    <w:multiLevelType w:val="hybridMultilevel"/>
    <w:tmpl w:val="C2469C1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2045AD9"/>
    <w:multiLevelType w:val="hybridMultilevel"/>
    <w:tmpl w:val="1B4A423E"/>
    <w:lvl w:ilvl="0" w:tplc="DA9E7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2295BA8"/>
    <w:multiLevelType w:val="hybridMultilevel"/>
    <w:tmpl w:val="EBBE916A"/>
    <w:lvl w:ilvl="0" w:tplc="DA9E71FE">
      <w:start w:val="1"/>
      <w:numFmt w:val="bullet"/>
      <w:lvlText w:val="-"/>
      <w:lvlJc w:val="left"/>
      <w:pPr>
        <w:ind w:left="778" w:hanging="360"/>
      </w:pPr>
      <w:rPr>
        <w:rFonts w:ascii="Courier New" w:hAnsi="Courier New"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6" w15:restartNumberingAfterBreak="0">
    <w:nsid w:val="76352DCA"/>
    <w:multiLevelType w:val="hybridMultilevel"/>
    <w:tmpl w:val="A8F08030"/>
    <w:lvl w:ilvl="0" w:tplc="04150011">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77B36743"/>
    <w:multiLevelType w:val="hybridMultilevel"/>
    <w:tmpl w:val="6EC883CE"/>
    <w:lvl w:ilvl="0" w:tplc="DA9E7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4"/>
  </w:num>
  <w:num w:numId="6">
    <w:abstractNumId w:val="1"/>
  </w:num>
  <w:num w:numId="7">
    <w:abstractNumId w:val="5"/>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cumentProtection w:edit="forms" w:formatting="1" w:enforcement="0"/>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1F6F"/>
    <w:rsid w:val="000022D5"/>
    <w:rsid w:val="00003126"/>
    <w:rsid w:val="00004C6A"/>
    <w:rsid w:val="00004C6C"/>
    <w:rsid w:val="00007DD0"/>
    <w:rsid w:val="000114BC"/>
    <w:rsid w:val="000120C8"/>
    <w:rsid w:val="00012D11"/>
    <w:rsid w:val="00013EB5"/>
    <w:rsid w:val="00013F2A"/>
    <w:rsid w:val="0001469B"/>
    <w:rsid w:val="00017D75"/>
    <w:rsid w:val="00020245"/>
    <w:rsid w:val="0002054E"/>
    <w:rsid w:val="00020C4F"/>
    <w:rsid w:val="000223C6"/>
    <w:rsid w:val="00022CF1"/>
    <w:rsid w:val="00023836"/>
    <w:rsid w:val="00023B83"/>
    <w:rsid w:val="00024401"/>
    <w:rsid w:val="00024B2B"/>
    <w:rsid w:val="00025590"/>
    <w:rsid w:val="00026FB3"/>
    <w:rsid w:val="000308EE"/>
    <w:rsid w:val="00033472"/>
    <w:rsid w:val="000356A9"/>
    <w:rsid w:val="00035740"/>
    <w:rsid w:val="00036E63"/>
    <w:rsid w:val="0004139F"/>
    <w:rsid w:val="00042D29"/>
    <w:rsid w:val="00043492"/>
    <w:rsid w:val="000439C4"/>
    <w:rsid w:val="00044138"/>
    <w:rsid w:val="000442FC"/>
    <w:rsid w:val="00044739"/>
    <w:rsid w:val="000461C3"/>
    <w:rsid w:val="00047287"/>
    <w:rsid w:val="00051637"/>
    <w:rsid w:val="000523F3"/>
    <w:rsid w:val="00055026"/>
    <w:rsid w:val="000557FB"/>
    <w:rsid w:val="00056681"/>
    <w:rsid w:val="00060AAA"/>
    <w:rsid w:val="00062D04"/>
    <w:rsid w:val="00063987"/>
    <w:rsid w:val="000648A7"/>
    <w:rsid w:val="0006618B"/>
    <w:rsid w:val="000670C0"/>
    <w:rsid w:val="0006782B"/>
    <w:rsid w:val="000707F2"/>
    <w:rsid w:val="00071B99"/>
    <w:rsid w:val="00074809"/>
    <w:rsid w:val="000756E5"/>
    <w:rsid w:val="0007704E"/>
    <w:rsid w:val="00080EC8"/>
    <w:rsid w:val="0008237E"/>
    <w:rsid w:val="00082A87"/>
    <w:rsid w:val="00083FB8"/>
    <w:rsid w:val="0008446E"/>
    <w:rsid w:val="00084620"/>
    <w:rsid w:val="00090754"/>
    <w:rsid w:val="00090C45"/>
    <w:rsid w:val="00091FA3"/>
    <w:rsid w:val="0009251B"/>
    <w:rsid w:val="00092C7C"/>
    <w:rsid w:val="0009449E"/>
    <w:rsid w:val="000944AC"/>
    <w:rsid w:val="00094CB9"/>
    <w:rsid w:val="000956B2"/>
    <w:rsid w:val="00096335"/>
    <w:rsid w:val="000969E7"/>
    <w:rsid w:val="00097A4E"/>
    <w:rsid w:val="000A0AEE"/>
    <w:rsid w:val="000A1207"/>
    <w:rsid w:val="000A23DE"/>
    <w:rsid w:val="000A3841"/>
    <w:rsid w:val="000A4020"/>
    <w:rsid w:val="000A4BF9"/>
    <w:rsid w:val="000B20EB"/>
    <w:rsid w:val="000B4B08"/>
    <w:rsid w:val="000B54FB"/>
    <w:rsid w:val="000C0674"/>
    <w:rsid w:val="000C0AB6"/>
    <w:rsid w:val="000C29B0"/>
    <w:rsid w:val="000C2F24"/>
    <w:rsid w:val="000C5201"/>
    <w:rsid w:val="000C76FC"/>
    <w:rsid w:val="000D282A"/>
    <w:rsid w:val="000D3139"/>
    <w:rsid w:val="000D38FC"/>
    <w:rsid w:val="000D417E"/>
    <w:rsid w:val="000D4D90"/>
    <w:rsid w:val="000D53B0"/>
    <w:rsid w:val="000E0808"/>
    <w:rsid w:val="000E14FD"/>
    <w:rsid w:val="000E24BB"/>
    <w:rsid w:val="000E2D10"/>
    <w:rsid w:val="000E3825"/>
    <w:rsid w:val="000E4410"/>
    <w:rsid w:val="000E5ED3"/>
    <w:rsid w:val="000E72F8"/>
    <w:rsid w:val="000E74FC"/>
    <w:rsid w:val="000E7AC7"/>
    <w:rsid w:val="000F0ECD"/>
    <w:rsid w:val="000F1044"/>
    <w:rsid w:val="000F1BB5"/>
    <w:rsid w:val="000F3204"/>
    <w:rsid w:val="000F5972"/>
    <w:rsid w:val="000F76FD"/>
    <w:rsid w:val="001003E2"/>
    <w:rsid w:val="0010048D"/>
    <w:rsid w:val="00100E27"/>
    <w:rsid w:val="00102083"/>
    <w:rsid w:val="0010359C"/>
    <w:rsid w:val="0010548B"/>
    <w:rsid w:val="001072D1"/>
    <w:rsid w:val="00113E50"/>
    <w:rsid w:val="00114F6E"/>
    <w:rsid w:val="00115315"/>
    <w:rsid w:val="00116402"/>
    <w:rsid w:val="00116650"/>
    <w:rsid w:val="00117017"/>
    <w:rsid w:val="00117F1B"/>
    <w:rsid w:val="001216AC"/>
    <w:rsid w:val="00122CC4"/>
    <w:rsid w:val="00123EF3"/>
    <w:rsid w:val="00127299"/>
    <w:rsid w:val="00130E8E"/>
    <w:rsid w:val="00131444"/>
    <w:rsid w:val="0013216E"/>
    <w:rsid w:val="00133576"/>
    <w:rsid w:val="0013370C"/>
    <w:rsid w:val="00135913"/>
    <w:rsid w:val="00137D41"/>
    <w:rsid w:val="001401B5"/>
    <w:rsid w:val="001422B9"/>
    <w:rsid w:val="00143B19"/>
    <w:rsid w:val="00143BAF"/>
    <w:rsid w:val="00144379"/>
    <w:rsid w:val="001443A8"/>
    <w:rsid w:val="0014665F"/>
    <w:rsid w:val="00146E25"/>
    <w:rsid w:val="00147D1F"/>
    <w:rsid w:val="00150131"/>
    <w:rsid w:val="0015013F"/>
    <w:rsid w:val="001518CF"/>
    <w:rsid w:val="00152E02"/>
    <w:rsid w:val="00153464"/>
    <w:rsid w:val="00153F05"/>
    <w:rsid w:val="001541B3"/>
    <w:rsid w:val="00155B15"/>
    <w:rsid w:val="001570C6"/>
    <w:rsid w:val="001571E5"/>
    <w:rsid w:val="001576CB"/>
    <w:rsid w:val="001625BE"/>
    <w:rsid w:val="001629AF"/>
    <w:rsid w:val="001633BD"/>
    <w:rsid w:val="00163E0B"/>
    <w:rsid w:val="001643A4"/>
    <w:rsid w:val="00165C69"/>
    <w:rsid w:val="00170C21"/>
    <w:rsid w:val="00171534"/>
    <w:rsid w:val="00171B5E"/>
    <w:rsid w:val="001727BB"/>
    <w:rsid w:val="00172F65"/>
    <w:rsid w:val="0017302A"/>
    <w:rsid w:val="0017695F"/>
    <w:rsid w:val="00180371"/>
    <w:rsid w:val="00180D06"/>
    <w:rsid w:val="00180D25"/>
    <w:rsid w:val="001812C7"/>
    <w:rsid w:val="0018318D"/>
    <w:rsid w:val="00184968"/>
    <w:rsid w:val="0018572C"/>
    <w:rsid w:val="00187E79"/>
    <w:rsid w:val="00187F0D"/>
    <w:rsid w:val="001908D1"/>
    <w:rsid w:val="00192CC5"/>
    <w:rsid w:val="001943DF"/>
    <w:rsid w:val="00195594"/>
    <w:rsid w:val="001956A7"/>
    <w:rsid w:val="00195BED"/>
    <w:rsid w:val="00195CFB"/>
    <w:rsid w:val="0019627B"/>
    <w:rsid w:val="00196AD1"/>
    <w:rsid w:val="00196DCA"/>
    <w:rsid w:val="001972A4"/>
    <w:rsid w:val="00197C5B"/>
    <w:rsid w:val="001A07E1"/>
    <w:rsid w:val="001A118A"/>
    <w:rsid w:val="001A27F4"/>
    <w:rsid w:val="001A2D95"/>
    <w:rsid w:val="001A3A53"/>
    <w:rsid w:val="001A4F6E"/>
    <w:rsid w:val="001A5992"/>
    <w:rsid w:val="001A5FDA"/>
    <w:rsid w:val="001A68F7"/>
    <w:rsid w:val="001A7074"/>
    <w:rsid w:val="001B0298"/>
    <w:rsid w:val="001B07CA"/>
    <w:rsid w:val="001B1D2C"/>
    <w:rsid w:val="001B3438"/>
    <w:rsid w:val="001B3460"/>
    <w:rsid w:val="001B4CA1"/>
    <w:rsid w:val="001B574C"/>
    <w:rsid w:val="001B75D8"/>
    <w:rsid w:val="001C1060"/>
    <w:rsid w:val="001C3C63"/>
    <w:rsid w:val="001C5F17"/>
    <w:rsid w:val="001C6EEA"/>
    <w:rsid w:val="001C790B"/>
    <w:rsid w:val="001D048E"/>
    <w:rsid w:val="001D2088"/>
    <w:rsid w:val="001D23D7"/>
    <w:rsid w:val="001D2644"/>
    <w:rsid w:val="001D4732"/>
    <w:rsid w:val="001D5276"/>
    <w:rsid w:val="001D6A3C"/>
    <w:rsid w:val="001D6D51"/>
    <w:rsid w:val="001D6FB4"/>
    <w:rsid w:val="001E08B6"/>
    <w:rsid w:val="001E4385"/>
    <w:rsid w:val="001E4895"/>
    <w:rsid w:val="001E53F4"/>
    <w:rsid w:val="001E541D"/>
    <w:rsid w:val="001E5E3F"/>
    <w:rsid w:val="001F2380"/>
    <w:rsid w:val="001F5348"/>
    <w:rsid w:val="001F653A"/>
    <w:rsid w:val="001F6979"/>
    <w:rsid w:val="001F6CE7"/>
    <w:rsid w:val="0020293F"/>
    <w:rsid w:val="00202BC6"/>
    <w:rsid w:val="002035FD"/>
    <w:rsid w:val="00203726"/>
    <w:rsid w:val="00205141"/>
    <w:rsid w:val="0020516B"/>
    <w:rsid w:val="00205F88"/>
    <w:rsid w:val="00207067"/>
    <w:rsid w:val="00207828"/>
    <w:rsid w:val="002108F6"/>
    <w:rsid w:val="00211767"/>
    <w:rsid w:val="002122B6"/>
    <w:rsid w:val="00213559"/>
    <w:rsid w:val="00213A6D"/>
    <w:rsid w:val="00213EFD"/>
    <w:rsid w:val="00214A23"/>
    <w:rsid w:val="002151CB"/>
    <w:rsid w:val="002172F1"/>
    <w:rsid w:val="0022057F"/>
    <w:rsid w:val="002210FF"/>
    <w:rsid w:val="00221C6F"/>
    <w:rsid w:val="00222816"/>
    <w:rsid w:val="002238DD"/>
    <w:rsid w:val="00223C7B"/>
    <w:rsid w:val="00224AB1"/>
    <w:rsid w:val="00224FBB"/>
    <w:rsid w:val="0022548C"/>
    <w:rsid w:val="0022687A"/>
    <w:rsid w:val="00230728"/>
    <w:rsid w:val="00234040"/>
    <w:rsid w:val="0023574E"/>
    <w:rsid w:val="00235CD2"/>
    <w:rsid w:val="002368E1"/>
    <w:rsid w:val="00236D5A"/>
    <w:rsid w:val="002370A2"/>
    <w:rsid w:val="00240660"/>
    <w:rsid w:val="002415C2"/>
    <w:rsid w:val="00244513"/>
    <w:rsid w:val="0024605E"/>
    <w:rsid w:val="0024793F"/>
    <w:rsid w:val="00247E87"/>
    <w:rsid w:val="00251041"/>
    <w:rsid w:val="00252BD5"/>
    <w:rsid w:val="00253E87"/>
    <w:rsid w:val="00254797"/>
    <w:rsid w:val="00254DED"/>
    <w:rsid w:val="00255619"/>
    <w:rsid w:val="00255DAD"/>
    <w:rsid w:val="00256108"/>
    <w:rsid w:val="00257293"/>
    <w:rsid w:val="0025755D"/>
    <w:rsid w:val="00260F33"/>
    <w:rsid w:val="002613BD"/>
    <w:rsid w:val="0026200B"/>
    <w:rsid w:val="00262244"/>
    <w:rsid w:val="002624F1"/>
    <w:rsid w:val="002631B2"/>
    <w:rsid w:val="0026482C"/>
    <w:rsid w:val="0027073D"/>
    <w:rsid w:val="00270842"/>
    <w:rsid w:val="00270C81"/>
    <w:rsid w:val="00271120"/>
    <w:rsid w:val="00271558"/>
    <w:rsid w:val="002716D8"/>
    <w:rsid w:val="00271A33"/>
    <w:rsid w:val="002733EB"/>
    <w:rsid w:val="00274801"/>
    <w:rsid w:val="00274862"/>
    <w:rsid w:val="002750A0"/>
    <w:rsid w:val="00276147"/>
    <w:rsid w:val="00282D72"/>
    <w:rsid w:val="00283402"/>
    <w:rsid w:val="0028619B"/>
    <w:rsid w:val="00287219"/>
    <w:rsid w:val="002904B3"/>
    <w:rsid w:val="00290FD6"/>
    <w:rsid w:val="002940D9"/>
    <w:rsid w:val="00294259"/>
    <w:rsid w:val="00294EAC"/>
    <w:rsid w:val="00295BC3"/>
    <w:rsid w:val="00296C13"/>
    <w:rsid w:val="002A084C"/>
    <w:rsid w:val="002A0A65"/>
    <w:rsid w:val="002A0E7A"/>
    <w:rsid w:val="002A1F15"/>
    <w:rsid w:val="002A2C81"/>
    <w:rsid w:val="002A30AA"/>
    <w:rsid w:val="002A450D"/>
    <w:rsid w:val="002A47FF"/>
    <w:rsid w:val="002A6517"/>
    <w:rsid w:val="002B2022"/>
    <w:rsid w:val="002B25C8"/>
    <w:rsid w:val="002B3D1A"/>
    <w:rsid w:val="002B5258"/>
    <w:rsid w:val="002B540A"/>
    <w:rsid w:val="002B55EA"/>
    <w:rsid w:val="002B5779"/>
    <w:rsid w:val="002B5F66"/>
    <w:rsid w:val="002B6EED"/>
    <w:rsid w:val="002B74B0"/>
    <w:rsid w:val="002C0260"/>
    <w:rsid w:val="002C0509"/>
    <w:rsid w:val="002C0FB3"/>
    <w:rsid w:val="002C27D0"/>
    <w:rsid w:val="002C2A4A"/>
    <w:rsid w:val="002C2C9B"/>
    <w:rsid w:val="002C356F"/>
    <w:rsid w:val="002C51ED"/>
    <w:rsid w:val="002C62B6"/>
    <w:rsid w:val="002C6991"/>
    <w:rsid w:val="002D17D6"/>
    <w:rsid w:val="002D18D7"/>
    <w:rsid w:val="002D19ED"/>
    <w:rsid w:val="002D21CE"/>
    <w:rsid w:val="002D3BFE"/>
    <w:rsid w:val="002D3F00"/>
    <w:rsid w:val="002D4803"/>
    <w:rsid w:val="002D7DB5"/>
    <w:rsid w:val="002E08EA"/>
    <w:rsid w:val="002E2466"/>
    <w:rsid w:val="002E36B5"/>
    <w:rsid w:val="002E3DA3"/>
    <w:rsid w:val="002E3FCC"/>
    <w:rsid w:val="002E450F"/>
    <w:rsid w:val="002E451D"/>
    <w:rsid w:val="002E5799"/>
    <w:rsid w:val="002E6B38"/>
    <w:rsid w:val="002E6BF6"/>
    <w:rsid w:val="002E6D63"/>
    <w:rsid w:val="002E6E2B"/>
    <w:rsid w:val="002F1859"/>
    <w:rsid w:val="002F4ED6"/>
    <w:rsid w:val="002F500B"/>
    <w:rsid w:val="002F6605"/>
    <w:rsid w:val="00300133"/>
    <w:rsid w:val="00300991"/>
    <w:rsid w:val="00300E11"/>
    <w:rsid w:val="00301959"/>
    <w:rsid w:val="00302D15"/>
    <w:rsid w:val="00304931"/>
    <w:rsid w:val="00305148"/>
    <w:rsid w:val="00305B8A"/>
    <w:rsid w:val="00306FAE"/>
    <w:rsid w:val="00311F57"/>
    <w:rsid w:val="00315D97"/>
    <w:rsid w:val="00316341"/>
    <w:rsid w:val="003168C0"/>
    <w:rsid w:val="0032073B"/>
    <w:rsid w:val="00321A63"/>
    <w:rsid w:val="00324AB7"/>
    <w:rsid w:val="00326359"/>
    <w:rsid w:val="00327820"/>
    <w:rsid w:val="003302D9"/>
    <w:rsid w:val="003307BE"/>
    <w:rsid w:val="00331BF9"/>
    <w:rsid w:val="00331C80"/>
    <w:rsid w:val="00332F2B"/>
    <w:rsid w:val="003344E7"/>
    <w:rsid w:val="0033495E"/>
    <w:rsid w:val="00334A79"/>
    <w:rsid w:val="00334D8D"/>
    <w:rsid w:val="00334F7F"/>
    <w:rsid w:val="00335465"/>
    <w:rsid w:val="00335804"/>
    <w:rsid w:val="00336C66"/>
    <w:rsid w:val="00337345"/>
    <w:rsid w:val="00337856"/>
    <w:rsid w:val="00337AD2"/>
    <w:rsid w:val="00337DD2"/>
    <w:rsid w:val="003404D1"/>
    <w:rsid w:val="00341DC7"/>
    <w:rsid w:val="00341F18"/>
    <w:rsid w:val="003424BD"/>
    <w:rsid w:val="00343088"/>
    <w:rsid w:val="003443FF"/>
    <w:rsid w:val="00344E62"/>
    <w:rsid w:val="00344EFE"/>
    <w:rsid w:val="0034512A"/>
    <w:rsid w:val="00346579"/>
    <w:rsid w:val="00346842"/>
    <w:rsid w:val="00346CA8"/>
    <w:rsid w:val="003533F8"/>
    <w:rsid w:val="00353AA9"/>
    <w:rsid w:val="0035424E"/>
    <w:rsid w:val="0035436F"/>
    <w:rsid w:val="00354D9B"/>
    <w:rsid w:val="003552DD"/>
    <w:rsid w:val="003556AC"/>
    <w:rsid w:val="00355808"/>
    <w:rsid w:val="00355AF6"/>
    <w:rsid w:val="00355C96"/>
    <w:rsid w:val="00355CED"/>
    <w:rsid w:val="00357011"/>
    <w:rsid w:val="00357501"/>
    <w:rsid w:val="00360697"/>
    <w:rsid w:val="00362C7E"/>
    <w:rsid w:val="00363309"/>
    <w:rsid w:val="0036350D"/>
    <w:rsid w:val="00363601"/>
    <w:rsid w:val="00363862"/>
    <w:rsid w:val="00371857"/>
    <w:rsid w:val="00374699"/>
    <w:rsid w:val="00376AC9"/>
    <w:rsid w:val="00380414"/>
    <w:rsid w:val="003809F7"/>
    <w:rsid w:val="00382689"/>
    <w:rsid w:val="003914E8"/>
    <w:rsid w:val="00393032"/>
    <w:rsid w:val="00393C03"/>
    <w:rsid w:val="00394B69"/>
    <w:rsid w:val="00396E18"/>
    <w:rsid w:val="00397078"/>
    <w:rsid w:val="00397273"/>
    <w:rsid w:val="003A1C3A"/>
    <w:rsid w:val="003A37D2"/>
    <w:rsid w:val="003A3C11"/>
    <w:rsid w:val="003A638F"/>
    <w:rsid w:val="003A67C1"/>
    <w:rsid w:val="003A6953"/>
    <w:rsid w:val="003A695C"/>
    <w:rsid w:val="003A779A"/>
    <w:rsid w:val="003A7A50"/>
    <w:rsid w:val="003A7C5E"/>
    <w:rsid w:val="003A7E4F"/>
    <w:rsid w:val="003B01DF"/>
    <w:rsid w:val="003B145E"/>
    <w:rsid w:val="003B180F"/>
    <w:rsid w:val="003B2FD2"/>
    <w:rsid w:val="003B4EC3"/>
    <w:rsid w:val="003B6083"/>
    <w:rsid w:val="003B730E"/>
    <w:rsid w:val="003C0147"/>
    <w:rsid w:val="003C1578"/>
    <w:rsid w:val="003C2240"/>
    <w:rsid w:val="003C3838"/>
    <w:rsid w:val="003C4B3C"/>
    <w:rsid w:val="003C5650"/>
    <w:rsid w:val="003C5847"/>
    <w:rsid w:val="003D0681"/>
    <w:rsid w:val="003D0881"/>
    <w:rsid w:val="003D12F6"/>
    <w:rsid w:val="003D1426"/>
    <w:rsid w:val="003D2708"/>
    <w:rsid w:val="003D5081"/>
    <w:rsid w:val="003E2D61"/>
    <w:rsid w:val="003E2E48"/>
    <w:rsid w:val="003E2F4E"/>
    <w:rsid w:val="003E4341"/>
    <w:rsid w:val="003E6522"/>
    <w:rsid w:val="003E6B49"/>
    <w:rsid w:val="003E7198"/>
    <w:rsid w:val="003E720A"/>
    <w:rsid w:val="003E7724"/>
    <w:rsid w:val="003E7876"/>
    <w:rsid w:val="003E7FFA"/>
    <w:rsid w:val="003F0DE3"/>
    <w:rsid w:val="003F354E"/>
    <w:rsid w:val="003F3B02"/>
    <w:rsid w:val="003F6374"/>
    <w:rsid w:val="00400299"/>
    <w:rsid w:val="00400586"/>
    <w:rsid w:val="00401592"/>
    <w:rsid w:val="00401D5C"/>
    <w:rsid w:val="004037D5"/>
    <w:rsid w:val="00403C52"/>
    <w:rsid w:val="00403E6E"/>
    <w:rsid w:val="00404EBB"/>
    <w:rsid w:val="004060BE"/>
    <w:rsid w:val="00407869"/>
    <w:rsid w:val="00407CEB"/>
    <w:rsid w:val="00411F2D"/>
    <w:rsid w:val="004128CE"/>
    <w:rsid w:val="004129B4"/>
    <w:rsid w:val="00412A94"/>
    <w:rsid w:val="004142AC"/>
    <w:rsid w:val="00416638"/>
    <w:rsid w:val="00416B09"/>
    <w:rsid w:val="00417EF0"/>
    <w:rsid w:val="00420CA3"/>
    <w:rsid w:val="004215F2"/>
    <w:rsid w:val="00422181"/>
    <w:rsid w:val="004223EC"/>
    <w:rsid w:val="004244A8"/>
    <w:rsid w:val="00425F72"/>
    <w:rsid w:val="004265FD"/>
    <w:rsid w:val="00426A15"/>
    <w:rsid w:val="00427736"/>
    <w:rsid w:val="00431344"/>
    <w:rsid w:val="0043163C"/>
    <w:rsid w:val="00433205"/>
    <w:rsid w:val="00434C27"/>
    <w:rsid w:val="00436765"/>
    <w:rsid w:val="00436960"/>
    <w:rsid w:val="004400B4"/>
    <w:rsid w:val="00440A3F"/>
    <w:rsid w:val="00441787"/>
    <w:rsid w:val="004419A7"/>
    <w:rsid w:val="00442A8D"/>
    <w:rsid w:val="00442F05"/>
    <w:rsid w:val="0044492A"/>
    <w:rsid w:val="00444F2D"/>
    <w:rsid w:val="00446861"/>
    <w:rsid w:val="00450D0C"/>
    <w:rsid w:val="00452034"/>
    <w:rsid w:val="0045211C"/>
    <w:rsid w:val="00452A66"/>
    <w:rsid w:val="00452C5A"/>
    <w:rsid w:val="00454C84"/>
    <w:rsid w:val="00455228"/>
    <w:rsid w:val="00455FA6"/>
    <w:rsid w:val="00456FF5"/>
    <w:rsid w:val="00460D1E"/>
    <w:rsid w:val="00461CDD"/>
    <w:rsid w:val="00462906"/>
    <w:rsid w:val="00462DF3"/>
    <w:rsid w:val="00463EA6"/>
    <w:rsid w:val="00466364"/>
    <w:rsid w:val="00466C70"/>
    <w:rsid w:val="00467C00"/>
    <w:rsid w:val="004702C9"/>
    <w:rsid w:val="004703A6"/>
    <w:rsid w:val="00470BE0"/>
    <w:rsid w:val="00471EFF"/>
    <w:rsid w:val="00472A76"/>
    <w:rsid w:val="00472E45"/>
    <w:rsid w:val="00473FEA"/>
    <w:rsid w:val="0047579D"/>
    <w:rsid w:val="004778F3"/>
    <w:rsid w:val="004816D2"/>
    <w:rsid w:val="004831E1"/>
    <w:rsid w:val="00483262"/>
    <w:rsid w:val="00483D2C"/>
    <w:rsid w:val="00484107"/>
    <w:rsid w:val="00484AEC"/>
    <w:rsid w:val="00484CD7"/>
    <w:rsid w:val="00485CC5"/>
    <w:rsid w:val="00487825"/>
    <w:rsid w:val="00491BB0"/>
    <w:rsid w:val="00492559"/>
    <w:rsid w:val="0049343F"/>
    <w:rsid w:val="00494019"/>
    <w:rsid w:val="00494C7C"/>
    <w:rsid w:val="004964FC"/>
    <w:rsid w:val="00497E30"/>
    <w:rsid w:val="004A01BD"/>
    <w:rsid w:val="004A145E"/>
    <w:rsid w:val="004A1F15"/>
    <w:rsid w:val="004A2A81"/>
    <w:rsid w:val="004A36AB"/>
    <w:rsid w:val="004A6ACE"/>
    <w:rsid w:val="004A7BD7"/>
    <w:rsid w:val="004B20BA"/>
    <w:rsid w:val="004B23EC"/>
    <w:rsid w:val="004B2C19"/>
    <w:rsid w:val="004B3357"/>
    <w:rsid w:val="004B6DCE"/>
    <w:rsid w:val="004C1543"/>
    <w:rsid w:val="004C15C2"/>
    <w:rsid w:val="004C2A49"/>
    <w:rsid w:val="004C2AC5"/>
    <w:rsid w:val="004C36D8"/>
    <w:rsid w:val="004C3F52"/>
    <w:rsid w:val="004C745B"/>
    <w:rsid w:val="004D1248"/>
    <w:rsid w:val="004D1E3C"/>
    <w:rsid w:val="004D3B56"/>
    <w:rsid w:val="004D4169"/>
    <w:rsid w:val="004D5BA8"/>
    <w:rsid w:val="004D6E14"/>
    <w:rsid w:val="004E00B9"/>
    <w:rsid w:val="004E02A7"/>
    <w:rsid w:val="004E0410"/>
    <w:rsid w:val="004E105C"/>
    <w:rsid w:val="004E1539"/>
    <w:rsid w:val="004E17C0"/>
    <w:rsid w:val="004E237F"/>
    <w:rsid w:val="004E30C9"/>
    <w:rsid w:val="004E693B"/>
    <w:rsid w:val="004E767B"/>
    <w:rsid w:val="004F0575"/>
    <w:rsid w:val="004F1A4A"/>
    <w:rsid w:val="004F3094"/>
    <w:rsid w:val="004F35B1"/>
    <w:rsid w:val="004F43C2"/>
    <w:rsid w:val="004F4E17"/>
    <w:rsid w:val="004F6DDE"/>
    <w:rsid w:val="004F7F80"/>
    <w:rsid w:val="00500204"/>
    <w:rsid w:val="0050082F"/>
    <w:rsid w:val="00500851"/>
    <w:rsid w:val="00500BAC"/>
    <w:rsid w:val="00500C56"/>
    <w:rsid w:val="00501713"/>
    <w:rsid w:val="00502C72"/>
    <w:rsid w:val="00503972"/>
    <w:rsid w:val="005060F7"/>
    <w:rsid w:val="005063B0"/>
    <w:rsid w:val="00506568"/>
    <w:rsid w:val="00507080"/>
    <w:rsid w:val="00507E9C"/>
    <w:rsid w:val="00510E26"/>
    <w:rsid w:val="00513B55"/>
    <w:rsid w:val="00514A1E"/>
    <w:rsid w:val="0051551B"/>
    <w:rsid w:val="00515A07"/>
    <w:rsid w:val="005209EA"/>
    <w:rsid w:val="00520C57"/>
    <w:rsid w:val="00520CDB"/>
    <w:rsid w:val="00520D14"/>
    <w:rsid w:val="00521AED"/>
    <w:rsid w:val="00522D94"/>
    <w:rsid w:val="00522DA6"/>
    <w:rsid w:val="005268E2"/>
    <w:rsid w:val="00527328"/>
    <w:rsid w:val="00530A6D"/>
    <w:rsid w:val="00532A35"/>
    <w:rsid w:val="00533501"/>
    <w:rsid w:val="00533B48"/>
    <w:rsid w:val="00533D89"/>
    <w:rsid w:val="00535391"/>
    <w:rsid w:val="00536564"/>
    <w:rsid w:val="0053668F"/>
    <w:rsid w:val="005401EF"/>
    <w:rsid w:val="00541ABB"/>
    <w:rsid w:val="00541B5F"/>
    <w:rsid w:val="00542D13"/>
    <w:rsid w:val="00544597"/>
    <w:rsid w:val="005449F7"/>
    <w:rsid w:val="00544FFE"/>
    <w:rsid w:val="005473F5"/>
    <w:rsid w:val="005477E7"/>
    <w:rsid w:val="0055004E"/>
    <w:rsid w:val="00550288"/>
    <w:rsid w:val="00552794"/>
    <w:rsid w:val="005601F4"/>
    <w:rsid w:val="00562698"/>
    <w:rsid w:val="00563199"/>
    <w:rsid w:val="00564874"/>
    <w:rsid w:val="00565496"/>
    <w:rsid w:val="00565F23"/>
    <w:rsid w:val="005669D2"/>
    <w:rsid w:val="00567963"/>
    <w:rsid w:val="0057009A"/>
    <w:rsid w:val="00570913"/>
    <w:rsid w:val="00571260"/>
    <w:rsid w:val="0057189C"/>
    <w:rsid w:val="0057244F"/>
    <w:rsid w:val="00573FC1"/>
    <w:rsid w:val="005741EE"/>
    <w:rsid w:val="0057497B"/>
    <w:rsid w:val="0057668E"/>
    <w:rsid w:val="005769FF"/>
    <w:rsid w:val="0057722E"/>
    <w:rsid w:val="00580000"/>
    <w:rsid w:val="00580870"/>
    <w:rsid w:val="0058121F"/>
    <w:rsid w:val="00582409"/>
    <w:rsid w:val="00582593"/>
    <w:rsid w:val="0058286C"/>
    <w:rsid w:val="00587857"/>
    <w:rsid w:val="00587904"/>
    <w:rsid w:val="005906FA"/>
    <w:rsid w:val="0059270F"/>
    <w:rsid w:val="00594F81"/>
    <w:rsid w:val="00595E83"/>
    <w:rsid w:val="00596530"/>
    <w:rsid w:val="005967F3"/>
    <w:rsid w:val="00597DCF"/>
    <w:rsid w:val="005A06DF"/>
    <w:rsid w:val="005A134B"/>
    <w:rsid w:val="005A1A38"/>
    <w:rsid w:val="005A524A"/>
    <w:rsid w:val="005A5527"/>
    <w:rsid w:val="005A5AE6"/>
    <w:rsid w:val="005A6A66"/>
    <w:rsid w:val="005B1206"/>
    <w:rsid w:val="005B1590"/>
    <w:rsid w:val="005B37E8"/>
    <w:rsid w:val="005B4375"/>
    <w:rsid w:val="005B4B2B"/>
    <w:rsid w:val="005B5CC3"/>
    <w:rsid w:val="005B622E"/>
    <w:rsid w:val="005B7A42"/>
    <w:rsid w:val="005C0056"/>
    <w:rsid w:val="005C1F4B"/>
    <w:rsid w:val="005D0DCE"/>
    <w:rsid w:val="005D1FA9"/>
    <w:rsid w:val="005D3BF4"/>
    <w:rsid w:val="005D3FEC"/>
    <w:rsid w:val="005D51B0"/>
    <w:rsid w:val="005D61D6"/>
    <w:rsid w:val="005D770B"/>
    <w:rsid w:val="005D7A5A"/>
    <w:rsid w:val="005E045C"/>
    <w:rsid w:val="005E0D13"/>
    <w:rsid w:val="005E1756"/>
    <w:rsid w:val="005E2089"/>
    <w:rsid w:val="005E3172"/>
    <w:rsid w:val="005E35D4"/>
    <w:rsid w:val="005E5047"/>
    <w:rsid w:val="005E53BC"/>
    <w:rsid w:val="005E556D"/>
    <w:rsid w:val="005E7205"/>
    <w:rsid w:val="005E7371"/>
    <w:rsid w:val="005E755E"/>
    <w:rsid w:val="005F112E"/>
    <w:rsid w:val="005F116C"/>
    <w:rsid w:val="005F13B2"/>
    <w:rsid w:val="005F2131"/>
    <w:rsid w:val="005F43D3"/>
    <w:rsid w:val="005F4E64"/>
    <w:rsid w:val="005F504D"/>
    <w:rsid w:val="005F6CD6"/>
    <w:rsid w:val="006005C2"/>
    <w:rsid w:val="0060226A"/>
    <w:rsid w:val="006041B9"/>
    <w:rsid w:val="006045CD"/>
    <w:rsid w:val="00604C68"/>
    <w:rsid w:val="0060532C"/>
    <w:rsid w:val="00605EF6"/>
    <w:rsid w:val="00606455"/>
    <w:rsid w:val="006115CA"/>
    <w:rsid w:val="00614114"/>
    <w:rsid w:val="00614929"/>
    <w:rsid w:val="00616511"/>
    <w:rsid w:val="006176ED"/>
    <w:rsid w:val="006202F3"/>
    <w:rsid w:val="0062097A"/>
    <w:rsid w:val="00620D81"/>
    <w:rsid w:val="00621B57"/>
    <w:rsid w:val="00621DA6"/>
    <w:rsid w:val="00623CFE"/>
    <w:rsid w:val="00625179"/>
    <w:rsid w:val="00627221"/>
    <w:rsid w:val="0062762C"/>
    <w:rsid w:val="00627999"/>
    <w:rsid w:val="00627EE8"/>
    <w:rsid w:val="0063060B"/>
    <w:rsid w:val="006316FA"/>
    <w:rsid w:val="00632134"/>
    <w:rsid w:val="00632691"/>
    <w:rsid w:val="0063275A"/>
    <w:rsid w:val="00632ABD"/>
    <w:rsid w:val="006330D9"/>
    <w:rsid w:val="006370D2"/>
    <w:rsid w:val="0064074F"/>
    <w:rsid w:val="00640828"/>
    <w:rsid w:val="00640CD9"/>
    <w:rsid w:val="00641F55"/>
    <w:rsid w:val="006422A5"/>
    <w:rsid w:val="00642825"/>
    <w:rsid w:val="00645E4A"/>
    <w:rsid w:val="00647FCC"/>
    <w:rsid w:val="0065019F"/>
    <w:rsid w:val="00652241"/>
    <w:rsid w:val="00652358"/>
    <w:rsid w:val="00652925"/>
    <w:rsid w:val="00653616"/>
    <w:rsid w:val="00653688"/>
    <w:rsid w:val="006536CF"/>
    <w:rsid w:val="00654278"/>
    <w:rsid w:val="00655B96"/>
    <w:rsid w:val="0066091B"/>
    <w:rsid w:val="006626C5"/>
    <w:rsid w:val="00662AB4"/>
    <w:rsid w:val="00663D60"/>
    <w:rsid w:val="006643CE"/>
    <w:rsid w:val="006647C4"/>
    <w:rsid w:val="0066509E"/>
    <w:rsid w:val="006660E9"/>
    <w:rsid w:val="006662A9"/>
    <w:rsid w:val="006668F5"/>
    <w:rsid w:val="00667249"/>
    <w:rsid w:val="00667558"/>
    <w:rsid w:val="00667BBE"/>
    <w:rsid w:val="00671523"/>
    <w:rsid w:val="00671F37"/>
    <w:rsid w:val="006723BF"/>
    <w:rsid w:val="006728D7"/>
    <w:rsid w:val="006754EF"/>
    <w:rsid w:val="00675595"/>
    <w:rsid w:val="00676223"/>
    <w:rsid w:val="00676C8D"/>
    <w:rsid w:val="00676F1F"/>
    <w:rsid w:val="00677381"/>
    <w:rsid w:val="00677414"/>
    <w:rsid w:val="006775E4"/>
    <w:rsid w:val="006777B7"/>
    <w:rsid w:val="00683209"/>
    <w:rsid w:val="006832CF"/>
    <w:rsid w:val="00683859"/>
    <w:rsid w:val="00684563"/>
    <w:rsid w:val="0068601E"/>
    <w:rsid w:val="006912EA"/>
    <w:rsid w:val="00692107"/>
    <w:rsid w:val="00692FA2"/>
    <w:rsid w:val="00693F91"/>
    <w:rsid w:val="0069486B"/>
    <w:rsid w:val="00694AA6"/>
    <w:rsid w:val="00694E44"/>
    <w:rsid w:val="00695F23"/>
    <w:rsid w:val="00697BA0"/>
    <w:rsid w:val="006A0678"/>
    <w:rsid w:val="006A07F8"/>
    <w:rsid w:val="006A108C"/>
    <w:rsid w:val="006A4904"/>
    <w:rsid w:val="006A548F"/>
    <w:rsid w:val="006A6CB1"/>
    <w:rsid w:val="006A701A"/>
    <w:rsid w:val="006A7EE9"/>
    <w:rsid w:val="006B0618"/>
    <w:rsid w:val="006B3964"/>
    <w:rsid w:val="006B4F92"/>
    <w:rsid w:val="006B5119"/>
    <w:rsid w:val="006B64DC"/>
    <w:rsid w:val="006B77F5"/>
    <w:rsid w:val="006B7A91"/>
    <w:rsid w:val="006C1B88"/>
    <w:rsid w:val="006C375C"/>
    <w:rsid w:val="006C4CA4"/>
    <w:rsid w:val="006C640E"/>
    <w:rsid w:val="006C7AE9"/>
    <w:rsid w:val="006D04F7"/>
    <w:rsid w:val="006D4233"/>
    <w:rsid w:val="006D4704"/>
    <w:rsid w:val="006D52B3"/>
    <w:rsid w:val="006D5C42"/>
    <w:rsid w:val="006D6A2D"/>
    <w:rsid w:val="006E1E18"/>
    <w:rsid w:val="006E31CE"/>
    <w:rsid w:val="006E34D3"/>
    <w:rsid w:val="006E3A46"/>
    <w:rsid w:val="006F0052"/>
    <w:rsid w:val="006F1435"/>
    <w:rsid w:val="006F25EB"/>
    <w:rsid w:val="006F3E6B"/>
    <w:rsid w:val="006F4CE1"/>
    <w:rsid w:val="006F78C4"/>
    <w:rsid w:val="007008CD"/>
    <w:rsid w:val="00700C94"/>
    <w:rsid w:val="00703161"/>
    <w:rsid w:val="007031A0"/>
    <w:rsid w:val="00705A29"/>
    <w:rsid w:val="00705B58"/>
    <w:rsid w:val="007070E6"/>
    <w:rsid w:val="00707498"/>
    <w:rsid w:val="00710516"/>
    <w:rsid w:val="00710664"/>
    <w:rsid w:val="0071081A"/>
    <w:rsid w:val="00711A65"/>
    <w:rsid w:val="00712D46"/>
    <w:rsid w:val="00713CBD"/>
    <w:rsid w:val="00714133"/>
    <w:rsid w:val="00714CBB"/>
    <w:rsid w:val="00714DA4"/>
    <w:rsid w:val="007158B2"/>
    <w:rsid w:val="00716081"/>
    <w:rsid w:val="00717354"/>
    <w:rsid w:val="00722B48"/>
    <w:rsid w:val="00724164"/>
    <w:rsid w:val="007246AB"/>
    <w:rsid w:val="007248BC"/>
    <w:rsid w:val="00725182"/>
    <w:rsid w:val="00725DE7"/>
    <w:rsid w:val="0072636A"/>
    <w:rsid w:val="00726B44"/>
    <w:rsid w:val="00726DA0"/>
    <w:rsid w:val="007318DD"/>
    <w:rsid w:val="00732446"/>
    <w:rsid w:val="0073270E"/>
    <w:rsid w:val="0073273A"/>
    <w:rsid w:val="00733167"/>
    <w:rsid w:val="0073365D"/>
    <w:rsid w:val="007353F7"/>
    <w:rsid w:val="00735A06"/>
    <w:rsid w:val="007377F2"/>
    <w:rsid w:val="00740D2C"/>
    <w:rsid w:val="007415D0"/>
    <w:rsid w:val="00741607"/>
    <w:rsid w:val="00741A59"/>
    <w:rsid w:val="007438BE"/>
    <w:rsid w:val="00743CA8"/>
    <w:rsid w:val="00744BF9"/>
    <w:rsid w:val="00744F56"/>
    <w:rsid w:val="00745013"/>
    <w:rsid w:val="00745C90"/>
    <w:rsid w:val="00746837"/>
    <w:rsid w:val="0074746E"/>
    <w:rsid w:val="00750547"/>
    <w:rsid w:val="00752623"/>
    <w:rsid w:val="00760F1F"/>
    <w:rsid w:val="00761FBD"/>
    <w:rsid w:val="00762F32"/>
    <w:rsid w:val="0076397B"/>
    <w:rsid w:val="00764117"/>
    <w:rsid w:val="0076423E"/>
    <w:rsid w:val="007646CB"/>
    <w:rsid w:val="0076493C"/>
    <w:rsid w:val="00765494"/>
    <w:rsid w:val="007663A2"/>
    <w:rsid w:val="0076658F"/>
    <w:rsid w:val="0077040A"/>
    <w:rsid w:val="0077240D"/>
    <w:rsid w:val="007724E7"/>
    <w:rsid w:val="007726BE"/>
    <w:rsid w:val="00772D64"/>
    <w:rsid w:val="007831FA"/>
    <w:rsid w:val="00786605"/>
    <w:rsid w:val="00786DE7"/>
    <w:rsid w:val="00787504"/>
    <w:rsid w:val="00787E31"/>
    <w:rsid w:val="007913EB"/>
    <w:rsid w:val="00792109"/>
    <w:rsid w:val="00792609"/>
    <w:rsid w:val="00792887"/>
    <w:rsid w:val="007943E2"/>
    <w:rsid w:val="00794F2C"/>
    <w:rsid w:val="0079664B"/>
    <w:rsid w:val="00796701"/>
    <w:rsid w:val="007A2E0F"/>
    <w:rsid w:val="007A3725"/>
    <w:rsid w:val="007A390A"/>
    <w:rsid w:val="007A3BC7"/>
    <w:rsid w:val="007A401A"/>
    <w:rsid w:val="007A4D03"/>
    <w:rsid w:val="007A590B"/>
    <w:rsid w:val="007A5AC4"/>
    <w:rsid w:val="007B0247"/>
    <w:rsid w:val="007B080D"/>
    <w:rsid w:val="007B0A54"/>
    <w:rsid w:val="007B0C80"/>
    <w:rsid w:val="007B0FDD"/>
    <w:rsid w:val="007B2800"/>
    <w:rsid w:val="007B3B94"/>
    <w:rsid w:val="007B40D2"/>
    <w:rsid w:val="007B4802"/>
    <w:rsid w:val="007B517B"/>
    <w:rsid w:val="007B5186"/>
    <w:rsid w:val="007B6668"/>
    <w:rsid w:val="007B6B33"/>
    <w:rsid w:val="007C07C2"/>
    <w:rsid w:val="007C0AD4"/>
    <w:rsid w:val="007C22D9"/>
    <w:rsid w:val="007C2701"/>
    <w:rsid w:val="007C53C0"/>
    <w:rsid w:val="007C5C97"/>
    <w:rsid w:val="007C6820"/>
    <w:rsid w:val="007D2192"/>
    <w:rsid w:val="007D309E"/>
    <w:rsid w:val="007D57A4"/>
    <w:rsid w:val="007D69A2"/>
    <w:rsid w:val="007D7C6A"/>
    <w:rsid w:val="007E3369"/>
    <w:rsid w:val="007E3C31"/>
    <w:rsid w:val="007E4311"/>
    <w:rsid w:val="007E4DD8"/>
    <w:rsid w:val="007E5155"/>
    <w:rsid w:val="007E5D7F"/>
    <w:rsid w:val="007E6ECA"/>
    <w:rsid w:val="007E7A66"/>
    <w:rsid w:val="007F0021"/>
    <w:rsid w:val="007F0EE5"/>
    <w:rsid w:val="007F1118"/>
    <w:rsid w:val="007F2C4B"/>
    <w:rsid w:val="007F2F52"/>
    <w:rsid w:val="007F3B22"/>
    <w:rsid w:val="007F6063"/>
    <w:rsid w:val="007F6E4C"/>
    <w:rsid w:val="00800A79"/>
    <w:rsid w:val="00800C3E"/>
    <w:rsid w:val="00801F71"/>
    <w:rsid w:val="008041B9"/>
    <w:rsid w:val="0080544C"/>
    <w:rsid w:val="00805F28"/>
    <w:rsid w:val="0080746C"/>
    <w:rsid w:val="0080749F"/>
    <w:rsid w:val="008079B2"/>
    <w:rsid w:val="0081027A"/>
    <w:rsid w:val="00811620"/>
    <w:rsid w:val="008116C3"/>
    <w:rsid w:val="00811D46"/>
    <w:rsid w:val="008125B0"/>
    <w:rsid w:val="008144CB"/>
    <w:rsid w:val="008162FF"/>
    <w:rsid w:val="00821717"/>
    <w:rsid w:val="00824210"/>
    <w:rsid w:val="00824B4E"/>
    <w:rsid w:val="00825392"/>
    <w:rsid w:val="00825D70"/>
    <w:rsid w:val="008263C0"/>
    <w:rsid w:val="008267D9"/>
    <w:rsid w:val="00826BA8"/>
    <w:rsid w:val="00826ED5"/>
    <w:rsid w:val="0083025B"/>
    <w:rsid w:val="008303F0"/>
    <w:rsid w:val="00831190"/>
    <w:rsid w:val="0083177C"/>
    <w:rsid w:val="00832602"/>
    <w:rsid w:val="00833085"/>
    <w:rsid w:val="008369BA"/>
    <w:rsid w:val="00836F75"/>
    <w:rsid w:val="00841422"/>
    <w:rsid w:val="00841D3B"/>
    <w:rsid w:val="0084258C"/>
    <w:rsid w:val="0084314C"/>
    <w:rsid w:val="00843171"/>
    <w:rsid w:val="00844E85"/>
    <w:rsid w:val="008460DF"/>
    <w:rsid w:val="00846178"/>
    <w:rsid w:val="008516CC"/>
    <w:rsid w:val="00851CBC"/>
    <w:rsid w:val="00855456"/>
    <w:rsid w:val="00856799"/>
    <w:rsid w:val="008575C3"/>
    <w:rsid w:val="00863D28"/>
    <w:rsid w:val="008648C3"/>
    <w:rsid w:val="0086636F"/>
    <w:rsid w:val="00871E69"/>
    <w:rsid w:val="00874967"/>
    <w:rsid w:val="00880F26"/>
    <w:rsid w:val="0088579C"/>
    <w:rsid w:val="0088742C"/>
    <w:rsid w:val="00891EBB"/>
    <w:rsid w:val="00893523"/>
    <w:rsid w:val="008936E8"/>
    <w:rsid w:val="00893873"/>
    <w:rsid w:val="00893CA5"/>
    <w:rsid w:val="008965C7"/>
    <w:rsid w:val="00896C2E"/>
    <w:rsid w:val="00897873"/>
    <w:rsid w:val="008A0337"/>
    <w:rsid w:val="008A14C6"/>
    <w:rsid w:val="008A21B7"/>
    <w:rsid w:val="008A5095"/>
    <w:rsid w:val="008A5425"/>
    <w:rsid w:val="008A59ED"/>
    <w:rsid w:val="008A5CF9"/>
    <w:rsid w:val="008A608F"/>
    <w:rsid w:val="008A6878"/>
    <w:rsid w:val="008A7EB3"/>
    <w:rsid w:val="008B1A9A"/>
    <w:rsid w:val="008B4FE6"/>
    <w:rsid w:val="008B5617"/>
    <w:rsid w:val="008B5E5F"/>
    <w:rsid w:val="008B6636"/>
    <w:rsid w:val="008B6C37"/>
    <w:rsid w:val="008B7419"/>
    <w:rsid w:val="008B7F58"/>
    <w:rsid w:val="008C25DB"/>
    <w:rsid w:val="008C2751"/>
    <w:rsid w:val="008C447B"/>
    <w:rsid w:val="008C5F9E"/>
    <w:rsid w:val="008C698E"/>
    <w:rsid w:val="008D3DF8"/>
    <w:rsid w:val="008D6392"/>
    <w:rsid w:val="008D70DB"/>
    <w:rsid w:val="008D7607"/>
    <w:rsid w:val="008E1441"/>
    <w:rsid w:val="008E18F7"/>
    <w:rsid w:val="008E1E10"/>
    <w:rsid w:val="008E2015"/>
    <w:rsid w:val="008E26DD"/>
    <w:rsid w:val="008E291B"/>
    <w:rsid w:val="008E2EF6"/>
    <w:rsid w:val="008E4F2F"/>
    <w:rsid w:val="008E523D"/>
    <w:rsid w:val="008E5B3A"/>
    <w:rsid w:val="008E6B6A"/>
    <w:rsid w:val="008E6D3C"/>
    <w:rsid w:val="008E6ECE"/>
    <w:rsid w:val="008E74B0"/>
    <w:rsid w:val="008E7949"/>
    <w:rsid w:val="008F0E23"/>
    <w:rsid w:val="008F1772"/>
    <w:rsid w:val="008F1E08"/>
    <w:rsid w:val="009000D3"/>
    <w:rsid w:val="00900831"/>
    <w:rsid w:val="009008A8"/>
    <w:rsid w:val="0090572D"/>
    <w:rsid w:val="00905DC0"/>
    <w:rsid w:val="009063B0"/>
    <w:rsid w:val="00907106"/>
    <w:rsid w:val="009107FD"/>
    <w:rsid w:val="00911264"/>
    <w:rsid w:val="0091137C"/>
    <w:rsid w:val="00911567"/>
    <w:rsid w:val="00911C5F"/>
    <w:rsid w:val="009127A4"/>
    <w:rsid w:val="00915C49"/>
    <w:rsid w:val="009172E0"/>
    <w:rsid w:val="00917AAE"/>
    <w:rsid w:val="0092475C"/>
    <w:rsid w:val="009251A9"/>
    <w:rsid w:val="00930699"/>
    <w:rsid w:val="00931F69"/>
    <w:rsid w:val="00934123"/>
    <w:rsid w:val="00935793"/>
    <w:rsid w:val="0093665C"/>
    <w:rsid w:val="009441EF"/>
    <w:rsid w:val="00944B37"/>
    <w:rsid w:val="00947639"/>
    <w:rsid w:val="009476D3"/>
    <w:rsid w:val="009502B3"/>
    <w:rsid w:val="00951384"/>
    <w:rsid w:val="009523A5"/>
    <w:rsid w:val="009527DB"/>
    <w:rsid w:val="00952979"/>
    <w:rsid w:val="00952D93"/>
    <w:rsid w:val="00953210"/>
    <w:rsid w:val="009532F2"/>
    <w:rsid w:val="0095386D"/>
    <w:rsid w:val="00954A53"/>
    <w:rsid w:val="00955774"/>
    <w:rsid w:val="009560B5"/>
    <w:rsid w:val="00956809"/>
    <w:rsid w:val="009576EE"/>
    <w:rsid w:val="009603FA"/>
    <w:rsid w:val="009608CD"/>
    <w:rsid w:val="009629BB"/>
    <w:rsid w:val="009630E2"/>
    <w:rsid w:val="0096310D"/>
    <w:rsid w:val="0096518B"/>
    <w:rsid w:val="00965195"/>
    <w:rsid w:val="00965740"/>
    <w:rsid w:val="0096594B"/>
    <w:rsid w:val="00967866"/>
    <w:rsid w:val="009703D6"/>
    <w:rsid w:val="009707EE"/>
    <w:rsid w:val="0097181B"/>
    <w:rsid w:val="00975B10"/>
    <w:rsid w:val="009761C4"/>
    <w:rsid w:val="00976DC5"/>
    <w:rsid w:val="00980D56"/>
    <w:rsid w:val="009818C7"/>
    <w:rsid w:val="00982DD4"/>
    <w:rsid w:val="009836EE"/>
    <w:rsid w:val="009841E5"/>
    <w:rsid w:val="009846FF"/>
    <w:rsid w:val="0098479F"/>
    <w:rsid w:val="00984A8A"/>
    <w:rsid w:val="009857B6"/>
    <w:rsid w:val="00985A8D"/>
    <w:rsid w:val="00986610"/>
    <w:rsid w:val="00986797"/>
    <w:rsid w:val="00986839"/>
    <w:rsid w:val="009877DC"/>
    <w:rsid w:val="00991E51"/>
    <w:rsid w:val="00991F96"/>
    <w:rsid w:val="00993AE8"/>
    <w:rsid w:val="00994C87"/>
    <w:rsid w:val="00996F0A"/>
    <w:rsid w:val="009A0131"/>
    <w:rsid w:val="009A0658"/>
    <w:rsid w:val="009A07AB"/>
    <w:rsid w:val="009A12E5"/>
    <w:rsid w:val="009A15A3"/>
    <w:rsid w:val="009A1D86"/>
    <w:rsid w:val="009A4200"/>
    <w:rsid w:val="009A5582"/>
    <w:rsid w:val="009A60E8"/>
    <w:rsid w:val="009B049C"/>
    <w:rsid w:val="009B11C8"/>
    <w:rsid w:val="009B2BCF"/>
    <w:rsid w:val="009B2FF8"/>
    <w:rsid w:val="009B30B9"/>
    <w:rsid w:val="009B3547"/>
    <w:rsid w:val="009B3752"/>
    <w:rsid w:val="009B3CAC"/>
    <w:rsid w:val="009B4FA5"/>
    <w:rsid w:val="009B5BA3"/>
    <w:rsid w:val="009B706A"/>
    <w:rsid w:val="009B75C8"/>
    <w:rsid w:val="009B76B6"/>
    <w:rsid w:val="009B7700"/>
    <w:rsid w:val="009B7860"/>
    <w:rsid w:val="009B79B5"/>
    <w:rsid w:val="009C177F"/>
    <w:rsid w:val="009C20AB"/>
    <w:rsid w:val="009C306E"/>
    <w:rsid w:val="009C3604"/>
    <w:rsid w:val="009C48BF"/>
    <w:rsid w:val="009D0027"/>
    <w:rsid w:val="009D0655"/>
    <w:rsid w:val="009D0804"/>
    <w:rsid w:val="009D1220"/>
    <w:rsid w:val="009D14F0"/>
    <w:rsid w:val="009D1628"/>
    <w:rsid w:val="009D2073"/>
    <w:rsid w:val="009D2438"/>
    <w:rsid w:val="009D671D"/>
    <w:rsid w:val="009D6FC4"/>
    <w:rsid w:val="009D7BCC"/>
    <w:rsid w:val="009E1E98"/>
    <w:rsid w:val="009E345B"/>
    <w:rsid w:val="009E3ABE"/>
    <w:rsid w:val="009E3C4B"/>
    <w:rsid w:val="009F0637"/>
    <w:rsid w:val="009F1AB9"/>
    <w:rsid w:val="009F41EE"/>
    <w:rsid w:val="009F4EAC"/>
    <w:rsid w:val="009F62A6"/>
    <w:rsid w:val="009F674F"/>
    <w:rsid w:val="009F799E"/>
    <w:rsid w:val="00A02020"/>
    <w:rsid w:val="00A026A8"/>
    <w:rsid w:val="00A035A0"/>
    <w:rsid w:val="00A04AFD"/>
    <w:rsid w:val="00A056CB"/>
    <w:rsid w:val="00A05C3C"/>
    <w:rsid w:val="00A06477"/>
    <w:rsid w:val="00A07A29"/>
    <w:rsid w:val="00A10FF1"/>
    <w:rsid w:val="00A11581"/>
    <w:rsid w:val="00A12BC2"/>
    <w:rsid w:val="00A12BE7"/>
    <w:rsid w:val="00A141B8"/>
    <w:rsid w:val="00A14616"/>
    <w:rsid w:val="00A1506B"/>
    <w:rsid w:val="00A17CB2"/>
    <w:rsid w:val="00A20573"/>
    <w:rsid w:val="00A21A3A"/>
    <w:rsid w:val="00A21C5D"/>
    <w:rsid w:val="00A2278C"/>
    <w:rsid w:val="00A23191"/>
    <w:rsid w:val="00A23E22"/>
    <w:rsid w:val="00A23FA4"/>
    <w:rsid w:val="00A27EA5"/>
    <w:rsid w:val="00A319C0"/>
    <w:rsid w:val="00A33560"/>
    <w:rsid w:val="00A356E2"/>
    <w:rsid w:val="00A35FD5"/>
    <w:rsid w:val="00A364E4"/>
    <w:rsid w:val="00A371A5"/>
    <w:rsid w:val="00A41458"/>
    <w:rsid w:val="00A42CE4"/>
    <w:rsid w:val="00A45CA1"/>
    <w:rsid w:val="00A4628A"/>
    <w:rsid w:val="00A47BDF"/>
    <w:rsid w:val="00A512EA"/>
    <w:rsid w:val="00A51394"/>
    <w:rsid w:val="00A51CD7"/>
    <w:rsid w:val="00A52ADB"/>
    <w:rsid w:val="00A533E8"/>
    <w:rsid w:val="00A542D9"/>
    <w:rsid w:val="00A54BD4"/>
    <w:rsid w:val="00A56605"/>
    <w:rsid w:val="00A56E64"/>
    <w:rsid w:val="00A624C3"/>
    <w:rsid w:val="00A64ADA"/>
    <w:rsid w:val="00A65799"/>
    <w:rsid w:val="00A6607F"/>
    <w:rsid w:val="00A6610C"/>
    <w:rsid w:val="00A6641C"/>
    <w:rsid w:val="00A7160F"/>
    <w:rsid w:val="00A72D01"/>
    <w:rsid w:val="00A73AAB"/>
    <w:rsid w:val="00A73E87"/>
    <w:rsid w:val="00A74BAE"/>
    <w:rsid w:val="00A74CA6"/>
    <w:rsid w:val="00A767D2"/>
    <w:rsid w:val="00A77616"/>
    <w:rsid w:val="00A805DA"/>
    <w:rsid w:val="00A807AE"/>
    <w:rsid w:val="00A811B4"/>
    <w:rsid w:val="00A81F36"/>
    <w:rsid w:val="00A82403"/>
    <w:rsid w:val="00A827DD"/>
    <w:rsid w:val="00A8280A"/>
    <w:rsid w:val="00A83D4B"/>
    <w:rsid w:val="00A84128"/>
    <w:rsid w:val="00A85170"/>
    <w:rsid w:val="00A8707A"/>
    <w:rsid w:val="00A87CDE"/>
    <w:rsid w:val="00A901A0"/>
    <w:rsid w:val="00A90545"/>
    <w:rsid w:val="00A90DA9"/>
    <w:rsid w:val="00A92BAF"/>
    <w:rsid w:val="00A93B9B"/>
    <w:rsid w:val="00A94737"/>
    <w:rsid w:val="00A94BA3"/>
    <w:rsid w:val="00A94ED2"/>
    <w:rsid w:val="00A96CBA"/>
    <w:rsid w:val="00A9780F"/>
    <w:rsid w:val="00AA24B7"/>
    <w:rsid w:val="00AA2AB2"/>
    <w:rsid w:val="00AA33EA"/>
    <w:rsid w:val="00AA3AB3"/>
    <w:rsid w:val="00AA5D6A"/>
    <w:rsid w:val="00AA64B4"/>
    <w:rsid w:val="00AA73F1"/>
    <w:rsid w:val="00AA756D"/>
    <w:rsid w:val="00AA7CAA"/>
    <w:rsid w:val="00AB021A"/>
    <w:rsid w:val="00AB0B22"/>
    <w:rsid w:val="00AB0FED"/>
    <w:rsid w:val="00AB1ACD"/>
    <w:rsid w:val="00AB1B36"/>
    <w:rsid w:val="00AB1E76"/>
    <w:rsid w:val="00AB2483"/>
    <w:rsid w:val="00AB277F"/>
    <w:rsid w:val="00AB347B"/>
    <w:rsid w:val="00AB3BC3"/>
    <w:rsid w:val="00AB4099"/>
    <w:rsid w:val="00AB449A"/>
    <w:rsid w:val="00AB5E08"/>
    <w:rsid w:val="00AB6E0E"/>
    <w:rsid w:val="00AC082F"/>
    <w:rsid w:val="00AC1BC8"/>
    <w:rsid w:val="00AC2831"/>
    <w:rsid w:val="00AC54A5"/>
    <w:rsid w:val="00AC715C"/>
    <w:rsid w:val="00AC7171"/>
    <w:rsid w:val="00AC74E4"/>
    <w:rsid w:val="00AD14F9"/>
    <w:rsid w:val="00AD207F"/>
    <w:rsid w:val="00AD29E7"/>
    <w:rsid w:val="00AD3559"/>
    <w:rsid w:val="00AD35D6"/>
    <w:rsid w:val="00AD58C5"/>
    <w:rsid w:val="00AD684E"/>
    <w:rsid w:val="00AE0F07"/>
    <w:rsid w:val="00AE36C4"/>
    <w:rsid w:val="00AE472C"/>
    <w:rsid w:val="00AE5375"/>
    <w:rsid w:val="00AE5DEB"/>
    <w:rsid w:val="00AE60F0"/>
    <w:rsid w:val="00AE6CF8"/>
    <w:rsid w:val="00AE7C75"/>
    <w:rsid w:val="00AF21B6"/>
    <w:rsid w:val="00AF255E"/>
    <w:rsid w:val="00AF4535"/>
    <w:rsid w:val="00AF4CAC"/>
    <w:rsid w:val="00AF56D7"/>
    <w:rsid w:val="00AF65E1"/>
    <w:rsid w:val="00AF7299"/>
    <w:rsid w:val="00AF7C76"/>
    <w:rsid w:val="00B00678"/>
    <w:rsid w:val="00B03E0D"/>
    <w:rsid w:val="00B040DB"/>
    <w:rsid w:val="00B054F8"/>
    <w:rsid w:val="00B05794"/>
    <w:rsid w:val="00B05A8A"/>
    <w:rsid w:val="00B05DA5"/>
    <w:rsid w:val="00B07186"/>
    <w:rsid w:val="00B071FE"/>
    <w:rsid w:val="00B1211D"/>
    <w:rsid w:val="00B1232F"/>
    <w:rsid w:val="00B14A9D"/>
    <w:rsid w:val="00B16D35"/>
    <w:rsid w:val="00B177E1"/>
    <w:rsid w:val="00B2219A"/>
    <w:rsid w:val="00B22AE6"/>
    <w:rsid w:val="00B326F3"/>
    <w:rsid w:val="00B331E2"/>
    <w:rsid w:val="00B3417F"/>
    <w:rsid w:val="00B34CFD"/>
    <w:rsid w:val="00B3581B"/>
    <w:rsid w:val="00B358B4"/>
    <w:rsid w:val="00B35AA3"/>
    <w:rsid w:val="00B3609E"/>
    <w:rsid w:val="00B36B81"/>
    <w:rsid w:val="00B36FEE"/>
    <w:rsid w:val="00B377DC"/>
    <w:rsid w:val="00B37C80"/>
    <w:rsid w:val="00B37EF0"/>
    <w:rsid w:val="00B40A30"/>
    <w:rsid w:val="00B415A7"/>
    <w:rsid w:val="00B433EE"/>
    <w:rsid w:val="00B43C23"/>
    <w:rsid w:val="00B4469E"/>
    <w:rsid w:val="00B47DBB"/>
    <w:rsid w:val="00B5092B"/>
    <w:rsid w:val="00B509B7"/>
    <w:rsid w:val="00B50BFA"/>
    <w:rsid w:val="00B5194E"/>
    <w:rsid w:val="00B51AF5"/>
    <w:rsid w:val="00B52249"/>
    <w:rsid w:val="00B5249E"/>
    <w:rsid w:val="00B531FC"/>
    <w:rsid w:val="00B53B4A"/>
    <w:rsid w:val="00B55347"/>
    <w:rsid w:val="00B555EB"/>
    <w:rsid w:val="00B56E26"/>
    <w:rsid w:val="00B57819"/>
    <w:rsid w:val="00B57E5E"/>
    <w:rsid w:val="00B61934"/>
    <w:rsid w:val="00B61F37"/>
    <w:rsid w:val="00B623EC"/>
    <w:rsid w:val="00B62D61"/>
    <w:rsid w:val="00B63FBD"/>
    <w:rsid w:val="00B65EBD"/>
    <w:rsid w:val="00B6741F"/>
    <w:rsid w:val="00B67799"/>
    <w:rsid w:val="00B70703"/>
    <w:rsid w:val="00B70928"/>
    <w:rsid w:val="00B71DC1"/>
    <w:rsid w:val="00B724DC"/>
    <w:rsid w:val="00B73837"/>
    <w:rsid w:val="00B74736"/>
    <w:rsid w:val="00B7770F"/>
    <w:rsid w:val="00B77A89"/>
    <w:rsid w:val="00B77B27"/>
    <w:rsid w:val="00B77E24"/>
    <w:rsid w:val="00B8134E"/>
    <w:rsid w:val="00B81B55"/>
    <w:rsid w:val="00B84613"/>
    <w:rsid w:val="00B87AF0"/>
    <w:rsid w:val="00B902DC"/>
    <w:rsid w:val="00B9037B"/>
    <w:rsid w:val="00B910BD"/>
    <w:rsid w:val="00B9189C"/>
    <w:rsid w:val="00B93834"/>
    <w:rsid w:val="00B93ADC"/>
    <w:rsid w:val="00B9425E"/>
    <w:rsid w:val="00B961E0"/>
    <w:rsid w:val="00B96469"/>
    <w:rsid w:val="00B9735A"/>
    <w:rsid w:val="00BA0DA2"/>
    <w:rsid w:val="00BA0FE8"/>
    <w:rsid w:val="00BA12B5"/>
    <w:rsid w:val="00BA1F73"/>
    <w:rsid w:val="00BA2981"/>
    <w:rsid w:val="00BA2BB7"/>
    <w:rsid w:val="00BA42EE"/>
    <w:rsid w:val="00BA48F9"/>
    <w:rsid w:val="00BA6196"/>
    <w:rsid w:val="00BA7AB2"/>
    <w:rsid w:val="00BB04E7"/>
    <w:rsid w:val="00BB0DCA"/>
    <w:rsid w:val="00BB2003"/>
    <w:rsid w:val="00BB2666"/>
    <w:rsid w:val="00BB3A88"/>
    <w:rsid w:val="00BB64EB"/>
    <w:rsid w:val="00BB6B80"/>
    <w:rsid w:val="00BB6EC8"/>
    <w:rsid w:val="00BC22FB"/>
    <w:rsid w:val="00BC330F"/>
    <w:rsid w:val="00BC3773"/>
    <w:rsid w:val="00BC381A"/>
    <w:rsid w:val="00BC40B0"/>
    <w:rsid w:val="00BC6470"/>
    <w:rsid w:val="00BC6D69"/>
    <w:rsid w:val="00BC6D6C"/>
    <w:rsid w:val="00BD0962"/>
    <w:rsid w:val="00BD11B6"/>
    <w:rsid w:val="00BD1EED"/>
    <w:rsid w:val="00BD22A0"/>
    <w:rsid w:val="00BD5516"/>
    <w:rsid w:val="00BD7C65"/>
    <w:rsid w:val="00BE2189"/>
    <w:rsid w:val="00BE4164"/>
    <w:rsid w:val="00BE5F66"/>
    <w:rsid w:val="00BF0DA2"/>
    <w:rsid w:val="00BF109C"/>
    <w:rsid w:val="00BF16A1"/>
    <w:rsid w:val="00BF34FA"/>
    <w:rsid w:val="00BF3C49"/>
    <w:rsid w:val="00BF4211"/>
    <w:rsid w:val="00BF52B7"/>
    <w:rsid w:val="00BF53E1"/>
    <w:rsid w:val="00BF54E5"/>
    <w:rsid w:val="00C004B6"/>
    <w:rsid w:val="00C00607"/>
    <w:rsid w:val="00C0258F"/>
    <w:rsid w:val="00C02A12"/>
    <w:rsid w:val="00C047A7"/>
    <w:rsid w:val="00C05DE5"/>
    <w:rsid w:val="00C05E56"/>
    <w:rsid w:val="00C07A73"/>
    <w:rsid w:val="00C13540"/>
    <w:rsid w:val="00C13D20"/>
    <w:rsid w:val="00C16161"/>
    <w:rsid w:val="00C17D46"/>
    <w:rsid w:val="00C2114F"/>
    <w:rsid w:val="00C23C15"/>
    <w:rsid w:val="00C25CE6"/>
    <w:rsid w:val="00C3262B"/>
    <w:rsid w:val="00C33027"/>
    <w:rsid w:val="00C360EF"/>
    <w:rsid w:val="00C36575"/>
    <w:rsid w:val="00C37667"/>
    <w:rsid w:val="00C435DB"/>
    <w:rsid w:val="00C44D73"/>
    <w:rsid w:val="00C50B42"/>
    <w:rsid w:val="00C50F53"/>
    <w:rsid w:val="00C516FF"/>
    <w:rsid w:val="00C51C28"/>
    <w:rsid w:val="00C527FD"/>
    <w:rsid w:val="00C52BFA"/>
    <w:rsid w:val="00C53276"/>
    <w:rsid w:val="00C535EE"/>
    <w:rsid w:val="00C53D1D"/>
    <w:rsid w:val="00C53F26"/>
    <w:rsid w:val="00C540BC"/>
    <w:rsid w:val="00C5499D"/>
    <w:rsid w:val="00C56680"/>
    <w:rsid w:val="00C60D4F"/>
    <w:rsid w:val="00C61D5E"/>
    <w:rsid w:val="00C63C68"/>
    <w:rsid w:val="00C64125"/>
    <w:rsid w:val="00C64F7D"/>
    <w:rsid w:val="00C658B1"/>
    <w:rsid w:val="00C67309"/>
    <w:rsid w:val="00C704C2"/>
    <w:rsid w:val="00C721BF"/>
    <w:rsid w:val="00C740C6"/>
    <w:rsid w:val="00C75830"/>
    <w:rsid w:val="00C76061"/>
    <w:rsid w:val="00C7614E"/>
    <w:rsid w:val="00C77BF1"/>
    <w:rsid w:val="00C80D60"/>
    <w:rsid w:val="00C81E0B"/>
    <w:rsid w:val="00C82FBD"/>
    <w:rsid w:val="00C85267"/>
    <w:rsid w:val="00C85B9D"/>
    <w:rsid w:val="00C8721B"/>
    <w:rsid w:val="00C87F7C"/>
    <w:rsid w:val="00C92A3B"/>
    <w:rsid w:val="00C9372C"/>
    <w:rsid w:val="00C93D5C"/>
    <w:rsid w:val="00C94200"/>
    <w:rsid w:val="00C9470E"/>
    <w:rsid w:val="00C95CEB"/>
    <w:rsid w:val="00CA00EE"/>
    <w:rsid w:val="00CA0E80"/>
    <w:rsid w:val="00CA1054"/>
    <w:rsid w:val="00CA2F2B"/>
    <w:rsid w:val="00CA3012"/>
    <w:rsid w:val="00CA5198"/>
    <w:rsid w:val="00CA63EB"/>
    <w:rsid w:val="00CA69F1"/>
    <w:rsid w:val="00CA769D"/>
    <w:rsid w:val="00CA7C59"/>
    <w:rsid w:val="00CB0C97"/>
    <w:rsid w:val="00CB310B"/>
    <w:rsid w:val="00CB50F6"/>
    <w:rsid w:val="00CB521B"/>
    <w:rsid w:val="00CB563A"/>
    <w:rsid w:val="00CB5A85"/>
    <w:rsid w:val="00CB6991"/>
    <w:rsid w:val="00CB6DE0"/>
    <w:rsid w:val="00CB77B0"/>
    <w:rsid w:val="00CC1B64"/>
    <w:rsid w:val="00CC24FF"/>
    <w:rsid w:val="00CC6194"/>
    <w:rsid w:val="00CC6305"/>
    <w:rsid w:val="00CC78A5"/>
    <w:rsid w:val="00CD0516"/>
    <w:rsid w:val="00CD074C"/>
    <w:rsid w:val="00CD1167"/>
    <w:rsid w:val="00CD1F60"/>
    <w:rsid w:val="00CD20B0"/>
    <w:rsid w:val="00CD2D49"/>
    <w:rsid w:val="00CD34C8"/>
    <w:rsid w:val="00CD3B95"/>
    <w:rsid w:val="00CD3C54"/>
    <w:rsid w:val="00CD756B"/>
    <w:rsid w:val="00CE1B69"/>
    <w:rsid w:val="00CE3799"/>
    <w:rsid w:val="00CE61C5"/>
    <w:rsid w:val="00CE69D1"/>
    <w:rsid w:val="00CE734F"/>
    <w:rsid w:val="00CE7757"/>
    <w:rsid w:val="00CF112E"/>
    <w:rsid w:val="00CF2128"/>
    <w:rsid w:val="00CF24D9"/>
    <w:rsid w:val="00CF3A41"/>
    <w:rsid w:val="00CF4A2E"/>
    <w:rsid w:val="00CF4BCD"/>
    <w:rsid w:val="00CF5F4F"/>
    <w:rsid w:val="00D02393"/>
    <w:rsid w:val="00D047F5"/>
    <w:rsid w:val="00D05B78"/>
    <w:rsid w:val="00D06ADD"/>
    <w:rsid w:val="00D06C3F"/>
    <w:rsid w:val="00D06D12"/>
    <w:rsid w:val="00D11B28"/>
    <w:rsid w:val="00D13D12"/>
    <w:rsid w:val="00D1647C"/>
    <w:rsid w:val="00D16D63"/>
    <w:rsid w:val="00D218DC"/>
    <w:rsid w:val="00D22547"/>
    <w:rsid w:val="00D2420C"/>
    <w:rsid w:val="00D245E2"/>
    <w:rsid w:val="00D24E56"/>
    <w:rsid w:val="00D25F3E"/>
    <w:rsid w:val="00D2747B"/>
    <w:rsid w:val="00D27CBC"/>
    <w:rsid w:val="00D27F94"/>
    <w:rsid w:val="00D306C8"/>
    <w:rsid w:val="00D31643"/>
    <w:rsid w:val="00D31AEB"/>
    <w:rsid w:val="00D3248E"/>
    <w:rsid w:val="00D32ECD"/>
    <w:rsid w:val="00D32EE4"/>
    <w:rsid w:val="00D333E9"/>
    <w:rsid w:val="00D34491"/>
    <w:rsid w:val="00D361E4"/>
    <w:rsid w:val="00D37FF9"/>
    <w:rsid w:val="00D41320"/>
    <w:rsid w:val="00D4139B"/>
    <w:rsid w:val="00D42A8F"/>
    <w:rsid w:val="00D42B00"/>
    <w:rsid w:val="00D42C1D"/>
    <w:rsid w:val="00D439F6"/>
    <w:rsid w:val="00D44234"/>
    <w:rsid w:val="00D459C6"/>
    <w:rsid w:val="00D45CD0"/>
    <w:rsid w:val="00D46B86"/>
    <w:rsid w:val="00D47FE1"/>
    <w:rsid w:val="00D505DF"/>
    <w:rsid w:val="00D50729"/>
    <w:rsid w:val="00D50C19"/>
    <w:rsid w:val="00D51612"/>
    <w:rsid w:val="00D526C1"/>
    <w:rsid w:val="00D5379E"/>
    <w:rsid w:val="00D55B34"/>
    <w:rsid w:val="00D57250"/>
    <w:rsid w:val="00D5790E"/>
    <w:rsid w:val="00D619FD"/>
    <w:rsid w:val="00D61ACB"/>
    <w:rsid w:val="00D61F64"/>
    <w:rsid w:val="00D62643"/>
    <w:rsid w:val="00D6377B"/>
    <w:rsid w:val="00D63F62"/>
    <w:rsid w:val="00D643EF"/>
    <w:rsid w:val="00D64C0F"/>
    <w:rsid w:val="00D65D48"/>
    <w:rsid w:val="00D67E4D"/>
    <w:rsid w:val="00D717DE"/>
    <w:rsid w:val="00D72EFE"/>
    <w:rsid w:val="00D73D5E"/>
    <w:rsid w:val="00D741D3"/>
    <w:rsid w:val="00D74A2C"/>
    <w:rsid w:val="00D75F97"/>
    <w:rsid w:val="00D76227"/>
    <w:rsid w:val="00D77DF1"/>
    <w:rsid w:val="00D81765"/>
    <w:rsid w:val="00D857D0"/>
    <w:rsid w:val="00D85C31"/>
    <w:rsid w:val="00D85C8D"/>
    <w:rsid w:val="00D86AFF"/>
    <w:rsid w:val="00D905EB"/>
    <w:rsid w:val="00D9083E"/>
    <w:rsid w:val="00D90891"/>
    <w:rsid w:val="00D92928"/>
    <w:rsid w:val="00D94591"/>
    <w:rsid w:val="00D94B93"/>
    <w:rsid w:val="00D94EE4"/>
    <w:rsid w:val="00D95464"/>
    <w:rsid w:val="00D95A44"/>
    <w:rsid w:val="00D95D16"/>
    <w:rsid w:val="00D95FC4"/>
    <w:rsid w:val="00D97C76"/>
    <w:rsid w:val="00DA0317"/>
    <w:rsid w:val="00DA1250"/>
    <w:rsid w:val="00DA5A12"/>
    <w:rsid w:val="00DA76FA"/>
    <w:rsid w:val="00DB02B4"/>
    <w:rsid w:val="00DB03EE"/>
    <w:rsid w:val="00DB16ED"/>
    <w:rsid w:val="00DB46B6"/>
    <w:rsid w:val="00DB538D"/>
    <w:rsid w:val="00DB5D73"/>
    <w:rsid w:val="00DB6391"/>
    <w:rsid w:val="00DB764B"/>
    <w:rsid w:val="00DC06A5"/>
    <w:rsid w:val="00DC09BD"/>
    <w:rsid w:val="00DC275C"/>
    <w:rsid w:val="00DC3ED2"/>
    <w:rsid w:val="00DC4B0D"/>
    <w:rsid w:val="00DC7D9E"/>
    <w:rsid w:val="00DC7FE1"/>
    <w:rsid w:val="00DD3F3F"/>
    <w:rsid w:val="00DD5572"/>
    <w:rsid w:val="00DD5C8D"/>
    <w:rsid w:val="00DD6667"/>
    <w:rsid w:val="00DD725E"/>
    <w:rsid w:val="00DE18AC"/>
    <w:rsid w:val="00DE2B2F"/>
    <w:rsid w:val="00DE5A31"/>
    <w:rsid w:val="00DE5D80"/>
    <w:rsid w:val="00DE5E22"/>
    <w:rsid w:val="00DE70B9"/>
    <w:rsid w:val="00DE77F3"/>
    <w:rsid w:val="00DF3020"/>
    <w:rsid w:val="00DF39BF"/>
    <w:rsid w:val="00DF3D37"/>
    <w:rsid w:val="00DF3ED2"/>
    <w:rsid w:val="00DF58CD"/>
    <w:rsid w:val="00DF65DE"/>
    <w:rsid w:val="00DF6610"/>
    <w:rsid w:val="00E00C9C"/>
    <w:rsid w:val="00E013FD"/>
    <w:rsid w:val="00E019A5"/>
    <w:rsid w:val="00E02EC8"/>
    <w:rsid w:val="00E02F1C"/>
    <w:rsid w:val="00E037F5"/>
    <w:rsid w:val="00E0462F"/>
    <w:rsid w:val="00E04ECB"/>
    <w:rsid w:val="00E056FF"/>
    <w:rsid w:val="00E05A09"/>
    <w:rsid w:val="00E06CA1"/>
    <w:rsid w:val="00E104A0"/>
    <w:rsid w:val="00E11A0B"/>
    <w:rsid w:val="00E11DB3"/>
    <w:rsid w:val="00E125D3"/>
    <w:rsid w:val="00E13FF2"/>
    <w:rsid w:val="00E15559"/>
    <w:rsid w:val="00E167EA"/>
    <w:rsid w:val="00E172B8"/>
    <w:rsid w:val="00E17865"/>
    <w:rsid w:val="00E17FB4"/>
    <w:rsid w:val="00E2005A"/>
    <w:rsid w:val="00E20452"/>
    <w:rsid w:val="00E20B75"/>
    <w:rsid w:val="00E214F2"/>
    <w:rsid w:val="00E2371E"/>
    <w:rsid w:val="00E24BD7"/>
    <w:rsid w:val="00E26523"/>
    <w:rsid w:val="00E26809"/>
    <w:rsid w:val="00E27218"/>
    <w:rsid w:val="00E30B29"/>
    <w:rsid w:val="00E32D80"/>
    <w:rsid w:val="00E32EB4"/>
    <w:rsid w:val="00E3412D"/>
    <w:rsid w:val="00E343D0"/>
    <w:rsid w:val="00E34CEE"/>
    <w:rsid w:val="00E35DFF"/>
    <w:rsid w:val="00E35ED2"/>
    <w:rsid w:val="00E375E4"/>
    <w:rsid w:val="00E37AB5"/>
    <w:rsid w:val="00E37BE7"/>
    <w:rsid w:val="00E40097"/>
    <w:rsid w:val="00E41BD2"/>
    <w:rsid w:val="00E45FC7"/>
    <w:rsid w:val="00E46804"/>
    <w:rsid w:val="00E47452"/>
    <w:rsid w:val="00E526B4"/>
    <w:rsid w:val="00E52A9B"/>
    <w:rsid w:val="00E556D8"/>
    <w:rsid w:val="00E567FB"/>
    <w:rsid w:val="00E56AA7"/>
    <w:rsid w:val="00E57322"/>
    <w:rsid w:val="00E60DD7"/>
    <w:rsid w:val="00E62748"/>
    <w:rsid w:val="00E628CB"/>
    <w:rsid w:val="00E62AD9"/>
    <w:rsid w:val="00E638C8"/>
    <w:rsid w:val="00E63DDF"/>
    <w:rsid w:val="00E65EB6"/>
    <w:rsid w:val="00E67640"/>
    <w:rsid w:val="00E72BD1"/>
    <w:rsid w:val="00E7509B"/>
    <w:rsid w:val="00E7606F"/>
    <w:rsid w:val="00E76D46"/>
    <w:rsid w:val="00E77888"/>
    <w:rsid w:val="00E814E9"/>
    <w:rsid w:val="00E82BA3"/>
    <w:rsid w:val="00E86590"/>
    <w:rsid w:val="00E86F46"/>
    <w:rsid w:val="00E907FF"/>
    <w:rsid w:val="00E9164E"/>
    <w:rsid w:val="00E95B52"/>
    <w:rsid w:val="00E975F0"/>
    <w:rsid w:val="00E97EE2"/>
    <w:rsid w:val="00EA0481"/>
    <w:rsid w:val="00EA08B5"/>
    <w:rsid w:val="00EA0970"/>
    <w:rsid w:val="00EA0D39"/>
    <w:rsid w:val="00EA1B1F"/>
    <w:rsid w:val="00EA3010"/>
    <w:rsid w:val="00EA340A"/>
    <w:rsid w:val="00EA3688"/>
    <w:rsid w:val="00EA3A02"/>
    <w:rsid w:val="00EA42D1"/>
    <w:rsid w:val="00EA42EF"/>
    <w:rsid w:val="00EA55E1"/>
    <w:rsid w:val="00EA7A50"/>
    <w:rsid w:val="00EB1C29"/>
    <w:rsid w:val="00EB2DD1"/>
    <w:rsid w:val="00EB2ED4"/>
    <w:rsid w:val="00EB6B37"/>
    <w:rsid w:val="00EC29FE"/>
    <w:rsid w:val="00EC35D4"/>
    <w:rsid w:val="00EC3964"/>
    <w:rsid w:val="00EC3C70"/>
    <w:rsid w:val="00EC57E7"/>
    <w:rsid w:val="00EC5DED"/>
    <w:rsid w:val="00EC645C"/>
    <w:rsid w:val="00EC71B1"/>
    <w:rsid w:val="00EC7D5E"/>
    <w:rsid w:val="00ED199A"/>
    <w:rsid w:val="00ED1E7B"/>
    <w:rsid w:val="00ED3A3D"/>
    <w:rsid w:val="00ED43ED"/>
    <w:rsid w:val="00ED5011"/>
    <w:rsid w:val="00ED538A"/>
    <w:rsid w:val="00ED6090"/>
    <w:rsid w:val="00ED6CAF"/>
    <w:rsid w:val="00ED6FBC"/>
    <w:rsid w:val="00ED7DB4"/>
    <w:rsid w:val="00ED7DFB"/>
    <w:rsid w:val="00EE0282"/>
    <w:rsid w:val="00EE0530"/>
    <w:rsid w:val="00EE2F16"/>
    <w:rsid w:val="00EE3861"/>
    <w:rsid w:val="00EE4FDB"/>
    <w:rsid w:val="00EE5B68"/>
    <w:rsid w:val="00EF0274"/>
    <w:rsid w:val="00EF0530"/>
    <w:rsid w:val="00EF2246"/>
    <w:rsid w:val="00EF25D8"/>
    <w:rsid w:val="00EF290C"/>
    <w:rsid w:val="00EF2E73"/>
    <w:rsid w:val="00EF3DC9"/>
    <w:rsid w:val="00EF68E6"/>
    <w:rsid w:val="00EF7683"/>
    <w:rsid w:val="00EF7A2D"/>
    <w:rsid w:val="00F03A63"/>
    <w:rsid w:val="00F04808"/>
    <w:rsid w:val="00F0489A"/>
    <w:rsid w:val="00F04F8D"/>
    <w:rsid w:val="00F04FB5"/>
    <w:rsid w:val="00F068F7"/>
    <w:rsid w:val="00F0755A"/>
    <w:rsid w:val="00F10AD0"/>
    <w:rsid w:val="00F1128F"/>
    <w:rsid w:val="00F116CC"/>
    <w:rsid w:val="00F12BD1"/>
    <w:rsid w:val="00F13B3D"/>
    <w:rsid w:val="00F152D5"/>
    <w:rsid w:val="00F15327"/>
    <w:rsid w:val="00F163A3"/>
    <w:rsid w:val="00F168CF"/>
    <w:rsid w:val="00F174DA"/>
    <w:rsid w:val="00F178BC"/>
    <w:rsid w:val="00F179E4"/>
    <w:rsid w:val="00F17A73"/>
    <w:rsid w:val="00F23A8B"/>
    <w:rsid w:val="00F23EEE"/>
    <w:rsid w:val="00F2555C"/>
    <w:rsid w:val="00F26979"/>
    <w:rsid w:val="00F313CD"/>
    <w:rsid w:val="00F317AC"/>
    <w:rsid w:val="00F31DF3"/>
    <w:rsid w:val="00F33AE5"/>
    <w:rsid w:val="00F34CFD"/>
    <w:rsid w:val="00F3597D"/>
    <w:rsid w:val="00F3756F"/>
    <w:rsid w:val="00F40133"/>
    <w:rsid w:val="00F403D4"/>
    <w:rsid w:val="00F41485"/>
    <w:rsid w:val="00F4376D"/>
    <w:rsid w:val="00F43C5B"/>
    <w:rsid w:val="00F43E67"/>
    <w:rsid w:val="00F45399"/>
    <w:rsid w:val="00F465EA"/>
    <w:rsid w:val="00F47910"/>
    <w:rsid w:val="00F51B6F"/>
    <w:rsid w:val="00F54E7B"/>
    <w:rsid w:val="00F555CE"/>
    <w:rsid w:val="00F55A88"/>
    <w:rsid w:val="00F57D54"/>
    <w:rsid w:val="00F6313D"/>
    <w:rsid w:val="00F652CE"/>
    <w:rsid w:val="00F6623D"/>
    <w:rsid w:val="00F66A52"/>
    <w:rsid w:val="00F72733"/>
    <w:rsid w:val="00F74005"/>
    <w:rsid w:val="00F753FB"/>
    <w:rsid w:val="00F761A6"/>
    <w:rsid w:val="00F76884"/>
    <w:rsid w:val="00F828F9"/>
    <w:rsid w:val="00F82CCB"/>
    <w:rsid w:val="00F83062"/>
    <w:rsid w:val="00F83D24"/>
    <w:rsid w:val="00F83DD9"/>
    <w:rsid w:val="00F83F40"/>
    <w:rsid w:val="00F86257"/>
    <w:rsid w:val="00F866E0"/>
    <w:rsid w:val="00F867FD"/>
    <w:rsid w:val="00F9021B"/>
    <w:rsid w:val="00F91CBF"/>
    <w:rsid w:val="00F936F7"/>
    <w:rsid w:val="00F941A0"/>
    <w:rsid w:val="00F951A8"/>
    <w:rsid w:val="00F971F7"/>
    <w:rsid w:val="00F97B8A"/>
    <w:rsid w:val="00F97D2A"/>
    <w:rsid w:val="00FA03D6"/>
    <w:rsid w:val="00FA117A"/>
    <w:rsid w:val="00FA1893"/>
    <w:rsid w:val="00FA3179"/>
    <w:rsid w:val="00FA3DC4"/>
    <w:rsid w:val="00FA467C"/>
    <w:rsid w:val="00FB00BE"/>
    <w:rsid w:val="00FB1FC1"/>
    <w:rsid w:val="00FB2708"/>
    <w:rsid w:val="00FB386A"/>
    <w:rsid w:val="00FB53AA"/>
    <w:rsid w:val="00FB5D81"/>
    <w:rsid w:val="00FB7176"/>
    <w:rsid w:val="00FB79E0"/>
    <w:rsid w:val="00FB7C9F"/>
    <w:rsid w:val="00FC0786"/>
    <w:rsid w:val="00FC49EF"/>
    <w:rsid w:val="00FC5AC4"/>
    <w:rsid w:val="00FC6D43"/>
    <w:rsid w:val="00FD0981"/>
    <w:rsid w:val="00FD32C3"/>
    <w:rsid w:val="00FD4AD7"/>
    <w:rsid w:val="00FD4BAF"/>
    <w:rsid w:val="00FD532A"/>
    <w:rsid w:val="00FD59AA"/>
    <w:rsid w:val="00FD5D4D"/>
    <w:rsid w:val="00FD6036"/>
    <w:rsid w:val="00FD60D1"/>
    <w:rsid w:val="00FE2CF9"/>
    <w:rsid w:val="00FE3649"/>
    <w:rsid w:val="00FE36E2"/>
    <w:rsid w:val="00FE3B4F"/>
    <w:rsid w:val="00FE4FD3"/>
    <w:rsid w:val="00FF11AD"/>
    <w:rsid w:val="00FF2971"/>
    <w:rsid w:val="00FF33F6"/>
    <w:rsid w:val="00FF34D4"/>
    <w:rsid w:val="00FF4679"/>
    <w:rsid w:val="00FF7739"/>
    <w:rsid w:val="00FF78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62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16A1"/>
    <w:pPr>
      <w:jc w:val="both"/>
    </w:pPr>
    <w:rPr>
      <w:rFonts w:ascii="Times New Roman" w:hAnsi="Times New Roman"/>
      <w:lang w:eastAsia="en-US"/>
    </w:rPr>
  </w:style>
  <w:style w:type="paragraph" w:styleId="Nagwek1">
    <w:name w:val="heading 1"/>
    <w:basedOn w:val="Normalny"/>
    <w:next w:val="Normalny"/>
    <w:link w:val="Nagwek1Znak"/>
    <w:uiPriority w:val="99"/>
    <w:qFormat/>
    <w:locked/>
    <w:rsid w:val="006176ED"/>
    <w:pPr>
      <w:keepNext/>
      <w:spacing w:before="240" w:after="60"/>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qFormat/>
    <w:locked/>
    <w:rsid w:val="001E541D"/>
    <w:pPr>
      <w:keepNext/>
      <w:keepLines/>
      <w:spacing w:before="40"/>
      <w:outlineLvl w:val="1"/>
    </w:pPr>
    <w:rPr>
      <w:rFonts w:ascii="Cambria" w:eastAsia="Times New Roman" w:hAnsi="Cambria"/>
      <w:color w:val="365F91"/>
      <w:sz w:val="26"/>
      <w:szCs w:val="26"/>
    </w:rPr>
  </w:style>
  <w:style w:type="paragraph" w:styleId="Nagwek3">
    <w:name w:val="heading 3"/>
    <w:basedOn w:val="Normalny"/>
    <w:next w:val="Normalny"/>
    <w:link w:val="Nagwek3Znak"/>
    <w:uiPriority w:val="99"/>
    <w:qFormat/>
    <w:locked/>
    <w:rsid w:val="00522D94"/>
    <w:pPr>
      <w:keepNext/>
      <w:spacing w:before="240" w:after="60"/>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5959"/>
    <w:rPr>
      <w:rFonts w:asciiTheme="majorHAnsi" w:eastAsiaTheme="majorEastAsia" w:hAnsiTheme="majorHAnsi" w:cstheme="majorBidi"/>
      <w:b/>
      <w:bCs/>
      <w:kern w:val="32"/>
      <w:sz w:val="32"/>
      <w:szCs w:val="32"/>
      <w:lang w:eastAsia="en-US"/>
    </w:rPr>
  </w:style>
  <w:style w:type="character" w:customStyle="1" w:styleId="Nagwek2Znak">
    <w:name w:val="Nagłówek 2 Znak"/>
    <w:basedOn w:val="Domylnaczcionkaakapitu"/>
    <w:link w:val="Nagwek2"/>
    <w:uiPriority w:val="99"/>
    <w:locked/>
    <w:rsid w:val="001E541D"/>
    <w:rPr>
      <w:rFonts w:ascii="Cambria" w:hAnsi="Cambria" w:cs="Times New Roman"/>
      <w:color w:val="365F91"/>
      <w:sz w:val="26"/>
      <w:szCs w:val="26"/>
      <w:lang w:eastAsia="en-US"/>
    </w:rPr>
  </w:style>
  <w:style w:type="character" w:customStyle="1" w:styleId="Nagwek3Znak">
    <w:name w:val="Nagłówek 3 Znak"/>
    <w:basedOn w:val="Domylnaczcionkaakapitu"/>
    <w:link w:val="Nagwek3"/>
    <w:uiPriority w:val="9"/>
    <w:semiHidden/>
    <w:rsid w:val="00AB5959"/>
    <w:rPr>
      <w:rFonts w:asciiTheme="majorHAnsi" w:eastAsiaTheme="majorEastAsia" w:hAnsiTheme="majorHAnsi" w:cstheme="majorBidi"/>
      <w:b/>
      <w:bCs/>
      <w:sz w:val="26"/>
      <w:szCs w:val="26"/>
      <w:lang w:eastAsia="en-US"/>
    </w:rPr>
  </w:style>
  <w:style w:type="table" w:styleId="Tabela-Siatka">
    <w:name w:val="Table Grid"/>
    <w:basedOn w:val="Standardowy"/>
    <w:uiPriority w:val="99"/>
    <w:rsid w:val="007646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4702C9"/>
    <w:rPr>
      <w:rFonts w:ascii="Tahoma" w:hAnsi="Tahoma"/>
      <w:sz w:val="16"/>
    </w:rPr>
  </w:style>
  <w:style w:type="paragraph" w:styleId="Nagwek">
    <w:name w:val="header"/>
    <w:basedOn w:val="Normalny"/>
    <w:link w:val="NagwekZnak"/>
    <w:uiPriority w:val="99"/>
    <w:rsid w:val="00044739"/>
    <w:pPr>
      <w:tabs>
        <w:tab w:val="center" w:pos="4536"/>
        <w:tab w:val="right" w:pos="9072"/>
      </w:tabs>
    </w:pPr>
    <w:rPr>
      <w:rFonts w:ascii="Calibri" w:hAnsi="Calibri"/>
      <w:sz w:val="20"/>
      <w:szCs w:val="20"/>
    </w:rPr>
  </w:style>
  <w:style w:type="character" w:customStyle="1" w:styleId="NagwekZnak">
    <w:name w:val="Nagłówek Znak"/>
    <w:basedOn w:val="Domylnaczcionkaakapitu"/>
    <w:link w:val="Nagwek"/>
    <w:uiPriority w:val="99"/>
    <w:locked/>
    <w:rsid w:val="00044739"/>
    <w:rPr>
      <w:lang w:eastAsia="en-US"/>
    </w:rPr>
  </w:style>
  <w:style w:type="paragraph" w:styleId="Stopka">
    <w:name w:val="footer"/>
    <w:basedOn w:val="Normalny"/>
    <w:link w:val="StopkaZnak"/>
    <w:uiPriority w:val="99"/>
    <w:rsid w:val="00044739"/>
    <w:pPr>
      <w:tabs>
        <w:tab w:val="center" w:pos="4536"/>
        <w:tab w:val="right" w:pos="9072"/>
      </w:tabs>
    </w:pPr>
    <w:rPr>
      <w:rFonts w:ascii="Calibri" w:hAnsi="Calibri"/>
      <w:sz w:val="20"/>
      <w:szCs w:val="20"/>
    </w:rPr>
  </w:style>
  <w:style w:type="character" w:customStyle="1" w:styleId="StopkaZnak">
    <w:name w:val="Stopka Znak"/>
    <w:basedOn w:val="Domylnaczcionkaakapitu"/>
    <w:link w:val="Stopka"/>
    <w:uiPriority w:val="99"/>
    <w:locked/>
    <w:rsid w:val="00044739"/>
    <w:rPr>
      <w:lang w:eastAsia="en-US"/>
    </w:rPr>
  </w:style>
  <w:style w:type="paragraph" w:styleId="Tekstprzypisukocowego">
    <w:name w:val="endnote text"/>
    <w:basedOn w:val="Normalny"/>
    <w:link w:val="TekstprzypisukocowegoZnak"/>
    <w:uiPriority w:val="99"/>
    <w:semiHidden/>
    <w:rsid w:val="00DF58CD"/>
    <w:rPr>
      <w:rFonts w:ascii="Calibri" w:hAnsi="Calibri"/>
      <w:sz w:val="20"/>
      <w:szCs w:val="20"/>
    </w:rPr>
  </w:style>
  <w:style w:type="character" w:customStyle="1" w:styleId="TekstprzypisukocowegoZnak">
    <w:name w:val="Tekst przypisu końcowego Znak"/>
    <w:basedOn w:val="Domylnaczcionkaakapitu"/>
    <w:link w:val="Tekstprzypisukocowego"/>
    <w:uiPriority w:val="99"/>
    <w:semiHidden/>
    <w:locked/>
    <w:rsid w:val="00DF58CD"/>
    <w:rPr>
      <w:sz w:val="20"/>
      <w:lang w:eastAsia="en-US"/>
    </w:rPr>
  </w:style>
  <w:style w:type="character" w:styleId="Odwoanieprzypisukocowego">
    <w:name w:val="endnote reference"/>
    <w:basedOn w:val="Domylnaczcionkaakapitu"/>
    <w:uiPriority w:val="99"/>
    <w:semiHidden/>
    <w:rsid w:val="00DF58CD"/>
    <w:rPr>
      <w:rFonts w:cs="Times New Roman"/>
      <w:vertAlign w:val="superscript"/>
    </w:rPr>
  </w:style>
  <w:style w:type="paragraph" w:styleId="Akapitzlist">
    <w:name w:val="List Paragraph"/>
    <w:basedOn w:val="Normalny"/>
    <w:uiPriority w:val="99"/>
    <w:qFormat/>
    <w:rsid w:val="00397078"/>
    <w:pPr>
      <w:ind w:left="720"/>
      <w:contextualSpacing/>
    </w:pPr>
  </w:style>
  <w:style w:type="character" w:styleId="Odwoaniedokomentarza">
    <w:name w:val="annotation reference"/>
    <w:basedOn w:val="Domylnaczcionkaakapitu"/>
    <w:uiPriority w:val="99"/>
    <w:semiHidden/>
    <w:rsid w:val="00A17CB2"/>
    <w:rPr>
      <w:rFonts w:cs="Times New Roman"/>
      <w:sz w:val="16"/>
    </w:rPr>
  </w:style>
  <w:style w:type="paragraph" w:styleId="Tekstkomentarza">
    <w:name w:val="annotation text"/>
    <w:basedOn w:val="Normalny"/>
    <w:link w:val="TekstkomentarzaZnak"/>
    <w:uiPriority w:val="99"/>
    <w:rsid w:val="00A17CB2"/>
    <w:rPr>
      <w:rFonts w:ascii="Calibri" w:hAnsi="Calibri"/>
      <w:sz w:val="20"/>
      <w:szCs w:val="20"/>
    </w:rPr>
  </w:style>
  <w:style w:type="character" w:customStyle="1" w:styleId="TekstkomentarzaZnak">
    <w:name w:val="Tekst komentarza Znak"/>
    <w:basedOn w:val="Domylnaczcionkaakapitu"/>
    <w:link w:val="Tekstkomentarza"/>
    <w:uiPriority w:val="99"/>
    <w:locked/>
    <w:rsid w:val="00A17CB2"/>
    <w:rPr>
      <w:lang w:eastAsia="en-US"/>
    </w:rPr>
  </w:style>
  <w:style w:type="paragraph" w:styleId="Tematkomentarza">
    <w:name w:val="annotation subject"/>
    <w:basedOn w:val="Tekstkomentarza"/>
    <w:next w:val="Tekstkomentarza"/>
    <w:link w:val="TematkomentarzaZnak"/>
    <w:uiPriority w:val="99"/>
    <w:semiHidden/>
    <w:rsid w:val="00A17CB2"/>
    <w:rPr>
      <w:b/>
      <w:bCs/>
    </w:rPr>
  </w:style>
  <w:style w:type="character" w:customStyle="1" w:styleId="TematkomentarzaZnak">
    <w:name w:val="Temat komentarza Znak"/>
    <w:basedOn w:val="TekstkomentarzaZnak"/>
    <w:link w:val="Tematkomentarza"/>
    <w:uiPriority w:val="99"/>
    <w:semiHidden/>
    <w:locked/>
    <w:rsid w:val="00A17CB2"/>
    <w:rPr>
      <w:b/>
      <w:lang w:eastAsia="en-US"/>
    </w:rPr>
  </w:style>
  <w:style w:type="paragraph" w:styleId="Tekstprzypisudolnego">
    <w:name w:val="footnote text"/>
    <w:basedOn w:val="Normalny"/>
    <w:link w:val="TekstprzypisudolnegoZnak"/>
    <w:uiPriority w:val="99"/>
    <w:semiHidden/>
    <w:rsid w:val="00C047A7"/>
    <w:rPr>
      <w:rFonts w:ascii="Calibri" w:hAnsi="Calibri"/>
      <w:sz w:val="20"/>
      <w:szCs w:val="20"/>
    </w:rPr>
  </w:style>
  <w:style w:type="character" w:customStyle="1" w:styleId="TekstprzypisudolnegoZnak">
    <w:name w:val="Tekst przypisu dolnego Znak"/>
    <w:basedOn w:val="Domylnaczcionkaakapitu"/>
    <w:link w:val="Tekstprzypisudolnego"/>
    <w:uiPriority w:val="99"/>
    <w:semiHidden/>
    <w:locked/>
    <w:rsid w:val="00C047A7"/>
    <w:rPr>
      <w:lang w:eastAsia="en-US"/>
    </w:rPr>
  </w:style>
  <w:style w:type="character" w:styleId="Odwoanieprzypisudolnego">
    <w:name w:val="footnote reference"/>
    <w:basedOn w:val="Domylnaczcionkaakapitu"/>
    <w:uiPriority w:val="99"/>
    <w:semiHidden/>
    <w:rsid w:val="00C047A7"/>
    <w:rPr>
      <w:rFonts w:cs="Times New Roman"/>
      <w:vertAlign w:val="superscript"/>
    </w:rPr>
  </w:style>
  <w:style w:type="character" w:styleId="Hipercze">
    <w:name w:val="Hyperlink"/>
    <w:basedOn w:val="Domylnaczcionkaakapitu"/>
    <w:uiPriority w:val="99"/>
    <w:rsid w:val="0072636A"/>
    <w:rPr>
      <w:rFonts w:cs="Times New Roman"/>
      <w:color w:val="0000FF"/>
      <w:u w:val="single"/>
    </w:rPr>
  </w:style>
  <w:style w:type="character" w:styleId="UyteHipercze">
    <w:name w:val="FollowedHyperlink"/>
    <w:basedOn w:val="Domylnaczcionkaakapitu"/>
    <w:uiPriority w:val="99"/>
    <w:semiHidden/>
    <w:rsid w:val="00801F71"/>
    <w:rPr>
      <w:rFonts w:cs="Times New Roman"/>
      <w:color w:val="800080"/>
      <w:u w:val="single"/>
    </w:rPr>
  </w:style>
  <w:style w:type="character" w:styleId="Tekstzastpczy">
    <w:name w:val="Placeholder Text"/>
    <w:basedOn w:val="Domylnaczcionkaakapitu"/>
    <w:uiPriority w:val="99"/>
    <w:semiHidden/>
    <w:rsid w:val="00EF290C"/>
    <w:rPr>
      <w:rFonts w:cs="Times New Roman"/>
      <w:color w:val="808080"/>
    </w:rPr>
  </w:style>
  <w:style w:type="paragraph" w:styleId="Podtytu">
    <w:name w:val="Subtitle"/>
    <w:basedOn w:val="Normalny"/>
    <w:next w:val="Normalny"/>
    <w:link w:val="PodtytuZnak"/>
    <w:uiPriority w:val="99"/>
    <w:qFormat/>
    <w:locked/>
    <w:rsid w:val="002B5779"/>
    <w:pPr>
      <w:spacing w:after="60"/>
      <w:jc w:val="center"/>
      <w:outlineLvl w:val="1"/>
    </w:pPr>
    <w:rPr>
      <w:rFonts w:ascii="Cambria" w:eastAsia="Times New Roman" w:hAnsi="Cambria"/>
      <w:sz w:val="24"/>
      <w:szCs w:val="24"/>
    </w:rPr>
  </w:style>
  <w:style w:type="character" w:customStyle="1" w:styleId="PodtytuZnak">
    <w:name w:val="Podtytuł Znak"/>
    <w:basedOn w:val="Domylnaczcionkaakapitu"/>
    <w:link w:val="Podtytu"/>
    <w:uiPriority w:val="99"/>
    <w:locked/>
    <w:rsid w:val="002B5779"/>
    <w:rPr>
      <w:rFonts w:ascii="Cambria" w:hAnsi="Cambria" w:cs="Times New Roman"/>
      <w:sz w:val="24"/>
      <w:szCs w:val="24"/>
      <w:lang w:eastAsia="en-US"/>
    </w:rPr>
  </w:style>
  <w:style w:type="paragraph" w:styleId="Bezodstpw">
    <w:name w:val="No Spacing"/>
    <w:uiPriority w:val="99"/>
    <w:qFormat/>
    <w:rsid w:val="002B5779"/>
    <w:rPr>
      <w:lang w:eastAsia="en-US"/>
    </w:rPr>
  </w:style>
  <w:style w:type="paragraph" w:styleId="NormalnyWeb">
    <w:name w:val="Normal (Web)"/>
    <w:basedOn w:val="Normalny"/>
    <w:uiPriority w:val="99"/>
    <w:semiHidden/>
    <w:rsid w:val="00A141B8"/>
    <w:pPr>
      <w:spacing w:before="100" w:beforeAutospacing="1" w:after="100" w:afterAutospacing="1"/>
      <w:jc w:val="left"/>
    </w:pPr>
    <w:rPr>
      <w:rFonts w:eastAsia="Times New Roman"/>
      <w:sz w:val="24"/>
      <w:szCs w:val="24"/>
      <w:lang w:eastAsia="pl-PL"/>
    </w:rPr>
  </w:style>
  <w:style w:type="character" w:customStyle="1" w:styleId="luchili">
    <w:name w:val="luc_hili"/>
    <w:basedOn w:val="Domylnaczcionkaakapitu"/>
    <w:uiPriority w:val="99"/>
    <w:rsid w:val="005601F4"/>
    <w:rPr>
      <w:rFonts w:cs="Times New Roman"/>
    </w:rPr>
  </w:style>
  <w:style w:type="character" w:customStyle="1" w:styleId="tabulatory">
    <w:name w:val="tabulatory"/>
    <w:basedOn w:val="Domylnaczcionkaakapitu"/>
    <w:uiPriority w:val="99"/>
    <w:rsid w:val="005601F4"/>
    <w:rPr>
      <w:rFonts w:cs="Times New Roman"/>
    </w:rPr>
  </w:style>
  <w:style w:type="character" w:customStyle="1" w:styleId="highlight">
    <w:name w:val="highlight"/>
    <w:basedOn w:val="Domylnaczcionkaakapitu"/>
    <w:uiPriority w:val="99"/>
    <w:rsid w:val="00F23A8B"/>
    <w:rPr>
      <w:rFonts w:cs="Times New Roman"/>
    </w:rPr>
  </w:style>
  <w:style w:type="character" w:styleId="Pogrubienie">
    <w:name w:val="Strong"/>
    <w:basedOn w:val="Domylnaczcionkaakapitu"/>
    <w:uiPriority w:val="99"/>
    <w:qFormat/>
    <w:locked/>
    <w:rsid w:val="006330D9"/>
    <w:rPr>
      <w:rFonts w:cs="Times New Roman"/>
      <w:b/>
      <w:bCs/>
    </w:rPr>
  </w:style>
  <w:style w:type="paragraph" w:customStyle="1" w:styleId="Default">
    <w:name w:val="Default"/>
    <w:uiPriority w:val="99"/>
    <w:rsid w:val="009D2438"/>
    <w:pPr>
      <w:autoSpaceDE w:val="0"/>
      <w:autoSpaceDN w:val="0"/>
      <w:adjustRightInd w:val="0"/>
    </w:pPr>
    <w:rPr>
      <w:rFonts w:cs="Calibri"/>
      <w:color w:val="000000"/>
      <w:sz w:val="24"/>
      <w:szCs w:val="24"/>
    </w:rPr>
  </w:style>
  <w:style w:type="paragraph" w:styleId="Poprawka">
    <w:name w:val="Revision"/>
    <w:hidden/>
    <w:uiPriority w:val="99"/>
    <w:semiHidden/>
    <w:rsid w:val="006B5119"/>
    <w:rPr>
      <w:rFonts w:ascii="Times New Roman" w:hAnsi="Times New Roman"/>
      <w:lang w:eastAsia="en-US"/>
    </w:rPr>
  </w:style>
  <w:style w:type="character" w:customStyle="1" w:styleId="Data1">
    <w:name w:val="Data1"/>
    <w:basedOn w:val="Domylnaczcionkaakapitu"/>
    <w:uiPriority w:val="99"/>
    <w:rsid w:val="00B37EF0"/>
    <w:rPr>
      <w:rFonts w:cs="Times New Roman"/>
    </w:rPr>
  </w:style>
  <w:style w:type="character" w:customStyle="1" w:styleId="Bodytext">
    <w:name w:val="Body text_"/>
    <w:link w:val="Tekstpodstawowy1"/>
    <w:uiPriority w:val="99"/>
    <w:locked/>
    <w:rsid w:val="00A73E87"/>
    <w:rPr>
      <w:rFonts w:ascii="Arial" w:eastAsia="Times New Roman" w:hAnsi="Arial"/>
      <w:sz w:val="22"/>
      <w:shd w:val="clear" w:color="auto" w:fill="FFFFFF"/>
    </w:rPr>
  </w:style>
  <w:style w:type="paragraph" w:customStyle="1" w:styleId="Tekstpodstawowy1">
    <w:name w:val="Tekst podstawowy1"/>
    <w:basedOn w:val="Normalny"/>
    <w:link w:val="Bodytext"/>
    <w:uiPriority w:val="99"/>
    <w:rsid w:val="00A73E87"/>
    <w:pPr>
      <w:shd w:val="clear" w:color="auto" w:fill="FFFFFF"/>
      <w:spacing w:before="60" w:after="60" w:line="240" w:lineRule="atLeast"/>
      <w:ind w:hanging="360"/>
      <w:jc w:val="left"/>
    </w:pPr>
    <w:rPr>
      <w:rFonts w:ascii="Arial" w:hAnsi="Arial"/>
      <w:lang w:eastAsia="pl-PL"/>
    </w:rPr>
  </w:style>
  <w:style w:type="character" w:customStyle="1" w:styleId="txt-new">
    <w:name w:val="txt-new"/>
    <w:basedOn w:val="Domylnaczcionkaakapitu"/>
    <w:uiPriority w:val="99"/>
    <w:rsid w:val="00C53276"/>
    <w:rPr>
      <w:rFonts w:cs="Times New Roman"/>
    </w:rPr>
  </w:style>
  <w:style w:type="paragraph" w:styleId="HTML-wstpniesformatowany">
    <w:name w:val="HTML Preformatted"/>
    <w:basedOn w:val="Normalny"/>
    <w:link w:val="HTML-wstpniesformatowanyZnak"/>
    <w:uiPriority w:val="99"/>
    <w:semiHidden/>
    <w:rsid w:val="00550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locked/>
    <w:rsid w:val="0055004E"/>
    <w:rPr>
      <w:rFonts w:ascii="Courier New" w:hAnsi="Courier New" w:cs="Courier New"/>
    </w:rPr>
  </w:style>
  <w:style w:type="paragraph" w:customStyle="1" w:styleId="ZPKTzmpktartykuempunktem">
    <w:name w:val="Z/PKT – zm. pkt artykułem (punktem)"/>
    <w:basedOn w:val="Normalny"/>
    <w:uiPriority w:val="99"/>
    <w:rsid w:val="00F178BC"/>
    <w:pPr>
      <w:spacing w:line="360" w:lineRule="auto"/>
      <w:ind w:left="1020" w:hanging="510"/>
    </w:pPr>
    <w:rPr>
      <w:rFonts w:ascii="Times" w:eastAsia="Times New Roman"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86026">
      <w:bodyDiv w:val="1"/>
      <w:marLeft w:val="0"/>
      <w:marRight w:val="0"/>
      <w:marTop w:val="0"/>
      <w:marBottom w:val="0"/>
      <w:divBdr>
        <w:top w:val="none" w:sz="0" w:space="0" w:color="auto"/>
        <w:left w:val="none" w:sz="0" w:space="0" w:color="auto"/>
        <w:bottom w:val="none" w:sz="0" w:space="0" w:color="auto"/>
        <w:right w:val="none" w:sz="0" w:space="0" w:color="auto"/>
      </w:divBdr>
    </w:div>
    <w:div w:id="178466444">
      <w:bodyDiv w:val="1"/>
      <w:marLeft w:val="0"/>
      <w:marRight w:val="0"/>
      <w:marTop w:val="0"/>
      <w:marBottom w:val="0"/>
      <w:divBdr>
        <w:top w:val="none" w:sz="0" w:space="0" w:color="auto"/>
        <w:left w:val="none" w:sz="0" w:space="0" w:color="auto"/>
        <w:bottom w:val="none" w:sz="0" w:space="0" w:color="auto"/>
        <w:right w:val="none" w:sz="0" w:space="0" w:color="auto"/>
      </w:divBdr>
    </w:div>
    <w:div w:id="858933369">
      <w:bodyDiv w:val="1"/>
      <w:marLeft w:val="0"/>
      <w:marRight w:val="0"/>
      <w:marTop w:val="0"/>
      <w:marBottom w:val="0"/>
      <w:divBdr>
        <w:top w:val="none" w:sz="0" w:space="0" w:color="auto"/>
        <w:left w:val="none" w:sz="0" w:space="0" w:color="auto"/>
        <w:bottom w:val="none" w:sz="0" w:space="0" w:color="auto"/>
        <w:right w:val="none" w:sz="0" w:space="0" w:color="auto"/>
      </w:divBdr>
    </w:div>
    <w:div w:id="1353259601">
      <w:bodyDiv w:val="1"/>
      <w:marLeft w:val="0"/>
      <w:marRight w:val="0"/>
      <w:marTop w:val="0"/>
      <w:marBottom w:val="0"/>
      <w:divBdr>
        <w:top w:val="none" w:sz="0" w:space="0" w:color="auto"/>
        <w:left w:val="none" w:sz="0" w:space="0" w:color="auto"/>
        <w:bottom w:val="none" w:sz="0" w:space="0" w:color="auto"/>
        <w:right w:val="none" w:sz="0" w:space="0" w:color="auto"/>
      </w:divBdr>
    </w:div>
    <w:div w:id="1779444192">
      <w:marLeft w:val="0"/>
      <w:marRight w:val="0"/>
      <w:marTop w:val="0"/>
      <w:marBottom w:val="0"/>
      <w:divBdr>
        <w:top w:val="none" w:sz="0" w:space="0" w:color="auto"/>
        <w:left w:val="none" w:sz="0" w:space="0" w:color="auto"/>
        <w:bottom w:val="none" w:sz="0" w:space="0" w:color="auto"/>
        <w:right w:val="none" w:sz="0" w:space="0" w:color="auto"/>
      </w:divBdr>
    </w:div>
    <w:div w:id="1779444200">
      <w:marLeft w:val="0"/>
      <w:marRight w:val="0"/>
      <w:marTop w:val="0"/>
      <w:marBottom w:val="0"/>
      <w:divBdr>
        <w:top w:val="none" w:sz="0" w:space="0" w:color="auto"/>
        <w:left w:val="none" w:sz="0" w:space="0" w:color="auto"/>
        <w:bottom w:val="none" w:sz="0" w:space="0" w:color="auto"/>
        <w:right w:val="none" w:sz="0" w:space="0" w:color="auto"/>
      </w:divBdr>
      <w:divsChild>
        <w:div w:id="1779444218">
          <w:marLeft w:val="0"/>
          <w:marRight w:val="0"/>
          <w:marTop w:val="0"/>
          <w:marBottom w:val="0"/>
          <w:divBdr>
            <w:top w:val="none" w:sz="0" w:space="0" w:color="auto"/>
            <w:left w:val="none" w:sz="0" w:space="0" w:color="auto"/>
            <w:bottom w:val="none" w:sz="0" w:space="0" w:color="auto"/>
            <w:right w:val="none" w:sz="0" w:space="0" w:color="auto"/>
          </w:divBdr>
        </w:div>
        <w:div w:id="1779444320">
          <w:marLeft w:val="0"/>
          <w:marRight w:val="0"/>
          <w:marTop w:val="0"/>
          <w:marBottom w:val="0"/>
          <w:divBdr>
            <w:top w:val="none" w:sz="0" w:space="0" w:color="auto"/>
            <w:left w:val="none" w:sz="0" w:space="0" w:color="auto"/>
            <w:bottom w:val="none" w:sz="0" w:space="0" w:color="auto"/>
            <w:right w:val="none" w:sz="0" w:space="0" w:color="auto"/>
          </w:divBdr>
        </w:div>
        <w:div w:id="1779444348">
          <w:marLeft w:val="0"/>
          <w:marRight w:val="0"/>
          <w:marTop w:val="0"/>
          <w:marBottom w:val="0"/>
          <w:divBdr>
            <w:top w:val="none" w:sz="0" w:space="0" w:color="auto"/>
            <w:left w:val="none" w:sz="0" w:space="0" w:color="auto"/>
            <w:bottom w:val="none" w:sz="0" w:space="0" w:color="auto"/>
            <w:right w:val="none" w:sz="0" w:space="0" w:color="auto"/>
          </w:divBdr>
        </w:div>
        <w:div w:id="1779444360">
          <w:marLeft w:val="0"/>
          <w:marRight w:val="0"/>
          <w:marTop w:val="0"/>
          <w:marBottom w:val="0"/>
          <w:divBdr>
            <w:top w:val="none" w:sz="0" w:space="0" w:color="auto"/>
            <w:left w:val="none" w:sz="0" w:space="0" w:color="auto"/>
            <w:bottom w:val="none" w:sz="0" w:space="0" w:color="auto"/>
            <w:right w:val="none" w:sz="0" w:space="0" w:color="auto"/>
          </w:divBdr>
        </w:div>
        <w:div w:id="1779444393">
          <w:marLeft w:val="0"/>
          <w:marRight w:val="0"/>
          <w:marTop w:val="0"/>
          <w:marBottom w:val="0"/>
          <w:divBdr>
            <w:top w:val="none" w:sz="0" w:space="0" w:color="auto"/>
            <w:left w:val="none" w:sz="0" w:space="0" w:color="auto"/>
            <w:bottom w:val="none" w:sz="0" w:space="0" w:color="auto"/>
            <w:right w:val="none" w:sz="0" w:space="0" w:color="auto"/>
          </w:divBdr>
        </w:div>
        <w:div w:id="1779444434">
          <w:marLeft w:val="0"/>
          <w:marRight w:val="0"/>
          <w:marTop w:val="0"/>
          <w:marBottom w:val="0"/>
          <w:divBdr>
            <w:top w:val="none" w:sz="0" w:space="0" w:color="auto"/>
            <w:left w:val="none" w:sz="0" w:space="0" w:color="auto"/>
            <w:bottom w:val="none" w:sz="0" w:space="0" w:color="auto"/>
            <w:right w:val="none" w:sz="0" w:space="0" w:color="auto"/>
          </w:divBdr>
        </w:div>
      </w:divsChild>
    </w:div>
    <w:div w:id="1779444204">
      <w:marLeft w:val="0"/>
      <w:marRight w:val="0"/>
      <w:marTop w:val="0"/>
      <w:marBottom w:val="0"/>
      <w:divBdr>
        <w:top w:val="none" w:sz="0" w:space="0" w:color="auto"/>
        <w:left w:val="none" w:sz="0" w:space="0" w:color="auto"/>
        <w:bottom w:val="none" w:sz="0" w:space="0" w:color="auto"/>
        <w:right w:val="none" w:sz="0" w:space="0" w:color="auto"/>
      </w:divBdr>
      <w:divsChild>
        <w:div w:id="1779444202">
          <w:marLeft w:val="0"/>
          <w:marRight w:val="0"/>
          <w:marTop w:val="0"/>
          <w:marBottom w:val="0"/>
          <w:divBdr>
            <w:top w:val="none" w:sz="0" w:space="0" w:color="auto"/>
            <w:left w:val="none" w:sz="0" w:space="0" w:color="auto"/>
            <w:bottom w:val="none" w:sz="0" w:space="0" w:color="auto"/>
            <w:right w:val="none" w:sz="0" w:space="0" w:color="auto"/>
          </w:divBdr>
        </w:div>
        <w:div w:id="1779444385">
          <w:marLeft w:val="0"/>
          <w:marRight w:val="0"/>
          <w:marTop w:val="0"/>
          <w:marBottom w:val="0"/>
          <w:divBdr>
            <w:top w:val="none" w:sz="0" w:space="0" w:color="auto"/>
            <w:left w:val="none" w:sz="0" w:space="0" w:color="auto"/>
            <w:bottom w:val="none" w:sz="0" w:space="0" w:color="auto"/>
            <w:right w:val="none" w:sz="0" w:space="0" w:color="auto"/>
          </w:divBdr>
        </w:div>
        <w:div w:id="1779444394">
          <w:marLeft w:val="0"/>
          <w:marRight w:val="0"/>
          <w:marTop w:val="0"/>
          <w:marBottom w:val="0"/>
          <w:divBdr>
            <w:top w:val="none" w:sz="0" w:space="0" w:color="auto"/>
            <w:left w:val="none" w:sz="0" w:space="0" w:color="auto"/>
            <w:bottom w:val="none" w:sz="0" w:space="0" w:color="auto"/>
            <w:right w:val="none" w:sz="0" w:space="0" w:color="auto"/>
          </w:divBdr>
        </w:div>
        <w:div w:id="1779444416">
          <w:marLeft w:val="0"/>
          <w:marRight w:val="0"/>
          <w:marTop w:val="0"/>
          <w:marBottom w:val="0"/>
          <w:divBdr>
            <w:top w:val="none" w:sz="0" w:space="0" w:color="auto"/>
            <w:left w:val="none" w:sz="0" w:space="0" w:color="auto"/>
            <w:bottom w:val="none" w:sz="0" w:space="0" w:color="auto"/>
            <w:right w:val="none" w:sz="0" w:space="0" w:color="auto"/>
          </w:divBdr>
        </w:div>
        <w:div w:id="1779444485">
          <w:marLeft w:val="0"/>
          <w:marRight w:val="0"/>
          <w:marTop w:val="0"/>
          <w:marBottom w:val="0"/>
          <w:divBdr>
            <w:top w:val="none" w:sz="0" w:space="0" w:color="auto"/>
            <w:left w:val="none" w:sz="0" w:space="0" w:color="auto"/>
            <w:bottom w:val="none" w:sz="0" w:space="0" w:color="auto"/>
            <w:right w:val="none" w:sz="0" w:space="0" w:color="auto"/>
          </w:divBdr>
        </w:div>
      </w:divsChild>
    </w:div>
    <w:div w:id="1779444205">
      <w:marLeft w:val="0"/>
      <w:marRight w:val="0"/>
      <w:marTop w:val="0"/>
      <w:marBottom w:val="0"/>
      <w:divBdr>
        <w:top w:val="none" w:sz="0" w:space="0" w:color="auto"/>
        <w:left w:val="none" w:sz="0" w:space="0" w:color="auto"/>
        <w:bottom w:val="none" w:sz="0" w:space="0" w:color="auto"/>
        <w:right w:val="none" w:sz="0" w:space="0" w:color="auto"/>
      </w:divBdr>
      <w:divsChild>
        <w:div w:id="1779444386">
          <w:marLeft w:val="0"/>
          <w:marRight w:val="0"/>
          <w:marTop w:val="0"/>
          <w:marBottom w:val="0"/>
          <w:divBdr>
            <w:top w:val="none" w:sz="0" w:space="0" w:color="auto"/>
            <w:left w:val="none" w:sz="0" w:space="0" w:color="auto"/>
            <w:bottom w:val="none" w:sz="0" w:space="0" w:color="auto"/>
            <w:right w:val="none" w:sz="0" w:space="0" w:color="auto"/>
          </w:divBdr>
        </w:div>
        <w:div w:id="1779444389">
          <w:marLeft w:val="0"/>
          <w:marRight w:val="0"/>
          <w:marTop w:val="0"/>
          <w:marBottom w:val="0"/>
          <w:divBdr>
            <w:top w:val="none" w:sz="0" w:space="0" w:color="auto"/>
            <w:left w:val="none" w:sz="0" w:space="0" w:color="auto"/>
            <w:bottom w:val="none" w:sz="0" w:space="0" w:color="auto"/>
            <w:right w:val="none" w:sz="0" w:space="0" w:color="auto"/>
          </w:divBdr>
        </w:div>
        <w:div w:id="1779444511">
          <w:marLeft w:val="0"/>
          <w:marRight w:val="0"/>
          <w:marTop w:val="0"/>
          <w:marBottom w:val="0"/>
          <w:divBdr>
            <w:top w:val="none" w:sz="0" w:space="0" w:color="auto"/>
            <w:left w:val="none" w:sz="0" w:space="0" w:color="auto"/>
            <w:bottom w:val="none" w:sz="0" w:space="0" w:color="auto"/>
            <w:right w:val="none" w:sz="0" w:space="0" w:color="auto"/>
          </w:divBdr>
        </w:div>
      </w:divsChild>
    </w:div>
    <w:div w:id="1779444208">
      <w:marLeft w:val="0"/>
      <w:marRight w:val="0"/>
      <w:marTop w:val="0"/>
      <w:marBottom w:val="0"/>
      <w:divBdr>
        <w:top w:val="none" w:sz="0" w:space="0" w:color="auto"/>
        <w:left w:val="none" w:sz="0" w:space="0" w:color="auto"/>
        <w:bottom w:val="none" w:sz="0" w:space="0" w:color="auto"/>
        <w:right w:val="none" w:sz="0" w:space="0" w:color="auto"/>
      </w:divBdr>
      <w:divsChild>
        <w:div w:id="1779444292">
          <w:marLeft w:val="0"/>
          <w:marRight w:val="0"/>
          <w:marTop w:val="0"/>
          <w:marBottom w:val="0"/>
          <w:divBdr>
            <w:top w:val="none" w:sz="0" w:space="0" w:color="auto"/>
            <w:left w:val="none" w:sz="0" w:space="0" w:color="auto"/>
            <w:bottom w:val="none" w:sz="0" w:space="0" w:color="auto"/>
            <w:right w:val="none" w:sz="0" w:space="0" w:color="auto"/>
          </w:divBdr>
        </w:div>
        <w:div w:id="1779444444">
          <w:marLeft w:val="0"/>
          <w:marRight w:val="0"/>
          <w:marTop w:val="0"/>
          <w:marBottom w:val="0"/>
          <w:divBdr>
            <w:top w:val="none" w:sz="0" w:space="0" w:color="auto"/>
            <w:left w:val="none" w:sz="0" w:space="0" w:color="auto"/>
            <w:bottom w:val="none" w:sz="0" w:space="0" w:color="auto"/>
            <w:right w:val="none" w:sz="0" w:space="0" w:color="auto"/>
          </w:divBdr>
        </w:div>
        <w:div w:id="1779444449">
          <w:marLeft w:val="0"/>
          <w:marRight w:val="0"/>
          <w:marTop w:val="0"/>
          <w:marBottom w:val="0"/>
          <w:divBdr>
            <w:top w:val="none" w:sz="0" w:space="0" w:color="auto"/>
            <w:left w:val="none" w:sz="0" w:space="0" w:color="auto"/>
            <w:bottom w:val="none" w:sz="0" w:space="0" w:color="auto"/>
            <w:right w:val="none" w:sz="0" w:space="0" w:color="auto"/>
          </w:divBdr>
        </w:div>
      </w:divsChild>
    </w:div>
    <w:div w:id="1779444211">
      <w:marLeft w:val="0"/>
      <w:marRight w:val="0"/>
      <w:marTop w:val="0"/>
      <w:marBottom w:val="0"/>
      <w:divBdr>
        <w:top w:val="none" w:sz="0" w:space="0" w:color="auto"/>
        <w:left w:val="none" w:sz="0" w:space="0" w:color="auto"/>
        <w:bottom w:val="none" w:sz="0" w:space="0" w:color="auto"/>
        <w:right w:val="none" w:sz="0" w:space="0" w:color="auto"/>
      </w:divBdr>
    </w:div>
    <w:div w:id="1779444216">
      <w:marLeft w:val="0"/>
      <w:marRight w:val="0"/>
      <w:marTop w:val="0"/>
      <w:marBottom w:val="0"/>
      <w:divBdr>
        <w:top w:val="none" w:sz="0" w:space="0" w:color="auto"/>
        <w:left w:val="none" w:sz="0" w:space="0" w:color="auto"/>
        <w:bottom w:val="none" w:sz="0" w:space="0" w:color="auto"/>
        <w:right w:val="none" w:sz="0" w:space="0" w:color="auto"/>
      </w:divBdr>
      <w:divsChild>
        <w:div w:id="1779444194">
          <w:marLeft w:val="0"/>
          <w:marRight w:val="0"/>
          <w:marTop w:val="0"/>
          <w:marBottom w:val="0"/>
          <w:divBdr>
            <w:top w:val="none" w:sz="0" w:space="0" w:color="auto"/>
            <w:left w:val="none" w:sz="0" w:space="0" w:color="auto"/>
            <w:bottom w:val="none" w:sz="0" w:space="0" w:color="auto"/>
            <w:right w:val="none" w:sz="0" w:space="0" w:color="auto"/>
          </w:divBdr>
        </w:div>
        <w:div w:id="1779444229">
          <w:marLeft w:val="0"/>
          <w:marRight w:val="0"/>
          <w:marTop w:val="0"/>
          <w:marBottom w:val="0"/>
          <w:divBdr>
            <w:top w:val="none" w:sz="0" w:space="0" w:color="auto"/>
            <w:left w:val="none" w:sz="0" w:space="0" w:color="auto"/>
            <w:bottom w:val="none" w:sz="0" w:space="0" w:color="auto"/>
            <w:right w:val="none" w:sz="0" w:space="0" w:color="auto"/>
          </w:divBdr>
        </w:div>
        <w:div w:id="1779444237">
          <w:marLeft w:val="0"/>
          <w:marRight w:val="0"/>
          <w:marTop w:val="0"/>
          <w:marBottom w:val="0"/>
          <w:divBdr>
            <w:top w:val="none" w:sz="0" w:space="0" w:color="auto"/>
            <w:left w:val="none" w:sz="0" w:space="0" w:color="auto"/>
            <w:bottom w:val="none" w:sz="0" w:space="0" w:color="auto"/>
            <w:right w:val="none" w:sz="0" w:space="0" w:color="auto"/>
          </w:divBdr>
        </w:div>
        <w:div w:id="1779444238">
          <w:marLeft w:val="0"/>
          <w:marRight w:val="0"/>
          <w:marTop w:val="0"/>
          <w:marBottom w:val="0"/>
          <w:divBdr>
            <w:top w:val="none" w:sz="0" w:space="0" w:color="auto"/>
            <w:left w:val="none" w:sz="0" w:space="0" w:color="auto"/>
            <w:bottom w:val="none" w:sz="0" w:space="0" w:color="auto"/>
            <w:right w:val="none" w:sz="0" w:space="0" w:color="auto"/>
          </w:divBdr>
        </w:div>
        <w:div w:id="1779444245">
          <w:marLeft w:val="0"/>
          <w:marRight w:val="0"/>
          <w:marTop w:val="0"/>
          <w:marBottom w:val="0"/>
          <w:divBdr>
            <w:top w:val="none" w:sz="0" w:space="0" w:color="auto"/>
            <w:left w:val="none" w:sz="0" w:space="0" w:color="auto"/>
            <w:bottom w:val="none" w:sz="0" w:space="0" w:color="auto"/>
            <w:right w:val="none" w:sz="0" w:space="0" w:color="auto"/>
          </w:divBdr>
        </w:div>
        <w:div w:id="1779444248">
          <w:marLeft w:val="0"/>
          <w:marRight w:val="0"/>
          <w:marTop w:val="0"/>
          <w:marBottom w:val="0"/>
          <w:divBdr>
            <w:top w:val="none" w:sz="0" w:space="0" w:color="auto"/>
            <w:left w:val="none" w:sz="0" w:space="0" w:color="auto"/>
            <w:bottom w:val="none" w:sz="0" w:space="0" w:color="auto"/>
            <w:right w:val="none" w:sz="0" w:space="0" w:color="auto"/>
          </w:divBdr>
        </w:div>
        <w:div w:id="1779444250">
          <w:marLeft w:val="0"/>
          <w:marRight w:val="0"/>
          <w:marTop w:val="0"/>
          <w:marBottom w:val="0"/>
          <w:divBdr>
            <w:top w:val="none" w:sz="0" w:space="0" w:color="auto"/>
            <w:left w:val="none" w:sz="0" w:space="0" w:color="auto"/>
            <w:bottom w:val="none" w:sz="0" w:space="0" w:color="auto"/>
            <w:right w:val="none" w:sz="0" w:space="0" w:color="auto"/>
          </w:divBdr>
        </w:div>
        <w:div w:id="1779444254">
          <w:marLeft w:val="0"/>
          <w:marRight w:val="0"/>
          <w:marTop w:val="0"/>
          <w:marBottom w:val="0"/>
          <w:divBdr>
            <w:top w:val="none" w:sz="0" w:space="0" w:color="auto"/>
            <w:left w:val="none" w:sz="0" w:space="0" w:color="auto"/>
            <w:bottom w:val="none" w:sz="0" w:space="0" w:color="auto"/>
            <w:right w:val="none" w:sz="0" w:space="0" w:color="auto"/>
          </w:divBdr>
        </w:div>
        <w:div w:id="1779444268">
          <w:marLeft w:val="0"/>
          <w:marRight w:val="0"/>
          <w:marTop w:val="0"/>
          <w:marBottom w:val="0"/>
          <w:divBdr>
            <w:top w:val="none" w:sz="0" w:space="0" w:color="auto"/>
            <w:left w:val="none" w:sz="0" w:space="0" w:color="auto"/>
            <w:bottom w:val="none" w:sz="0" w:space="0" w:color="auto"/>
            <w:right w:val="none" w:sz="0" w:space="0" w:color="auto"/>
          </w:divBdr>
        </w:div>
        <w:div w:id="1779444273">
          <w:marLeft w:val="0"/>
          <w:marRight w:val="0"/>
          <w:marTop w:val="0"/>
          <w:marBottom w:val="0"/>
          <w:divBdr>
            <w:top w:val="none" w:sz="0" w:space="0" w:color="auto"/>
            <w:left w:val="none" w:sz="0" w:space="0" w:color="auto"/>
            <w:bottom w:val="none" w:sz="0" w:space="0" w:color="auto"/>
            <w:right w:val="none" w:sz="0" w:space="0" w:color="auto"/>
          </w:divBdr>
        </w:div>
        <w:div w:id="1779444326">
          <w:marLeft w:val="0"/>
          <w:marRight w:val="0"/>
          <w:marTop w:val="0"/>
          <w:marBottom w:val="0"/>
          <w:divBdr>
            <w:top w:val="none" w:sz="0" w:space="0" w:color="auto"/>
            <w:left w:val="none" w:sz="0" w:space="0" w:color="auto"/>
            <w:bottom w:val="none" w:sz="0" w:space="0" w:color="auto"/>
            <w:right w:val="none" w:sz="0" w:space="0" w:color="auto"/>
          </w:divBdr>
        </w:div>
        <w:div w:id="1779444332">
          <w:marLeft w:val="0"/>
          <w:marRight w:val="0"/>
          <w:marTop w:val="0"/>
          <w:marBottom w:val="0"/>
          <w:divBdr>
            <w:top w:val="none" w:sz="0" w:space="0" w:color="auto"/>
            <w:left w:val="none" w:sz="0" w:space="0" w:color="auto"/>
            <w:bottom w:val="none" w:sz="0" w:space="0" w:color="auto"/>
            <w:right w:val="none" w:sz="0" w:space="0" w:color="auto"/>
          </w:divBdr>
        </w:div>
        <w:div w:id="1779444347">
          <w:marLeft w:val="0"/>
          <w:marRight w:val="0"/>
          <w:marTop w:val="0"/>
          <w:marBottom w:val="0"/>
          <w:divBdr>
            <w:top w:val="none" w:sz="0" w:space="0" w:color="auto"/>
            <w:left w:val="none" w:sz="0" w:space="0" w:color="auto"/>
            <w:bottom w:val="none" w:sz="0" w:space="0" w:color="auto"/>
            <w:right w:val="none" w:sz="0" w:space="0" w:color="auto"/>
          </w:divBdr>
        </w:div>
        <w:div w:id="1779444352">
          <w:marLeft w:val="0"/>
          <w:marRight w:val="0"/>
          <w:marTop w:val="0"/>
          <w:marBottom w:val="0"/>
          <w:divBdr>
            <w:top w:val="none" w:sz="0" w:space="0" w:color="auto"/>
            <w:left w:val="none" w:sz="0" w:space="0" w:color="auto"/>
            <w:bottom w:val="none" w:sz="0" w:space="0" w:color="auto"/>
            <w:right w:val="none" w:sz="0" w:space="0" w:color="auto"/>
          </w:divBdr>
        </w:div>
        <w:div w:id="1779444372">
          <w:marLeft w:val="0"/>
          <w:marRight w:val="0"/>
          <w:marTop w:val="0"/>
          <w:marBottom w:val="0"/>
          <w:divBdr>
            <w:top w:val="none" w:sz="0" w:space="0" w:color="auto"/>
            <w:left w:val="none" w:sz="0" w:space="0" w:color="auto"/>
            <w:bottom w:val="none" w:sz="0" w:space="0" w:color="auto"/>
            <w:right w:val="none" w:sz="0" w:space="0" w:color="auto"/>
          </w:divBdr>
        </w:div>
        <w:div w:id="1779444376">
          <w:marLeft w:val="0"/>
          <w:marRight w:val="0"/>
          <w:marTop w:val="0"/>
          <w:marBottom w:val="0"/>
          <w:divBdr>
            <w:top w:val="none" w:sz="0" w:space="0" w:color="auto"/>
            <w:left w:val="none" w:sz="0" w:space="0" w:color="auto"/>
            <w:bottom w:val="none" w:sz="0" w:space="0" w:color="auto"/>
            <w:right w:val="none" w:sz="0" w:space="0" w:color="auto"/>
          </w:divBdr>
        </w:div>
        <w:div w:id="1779444377">
          <w:marLeft w:val="0"/>
          <w:marRight w:val="0"/>
          <w:marTop w:val="0"/>
          <w:marBottom w:val="0"/>
          <w:divBdr>
            <w:top w:val="none" w:sz="0" w:space="0" w:color="auto"/>
            <w:left w:val="none" w:sz="0" w:space="0" w:color="auto"/>
            <w:bottom w:val="none" w:sz="0" w:space="0" w:color="auto"/>
            <w:right w:val="none" w:sz="0" w:space="0" w:color="auto"/>
          </w:divBdr>
        </w:div>
        <w:div w:id="1779444396">
          <w:marLeft w:val="0"/>
          <w:marRight w:val="0"/>
          <w:marTop w:val="0"/>
          <w:marBottom w:val="0"/>
          <w:divBdr>
            <w:top w:val="none" w:sz="0" w:space="0" w:color="auto"/>
            <w:left w:val="none" w:sz="0" w:space="0" w:color="auto"/>
            <w:bottom w:val="none" w:sz="0" w:space="0" w:color="auto"/>
            <w:right w:val="none" w:sz="0" w:space="0" w:color="auto"/>
          </w:divBdr>
        </w:div>
        <w:div w:id="1779444429">
          <w:marLeft w:val="0"/>
          <w:marRight w:val="0"/>
          <w:marTop w:val="0"/>
          <w:marBottom w:val="0"/>
          <w:divBdr>
            <w:top w:val="none" w:sz="0" w:space="0" w:color="auto"/>
            <w:left w:val="none" w:sz="0" w:space="0" w:color="auto"/>
            <w:bottom w:val="none" w:sz="0" w:space="0" w:color="auto"/>
            <w:right w:val="none" w:sz="0" w:space="0" w:color="auto"/>
          </w:divBdr>
        </w:div>
        <w:div w:id="1779444435">
          <w:marLeft w:val="0"/>
          <w:marRight w:val="0"/>
          <w:marTop w:val="0"/>
          <w:marBottom w:val="0"/>
          <w:divBdr>
            <w:top w:val="none" w:sz="0" w:space="0" w:color="auto"/>
            <w:left w:val="none" w:sz="0" w:space="0" w:color="auto"/>
            <w:bottom w:val="none" w:sz="0" w:space="0" w:color="auto"/>
            <w:right w:val="none" w:sz="0" w:space="0" w:color="auto"/>
          </w:divBdr>
        </w:div>
        <w:div w:id="1779444459">
          <w:marLeft w:val="0"/>
          <w:marRight w:val="0"/>
          <w:marTop w:val="0"/>
          <w:marBottom w:val="0"/>
          <w:divBdr>
            <w:top w:val="none" w:sz="0" w:space="0" w:color="auto"/>
            <w:left w:val="none" w:sz="0" w:space="0" w:color="auto"/>
            <w:bottom w:val="none" w:sz="0" w:space="0" w:color="auto"/>
            <w:right w:val="none" w:sz="0" w:space="0" w:color="auto"/>
          </w:divBdr>
        </w:div>
        <w:div w:id="1779444500">
          <w:marLeft w:val="0"/>
          <w:marRight w:val="0"/>
          <w:marTop w:val="0"/>
          <w:marBottom w:val="0"/>
          <w:divBdr>
            <w:top w:val="none" w:sz="0" w:space="0" w:color="auto"/>
            <w:left w:val="none" w:sz="0" w:space="0" w:color="auto"/>
            <w:bottom w:val="none" w:sz="0" w:space="0" w:color="auto"/>
            <w:right w:val="none" w:sz="0" w:space="0" w:color="auto"/>
          </w:divBdr>
        </w:div>
        <w:div w:id="1779444507">
          <w:marLeft w:val="0"/>
          <w:marRight w:val="0"/>
          <w:marTop w:val="0"/>
          <w:marBottom w:val="0"/>
          <w:divBdr>
            <w:top w:val="none" w:sz="0" w:space="0" w:color="auto"/>
            <w:left w:val="none" w:sz="0" w:space="0" w:color="auto"/>
            <w:bottom w:val="none" w:sz="0" w:space="0" w:color="auto"/>
            <w:right w:val="none" w:sz="0" w:space="0" w:color="auto"/>
          </w:divBdr>
        </w:div>
        <w:div w:id="1779444512">
          <w:marLeft w:val="0"/>
          <w:marRight w:val="0"/>
          <w:marTop w:val="0"/>
          <w:marBottom w:val="0"/>
          <w:divBdr>
            <w:top w:val="none" w:sz="0" w:space="0" w:color="auto"/>
            <w:left w:val="none" w:sz="0" w:space="0" w:color="auto"/>
            <w:bottom w:val="none" w:sz="0" w:space="0" w:color="auto"/>
            <w:right w:val="none" w:sz="0" w:space="0" w:color="auto"/>
          </w:divBdr>
        </w:div>
        <w:div w:id="1779444516">
          <w:marLeft w:val="0"/>
          <w:marRight w:val="0"/>
          <w:marTop w:val="0"/>
          <w:marBottom w:val="0"/>
          <w:divBdr>
            <w:top w:val="none" w:sz="0" w:space="0" w:color="auto"/>
            <w:left w:val="none" w:sz="0" w:space="0" w:color="auto"/>
            <w:bottom w:val="none" w:sz="0" w:space="0" w:color="auto"/>
            <w:right w:val="none" w:sz="0" w:space="0" w:color="auto"/>
          </w:divBdr>
        </w:div>
        <w:div w:id="1779444541">
          <w:marLeft w:val="0"/>
          <w:marRight w:val="0"/>
          <w:marTop w:val="0"/>
          <w:marBottom w:val="0"/>
          <w:divBdr>
            <w:top w:val="none" w:sz="0" w:space="0" w:color="auto"/>
            <w:left w:val="none" w:sz="0" w:space="0" w:color="auto"/>
            <w:bottom w:val="none" w:sz="0" w:space="0" w:color="auto"/>
            <w:right w:val="none" w:sz="0" w:space="0" w:color="auto"/>
          </w:divBdr>
        </w:div>
      </w:divsChild>
    </w:div>
    <w:div w:id="1779444219">
      <w:marLeft w:val="0"/>
      <w:marRight w:val="0"/>
      <w:marTop w:val="0"/>
      <w:marBottom w:val="0"/>
      <w:divBdr>
        <w:top w:val="none" w:sz="0" w:space="0" w:color="auto"/>
        <w:left w:val="none" w:sz="0" w:space="0" w:color="auto"/>
        <w:bottom w:val="none" w:sz="0" w:space="0" w:color="auto"/>
        <w:right w:val="none" w:sz="0" w:space="0" w:color="auto"/>
      </w:divBdr>
    </w:div>
    <w:div w:id="1779444221">
      <w:marLeft w:val="0"/>
      <w:marRight w:val="0"/>
      <w:marTop w:val="0"/>
      <w:marBottom w:val="0"/>
      <w:divBdr>
        <w:top w:val="none" w:sz="0" w:space="0" w:color="auto"/>
        <w:left w:val="none" w:sz="0" w:space="0" w:color="auto"/>
        <w:bottom w:val="none" w:sz="0" w:space="0" w:color="auto"/>
        <w:right w:val="none" w:sz="0" w:space="0" w:color="auto"/>
      </w:divBdr>
      <w:divsChild>
        <w:div w:id="1779444217">
          <w:marLeft w:val="0"/>
          <w:marRight w:val="0"/>
          <w:marTop w:val="0"/>
          <w:marBottom w:val="0"/>
          <w:divBdr>
            <w:top w:val="none" w:sz="0" w:space="0" w:color="auto"/>
            <w:left w:val="none" w:sz="0" w:space="0" w:color="auto"/>
            <w:bottom w:val="none" w:sz="0" w:space="0" w:color="auto"/>
            <w:right w:val="none" w:sz="0" w:space="0" w:color="auto"/>
          </w:divBdr>
        </w:div>
        <w:div w:id="1779444255">
          <w:marLeft w:val="0"/>
          <w:marRight w:val="0"/>
          <w:marTop w:val="0"/>
          <w:marBottom w:val="0"/>
          <w:divBdr>
            <w:top w:val="none" w:sz="0" w:space="0" w:color="auto"/>
            <w:left w:val="none" w:sz="0" w:space="0" w:color="auto"/>
            <w:bottom w:val="none" w:sz="0" w:space="0" w:color="auto"/>
            <w:right w:val="none" w:sz="0" w:space="0" w:color="auto"/>
          </w:divBdr>
        </w:div>
        <w:div w:id="1779444356">
          <w:marLeft w:val="0"/>
          <w:marRight w:val="0"/>
          <w:marTop w:val="0"/>
          <w:marBottom w:val="0"/>
          <w:divBdr>
            <w:top w:val="none" w:sz="0" w:space="0" w:color="auto"/>
            <w:left w:val="none" w:sz="0" w:space="0" w:color="auto"/>
            <w:bottom w:val="none" w:sz="0" w:space="0" w:color="auto"/>
            <w:right w:val="none" w:sz="0" w:space="0" w:color="auto"/>
          </w:divBdr>
        </w:div>
        <w:div w:id="1779444380">
          <w:marLeft w:val="0"/>
          <w:marRight w:val="0"/>
          <w:marTop w:val="0"/>
          <w:marBottom w:val="0"/>
          <w:divBdr>
            <w:top w:val="none" w:sz="0" w:space="0" w:color="auto"/>
            <w:left w:val="none" w:sz="0" w:space="0" w:color="auto"/>
            <w:bottom w:val="none" w:sz="0" w:space="0" w:color="auto"/>
            <w:right w:val="none" w:sz="0" w:space="0" w:color="auto"/>
          </w:divBdr>
        </w:div>
        <w:div w:id="1779444424">
          <w:marLeft w:val="0"/>
          <w:marRight w:val="0"/>
          <w:marTop w:val="0"/>
          <w:marBottom w:val="0"/>
          <w:divBdr>
            <w:top w:val="none" w:sz="0" w:space="0" w:color="auto"/>
            <w:left w:val="none" w:sz="0" w:space="0" w:color="auto"/>
            <w:bottom w:val="none" w:sz="0" w:space="0" w:color="auto"/>
            <w:right w:val="none" w:sz="0" w:space="0" w:color="auto"/>
          </w:divBdr>
        </w:div>
      </w:divsChild>
    </w:div>
    <w:div w:id="1779444226">
      <w:marLeft w:val="0"/>
      <w:marRight w:val="0"/>
      <w:marTop w:val="0"/>
      <w:marBottom w:val="0"/>
      <w:divBdr>
        <w:top w:val="none" w:sz="0" w:space="0" w:color="auto"/>
        <w:left w:val="none" w:sz="0" w:space="0" w:color="auto"/>
        <w:bottom w:val="none" w:sz="0" w:space="0" w:color="auto"/>
        <w:right w:val="none" w:sz="0" w:space="0" w:color="auto"/>
      </w:divBdr>
      <w:divsChild>
        <w:div w:id="1779444232">
          <w:marLeft w:val="0"/>
          <w:marRight w:val="0"/>
          <w:marTop w:val="0"/>
          <w:marBottom w:val="0"/>
          <w:divBdr>
            <w:top w:val="none" w:sz="0" w:space="0" w:color="auto"/>
            <w:left w:val="none" w:sz="0" w:space="0" w:color="auto"/>
            <w:bottom w:val="none" w:sz="0" w:space="0" w:color="auto"/>
            <w:right w:val="none" w:sz="0" w:space="0" w:color="auto"/>
          </w:divBdr>
        </w:div>
        <w:div w:id="1779444259">
          <w:marLeft w:val="0"/>
          <w:marRight w:val="0"/>
          <w:marTop w:val="0"/>
          <w:marBottom w:val="0"/>
          <w:divBdr>
            <w:top w:val="none" w:sz="0" w:space="0" w:color="auto"/>
            <w:left w:val="none" w:sz="0" w:space="0" w:color="auto"/>
            <w:bottom w:val="none" w:sz="0" w:space="0" w:color="auto"/>
            <w:right w:val="none" w:sz="0" w:space="0" w:color="auto"/>
          </w:divBdr>
        </w:div>
        <w:div w:id="1779444305">
          <w:marLeft w:val="0"/>
          <w:marRight w:val="0"/>
          <w:marTop w:val="0"/>
          <w:marBottom w:val="0"/>
          <w:divBdr>
            <w:top w:val="none" w:sz="0" w:space="0" w:color="auto"/>
            <w:left w:val="none" w:sz="0" w:space="0" w:color="auto"/>
            <w:bottom w:val="none" w:sz="0" w:space="0" w:color="auto"/>
            <w:right w:val="none" w:sz="0" w:space="0" w:color="auto"/>
          </w:divBdr>
        </w:div>
        <w:div w:id="1779444317">
          <w:marLeft w:val="0"/>
          <w:marRight w:val="0"/>
          <w:marTop w:val="0"/>
          <w:marBottom w:val="0"/>
          <w:divBdr>
            <w:top w:val="none" w:sz="0" w:space="0" w:color="auto"/>
            <w:left w:val="none" w:sz="0" w:space="0" w:color="auto"/>
            <w:bottom w:val="none" w:sz="0" w:space="0" w:color="auto"/>
            <w:right w:val="none" w:sz="0" w:space="0" w:color="auto"/>
          </w:divBdr>
        </w:div>
        <w:div w:id="1779444319">
          <w:marLeft w:val="0"/>
          <w:marRight w:val="0"/>
          <w:marTop w:val="0"/>
          <w:marBottom w:val="0"/>
          <w:divBdr>
            <w:top w:val="none" w:sz="0" w:space="0" w:color="auto"/>
            <w:left w:val="none" w:sz="0" w:space="0" w:color="auto"/>
            <w:bottom w:val="none" w:sz="0" w:space="0" w:color="auto"/>
            <w:right w:val="none" w:sz="0" w:space="0" w:color="auto"/>
          </w:divBdr>
        </w:div>
        <w:div w:id="1779444321">
          <w:marLeft w:val="0"/>
          <w:marRight w:val="0"/>
          <w:marTop w:val="0"/>
          <w:marBottom w:val="0"/>
          <w:divBdr>
            <w:top w:val="none" w:sz="0" w:space="0" w:color="auto"/>
            <w:left w:val="none" w:sz="0" w:space="0" w:color="auto"/>
            <w:bottom w:val="none" w:sz="0" w:space="0" w:color="auto"/>
            <w:right w:val="none" w:sz="0" w:space="0" w:color="auto"/>
          </w:divBdr>
        </w:div>
        <w:div w:id="1779444327">
          <w:marLeft w:val="0"/>
          <w:marRight w:val="0"/>
          <w:marTop w:val="0"/>
          <w:marBottom w:val="0"/>
          <w:divBdr>
            <w:top w:val="none" w:sz="0" w:space="0" w:color="auto"/>
            <w:left w:val="none" w:sz="0" w:space="0" w:color="auto"/>
            <w:bottom w:val="none" w:sz="0" w:space="0" w:color="auto"/>
            <w:right w:val="none" w:sz="0" w:space="0" w:color="auto"/>
          </w:divBdr>
        </w:div>
        <w:div w:id="1779444328">
          <w:marLeft w:val="0"/>
          <w:marRight w:val="0"/>
          <w:marTop w:val="0"/>
          <w:marBottom w:val="0"/>
          <w:divBdr>
            <w:top w:val="none" w:sz="0" w:space="0" w:color="auto"/>
            <w:left w:val="none" w:sz="0" w:space="0" w:color="auto"/>
            <w:bottom w:val="none" w:sz="0" w:space="0" w:color="auto"/>
            <w:right w:val="none" w:sz="0" w:space="0" w:color="auto"/>
          </w:divBdr>
        </w:div>
        <w:div w:id="1779444336">
          <w:marLeft w:val="0"/>
          <w:marRight w:val="0"/>
          <w:marTop w:val="0"/>
          <w:marBottom w:val="0"/>
          <w:divBdr>
            <w:top w:val="none" w:sz="0" w:space="0" w:color="auto"/>
            <w:left w:val="none" w:sz="0" w:space="0" w:color="auto"/>
            <w:bottom w:val="none" w:sz="0" w:space="0" w:color="auto"/>
            <w:right w:val="none" w:sz="0" w:space="0" w:color="auto"/>
          </w:divBdr>
        </w:div>
        <w:div w:id="1779444366">
          <w:marLeft w:val="0"/>
          <w:marRight w:val="0"/>
          <w:marTop w:val="0"/>
          <w:marBottom w:val="0"/>
          <w:divBdr>
            <w:top w:val="none" w:sz="0" w:space="0" w:color="auto"/>
            <w:left w:val="none" w:sz="0" w:space="0" w:color="auto"/>
            <w:bottom w:val="none" w:sz="0" w:space="0" w:color="auto"/>
            <w:right w:val="none" w:sz="0" w:space="0" w:color="auto"/>
          </w:divBdr>
        </w:div>
        <w:div w:id="1779444369">
          <w:marLeft w:val="0"/>
          <w:marRight w:val="0"/>
          <w:marTop w:val="0"/>
          <w:marBottom w:val="0"/>
          <w:divBdr>
            <w:top w:val="none" w:sz="0" w:space="0" w:color="auto"/>
            <w:left w:val="none" w:sz="0" w:space="0" w:color="auto"/>
            <w:bottom w:val="none" w:sz="0" w:space="0" w:color="auto"/>
            <w:right w:val="none" w:sz="0" w:space="0" w:color="auto"/>
          </w:divBdr>
        </w:div>
        <w:div w:id="1779444374">
          <w:marLeft w:val="0"/>
          <w:marRight w:val="0"/>
          <w:marTop w:val="0"/>
          <w:marBottom w:val="0"/>
          <w:divBdr>
            <w:top w:val="none" w:sz="0" w:space="0" w:color="auto"/>
            <w:left w:val="none" w:sz="0" w:space="0" w:color="auto"/>
            <w:bottom w:val="none" w:sz="0" w:space="0" w:color="auto"/>
            <w:right w:val="none" w:sz="0" w:space="0" w:color="auto"/>
          </w:divBdr>
        </w:div>
        <w:div w:id="1779444383">
          <w:marLeft w:val="0"/>
          <w:marRight w:val="0"/>
          <w:marTop w:val="0"/>
          <w:marBottom w:val="0"/>
          <w:divBdr>
            <w:top w:val="none" w:sz="0" w:space="0" w:color="auto"/>
            <w:left w:val="none" w:sz="0" w:space="0" w:color="auto"/>
            <w:bottom w:val="none" w:sz="0" w:space="0" w:color="auto"/>
            <w:right w:val="none" w:sz="0" w:space="0" w:color="auto"/>
          </w:divBdr>
        </w:div>
        <w:div w:id="1779444391">
          <w:marLeft w:val="0"/>
          <w:marRight w:val="0"/>
          <w:marTop w:val="0"/>
          <w:marBottom w:val="0"/>
          <w:divBdr>
            <w:top w:val="none" w:sz="0" w:space="0" w:color="auto"/>
            <w:left w:val="none" w:sz="0" w:space="0" w:color="auto"/>
            <w:bottom w:val="none" w:sz="0" w:space="0" w:color="auto"/>
            <w:right w:val="none" w:sz="0" w:space="0" w:color="auto"/>
          </w:divBdr>
        </w:div>
        <w:div w:id="1779444406">
          <w:marLeft w:val="0"/>
          <w:marRight w:val="0"/>
          <w:marTop w:val="0"/>
          <w:marBottom w:val="0"/>
          <w:divBdr>
            <w:top w:val="none" w:sz="0" w:space="0" w:color="auto"/>
            <w:left w:val="none" w:sz="0" w:space="0" w:color="auto"/>
            <w:bottom w:val="none" w:sz="0" w:space="0" w:color="auto"/>
            <w:right w:val="none" w:sz="0" w:space="0" w:color="auto"/>
          </w:divBdr>
        </w:div>
        <w:div w:id="1779444407">
          <w:marLeft w:val="0"/>
          <w:marRight w:val="0"/>
          <w:marTop w:val="0"/>
          <w:marBottom w:val="0"/>
          <w:divBdr>
            <w:top w:val="none" w:sz="0" w:space="0" w:color="auto"/>
            <w:left w:val="none" w:sz="0" w:space="0" w:color="auto"/>
            <w:bottom w:val="none" w:sz="0" w:space="0" w:color="auto"/>
            <w:right w:val="none" w:sz="0" w:space="0" w:color="auto"/>
          </w:divBdr>
        </w:div>
        <w:div w:id="1779444410">
          <w:marLeft w:val="0"/>
          <w:marRight w:val="0"/>
          <w:marTop w:val="0"/>
          <w:marBottom w:val="0"/>
          <w:divBdr>
            <w:top w:val="none" w:sz="0" w:space="0" w:color="auto"/>
            <w:left w:val="none" w:sz="0" w:space="0" w:color="auto"/>
            <w:bottom w:val="none" w:sz="0" w:space="0" w:color="auto"/>
            <w:right w:val="none" w:sz="0" w:space="0" w:color="auto"/>
          </w:divBdr>
        </w:div>
        <w:div w:id="1779444422">
          <w:marLeft w:val="0"/>
          <w:marRight w:val="0"/>
          <w:marTop w:val="0"/>
          <w:marBottom w:val="0"/>
          <w:divBdr>
            <w:top w:val="none" w:sz="0" w:space="0" w:color="auto"/>
            <w:left w:val="none" w:sz="0" w:space="0" w:color="auto"/>
            <w:bottom w:val="none" w:sz="0" w:space="0" w:color="auto"/>
            <w:right w:val="none" w:sz="0" w:space="0" w:color="auto"/>
          </w:divBdr>
        </w:div>
        <w:div w:id="1779444437">
          <w:marLeft w:val="0"/>
          <w:marRight w:val="0"/>
          <w:marTop w:val="0"/>
          <w:marBottom w:val="0"/>
          <w:divBdr>
            <w:top w:val="none" w:sz="0" w:space="0" w:color="auto"/>
            <w:left w:val="none" w:sz="0" w:space="0" w:color="auto"/>
            <w:bottom w:val="none" w:sz="0" w:space="0" w:color="auto"/>
            <w:right w:val="none" w:sz="0" w:space="0" w:color="auto"/>
          </w:divBdr>
        </w:div>
        <w:div w:id="1779444452">
          <w:marLeft w:val="0"/>
          <w:marRight w:val="0"/>
          <w:marTop w:val="0"/>
          <w:marBottom w:val="0"/>
          <w:divBdr>
            <w:top w:val="none" w:sz="0" w:space="0" w:color="auto"/>
            <w:left w:val="none" w:sz="0" w:space="0" w:color="auto"/>
            <w:bottom w:val="none" w:sz="0" w:space="0" w:color="auto"/>
            <w:right w:val="none" w:sz="0" w:space="0" w:color="auto"/>
          </w:divBdr>
        </w:div>
        <w:div w:id="1779444460">
          <w:marLeft w:val="0"/>
          <w:marRight w:val="0"/>
          <w:marTop w:val="0"/>
          <w:marBottom w:val="0"/>
          <w:divBdr>
            <w:top w:val="none" w:sz="0" w:space="0" w:color="auto"/>
            <w:left w:val="none" w:sz="0" w:space="0" w:color="auto"/>
            <w:bottom w:val="none" w:sz="0" w:space="0" w:color="auto"/>
            <w:right w:val="none" w:sz="0" w:space="0" w:color="auto"/>
          </w:divBdr>
        </w:div>
        <w:div w:id="1779444477">
          <w:marLeft w:val="0"/>
          <w:marRight w:val="0"/>
          <w:marTop w:val="0"/>
          <w:marBottom w:val="0"/>
          <w:divBdr>
            <w:top w:val="none" w:sz="0" w:space="0" w:color="auto"/>
            <w:left w:val="none" w:sz="0" w:space="0" w:color="auto"/>
            <w:bottom w:val="none" w:sz="0" w:space="0" w:color="auto"/>
            <w:right w:val="none" w:sz="0" w:space="0" w:color="auto"/>
          </w:divBdr>
        </w:div>
        <w:div w:id="1779444482">
          <w:marLeft w:val="0"/>
          <w:marRight w:val="0"/>
          <w:marTop w:val="0"/>
          <w:marBottom w:val="0"/>
          <w:divBdr>
            <w:top w:val="none" w:sz="0" w:space="0" w:color="auto"/>
            <w:left w:val="none" w:sz="0" w:space="0" w:color="auto"/>
            <w:bottom w:val="none" w:sz="0" w:space="0" w:color="auto"/>
            <w:right w:val="none" w:sz="0" w:space="0" w:color="auto"/>
          </w:divBdr>
        </w:div>
        <w:div w:id="1779444499">
          <w:marLeft w:val="0"/>
          <w:marRight w:val="0"/>
          <w:marTop w:val="0"/>
          <w:marBottom w:val="0"/>
          <w:divBdr>
            <w:top w:val="none" w:sz="0" w:space="0" w:color="auto"/>
            <w:left w:val="none" w:sz="0" w:space="0" w:color="auto"/>
            <w:bottom w:val="none" w:sz="0" w:space="0" w:color="auto"/>
            <w:right w:val="none" w:sz="0" w:space="0" w:color="auto"/>
          </w:divBdr>
        </w:div>
        <w:div w:id="1779444508">
          <w:marLeft w:val="0"/>
          <w:marRight w:val="0"/>
          <w:marTop w:val="0"/>
          <w:marBottom w:val="0"/>
          <w:divBdr>
            <w:top w:val="none" w:sz="0" w:space="0" w:color="auto"/>
            <w:left w:val="none" w:sz="0" w:space="0" w:color="auto"/>
            <w:bottom w:val="none" w:sz="0" w:space="0" w:color="auto"/>
            <w:right w:val="none" w:sz="0" w:space="0" w:color="auto"/>
          </w:divBdr>
        </w:div>
        <w:div w:id="1779444513">
          <w:marLeft w:val="0"/>
          <w:marRight w:val="0"/>
          <w:marTop w:val="0"/>
          <w:marBottom w:val="0"/>
          <w:divBdr>
            <w:top w:val="none" w:sz="0" w:space="0" w:color="auto"/>
            <w:left w:val="none" w:sz="0" w:space="0" w:color="auto"/>
            <w:bottom w:val="none" w:sz="0" w:space="0" w:color="auto"/>
            <w:right w:val="none" w:sz="0" w:space="0" w:color="auto"/>
          </w:divBdr>
        </w:div>
        <w:div w:id="1779444514">
          <w:marLeft w:val="0"/>
          <w:marRight w:val="0"/>
          <w:marTop w:val="0"/>
          <w:marBottom w:val="0"/>
          <w:divBdr>
            <w:top w:val="none" w:sz="0" w:space="0" w:color="auto"/>
            <w:left w:val="none" w:sz="0" w:space="0" w:color="auto"/>
            <w:bottom w:val="none" w:sz="0" w:space="0" w:color="auto"/>
            <w:right w:val="none" w:sz="0" w:space="0" w:color="auto"/>
          </w:divBdr>
        </w:div>
        <w:div w:id="1779444530">
          <w:marLeft w:val="0"/>
          <w:marRight w:val="0"/>
          <w:marTop w:val="0"/>
          <w:marBottom w:val="0"/>
          <w:divBdr>
            <w:top w:val="none" w:sz="0" w:space="0" w:color="auto"/>
            <w:left w:val="none" w:sz="0" w:space="0" w:color="auto"/>
            <w:bottom w:val="none" w:sz="0" w:space="0" w:color="auto"/>
            <w:right w:val="none" w:sz="0" w:space="0" w:color="auto"/>
          </w:divBdr>
        </w:div>
      </w:divsChild>
    </w:div>
    <w:div w:id="1779444227">
      <w:marLeft w:val="0"/>
      <w:marRight w:val="0"/>
      <w:marTop w:val="0"/>
      <w:marBottom w:val="0"/>
      <w:divBdr>
        <w:top w:val="none" w:sz="0" w:space="0" w:color="auto"/>
        <w:left w:val="none" w:sz="0" w:space="0" w:color="auto"/>
        <w:bottom w:val="none" w:sz="0" w:space="0" w:color="auto"/>
        <w:right w:val="none" w:sz="0" w:space="0" w:color="auto"/>
      </w:divBdr>
    </w:div>
    <w:div w:id="1779444235">
      <w:marLeft w:val="0"/>
      <w:marRight w:val="0"/>
      <w:marTop w:val="0"/>
      <w:marBottom w:val="0"/>
      <w:divBdr>
        <w:top w:val="none" w:sz="0" w:space="0" w:color="auto"/>
        <w:left w:val="none" w:sz="0" w:space="0" w:color="auto"/>
        <w:bottom w:val="none" w:sz="0" w:space="0" w:color="auto"/>
        <w:right w:val="none" w:sz="0" w:space="0" w:color="auto"/>
      </w:divBdr>
    </w:div>
    <w:div w:id="1779444246">
      <w:marLeft w:val="0"/>
      <w:marRight w:val="0"/>
      <w:marTop w:val="0"/>
      <w:marBottom w:val="0"/>
      <w:divBdr>
        <w:top w:val="none" w:sz="0" w:space="0" w:color="auto"/>
        <w:left w:val="none" w:sz="0" w:space="0" w:color="auto"/>
        <w:bottom w:val="none" w:sz="0" w:space="0" w:color="auto"/>
        <w:right w:val="none" w:sz="0" w:space="0" w:color="auto"/>
      </w:divBdr>
    </w:div>
    <w:div w:id="1779444260">
      <w:marLeft w:val="0"/>
      <w:marRight w:val="0"/>
      <w:marTop w:val="0"/>
      <w:marBottom w:val="0"/>
      <w:divBdr>
        <w:top w:val="none" w:sz="0" w:space="0" w:color="auto"/>
        <w:left w:val="none" w:sz="0" w:space="0" w:color="auto"/>
        <w:bottom w:val="none" w:sz="0" w:space="0" w:color="auto"/>
        <w:right w:val="none" w:sz="0" w:space="0" w:color="auto"/>
      </w:divBdr>
    </w:div>
    <w:div w:id="1779444263">
      <w:marLeft w:val="0"/>
      <w:marRight w:val="0"/>
      <w:marTop w:val="0"/>
      <w:marBottom w:val="0"/>
      <w:divBdr>
        <w:top w:val="none" w:sz="0" w:space="0" w:color="auto"/>
        <w:left w:val="none" w:sz="0" w:space="0" w:color="auto"/>
        <w:bottom w:val="none" w:sz="0" w:space="0" w:color="auto"/>
        <w:right w:val="none" w:sz="0" w:space="0" w:color="auto"/>
      </w:divBdr>
      <w:divsChild>
        <w:div w:id="1779444207">
          <w:marLeft w:val="0"/>
          <w:marRight w:val="0"/>
          <w:marTop w:val="0"/>
          <w:marBottom w:val="0"/>
          <w:divBdr>
            <w:top w:val="none" w:sz="0" w:space="0" w:color="auto"/>
            <w:left w:val="none" w:sz="0" w:space="0" w:color="auto"/>
            <w:bottom w:val="none" w:sz="0" w:space="0" w:color="auto"/>
            <w:right w:val="none" w:sz="0" w:space="0" w:color="auto"/>
          </w:divBdr>
          <w:divsChild>
            <w:div w:id="1779444453">
              <w:marLeft w:val="0"/>
              <w:marRight w:val="0"/>
              <w:marTop w:val="0"/>
              <w:marBottom w:val="0"/>
              <w:divBdr>
                <w:top w:val="none" w:sz="0" w:space="0" w:color="auto"/>
                <w:left w:val="none" w:sz="0" w:space="0" w:color="auto"/>
                <w:bottom w:val="none" w:sz="0" w:space="0" w:color="auto"/>
                <w:right w:val="none" w:sz="0" w:space="0" w:color="auto"/>
              </w:divBdr>
            </w:div>
          </w:divsChild>
        </w:div>
        <w:div w:id="1779444289">
          <w:marLeft w:val="0"/>
          <w:marRight w:val="0"/>
          <w:marTop w:val="0"/>
          <w:marBottom w:val="0"/>
          <w:divBdr>
            <w:top w:val="none" w:sz="0" w:space="0" w:color="auto"/>
            <w:left w:val="none" w:sz="0" w:space="0" w:color="auto"/>
            <w:bottom w:val="none" w:sz="0" w:space="0" w:color="auto"/>
            <w:right w:val="none" w:sz="0" w:space="0" w:color="auto"/>
          </w:divBdr>
          <w:divsChild>
            <w:div w:id="1779444445">
              <w:marLeft w:val="0"/>
              <w:marRight w:val="0"/>
              <w:marTop w:val="0"/>
              <w:marBottom w:val="0"/>
              <w:divBdr>
                <w:top w:val="none" w:sz="0" w:space="0" w:color="auto"/>
                <w:left w:val="none" w:sz="0" w:space="0" w:color="auto"/>
                <w:bottom w:val="none" w:sz="0" w:space="0" w:color="auto"/>
                <w:right w:val="none" w:sz="0" w:space="0" w:color="auto"/>
              </w:divBdr>
            </w:div>
          </w:divsChild>
        </w:div>
        <w:div w:id="1779444318">
          <w:marLeft w:val="0"/>
          <w:marRight w:val="0"/>
          <w:marTop w:val="0"/>
          <w:marBottom w:val="0"/>
          <w:divBdr>
            <w:top w:val="none" w:sz="0" w:space="0" w:color="auto"/>
            <w:left w:val="none" w:sz="0" w:space="0" w:color="auto"/>
            <w:bottom w:val="none" w:sz="0" w:space="0" w:color="auto"/>
            <w:right w:val="none" w:sz="0" w:space="0" w:color="auto"/>
          </w:divBdr>
          <w:divsChild>
            <w:div w:id="1779444244">
              <w:marLeft w:val="0"/>
              <w:marRight w:val="0"/>
              <w:marTop w:val="0"/>
              <w:marBottom w:val="0"/>
              <w:divBdr>
                <w:top w:val="none" w:sz="0" w:space="0" w:color="auto"/>
                <w:left w:val="none" w:sz="0" w:space="0" w:color="auto"/>
                <w:bottom w:val="none" w:sz="0" w:space="0" w:color="auto"/>
                <w:right w:val="none" w:sz="0" w:space="0" w:color="auto"/>
              </w:divBdr>
            </w:div>
          </w:divsChild>
        </w:div>
        <w:div w:id="1779444351">
          <w:marLeft w:val="0"/>
          <w:marRight w:val="0"/>
          <w:marTop w:val="0"/>
          <w:marBottom w:val="0"/>
          <w:divBdr>
            <w:top w:val="none" w:sz="0" w:space="0" w:color="auto"/>
            <w:left w:val="none" w:sz="0" w:space="0" w:color="auto"/>
            <w:bottom w:val="none" w:sz="0" w:space="0" w:color="auto"/>
            <w:right w:val="none" w:sz="0" w:space="0" w:color="auto"/>
          </w:divBdr>
          <w:divsChild>
            <w:div w:id="1779444387">
              <w:marLeft w:val="0"/>
              <w:marRight w:val="0"/>
              <w:marTop w:val="0"/>
              <w:marBottom w:val="0"/>
              <w:divBdr>
                <w:top w:val="none" w:sz="0" w:space="0" w:color="auto"/>
                <w:left w:val="none" w:sz="0" w:space="0" w:color="auto"/>
                <w:bottom w:val="none" w:sz="0" w:space="0" w:color="auto"/>
                <w:right w:val="none" w:sz="0" w:space="0" w:color="auto"/>
              </w:divBdr>
              <w:divsChild>
                <w:div w:id="1779444267">
                  <w:marLeft w:val="720"/>
                  <w:marRight w:val="0"/>
                  <w:marTop w:val="0"/>
                  <w:marBottom w:val="0"/>
                  <w:divBdr>
                    <w:top w:val="none" w:sz="0" w:space="0" w:color="auto"/>
                    <w:left w:val="none" w:sz="0" w:space="0" w:color="auto"/>
                    <w:bottom w:val="none" w:sz="0" w:space="0" w:color="auto"/>
                    <w:right w:val="none" w:sz="0" w:space="0" w:color="auto"/>
                  </w:divBdr>
                </w:div>
              </w:divsChild>
            </w:div>
            <w:div w:id="1779444418">
              <w:marLeft w:val="0"/>
              <w:marRight w:val="0"/>
              <w:marTop w:val="0"/>
              <w:marBottom w:val="0"/>
              <w:divBdr>
                <w:top w:val="none" w:sz="0" w:space="0" w:color="auto"/>
                <w:left w:val="none" w:sz="0" w:space="0" w:color="auto"/>
                <w:bottom w:val="none" w:sz="0" w:space="0" w:color="auto"/>
                <w:right w:val="none" w:sz="0" w:space="0" w:color="auto"/>
              </w:divBdr>
              <w:divsChild>
                <w:div w:id="1779444199">
                  <w:marLeft w:val="720"/>
                  <w:marRight w:val="0"/>
                  <w:marTop w:val="0"/>
                  <w:marBottom w:val="0"/>
                  <w:divBdr>
                    <w:top w:val="none" w:sz="0" w:space="0" w:color="auto"/>
                    <w:left w:val="none" w:sz="0" w:space="0" w:color="auto"/>
                    <w:bottom w:val="none" w:sz="0" w:space="0" w:color="auto"/>
                    <w:right w:val="none" w:sz="0" w:space="0" w:color="auto"/>
                  </w:divBdr>
                </w:div>
              </w:divsChild>
            </w:div>
            <w:div w:id="1779444504">
              <w:marLeft w:val="0"/>
              <w:marRight w:val="0"/>
              <w:marTop w:val="0"/>
              <w:marBottom w:val="0"/>
              <w:divBdr>
                <w:top w:val="none" w:sz="0" w:space="0" w:color="auto"/>
                <w:left w:val="none" w:sz="0" w:space="0" w:color="auto"/>
                <w:bottom w:val="none" w:sz="0" w:space="0" w:color="auto"/>
                <w:right w:val="none" w:sz="0" w:space="0" w:color="auto"/>
              </w:divBdr>
            </w:div>
          </w:divsChild>
        </w:div>
        <w:div w:id="1779444414">
          <w:marLeft w:val="0"/>
          <w:marRight w:val="0"/>
          <w:marTop w:val="0"/>
          <w:marBottom w:val="0"/>
          <w:divBdr>
            <w:top w:val="none" w:sz="0" w:space="0" w:color="auto"/>
            <w:left w:val="none" w:sz="0" w:space="0" w:color="auto"/>
            <w:bottom w:val="none" w:sz="0" w:space="0" w:color="auto"/>
            <w:right w:val="none" w:sz="0" w:space="0" w:color="auto"/>
          </w:divBdr>
          <w:divsChild>
            <w:div w:id="1779444496">
              <w:marLeft w:val="0"/>
              <w:marRight w:val="0"/>
              <w:marTop w:val="0"/>
              <w:marBottom w:val="0"/>
              <w:divBdr>
                <w:top w:val="none" w:sz="0" w:space="0" w:color="auto"/>
                <w:left w:val="none" w:sz="0" w:space="0" w:color="auto"/>
                <w:bottom w:val="none" w:sz="0" w:space="0" w:color="auto"/>
                <w:right w:val="none" w:sz="0" w:space="0" w:color="auto"/>
              </w:divBdr>
            </w:div>
          </w:divsChild>
        </w:div>
        <w:div w:id="1779444503">
          <w:marLeft w:val="0"/>
          <w:marRight w:val="0"/>
          <w:marTop w:val="0"/>
          <w:marBottom w:val="0"/>
          <w:divBdr>
            <w:top w:val="none" w:sz="0" w:space="0" w:color="auto"/>
            <w:left w:val="none" w:sz="0" w:space="0" w:color="auto"/>
            <w:bottom w:val="none" w:sz="0" w:space="0" w:color="auto"/>
            <w:right w:val="none" w:sz="0" w:space="0" w:color="auto"/>
          </w:divBdr>
        </w:div>
        <w:div w:id="1779444534">
          <w:marLeft w:val="0"/>
          <w:marRight w:val="0"/>
          <w:marTop w:val="0"/>
          <w:marBottom w:val="0"/>
          <w:divBdr>
            <w:top w:val="none" w:sz="0" w:space="0" w:color="auto"/>
            <w:left w:val="none" w:sz="0" w:space="0" w:color="auto"/>
            <w:bottom w:val="none" w:sz="0" w:space="0" w:color="auto"/>
            <w:right w:val="none" w:sz="0" w:space="0" w:color="auto"/>
          </w:divBdr>
          <w:divsChild>
            <w:div w:id="1779444323">
              <w:marLeft w:val="360"/>
              <w:marRight w:val="0"/>
              <w:marTop w:val="0"/>
              <w:marBottom w:val="0"/>
              <w:divBdr>
                <w:top w:val="none" w:sz="0" w:space="0" w:color="auto"/>
                <w:left w:val="none" w:sz="0" w:space="0" w:color="auto"/>
                <w:bottom w:val="none" w:sz="0" w:space="0" w:color="auto"/>
                <w:right w:val="none" w:sz="0" w:space="0" w:color="auto"/>
              </w:divBdr>
            </w:div>
            <w:div w:id="17794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4264">
      <w:marLeft w:val="0"/>
      <w:marRight w:val="0"/>
      <w:marTop w:val="0"/>
      <w:marBottom w:val="0"/>
      <w:divBdr>
        <w:top w:val="none" w:sz="0" w:space="0" w:color="auto"/>
        <w:left w:val="none" w:sz="0" w:space="0" w:color="auto"/>
        <w:bottom w:val="none" w:sz="0" w:space="0" w:color="auto"/>
        <w:right w:val="none" w:sz="0" w:space="0" w:color="auto"/>
      </w:divBdr>
      <w:divsChild>
        <w:div w:id="1779444196">
          <w:marLeft w:val="0"/>
          <w:marRight w:val="0"/>
          <w:marTop w:val="0"/>
          <w:marBottom w:val="0"/>
          <w:divBdr>
            <w:top w:val="none" w:sz="0" w:space="0" w:color="auto"/>
            <w:left w:val="none" w:sz="0" w:space="0" w:color="auto"/>
            <w:bottom w:val="none" w:sz="0" w:space="0" w:color="auto"/>
            <w:right w:val="none" w:sz="0" w:space="0" w:color="auto"/>
          </w:divBdr>
        </w:div>
        <w:div w:id="1779444198">
          <w:marLeft w:val="0"/>
          <w:marRight w:val="0"/>
          <w:marTop w:val="0"/>
          <w:marBottom w:val="0"/>
          <w:divBdr>
            <w:top w:val="none" w:sz="0" w:space="0" w:color="auto"/>
            <w:left w:val="none" w:sz="0" w:space="0" w:color="auto"/>
            <w:bottom w:val="none" w:sz="0" w:space="0" w:color="auto"/>
            <w:right w:val="none" w:sz="0" w:space="0" w:color="auto"/>
          </w:divBdr>
        </w:div>
        <w:div w:id="1779444206">
          <w:marLeft w:val="0"/>
          <w:marRight w:val="0"/>
          <w:marTop w:val="0"/>
          <w:marBottom w:val="0"/>
          <w:divBdr>
            <w:top w:val="none" w:sz="0" w:space="0" w:color="auto"/>
            <w:left w:val="none" w:sz="0" w:space="0" w:color="auto"/>
            <w:bottom w:val="none" w:sz="0" w:space="0" w:color="auto"/>
            <w:right w:val="none" w:sz="0" w:space="0" w:color="auto"/>
          </w:divBdr>
        </w:div>
        <w:div w:id="1779444209">
          <w:marLeft w:val="0"/>
          <w:marRight w:val="0"/>
          <w:marTop w:val="0"/>
          <w:marBottom w:val="0"/>
          <w:divBdr>
            <w:top w:val="none" w:sz="0" w:space="0" w:color="auto"/>
            <w:left w:val="none" w:sz="0" w:space="0" w:color="auto"/>
            <w:bottom w:val="none" w:sz="0" w:space="0" w:color="auto"/>
            <w:right w:val="none" w:sz="0" w:space="0" w:color="auto"/>
          </w:divBdr>
        </w:div>
        <w:div w:id="1779444210">
          <w:marLeft w:val="0"/>
          <w:marRight w:val="0"/>
          <w:marTop w:val="0"/>
          <w:marBottom w:val="0"/>
          <w:divBdr>
            <w:top w:val="none" w:sz="0" w:space="0" w:color="auto"/>
            <w:left w:val="none" w:sz="0" w:space="0" w:color="auto"/>
            <w:bottom w:val="none" w:sz="0" w:space="0" w:color="auto"/>
            <w:right w:val="none" w:sz="0" w:space="0" w:color="auto"/>
          </w:divBdr>
        </w:div>
        <w:div w:id="1779444222">
          <w:marLeft w:val="0"/>
          <w:marRight w:val="0"/>
          <w:marTop w:val="0"/>
          <w:marBottom w:val="0"/>
          <w:divBdr>
            <w:top w:val="none" w:sz="0" w:space="0" w:color="auto"/>
            <w:left w:val="none" w:sz="0" w:space="0" w:color="auto"/>
            <w:bottom w:val="none" w:sz="0" w:space="0" w:color="auto"/>
            <w:right w:val="none" w:sz="0" w:space="0" w:color="auto"/>
          </w:divBdr>
        </w:div>
        <w:div w:id="1779444223">
          <w:marLeft w:val="0"/>
          <w:marRight w:val="0"/>
          <w:marTop w:val="0"/>
          <w:marBottom w:val="0"/>
          <w:divBdr>
            <w:top w:val="none" w:sz="0" w:space="0" w:color="auto"/>
            <w:left w:val="none" w:sz="0" w:space="0" w:color="auto"/>
            <w:bottom w:val="none" w:sz="0" w:space="0" w:color="auto"/>
            <w:right w:val="none" w:sz="0" w:space="0" w:color="auto"/>
          </w:divBdr>
        </w:div>
        <w:div w:id="1779444225">
          <w:marLeft w:val="0"/>
          <w:marRight w:val="0"/>
          <w:marTop w:val="0"/>
          <w:marBottom w:val="0"/>
          <w:divBdr>
            <w:top w:val="none" w:sz="0" w:space="0" w:color="auto"/>
            <w:left w:val="none" w:sz="0" w:space="0" w:color="auto"/>
            <w:bottom w:val="none" w:sz="0" w:space="0" w:color="auto"/>
            <w:right w:val="none" w:sz="0" w:space="0" w:color="auto"/>
          </w:divBdr>
        </w:div>
        <w:div w:id="1779444233">
          <w:marLeft w:val="0"/>
          <w:marRight w:val="0"/>
          <w:marTop w:val="0"/>
          <w:marBottom w:val="0"/>
          <w:divBdr>
            <w:top w:val="none" w:sz="0" w:space="0" w:color="auto"/>
            <w:left w:val="none" w:sz="0" w:space="0" w:color="auto"/>
            <w:bottom w:val="none" w:sz="0" w:space="0" w:color="auto"/>
            <w:right w:val="none" w:sz="0" w:space="0" w:color="auto"/>
          </w:divBdr>
        </w:div>
        <w:div w:id="1779444234">
          <w:marLeft w:val="0"/>
          <w:marRight w:val="0"/>
          <w:marTop w:val="0"/>
          <w:marBottom w:val="0"/>
          <w:divBdr>
            <w:top w:val="none" w:sz="0" w:space="0" w:color="auto"/>
            <w:left w:val="none" w:sz="0" w:space="0" w:color="auto"/>
            <w:bottom w:val="none" w:sz="0" w:space="0" w:color="auto"/>
            <w:right w:val="none" w:sz="0" w:space="0" w:color="auto"/>
          </w:divBdr>
        </w:div>
        <w:div w:id="1779444239">
          <w:marLeft w:val="0"/>
          <w:marRight w:val="0"/>
          <w:marTop w:val="0"/>
          <w:marBottom w:val="0"/>
          <w:divBdr>
            <w:top w:val="none" w:sz="0" w:space="0" w:color="auto"/>
            <w:left w:val="none" w:sz="0" w:space="0" w:color="auto"/>
            <w:bottom w:val="none" w:sz="0" w:space="0" w:color="auto"/>
            <w:right w:val="none" w:sz="0" w:space="0" w:color="auto"/>
          </w:divBdr>
        </w:div>
        <w:div w:id="1779444253">
          <w:marLeft w:val="0"/>
          <w:marRight w:val="0"/>
          <w:marTop w:val="0"/>
          <w:marBottom w:val="0"/>
          <w:divBdr>
            <w:top w:val="none" w:sz="0" w:space="0" w:color="auto"/>
            <w:left w:val="none" w:sz="0" w:space="0" w:color="auto"/>
            <w:bottom w:val="none" w:sz="0" w:space="0" w:color="auto"/>
            <w:right w:val="none" w:sz="0" w:space="0" w:color="auto"/>
          </w:divBdr>
        </w:div>
        <w:div w:id="1779444256">
          <w:marLeft w:val="0"/>
          <w:marRight w:val="0"/>
          <w:marTop w:val="0"/>
          <w:marBottom w:val="0"/>
          <w:divBdr>
            <w:top w:val="none" w:sz="0" w:space="0" w:color="auto"/>
            <w:left w:val="none" w:sz="0" w:space="0" w:color="auto"/>
            <w:bottom w:val="none" w:sz="0" w:space="0" w:color="auto"/>
            <w:right w:val="none" w:sz="0" w:space="0" w:color="auto"/>
          </w:divBdr>
        </w:div>
        <w:div w:id="1779444257">
          <w:marLeft w:val="0"/>
          <w:marRight w:val="0"/>
          <w:marTop w:val="0"/>
          <w:marBottom w:val="0"/>
          <w:divBdr>
            <w:top w:val="none" w:sz="0" w:space="0" w:color="auto"/>
            <w:left w:val="none" w:sz="0" w:space="0" w:color="auto"/>
            <w:bottom w:val="none" w:sz="0" w:space="0" w:color="auto"/>
            <w:right w:val="none" w:sz="0" w:space="0" w:color="auto"/>
          </w:divBdr>
        </w:div>
        <w:div w:id="1779444265">
          <w:marLeft w:val="0"/>
          <w:marRight w:val="0"/>
          <w:marTop w:val="0"/>
          <w:marBottom w:val="0"/>
          <w:divBdr>
            <w:top w:val="none" w:sz="0" w:space="0" w:color="auto"/>
            <w:left w:val="none" w:sz="0" w:space="0" w:color="auto"/>
            <w:bottom w:val="none" w:sz="0" w:space="0" w:color="auto"/>
            <w:right w:val="none" w:sz="0" w:space="0" w:color="auto"/>
          </w:divBdr>
        </w:div>
        <w:div w:id="1779444266">
          <w:marLeft w:val="0"/>
          <w:marRight w:val="0"/>
          <w:marTop w:val="0"/>
          <w:marBottom w:val="0"/>
          <w:divBdr>
            <w:top w:val="none" w:sz="0" w:space="0" w:color="auto"/>
            <w:left w:val="none" w:sz="0" w:space="0" w:color="auto"/>
            <w:bottom w:val="none" w:sz="0" w:space="0" w:color="auto"/>
            <w:right w:val="none" w:sz="0" w:space="0" w:color="auto"/>
          </w:divBdr>
        </w:div>
        <w:div w:id="1779444274">
          <w:marLeft w:val="0"/>
          <w:marRight w:val="0"/>
          <w:marTop w:val="0"/>
          <w:marBottom w:val="0"/>
          <w:divBdr>
            <w:top w:val="none" w:sz="0" w:space="0" w:color="auto"/>
            <w:left w:val="none" w:sz="0" w:space="0" w:color="auto"/>
            <w:bottom w:val="none" w:sz="0" w:space="0" w:color="auto"/>
            <w:right w:val="none" w:sz="0" w:space="0" w:color="auto"/>
          </w:divBdr>
        </w:div>
        <w:div w:id="1779444278">
          <w:marLeft w:val="0"/>
          <w:marRight w:val="0"/>
          <w:marTop w:val="0"/>
          <w:marBottom w:val="0"/>
          <w:divBdr>
            <w:top w:val="none" w:sz="0" w:space="0" w:color="auto"/>
            <w:left w:val="none" w:sz="0" w:space="0" w:color="auto"/>
            <w:bottom w:val="none" w:sz="0" w:space="0" w:color="auto"/>
            <w:right w:val="none" w:sz="0" w:space="0" w:color="auto"/>
          </w:divBdr>
        </w:div>
        <w:div w:id="1779444279">
          <w:marLeft w:val="0"/>
          <w:marRight w:val="0"/>
          <w:marTop w:val="0"/>
          <w:marBottom w:val="0"/>
          <w:divBdr>
            <w:top w:val="none" w:sz="0" w:space="0" w:color="auto"/>
            <w:left w:val="none" w:sz="0" w:space="0" w:color="auto"/>
            <w:bottom w:val="none" w:sz="0" w:space="0" w:color="auto"/>
            <w:right w:val="none" w:sz="0" w:space="0" w:color="auto"/>
          </w:divBdr>
        </w:div>
        <w:div w:id="1779444285">
          <w:marLeft w:val="0"/>
          <w:marRight w:val="0"/>
          <w:marTop w:val="0"/>
          <w:marBottom w:val="0"/>
          <w:divBdr>
            <w:top w:val="none" w:sz="0" w:space="0" w:color="auto"/>
            <w:left w:val="none" w:sz="0" w:space="0" w:color="auto"/>
            <w:bottom w:val="none" w:sz="0" w:space="0" w:color="auto"/>
            <w:right w:val="none" w:sz="0" w:space="0" w:color="auto"/>
          </w:divBdr>
        </w:div>
        <w:div w:id="1779444290">
          <w:marLeft w:val="0"/>
          <w:marRight w:val="0"/>
          <w:marTop w:val="0"/>
          <w:marBottom w:val="0"/>
          <w:divBdr>
            <w:top w:val="none" w:sz="0" w:space="0" w:color="auto"/>
            <w:left w:val="none" w:sz="0" w:space="0" w:color="auto"/>
            <w:bottom w:val="none" w:sz="0" w:space="0" w:color="auto"/>
            <w:right w:val="none" w:sz="0" w:space="0" w:color="auto"/>
          </w:divBdr>
        </w:div>
        <w:div w:id="1779444291">
          <w:marLeft w:val="0"/>
          <w:marRight w:val="0"/>
          <w:marTop w:val="0"/>
          <w:marBottom w:val="0"/>
          <w:divBdr>
            <w:top w:val="none" w:sz="0" w:space="0" w:color="auto"/>
            <w:left w:val="none" w:sz="0" w:space="0" w:color="auto"/>
            <w:bottom w:val="none" w:sz="0" w:space="0" w:color="auto"/>
            <w:right w:val="none" w:sz="0" w:space="0" w:color="auto"/>
          </w:divBdr>
        </w:div>
        <w:div w:id="1779444306">
          <w:marLeft w:val="0"/>
          <w:marRight w:val="0"/>
          <w:marTop w:val="0"/>
          <w:marBottom w:val="0"/>
          <w:divBdr>
            <w:top w:val="none" w:sz="0" w:space="0" w:color="auto"/>
            <w:left w:val="none" w:sz="0" w:space="0" w:color="auto"/>
            <w:bottom w:val="none" w:sz="0" w:space="0" w:color="auto"/>
            <w:right w:val="none" w:sz="0" w:space="0" w:color="auto"/>
          </w:divBdr>
        </w:div>
        <w:div w:id="1779444313">
          <w:marLeft w:val="0"/>
          <w:marRight w:val="0"/>
          <w:marTop w:val="0"/>
          <w:marBottom w:val="0"/>
          <w:divBdr>
            <w:top w:val="none" w:sz="0" w:space="0" w:color="auto"/>
            <w:left w:val="none" w:sz="0" w:space="0" w:color="auto"/>
            <w:bottom w:val="none" w:sz="0" w:space="0" w:color="auto"/>
            <w:right w:val="none" w:sz="0" w:space="0" w:color="auto"/>
          </w:divBdr>
        </w:div>
        <w:div w:id="1779444314">
          <w:marLeft w:val="0"/>
          <w:marRight w:val="0"/>
          <w:marTop w:val="0"/>
          <w:marBottom w:val="0"/>
          <w:divBdr>
            <w:top w:val="none" w:sz="0" w:space="0" w:color="auto"/>
            <w:left w:val="none" w:sz="0" w:space="0" w:color="auto"/>
            <w:bottom w:val="none" w:sz="0" w:space="0" w:color="auto"/>
            <w:right w:val="none" w:sz="0" w:space="0" w:color="auto"/>
          </w:divBdr>
        </w:div>
        <w:div w:id="1779444324">
          <w:marLeft w:val="0"/>
          <w:marRight w:val="0"/>
          <w:marTop w:val="0"/>
          <w:marBottom w:val="0"/>
          <w:divBdr>
            <w:top w:val="none" w:sz="0" w:space="0" w:color="auto"/>
            <w:left w:val="none" w:sz="0" w:space="0" w:color="auto"/>
            <w:bottom w:val="none" w:sz="0" w:space="0" w:color="auto"/>
            <w:right w:val="none" w:sz="0" w:space="0" w:color="auto"/>
          </w:divBdr>
        </w:div>
        <w:div w:id="1779444329">
          <w:marLeft w:val="0"/>
          <w:marRight w:val="0"/>
          <w:marTop w:val="0"/>
          <w:marBottom w:val="0"/>
          <w:divBdr>
            <w:top w:val="none" w:sz="0" w:space="0" w:color="auto"/>
            <w:left w:val="none" w:sz="0" w:space="0" w:color="auto"/>
            <w:bottom w:val="none" w:sz="0" w:space="0" w:color="auto"/>
            <w:right w:val="none" w:sz="0" w:space="0" w:color="auto"/>
          </w:divBdr>
        </w:div>
        <w:div w:id="1779444333">
          <w:marLeft w:val="0"/>
          <w:marRight w:val="0"/>
          <w:marTop w:val="0"/>
          <w:marBottom w:val="0"/>
          <w:divBdr>
            <w:top w:val="none" w:sz="0" w:space="0" w:color="auto"/>
            <w:left w:val="none" w:sz="0" w:space="0" w:color="auto"/>
            <w:bottom w:val="none" w:sz="0" w:space="0" w:color="auto"/>
            <w:right w:val="none" w:sz="0" w:space="0" w:color="auto"/>
          </w:divBdr>
        </w:div>
        <w:div w:id="1779444338">
          <w:marLeft w:val="0"/>
          <w:marRight w:val="0"/>
          <w:marTop w:val="0"/>
          <w:marBottom w:val="0"/>
          <w:divBdr>
            <w:top w:val="none" w:sz="0" w:space="0" w:color="auto"/>
            <w:left w:val="none" w:sz="0" w:space="0" w:color="auto"/>
            <w:bottom w:val="none" w:sz="0" w:space="0" w:color="auto"/>
            <w:right w:val="none" w:sz="0" w:space="0" w:color="auto"/>
          </w:divBdr>
        </w:div>
        <w:div w:id="1779444345">
          <w:marLeft w:val="0"/>
          <w:marRight w:val="0"/>
          <w:marTop w:val="0"/>
          <w:marBottom w:val="0"/>
          <w:divBdr>
            <w:top w:val="none" w:sz="0" w:space="0" w:color="auto"/>
            <w:left w:val="none" w:sz="0" w:space="0" w:color="auto"/>
            <w:bottom w:val="none" w:sz="0" w:space="0" w:color="auto"/>
            <w:right w:val="none" w:sz="0" w:space="0" w:color="auto"/>
          </w:divBdr>
        </w:div>
        <w:div w:id="1779444353">
          <w:marLeft w:val="0"/>
          <w:marRight w:val="0"/>
          <w:marTop w:val="0"/>
          <w:marBottom w:val="0"/>
          <w:divBdr>
            <w:top w:val="none" w:sz="0" w:space="0" w:color="auto"/>
            <w:left w:val="none" w:sz="0" w:space="0" w:color="auto"/>
            <w:bottom w:val="none" w:sz="0" w:space="0" w:color="auto"/>
            <w:right w:val="none" w:sz="0" w:space="0" w:color="auto"/>
          </w:divBdr>
        </w:div>
        <w:div w:id="1779444355">
          <w:marLeft w:val="0"/>
          <w:marRight w:val="0"/>
          <w:marTop w:val="0"/>
          <w:marBottom w:val="0"/>
          <w:divBdr>
            <w:top w:val="none" w:sz="0" w:space="0" w:color="auto"/>
            <w:left w:val="none" w:sz="0" w:space="0" w:color="auto"/>
            <w:bottom w:val="none" w:sz="0" w:space="0" w:color="auto"/>
            <w:right w:val="none" w:sz="0" w:space="0" w:color="auto"/>
          </w:divBdr>
        </w:div>
        <w:div w:id="1779444359">
          <w:marLeft w:val="0"/>
          <w:marRight w:val="0"/>
          <w:marTop w:val="0"/>
          <w:marBottom w:val="0"/>
          <w:divBdr>
            <w:top w:val="none" w:sz="0" w:space="0" w:color="auto"/>
            <w:left w:val="none" w:sz="0" w:space="0" w:color="auto"/>
            <w:bottom w:val="none" w:sz="0" w:space="0" w:color="auto"/>
            <w:right w:val="none" w:sz="0" w:space="0" w:color="auto"/>
          </w:divBdr>
        </w:div>
        <w:div w:id="1779444398">
          <w:marLeft w:val="0"/>
          <w:marRight w:val="0"/>
          <w:marTop w:val="0"/>
          <w:marBottom w:val="0"/>
          <w:divBdr>
            <w:top w:val="none" w:sz="0" w:space="0" w:color="auto"/>
            <w:left w:val="none" w:sz="0" w:space="0" w:color="auto"/>
            <w:bottom w:val="none" w:sz="0" w:space="0" w:color="auto"/>
            <w:right w:val="none" w:sz="0" w:space="0" w:color="auto"/>
          </w:divBdr>
        </w:div>
        <w:div w:id="1779444399">
          <w:marLeft w:val="0"/>
          <w:marRight w:val="0"/>
          <w:marTop w:val="0"/>
          <w:marBottom w:val="0"/>
          <w:divBdr>
            <w:top w:val="none" w:sz="0" w:space="0" w:color="auto"/>
            <w:left w:val="none" w:sz="0" w:space="0" w:color="auto"/>
            <w:bottom w:val="none" w:sz="0" w:space="0" w:color="auto"/>
            <w:right w:val="none" w:sz="0" w:space="0" w:color="auto"/>
          </w:divBdr>
        </w:div>
        <w:div w:id="1779444400">
          <w:marLeft w:val="0"/>
          <w:marRight w:val="0"/>
          <w:marTop w:val="0"/>
          <w:marBottom w:val="0"/>
          <w:divBdr>
            <w:top w:val="none" w:sz="0" w:space="0" w:color="auto"/>
            <w:left w:val="none" w:sz="0" w:space="0" w:color="auto"/>
            <w:bottom w:val="none" w:sz="0" w:space="0" w:color="auto"/>
            <w:right w:val="none" w:sz="0" w:space="0" w:color="auto"/>
          </w:divBdr>
        </w:div>
        <w:div w:id="1779444401">
          <w:marLeft w:val="0"/>
          <w:marRight w:val="0"/>
          <w:marTop w:val="0"/>
          <w:marBottom w:val="0"/>
          <w:divBdr>
            <w:top w:val="none" w:sz="0" w:space="0" w:color="auto"/>
            <w:left w:val="none" w:sz="0" w:space="0" w:color="auto"/>
            <w:bottom w:val="none" w:sz="0" w:space="0" w:color="auto"/>
            <w:right w:val="none" w:sz="0" w:space="0" w:color="auto"/>
          </w:divBdr>
        </w:div>
        <w:div w:id="1779444403">
          <w:marLeft w:val="0"/>
          <w:marRight w:val="0"/>
          <w:marTop w:val="0"/>
          <w:marBottom w:val="0"/>
          <w:divBdr>
            <w:top w:val="none" w:sz="0" w:space="0" w:color="auto"/>
            <w:left w:val="none" w:sz="0" w:space="0" w:color="auto"/>
            <w:bottom w:val="none" w:sz="0" w:space="0" w:color="auto"/>
            <w:right w:val="none" w:sz="0" w:space="0" w:color="auto"/>
          </w:divBdr>
        </w:div>
        <w:div w:id="1779444412">
          <w:marLeft w:val="0"/>
          <w:marRight w:val="0"/>
          <w:marTop w:val="0"/>
          <w:marBottom w:val="0"/>
          <w:divBdr>
            <w:top w:val="none" w:sz="0" w:space="0" w:color="auto"/>
            <w:left w:val="none" w:sz="0" w:space="0" w:color="auto"/>
            <w:bottom w:val="none" w:sz="0" w:space="0" w:color="auto"/>
            <w:right w:val="none" w:sz="0" w:space="0" w:color="auto"/>
          </w:divBdr>
        </w:div>
        <w:div w:id="1779444425">
          <w:marLeft w:val="0"/>
          <w:marRight w:val="0"/>
          <w:marTop w:val="0"/>
          <w:marBottom w:val="0"/>
          <w:divBdr>
            <w:top w:val="none" w:sz="0" w:space="0" w:color="auto"/>
            <w:left w:val="none" w:sz="0" w:space="0" w:color="auto"/>
            <w:bottom w:val="none" w:sz="0" w:space="0" w:color="auto"/>
            <w:right w:val="none" w:sz="0" w:space="0" w:color="auto"/>
          </w:divBdr>
        </w:div>
        <w:div w:id="1779444426">
          <w:marLeft w:val="0"/>
          <w:marRight w:val="0"/>
          <w:marTop w:val="0"/>
          <w:marBottom w:val="0"/>
          <w:divBdr>
            <w:top w:val="none" w:sz="0" w:space="0" w:color="auto"/>
            <w:left w:val="none" w:sz="0" w:space="0" w:color="auto"/>
            <w:bottom w:val="none" w:sz="0" w:space="0" w:color="auto"/>
            <w:right w:val="none" w:sz="0" w:space="0" w:color="auto"/>
          </w:divBdr>
        </w:div>
        <w:div w:id="1779444430">
          <w:marLeft w:val="0"/>
          <w:marRight w:val="0"/>
          <w:marTop w:val="0"/>
          <w:marBottom w:val="0"/>
          <w:divBdr>
            <w:top w:val="none" w:sz="0" w:space="0" w:color="auto"/>
            <w:left w:val="none" w:sz="0" w:space="0" w:color="auto"/>
            <w:bottom w:val="none" w:sz="0" w:space="0" w:color="auto"/>
            <w:right w:val="none" w:sz="0" w:space="0" w:color="auto"/>
          </w:divBdr>
        </w:div>
        <w:div w:id="1779444431">
          <w:marLeft w:val="0"/>
          <w:marRight w:val="0"/>
          <w:marTop w:val="0"/>
          <w:marBottom w:val="0"/>
          <w:divBdr>
            <w:top w:val="none" w:sz="0" w:space="0" w:color="auto"/>
            <w:left w:val="none" w:sz="0" w:space="0" w:color="auto"/>
            <w:bottom w:val="none" w:sz="0" w:space="0" w:color="auto"/>
            <w:right w:val="none" w:sz="0" w:space="0" w:color="auto"/>
          </w:divBdr>
        </w:div>
        <w:div w:id="1779444438">
          <w:marLeft w:val="0"/>
          <w:marRight w:val="0"/>
          <w:marTop w:val="0"/>
          <w:marBottom w:val="0"/>
          <w:divBdr>
            <w:top w:val="none" w:sz="0" w:space="0" w:color="auto"/>
            <w:left w:val="none" w:sz="0" w:space="0" w:color="auto"/>
            <w:bottom w:val="none" w:sz="0" w:space="0" w:color="auto"/>
            <w:right w:val="none" w:sz="0" w:space="0" w:color="auto"/>
          </w:divBdr>
        </w:div>
        <w:div w:id="1779444441">
          <w:marLeft w:val="0"/>
          <w:marRight w:val="0"/>
          <w:marTop w:val="0"/>
          <w:marBottom w:val="0"/>
          <w:divBdr>
            <w:top w:val="none" w:sz="0" w:space="0" w:color="auto"/>
            <w:left w:val="none" w:sz="0" w:space="0" w:color="auto"/>
            <w:bottom w:val="none" w:sz="0" w:space="0" w:color="auto"/>
            <w:right w:val="none" w:sz="0" w:space="0" w:color="auto"/>
          </w:divBdr>
        </w:div>
        <w:div w:id="1779444450">
          <w:marLeft w:val="0"/>
          <w:marRight w:val="0"/>
          <w:marTop w:val="0"/>
          <w:marBottom w:val="0"/>
          <w:divBdr>
            <w:top w:val="none" w:sz="0" w:space="0" w:color="auto"/>
            <w:left w:val="none" w:sz="0" w:space="0" w:color="auto"/>
            <w:bottom w:val="none" w:sz="0" w:space="0" w:color="auto"/>
            <w:right w:val="none" w:sz="0" w:space="0" w:color="auto"/>
          </w:divBdr>
        </w:div>
        <w:div w:id="1779444451">
          <w:marLeft w:val="0"/>
          <w:marRight w:val="0"/>
          <w:marTop w:val="0"/>
          <w:marBottom w:val="0"/>
          <w:divBdr>
            <w:top w:val="none" w:sz="0" w:space="0" w:color="auto"/>
            <w:left w:val="none" w:sz="0" w:space="0" w:color="auto"/>
            <w:bottom w:val="none" w:sz="0" w:space="0" w:color="auto"/>
            <w:right w:val="none" w:sz="0" w:space="0" w:color="auto"/>
          </w:divBdr>
        </w:div>
        <w:div w:id="1779444455">
          <w:marLeft w:val="0"/>
          <w:marRight w:val="0"/>
          <w:marTop w:val="0"/>
          <w:marBottom w:val="0"/>
          <w:divBdr>
            <w:top w:val="none" w:sz="0" w:space="0" w:color="auto"/>
            <w:left w:val="none" w:sz="0" w:space="0" w:color="auto"/>
            <w:bottom w:val="none" w:sz="0" w:space="0" w:color="auto"/>
            <w:right w:val="none" w:sz="0" w:space="0" w:color="auto"/>
          </w:divBdr>
        </w:div>
        <w:div w:id="1779444457">
          <w:marLeft w:val="0"/>
          <w:marRight w:val="0"/>
          <w:marTop w:val="0"/>
          <w:marBottom w:val="0"/>
          <w:divBdr>
            <w:top w:val="none" w:sz="0" w:space="0" w:color="auto"/>
            <w:left w:val="none" w:sz="0" w:space="0" w:color="auto"/>
            <w:bottom w:val="none" w:sz="0" w:space="0" w:color="auto"/>
            <w:right w:val="none" w:sz="0" w:space="0" w:color="auto"/>
          </w:divBdr>
        </w:div>
        <w:div w:id="1779444463">
          <w:marLeft w:val="0"/>
          <w:marRight w:val="0"/>
          <w:marTop w:val="0"/>
          <w:marBottom w:val="0"/>
          <w:divBdr>
            <w:top w:val="none" w:sz="0" w:space="0" w:color="auto"/>
            <w:left w:val="none" w:sz="0" w:space="0" w:color="auto"/>
            <w:bottom w:val="none" w:sz="0" w:space="0" w:color="auto"/>
            <w:right w:val="none" w:sz="0" w:space="0" w:color="auto"/>
          </w:divBdr>
        </w:div>
        <w:div w:id="1779444466">
          <w:marLeft w:val="0"/>
          <w:marRight w:val="0"/>
          <w:marTop w:val="0"/>
          <w:marBottom w:val="0"/>
          <w:divBdr>
            <w:top w:val="none" w:sz="0" w:space="0" w:color="auto"/>
            <w:left w:val="none" w:sz="0" w:space="0" w:color="auto"/>
            <w:bottom w:val="none" w:sz="0" w:space="0" w:color="auto"/>
            <w:right w:val="none" w:sz="0" w:space="0" w:color="auto"/>
          </w:divBdr>
        </w:div>
        <w:div w:id="1779444473">
          <w:marLeft w:val="0"/>
          <w:marRight w:val="0"/>
          <w:marTop w:val="0"/>
          <w:marBottom w:val="0"/>
          <w:divBdr>
            <w:top w:val="none" w:sz="0" w:space="0" w:color="auto"/>
            <w:left w:val="none" w:sz="0" w:space="0" w:color="auto"/>
            <w:bottom w:val="none" w:sz="0" w:space="0" w:color="auto"/>
            <w:right w:val="none" w:sz="0" w:space="0" w:color="auto"/>
          </w:divBdr>
        </w:div>
        <w:div w:id="1779444476">
          <w:marLeft w:val="0"/>
          <w:marRight w:val="0"/>
          <w:marTop w:val="0"/>
          <w:marBottom w:val="0"/>
          <w:divBdr>
            <w:top w:val="none" w:sz="0" w:space="0" w:color="auto"/>
            <w:left w:val="none" w:sz="0" w:space="0" w:color="auto"/>
            <w:bottom w:val="none" w:sz="0" w:space="0" w:color="auto"/>
            <w:right w:val="none" w:sz="0" w:space="0" w:color="auto"/>
          </w:divBdr>
        </w:div>
        <w:div w:id="1779444479">
          <w:marLeft w:val="0"/>
          <w:marRight w:val="0"/>
          <w:marTop w:val="0"/>
          <w:marBottom w:val="0"/>
          <w:divBdr>
            <w:top w:val="none" w:sz="0" w:space="0" w:color="auto"/>
            <w:left w:val="none" w:sz="0" w:space="0" w:color="auto"/>
            <w:bottom w:val="none" w:sz="0" w:space="0" w:color="auto"/>
            <w:right w:val="none" w:sz="0" w:space="0" w:color="auto"/>
          </w:divBdr>
        </w:div>
        <w:div w:id="1779444491">
          <w:marLeft w:val="0"/>
          <w:marRight w:val="0"/>
          <w:marTop w:val="0"/>
          <w:marBottom w:val="0"/>
          <w:divBdr>
            <w:top w:val="none" w:sz="0" w:space="0" w:color="auto"/>
            <w:left w:val="none" w:sz="0" w:space="0" w:color="auto"/>
            <w:bottom w:val="none" w:sz="0" w:space="0" w:color="auto"/>
            <w:right w:val="none" w:sz="0" w:space="0" w:color="auto"/>
          </w:divBdr>
        </w:div>
        <w:div w:id="1779444506">
          <w:marLeft w:val="0"/>
          <w:marRight w:val="0"/>
          <w:marTop w:val="0"/>
          <w:marBottom w:val="0"/>
          <w:divBdr>
            <w:top w:val="none" w:sz="0" w:space="0" w:color="auto"/>
            <w:left w:val="none" w:sz="0" w:space="0" w:color="auto"/>
            <w:bottom w:val="none" w:sz="0" w:space="0" w:color="auto"/>
            <w:right w:val="none" w:sz="0" w:space="0" w:color="auto"/>
          </w:divBdr>
        </w:div>
        <w:div w:id="1779444515">
          <w:marLeft w:val="0"/>
          <w:marRight w:val="0"/>
          <w:marTop w:val="0"/>
          <w:marBottom w:val="0"/>
          <w:divBdr>
            <w:top w:val="none" w:sz="0" w:space="0" w:color="auto"/>
            <w:left w:val="none" w:sz="0" w:space="0" w:color="auto"/>
            <w:bottom w:val="none" w:sz="0" w:space="0" w:color="auto"/>
            <w:right w:val="none" w:sz="0" w:space="0" w:color="auto"/>
          </w:divBdr>
        </w:div>
        <w:div w:id="1779444521">
          <w:marLeft w:val="0"/>
          <w:marRight w:val="0"/>
          <w:marTop w:val="0"/>
          <w:marBottom w:val="0"/>
          <w:divBdr>
            <w:top w:val="none" w:sz="0" w:space="0" w:color="auto"/>
            <w:left w:val="none" w:sz="0" w:space="0" w:color="auto"/>
            <w:bottom w:val="none" w:sz="0" w:space="0" w:color="auto"/>
            <w:right w:val="none" w:sz="0" w:space="0" w:color="auto"/>
          </w:divBdr>
        </w:div>
        <w:div w:id="1779444524">
          <w:marLeft w:val="0"/>
          <w:marRight w:val="0"/>
          <w:marTop w:val="0"/>
          <w:marBottom w:val="0"/>
          <w:divBdr>
            <w:top w:val="none" w:sz="0" w:space="0" w:color="auto"/>
            <w:left w:val="none" w:sz="0" w:space="0" w:color="auto"/>
            <w:bottom w:val="none" w:sz="0" w:space="0" w:color="auto"/>
            <w:right w:val="none" w:sz="0" w:space="0" w:color="auto"/>
          </w:divBdr>
        </w:div>
        <w:div w:id="1779444529">
          <w:marLeft w:val="0"/>
          <w:marRight w:val="0"/>
          <w:marTop w:val="0"/>
          <w:marBottom w:val="0"/>
          <w:divBdr>
            <w:top w:val="none" w:sz="0" w:space="0" w:color="auto"/>
            <w:left w:val="none" w:sz="0" w:space="0" w:color="auto"/>
            <w:bottom w:val="none" w:sz="0" w:space="0" w:color="auto"/>
            <w:right w:val="none" w:sz="0" w:space="0" w:color="auto"/>
          </w:divBdr>
        </w:div>
        <w:div w:id="1779444543">
          <w:marLeft w:val="0"/>
          <w:marRight w:val="0"/>
          <w:marTop w:val="0"/>
          <w:marBottom w:val="0"/>
          <w:divBdr>
            <w:top w:val="none" w:sz="0" w:space="0" w:color="auto"/>
            <w:left w:val="none" w:sz="0" w:space="0" w:color="auto"/>
            <w:bottom w:val="none" w:sz="0" w:space="0" w:color="auto"/>
            <w:right w:val="none" w:sz="0" w:space="0" w:color="auto"/>
          </w:divBdr>
        </w:div>
      </w:divsChild>
    </w:div>
    <w:div w:id="1779444272">
      <w:marLeft w:val="0"/>
      <w:marRight w:val="0"/>
      <w:marTop w:val="0"/>
      <w:marBottom w:val="0"/>
      <w:divBdr>
        <w:top w:val="none" w:sz="0" w:space="0" w:color="auto"/>
        <w:left w:val="none" w:sz="0" w:space="0" w:color="auto"/>
        <w:bottom w:val="none" w:sz="0" w:space="0" w:color="auto"/>
        <w:right w:val="none" w:sz="0" w:space="0" w:color="auto"/>
      </w:divBdr>
    </w:div>
    <w:div w:id="1779444288">
      <w:marLeft w:val="0"/>
      <w:marRight w:val="0"/>
      <w:marTop w:val="0"/>
      <w:marBottom w:val="0"/>
      <w:divBdr>
        <w:top w:val="none" w:sz="0" w:space="0" w:color="auto"/>
        <w:left w:val="none" w:sz="0" w:space="0" w:color="auto"/>
        <w:bottom w:val="none" w:sz="0" w:space="0" w:color="auto"/>
        <w:right w:val="none" w:sz="0" w:space="0" w:color="auto"/>
      </w:divBdr>
    </w:div>
    <w:div w:id="1779444293">
      <w:marLeft w:val="0"/>
      <w:marRight w:val="0"/>
      <w:marTop w:val="0"/>
      <w:marBottom w:val="0"/>
      <w:divBdr>
        <w:top w:val="none" w:sz="0" w:space="0" w:color="auto"/>
        <w:left w:val="none" w:sz="0" w:space="0" w:color="auto"/>
        <w:bottom w:val="none" w:sz="0" w:space="0" w:color="auto"/>
        <w:right w:val="none" w:sz="0" w:space="0" w:color="auto"/>
      </w:divBdr>
    </w:div>
    <w:div w:id="1779444296">
      <w:marLeft w:val="0"/>
      <w:marRight w:val="0"/>
      <w:marTop w:val="0"/>
      <w:marBottom w:val="0"/>
      <w:divBdr>
        <w:top w:val="none" w:sz="0" w:space="0" w:color="auto"/>
        <w:left w:val="none" w:sz="0" w:space="0" w:color="auto"/>
        <w:bottom w:val="none" w:sz="0" w:space="0" w:color="auto"/>
        <w:right w:val="none" w:sz="0" w:space="0" w:color="auto"/>
      </w:divBdr>
    </w:div>
    <w:div w:id="1779444302">
      <w:marLeft w:val="0"/>
      <w:marRight w:val="0"/>
      <w:marTop w:val="0"/>
      <w:marBottom w:val="0"/>
      <w:divBdr>
        <w:top w:val="none" w:sz="0" w:space="0" w:color="auto"/>
        <w:left w:val="none" w:sz="0" w:space="0" w:color="auto"/>
        <w:bottom w:val="none" w:sz="0" w:space="0" w:color="auto"/>
        <w:right w:val="none" w:sz="0" w:space="0" w:color="auto"/>
      </w:divBdr>
    </w:div>
    <w:div w:id="1779444303">
      <w:marLeft w:val="0"/>
      <w:marRight w:val="0"/>
      <w:marTop w:val="0"/>
      <w:marBottom w:val="0"/>
      <w:divBdr>
        <w:top w:val="none" w:sz="0" w:space="0" w:color="auto"/>
        <w:left w:val="none" w:sz="0" w:space="0" w:color="auto"/>
        <w:bottom w:val="none" w:sz="0" w:space="0" w:color="auto"/>
        <w:right w:val="none" w:sz="0" w:space="0" w:color="auto"/>
      </w:divBdr>
    </w:div>
    <w:div w:id="1779444312">
      <w:marLeft w:val="0"/>
      <w:marRight w:val="0"/>
      <w:marTop w:val="0"/>
      <w:marBottom w:val="0"/>
      <w:divBdr>
        <w:top w:val="none" w:sz="0" w:space="0" w:color="auto"/>
        <w:left w:val="none" w:sz="0" w:space="0" w:color="auto"/>
        <w:bottom w:val="none" w:sz="0" w:space="0" w:color="auto"/>
        <w:right w:val="none" w:sz="0" w:space="0" w:color="auto"/>
      </w:divBdr>
      <w:divsChild>
        <w:div w:id="1779444404">
          <w:marLeft w:val="0"/>
          <w:marRight w:val="0"/>
          <w:marTop w:val="0"/>
          <w:marBottom w:val="0"/>
          <w:divBdr>
            <w:top w:val="none" w:sz="0" w:space="0" w:color="auto"/>
            <w:left w:val="none" w:sz="0" w:space="0" w:color="auto"/>
            <w:bottom w:val="none" w:sz="0" w:space="0" w:color="auto"/>
            <w:right w:val="none" w:sz="0" w:space="0" w:color="auto"/>
          </w:divBdr>
        </w:div>
      </w:divsChild>
    </w:div>
    <w:div w:id="1779444331">
      <w:marLeft w:val="0"/>
      <w:marRight w:val="0"/>
      <w:marTop w:val="0"/>
      <w:marBottom w:val="0"/>
      <w:divBdr>
        <w:top w:val="none" w:sz="0" w:space="0" w:color="auto"/>
        <w:left w:val="none" w:sz="0" w:space="0" w:color="auto"/>
        <w:bottom w:val="none" w:sz="0" w:space="0" w:color="auto"/>
        <w:right w:val="none" w:sz="0" w:space="0" w:color="auto"/>
      </w:divBdr>
      <w:divsChild>
        <w:div w:id="1779444231">
          <w:marLeft w:val="0"/>
          <w:marRight w:val="0"/>
          <w:marTop w:val="0"/>
          <w:marBottom w:val="0"/>
          <w:divBdr>
            <w:top w:val="none" w:sz="0" w:space="0" w:color="auto"/>
            <w:left w:val="none" w:sz="0" w:space="0" w:color="auto"/>
            <w:bottom w:val="none" w:sz="0" w:space="0" w:color="auto"/>
            <w:right w:val="none" w:sz="0" w:space="0" w:color="auto"/>
          </w:divBdr>
        </w:div>
        <w:div w:id="1779444300">
          <w:marLeft w:val="0"/>
          <w:marRight w:val="0"/>
          <w:marTop w:val="0"/>
          <w:marBottom w:val="0"/>
          <w:divBdr>
            <w:top w:val="none" w:sz="0" w:space="0" w:color="auto"/>
            <w:left w:val="none" w:sz="0" w:space="0" w:color="auto"/>
            <w:bottom w:val="none" w:sz="0" w:space="0" w:color="auto"/>
            <w:right w:val="none" w:sz="0" w:space="0" w:color="auto"/>
          </w:divBdr>
        </w:div>
        <w:div w:id="1779444316">
          <w:marLeft w:val="0"/>
          <w:marRight w:val="0"/>
          <w:marTop w:val="0"/>
          <w:marBottom w:val="0"/>
          <w:divBdr>
            <w:top w:val="none" w:sz="0" w:space="0" w:color="auto"/>
            <w:left w:val="none" w:sz="0" w:space="0" w:color="auto"/>
            <w:bottom w:val="none" w:sz="0" w:space="0" w:color="auto"/>
            <w:right w:val="none" w:sz="0" w:space="0" w:color="auto"/>
          </w:divBdr>
        </w:div>
        <w:div w:id="1779444340">
          <w:marLeft w:val="0"/>
          <w:marRight w:val="0"/>
          <w:marTop w:val="0"/>
          <w:marBottom w:val="0"/>
          <w:divBdr>
            <w:top w:val="none" w:sz="0" w:space="0" w:color="auto"/>
            <w:left w:val="none" w:sz="0" w:space="0" w:color="auto"/>
            <w:bottom w:val="none" w:sz="0" w:space="0" w:color="auto"/>
            <w:right w:val="none" w:sz="0" w:space="0" w:color="auto"/>
          </w:divBdr>
        </w:div>
        <w:div w:id="1779444362">
          <w:marLeft w:val="0"/>
          <w:marRight w:val="0"/>
          <w:marTop w:val="0"/>
          <w:marBottom w:val="0"/>
          <w:divBdr>
            <w:top w:val="none" w:sz="0" w:space="0" w:color="auto"/>
            <w:left w:val="none" w:sz="0" w:space="0" w:color="auto"/>
            <w:bottom w:val="none" w:sz="0" w:space="0" w:color="auto"/>
            <w:right w:val="none" w:sz="0" w:space="0" w:color="auto"/>
          </w:divBdr>
        </w:div>
        <w:div w:id="1779444413">
          <w:marLeft w:val="0"/>
          <w:marRight w:val="0"/>
          <w:marTop w:val="0"/>
          <w:marBottom w:val="0"/>
          <w:divBdr>
            <w:top w:val="none" w:sz="0" w:space="0" w:color="auto"/>
            <w:left w:val="none" w:sz="0" w:space="0" w:color="auto"/>
            <w:bottom w:val="none" w:sz="0" w:space="0" w:color="auto"/>
            <w:right w:val="none" w:sz="0" w:space="0" w:color="auto"/>
          </w:divBdr>
        </w:div>
      </w:divsChild>
    </w:div>
    <w:div w:id="1779444334">
      <w:marLeft w:val="0"/>
      <w:marRight w:val="0"/>
      <w:marTop w:val="0"/>
      <w:marBottom w:val="0"/>
      <w:divBdr>
        <w:top w:val="none" w:sz="0" w:space="0" w:color="auto"/>
        <w:left w:val="none" w:sz="0" w:space="0" w:color="auto"/>
        <w:bottom w:val="none" w:sz="0" w:space="0" w:color="auto"/>
        <w:right w:val="none" w:sz="0" w:space="0" w:color="auto"/>
      </w:divBdr>
    </w:div>
    <w:div w:id="1779444335">
      <w:marLeft w:val="0"/>
      <w:marRight w:val="0"/>
      <w:marTop w:val="0"/>
      <w:marBottom w:val="0"/>
      <w:divBdr>
        <w:top w:val="none" w:sz="0" w:space="0" w:color="auto"/>
        <w:left w:val="none" w:sz="0" w:space="0" w:color="auto"/>
        <w:bottom w:val="none" w:sz="0" w:space="0" w:color="auto"/>
        <w:right w:val="none" w:sz="0" w:space="0" w:color="auto"/>
      </w:divBdr>
      <w:divsChild>
        <w:div w:id="1779444440">
          <w:marLeft w:val="0"/>
          <w:marRight w:val="0"/>
          <w:marTop w:val="0"/>
          <w:marBottom w:val="0"/>
          <w:divBdr>
            <w:top w:val="none" w:sz="0" w:space="0" w:color="auto"/>
            <w:left w:val="none" w:sz="0" w:space="0" w:color="auto"/>
            <w:bottom w:val="none" w:sz="0" w:space="0" w:color="auto"/>
            <w:right w:val="none" w:sz="0" w:space="0" w:color="auto"/>
          </w:divBdr>
        </w:div>
        <w:div w:id="1779444483">
          <w:marLeft w:val="0"/>
          <w:marRight w:val="0"/>
          <w:marTop w:val="0"/>
          <w:marBottom w:val="0"/>
          <w:divBdr>
            <w:top w:val="none" w:sz="0" w:space="0" w:color="auto"/>
            <w:left w:val="none" w:sz="0" w:space="0" w:color="auto"/>
            <w:bottom w:val="none" w:sz="0" w:space="0" w:color="auto"/>
            <w:right w:val="none" w:sz="0" w:space="0" w:color="auto"/>
          </w:divBdr>
        </w:div>
      </w:divsChild>
    </w:div>
    <w:div w:id="1779444342">
      <w:marLeft w:val="0"/>
      <w:marRight w:val="0"/>
      <w:marTop w:val="0"/>
      <w:marBottom w:val="0"/>
      <w:divBdr>
        <w:top w:val="none" w:sz="0" w:space="0" w:color="auto"/>
        <w:left w:val="none" w:sz="0" w:space="0" w:color="auto"/>
        <w:bottom w:val="none" w:sz="0" w:space="0" w:color="auto"/>
        <w:right w:val="none" w:sz="0" w:space="0" w:color="auto"/>
      </w:divBdr>
    </w:div>
    <w:div w:id="1779444344">
      <w:marLeft w:val="0"/>
      <w:marRight w:val="0"/>
      <w:marTop w:val="0"/>
      <w:marBottom w:val="0"/>
      <w:divBdr>
        <w:top w:val="none" w:sz="0" w:space="0" w:color="auto"/>
        <w:left w:val="none" w:sz="0" w:space="0" w:color="auto"/>
        <w:bottom w:val="none" w:sz="0" w:space="0" w:color="auto"/>
        <w:right w:val="none" w:sz="0" w:space="0" w:color="auto"/>
      </w:divBdr>
    </w:div>
    <w:div w:id="1779444357">
      <w:marLeft w:val="0"/>
      <w:marRight w:val="0"/>
      <w:marTop w:val="0"/>
      <w:marBottom w:val="0"/>
      <w:divBdr>
        <w:top w:val="none" w:sz="0" w:space="0" w:color="auto"/>
        <w:left w:val="none" w:sz="0" w:space="0" w:color="auto"/>
        <w:bottom w:val="none" w:sz="0" w:space="0" w:color="auto"/>
        <w:right w:val="none" w:sz="0" w:space="0" w:color="auto"/>
      </w:divBdr>
    </w:div>
    <w:div w:id="1779444358">
      <w:marLeft w:val="0"/>
      <w:marRight w:val="0"/>
      <w:marTop w:val="0"/>
      <w:marBottom w:val="0"/>
      <w:divBdr>
        <w:top w:val="none" w:sz="0" w:space="0" w:color="auto"/>
        <w:left w:val="none" w:sz="0" w:space="0" w:color="auto"/>
        <w:bottom w:val="none" w:sz="0" w:space="0" w:color="auto"/>
        <w:right w:val="none" w:sz="0" w:space="0" w:color="auto"/>
      </w:divBdr>
    </w:div>
    <w:div w:id="1779444363">
      <w:marLeft w:val="0"/>
      <w:marRight w:val="0"/>
      <w:marTop w:val="0"/>
      <w:marBottom w:val="0"/>
      <w:divBdr>
        <w:top w:val="none" w:sz="0" w:space="0" w:color="auto"/>
        <w:left w:val="none" w:sz="0" w:space="0" w:color="auto"/>
        <w:bottom w:val="none" w:sz="0" w:space="0" w:color="auto"/>
        <w:right w:val="none" w:sz="0" w:space="0" w:color="auto"/>
      </w:divBdr>
    </w:div>
    <w:div w:id="1779444364">
      <w:marLeft w:val="0"/>
      <w:marRight w:val="0"/>
      <w:marTop w:val="0"/>
      <w:marBottom w:val="0"/>
      <w:divBdr>
        <w:top w:val="none" w:sz="0" w:space="0" w:color="auto"/>
        <w:left w:val="none" w:sz="0" w:space="0" w:color="auto"/>
        <w:bottom w:val="none" w:sz="0" w:space="0" w:color="auto"/>
        <w:right w:val="none" w:sz="0" w:space="0" w:color="auto"/>
      </w:divBdr>
    </w:div>
    <w:div w:id="1779444368">
      <w:marLeft w:val="0"/>
      <w:marRight w:val="0"/>
      <w:marTop w:val="0"/>
      <w:marBottom w:val="0"/>
      <w:divBdr>
        <w:top w:val="none" w:sz="0" w:space="0" w:color="auto"/>
        <w:left w:val="none" w:sz="0" w:space="0" w:color="auto"/>
        <w:bottom w:val="none" w:sz="0" w:space="0" w:color="auto"/>
        <w:right w:val="none" w:sz="0" w:space="0" w:color="auto"/>
      </w:divBdr>
      <w:divsChild>
        <w:div w:id="1779444214">
          <w:marLeft w:val="0"/>
          <w:marRight w:val="0"/>
          <w:marTop w:val="0"/>
          <w:marBottom w:val="0"/>
          <w:divBdr>
            <w:top w:val="none" w:sz="0" w:space="0" w:color="auto"/>
            <w:left w:val="none" w:sz="0" w:space="0" w:color="auto"/>
            <w:bottom w:val="none" w:sz="0" w:space="0" w:color="auto"/>
            <w:right w:val="none" w:sz="0" w:space="0" w:color="auto"/>
          </w:divBdr>
        </w:div>
        <w:div w:id="1779444252">
          <w:marLeft w:val="0"/>
          <w:marRight w:val="0"/>
          <w:marTop w:val="0"/>
          <w:marBottom w:val="0"/>
          <w:divBdr>
            <w:top w:val="none" w:sz="0" w:space="0" w:color="auto"/>
            <w:left w:val="none" w:sz="0" w:space="0" w:color="auto"/>
            <w:bottom w:val="none" w:sz="0" w:space="0" w:color="auto"/>
            <w:right w:val="none" w:sz="0" w:space="0" w:color="auto"/>
          </w:divBdr>
        </w:div>
        <w:div w:id="1779444276">
          <w:marLeft w:val="0"/>
          <w:marRight w:val="0"/>
          <w:marTop w:val="0"/>
          <w:marBottom w:val="0"/>
          <w:divBdr>
            <w:top w:val="none" w:sz="0" w:space="0" w:color="auto"/>
            <w:left w:val="none" w:sz="0" w:space="0" w:color="auto"/>
            <w:bottom w:val="none" w:sz="0" w:space="0" w:color="auto"/>
            <w:right w:val="none" w:sz="0" w:space="0" w:color="auto"/>
          </w:divBdr>
        </w:div>
        <w:div w:id="1779444284">
          <w:marLeft w:val="0"/>
          <w:marRight w:val="0"/>
          <w:marTop w:val="0"/>
          <w:marBottom w:val="0"/>
          <w:divBdr>
            <w:top w:val="none" w:sz="0" w:space="0" w:color="auto"/>
            <w:left w:val="none" w:sz="0" w:space="0" w:color="auto"/>
            <w:bottom w:val="none" w:sz="0" w:space="0" w:color="auto"/>
            <w:right w:val="none" w:sz="0" w:space="0" w:color="auto"/>
          </w:divBdr>
        </w:div>
        <w:div w:id="1779444295">
          <w:marLeft w:val="0"/>
          <w:marRight w:val="0"/>
          <w:marTop w:val="0"/>
          <w:marBottom w:val="0"/>
          <w:divBdr>
            <w:top w:val="none" w:sz="0" w:space="0" w:color="auto"/>
            <w:left w:val="none" w:sz="0" w:space="0" w:color="auto"/>
            <w:bottom w:val="none" w:sz="0" w:space="0" w:color="auto"/>
            <w:right w:val="none" w:sz="0" w:space="0" w:color="auto"/>
          </w:divBdr>
        </w:div>
        <w:div w:id="1779444330">
          <w:marLeft w:val="0"/>
          <w:marRight w:val="0"/>
          <w:marTop w:val="0"/>
          <w:marBottom w:val="0"/>
          <w:divBdr>
            <w:top w:val="none" w:sz="0" w:space="0" w:color="auto"/>
            <w:left w:val="none" w:sz="0" w:space="0" w:color="auto"/>
            <w:bottom w:val="none" w:sz="0" w:space="0" w:color="auto"/>
            <w:right w:val="none" w:sz="0" w:space="0" w:color="auto"/>
          </w:divBdr>
        </w:div>
        <w:div w:id="1779444337">
          <w:marLeft w:val="0"/>
          <w:marRight w:val="0"/>
          <w:marTop w:val="0"/>
          <w:marBottom w:val="0"/>
          <w:divBdr>
            <w:top w:val="none" w:sz="0" w:space="0" w:color="auto"/>
            <w:left w:val="none" w:sz="0" w:space="0" w:color="auto"/>
            <w:bottom w:val="none" w:sz="0" w:space="0" w:color="auto"/>
            <w:right w:val="none" w:sz="0" w:space="0" w:color="auto"/>
          </w:divBdr>
        </w:div>
        <w:div w:id="1779444339">
          <w:marLeft w:val="0"/>
          <w:marRight w:val="0"/>
          <w:marTop w:val="0"/>
          <w:marBottom w:val="0"/>
          <w:divBdr>
            <w:top w:val="none" w:sz="0" w:space="0" w:color="auto"/>
            <w:left w:val="none" w:sz="0" w:space="0" w:color="auto"/>
            <w:bottom w:val="none" w:sz="0" w:space="0" w:color="auto"/>
            <w:right w:val="none" w:sz="0" w:space="0" w:color="auto"/>
          </w:divBdr>
        </w:div>
        <w:div w:id="1779444341">
          <w:marLeft w:val="0"/>
          <w:marRight w:val="0"/>
          <w:marTop w:val="0"/>
          <w:marBottom w:val="0"/>
          <w:divBdr>
            <w:top w:val="none" w:sz="0" w:space="0" w:color="auto"/>
            <w:left w:val="none" w:sz="0" w:space="0" w:color="auto"/>
            <w:bottom w:val="none" w:sz="0" w:space="0" w:color="auto"/>
            <w:right w:val="none" w:sz="0" w:space="0" w:color="auto"/>
          </w:divBdr>
        </w:div>
        <w:div w:id="1779444350">
          <w:marLeft w:val="0"/>
          <w:marRight w:val="0"/>
          <w:marTop w:val="0"/>
          <w:marBottom w:val="0"/>
          <w:divBdr>
            <w:top w:val="none" w:sz="0" w:space="0" w:color="auto"/>
            <w:left w:val="none" w:sz="0" w:space="0" w:color="auto"/>
            <w:bottom w:val="none" w:sz="0" w:space="0" w:color="auto"/>
            <w:right w:val="none" w:sz="0" w:space="0" w:color="auto"/>
          </w:divBdr>
        </w:div>
        <w:div w:id="1779444375">
          <w:marLeft w:val="0"/>
          <w:marRight w:val="0"/>
          <w:marTop w:val="0"/>
          <w:marBottom w:val="0"/>
          <w:divBdr>
            <w:top w:val="none" w:sz="0" w:space="0" w:color="auto"/>
            <w:left w:val="none" w:sz="0" w:space="0" w:color="auto"/>
            <w:bottom w:val="none" w:sz="0" w:space="0" w:color="auto"/>
            <w:right w:val="none" w:sz="0" w:space="0" w:color="auto"/>
          </w:divBdr>
        </w:div>
        <w:div w:id="1779444379">
          <w:marLeft w:val="0"/>
          <w:marRight w:val="0"/>
          <w:marTop w:val="0"/>
          <w:marBottom w:val="0"/>
          <w:divBdr>
            <w:top w:val="none" w:sz="0" w:space="0" w:color="auto"/>
            <w:left w:val="none" w:sz="0" w:space="0" w:color="auto"/>
            <w:bottom w:val="none" w:sz="0" w:space="0" w:color="auto"/>
            <w:right w:val="none" w:sz="0" w:space="0" w:color="auto"/>
          </w:divBdr>
        </w:div>
        <w:div w:id="1779444384">
          <w:marLeft w:val="0"/>
          <w:marRight w:val="0"/>
          <w:marTop w:val="0"/>
          <w:marBottom w:val="0"/>
          <w:divBdr>
            <w:top w:val="none" w:sz="0" w:space="0" w:color="auto"/>
            <w:left w:val="none" w:sz="0" w:space="0" w:color="auto"/>
            <w:bottom w:val="none" w:sz="0" w:space="0" w:color="auto"/>
            <w:right w:val="none" w:sz="0" w:space="0" w:color="auto"/>
          </w:divBdr>
        </w:div>
        <w:div w:id="1779444456">
          <w:marLeft w:val="0"/>
          <w:marRight w:val="0"/>
          <w:marTop w:val="0"/>
          <w:marBottom w:val="0"/>
          <w:divBdr>
            <w:top w:val="none" w:sz="0" w:space="0" w:color="auto"/>
            <w:left w:val="none" w:sz="0" w:space="0" w:color="auto"/>
            <w:bottom w:val="none" w:sz="0" w:space="0" w:color="auto"/>
            <w:right w:val="none" w:sz="0" w:space="0" w:color="auto"/>
          </w:divBdr>
        </w:div>
        <w:div w:id="1779444458">
          <w:marLeft w:val="0"/>
          <w:marRight w:val="0"/>
          <w:marTop w:val="0"/>
          <w:marBottom w:val="0"/>
          <w:divBdr>
            <w:top w:val="none" w:sz="0" w:space="0" w:color="auto"/>
            <w:left w:val="none" w:sz="0" w:space="0" w:color="auto"/>
            <w:bottom w:val="none" w:sz="0" w:space="0" w:color="auto"/>
            <w:right w:val="none" w:sz="0" w:space="0" w:color="auto"/>
          </w:divBdr>
        </w:div>
        <w:div w:id="1779444474">
          <w:marLeft w:val="0"/>
          <w:marRight w:val="0"/>
          <w:marTop w:val="0"/>
          <w:marBottom w:val="0"/>
          <w:divBdr>
            <w:top w:val="none" w:sz="0" w:space="0" w:color="auto"/>
            <w:left w:val="none" w:sz="0" w:space="0" w:color="auto"/>
            <w:bottom w:val="none" w:sz="0" w:space="0" w:color="auto"/>
            <w:right w:val="none" w:sz="0" w:space="0" w:color="auto"/>
          </w:divBdr>
        </w:div>
        <w:div w:id="1779444489">
          <w:marLeft w:val="0"/>
          <w:marRight w:val="0"/>
          <w:marTop w:val="0"/>
          <w:marBottom w:val="0"/>
          <w:divBdr>
            <w:top w:val="none" w:sz="0" w:space="0" w:color="auto"/>
            <w:left w:val="none" w:sz="0" w:space="0" w:color="auto"/>
            <w:bottom w:val="none" w:sz="0" w:space="0" w:color="auto"/>
            <w:right w:val="none" w:sz="0" w:space="0" w:color="auto"/>
          </w:divBdr>
        </w:div>
        <w:div w:id="1779444490">
          <w:marLeft w:val="0"/>
          <w:marRight w:val="0"/>
          <w:marTop w:val="0"/>
          <w:marBottom w:val="0"/>
          <w:divBdr>
            <w:top w:val="none" w:sz="0" w:space="0" w:color="auto"/>
            <w:left w:val="none" w:sz="0" w:space="0" w:color="auto"/>
            <w:bottom w:val="none" w:sz="0" w:space="0" w:color="auto"/>
            <w:right w:val="none" w:sz="0" w:space="0" w:color="auto"/>
          </w:divBdr>
        </w:div>
        <w:div w:id="1779444501">
          <w:marLeft w:val="0"/>
          <w:marRight w:val="0"/>
          <w:marTop w:val="0"/>
          <w:marBottom w:val="0"/>
          <w:divBdr>
            <w:top w:val="none" w:sz="0" w:space="0" w:color="auto"/>
            <w:left w:val="none" w:sz="0" w:space="0" w:color="auto"/>
            <w:bottom w:val="none" w:sz="0" w:space="0" w:color="auto"/>
            <w:right w:val="none" w:sz="0" w:space="0" w:color="auto"/>
          </w:divBdr>
        </w:div>
        <w:div w:id="1779444519">
          <w:marLeft w:val="0"/>
          <w:marRight w:val="0"/>
          <w:marTop w:val="0"/>
          <w:marBottom w:val="0"/>
          <w:divBdr>
            <w:top w:val="none" w:sz="0" w:space="0" w:color="auto"/>
            <w:left w:val="none" w:sz="0" w:space="0" w:color="auto"/>
            <w:bottom w:val="none" w:sz="0" w:space="0" w:color="auto"/>
            <w:right w:val="none" w:sz="0" w:space="0" w:color="auto"/>
          </w:divBdr>
        </w:div>
        <w:div w:id="1779444527">
          <w:marLeft w:val="0"/>
          <w:marRight w:val="0"/>
          <w:marTop w:val="0"/>
          <w:marBottom w:val="0"/>
          <w:divBdr>
            <w:top w:val="none" w:sz="0" w:space="0" w:color="auto"/>
            <w:left w:val="none" w:sz="0" w:space="0" w:color="auto"/>
            <w:bottom w:val="none" w:sz="0" w:space="0" w:color="auto"/>
            <w:right w:val="none" w:sz="0" w:space="0" w:color="auto"/>
          </w:divBdr>
        </w:div>
      </w:divsChild>
    </w:div>
    <w:div w:id="1779444378">
      <w:marLeft w:val="0"/>
      <w:marRight w:val="0"/>
      <w:marTop w:val="0"/>
      <w:marBottom w:val="0"/>
      <w:divBdr>
        <w:top w:val="none" w:sz="0" w:space="0" w:color="auto"/>
        <w:left w:val="none" w:sz="0" w:space="0" w:color="auto"/>
        <w:bottom w:val="none" w:sz="0" w:space="0" w:color="auto"/>
        <w:right w:val="none" w:sz="0" w:space="0" w:color="auto"/>
      </w:divBdr>
      <w:divsChild>
        <w:div w:id="1779444195">
          <w:marLeft w:val="0"/>
          <w:marRight w:val="0"/>
          <w:marTop w:val="0"/>
          <w:marBottom w:val="0"/>
          <w:divBdr>
            <w:top w:val="none" w:sz="0" w:space="0" w:color="auto"/>
            <w:left w:val="none" w:sz="0" w:space="0" w:color="auto"/>
            <w:bottom w:val="none" w:sz="0" w:space="0" w:color="auto"/>
            <w:right w:val="none" w:sz="0" w:space="0" w:color="auto"/>
          </w:divBdr>
        </w:div>
        <w:div w:id="1779444236">
          <w:marLeft w:val="0"/>
          <w:marRight w:val="0"/>
          <w:marTop w:val="0"/>
          <w:marBottom w:val="0"/>
          <w:divBdr>
            <w:top w:val="none" w:sz="0" w:space="0" w:color="auto"/>
            <w:left w:val="none" w:sz="0" w:space="0" w:color="auto"/>
            <w:bottom w:val="none" w:sz="0" w:space="0" w:color="auto"/>
            <w:right w:val="none" w:sz="0" w:space="0" w:color="auto"/>
          </w:divBdr>
        </w:div>
        <w:div w:id="1779444242">
          <w:marLeft w:val="0"/>
          <w:marRight w:val="0"/>
          <w:marTop w:val="0"/>
          <w:marBottom w:val="0"/>
          <w:divBdr>
            <w:top w:val="none" w:sz="0" w:space="0" w:color="auto"/>
            <w:left w:val="none" w:sz="0" w:space="0" w:color="auto"/>
            <w:bottom w:val="none" w:sz="0" w:space="0" w:color="auto"/>
            <w:right w:val="none" w:sz="0" w:space="0" w:color="auto"/>
          </w:divBdr>
        </w:div>
        <w:div w:id="1779444277">
          <w:marLeft w:val="0"/>
          <w:marRight w:val="0"/>
          <w:marTop w:val="0"/>
          <w:marBottom w:val="0"/>
          <w:divBdr>
            <w:top w:val="none" w:sz="0" w:space="0" w:color="auto"/>
            <w:left w:val="none" w:sz="0" w:space="0" w:color="auto"/>
            <w:bottom w:val="none" w:sz="0" w:space="0" w:color="auto"/>
            <w:right w:val="none" w:sz="0" w:space="0" w:color="auto"/>
          </w:divBdr>
        </w:div>
        <w:div w:id="1779444283">
          <w:marLeft w:val="0"/>
          <w:marRight w:val="0"/>
          <w:marTop w:val="0"/>
          <w:marBottom w:val="0"/>
          <w:divBdr>
            <w:top w:val="none" w:sz="0" w:space="0" w:color="auto"/>
            <w:left w:val="none" w:sz="0" w:space="0" w:color="auto"/>
            <w:bottom w:val="none" w:sz="0" w:space="0" w:color="auto"/>
            <w:right w:val="none" w:sz="0" w:space="0" w:color="auto"/>
          </w:divBdr>
        </w:div>
        <w:div w:id="1779444286">
          <w:marLeft w:val="0"/>
          <w:marRight w:val="0"/>
          <w:marTop w:val="0"/>
          <w:marBottom w:val="0"/>
          <w:divBdr>
            <w:top w:val="none" w:sz="0" w:space="0" w:color="auto"/>
            <w:left w:val="none" w:sz="0" w:space="0" w:color="auto"/>
            <w:bottom w:val="none" w:sz="0" w:space="0" w:color="auto"/>
            <w:right w:val="none" w:sz="0" w:space="0" w:color="auto"/>
          </w:divBdr>
        </w:div>
        <w:div w:id="1779444309">
          <w:marLeft w:val="0"/>
          <w:marRight w:val="0"/>
          <w:marTop w:val="0"/>
          <w:marBottom w:val="0"/>
          <w:divBdr>
            <w:top w:val="none" w:sz="0" w:space="0" w:color="auto"/>
            <w:left w:val="none" w:sz="0" w:space="0" w:color="auto"/>
            <w:bottom w:val="none" w:sz="0" w:space="0" w:color="auto"/>
            <w:right w:val="none" w:sz="0" w:space="0" w:color="auto"/>
          </w:divBdr>
        </w:div>
        <w:div w:id="1779444315">
          <w:marLeft w:val="0"/>
          <w:marRight w:val="0"/>
          <w:marTop w:val="0"/>
          <w:marBottom w:val="0"/>
          <w:divBdr>
            <w:top w:val="none" w:sz="0" w:space="0" w:color="auto"/>
            <w:left w:val="none" w:sz="0" w:space="0" w:color="auto"/>
            <w:bottom w:val="none" w:sz="0" w:space="0" w:color="auto"/>
            <w:right w:val="none" w:sz="0" w:space="0" w:color="auto"/>
          </w:divBdr>
        </w:div>
        <w:div w:id="1779444361">
          <w:marLeft w:val="0"/>
          <w:marRight w:val="0"/>
          <w:marTop w:val="0"/>
          <w:marBottom w:val="0"/>
          <w:divBdr>
            <w:top w:val="none" w:sz="0" w:space="0" w:color="auto"/>
            <w:left w:val="none" w:sz="0" w:space="0" w:color="auto"/>
            <w:bottom w:val="none" w:sz="0" w:space="0" w:color="auto"/>
            <w:right w:val="none" w:sz="0" w:space="0" w:color="auto"/>
          </w:divBdr>
        </w:div>
        <w:div w:id="1779444370">
          <w:marLeft w:val="0"/>
          <w:marRight w:val="0"/>
          <w:marTop w:val="0"/>
          <w:marBottom w:val="0"/>
          <w:divBdr>
            <w:top w:val="none" w:sz="0" w:space="0" w:color="auto"/>
            <w:left w:val="none" w:sz="0" w:space="0" w:color="auto"/>
            <w:bottom w:val="none" w:sz="0" w:space="0" w:color="auto"/>
            <w:right w:val="none" w:sz="0" w:space="0" w:color="auto"/>
          </w:divBdr>
        </w:div>
        <w:div w:id="1779444390">
          <w:marLeft w:val="0"/>
          <w:marRight w:val="0"/>
          <w:marTop w:val="0"/>
          <w:marBottom w:val="0"/>
          <w:divBdr>
            <w:top w:val="none" w:sz="0" w:space="0" w:color="auto"/>
            <w:left w:val="none" w:sz="0" w:space="0" w:color="auto"/>
            <w:bottom w:val="none" w:sz="0" w:space="0" w:color="auto"/>
            <w:right w:val="none" w:sz="0" w:space="0" w:color="auto"/>
          </w:divBdr>
        </w:div>
        <w:div w:id="1779444442">
          <w:marLeft w:val="0"/>
          <w:marRight w:val="0"/>
          <w:marTop w:val="0"/>
          <w:marBottom w:val="0"/>
          <w:divBdr>
            <w:top w:val="none" w:sz="0" w:space="0" w:color="auto"/>
            <w:left w:val="none" w:sz="0" w:space="0" w:color="auto"/>
            <w:bottom w:val="none" w:sz="0" w:space="0" w:color="auto"/>
            <w:right w:val="none" w:sz="0" w:space="0" w:color="auto"/>
          </w:divBdr>
        </w:div>
        <w:div w:id="1779444462">
          <w:marLeft w:val="0"/>
          <w:marRight w:val="0"/>
          <w:marTop w:val="0"/>
          <w:marBottom w:val="0"/>
          <w:divBdr>
            <w:top w:val="none" w:sz="0" w:space="0" w:color="auto"/>
            <w:left w:val="none" w:sz="0" w:space="0" w:color="auto"/>
            <w:bottom w:val="none" w:sz="0" w:space="0" w:color="auto"/>
            <w:right w:val="none" w:sz="0" w:space="0" w:color="auto"/>
          </w:divBdr>
        </w:div>
        <w:div w:id="1779444487">
          <w:marLeft w:val="0"/>
          <w:marRight w:val="0"/>
          <w:marTop w:val="0"/>
          <w:marBottom w:val="0"/>
          <w:divBdr>
            <w:top w:val="none" w:sz="0" w:space="0" w:color="auto"/>
            <w:left w:val="none" w:sz="0" w:space="0" w:color="auto"/>
            <w:bottom w:val="none" w:sz="0" w:space="0" w:color="auto"/>
            <w:right w:val="none" w:sz="0" w:space="0" w:color="auto"/>
          </w:divBdr>
        </w:div>
      </w:divsChild>
    </w:div>
    <w:div w:id="1779444381">
      <w:marLeft w:val="0"/>
      <w:marRight w:val="0"/>
      <w:marTop w:val="0"/>
      <w:marBottom w:val="0"/>
      <w:divBdr>
        <w:top w:val="none" w:sz="0" w:space="0" w:color="auto"/>
        <w:left w:val="none" w:sz="0" w:space="0" w:color="auto"/>
        <w:bottom w:val="none" w:sz="0" w:space="0" w:color="auto"/>
        <w:right w:val="none" w:sz="0" w:space="0" w:color="auto"/>
      </w:divBdr>
    </w:div>
    <w:div w:id="1779444388">
      <w:marLeft w:val="0"/>
      <w:marRight w:val="0"/>
      <w:marTop w:val="0"/>
      <w:marBottom w:val="0"/>
      <w:divBdr>
        <w:top w:val="none" w:sz="0" w:space="0" w:color="auto"/>
        <w:left w:val="none" w:sz="0" w:space="0" w:color="auto"/>
        <w:bottom w:val="none" w:sz="0" w:space="0" w:color="auto"/>
        <w:right w:val="none" w:sz="0" w:space="0" w:color="auto"/>
      </w:divBdr>
      <w:divsChild>
        <w:div w:id="1779444212">
          <w:marLeft w:val="0"/>
          <w:marRight w:val="0"/>
          <w:marTop w:val="0"/>
          <w:marBottom w:val="0"/>
          <w:divBdr>
            <w:top w:val="none" w:sz="0" w:space="0" w:color="auto"/>
            <w:left w:val="none" w:sz="0" w:space="0" w:color="auto"/>
            <w:bottom w:val="none" w:sz="0" w:space="0" w:color="auto"/>
            <w:right w:val="none" w:sz="0" w:space="0" w:color="auto"/>
          </w:divBdr>
        </w:div>
        <w:div w:id="1779444213">
          <w:marLeft w:val="0"/>
          <w:marRight w:val="0"/>
          <w:marTop w:val="0"/>
          <w:marBottom w:val="0"/>
          <w:divBdr>
            <w:top w:val="none" w:sz="0" w:space="0" w:color="auto"/>
            <w:left w:val="none" w:sz="0" w:space="0" w:color="auto"/>
            <w:bottom w:val="none" w:sz="0" w:space="0" w:color="auto"/>
            <w:right w:val="none" w:sz="0" w:space="0" w:color="auto"/>
          </w:divBdr>
        </w:div>
        <w:div w:id="1779444258">
          <w:marLeft w:val="0"/>
          <w:marRight w:val="0"/>
          <w:marTop w:val="0"/>
          <w:marBottom w:val="0"/>
          <w:divBdr>
            <w:top w:val="none" w:sz="0" w:space="0" w:color="auto"/>
            <w:left w:val="none" w:sz="0" w:space="0" w:color="auto"/>
            <w:bottom w:val="none" w:sz="0" w:space="0" w:color="auto"/>
            <w:right w:val="none" w:sz="0" w:space="0" w:color="auto"/>
          </w:divBdr>
        </w:div>
        <w:div w:id="1779444275">
          <w:marLeft w:val="0"/>
          <w:marRight w:val="0"/>
          <w:marTop w:val="0"/>
          <w:marBottom w:val="0"/>
          <w:divBdr>
            <w:top w:val="none" w:sz="0" w:space="0" w:color="auto"/>
            <w:left w:val="none" w:sz="0" w:space="0" w:color="auto"/>
            <w:bottom w:val="none" w:sz="0" w:space="0" w:color="auto"/>
            <w:right w:val="none" w:sz="0" w:space="0" w:color="auto"/>
          </w:divBdr>
        </w:div>
        <w:div w:id="1779444373">
          <w:marLeft w:val="0"/>
          <w:marRight w:val="0"/>
          <w:marTop w:val="0"/>
          <w:marBottom w:val="0"/>
          <w:divBdr>
            <w:top w:val="none" w:sz="0" w:space="0" w:color="auto"/>
            <w:left w:val="none" w:sz="0" w:space="0" w:color="auto"/>
            <w:bottom w:val="none" w:sz="0" w:space="0" w:color="auto"/>
            <w:right w:val="none" w:sz="0" w:space="0" w:color="auto"/>
          </w:divBdr>
        </w:div>
        <w:div w:id="1779444382">
          <w:marLeft w:val="0"/>
          <w:marRight w:val="0"/>
          <w:marTop w:val="0"/>
          <w:marBottom w:val="0"/>
          <w:divBdr>
            <w:top w:val="none" w:sz="0" w:space="0" w:color="auto"/>
            <w:left w:val="none" w:sz="0" w:space="0" w:color="auto"/>
            <w:bottom w:val="none" w:sz="0" w:space="0" w:color="auto"/>
            <w:right w:val="none" w:sz="0" w:space="0" w:color="auto"/>
          </w:divBdr>
        </w:div>
        <w:div w:id="1779444480">
          <w:marLeft w:val="0"/>
          <w:marRight w:val="0"/>
          <w:marTop w:val="0"/>
          <w:marBottom w:val="0"/>
          <w:divBdr>
            <w:top w:val="none" w:sz="0" w:space="0" w:color="auto"/>
            <w:left w:val="none" w:sz="0" w:space="0" w:color="auto"/>
            <w:bottom w:val="none" w:sz="0" w:space="0" w:color="auto"/>
            <w:right w:val="none" w:sz="0" w:space="0" w:color="auto"/>
          </w:divBdr>
        </w:div>
        <w:div w:id="1779444492">
          <w:marLeft w:val="0"/>
          <w:marRight w:val="0"/>
          <w:marTop w:val="0"/>
          <w:marBottom w:val="0"/>
          <w:divBdr>
            <w:top w:val="none" w:sz="0" w:space="0" w:color="auto"/>
            <w:left w:val="none" w:sz="0" w:space="0" w:color="auto"/>
            <w:bottom w:val="none" w:sz="0" w:space="0" w:color="auto"/>
            <w:right w:val="none" w:sz="0" w:space="0" w:color="auto"/>
          </w:divBdr>
        </w:div>
        <w:div w:id="1779444495">
          <w:marLeft w:val="0"/>
          <w:marRight w:val="0"/>
          <w:marTop w:val="0"/>
          <w:marBottom w:val="0"/>
          <w:divBdr>
            <w:top w:val="none" w:sz="0" w:space="0" w:color="auto"/>
            <w:left w:val="none" w:sz="0" w:space="0" w:color="auto"/>
            <w:bottom w:val="none" w:sz="0" w:space="0" w:color="auto"/>
            <w:right w:val="none" w:sz="0" w:space="0" w:color="auto"/>
          </w:divBdr>
        </w:div>
        <w:div w:id="1779444498">
          <w:marLeft w:val="0"/>
          <w:marRight w:val="0"/>
          <w:marTop w:val="0"/>
          <w:marBottom w:val="0"/>
          <w:divBdr>
            <w:top w:val="none" w:sz="0" w:space="0" w:color="auto"/>
            <w:left w:val="none" w:sz="0" w:space="0" w:color="auto"/>
            <w:bottom w:val="none" w:sz="0" w:space="0" w:color="auto"/>
            <w:right w:val="none" w:sz="0" w:space="0" w:color="auto"/>
          </w:divBdr>
        </w:div>
        <w:div w:id="1779444533">
          <w:marLeft w:val="0"/>
          <w:marRight w:val="0"/>
          <w:marTop w:val="0"/>
          <w:marBottom w:val="0"/>
          <w:divBdr>
            <w:top w:val="none" w:sz="0" w:space="0" w:color="auto"/>
            <w:left w:val="none" w:sz="0" w:space="0" w:color="auto"/>
            <w:bottom w:val="none" w:sz="0" w:space="0" w:color="auto"/>
            <w:right w:val="none" w:sz="0" w:space="0" w:color="auto"/>
          </w:divBdr>
        </w:div>
      </w:divsChild>
    </w:div>
    <w:div w:id="1779444411">
      <w:marLeft w:val="0"/>
      <w:marRight w:val="0"/>
      <w:marTop w:val="0"/>
      <w:marBottom w:val="0"/>
      <w:divBdr>
        <w:top w:val="none" w:sz="0" w:space="0" w:color="auto"/>
        <w:left w:val="none" w:sz="0" w:space="0" w:color="auto"/>
        <w:bottom w:val="none" w:sz="0" w:space="0" w:color="auto"/>
        <w:right w:val="none" w:sz="0" w:space="0" w:color="auto"/>
      </w:divBdr>
      <w:divsChild>
        <w:div w:id="1779444247">
          <w:marLeft w:val="0"/>
          <w:marRight w:val="0"/>
          <w:marTop w:val="0"/>
          <w:marBottom w:val="0"/>
          <w:divBdr>
            <w:top w:val="none" w:sz="0" w:space="0" w:color="auto"/>
            <w:left w:val="none" w:sz="0" w:space="0" w:color="auto"/>
            <w:bottom w:val="none" w:sz="0" w:space="0" w:color="auto"/>
            <w:right w:val="none" w:sz="0" w:space="0" w:color="auto"/>
          </w:divBdr>
        </w:div>
        <w:div w:id="1779444269">
          <w:marLeft w:val="0"/>
          <w:marRight w:val="0"/>
          <w:marTop w:val="0"/>
          <w:marBottom w:val="0"/>
          <w:divBdr>
            <w:top w:val="none" w:sz="0" w:space="0" w:color="auto"/>
            <w:left w:val="none" w:sz="0" w:space="0" w:color="auto"/>
            <w:bottom w:val="none" w:sz="0" w:space="0" w:color="auto"/>
            <w:right w:val="none" w:sz="0" w:space="0" w:color="auto"/>
          </w:divBdr>
        </w:div>
        <w:div w:id="1779444525">
          <w:marLeft w:val="0"/>
          <w:marRight w:val="0"/>
          <w:marTop w:val="0"/>
          <w:marBottom w:val="0"/>
          <w:divBdr>
            <w:top w:val="none" w:sz="0" w:space="0" w:color="auto"/>
            <w:left w:val="none" w:sz="0" w:space="0" w:color="auto"/>
            <w:bottom w:val="none" w:sz="0" w:space="0" w:color="auto"/>
            <w:right w:val="none" w:sz="0" w:space="0" w:color="auto"/>
          </w:divBdr>
        </w:div>
      </w:divsChild>
    </w:div>
    <w:div w:id="1779444419">
      <w:marLeft w:val="0"/>
      <w:marRight w:val="0"/>
      <w:marTop w:val="0"/>
      <w:marBottom w:val="0"/>
      <w:divBdr>
        <w:top w:val="none" w:sz="0" w:space="0" w:color="auto"/>
        <w:left w:val="none" w:sz="0" w:space="0" w:color="auto"/>
        <w:bottom w:val="none" w:sz="0" w:space="0" w:color="auto"/>
        <w:right w:val="none" w:sz="0" w:space="0" w:color="auto"/>
      </w:divBdr>
      <w:divsChild>
        <w:div w:id="1779444215">
          <w:marLeft w:val="0"/>
          <w:marRight w:val="0"/>
          <w:marTop w:val="0"/>
          <w:marBottom w:val="0"/>
          <w:divBdr>
            <w:top w:val="none" w:sz="0" w:space="0" w:color="auto"/>
            <w:left w:val="none" w:sz="0" w:space="0" w:color="auto"/>
            <w:bottom w:val="none" w:sz="0" w:space="0" w:color="auto"/>
            <w:right w:val="none" w:sz="0" w:space="0" w:color="auto"/>
          </w:divBdr>
        </w:div>
        <w:div w:id="1779444251">
          <w:marLeft w:val="0"/>
          <w:marRight w:val="0"/>
          <w:marTop w:val="0"/>
          <w:marBottom w:val="0"/>
          <w:divBdr>
            <w:top w:val="none" w:sz="0" w:space="0" w:color="auto"/>
            <w:left w:val="none" w:sz="0" w:space="0" w:color="auto"/>
            <w:bottom w:val="none" w:sz="0" w:space="0" w:color="auto"/>
            <w:right w:val="none" w:sz="0" w:space="0" w:color="auto"/>
          </w:divBdr>
        </w:div>
        <w:div w:id="1779444261">
          <w:marLeft w:val="0"/>
          <w:marRight w:val="0"/>
          <w:marTop w:val="0"/>
          <w:marBottom w:val="0"/>
          <w:divBdr>
            <w:top w:val="none" w:sz="0" w:space="0" w:color="auto"/>
            <w:left w:val="none" w:sz="0" w:space="0" w:color="auto"/>
            <w:bottom w:val="none" w:sz="0" w:space="0" w:color="auto"/>
            <w:right w:val="none" w:sz="0" w:space="0" w:color="auto"/>
          </w:divBdr>
        </w:div>
        <w:div w:id="1779444271">
          <w:marLeft w:val="0"/>
          <w:marRight w:val="0"/>
          <w:marTop w:val="0"/>
          <w:marBottom w:val="0"/>
          <w:divBdr>
            <w:top w:val="none" w:sz="0" w:space="0" w:color="auto"/>
            <w:left w:val="none" w:sz="0" w:space="0" w:color="auto"/>
            <w:bottom w:val="none" w:sz="0" w:space="0" w:color="auto"/>
            <w:right w:val="none" w:sz="0" w:space="0" w:color="auto"/>
          </w:divBdr>
        </w:div>
        <w:div w:id="1779444294">
          <w:marLeft w:val="0"/>
          <w:marRight w:val="0"/>
          <w:marTop w:val="0"/>
          <w:marBottom w:val="0"/>
          <w:divBdr>
            <w:top w:val="none" w:sz="0" w:space="0" w:color="auto"/>
            <w:left w:val="none" w:sz="0" w:space="0" w:color="auto"/>
            <w:bottom w:val="none" w:sz="0" w:space="0" w:color="auto"/>
            <w:right w:val="none" w:sz="0" w:space="0" w:color="auto"/>
          </w:divBdr>
        </w:div>
        <w:div w:id="1779444297">
          <w:marLeft w:val="0"/>
          <w:marRight w:val="0"/>
          <w:marTop w:val="0"/>
          <w:marBottom w:val="0"/>
          <w:divBdr>
            <w:top w:val="none" w:sz="0" w:space="0" w:color="auto"/>
            <w:left w:val="none" w:sz="0" w:space="0" w:color="auto"/>
            <w:bottom w:val="none" w:sz="0" w:space="0" w:color="auto"/>
            <w:right w:val="none" w:sz="0" w:space="0" w:color="auto"/>
          </w:divBdr>
        </w:div>
        <w:div w:id="1779444308">
          <w:marLeft w:val="0"/>
          <w:marRight w:val="0"/>
          <w:marTop w:val="0"/>
          <w:marBottom w:val="0"/>
          <w:divBdr>
            <w:top w:val="none" w:sz="0" w:space="0" w:color="auto"/>
            <w:left w:val="none" w:sz="0" w:space="0" w:color="auto"/>
            <w:bottom w:val="none" w:sz="0" w:space="0" w:color="auto"/>
            <w:right w:val="none" w:sz="0" w:space="0" w:color="auto"/>
          </w:divBdr>
        </w:div>
        <w:div w:id="1779444322">
          <w:marLeft w:val="0"/>
          <w:marRight w:val="0"/>
          <w:marTop w:val="0"/>
          <w:marBottom w:val="0"/>
          <w:divBdr>
            <w:top w:val="none" w:sz="0" w:space="0" w:color="auto"/>
            <w:left w:val="none" w:sz="0" w:space="0" w:color="auto"/>
            <w:bottom w:val="none" w:sz="0" w:space="0" w:color="auto"/>
            <w:right w:val="none" w:sz="0" w:space="0" w:color="auto"/>
          </w:divBdr>
        </w:div>
        <w:div w:id="1779444346">
          <w:marLeft w:val="0"/>
          <w:marRight w:val="0"/>
          <w:marTop w:val="0"/>
          <w:marBottom w:val="0"/>
          <w:divBdr>
            <w:top w:val="none" w:sz="0" w:space="0" w:color="auto"/>
            <w:left w:val="none" w:sz="0" w:space="0" w:color="auto"/>
            <w:bottom w:val="none" w:sz="0" w:space="0" w:color="auto"/>
            <w:right w:val="none" w:sz="0" w:space="0" w:color="auto"/>
          </w:divBdr>
        </w:div>
        <w:div w:id="1779444349">
          <w:marLeft w:val="0"/>
          <w:marRight w:val="0"/>
          <w:marTop w:val="0"/>
          <w:marBottom w:val="0"/>
          <w:divBdr>
            <w:top w:val="none" w:sz="0" w:space="0" w:color="auto"/>
            <w:left w:val="none" w:sz="0" w:space="0" w:color="auto"/>
            <w:bottom w:val="none" w:sz="0" w:space="0" w:color="auto"/>
            <w:right w:val="none" w:sz="0" w:space="0" w:color="auto"/>
          </w:divBdr>
        </w:div>
        <w:div w:id="1779444395">
          <w:marLeft w:val="0"/>
          <w:marRight w:val="0"/>
          <w:marTop w:val="0"/>
          <w:marBottom w:val="0"/>
          <w:divBdr>
            <w:top w:val="none" w:sz="0" w:space="0" w:color="auto"/>
            <w:left w:val="none" w:sz="0" w:space="0" w:color="auto"/>
            <w:bottom w:val="none" w:sz="0" w:space="0" w:color="auto"/>
            <w:right w:val="none" w:sz="0" w:space="0" w:color="auto"/>
          </w:divBdr>
        </w:div>
        <w:div w:id="1779444397">
          <w:marLeft w:val="0"/>
          <w:marRight w:val="0"/>
          <w:marTop w:val="0"/>
          <w:marBottom w:val="0"/>
          <w:divBdr>
            <w:top w:val="none" w:sz="0" w:space="0" w:color="auto"/>
            <w:left w:val="none" w:sz="0" w:space="0" w:color="auto"/>
            <w:bottom w:val="none" w:sz="0" w:space="0" w:color="auto"/>
            <w:right w:val="none" w:sz="0" w:space="0" w:color="auto"/>
          </w:divBdr>
        </w:div>
        <w:div w:id="1779444405">
          <w:marLeft w:val="0"/>
          <w:marRight w:val="0"/>
          <w:marTop w:val="0"/>
          <w:marBottom w:val="0"/>
          <w:divBdr>
            <w:top w:val="none" w:sz="0" w:space="0" w:color="auto"/>
            <w:left w:val="none" w:sz="0" w:space="0" w:color="auto"/>
            <w:bottom w:val="none" w:sz="0" w:space="0" w:color="auto"/>
            <w:right w:val="none" w:sz="0" w:space="0" w:color="auto"/>
          </w:divBdr>
        </w:div>
        <w:div w:id="1779444417">
          <w:marLeft w:val="0"/>
          <w:marRight w:val="0"/>
          <w:marTop w:val="0"/>
          <w:marBottom w:val="0"/>
          <w:divBdr>
            <w:top w:val="none" w:sz="0" w:space="0" w:color="auto"/>
            <w:left w:val="none" w:sz="0" w:space="0" w:color="auto"/>
            <w:bottom w:val="none" w:sz="0" w:space="0" w:color="auto"/>
            <w:right w:val="none" w:sz="0" w:space="0" w:color="auto"/>
          </w:divBdr>
        </w:div>
        <w:div w:id="1779444420">
          <w:marLeft w:val="0"/>
          <w:marRight w:val="0"/>
          <w:marTop w:val="0"/>
          <w:marBottom w:val="0"/>
          <w:divBdr>
            <w:top w:val="none" w:sz="0" w:space="0" w:color="auto"/>
            <w:left w:val="none" w:sz="0" w:space="0" w:color="auto"/>
            <w:bottom w:val="none" w:sz="0" w:space="0" w:color="auto"/>
            <w:right w:val="none" w:sz="0" w:space="0" w:color="auto"/>
          </w:divBdr>
        </w:div>
        <w:div w:id="1779444421">
          <w:marLeft w:val="0"/>
          <w:marRight w:val="0"/>
          <w:marTop w:val="0"/>
          <w:marBottom w:val="0"/>
          <w:divBdr>
            <w:top w:val="none" w:sz="0" w:space="0" w:color="auto"/>
            <w:left w:val="none" w:sz="0" w:space="0" w:color="auto"/>
            <w:bottom w:val="none" w:sz="0" w:space="0" w:color="auto"/>
            <w:right w:val="none" w:sz="0" w:space="0" w:color="auto"/>
          </w:divBdr>
        </w:div>
        <w:div w:id="1779444427">
          <w:marLeft w:val="0"/>
          <w:marRight w:val="0"/>
          <w:marTop w:val="0"/>
          <w:marBottom w:val="0"/>
          <w:divBdr>
            <w:top w:val="none" w:sz="0" w:space="0" w:color="auto"/>
            <w:left w:val="none" w:sz="0" w:space="0" w:color="auto"/>
            <w:bottom w:val="none" w:sz="0" w:space="0" w:color="auto"/>
            <w:right w:val="none" w:sz="0" w:space="0" w:color="auto"/>
          </w:divBdr>
        </w:div>
        <w:div w:id="1779444468">
          <w:marLeft w:val="0"/>
          <w:marRight w:val="0"/>
          <w:marTop w:val="0"/>
          <w:marBottom w:val="0"/>
          <w:divBdr>
            <w:top w:val="none" w:sz="0" w:space="0" w:color="auto"/>
            <w:left w:val="none" w:sz="0" w:space="0" w:color="auto"/>
            <w:bottom w:val="none" w:sz="0" w:space="0" w:color="auto"/>
            <w:right w:val="none" w:sz="0" w:space="0" w:color="auto"/>
          </w:divBdr>
        </w:div>
        <w:div w:id="1779444471">
          <w:marLeft w:val="0"/>
          <w:marRight w:val="0"/>
          <w:marTop w:val="0"/>
          <w:marBottom w:val="0"/>
          <w:divBdr>
            <w:top w:val="none" w:sz="0" w:space="0" w:color="auto"/>
            <w:left w:val="none" w:sz="0" w:space="0" w:color="auto"/>
            <w:bottom w:val="none" w:sz="0" w:space="0" w:color="auto"/>
            <w:right w:val="none" w:sz="0" w:space="0" w:color="auto"/>
          </w:divBdr>
        </w:div>
        <w:div w:id="1779444520">
          <w:marLeft w:val="0"/>
          <w:marRight w:val="0"/>
          <w:marTop w:val="0"/>
          <w:marBottom w:val="0"/>
          <w:divBdr>
            <w:top w:val="none" w:sz="0" w:space="0" w:color="auto"/>
            <w:left w:val="none" w:sz="0" w:space="0" w:color="auto"/>
            <w:bottom w:val="none" w:sz="0" w:space="0" w:color="auto"/>
            <w:right w:val="none" w:sz="0" w:space="0" w:color="auto"/>
          </w:divBdr>
        </w:div>
        <w:div w:id="1779444538">
          <w:marLeft w:val="0"/>
          <w:marRight w:val="0"/>
          <w:marTop w:val="0"/>
          <w:marBottom w:val="0"/>
          <w:divBdr>
            <w:top w:val="none" w:sz="0" w:space="0" w:color="auto"/>
            <w:left w:val="none" w:sz="0" w:space="0" w:color="auto"/>
            <w:bottom w:val="none" w:sz="0" w:space="0" w:color="auto"/>
            <w:right w:val="none" w:sz="0" w:space="0" w:color="auto"/>
          </w:divBdr>
        </w:div>
      </w:divsChild>
    </w:div>
    <w:div w:id="1779444423">
      <w:marLeft w:val="0"/>
      <w:marRight w:val="0"/>
      <w:marTop w:val="0"/>
      <w:marBottom w:val="0"/>
      <w:divBdr>
        <w:top w:val="none" w:sz="0" w:space="0" w:color="auto"/>
        <w:left w:val="none" w:sz="0" w:space="0" w:color="auto"/>
        <w:bottom w:val="none" w:sz="0" w:space="0" w:color="auto"/>
        <w:right w:val="none" w:sz="0" w:space="0" w:color="auto"/>
      </w:divBdr>
      <w:divsChild>
        <w:div w:id="1779444464">
          <w:marLeft w:val="0"/>
          <w:marRight w:val="0"/>
          <w:marTop w:val="0"/>
          <w:marBottom w:val="0"/>
          <w:divBdr>
            <w:top w:val="none" w:sz="0" w:space="0" w:color="auto"/>
            <w:left w:val="none" w:sz="0" w:space="0" w:color="auto"/>
            <w:bottom w:val="none" w:sz="0" w:space="0" w:color="auto"/>
            <w:right w:val="none" w:sz="0" w:space="0" w:color="auto"/>
          </w:divBdr>
        </w:div>
      </w:divsChild>
    </w:div>
    <w:div w:id="1779444432">
      <w:marLeft w:val="0"/>
      <w:marRight w:val="0"/>
      <w:marTop w:val="0"/>
      <w:marBottom w:val="0"/>
      <w:divBdr>
        <w:top w:val="none" w:sz="0" w:space="0" w:color="auto"/>
        <w:left w:val="none" w:sz="0" w:space="0" w:color="auto"/>
        <w:bottom w:val="none" w:sz="0" w:space="0" w:color="auto"/>
        <w:right w:val="none" w:sz="0" w:space="0" w:color="auto"/>
      </w:divBdr>
    </w:div>
    <w:div w:id="1779444433">
      <w:marLeft w:val="0"/>
      <w:marRight w:val="0"/>
      <w:marTop w:val="0"/>
      <w:marBottom w:val="0"/>
      <w:divBdr>
        <w:top w:val="none" w:sz="0" w:space="0" w:color="auto"/>
        <w:left w:val="none" w:sz="0" w:space="0" w:color="auto"/>
        <w:bottom w:val="none" w:sz="0" w:space="0" w:color="auto"/>
        <w:right w:val="none" w:sz="0" w:space="0" w:color="auto"/>
      </w:divBdr>
    </w:div>
    <w:div w:id="1779444448">
      <w:marLeft w:val="0"/>
      <w:marRight w:val="0"/>
      <w:marTop w:val="0"/>
      <w:marBottom w:val="0"/>
      <w:divBdr>
        <w:top w:val="none" w:sz="0" w:space="0" w:color="auto"/>
        <w:left w:val="none" w:sz="0" w:space="0" w:color="auto"/>
        <w:bottom w:val="none" w:sz="0" w:space="0" w:color="auto"/>
        <w:right w:val="none" w:sz="0" w:space="0" w:color="auto"/>
      </w:divBdr>
    </w:div>
    <w:div w:id="1779444465">
      <w:marLeft w:val="0"/>
      <w:marRight w:val="0"/>
      <w:marTop w:val="0"/>
      <w:marBottom w:val="0"/>
      <w:divBdr>
        <w:top w:val="none" w:sz="0" w:space="0" w:color="auto"/>
        <w:left w:val="none" w:sz="0" w:space="0" w:color="auto"/>
        <w:bottom w:val="none" w:sz="0" w:space="0" w:color="auto"/>
        <w:right w:val="none" w:sz="0" w:space="0" w:color="auto"/>
      </w:divBdr>
      <w:divsChild>
        <w:div w:id="1779444392">
          <w:marLeft w:val="0"/>
          <w:marRight w:val="0"/>
          <w:marTop w:val="0"/>
          <w:marBottom w:val="0"/>
          <w:divBdr>
            <w:top w:val="none" w:sz="0" w:space="0" w:color="auto"/>
            <w:left w:val="none" w:sz="0" w:space="0" w:color="auto"/>
            <w:bottom w:val="none" w:sz="0" w:space="0" w:color="auto"/>
            <w:right w:val="none" w:sz="0" w:space="0" w:color="auto"/>
          </w:divBdr>
        </w:div>
      </w:divsChild>
    </w:div>
    <w:div w:id="1779444467">
      <w:marLeft w:val="0"/>
      <w:marRight w:val="0"/>
      <w:marTop w:val="0"/>
      <w:marBottom w:val="0"/>
      <w:divBdr>
        <w:top w:val="none" w:sz="0" w:space="0" w:color="auto"/>
        <w:left w:val="none" w:sz="0" w:space="0" w:color="auto"/>
        <w:bottom w:val="none" w:sz="0" w:space="0" w:color="auto"/>
        <w:right w:val="none" w:sz="0" w:space="0" w:color="auto"/>
      </w:divBdr>
    </w:div>
    <w:div w:id="1779444469">
      <w:marLeft w:val="0"/>
      <w:marRight w:val="0"/>
      <w:marTop w:val="0"/>
      <w:marBottom w:val="0"/>
      <w:divBdr>
        <w:top w:val="none" w:sz="0" w:space="0" w:color="auto"/>
        <w:left w:val="none" w:sz="0" w:space="0" w:color="auto"/>
        <w:bottom w:val="none" w:sz="0" w:space="0" w:color="auto"/>
        <w:right w:val="none" w:sz="0" w:space="0" w:color="auto"/>
      </w:divBdr>
    </w:div>
    <w:div w:id="1779444472">
      <w:marLeft w:val="0"/>
      <w:marRight w:val="0"/>
      <w:marTop w:val="0"/>
      <w:marBottom w:val="0"/>
      <w:divBdr>
        <w:top w:val="none" w:sz="0" w:space="0" w:color="auto"/>
        <w:left w:val="none" w:sz="0" w:space="0" w:color="auto"/>
        <w:bottom w:val="none" w:sz="0" w:space="0" w:color="auto"/>
        <w:right w:val="none" w:sz="0" w:space="0" w:color="auto"/>
      </w:divBdr>
    </w:div>
    <w:div w:id="1779444478">
      <w:marLeft w:val="0"/>
      <w:marRight w:val="0"/>
      <w:marTop w:val="0"/>
      <w:marBottom w:val="0"/>
      <w:divBdr>
        <w:top w:val="none" w:sz="0" w:space="0" w:color="auto"/>
        <w:left w:val="none" w:sz="0" w:space="0" w:color="auto"/>
        <w:bottom w:val="none" w:sz="0" w:space="0" w:color="auto"/>
        <w:right w:val="none" w:sz="0" w:space="0" w:color="auto"/>
      </w:divBdr>
      <w:divsChild>
        <w:div w:id="1779444228">
          <w:marLeft w:val="0"/>
          <w:marRight w:val="0"/>
          <w:marTop w:val="0"/>
          <w:marBottom w:val="0"/>
          <w:divBdr>
            <w:top w:val="none" w:sz="0" w:space="0" w:color="auto"/>
            <w:left w:val="none" w:sz="0" w:space="0" w:color="auto"/>
            <w:bottom w:val="none" w:sz="0" w:space="0" w:color="auto"/>
            <w:right w:val="none" w:sz="0" w:space="0" w:color="auto"/>
          </w:divBdr>
        </w:div>
        <w:div w:id="1779444311">
          <w:marLeft w:val="0"/>
          <w:marRight w:val="0"/>
          <w:marTop w:val="0"/>
          <w:marBottom w:val="0"/>
          <w:divBdr>
            <w:top w:val="none" w:sz="0" w:space="0" w:color="auto"/>
            <w:left w:val="none" w:sz="0" w:space="0" w:color="auto"/>
            <w:bottom w:val="none" w:sz="0" w:space="0" w:color="auto"/>
            <w:right w:val="none" w:sz="0" w:space="0" w:color="auto"/>
          </w:divBdr>
        </w:div>
        <w:div w:id="1779444371">
          <w:marLeft w:val="0"/>
          <w:marRight w:val="0"/>
          <w:marTop w:val="0"/>
          <w:marBottom w:val="0"/>
          <w:divBdr>
            <w:top w:val="none" w:sz="0" w:space="0" w:color="auto"/>
            <w:left w:val="none" w:sz="0" w:space="0" w:color="auto"/>
            <w:bottom w:val="none" w:sz="0" w:space="0" w:color="auto"/>
            <w:right w:val="none" w:sz="0" w:space="0" w:color="auto"/>
          </w:divBdr>
        </w:div>
        <w:div w:id="1779444402">
          <w:marLeft w:val="0"/>
          <w:marRight w:val="0"/>
          <w:marTop w:val="0"/>
          <w:marBottom w:val="0"/>
          <w:divBdr>
            <w:top w:val="none" w:sz="0" w:space="0" w:color="auto"/>
            <w:left w:val="none" w:sz="0" w:space="0" w:color="auto"/>
            <w:bottom w:val="none" w:sz="0" w:space="0" w:color="auto"/>
            <w:right w:val="none" w:sz="0" w:space="0" w:color="auto"/>
          </w:divBdr>
        </w:div>
        <w:div w:id="1779444428">
          <w:marLeft w:val="0"/>
          <w:marRight w:val="0"/>
          <w:marTop w:val="0"/>
          <w:marBottom w:val="0"/>
          <w:divBdr>
            <w:top w:val="none" w:sz="0" w:space="0" w:color="auto"/>
            <w:left w:val="none" w:sz="0" w:space="0" w:color="auto"/>
            <w:bottom w:val="none" w:sz="0" w:space="0" w:color="auto"/>
            <w:right w:val="none" w:sz="0" w:space="0" w:color="auto"/>
          </w:divBdr>
        </w:div>
      </w:divsChild>
    </w:div>
    <w:div w:id="1779444481">
      <w:marLeft w:val="0"/>
      <w:marRight w:val="0"/>
      <w:marTop w:val="0"/>
      <w:marBottom w:val="0"/>
      <w:divBdr>
        <w:top w:val="none" w:sz="0" w:space="0" w:color="auto"/>
        <w:left w:val="none" w:sz="0" w:space="0" w:color="auto"/>
        <w:bottom w:val="none" w:sz="0" w:space="0" w:color="auto"/>
        <w:right w:val="none" w:sz="0" w:space="0" w:color="auto"/>
      </w:divBdr>
    </w:div>
    <w:div w:id="1779444484">
      <w:marLeft w:val="0"/>
      <w:marRight w:val="0"/>
      <w:marTop w:val="0"/>
      <w:marBottom w:val="0"/>
      <w:divBdr>
        <w:top w:val="none" w:sz="0" w:space="0" w:color="auto"/>
        <w:left w:val="none" w:sz="0" w:space="0" w:color="auto"/>
        <w:bottom w:val="none" w:sz="0" w:space="0" w:color="auto"/>
        <w:right w:val="none" w:sz="0" w:space="0" w:color="auto"/>
      </w:divBdr>
    </w:div>
    <w:div w:id="1779444488">
      <w:marLeft w:val="0"/>
      <w:marRight w:val="0"/>
      <w:marTop w:val="0"/>
      <w:marBottom w:val="0"/>
      <w:divBdr>
        <w:top w:val="none" w:sz="0" w:space="0" w:color="auto"/>
        <w:left w:val="none" w:sz="0" w:space="0" w:color="auto"/>
        <w:bottom w:val="none" w:sz="0" w:space="0" w:color="auto"/>
        <w:right w:val="none" w:sz="0" w:space="0" w:color="auto"/>
      </w:divBdr>
      <w:divsChild>
        <w:div w:id="1779444310">
          <w:marLeft w:val="0"/>
          <w:marRight w:val="0"/>
          <w:marTop w:val="0"/>
          <w:marBottom w:val="0"/>
          <w:divBdr>
            <w:top w:val="none" w:sz="0" w:space="0" w:color="auto"/>
            <w:left w:val="none" w:sz="0" w:space="0" w:color="auto"/>
            <w:bottom w:val="none" w:sz="0" w:space="0" w:color="auto"/>
            <w:right w:val="none" w:sz="0" w:space="0" w:color="auto"/>
          </w:divBdr>
        </w:div>
        <w:div w:id="1779444367">
          <w:marLeft w:val="0"/>
          <w:marRight w:val="0"/>
          <w:marTop w:val="0"/>
          <w:marBottom w:val="0"/>
          <w:divBdr>
            <w:top w:val="none" w:sz="0" w:space="0" w:color="auto"/>
            <w:left w:val="none" w:sz="0" w:space="0" w:color="auto"/>
            <w:bottom w:val="none" w:sz="0" w:space="0" w:color="auto"/>
            <w:right w:val="none" w:sz="0" w:space="0" w:color="auto"/>
          </w:divBdr>
        </w:div>
        <w:div w:id="1779444510">
          <w:marLeft w:val="0"/>
          <w:marRight w:val="0"/>
          <w:marTop w:val="0"/>
          <w:marBottom w:val="0"/>
          <w:divBdr>
            <w:top w:val="none" w:sz="0" w:space="0" w:color="auto"/>
            <w:left w:val="none" w:sz="0" w:space="0" w:color="auto"/>
            <w:bottom w:val="none" w:sz="0" w:space="0" w:color="auto"/>
            <w:right w:val="none" w:sz="0" w:space="0" w:color="auto"/>
          </w:divBdr>
        </w:div>
      </w:divsChild>
    </w:div>
    <w:div w:id="1779444493">
      <w:marLeft w:val="0"/>
      <w:marRight w:val="0"/>
      <w:marTop w:val="0"/>
      <w:marBottom w:val="0"/>
      <w:divBdr>
        <w:top w:val="none" w:sz="0" w:space="0" w:color="auto"/>
        <w:left w:val="none" w:sz="0" w:space="0" w:color="auto"/>
        <w:bottom w:val="none" w:sz="0" w:space="0" w:color="auto"/>
        <w:right w:val="none" w:sz="0" w:space="0" w:color="auto"/>
      </w:divBdr>
    </w:div>
    <w:div w:id="1779444497">
      <w:marLeft w:val="0"/>
      <w:marRight w:val="0"/>
      <w:marTop w:val="0"/>
      <w:marBottom w:val="0"/>
      <w:divBdr>
        <w:top w:val="none" w:sz="0" w:space="0" w:color="auto"/>
        <w:left w:val="none" w:sz="0" w:space="0" w:color="auto"/>
        <w:bottom w:val="none" w:sz="0" w:space="0" w:color="auto"/>
        <w:right w:val="none" w:sz="0" w:space="0" w:color="auto"/>
      </w:divBdr>
    </w:div>
    <w:div w:id="1779444505">
      <w:marLeft w:val="0"/>
      <w:marRight w:val="0"/>
      <w:marTop w:val="0"/>
      <w:marBottom w:val="0"/>
      <w:divBdr>
        <w:top w:val="none" w:sz="0" w:space="0" w:color="auto"/>
        <w:left w:val="none" w:sz="0" w:space="0" w:color="auto"/>
        <w:bottom w:val="none" w:sz="0" w:space="0" w:color="auto"/>
        <w:right w:val="none" w:sz="0" w:space="0" w:color="auto"/>
      </w:divBdr>
    </w:div>
    <w:div w:id="1779444509">
      <w:marLeft w:val="0"/>
      <w:marRight w:val="0"/>
      <w:marTop w:val="0"/>
      <w:marBottom w:val="0"/>
      <w:divBdr>
        <w:top w:val="none" w:sz="0" w:space="0" w:color="auto"/>
        <w:left w:val="none" w:sz="0" w:space="0" w:color="auto"/>
        <w:bottom w:val="none" w:sz="0" w:space="0" w:color="auto"/>
        <w:right w:val="none" w:sz="0" w:space="0" w:color="auto"/>
      </w:divBdr>
    </w:div>
    <w:div w:id="1779444518">
      <w:marLeft w:val="0"/>
      <w:marRight w:val="0"/>
      <w:marTop w:val="0"/>
      <w:marBottom w:val="0"/>
      <w:divBdr>
        <w:top w:val="none" w:sz="0" w:space="0" w:color="auto"/>
        <w:left w:val="none" w:sz="0" w:space="0" w:color="auto"/>
        <w:bottom w:val="none" w:sz="0" w:space="0" w:color="auto"/>
        <w:right w:val="none" w:sz="0" w:space="0" w:color="auto"/>
      </w:divBdr>
      <w:divsChild>
        <w:div w:id="1779444201">
          <w:marLeft w:val="0"/>
          <w:marRight w:val="0"/>
          <w:marTop w:val="0"/>
          <w:marBottom w:val="0"/>
          <w:divBdr>
            <w:top w:val="none" w:sz="0" w:space="0" w:color="auto"/>
            <w:left w:val="none" w:sz="0" w:space="0" w:color="auto"/>
            <w:bottom w:val="none" w:sz="0" w:space="0" w:color="auto"/>
            <w:right w:val="none" w:sz="0" w:space="0" w:color="auto"/>
          </w:divBdr>
        </w:div>
        <w:div w:id="1779444240">
          <w:marLeft w:val="0"/>
          <w:marRight w:val="0"/>
          <w:marTop w:val="0"/>
          <w:marBottom w:val="0"/>
          <w:divBdr>
            <w:top w:val="none" w:sz="0" w:space="0" w:color="auto"/>
            <w:left w:val="none" w:sz="0" w:space="0" w:color="auto"/>
            <w:bottom w:val="none" w:sz="0" w:space="0" w:color="auto"/>
            <w:right w:val="none" w:sz="0" w:space="0" w:color="auto"/>
          </w:divBdr>
        </w:div>
        <w:div w:id="1779444523">
          <w:marLeft w:val="0"/>
          <w:marRight w:val="0"/>
          <w:marTop w:val="0"/>
          <w:marBottom w:val="0"/>
          <w:divBdr>
            <w:top w:val="none" w:sz="0" w:space="0" w:color="auto"/>
            <w:left w:val="none" w:sz="0" w:space="0" w:color="auto"/>
            <w:bottom w:val="none" w:sz="0" w:space="0" w:color="auto"/>
            <w:right w:val="none" w:sz="0" w:space="0" w:color="auto"/>
          </w:divBdr>
        </w:div>
      </w:divsChild>
    </w:div>
    <w:div w:id="1779444526">
      <w:marLeft w:val="0"/>
      <w:marRight w:val="0"/>
      <w:marTop w:val="0"/>
      <w:marBottom w:val="0"/>
      <w:divBdr>
        <w:top w:val="none" w:sz="0" w:space="0" w:color="auto"/>
        <w:left w:val="none" w:sz="0" w:space="0" w:color="auto"/>
        <w:bottom w:val="none" w:sz="0" w:space="0" w:color="auto"/>
        <w:right w:val="none" w:sz="0" w:space="0" w:color="auto"/>
      </w:divBdr>
      <w:divsChild>
        <w:div w:id="1779444230">
          <w:marLeft w:val="0"/>
          <w:marRight w:val="0"/>
          <w:marTop w:val="0"/>
          <w:marBottom w:val="0"/>
          <w:divBdr>
            <w:top w:val="none" w:sz="0" w:space="0" w:color="auto"/>
            <w:left w:val="none" w:sz="0" w:space="0" w:color="auto"/>
            <w:bottom w:val="none" w:sz="0" w:space="0" w:color="auto"/>
            <w:right w:val="none" w:sz="0" w:space="0" w:color="auto"/>
          </w:divBdr>
        </w:div>
        <w:div w:id="1779444243">
          <w:marLeft w:val="0"/>
          <w:marRight w:val="0"/>
          <w:marTop w:val="0"/>
          <w:marBottom w:val="0"/>
          <w:divBdr>
            <w:top w:val="none" w:sz="0" w:space="0" w:color="auto"/>
            <w:left w:val="none" w:sz="0" w:space="0" w:color="auto"/>
            <w:bottom w:val="none" w:sz="0" w:space="0" w:color="auto"/>
            <w:right w:val="none" w:sz="0" w:space="0" w:color="auto"/>
          </w:divBdr>
        </w:div>
      </w:divsChild>
    </w:div>
    <w:div w:id="1779444528">
      <w:marLeft w:val="0"/>
      <w:marRight w:val="0"/>
      <w:marTop w:val="0"/>
      <w:marBottom w:val="0"/>
      <w:divBdr>
        <w:top w:val="none" w:sz="0" w:space="0" w:color="auto"/>
        <w:left w:val="none" w:sz="0" w:space="0" w:color="auto"/>
        <w:bottom w:val="none" w:sz="0" w:space="0" w:color="auto"/>
        <w:right w:val="none" w:sz="0" w:space="0" w:color="auto"/>
      </w:divBdr>
      <w:divsChild>
        <w:div w:id="1779444270">
          <w:marLeft w:val="0"/>
          <w:marRight w:val="0"/>
          <w:marTop w:val="0"/>
          <w:marBottom w:val="0"/>
          <w:divBdr>
            <w:top w:val="none" w:sz="0" w:space="0" w:color="auto"/>
            <w:left w:val="none" w:sz="0" w:space="0" w:color="auto"/>
            <w:bottom w:val="none" w:sz="0" w:space="0" w:color="auto"/>
            <w:right w:val="none" w:sz="0" w:space="0" w:color="auto"/>
          </w:divBdr>
        </w:div>
        <w:div w:id="1779444325">
          <w:marLeft w:val="0"/>
          <w:marRight w:val="0"/>
          <w:marTop w:val="0"/>
          <w:marBottom w:val="0"/>
          <w:divBdr>
            <w:top w:val="none" w:sz="0" w:space="0" w:color="auto"/>
            <w:left w:val="none" w:sz="0" w:space="0" w:color="auto"/>
            <w:bottom w:val="none" w:sz="0" w:space="0" w:color="auto"/>
            <w:right w:val="none" w:sz="0" w:space="0" w:color="auto"/>
          </w:divBdr>
        </w:div>
      </w:divsChild>
    </w:div>
    <w:div w:id="1779444536">
      <w:marLeft w:val="0"/>
      <w:marRight w:val="0"/>
      <w:marTop w:val="0"/>
      <w:marBottom w:val="0"/>
      <w:divBdr>
        <w:top w:val="none" w:sz="0" w:space="0" w:color="auto"/>
        <w:left w:val="none" w:sz="0" w:space="0" w:color="auto"/>
        <w:bottom w:val="none" w:sz="0" w:space="0" w:color="auto"/>
        <w:right w:val="none" w:sz="0" w:space="0" w:color="auto"/>
      </w:divBdr>
      <w:divsChild>
        <w:div w:id="1779444241">
          <w:marLeft w:val="0"/>
          <w:marRight w:val="0"/>
          <w:marTop w:val="0"/>
          <w:marBottom w:val="0"/>
          <w:divBdr>
            <w:top w:val="none" w:sz="0" w:space="0" w:color="auto"/>
            <w:left w:val="none" w:sz="0" w:space="0" w:color="auto"/>
            <w:bottom w:val="none" w:sz="0" w:space="0" w:color="auto"/>
            <w:right w:val="none" w:sz="0" w:space="0" w:color="auto"/>
          </w:divBdr>
        </w:div>
        <w:div w:id="1779444249">
          <w:marLeft w:val="0"/>
          <w:marRight w:val="0"/>
          <w:marTop w:val="0"/>
          <w:marBottom w:val="0"/>
          <w:divBdr>
            <w:top w:val="none" w:sz="0" w:space="0" w:color="auto"/>
            <w:left w:val="none" w:sz="0" w:space="0" w:color="auto"/>
            <w:bottom w:val="none" w:sz="0" w:space="0" w:color="auto"/>
            <w:right w:val="none" w:sz="0" w:space="0" w:color="auto"/>
          </w:divBdr>
        </w:div>
        <w:div w:id="1779444282">
          <w:marLeft w:val="0"/>
          <w:marRight w:val="0"/>
          <w:marTop w:val="0"/>
          <w:marBottom w:val="0"/>
          <w:divBdr>
            <w:top w:val="none" w:sz="0" w:space="0" w:color="auto"/>
            <w:left w:val="none" w:sz="0" w:space="0" w:color="auto"/>
            <w:bottom w:val="none" w:sz="0" w:space="0" w:color="auto"/>
            <w:right w:val="none" w:sz="0" w:space="0" w:color="auto"/>
          </w:divBdr>
        </w:div>
        <w:div w:id="1779444287">
          <w:marLeft w:val="0"/>
          <w:marRight w:val="0"/>
          <w:marTop w:val="0"/>
          <w:marBottom w:val="0"/>
          <w:divBdr>
            <w:top w:val="none" w:sz="0" w:space="0" w:color="auto"/>
            <w:left w:val="none" w:sz="0" w:space="0" w:color="auto"/>
            <w:bottom w:val="none" w:sz="0" w:space="0" w:color="auto"/>
            <w:right w:val="none" w:sz="0" w:space="0" w:color="auto"/>
          </w:divBdr>
        </w:div>
        <w:div w:id="1779444298">
          <w:marLeft w:val="0"/>
          <w:marRight w:val="0"/>
          <w:marTop w:val="0"/>
          <w:marBottom w:val="0"/>
          <w:divBdr>
            <w:top w:val="none" w:sz="0" w:space="0" w:color="auto"/>
            <w:left w:val="none" w:sz="0" w:space="0" w:color="auto"/>
            <w:bottom w:val="none" w:sz="0" w:space="0" w:color="auto"/>
            <w:right w:val="none" w:sz="0" w:space="0" w:color="auto"/>
          </w:divBdr>
        </w:div>
        <w:div w:id="1779444299">
          <w:marLeft w:val="0"/>
          <w:marRight w:val="0"/>
          <w:marTop w:val="0"/>
          <w:marBottom w:val="0"/>
          <w:divBdr>
            <w:top w:val="none" w:sz="0" w:space="0" w:color="auto"/>
            <w:left w:val="none" w:sz="0" w:space="0" w:color="auto"/>
            <w:bottom w:val="none" w:sz="0" w:space="0" w:color="auto"/>
            <w:right w:val="none" w:sz="0" w:space="0" w:color="auto"/>
          </w:divBdr>
        </w:div>
        <w:div w:id="1779444307">
          <w:marLeft w:val="0"/>
          <w:marRight w:val="0"/>
          <w:marTop w:val="0"/>
          <w:marBottom w:val="0"/>
          <w:divBdr>
            <w:top w:val="none" w:sz="0" w:space="0" w:color="auto"/>
            <w:left w:val="none" w:sz="0" w:space="0" w:color="auto"/>
            <w:bottom w:val="none" w:sz="0" w:space="0" w:color="auto"/>
            <w:right w:val="none" w:sz="0" w:space="0" w:color="auto"/>
          </w:divBdr>
        </w:div>
        <w:div w:id="1779444354">
          <w:marLeft w:val="0"/>
          <w:marRight w:val="0"/>
          <w:marTop w:val="0"/>
          <w:marBottom w:val="0"/>
          <w:divBdr>
            <w:top w:val="none" w:sz="0" w:space="0" w:color="auto"/>
            <w:left w:val="none" w:sz="0" w:space="0" w:color="auto"/>
            <w:bottom w:val="none" w:sz="0" w:space="0" w:color="auto"/>
            <w:right w:val="none" w:sz="0" w:space="0" w:color="auto"/>
          </w:divBdr>
        </w:div>
        <w:div w:id="1779444365">
          <w:marLeft w:val="0"/>
          <w:marRight w:val="0"/>
          <w:marTop w:val="0"/>
          <w:marBottom w:val="0"/>
          <w:divBdr>
            <w:top w:val="none" w:sz="0" w:space="0" w:color="auto"/>
            <w:left w:val="none" w:sz="0" w:space="0" w:color="auto"/>
            <w:bottom w:val="none" w:sz="0" w:space="0" w:color="auto"/>
            <w:right w:val="none" w:sz="0" w:space="0" w:color="auto"/>
          </w:divBdr>
        </w:div>
        <w:div w:id="1779444408">
          <w:marLeft w:val="0"/>
          <w:marRight w:val="0"/>
          <w:marTop w:val="0"/>
          <w:marBottom w:val="0"/>
          <w:divBdr>
            <w:top w:val="none" w:sz="0" w:space="0" w:color="auto"/>
            <w:left w:val="none" w:sz="0" w:space="0" w:color="auto"/>
            <w:bottom w:val="none" w:sz="0" w:space="0" w:color="auto"/>
            <w:right w:val="none" w:sz="0" w:space="0" w:color="auto"/>
          </w:divBdr>
        </w:div>
        <w:div w:id="1779444446">
          <w:marLeft w:val="0"/>
          <w:marRight w:val="0"/>
          <w:marTop w:val="0"/>
          <w:marBottom w:val="0"/>
          <w:divBdr>
            <w:top w:val="none" w:sz="0" w:space="0" w:color="auto"/>
            <w:left w:val="none" w:sz="0" w:space="0" w:color="auto"/>
            <w:bottom w:val="none" w:sz="0" w:space="0" w:color="auto"/>
            <w:right w:val="none" w:sz="0" w:space="0" w:color="auto"/>
          </w:divBdr>
        </w:div>
        <w:div w:id="1779444447">
          <w:marLeft w:val="0"/>
          <w:marRight w:val="0"/>
          <w:marTop w:val="0"/>
          <w:marBottom w:val="0"/>
          <w:divBdr>
            <w:top w:val="none" w:sz="0" w:space="0" w:color="auto"/>
            <w:left w:val="none" w:sz="0" w:space="0" w:color="auto"/>
            <w:bottom w:val="none" w:sz="0" w:space="0" w:color="auto"/>
            <w:right w:val="none" w:sz="0" w:space="0" w:color="auto"/>
          </w:divBdr>
        </w:div>
        <w:div w:id="1779444461">
          <w:marLeft w:val="0"/>
          <w:marRight w:val="0"/>
          <w:marTop w:val="0"/>
          <w:marBottom w:val="0"/>
          <w:divBdr>
            <w:top w:val="none" w:sz="0" w:space="0" w:color="auto"/>
            <w:left w:val="none" w:sz="0" w:space="0" w:color="auto"/>
            <w:bottom w:val="none" w:sz="0" w:space="0" w:color="auto"/>
            <w:right w:val="none" w:sz="0" w:space="0" w:color="auto"/>
          </w:divBdr>
        </w:div>
        <w:div w:id="1779444470">
          <w:marLeft w:val="0"/>
          <w:marRight w:val="0"/>
          <w:marTop w:val="0"/>
          <w:marBottom w:val="0"/>
          <w:divBdr>
            <w:top w:val="none" w:sz="0" w:space="0" w:color="auto"/>
            <w:left w:val="none" w:sz="0" w:space="0" w:color="auto"/>
            <w:bottom w:val="none" w:sz="0" w:space="0" w:color="auto"/>
            <w:right w:val="none" w:sz="0" w:space="0" w:color="auto"/>
          </w:divBdr>
        </w:div>
        <w:div w:id="1779444475">
          <w:marLeft w:val="0"/>
          <w:marRight w:val="0"/>
          <w:marTop w:val="0"/>
          <w:marBottom w:val="0"/>
          <w:divBdr>
            <w:top w:val="none" w:sz="0" w:space="0" w:color="auto"/>
            <w:left w:val="none" w:sz="0" w:space="0" w:color="auto"/>
            <w:bottom w:val="none" w:sz="0" w:space="0" w:color="auto"/>
            <w:right w:val="none" w:sz="0" w:space="0" w:color="auto"/>
          </w:divBdr>
        </w:div>
        <w:div w:id="1779444522">
          <w:marLeft w:val="0"/>
          <w:marRight w:val="0"/>
          <w:marTop w:val="0"/>
          <w:marBottom w:val="0"/>
          <w:divBdr>
            <w:top w:val="none" w:sz="0" w:space="0" w:color="auto"/>
            <w:left w:val="none" w:sz="0" w:space="0" w:color="auto"/>
            <w:bottom w:val="none" w:sz="0" w:space="0" w:color="auto"/>
            <w:right w:val="none" w:sz="0" w:space="0" w:color="auto"/>
          </w:divBdr>
        </w:div>
        <w:div w:id="1779444532">
          <w:marLeft w:val="0"/>
          <w:marRight w:val="0"/>
          <w:marTop w:val="0"/>
          <w:marBottom w:val="0"/>
          <w:divBdr>
            <w:top w:val="none" w:sz="0" w:space="0" w:color="auto"/>
            <w:left w:val="none" w:sz="0" w:space="0" w:color="auto"/>
            <w:bottom w:val="none" w:sz="0" w:space="0" w:color="auto"/>
            <w:right w:val="none" w:sz="0" w:space="0" w:color="auto"/>
          </w:divBdr>
        </w:div>
        <w:div w:id="1779444535">
          <w:marLeft w:val="0"/>
          <w:marRight w:val="0"/>
          <w:marTop w:val="0"/>
          <w:marBottom w:val="0"/>
          <w:divBdr>
            <w:top w:val="none" w:sz="0" w:space="0" w:color="auto"/>
            <w:left w:val="none" w:sz="0" w:space="0" w:color="auto"/>
            <w:bottom w:val="none" w:sz="0" w:space="0" w:color="auto"/>
            <w:right w:val="none" w:sz="0" w:space="0" w:color="auto"/>
          </w:divBdr>
        </w:div>
      </w:divsChild>
    </w:div>
    <w:div w:id="1779444537">
      <w:marLeft w:val="0"/>
      <w:marRight w:val="0"/>
      <w:marTop w:val="0"/>
      <w:marBottom w:val="0"/>
      <w:divBdr>
        <w:top w:val="none" w:sz="0" w:space="0" w:color="auto"/>
        <w:left w:val="none" w:sz="0" w:space="0" w:color="auto"/>
        <w:bottom w:val="none" w:sz="0" w:space="0" w:color="auto"/>
        <w:right w:val="none" w:sz="0" w:space="0" w:color="auto"/>
      </w:divBdr>
      <w:divsChild>
        <w:div w:id="1779444193">
          <w:marLeft w:val="0"/>
          <w:marRight w:val="0"/>
          <w:marTop w:val="0"/>
          <w:marBottom w:val="0"/>
          <w:divBdr>
            <w:top w:val="none" w:sz="0" w:space="0" w:color="auto"/>
            <w:left w:val="none" w:sz="0" w:space="0" w:color="auto"/>
            <w:bottom w:val="none" w:sz="0" w:space="0" w:color="auto"/>
            <w:right w:val="none" w:sz="0" w:space="0" w:color="auto"/>
          </w:divBdr>
        </w:div>
        <w:div w:id="1779444197">
          <w:marLeft w:val="0"/>
          <w:marRight w:val="0"/>
          <w:marTop w:val="0"/>
          <w:marBottom w:val="0"/>
          <w:divBdr>
            <w:top w:val="none" w:sz="0" w:space="0" w:color="auto"/>
            <w:left w:val="none" w:sz="0" w:space="0" w:color="auto"/>
            <w:bottom w:val="none" w:sz="0" w:space="0" w:color="auto"/>
            <w:right w:val="none" w:sz="0" w:space="0" w:color="auto"/>
          </w:divBdr>
        </w:div>
        <w:div w:id="1779444220">
          <w:marLeft w:val="0"/>
          <w:marRight w:val="0"/>
          <w:marTop w:val="0"/>
          <w:marBottom w:val="0"/>
          <w:divBdr>
            <w:top w:val="none" w:sz="0" w:space="0" w:color="auto"/>
            <w:left w:val="none" w:sz="0" w:space="0" w:color="auto"/>
            <w:bottom w:val="none" w:sz="0" w:space="0" w:color="auto"/>
            <w:right w:val="none" w:sz="0" w:space="0" w:color="auto"/>
          </w:divBdr>
        </w:div>
        <w:div w:id="1779444262">
          <w:marLeft w:val="0"/>
          <w:marRight w:val="0"/>
          <w:marTop w:val="0"/>
          <w:marBottom w:val="0"/>
          <w:divBdr>
            <w:top w:val="none" w:sz="0" w:space="0" w:color="auto"/>
            <w:left w:val="none" w:sz="0" w:space="0" w:color="auto"/>
            <w:bottom w:val="none" w:sz="0" w:space="0" w:color="auto"/>
            <w:right w:val="none" w:sz="0" w:space="0" w:color="auto"/>
          </w:divBdr>
        </w:div>
        <w:div w:id="1779444281">
          <w:marLeft w:val="0"/>
          <w:marRight w:val="0"/>
          <w:marTop w:val="0"/>
          <w:marBottom w:val="0"/>
          <w:divBdr>
            <w:top w:val="none" w:sz="0" w:space="0" w:color="auto"/>
            <w:left w:val="none" w:sz="0" w:space="0" w:color="auto"/>
            <w:bottom w:val="none" w:sz="0" w:space="0" w:color="auto"/>
            <w:right w:val="none" w:sz="0" w:space="0" w:color="auto"/>
          </w:divBdr>
        </w:div>
        <w:div w:id="1779444301">
          <w:marLeft w:val="0"/>
          <w:marRight w:val="0"/>
          <w:marTop w:val="0"/>
          <w:marBottom w:val="0"/>
          <w:divBdr>
            <w:top w:val="none" w:sz="0" w:space="0" w:color="auto"/>
            <w:left w:val="none" w:sz="0" w:space="0" w:color="auto"/>
            <w:bottom w:val="none" w:sz="0" w:space="0" w:color="auto"/>
            <w:right w:val="none" w:sz="0" w:space="0" w:color="auto"/>
          </w:divBdr>
        </w:div>
        <w:div w:id="1779444304">
          <w:marLeft w:val="0"/>
          <w:marRight w:val="0"/>
          <w:marTop w:val="0"/>
          <w:marBottom w:val="0"/>
          <w:divBdr>
            <w:top w:val="none" w:sz="0" w:space="0" w:color="auto"/>
            <w:left w:val="none" w:sz="0" w:space="0" w:color="auto"/>
            <w:bottom w:val="none" w:sz="0" w:space="0" w:color="auto"/>
            <w:right w:val="none" w:sz="0" w:space="0" w:color="auto"/>
          </w:divBdr>
        </w:div>
        <w:div w:id="1779444343">
          <w:marLeft w:val="0"/>
          <w:marRight w:val="0"/>
          <w:marTop w:val="0"/>
          <w:marBottom w:val="0"/>
          <w:divBdr>
            <w:top w:val="none" w:sz="0" w:space="0" w:color="auto"/>
            <w:left w:val="none" w:sz="0" w:space="0" w:color="auto"/>
            <w:bottom w:val="none" w:sz="0" w:space="0" w:color="auto"/>
            <w:right w:val="none" w:sz="0" w:space="0" w:color="auto"/>
          </w:divBdr>
        </w:div>
        <w:div w:id="1779444409">
          <w:marLeft w:val="0"/>
          <w:marRight w:val="0"/>
          <w:marTop w:val="0"/>
          <w:marBottom w:val="0"/>
          <w:divBdr>
            <w:top w:val="none" w:sz="0" w:space="0" w:color="auto"/>
            <w:left w:val="none" w:sz="0" w:space="0" w:color="auto"/>
            <w:bottom w:val="none" w:sz="0" w:space="0" w:color="auto"/>
            <w:right w:val="none" w:sz="0" w:space="0" w:color="auto"/>
          </w:divBdr>
        </w:div>
        <w:div w:id="1779444436">
          <w:marLeft w:val="0"/>
          <w:marRight w:val="0"/>
          <w:marTop w:val="0"/>
          <w:marBottom w:val="0"/>
          <w:divBdr>
            <w:top w:val="none" w:sz="0" w:space="0" w:color="auto"/>
            <w:left w:val="none" w:sz="0" w:space="0" w:color="auto"/>
            <w:bottom w:val="none" w:sz="0" w:space="0" w:color="auto"/>
            <w:right w:val="none" w:sz="0" w:space="0" w:color="auto"/>
          </w:divBdr>
        </w:div>
        <w:div w:id="1779444443">
          <w:marLeft w:val="0"/>
          <w:marRight w:val="0"/>
          <w:marTop w:val="0"/>
          <w:marBottom w:val="0"/>
          <w:divBdr>
            <w:top w:val="none" w:sz="0" w:space="0" w:color="auto"/>
            <w:left w:val="none" w:sz="0" w:space="0" w:color="auto"/>
            <w:bottom w:val="none" w:sz="0" w:space="0" w:color="auto"/>
            <w:right w:val="none" w:sz="0" w:space="0" w:color="auto"/>
          </w:divBdr>
        </w:div>
        <w:div w:id="1779444486">
          <w:marLeft w:val="0"/>
          <w:marRight w:val="0"/>
          <w:marTop w:val="0"/>
          <w:marBottom w:val="0"/>
          <w:divBdr>
            <w:top w:val="none" w:sz="0" w:space="0" w:color="auto"/>
            <w:left w:val="none" w:sz="0" w:space="0" w:color="auto"/>
            <w:bottom w:val="none" w:sz="0" w:space="0" w:color="auto"/>
            <w:right w:val="none" w:sz="0" w:space="0" w:color="auto"/>
          </w:divBdr>
        </w:div>
        <w:div w:id="1779444494">
          <w:marLeft w:val="0"/>
          <w:marRight w:val="0"/>
          <w:marTop w:val="0"/>
          <w:marBottom w:val="0"/>
          <w:divBdr>
            <w:top w:val="none" w:sz="0" w:space="0" w:color="auto"/>
            <w:left w:val="none" w:sz="0" w:space="0" w:color="auto"/>
            <w:bottom w:val="none" w:sz="0" w:space="0" w:color="auto"/>
            <w:right w:val="none" w:sz="0" w:space="0" w:color="auto"/>
          </w:divBdr>
        </w:div>
        <w:div w:id="1779444502">
          <w:marLeft w:val="0"/>
          <w:marRight w:val="0"/>
          <w:marTop w:val="0"/>
          <w:marBottom w:val="0"/>
          <w:divBdr>
            <w:top w:val="none" w:sz="0" w:space="0" w:color="auto"/>
            <w:left w:val="none" w:sz="0" w:space="0" w:color="auto"/>
            <w:bottom w:val="none" w:sz="0" w:space="0" w:color="auto"/>
            <w:right w:val="none" w:sz="0" w:space="0" w:color="auto"/>
          </w:divBdr>
        </w:div>
        <w:div w:id="1779444517">
          <w:marLeft w:val="0"/>
          <w:marRight w:val="0"/>
          <w:marTop w:val="0"/>
          <w:marBottom w:val="0"/>
          <w:divBdr>
            <w:top w:val="none" w:sz="0" w:space="0" w:color="auto"/>
            <w:left w:val="none" w:sz="0" w:space="0" w:color="auto"/>
            <w:bottom w:val="none" w:sz="0" w:space="0" w:color="auto"/>
            <w:right w:val="none" w:sz="0" w:space="0" w:color="auto"/>
          </w:divBdr>
        </w:div>
        <w:div w:id="1779444531">
          <w:marLeft w:val="0"/>
          <w:marRight w:val="0"/>
          <w:marTop w:val="0"/>
          <w:marBottom w:val="0"/>
          <w:divBdr>
            <w:top w:val="none" w:sz="0" w:space="0" w:color="auto"/>
            <w:left w:val="none" w:sz="0" w:space="0" w:color="auto"/>
            <w:bottom w:val="none" w:sz="0" w:space="0" w:color="auto"/>
            <w:right w:val="none" w:sz="0" w:space="0" w:color="auto"/>
          </w:divBdr>
        </w:div>
        <w:div w:id="1779444540">
          <w:marLeft w:val="0"/>
          <w:marRight w:val="0"/>
          <w:marTop w:val="0"/>
          <w:marBottom w:val="0"/>
          <w:divBdr>
            <w:top w:val="none" w:sz="0" w:space="0" w:color="auto"/>
            <w:left w:val="none" w:sz="0" w:space="0" w:color="auto"/>
            <w:bottom w:val="none" w:sz="0" w:space="0" w:color="auto"/>
            <w:right w:val="none" w:sz="0" w:space="0" w:color="auto"/>
          </w:divBdr>
        </w:div>
      </w:divsChild>
    </w:div>
    <w:div w:id="1779444539">
      <w:marLeft w:val="0"/>
      <w:marRight w:val="0"/>
      <w:marTop w:val="0"/>
      <w:marBottom w:val="0"/>
      <w:divBdr>
        <w:top w:val="none" w:sz="0" w:space="0" w:color="auto"/>
        <w:left w:val="none" w:sz="0" w:space="0" w:color="auto"/>
        <w:bottom w:val="none" w:sz="0" w:space="0" w:color="auto"/>
        <w:right w:val="none" w:sz="0" w:space="0" w:color="auto"/>
      </w:divBdr>
      <w:divsChild>
        <w:div w:id="1779444224">
          <w:marLeft w:val="0"/>
          <w:marRight w:val="0"/>
          <w:marTop w:val="0"/>
          <w:marBottom w:val="0"/>
          <w:divBdr>
            <w:top w:val="none" w:sz="0" w:space="0" w:color="auto"/>
            <w:left w:val="none" w:sz="0" w:space="0" w:color="auto"/>
            <w:bottom w:val="none" w:sz="0" w:space="0" w:color="auto"/>
            <w:right w:val="none" w:sz="0" w:space="0" w:color="auto"/>
          </w:divBdr>
        </w:div>
        <w:div w:id="1779444280">
          <w:marLeft w:val="0"/>
          <w:marRight w:val="0"/>
          <w:marTop w:val="0"/>
          <w:marBottom w:val="0"/>
          <w:divBdr>
            <w:top w:val="none" w:sz="0" w:space="0" w:color="auto"/>
            <w:left w:val="none" w:sz="0" w:space="0" w:color="auto"/>
            <w:bottom w:val="none" w:sz="0" w:space="0" w:color="auto"/>
            <w:right w:val="none" w:sz="0" w:space="0" w:color="auto"/>
          </w:divBdr>
        </w:div>
        <w:div w:id="1779444415">
          <w:marLeft w:val="0"/>
          <w:marRight w:val="0"/>
          <w:marTop w:val="0"/>
          <w:marBottom w:val="0"/>
          <w:divBdr>
            <w:top w:val="none" w:sz="0" w:space="0" w:color="auto"/>
            <w:left w:val="none" w:sz="0" w:space="0" w:color="auto"/>
            <w:bottom w:val="none" w:sz="0" w:space="0" w:color="auto"/>
            <w:right w:val="none" w:sz="0" w:space="0" w:color="auto"/>
          </w:divBdr>
        </w:div>
      </w:divsChild>
    </w:div>
    <w:div w:id="1779444542">
      <w:marLeft w:val="0"/>
      <w:marRight w:val="0"/>
      <w:marTop w:val="0"/>
      <w:marBottom w:val="0"/>
      <w:divBdr>
        <w:top w:val="none" w:sz="0" w:space="0" w:color="auto"/>
        <w:left w:val="none" w:sz="0" w:space="0" w:color="auto"/>
        <w:bottom w:val="none" w:sz="0" w:space="0" w:color="auto"/>
        <w:right w:val="none" w:sz="0" w:space="0" w:color="auto"/>
      </w:divBdr>
      <w:divsChild>
        <w:div w:id="1779444203">
          <w:marLeft w:val="0"/>
          <w:marRight w:val="0"/>
          <w:marTop w:val="0"/>
          <w:marBottom w:val="0"/>
          <w:divBdr>
            <w:top w:val="none" w:sz="0" w:space="0" w:color="auto"/>
            <w:left w:val="none" w:sz="0" w:space="0" w:color="auto"/>
            <w:bottom w:val="none" w:sz="0" w:space="0" w:color="auto"/>
            <w:right w:val="none" w:sz="0" w:space="0" w:color="auto"/>
          </w:divBdr>
        </w:div>
        <w:div w:id="1779444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nf.gov.pl/dla_rynku/PODMIOTY_rynku/Podmioty_sektora_bankowego/banki_spoldzielcze.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EB7BA09599854FA04A4427003E19B1" ma:contentTypeVersion="0" ma:contentTypeDescription="Utwórz nowy dokument." ma:contentTypeScope="" ma:versionID="f80d83cf754f65f74c14b7511d4939d7">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F95E1-9329-4E1B-B744-3B1A56F96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655B77-5E8D-4BD3-966F-CD4C0D08902A}">
  <ds:schemaRefs>
    <ds:schemaRef ds:uri="http://schemas.microsoft.com/sharepoint/v3/contenttype/forms"/>
  </ds:schemaRefs>
</ds:datastoreItem>
</file>

<file path=customXml/itemProps3.xml><?xml version="1.0" encoding="utf-8"?>
<ds:datastoreItem xmlns:ds="http://schemas.openxmlformats.org/officeDocument/2006/customXml" ds:itemID="{F3C22AD2-EA49-4437-AC81-69C4FB3039D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611E3EF-8851-45FD-A09C-E4DBC0A1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3434</Words>
  <Characters>22559</Characters>
  <Application>Microsoft Office Word</Application>
  <DocSecurity>0</DocSecurity>
  <Lines>187</Lines>
  <Paragraphs>51</Paragraphs>
  <ScaleCrop>false</ScaleCrop>
  <HeadingPairs>
    <vt:vector size="2" baseType="variant">
      <vt:variant>
        <vt:lpstr>Tytuł</vt:lpstr>
      </vt:variant>
      <vt:variant>
        <vt:i4>1</vt:i4>
      </vt:variant>
    </vt:vector>
  </HeadingPairs>
  <TitlesOfParts>
    <vt:vector size="1" baseType="lpstr">
      <vt:lpstr>Formularz OSR</vt:lpstr>
    </vt:vector>
  </TitlesOfParts>
  <Company/>
  <LinksUpToDate>false</LinksUpToDate>
  <CharactersWithSpaces>25942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subject/>
  <dc:creator/>
  <cp:keywords>ocena skutków regulacji</cp:keywords>
  <dc:description/>
  <cp:lastModifiedBy/>
  <cp:revision>1</cp:revision>
  <dcterms:created xsi:type="dcterms:W3CDTF">2020-07-13T12:54:00Z</dcterms:created>
  <dcterms:modified xsi:type="dcterms:W3CDTF">2020-07-13T12:54:00Z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0x01010056EB7BA09599854FA04A4427003E19B1</vt:lpwstr>
  </property>
  <property fmtid="{D5CDD505-2E9C-101B-9397-08002B2CF9AE}" pid="3" name="_NewReviewCycle">
    <vt:lpwstr/>
  </property>
</Properties>
</file>