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0"/>
        <w:gridCol w:w="455"/>
        <w:gridCol w:w="350"/>
        <w:gridCol w:w="8"/>
        <w:gridCol w:w="815"/>
        <w:gridCol w:w="779"/>
        <w:gridCol w:w="36"/>
        <w:gridCol w:w="303"/>
        <w:gridCol w:w="514"/>
        <w:gridCol w:w="557"/>
        <w:gridCol w:w="151"/>
        <w:gridCol w:w="107"/>
        <w:gridCol w:w="546"/>
        <w:gridCol w:w="268"/>
        <w:gridCol w:w="670"/>
        <w:gridCol w:w="145"/>
        <w:gridCol w:w="390"/>
        <w:gridCol w:w="387"/>
        <w:gridCol w:w="15"/>
        <w:gridCol w:w="23"/>
        <w:gridCol w:w="815"/>
        <w:gridCol w:w="179"/>
        <w:gridCol w:w="293"/>
        <w:gridCol w:w="343"/>
        <w:gridCol w:w="356"/>
        <w:gridCol w:w="459"/>
        <w:gridCol w:w="992"/>
      </w:tblGrid>
      <w:tr w:rsidR="00866079" w:rsidRPr="008B4FE6" w14:paraId="32FFD5AE" w14:textId="77777777" w:rsidTr="00767DD0">
        <w:trPr>
          <w:trHeight w:val="1611"/>
        </w:trPr>
        <w:tc>
          <w:tcPr>
            <w:tcW w:w="7611" w:type="dxa"/>
            <w:gridSpan w:val="18"/>
          </w:tcPr>
          <w:p w14:paraId="01542F18" w14:textId="4BE5801D" w:rsidR="00866079" w:rsidRPr="008B4FE6" w:rsidRDefault="00866079" w:rsidP="00A17084">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Pr>
                <w:rFonts w:ascii="Times New Roman" w:hAnsi="Times New Roman"/>
                <w:b/>
                <w:color w:val="000000"/>
              </w:rPr>
              <w:t>projektu</w:t>
            </w:r>
          </w:p>
          <w:p w14:paraId="159F6AF6" w14:textId="5F35C660" w:rsidR="00866079" w:rsidRPr="008B4FE6" w:rsidRDefault="00866079" w:rsidP="00A17084">
            <w:pPr>
              <w:spacing w:line="240" w:lineRule="auto"/>
              <w:ind w:hanging="34"/>
              <w:rPr>
                <w:rFonts w:ascii="Times New Roman" w:hAnsi="Times New Roman"/>
                <w:color w:val="000000"/>
              </w:rPr>
            </w:pPr>
            <w:r w:rsidRPr="00F020D5">
              <w:rPr>
                <w:rFonts w:ascii="Times New Roman" w:hAnsi="Times New Roman"/>
              </w:rPr>
              <w:t>Projekt ustawy o zmianie ustawy o systemie handlu uprawnieniami do emisji gazów cieplarnianych</w:t>
            </w:r>
            <w:r w:rsidR="004C306D">
              <w:rPr>
                <w:rFonts w:ascii="Times New Roman" w:hAnsi="Times New Roman"/>
              </w:rPr>
              <w:t xml:space="preserve"> oraz niektórych innych ustaw</w:t>
            </w:r>
          </w:p>
          <w:p w14:paraId="1FD71E89" w14:textId="77777777" w:rsidR="00866079" w:rsidRPr="008B4FE6" w:rsidRDefault="00866079" w:rsidP="00A17084">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1ABB3178" w14:textId="09332F90" w:rsidR="00866079" w:rsidRDefault="00866079" w:rsidP="00A17084">
            <w:pPr>
              <w:spacing w:line="240" w:lineRule="auto"/>
              <w:ind w:hanging="34"/>
              <w:rPr>
                <w:rFonts w:ascii="Times New Roman" w:hAnsi="Times New Roman"/>
                <w:color w:val="000000"/>
              </w:rPr>
            </w:pPr>
            <w:r>
              <w:rPr>
                <w:rFonts w:ascii="Times New Roman" w:hAnsi="Times New Roman"/>
                <w:color w:val="000000"/>
              </w:rPr>
              <w:t xml:space="preserve">Ministerstwo </w:t>
            </w:r>
            <w:r w:rsidR="00541B8A">
              <w:rPr>
                <w:rFonts w:ascii="Times New Roman" w:hAnsi="Times New Roman"/>
                <w:color w:val="000000"/>
              </w:rPr>
              <w:t>Klimatu</w:t>
            </w:r>
          </w:p>
          <w:p w14:paraId="1A659390" w14:textId="77777777" w:rsidR="00866079" w:rsidRPr="00642825" w:rsidRDefault="00866079" w:rsidP="00A17084">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45DAB7AB" w14:textId="40903408" w:rsidR="00866079" w:rsidRPr="0063060B" w:rsidRDefault="00541B8A" w:rsidP="00A17084">
            <w:pPr>
              <w:spacing w:line="240" w:lineRule="auto"/>
              <w:rPr>
                <w:rFonts w:ascii="Times New Roman" w:hAnsi="Times New Roman"/>
                <w:sz w:val="21"/>
                <w:szCs w:val="21"/>
              </w:rPr>
            </w:pPr>
            <w:r>
              <w:rPr>
                <w:rFonts w:ascii="Times New Roman" w:hAnsi="Times New Roman"/>
                <w:sz w:val="21"/>
                <w:szCs w:val="21"/>
              </w:rPr>
              <w:t xml:space="preserve">Adam </w:t>
            </w:r>
            <w:r w:rsidR="00646EF9" w:rsidRPr="00646EF9">
              <w:rPr>
                <w:rFonts w:ascii="Times New Roman" w:hAnsi="Times New Roman"/>
                <w:sz w:val="21"/>
                <w:szCs w:val="21"/>
              </w:rPr>
              <w:t>Guibourgé-Czetwertyński</w:t>
            </w:r>
            <w:r w:rsidR="00866079">
              <w:rPr>
                <w:rFonts w:ascii="Times New Roman" w:hAnsi="Times New Roman"/>
                <w:sz w:val="21"/>
                <w:szCs w:val="21"/>
              </w:rPr>
              <w:t xml:space="preserve">, </w:t>
            </w:r>
            <w:r>
              <w:rPr>
                <w:rFonts w:ascii="Times New Roman" w:hAnsi="Times New Roman"/>
                <w:sz w:val="21"/>
                <w:szCs w:val="21"/>
              </w:rPr>
              <w:t>Pods</w:t>
            </w:r>
            <w:r w:rsidR="00866079">
              <w:rPr>
                <w:rFonts w:ascii="Times New Roman" w:hAnsi="Times New Roman"/>
                <w:sz w:val="21"/>
                <w:szCs w:val="21"/>
              </w:rPr>
              <w:t xml:space="preserve">ekretarz Stanu w Ministerstwie </w:t>
            </w:r>
            <w:r w:rsidR="005A31DC">
              <w:rPr>
                <w:rFonts w:ascii="Times New Roman" w:hAnsi="Times New Roman"/>
                <w:sz w:val="21"/>
                <w:szCs w:val="21"/>
              </w:rPr>
              <w:t>Klimatu</w:t>
            </w:r>
          </w:p>
          <w:p w14:paraId="72C4EDBA" w14:textId="77777777" w:rsidR="00866079" w:rsidRPr="008B4FE6" w:rsidRDefault="00866079" w:rsidP="00A17084">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00BE8487" w14:textId="3F8927EF" w:rsidR="00866079" w:rsidRPr="00642825" w:rsidRDefault="00866079" w:rsidP="00A17084">
            <w:pPr>
              <w:spacing w:line="240" w:lineRule="auto"/>
              <w:rPr>
                <w:rFonts w:ascii="Times New Roman" w:hAnsi="Times New Roman"/>
                <w:b/>
                <w:sz w:val="21"/>
                <w:szCs w:val="21"/>
              </w:rPr>
            </w:pPr>
            <w:r>
              <w:rPr>
                <w:rFonts w:ascii="Times New Roman" w:hAnsi="Times New Roman"/>
                <w:color w:val="000000"/>
              </w:rPr>
              <w:t xml:space="preserve">Małgorzata Zadrożna, </w:t>
            </w:r>
            <w:hyperlink r:id="rId11" w:history="1">
              <w:r w:rsidR="005B69BA" w:rsidRPr="003D70BA">
                <w:rPr>
                  <w:rStyle w:val="Hipercze"/>
                  <w:rFonts w:ascii="Times New Roman" w:hAnsi="Times New Roman"/>
                </w:rPr>
                <w:t>malgorzata.zadrozna@klimat.gov.pl</w:t>
              </w:r>
            </w:hyperlink>
            <w:r>
              <w:rPr>
                <w:rFonts w:ascii="Times New Roman" w:hAnsi="Times New Roman"/>
                <w:color w:val="000000"/>
              </w:rPr>
              <w:t xml:space="preserve">, tel. 22 36-92-425  </w:t>
            </w:r>
          </w:p>
        </w:tc>
        <w:tc>
          <w:tcPr>
            <w:tcW w:w="3475" w:type="dxa"/>
            <w:gridSpan w:val="9"/>
            <w:shd w:val="clear" w:color="auto" w:fill="FFFFFF" w:themeFill="background1"/>
          </w:tcPr>
          <w:p w14:paraId="40909B62" w14:textId="2C2BDD5A" w:rsidR="00866079" w:rsidRPr="00642825" w:rsidRDefault="00866079" w:rsidP="00A17084">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34234C">
              <w:rPr>
                <w:rFonts w:ascii="Times New Roman" w:hAnsi="Times New Roman"/>
                <w:sz w:val="21"/>
                <w:szCs w:val="21"/>
              </w:rPr>
              <w:t>06.05</w:t>
            </w:r>
            <w:r w:rsidR="008A224B">
              <w:rPr>
                <w:rFonts w:ascii="Times New Roman" w:hAnsi="Times New Roman"/>
                <w:sz w:val="21"/>
                <w:szCs w:val="21"/>
              </w:rPr>
              <w:t>.2020</w:t>
            </w:r>
          </w:p>
          <w:p w14:paraId="06A5E136" w14:textId="77777777" w:rsidR="00866079" w:rsidRDefault="00866079" w:rsidP="00A17084">
            <w:pPr>
              <w:spacing w:line="240" w:lineRule="auto"/>
              <w:rPr>
                <w:rFonts w:ascii="Times New Roman" w:hAnsi="Times New Roman"/>
                <w:b/>
              </w:rPr>
            </w:pPr>
          </w:p>
          <w:p w14:paraId="24BD8998" w14:textId="77777777" w:rsidR="00866079" w:rsidRPr="0065019F" w:rsidRDefault="00866079" w:rsidP="00A170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14:paraId="16544FCF" w14:textId="77777777" w:rsidR="00866079" w:rsidRDefault="00866079" w:rsidP="00A17084">
            <w:pPr>
              <w:spacing w:before="120" w:line="240" w:lineRule="auto"/>
              <w:rPr>
                <w:rFonts w:ascii="Times New Roman" w:hAnsi="Times New Roman"/>
                <w:b/>
              </w:rPr>
            </w:pPr>
            <w:r>
              <w:rPr>
                <w:rFonts w:ascii="Times New Roman" w:hAnsi="Times New Roman"/>
                <w:b/>
              </w:rPr>
              <w:t>I</w:t>
            </w:r>
            <w:r w:rsidRPr="00FD6FDF">
              <w:rPr>
                <w:rFonts w:ascii="Times New Roman" w:hAnsi="Times New Roman"/>
                <w:b/>
              </w:rPr>
              <w:t>nicjatywa własna</w:t>
            </w:r>
          </w:p>
          <w:p w14:paraId="3B866588" w14:textId="77777777" w:rsidR="00866079" w:rsidRPr="0065019F" w:rsidRDefault="00866079" w:rsidP="00A17084">
            <w:pPr>
              <w:spacing w:line="240" w:lineRule="auto"/>
              <w:rPr>
                <w:rFonts w:ascii="Times New Roman" w:hAnsi="Times New Roman"/>
              </w:rPr>
            </w:pPr>
            <w:r w:rsidRPr="000E1FA0">
              <w:rPr>
                <w:rFonts w:ascii="Times New Roman" w:hAnsi="Times New Roman"/>
                <w:b/>
              </w:rPr>
              <w:t xml:space="preserve">Dyrektywa Parlamentu Europejskiego i Rady </w:t>
            </w:r>
            <w:r>
              <w:rPr>
                <w:rFonts w:ascii="Times New Roman" w:hAnsi="Times New Roman"/>
                <w:b/>
              </w:rPr>
              <w:t xml:space="preserve">(UE) </w:t>
            </w:r>
            <w:r w:rsidRPr="000E1FA0">
              <w:rPr>
                <w:rFonts w:ascii="Times New Roman" w:hAnsi="Times New Roman"/>
                <w:b/>
              </w:rPr>
              <w:t>201</w:t>
            </w:r>
            <w:r>
              <w:rPr>
                <w:rFonts w:ascii="Times New Roman" w:hAnsi="Times New Roman"/>
                <w:b/>
              </w:rPr>
              <w:t>8</w:t>
            </w:r>
            <w:r w:rsidRPr="000E1FA0">
              <w:rPr>
                <w:rFonts w:ascii="Times New Roman" w:hAnsi="Times New Roman"/>
                <w:b/>
              </w:rPr>
              <w:t>/</w:t>
            </w:r>
            <w:r>
              <w:rPr>
                <w:rFonts w:ascii="Times New Roman" w:hAnsi="Times New Roman"/>
                <w:b/>
              </w:rPr>
              <w:t>410</w:t>
            </w:r>
            <w:r w:rsidRPr="000E1FA0">
              <w:rPr>
                <w:rFonts w:ascii="Times New Roman" w:hAnsi="Times New Roman"/>
                <w:b/>
              </w:rPr>
              <w:t xml:space="preserve"> z dnia 14 </w:t>
            </w:r>
            <w:r>
              <w:rPr>
                <w:rFonts w:ascii="Times New Roman" w:hAnsi="Times New Roman"/>
                <w:b/>
              </w:rPr>
              <w:t>marca</w:t>
            </w:r>
            <w:r w:rsidRPr="000E1FA0">
              <w:rPr>
                <w:rFonts w:ascii="Times New Roman" w:hAnsi="Times New Roman"/>
                <w:b/>
              </w:rPr>
              <w:t xml:space="preserve"> 201</w:t>
            </w:r>
            <w:r>
              <w:rPr>
                <w:rFonts w:ascii="Times New Roman" w:hAnsi="Times New Roman"/>
                <w:b/>
              </w:rPr>
              <w:t>8</w:t>
            </w:r>
            <w:r w:rsidRPr="000E1FA0">
              <w:rPr>
                <w:rFonts w:ascii="Times New Roman" w:hAnsi="Times New Roman"/>
                <w:b/>
              </w:rPr>
              <w:t xml:space="preserve"> r. </w:t>
            </w:r>
            <w:r w:rsidRPr="009E6092">
              <w:rPr>
                <w:rFonts w:ascii="Times New Roman" w:hAnsi="Times New Roman"/>
                <w:b/>
              </w:rPr>
              <w:t xml:space="preserve">zmieniająca dyrektywę 2003/87/WE w celu wzmocnienia efektywnych pod względem kosztów redukcji emisji oraz inwestycji niskoemisyjnych oraz decyzję (UE) 2015/1814 </w:t>
            </w:r>
            <w:r w:rsidRPr="000E1FA0">
              <w:rPr>
                <w:rFonts w:ascii="Times New Roman" w:hAnsi="Times New Roman"/>
                <w:b/>
              </w:rPr>
              <w:t xml:space="preserve">(dyrektywa </w:t>
            </w:r>
            <w:r>
              <w:rPr>
                <w:rFonts w:ascii="Times New Roman" w:hAnsi="Times New Roman"/>
                <w:b/>
              </w:rPr>
              <w:t>2018/410</w:t>
            </w:r>
            <w:r w:rsidRPr="000E1FA0">
              <w:rPr>
                <w:rFonts w:ascii="Times New Roman" w:hAnsi="Times New Roman"/>
                <w:b/>
              </w:rPr>
              <w:t>)</w:t>
            </w:r>
          </w:p>
          <w:p w14:paraId="2DF1E820" w14:textId="77777777" w:rsidR="00866079" w:rsidRPr="0065019F" w:rsidRDefault="00866079" w:rsidP="00A17084">
            <w:pPr>
              <w:spacing w:line="240" w:lineRule="auto"/>
              <w:rPr>
                <w:rFonts w:ascii="Times New Roman" w:hAnsi="Times New Roman"/>
              </w:rPr>
            </w:pPr>
          </w:p>
          <w:p w14:paraId="3462E5AC" w14:textId="77777777" w:rsidR="00866079" w:rsidRPr="008B4FE6" w:rsidRDefault="00866079" w:rsidP="00A17084">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r>
              <w:rPr>
                <w:rFonts w:ascii="Times New Roman" w:hAnsi="Times New Roman"/>
                <w:b/>
                <w:color w:val="000000"/>
              </w:rPr>
              <w:t>legislacyjnych Rady Ministrów</w:t>
            </w:r>
          </w:p>
          <w:p w14:paraId="5111CD5A" w14:textId="7726512F" w:rsidR="00866079" w:rsidRPr="008B4FE6" w:rsidRDefault="00866079" w:rsidP="00A17084">
            <w:pPr>
              <w:spacing w:line="240" w:lineRule="auto"/>
              <w:rPr>
                <w:rFonts w:ascii="Times New Roman" w:hAnsi="Times New Roman"/>
                <w:color w:val="000000"/>
                <w:sz w:val="28"/>
                <w:szCs w:val="28"/>
              </w:rPr>
            </w:pPr>
            <w:r>
              <w:rPr>
                <w:rFonts w:ascii="Times New Roman" w:hAnsi="Times New Roman"/>
                <w:color w:val="000000"/>
              </w:rPr>
              <w:t>U</w:t>
            </w:r>
            <w:r w:rsidR="009A77D6">
              <w:rPr>
                <w:rFonts w:ascii="Times New Roman" w:hAnsi="Times New Roman"/>
                <w:color w:val="000000"/>
              </w:rPr>
              <w:t>C 36</w:t>
            </w:r>
          </w:p>
        </w:tc>
      </w:tr>
      <w:tr w:rsidR="00866079" w:rsidRPr="0022687A" w14:paraId="13AB8F7A" w14:textId="77777777" w:rsidTr="0F366C62">
        <w:trPr>
          <w:trHeight w:val="142"/>
        </w:trPr>
        <w:tc>
          <w:tcPr>
            <w:tcW w:w="11086" w:type="dxa"/>
            <w:gridSpan w:val="27"/>
            <w:shd w:val="clear" w:color="auto" w:fill="99CCFF"/>
          </w:tcPr>
          <w:p w14:paraId="1BB541D7" w14:textId="27EEDCFA" w:rsidR="00866079" w:rsidRPr="00627221" w:rsidRDefault="00866079"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866079" w:rsidRPr="008B4FE6" w14:paraId="5CD1D8CD" w14:textId="77777777" w:rsidTr="0F366C62">
        <w:trPr>
          <w:trHeight w:val="333"/>
        </w:trPr>
        <w:tc>
          <w:tcPr>
            <w:tcW w:w="11086" w:type="dxa"/>
            <w:gridSpan w:val="27"/>
            <w:shd w:val="clear" w:color="auto" w:fill="99CCFF"/>
          </w:tcPr>
          <w:p w14:paraId="37AC01E7" w14:textId="478107E4" w:rsidR="00866079" w:rsidRPr="008B4FE6" w:rsidRDefault="00866079" w:rsidP="006A701A">
            <w:pPr>
              <w:numPr>
                <w:ilvl w:val="0"/>
                <w:numId w:val="5"/>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2" w:name="Wybór1"/>
            <w:bookmarkEnd w:id="2"/>
          </w:p>
        </w:tc>
      </w:tr>
      <w:tr w:rsidR="00866079" w:rsidRPr="008B4FE6" w14:paraId="636D5CE0" w14:textId="77777777" w:rsidTr="0F366C62">
        <w:trPr>
          <w:trHeight w:val="142"/>
        </w:trPr>
        <w:tc>
          <w:tcPr>
            <w:tcW w:w="11086" w:type="dxa"/>
            <w:gridSpan w:val="27"/>
            <w:shd w:val="clear" w:color="auto" w:fill="FFFFFF" w:themeFill="background1"/>
          </w:tcPr>
          <w:p w14:paraId="6A40294A" w14:textId="5D2625A9" w:rsidR="00866079" w:rsidRDefault="00866079" w:rsidP="00767DD0">
            <w:pPr>
              <w:spacing w:line="240" w:lineRule="auto"/>
              <w:jc w:val="both"/>
              <w:rPr>
                <w:rFonts w:ascii="Times New Roman" w:hAnsi="Times New Roman"/>
              </w:rPr>
            </w:pPr>
            <w:r w:rsidRPr="40B71A84">
              <w:rPr>
                <w:rFonts w:ascii="Times New Roman" w:hAnsi="Times New Roman"/>
              </w:rPr>
              <w:t>Dyrektywa Parlamentu Europejskiego i Rady (UE) 2018/410 z dnia 14 marca 2018 r. zmieniająca dyrektywę 2003/87/WE</w:t>
            </w:r>
            <w:r w:rsidR="00622732">
              <w:rPr>
                <w:rFonts w:ascii="Times New Roman" w:hAnsi="Times New Roman"/>
              </w:rPr>
              <w:t>,</w:t>
            </w:r>
            <w:r w:rsidRPr="40B71A84">
              <w:rPr>
                <w:rFonts w:ascii="Times New Roman" w:hAnsi="Times New Roman"/>
              </w:rPr>
              <w:t>zwana dalej „dyrektywą 2018/410”</w:t>
            </w:r>
            <w:r w:rsidR="00622732">
              <w:rPr>
                <w:rFonts w:ascii="Times New Roman" w:hAnsi="Times New Roman"/>
              </w:rPr>
              <w:t>,</w:t>
            </w:r>
            <w:r w:rsidRPr="40B71A84">
              <w:rPr>
                <w:rFonts w:ascii="Times New Roman" w:hAnsi="Times New Roman"/>
              </w:rPr>
              <w:t>reguluje zasady funkcjonowania systemu handlu uprawnieniami do emisji gazów cieplarnianych w okresie rozliczeniowym 2021-2030. Część przepisów dyrektywy została implementowana do polskiego porządku prawnego ustawą z dnia 4 lipca 2019 r. o zmianie ustawy o systemie handlu uprawnieniami do emisji gazów cieplarnianych oraz niektórych innych ustaw (Dz.U. poz. 1501</w:t>
            </w:r>
            <w:r w:rsidR="21BC1D75" w:rsidRPr="00767DD0">
              <w:rPr>
                <w:rFonts w:ascii="Times New Roman" w:hAnsi="Times New Roman"/>
              </w:rPr>
              <w:t>W ramach wsparcia realizacji celów polityki energetyczno-klimatycznych UE do roku 2030 Komisja Europejska zdecydowała się utworzyć nowy instrument wspierania modernizacji systemu energetycznego i poprawy efektywności energetycznej w krajach UE, gdzie PKB per capita jest niższe niż 60% średniej dla całej UE (odnosząc do roku 2013). Instrumentem tym będzie działający w latach 2021-2030 Fundusz Modernizacyjny (FM), który będzie miał do wykorzystania środki pozyskane dzięki sprzedaży 2% ogólnej puli uprawnień do emisji CO</w:t>
            </w:r>
            <w:r w:rsidR="21BC1D75" w:rsidRPr="00767DD0">
              <w:rPr>
                <w:rFonts w:ascii="Times New Roman" w:hAnsi="Times New Roman"/>
                <w:vertAlign w:val="subscript"/>
              </w:rPr>
              <w:t>2</w:t>
            </w:r>
            <w:r w:rsidR="21BC1D75" w:rsidRPr="00767DD0">
              <w:rPr>
                <w:rFonts w:ascii="Times New Roman" w:hAnsi="Times New Roman"/>
              </w:rPr>
              <w:t xml:space="preserve"> (EUA) w ramach </w:t>
            </w:r>
            <w:r w:rsidR="165FEDA3" w:rsidRPr="40B71A84">
              <w:rPr>
                <w:rFonts w:ascii="Times New Roman" w:hAnsi="Times New Roman"/>
              </w:rPr>
              <w:t>wspólnotowego systemu handlu uprawnieniami do emisji</w:t>
            </w:r>
            <w:r w:rsidR="21BC1D75" w:rsidRPr="00767DD0">
              <w:rPr>
                <w:rFonts w:ascii="Times New Roman" w:hAnsi="Times New Roman"/>
              </w:rPr>
              <w:t xml:space="preserve">. </w:t>
            </w:r>
            <w:r w:rsidR="0523C214" w:rsidRPr="40B71A84">
              <w:rPr>
                <w:rFonts w:ascii="Times New Roman" w:hAnsi="Times New Roman"/>
              </w:rPr>
              <w:t>Środki Funduszu Modernizacyjnego zostaną rozdysponowane na 10 krajów członkowskich</w:t>
            </w:r>
            <w:r w:rsidR="0034234C">
              <w:rPr>
                <w:rFonts w:ascii="Times New Roman" w:hAnsi="Times New Roman"/>
              </w:rPr>
              <w:t>,</w:t>
            </w:r>
            <w:r w:rsidR="0523C214" w:rsidRPr="40B71A84">
              <w:rPr>
                <w:rFonts w:ascii="Times New Roman" w:eastAsia="Times New Roman" w:hAnsi="Times New Roman"/>
              </w:rPr>
              <w:t>z czego Polska</w:t>
            </w:r>
            <w:r w:rsidR="0034234C">
              <w:rPr>
                <w:rFonts w:ascii="Times New Roman" w:eastAsia="Times New Roman" w:hAnsi="Times New Roman"/>
              </w:rPr>
              <w:t xml:space="preserve"> otrzyma</w:t>
            </w:r>
            <w:r w:rsidR="0523C214" w:rsidRPr="40B71A84">
              <w:rPr>
                <w:rFonts w:ascii="Times New Roman" w:eastAsia="Times New Roman" w:hAnsi="Times New Roman"/>
              </w:rPr>
              <w:t xml:space="preserve"> 43,41% dostępnej puli środków. </w:t>
            </w:r>
            <w:r w:rsidRPr="40B71A84">
              <w:rPr>
                <w:rFonts w:ascii="Times New Roman" w:hAnsi="Times New Roman"/>
              </w:rPr>
              <w:t>Zasady funkcjonowania tego Funduszu, zawarte w dyrektywie 2018/410, zostaną doprecyzowane w akcie wykonawczym, plan</w:t>
            </w:r>
            <w:r w:rsidR="0034234C">
              <w:rPr>
                <w:rFonts w:ascii="Times New Roman" w:hAnsi="Times New Roman"/>
              </w:rPr>
              <w:t>owanym do wydania przez</w:t>
            </w:r>
            <w:r w:rsidRPr="40B71A84">
              <w:rPr>
                <w:rFonts w:ascii="Times New Roman" w:hAnsi="Times New Roman"/>
              </w:rPr>
              <w:t xml:space="preserve"> Komisj</w:t>
            </w:r>
            <w:r w:rsidR="0034234C">
              <w:rPr>
                <w:rFonts w:ascii="Times New Roman" w:hAnsi="Times New Roman"/>
              </w:rPr>
              <w:t>ę</w:t>
            </w:r>
            <w:r w:rsidRPr="40B71A84">
              <w:rPr>
                <w:rFonts w:ascii="Times New Roman" w:hAnsi="Times New Roman"/>
              </w:rPr>
              <w:t xml:space="preserve"> (założenia tego aktu są obecnie konsultowane z państwami członkowskimi).</w:t>
            </w:r>
            <w:r w:rsidR="774CAB17" w:rsidRPr="40B71A84">
              <w:rPr>
                <w:rFonts w:ascii="Times New Roman" w:hAnsi="Times New Roman"/>
              </w:rPr>
              <w:t xml:space="preserve"> </w:t>
            </w:r>
          </w:p>
          <w:p w14:paraId="6EE806B3" w14:textId="14A99007" w:rsidR="40B71A84" w:rsidRDefault="40B71A84" w:rsidP="40B71A84">
            <w:pPr>
              <w:spacing w:line="240" w:lineRule="auto"/>
              <w:jc w:val="both"/>
              <w:rPr>
                <w:rFonts w:ascii="Times New Roman" w:hAnsi="Times New Roman"/>
              </w:rPr>
            </w:pPr>
          </w:p>
          <w:p w14:paraId="30945FCF" w14:textId="5DB02A7D" w:rsidR="00866079" w:rsidRPr="00D460B5" w:rsidRDefault="00866079" w:rsidP="0011663A">
            <w:pPr>
              <w:spacing w:line="240" w:lineRule="auto"/>
              <w:jc w:val="both"/>
              <w:rPr>
                <w:rFonts w:ascii="Times New Roman" w:hAnsi="Times New Roman"/>
              </w:rPr>
            </w:pPr>
            <w:r>
              <w:rPr>
                <w:rFonts w:ascii="Times New Roman" w:hAnsi="Times New Roman"/>
              </w:rPr>
              <w:t>Jednocześnie z uwagi na wejście w życie</w:t>
            </w:r>
            <w:r w:rsidR="00767C73">
              <w:rPr>
                <w:rFonts w:ascii="Times New Roman" w:hAnsi="Times New Roman"/>
              </w:rPr>
              <w:t>,</w:t>
            </w:r>
            <w:r>
              <w:rPr>
                <w:rFonts w:ascii="Times New Roman" w:hAnsi="Times New Roman"/>
              </w:rPr>
              <w:t xml:space="preserve"> z </w:t>
            </w:r>
            <w:r w:rsidRPr="00D123A4">
              <w:rPr>
                <w:rFonts w:ascii="Times New Roman" w:hAnsi="Times New Roman"/>
              </w:rPr>
              <w:t>dniem 28 lutego 2019 r.</w:t>
            </w:r>
            <w:r w:rsidR="00767C73">
              <w:rPr>
                <w:rFonts w:ascii="Times New Roman" w:hAnsi="Times New Roman"/>
              </w:rPr>
              <w:t>,</w:t>
            </w:r>
            <w:r w:rsidRPr="00D123A4">
              <w:rPr>
                <w:rFonts w:ascii="Times New Roman" w:hAnsi="Times New Roman"/>
              </w:rPr>
              <w:t xml:space="preserve"> rozporządzenia delegowanego Komisji (UE) 2019/331 z</w:t>
            </w:r>
            <w:r>
              <w:rPr>
                <w:rFonts w:ascii="Times New Roman" w:hAnsi="Times New Roman"/>
              </w:rPr>
              <w:t> </w:t>
            </w:r>
            <w:r w:rsidRPr="00D123A4">
              <w:rPr>
                <w:rFonts w:ascii="Times New Roman" w:hAnsi="Times New Roman"/>
              </w:rPr>
              <w:t xml:space="preserve">dnia 19 grudnia 2018 r. </w:t>
            </w:r>
            <w:r w:rsidRPr="004E2ABA">
              <w:rPr>
                <w:rFonts w:ascii="Times New Roman" w:hAnsi="Times New Roman"/>
              </w:rPr>
              <w:t>w sprawie ustanowienia przejściowych zasad dotyczących zharmonizowanego przydziału bezpłatnych uprawnień do emisji w całej Unii na podstawie art. 10a dyrektywy 2003/87/WE Parlamentu Europejskiego i Rad</w:t>
            </w:r>
            <w:r w:rsidRPr="00767C73">
              <w:rPr>
                <w:rFonts w:ascii="Times New Roman" w:hAnsi="Times New Roman"/>
              </w:rPr>
              <w:t>y</w:t>
            </w:r>
            <w:r>
              <w:rPr>
                <w:rFonts w:ascii="Times New Roman" w:hAnsi="Times New Roman"/>
                <w:i/>
              </w:rPr>
              <w:t xml:space="preserve"> </w:t>
            </w:r>
            <w:r>
              <w:rPr>
                <w:rFonts w:ascii="Times New Roman" w:hAnsi="Times New Roman"/>
              </w:rPr>
              <w:t>(Dz. Urz. UE L 59 z 27.02.2019, str.8),</w:t>
            </w:r>
            <w:r w:rsidRPr="00D123A4">
              <w:rPr>
                <w:rFonts w:ascii="Times New Roman" w:hAnsi="Times New Roman"/>
              </w:rPr>
              <w:t xml:space="preserve"> zwane</w:t>
            </w:r>
            <w:r>
              <w:rPr>
                <w:rFonts w:ascii="Times New Roman" w:hAnsi="Times New Roman"/>
              </w:rPr>
              <w:t>go</w:t>
            </w:r>
            <w:r w:rsidRPr="00D123A4">
              <w:rPr>
                <w:rFonts w:ascii="Times New Roman" w:hAnsi="Times New Roman"/>
              </w:rPr>
              <w:t xml:space="preserve"> dalej „</w:t>
            </w:r>
            <w:r w:rsidRPr="00C80888">
              <w:rPr>
                <w:rFonts w:ascii="Times New Roman" w:hAnsi="Times New Roman"/>
              </w:rPr>
              <w:t>rozporządzeniem</w:t>
            </w:r>
            <w:r w:rsidRPr="00D123A4">
              <w:rPr>
                <w:rFonts w:ascii="Times New Roman" w:hAnsi="Times New Roman"/>
              </w:rPr>
              <w:t xml:space="preserve"> Komisji 2019/331”</w:t>
            </w:r>
            <w:r>
              <w:rPr>
                <w:rFonts w:ascii="Times New Roman" w:hAnsi="Times New Roman"/>
              </w:rPr>
              <w:t>,</w:t>
            </w:r>
            <w:r>
              <w:rPr>
                <w:rFonts w:ascii="Times New Roman" w:hAnsi="Times New Roman"/>
                <w:color w:val="000000"/>
                <w:u w:color="000000"/>
                <w:bdr w:val="nil"/>
                <w:lang w:eastAsia="pl-PL"/>
              </w:rPr>
              <w:t xml:space="preserve"> </w:t>
            </w:r>
            <w:r>
              <w:rPr>
                <w:rFonts w:ascii="Times New Roman" w:hAnsi="Times New Roman"/>
              </w:rPr>
              <w:t>zachodzi konieczność dostosowania niektórych przepisów ustawy (m.in. art. 68 i rozdziału 11), do przedmiotowego rozporządzenia (m.in. do art. 16, 17, 23, 24 i 26). Zmiany będą polegały w szczególności na uchyleniu regulacji ustawy w tych obszarach, które począwszy od 2021 r. przejmują przepisy rozporządzenia, które będą stosowane bezpośrednio.</w:t>
            </w:r>
            <w:r w:rsidRPr="00D460B5">
              <w:rPr>
                <w:rFonts w:ascii="Times New Roman" w:hAnsi="Times New Roman"/>
              </w:rPr>
              <w:t xml:space="preserve"> </w:t>
            </w:r>
          </w:p>
          <w:p w14:paraId="6B767338" w14:textId="45A0C5E7" w:rsidR="00866079" w:rsidRDefault="00622732" w:rsidP="00D460B5">
            <w:pPr>
              <w:spacing w:line="240" w:lineRule="auto"/>
              <w:jc w:val="both"/>
              <w:rPr>
                <w:rFonts w:ascii="Times New Roman" w:hAnsi="Times New Roman"/>
              </w:rPr>
            </w:pPr>
            <w:r>
              <w:rPr>
                <w:rFonts w:ascii="Times New Roman" w:hAnsi="Times New Roman"/>
              </w:rPr>
              <w:t>Ponadto z</w:t>
            </w:r>
            <w:r w:rsidR="00866079" w:rsidRPr="40B71A84">
              <w:rPr>
                <w:rFonts w:ascii="Times New Roman" w:hAnsi="Times New Roman"/>
              </w:rPr>
              <w:t xml:space="preserve">godnie z obowiązującą ustawą </w:t>
            </w:r>
            <w:r w:rsidR="0034234C">
              <w:rPr>
                <w:rFonts w:ascii="Times New Roman" w:hAnsi="Times New Roman"/>
              </w:rPr>
              <w:t xml:space="preserve">z dnia 12 czerwca 2015 r. </w:t>
            </w:r>
            <w:r w:rsidR="00866079" w:rsidRPr="40B71A84">
              <w:rPr>
                <w:rFonts w:ascii="Times New Roman" w:hAnsi="Times New Roman"/>
              </w:rPr>
              <w:t>o systemie handlu uprawnieniami do emisji gazów cieplarnianych</w:t>
            </w:r>
            <w:r w:rsidR="0034234C">
              <w:rPr>
                <w:rFonts w:ascii="Times New Roman" w:hAnsi="Times New Roman"/>
              </w:rPr>
              <w:t xml:space="preserve"> (Dz. U. z 2020 r. poz. 136</w:t>
            </w:r>
            <w:r w:rsidR="00363C2F">
              <w:rPr>
                <w:rFonts w:ascii="Times New Roman" w:hAnsi="Times New Roman"/>
              </w:rPr>
              <w:t xml:space="preserve"> i 284</w:t>
            </w:r>
            <w:r w:rsidR="0034234C">
              <w:rPr>
                <w:rFonts w:ascii="Times New Roman" w:hAnsi="Times New Roman"/>
              </w:rPr>
              <w:t>)</w:t>
            </w:r>
            <w:r>
              <w:rPr>
                <w:rFonts w:ascii="Times New Roman" w:hAnsi="Times New Roman"/>
              </w:rPr>
              <w:t xml:space="preserve">, zwanej dalej </w:t>
            </w:r>
            <w:r w:rsidR="00F824D7">
              <w:rPr>
                <w:rFonts w:ascii="Times New Roman" w:hAnsi="Times New Roman"/>
              </w:rPr>
              <w:t>„ustawą</w:t>
            </w:r>
            <w:r>
              <w:rPr>
                <w:rFonts w:ascii="Times New Roman" w:hAnsi="Times New Roman"/>
              </w:rPr>
              <w:t xml:space="preserve"> o systemie handlu”</w:t>
            </w:r>
            <w:r w:rsidR="0034234C">
              <w:rPr>
                <w:rFonts w:ascii="Times New Roman" w:hAnsi="Times New Roman"/>
              </w:rPr>
              <w:t xml:space="preserve"> </w:t>
            </w:r>
            <w:r w:rsidR="00866079" w:rsidRPr="40B71A84">
              <w:rPr>
                <w:rFonts w:ascii="Times New Roman" w:hAnsi="Times New Roman"/>
              </w:rPr>
              <w:t xml:space="preserve"> organ właściwy do wydania zezwolenia ma obowiązek dokonywać co najmniej raz na 5 lat analizy wydanego zezwolenia na emisję gazów cieplarnianych. Prawo unijne znosi obowiązek dokonywania stałych przeglądów zezwoleń na emisję gazów cieplarnianych W związku z powyższym nie ma przesłanek formalnych do utrzymywania cyklicznego obowiązku monitorowania zezwoleń na emisję gazów cieplarnianych w ustawodawstwie krajowym. </w:t>
            </w:r>
          </w:p>
          <w:p w14:paraId="3A2F2960" w14:textId="77777777" w:rsidR="00863F1E" w:rsidRDefault="00863F1E" w:rsidP="00863F1E">
            <w:pPr>
              <w:spacing w:line="240" w:lineRule="auto"/>
              <w:jc w:val="both"/>
              <w:rPr>
                <w:rFonts w:ascii="Times New Roman" w:eastAsia="Times New Roman" w:hAnsi="Times New Roman"/>
              </w:rPr>
            </w:pPr>
            <w:r w:rsidRPr="40B71A84">
              <w:rPr>
                <w:rFonts w:ascii="Times New Roman" w:eastAsia="Times New Roman" w:hAnsi="Times New Roman"/>
              </w:rPr>
              <w:t>Obecnie działalność NFOŚiGW poza granicami RP jest ograniczona przepisem art. 410d ustawy POŚ, zgodnie z którym środki Narodowego Funduszu można przeznaczać za zgodą ministra właściwego do spraw klimatu na wspieranie projektów i inwestycji z zakresu ochrony środowiska i gospodarki wodnej poza granicami kraju, jeżeli ma to związek z bezpieczeństwem ekologicznym Rzeczypospolitej Polskiej, z zastrzeżeniem art. 410e ustawy POŚ. W związku z koniecznością zaangażowania się NFOŚiGW w realizację celów polityki klimatycznej UE, w tym w zakresie zidentyfikowanego potencjału działań prośrodowiskowych w obszarze współpracy wielostronnej na poziomie UE i Konwencji klimatycznej, powstaje potrzeba rozszerzenia zakresu tej działalności.</w:t>
            </w:r>
          </w:p>
          <w:p w14:paraId="3A7CDE6A" w14:textId="4A62BACB" w:rsidR="00863F1E" w:rsidRPr="00B37C80" w:rsidRDefault="00863F1E" w:rsidP="00D460B5">
            <w:pPr>
              <w:spacing w:line="240" w:lineRule="auto"/>
              <w:jc w:val="both"/>
              <w:rPr>
                <w:rFonts w:ascii="Times New Roman" w:hAnsi="Times New Roman"/>
                <w:color w:val="000000"/>
              </w:rPr>
            </w:pPr>
          </w:p>
        </w:tc>
      </w:tr>
      <w:tr w:rsidR="00866079" w:rsidRPr="008B4FE6" w14:paraId="53A547BC" w14:textId="77777777" w:rsidTr="0F366C62">
        <w:trPr>
          <w:trHeight w:val="142"/>
        </w:trPr>
        <w:tc>
          <w:tcPr>
            <w:tcW w:w="11086" w:type="dxa"/>
            <w:gridSpan w:val="27"/>
            <w:shd w:val="clear" w:color="auto" w:fill="99CCFF"/>
          </w:tcPr>
          <w:p w14:paraId="7590EB71" w14:textId="039A9A01" w:rsidR="00866079" w:rsidRPr="008B4FE6" w:rsidRDefault="00866079" w:rsidP="00A17084">
            <w:pPr>
              <w:numPr>
                <w:ilvl w:val="0"/>
                <w:numId w:val="5"/>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866079" w:rsidRPr="008B4FE6" w14:paraId="18C61C73" w14:textId="77777777" w:rsidTr="0F366C62">
        <w:trPr>
          <w:trHeight w:val="142"/>
        </w:trPr>
        <w:tc>
          <w:tcPr>
            <w:tcW w:w="11086" w:type="dxa"/>
            <w:gridSpan w:val="27"/>
          </w:tcPr>
          <w:p w14:paraId="3AF5FE6C" w14:textId="712D776C" w:rsidR="00866079" w:rsidRPr="00E61EEB" w:rsidRDefault="00866079" w:rsidP="006E686E">
            <w:pPr>
              <w:pBdr>
                <w:top w:val="nil"/>
                <w:left w:val="nil"/>
                <w:bottom w:val="nil"/>
                <w:right w:val="nil"/>
                <w:between w:val="nil"/>
                <w:bar w:val="nil"/>
              </w:pBdr>
              <w:spacing w:line="240" w:lineRule="auto"/>
              <w:jc w:val="both"/>
              <w:rPr>
                <w:rFonts w:ascii="Times New Roman" w:hAnsi="Times New Roman"/>
                <w:color w:val="000000"/>
                <w:u w:color="000000"/>
                <w:bdr w:val="nil"/>
                <w:lang w:eastAsia="pl-PL"/>
              </w:rPr>
            </w:pPr>
            <w:r w:rsidRPr="00F020D5">
              <w:rPr>
                <w:rFonts w:ascii="Times New Roman" w:hAnsi="Times New Roman"/>
                <w:color w:val="000000"/>
                <w:u w:color="000000"/>
                <w:bdr w:val="nil"/>
                <w:lang w:eastAsia="pl-PL"/>
              </w:rPr>
              <w:lastRenderedPageBreak/>
              <w:t xml:space="preserve">Mając na uwadze </w:t>
            </w:r>
            <w:r>
              <w:rPr>
                <w:rFonts w:ascii="Times New Roman" w:hAnsi="Times New Roman"/>
                <w:color w:val="000000"/>
                <w:u w:color="000000"/>
                <w:bdr w:val="nil"/>
                <w:lang w:eastAsia="pl-PL"/>
              </w:rPr>
              <w:t>transpozycję przepisów dyrektywy</w:t>
            </w:r>
            <w:r w:rsidR="00622732">
              <w:rPr>
                <w:rFonts w:ascii="Times New Roman" w:hAnsi="Times New Roman"/>
                <w:color w:val="000000"/>
                <w:u w:color="000000"/>
                <w:bdr w:val="nil"/>
                <w:lang w:eastAsia="pl-PL"/>
              </w:rPr>
              <w:t xml:space="preserve"> </w:t>
            </w:r>
            <w:r w:rsidR="00622732" w:rsidRPr="00622732">
              <w:rPr>
                <w:rFonts w:ascii="Times New Roman" w:hAnsi="Times New Roman"/>
                <w:color w:val="000000"/>
                <w:u w:color="000000"/>
                <w:bdr w:val="nil"/>
                <w:lang w:eastAsia="pl-PL"/>
              </w:rPr>
              <w:t>2018/410</w:t>
            </w:r>
            <w:r w:rsidR="00622732">
              <w:rPr>
                <w:rFonts w:ascii="Times New Roman" w:hAnsi="Times New Roman"/>
                <w:color w:val="000000"/>
                <w:u w:color="000000"/>
                <w:bdr w:val="nil"/>
                <w:lang w:eastAsia="pl-PL"/>
              </w:rPr>
              <w:t xml:space="preserve"> </w:t>
            </w:r>
            <w:r>
              <w:rPr>
                <w:rFonts w:ascii="Times New Roman" w:hAnsi="Times New Roman"/>
                <w:color w:val="000000"/>
                <w:u w:color="000000"/>
                <w:bdr w:val="nil"/>
                <w:lang w:eastAsia="pl-PL"/>
              </w:rPr>
              <w:t>oraz wykonanie niektórych przepisów rozporządzenia Komisji 2019/331</w:t>
            </w:r>
            <w:r w:rsidRPr="00F020D5">
              <w:rPr>
                <w:rFonts w:ascii="Times New Roman" w:hAnsi="Times New Roman"/>
                <w:color w:val="000000"/>
                <w:u w:color="000000"/>
                <w:bdr w:val="nil"/>
                <w:lang w:eastAsia="pl-PL"/>
              </w:rPr>
              <w:t xml:space="preserve">, postulowanym rozwiązaniem jest </w:t>
            </w:r>
            <w:r>
              <w:rPr>
                <w:rFonts w:ascii="Times New Roman" w:hAnsi="Times New Roman"/>
                <w:color w:val="000000"/>
                <w:u w:color="000000"/>
                <w:bdr w:val="nil"/>
                <w:lang w:eastAsia="pl-PL"/>
              </w:rPr>
              <w:t xml:space="preserve">m.in. </w:t>
            </w:r>
            <w:r w:rsidRPr="00F020D5">
              <w:rPr>
                <w:rFonts w:ascii="Times New Roman" w:hAnsi="Times New Roman"/>
                <w:color w:val="000000"/>
                <w:u w:color="000000"/>
                <w:bdr w:val="nil"/>
                <w:lang w:eastAsia="pl-PL"/>
              </w:rPr>
              <w:t>wprowadzenie następujących</w:t>
            </w:r>
            <w:r>
              <w:rPr>
                <w:rFonts w:ascii="Times New Roman" w:hAnsi="Times New Roman"/>
                <w:color w:val="000000"/>
                <w:u w:color="000000"/>
                <w:bdr w:val="nil"/>
                <w:lang w:eastAsia="pl-PL"/>
              </w:rPr>
              <w:t xml:space="preserve"> zmian w </w:t>
            </w:r>
            <w:r w:rsidRPr="00E61EEB">
              <w:rPr>
                <w:rFonts w:ascii="Times New Roman" w:eastAsia="Times New Roman" w:hAnsi="Times New Roman"/>
                <w:lang w:eastAsia="pl-PL"/>
              </w:rPr>
              <w:t>ustawie o systemie handlu</w:t>
            </w:r>
            <w:r>
              <w:rPr>
                <w:rFonts w:ascii="Times New Roman" w:eastAsia="Times New Roman" w:hAnsi="Times New Roman"/>
                <w:lang w:eastAsia="pl-PL"/>
              </w:rPr>
              <w:t>:</w:t>
            </w:r>
          </w:p>
          <w:p w14:paraId="0A2E493C" w14:textId="00FCD3E7" w:rsidR="00866079" w:rsidRDefault="00622732" w:rsidP="006E686E">
            <w:pPr>
              <w:pStyle w:val="Akapitzlist"/>
              <w:numPr>
                <w:ilvl w:val="0"/>
                <w:numId w:val="24"/>
              </w:numPr>
              <w:spacing w:before="120" w:line="240" w:lineRule="auto"/>
              <w:ind w:left="714" w:hanging="357"/>
              <w:jc w:val="both"/>
              <w:rPr>
                <w:rFonts w:ascii="Times New Roman" w:eastAsia="Times New Roman" w:hAnsi="Times New Roman"/>
                <w:lang w:eastAsia="pl-PL"/>
              </w:rPr>
            </w:pPr>
            <w:r>
              <w:rPr>
                <w:rFonts w:ascii="Times New Roman" w:eastAsia="Times New Roman" w:hAnsi="Times New Roman"/>
                <w:lang w:eastAsia="pl-PL"/>
              </w:rPr>
              <w:t>w</w:t>
            </w:r>
            <w:r w:rsidR="00866079">
              <w:rPr>
                <w:rFonts w:ascii="Times New Roman" w:eastAsia="Times New Roman" w:hAnsi="Times New Roman"/>
                <w:lang w:eastAsia="pl-PL"/>
              </w:rPr>
              <w:t>prowadzenie definicji „instalacji nowej” zgodnej z definicją z dyrektywy 2003/87/WE w brzmieniu nadanym dyrektywą 2018/410</w:t>
            </w:r>
            <w:r>
              <w:rPr>
                <w:rFonts w:ascii="Times New Roman" w:eastAsia="Times New Roman" w:hAnsi="Times New Roman"/>
                <w:lang w:eastAsia="pl-PL"/>
              </w:rPr>
              <w:t>,</w:t>
            </w:r>
          </w:p>
          <w:p w14:paraId="2CBC27AA" w14:textId="5D13C6EE" w:rsidR="00866079" w:rsidRPr="00F020D5" w:rsidRDefault="00622732" w:rsidP="006E686E">
            <w:pPr>
              <w:pStyle w:val="Akapitzlist"/>
              <w:numPr>
                <w:ilvl w:val="0"/>
                <w:numId w:val="24"/>
              </w:numPr>
              <w:spacing w:before="120" w:line="240" w:lineRule="auto"/>
              <w:ind w:left="714" w:hanging="357"/>
              <w:jc w:val="both"/>
              <w:rPr>
                <w:rFonts w:ascii="Times New Roman" w:eastAsia="Times New Roman" w:hAnsi="Times New Roman"/>
                <w:lang w:eastAsia="pl-PL"/>
              </w:rPr>
            </w:pPr>
            <w:r>
              <w:rPr>
                <w:rFonts w:ascii="Times New Roman" w:eastAsia="Times New Roman" w:hAnsi="Times New Roman"/>
                <w:lang w:eastAsia="pl-PL"/>
              </w:rPr>
              <w:t>r</w:t>
            </w:r>
            <w:r w:rsidR="00866079">
              <w:rPr>
                <w:rFonts w:ascii="Times New Roman" w:eastAsia="Times New Roman" w:hAnsi="Times New Roman"/>
                <w:lang w:eastAsia="pl-PL"/>
              </w:rPr>
              <w:t xml:space="preserve">ozszerzenie treści art. 26c poprzez wskazanie trybu </w:t>
            </w:r>
            <w:r w:rsidR="00866079" w:rsidRPr="00C80888">
              <w:rPr>
                <w:rFonts w:ascii="Times New Roman" w:eastAsia="Times New Roman" w:hAnsi="Times New Roman"/>
                <w:lang w:eastAsia="pl-PL"/>
              </w:rPr>
              <w:t>wzywania</w:t>
            </w:r>
            <w:r w:rsidR="00866079">
              <w:rPr>
                <w:rFonts w:ascii="Times New Roman" w:eastAsia="Times New Roman" w:hAnsi="Times New Roman"/>
                <w:lang w:eastAsia="pl-PL"/>
              </w:rPr>
              <w:t xml:space="preserve"> do uzupełniania braków we wniosku o przydział uprawnień do emisji</w:t>
            </w:r>
            <w:r>
              <w:rPr>
                <w:rFonts w:ascii="Times New Roman" w:eastAsia="Times New Roman" w:hAnsi="Times New Roman"/>
                <w:lang w:eastAsia="pl-PL"/>
              </w:rPr>
              <w:t>,</w:t>
            </w:r>
          </w:p>
          <w:p w14:paraId="024E5D82" w14:textId="1E97C4D1" w:rsidR="00866079" w:rsidRDefault="00622732" w:rsidP="006E686E">
            <w:pPr>
              <w:pStyle w:val="Akapitzlist"/>
              <w:numPr>
                <w:ilvl w:val="0"/>
                <w:numId w:val="24"/>
              </w:numPr>
              <w:pBdr>
                <w:top w:val="nil"/>
                <w:left w:val="nil"/>
                <w:bottom w:val="nil"/>
                <w:right w:val="nil"/>
                <w:between w:val="nil"/>
                <w:bar w:val="nil"/>
              </w:pBdr>
              <w:spacing w:before="120" w:line="240" w:lineRule="auto"/>
              <w:ind w:left="714" w:hanging="357"/>
              <w:jc w:val="both"/>
              <w:rPr>
                <w:rFonts w:ascii="Times New Roman" w:hAnsi="Times New Roman"/>
                <w:color w:val="000000"/>
                <w:u w:color="000000"/>
                <w:bdr w:val="nil"/>
                <w:lang w:eastAsia="pl-PL"/>
              </w:rPr>
            </w:pPr>
            <w:r>
              <w:rPr>
                <w:rFonts w:ascii="Times New Roman" w:hAnsi="Times New Roman"/>
                <w:color w:val="000000"/>
                <w:u w:color="000000"/>
                <w:bdr w:val="nil"/>
                <w:lang w:eastAsia="pl-PL"/>
              </w:rPr>
              <w:t>r</w:t>
            </w:r>
            <w:r w:rsidR="00866079">
              <w:rPr>
                <w:rFonts w:ascii="Times New Roman" w:hAnsi="Times New Roman"/>
                <w:color w:val="000000"/>
                <w:u w:color="000000"/>
                <w:bdr w:val="nil"/>
                <w:lang w:eastAsia="pl-PL"/>
              </w:rPr>
              <w:t>ezygnacja ze stałego cyklicznego obowiązku przeprowadzania analiz</w:t>
            </w:r>
            <w:r w:rsidR="00866079" w:rsidRPr="00891ADE">
              <w:rPr>
                <w:rFonts w:ascii="Times New Roman" w:hAnsi="Times New Roman"/>
                <w:color w:val="000000"/>
                <w:u w:color="000000"/>
                <w:bdr w:val="nil"/>
                <w:lang w:eastAsia="pl-PL"/>
              </w:rPr>
              <w:t xml:space="preserve"> wydan</w:t>
            </w:r>
            <w:r w:rsidR="00866079">
              <w:rPr>
                <w:rFonts w:ascii="Times New Roman" w:hAnsi="Times New Roman"/>
                <w:color w:val="000000"/>
                <w:u w:color="000000"/>
                <w:bdr w:val="nil"/>
                <w:lang w:eastAsia="pl-PL"/>
              </w:rPr>
              <w:t>ych</w:t>
            </w:r>
            <w:r w:rsidR="00866079" w:rsidRPr="00891ADE">
              <w:rPr>
                <w:rFonts w:ascii="Times New Roman" w:hAnsi="Times New Roman"/>
                <w:color w:val="000000"/>
                <w:u w:color="000000"/>
                <w:bdr w:val="nil"/>
                <w:lang w:eastAsia="pl-PL"/>
              </w:rPr>
              <w:t xml:space="preserve"> zezwole</w:t>
            </w:r>
            <w:r w:rsidR="00866079">
              <w:rPr>
                <w:rFonts w:ascii="Times New Roman" w:hAnsi="Times New Roman"/>
                <w:color w:val="000000"/>
                <w:u w:color="000000"/>
                <w:bdr w:val="nil"/>
                <w:lang w:eastAsia="pl-PL"/>
              </w:rPr>
              <w:t>ń na emisję gazów cieplarnianych</w:t>
            </w:r>
            <w:r>
              <w:rPr>
                <w:rFonts w:ascii="Times New Roman" w:hAnsi="Times New Roman"/>
                <w:color w:val="000000"/>
                <w:u w:color="000000"/>
                <w:bdr w:val="nil"/>
                <w:lang w:eastAsia="pl-PL"/>
              </w:rPr>
              <w:t>,</w:t>
            </w:r>
          </w:p>
          <w:p w14:paraId="46442F28" w14:textId="53106F6C" w:rsidR="00866079" w:rsidRDefault="00622732" w:rsidP="40B71A84">
            <w:pPr>
              <w:pStyle w:val="Akapitzlist"/>
              <w:numPr>
                <w:ilvl w:val="0"/>
                <w:numId w:val="24"/>
              </w:numPr>
              <w:pBdr>
                <w:top w:val="nil"/>
                <w:left w:val="nil"/>
                <w:bottom w:val="nil"/>
                <w:right w:val="nil"/>
                <w:between w:val="nil"/>
                <w:bar w:val="nil"/>
              </w:pBdr>
              <w:spacing w:before="120" w:line="240" w:lineRule="auto"/>
              <w:ind w:left="714" w:hanging="357"/>
              <w:jc w:val="both"/>
              <w:rPr>
                <w:color w:val="000000"/>
                <w:bdr w:val="nil"/>
                <w:lang w:eastAsia="pl-PL"/>
              </w:rPr>
            </w:pPr>
            <w:r>
              <w:rPr>
                <w:rFonts w:ascii="Times New Roman" w:hAnsi="Times New Roman"/>
                <w:color w:val="000000"/>
                <w:u w:color="000000"/>
                <w:bdr w:val="nil"/>
                <w:lang w:eastAsia="pl-PL"/>
              </w:rPr>
              <w:t>w</w:t>
            </w:r>
            <w:r w:rsidR="00E509D3" w:rsidRPr="00F1766E">
              <w:rPr>
                <w:rFonts w:ascii="Times New Roman" w:hAnsi="Times New Roman"/>
                <w:color w:val="000000"/>
                <w:u w:color="000000"/>
                <w:bdr w:val="nil"/>
                <w:lang w:eastAsia="pl-PL"/>
              </w:rPr>
              <w:t>prowadzenie przepisów określających zasady funkcjonowania Krajowego systemu wdrażania Funduszu Modernizacyjnego, w ramach którego środki uzyskane z tego Funduszu są przeznaczane na dofinansowanie realizacji na terytorium Rzeczypospolitej Polskiej inwestycji mających na celu modernizację systemów energetycznych oraz poprawę efektywności energetycznej</w:t>
            </w:r>
            <w:r>
              <w:rPr>
                <w:rFonts w:ascii="Times New Roman" w:hAnsi="Times New Roman"/>
                <w:color w:val="000000"/>
                <w:u w:color="000000"/>
                <w:bdr w:val="nil"/>
                <w:lang w:eastAsia="pl-PL"/>
              </w:rPr>
              <w:t>,</w:t>
            </w:r>
          </w:p>
          <w:p w14:paraId="40D1E36E" w14:textId="6E0B7F3D" w:rsidR="00866079" w:rsidRDefault="00622732" w:rsidP="006E686E">
            <w:pPr>
              <w:pStyle w:val="Akapitzlist"/>
              <w:numPr>
                <w:ilvl w:val="0"/>
                <w:numId w:val="24"/>
              </w:numPr>
              <w:pBdr>
                <w:top w:val="nil"/>
                <w:left w:val="nil"/>
                <w:bottom w:val="nil"/>
                <w:right w:val="nil"/>
                <w:between w:val="nil"/>
                <w:bar w:val="nil"/>
              </w:pBdr>
              <w:spacing w:before="120" w:line="240" w:lineRule="auto"/>
              <w:ind w:left="714" w:hanging="357"/>
              <w:jc w:val="both"/>
              <w:rPr>
                <w:rFonts w:ascii="Times New Roman" w:hAnsi="Times New Roman"/>
                <w:color w:val="000000"/>
                <w:u w:color="000000"/>
                <w:bdr w:val="nil"/>
                <w:lang w:eastAsia="pl-PL"/>
              </w:rPr>
            </w:pPr>
            <w:r>
              <w:rPr>
                <w:rFonts w:ascii="Times New Roman" w:hAnsi="Times New Roman"/>
                <w:color w:val="000000"/>
                <w:bdr w:val="nil"/>
                <w:lang w:eastAsia="pl-PL"/>
              </w:rPr>
              <w:t>z</w:t>
            </w:r>
            <w:r w:rsidR="00866079">
              <w:rPr>
                <w:rFonts w:ascii="Times New Roman" w:hAnsi="Times New Roman"/>
                <w:color w:val="000000"/>
                <w:bdr w:val="nil"/>
                <w:lang w:eastAsia="pl-PL"/>
              </w:rPr>
              <w:t>miany w art. 68 i art. 70 ustawy o systemie handlu, w szczególności uchylenie przepisów, które dotyczą kwestii przydziału uprawnień do emisji w odniesieniu do instalacji nowych, które zostały uregulowane w rozporządzeniu 2019/331 i zastąpią od 2021 r. zasady przyjęte w tym zakresie w prawie państw członkowskich</w:t>
            </w:r>
            <w:r>
              <w:rPr>
                <w:rFonts w:ascii="Times New Roman" w:hAnsi="Times New Roman"/>
                <w:color w:val="000000"/>
                <w:bdr w:val="nil"/>
                <w:lang w:eastAsia="pl-PL"/>
              </w:rPr>
              <w:t>,</w:t>
            </w:r>
          </w:p>
          <w:p w14:paraId="0324A50F" w14:textId="4A1D281E" w:rsidR="00866079" w:rsidRDefault="00622732" w:rsidP="006E686E">
            <w:pPr>
              <w:pStyle w:val="Akapitzlist"/>
              <w:numPr>
                <w:ilvl w:val="0"/>
                <w:numId w:val="24"/>
              </w:numPr>
              <w:pBdr>
                <w:top w:val="nil"/>
                <w:left w:val="nil"/>
                <w:bottom w:val="nil"/>
                <w:right w:val="nil"/>
                <w:between w:val="nil"/>
                <w:bar w:val="nil"/>
              </w:pBdr>
              <w:spacing w:before="120" w:line="240" w:lineRule="auto"/>
              <w:ind w:left="714" w:hanging="357"/>
              <w:jc w:val="both"/>
              <w:rPr>
                <w:rFonts w:ascii="Times New Roman" w:hAnsi="Times New Roman"/>
                <w:color w:val="000000"/>
                <w:u w:color="000000"/>
                <w:bdr w:val="nil"/>
                <w:lang w:eastAsia="pl-PL"/>
              </w:rPr>
            </w:pPr>
            <w:r>
              <w:rPr>
                <w:rFonts w:ascii="Times New Roman" w:hAnsi="Times New Roman"/>
                <w:color w:val="000000"/>
                <w:bdr w:val="nil"/>
                <w:lang w:eastAsia="pl-PL"/>
              </w:rPr>
              <w:t>d</w:t>
            </w:r>
            <w:r w:rsidR="00866079">
              <w:rPr>
                <w:rFonts w:ascii="Times New Roman" w:hAnsi="Times New Roman"/>
                <w:color w:val="000000"/>
                <w:bdr w:val="nil"/>
                <w:lang w:eastAsia="pl-PL"/>
              </w:rPr>
              <w:t>odanie art. 70a i 70b dotyczących zmiany przydzielonych uprawnień do emisji tak, aby umożliwić dokonywanie korekt przydziałów uprawnień do emisji, o których mowa w</w:t>
            </w:r>
            <w:r w:rsidR="00866079" w:rsidRPr="00971BDC">
              <w:rPr>
                <w:rFonts w:ascii="Times New Roman" w:hAnsi="Times New Roman"/>
                <w:color w:val="000000"/>
                <w:bdr w:val="nil"/>
                <w:lang w:eastAsia="pl-PL"/>
              </w:rPr>
              <w:t xml:space="preserve"> art. 1 pkt 14 lit. m dyrektywy 2018/410</w:t>
            </w:r>
            <w:r w:rsidR="00866079">
              <w:rPr>
                <w:rFonts w:ascii="Times New Roman" w:hAnsi="Times New Roman"/>
                <w:color w:val="000000"/>
                <w:bdr w:val="nil"/>
                <w:lang w:eastAsia="pl-PL"/>
              </w:rPr>
              <w:t>.</w:t>
            </w:r>
          </w:p>
          <w:p w14:paraId="462F8325" w14:textId="5B98E289" w:rsidR="00866079" w:rsidRPr="00B37C80" w:rsidRDefault="00866079" w:rsidP="006E686E">
            <w:pPr>
              <w:spacing w:before="120" w:line="240" w:lineRule="auto"/>
              <w:jc w:val="both"/>
              <w:rPr>
                <w:rFonts w:ascii="Times New Roman" w:hAnsi="Times New Roman"/>
                <w:color w:val="000000"/>
                <w:spacing w:val="-2"/>
              </w:rPr>
            </w:pPr>
            <w:r>
              <w:rPr>
                <w:rFonts w:ascii="Times New Roman" w:eastAsia="Times New Roman" w:hAnsi="Times New Roman"/>
                <w:szCs w:val="20"/>
                <w:lang w:eastAsia="pl-PL"/>
              </w:rPr>
              <w:t xml:space="preserve">Należy również zauważyć, że zakres </w:t>
            </w:r>
            <w:r w:rsidRPr="00C80888">
              <w:rPr>
                <w:rFonts w:ascii="Times New Roman" w:eastAsia="Times New Roman" w:hAnsi="Times New Roman"/>
                <w:szCs w:val="20"/>
                <w:lang w:eastAsia="pl-PL"/>
              </w:rPr>
              <w:t>niniejszego projektu wynikający z dostosowania do</w:t>
            </w:r>
            <w:r>
              <w:rPr>
                <w:rFonts w:ascii="Times New Roman" w:eastAsia="Times New Roman" w:hAnsi="Times New Roman"/>
                <w:szCs w:val="20"/>
                <w:lang w:eastAsia="pl-PL"/>
              </w:rPr>
              <w:t xml:space="preserve"> wymagań określonych w prawie UE, w tym aktów delegowanych wydanych na podstawie dyrektywy </w:t>
            </w:r>
            <w:r w:rsidRPr="004E2ABA">
              <w:rPr>
                <w:rFonts w:ascii="Times New Roman" w:hAnsi="Times New Roman"/>
              </w:rPr>
              <w:t>2018/410</w:t>
            </w:r>
            <w:r>
              <w:rPr>
                <w:rFonts w:ascii="Times New Roman" w:hAnsi="Times New Roman"/>
              </w:rPr>
              <w:t xml:space="preserve"> (nad przygotowaniem których pracuje obecnie Komisja Europejska) </w:t>
            </w:r>
            <w:r>
              <w:rPr>
                <w:rFonts w:ascii="Times New Roman" w:eastAsia="Times New Roman" w:hAnsi="Times New Roman"/>
                <w:szCs w:val="20"/>
                <w:lang w:eastAsia="pl-PL"/>
              </w:rPr>
              <w:t xml:space="preserve">może, </w:t>
            </w:r>
            <w:r w:rsidRPr="00C80888">
              <w:rPr>
                <w:rFonts w:ascii="Times New Roman" w:eastAsia="Times New Roman" w:hAnsi="Times New Roman"/>
                <w:szCs w:val="20"/>
                <w:lang w:eastAsia="pl-PL"/>
              </w:rPr>
              <w:t>na dalszych etapach pra</w:t>
            </w:r>
            <w:r w:rsidRPr="005F47DE">
              <w:rPr>
                <w:rFonts w:ascii="Times New Roman" w:eastAsia="Times New Roman" w:hAnsi="Times New Roman"/>
                <w:szCs w:val="20"/>
                <w:lang w:eastAsia="pl-PL"/>
              </w:rPr>
              <w:t>c,</w:t>
            </w:r>
            <w:r>
              <w:rPr>
                <w:rFonts w:ascii="Times New Roman" w:eastAsia="Times New Roman" w:hAnsi="Times New Roman"/>
                <w:szCs w:val="20"/>
                <w:lang w:eastAsia="pl-PL"/>
              </w:rPr>
              <w:t xml:space="preserve"> objąć przepisy także innych aktów normatywnych, w tym ustawy</w:t>
            </w:r>
            <w:r w:rsidR="008037A6">
              <w:rPr>
                <w:rFonts w:ascii="Times New Roman" w:eastAsia="Times New Roman" w:hAnsi="Times New Roman"/>
                <w:szCs w:val="20"/>
                <w:lang w:eastAsia="pl-PL"/>
              </w:rPr>
              <w:t xml:space="preserve"> z dnia </w:t>
            </w:r>
            <w:r>
              <w:rPr>
                <w:rFonts w:ascii="Times New Roman" w:eastAsia="Times New Roman" w:hAnsi="Times New Roman"/>
                <w:szCs w:val="20"/>
                <w:lang w:eastAsia="pl-PL"/>
              </w:rPr>
              <w:t xml:space="preserve"> </w:t>
            </w:r>
            <w:r w:rsidR="008037A6">
              <w:rPr>
                <w:rFonts w:ascii="Times New Roman" w:eastAsia="Times New Roman" w:hAnsi="Times New Roman"/>
                <w:szCs w:val="20"/>
                <w:lang w:eastAsia="pl-PL"/>
              </w:rPr>
              <w:t xml:space="preserve">17 lipca 2009 r. </w:t>
            </w:r>
            <w:r>
              <w:rPr>
                <w:rFonts w:ascii="Times New Roman" w:eastAsia="Times New Roman" w:hAnsi="Times New Roman"/>
                <w:szCs w:val="20"/>
                <w:lang w:eastAsia="pl-PL"/>
              </w:rPr>
              <w:t>o systemie zarządzania emisjami gazów cieplarnianych i innych substancji</w:t>
            </w:r>
            <w:r w:rsidR="008037A6">
              <w:rPr>
                <w:rFonts w:ascii="Times New Roman" w:eastAsia="Times New Roman" w:hAnsi="Times New Roman"/>
                <w:szCs w:val="20"/>
                <w:lang w:eastAsia="pl-PL"/>
              </w:rPr>
              <w:t xml:space="preserve"> (Dz. U. z 2019 r. poz. 1447, z późn. zm.)</w:t>
            </w:r>
            <w:r>
              <w:rPr>
                <w:rFonts w:ascii="Times New Roman" w:eastAsia="Times New Roman" w:hAnsi="Times New Roman"/>
                <w:szCs w:val="20"/>
                <w:lang w:eastAsia="pl-PL"/>
              </w:rPr>
              <w:t xml:space="preserve"> oraz ustawy </w:t>
            </w:r>
            <w:r w:rsidR="008037A6">
              <w:rPr>
                <w:rFonts w:ascii="Times New Roman" w:eastAsia="Times New Roman" w:hAnsi="Times New Roman"/>
                <w:szCs w:val="20"/>
                <w:lang w:eastAsia="pl-PL"/>
              </w:rPr>
              <w:t xml:space="preserve">z dnia 27 kwietnia 2001 r, - </w:t>
            </w:r>
            <w:r>
              <w:rPr>
                <w:rFonts w:ascii="Times New Roman" w:eastAsia="Times New Roman" w:hAnsi="Times New Roman"/>
                <w:szCs w:val="20"/>
                <w:lang w:eastAsia="pl-PL"/>
              </w:rPr>
              <w:t>Prawo ochrony środowiska</w:t>
            </w:r>
            <w:r w:rsidR="008037A6">
              <w:rPr>
                <w:rFonts w:ascii="Times New Roman" w:eastAsia="Times New Roman" w:hAnsi="Times New Roman"/>
                <w:szCs w:val="20"/>
                <w:lang w:eastAsia="pl-PL"/>
              </w:rPr>
              <w:t xml:space="preserve"> Dz. U. z 2019 r. poz. 1396, z późn. zm.).</w:t>
            </w:r>
          </w:p>
          <w:p w14:paraId="61D7B41F" w14:textId="536577A5" w:rsidR="00866079" w:rsidRPr="00B37C80" w:rsidRDefault="00866079" w:rsidP="40B71A84">
            <w:pPr>
              <w:spacing w:before="120" w:line="240" w:lineRule="auto"/>
              <w:jc w:val="both"/>
              <w:rPr>
                <w:rFonts w:ascii="Times New Roman" w:hAnsi="Times New Roman"/>
                <w:color w:val="000000" w:themeColor="text1"/>
              </w:rPr>
            </w:pPr>
            <w:r>
              <w:rPr>
                <w:rFonts w:ascii="Times New Roman" w:hAnsi="Times New Roman"/>
                <w:color w:val="000000"/>
                <w:spacing w:val="-2"/>
              </w:rPr>
              <w:t>Efektem zmian wprowadzonych w ustawie o systemie handlu będzie m.in. uzupełnienie braków transpozycyjnych w przepisach krajowych, wyeliminowanie z porządku krajowego przepisów</w:t>
            </w:r>
            <w:r w:rsidR="008037A6">
              <w:rPr>
                <w:rFonts w:ascii="Times New Roman" w:hAnsi="Times New Roman"/>
                <w:color w:val="000000"/>
                <w:spacing w:val="-2"/>
              </w:rPr>
              <w:t xml:space="preserve"> </w:t>
            </w:r>
            <w:r>
              <w:rPr>
                <w:rFonts w:ascii="Times New Roman" w:hAnsi="Times New Roman"/>
                <w:color w:val="000000"/>
                <w:spacing w:val="-2"/>
              </w:rPr>
              <w:t>odmiennie regulują</w:t>
            </w:r>
            <w:r w:rsidR="008037A6">
              <w:rPr>
                <w:rFonts w:ascii="Times New Roman" w:hAnsi="Times New Roman"/>
                <w:color w:val="000000"/>
                <w:spacing w:val="-2"/>
              </w:rPr>
              <w:t>cych</w:t>
            </w:r>
            <w:r>
              <w:rPr>
                <w:rFonts w:ascii="Times New Roman" w:hAnsi="Times New Roman"/>
                <w:color w:val="000000"/>
                <w:spacing w:val="-2"/>
              </w:rPr>
              <w:t xml:space="preserve"> zagadnienia dotyczące zasad przydziału uprawnień do emisji, </w:t>
            </w:r>
            <w:r w:rsidR="008037A6">
              <w:rPr>
                <w:rFonts w:ascii="Times New Roman" w:hAnsi="Times New Roman"/>
                <w:color w:val="000000"/>
                <w:spacing w:val="-2"/>
              </w:rPr>
              <w:t xml:space="preserve">a </w:t>
            </w:r>
            <w:r>
              <w:rPr>
                <w:rFonts w:ascii="Times New Roman" w:hAnsi="Times New Roman"/>
                <w:color w:val="000000"/>
                <w:spacing w:val="-2"/>
              </w:rPr>
              <w:t xml:space="preserve">które </w:t>
            </w:r>
            <w:r w:rsidR="008037A6">
              <w:rPr>
                <w:rFonts w:ascii="Times New Roman" w:hAnsi="Times New Roman"/>
                <w:color w:val="000000"/>
                <w:spacing w:val="-2"/>
              </w:rPr>
              <w:t xml:space="preserve">zostały uregulowane </w:t>
            </w:r>
            <w:r>
              <w:rPr>
                <w:rFonts w:ascii="Times New Roman" w:hAnsi="Times New Roman"/>
                <w:color w:val="000000"/>
                <w:spacing w:val="-2"/>
              </w:rPr>
              <w:t xml:space="preserve"> </w:t>
            </w:r>
            <w:r w:rsidR="008037A6">
              <w:rPr>
                <w:rFonts w:ascii="Times New Roman" w:hAnsi="Times New Roman"/>
                <w:color w:val="000000"/>
                <w:spacing w:val="-2"/>
              </w:rPr>
              <w:t xml:space="preserve">w </w:t>
            </w:r>
            <w:r>
              <w:rPr>
                <w:rFonts w:ascii="Times New Roman" w:hAnsi="Times New Roman"/>
                <w:color w:val="000000"/>
                <w:spacing w:val="-2"/>
              </w:rPr>
              <w:t>bezpośrednio obowiązujących rozporządzeń unijnych, a także wyznaczenie ścieżki krajowej finansowania projektów inwestycyjnych ze środków Funduszu Modernizacyjnego.</w:t>
            </w:r>
          </w:p>
          <w:p w14:paraId="6F550CC8" w14:textId="76ABCC28" w:rsidR="00866079" w:rsidRPr="00B37C80" w:rsidRDefault="39BC376B" w:rsidP="00767DD0">
            <w:pPr>
              <w:spacing w:before="120" w:line="240" w:lineRule="auto"/>
              <w:jc w:val="both"/>
              <w:rPr>
                <w:rFonts w:ascii="Times New Roman" w:hAnsi="Times New Roman"/>
                <w:color w:val="000000" w:themeColor="text1"/>
              </w:rPr>
            </w:pPr>
            <w:r w:rsidRPr="40B71A84">
              <w:rPr>
                <w:rFonts w:ascii="Times New Roman" w:hAnsi="Times New Roman"/>
                <w:color w:val="000000" w:themeColor="text1"/>
              </w:rPr>
              <w:t xml:space="preserve">Dodatkowo </w:t>
            </w:r>
            <w:r w:rsidR="008037A6">
              <w:rPr>
                <w:rFonts w:ascii="Times New Roman" w:hAnsi="Times New Roman"/>
                <w:color w:val="000000" w:themeColor="text1"/>
              </w:rPr>
              <w:t xml:space="preserve">projekt przewiduje </w:t>
            </w:r>
            <w:r w:rsidRPr="40B71A84">
              <w:rPr>
                <w:rFonts w:ascii="Times New Roman" w:hAnsi="Times New Roman"/>
                <w:color w:val="000000" w:themeColor="text1"/>
              </w:rPr>
              <w:t xml:space="preserve"> </w:t>
            </w:r>
            <w:r w:rsidR="008037A6">
              <w:rPr>
                <w:rFonts w:ascii="Times New Roman" w:hAnsi="Times New Roman"/>
                <w:color w:val="000000" w:themeColor="text1"/>
              </w:rPr>
              <w:t xml:space="preserve">regulacje </w:t>
            </w:r>
            <w:r w:rsidRPr="40B71A84">
              <w:rPr>
                <w:rFonts w:ascii="Times New Roman" w:hAnsi="Times New Roman"/>
                <w:color w:val="000000" w:themeColor="text1"/>
              </w:rPr>
              <w:t xml:space="preserve">umożliwiające Narodowemu Funduszowi </w:t>
            </w:r>
            <w:r w:rsidR="001847CC">
              <w:rPr>
                <w:rFonts w:ascii="Times New Roman" w:hAnsi="Times New Roman"/>
                <w:color w:val="000000" w:themeColor="text1"/>
              </w:rPr>
              <w:t xml:space="preserve">Ochrony Środowiska i Gospodarki Wodnej </w:t>
            </w:r>
            <w:r w:rsidRPr="40B71A84">
              <w:rPr>
                <w:rFonts w:ascii="Times New Roman" w:hAnsi="Times New Roman"/>
                <w:color w:val="000000" w:themeColor="text1"/>
              </w:rPr>
              <w:t xml:space="preserve">pełnienie: </w:t>
            </w:r>
          </w:p>
          <w:p w14:paraId="524E9DFB" w14:textId="75FB15CE" w:rsidR="00866079" w:rsidRPr="00B37C80" w:rsidRDefault="39BC376B" w:rsidP="00767DD0">
            <w:pPr>
              <w:pStyle w:val="Akapitzlist"/>
              <w:numPr>
                <w:ilvl w:val="0"/>
                <w:numId w:val="2"/>
              </w:numPr>
              <w:jc w:val="both"/>
              <w:rPr>
                <w:rFonts w:ascii="Times New Roman" w:eastAsia="Times New Roman" w:hAnsi="Times New Roman"/>
                <w:color w:val="000000" w:themeColor="text1"/>
              </w:rPr>
            </w:pPr>
            <w:r w:rsidRPr="00767DD0">
              <w:rPr>
                <w:rFonts w:ascii="Times New Roman" w:hAnsi="Times New Roman"/>
                <w:color w:val="000000" w:themeColor="text1"/>
              </w:rPr>
              <w:t>roli podmiotu wdrażającego środki finansowe Unii Europejskiej metodą zarządzania pośredniego</w:t>
            </w:r>
            <w:r w:rsidR="008037A6">
              <w:rPr>
                <w:rFonts w:ascii="Times New Roman" w:hAnsi="Times New Roman"/>
                <w:color w:val="000000" w:themeColor="text1"/>
              </w:rPr>
              <w:t>;</w:t>
            </w:r>
          </w:p>
          <w:p w14:paraId="27C702E0" w14:textId="436036F0" w:rsidR="00866079" w:rsidRPr="00B37C80" w:rsidRDefault="39BC376B" w:rsidP="00767DD0">
            <w:pPr>
              <w:pStyle w:val="Akapitzlist"/>
              <w:numPr>
                <w:ilvl w:val="0"/>
                <w:numId w:val="2"/>
              </w:numPr>
              <w:jc w:val="both"/>
              <w:rPr>
                <w:rFonts w:ascii="Times New Roman" w:eastAsia="Times New Roman" w:hAnsi="Times New Roman"/>
                <w:color w:val="000000" w:themeColor="text1"/>
              </w:rPr>
            </w:pPr>
            <w:r w:rsidRPr="00767DD0">
              <w:rPr>
                <w:rFonts w:ascii="Times New Roman" w:hAnsi="Times New Roman"/>
                <w:color w:val="000000" w:themeColor="text1"/>
              </w:rPr>
              <w:t>funkcji wykonawczej, zarządzającej lub wspomagającej przy międzynarodowej organizacji, instytucji, programie lub funduszu, zapewniających funkcjonowanie mechanizmów finansowych służących realizacji celów Konwencji Klimatycznej.</w:t>
            </w:r>
          </w:p>
        </w:tc>
      </w:tr>
      <w:tr w:rsidR="00866079" w:rsidRPr="008B4FE6" w14:paraId="03BBFADB" w14:textId="77777777" w:rsidTr="0F366C62">
        <w:trPr>
          <w:trHeight w:val="307"/>
        </w:trPr>
        <w:tc>
          <w:tcPr>
            <w:tcW w:w="11086" w:type="dxa"/>
            <w:gridSpan w:val="27"/>
            <w:shd w:val="clear" w:color="auto" w:fill="99CCFF"/>
          </w:tcPr>
          <w:p w14:paraId="033E2FCA" w14:textId="19EC21D3" w:rsidR="00866079" w:rsidRPr="008B4FE6" w:rsidRDefault="00866079" w:rsidP="00A17084">
            <w:pPr>
              <w:numPr>
                <w:ilvl w:val="0"/>
                <w:numId w:val="5"/>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866079" w:rsidRPr="008B4FE6" w14:paraId="7F385527" w14:textId="77777777" w:rsidTr="0F366C62">
        <w:trPr>
          <w:trHeight w:val="142"/>
        </w:trPr>
        <w:tc>
          <w:tcPr>
            <w:tcW w:w="11086" w:type="dxa"/>
            <w:gridSpan w:val="27"/>
          </w:tcPr>
          <w:p w14:paraId="75EF7A6B" w14:textId="5F05E089" w:rsidR="00866079" w:rsidRPr="00B37C80" w:rsidRDefault="00866079" w:rsidP="00CC6A74">
            <w:pPr>
              <w:spacing w:line="240" w:lineRule="auto"/>
              <w:jc w:val="both"/>
              <w:rPr>
                <w:rFonts w:ascii="Times New Roman" w:hAnsi="Times New Roman"/>
                <w:color w:val="000000"/>
                <w:spacing w:val="-2"/>
              </w:rPr>
            </w:pPr>
            <w:r>
              <w:rPr>
                <w:rFonts w:ascii="Times New Roman" w:hAnsi="Times New Roman"/>
                <w:color w:val="000000"/>
                <w:spacing w:val="-2"/>
              </w:rPr>
              <w:t>Transpozycja przepisów dyrektywy</w:t>
            </w:r>
            <w:r>
              <w:rPr>
                <w:rFonts w:ascii="Times New Roman" w:hAnsi="Times New Roman"/>
                <w:color w:val="000000"/>
              </w:rPr>
              <w:t xml:space="preserve"> </w:t>
            </w:r>
            <w:r w:rsidRPr="003D27E2">
              <w:rPr>
                <w:rFonts w:ascii="Times New Roman" w:hAnsi="Times New Roman"/>
              </w:rPr>
              <w:t>2018/410</w:t>
            </w:r>
            <w:r>
              <w:rPr>
                <w:rFonts w:ascii="Times New Roman" w:hAnsi="Times New Roman"/>
              </w:rPr>
              <w:t xml:space="preserve"> </w:t>
            </w:r>
            <w:r>
              <w:rPr>
                <w:rFonts w:ascii="Times New Roman" w:hAnsi="Times New Roman"/>
                <w:color w:val="000000"/>
              </w:rPr>
              <w:t>jest dokonywana w poszczególnych państwach w sposób zgodny z procedurami obowiązującymi w tychże państwach</w:t>
            </w:r>
            <w:r>
              <w:rPr>
                <w:rFonts w:ascii="Times New Roman" w:hAnsi="Times New Roman"/>
              </w:rPr>
              <w:t xml:space="preserve">. </w:t>
            </w:r>
          </w:p>
        </w:tc>
      </w:tr>
      <w:tr w:rsidR="00866079" w:rsidRPr="008B4FE6" w14:paraId="1EC36882" w14:textId="77777777" w:rsidTr="0F366C62">
        <w:trPr>
          <w:trHeight w:val="359"/>
        </w:trPr>
        <w:tc>
          <w:tcPr>
            <w:tcW w:w="11086" w:type="dxa"/>
            <w:gridSpan w:val="27"/>
            <w:shd w:val="clear" w:color="auto" w:fill="99CCFF"/>
          </w:tcPr>
          <w:p w14:paraId="2F27A3CB" w14:textId="7F2F8237" w:rsidR="00866079" w:rsidRPr="008B4FE6" w:rsidRDefault="00866079" w:rsidP="00A17084">
            <w:pPr>
              <w:numPr>
                <w:ilvl w:val="0"/>
                <w:numId w:val="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866079" w:rsidRPr="008B4FE6" w14:paraId="60BA6905" w14:textId="77777777" w:rsidTr="00767DD0">
        <w:trPr>
          <w:trHeight w:val="142"/>
        </w:trPr>
        <w:tc>
          <w:tcPr>
            <w:tcW w:w="1935" w:type="dxa"/>
            <w:gridSpan w:val="3"/>
            <w:shd w:val="clear" w:color="auto" w:fill="auto"/>
          </w:tcPr>
          <w:p w14:paraId="498CFAD3" w14:textId="77777777" w:rsidR="00866079" w:rsidRPr="008B4FE6" w:rsidRDefault="00866079" w:rsidP="00A17084">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3012" w:type="dxa"/>
            <w:gridSpan w:val="7"/>
            <w:shd w:val="clear" w:color="auto" w:fill="auto"/>
          </w:tcPr>
          <w:p w14:paraId="407F41F3" w14:textId="77777777" w:rsidR="00866079" w:rsidRPr="008B4FE6" w:rsidRDefault="00866079" w:rsidP="00A17084">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3989" w:type="dxa"/>
            <w:gridSpan w:val="13"/>
            <w:shd w:val="clear" w:color="auto" w:fill="auto"/>
          </w:tcPr>
          <w:p w14:paraId="542EB485" w14:textId="678C7ABA" w:rsidR="00866079" w:rsidRPr="008B4FE6" w:rsidRDefault="00866079" w:rsidP="00A17084">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150" w:type="dxa"/>
            <w:gridSpan w:val="4"/>
            <w:shd w:val="clear" w:color="auto" w:fill="auto"/>
          </w:tcPr>
          <w:p w14:paraId="626BE844" w14:textId="05777E23" w:rsidR="00866079" w:rsidRPr="008B4FE6" w:rsidRDefault="00866079" w:rsidP="00A17084">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866079" w:rsidRPr="008B4FE6" w14:paraId="45AB63A2" w14:textId="77777777" w:rsidTr="00767DD0">
        <w:trPr>
          <w:trHeight w:val="142"/>
        </w:trPr>
        <w:tc>
          <w:tcPr>
            <w:tcW w:w="1935" w:type="dxa"/>
            <w:gridSpan w:val="3"/>
            <w:shd w:val="clear" w:color="auto" w:fill="auto"/>
          </w:tcPr>
          <w:p w14:paraId="6A5BC95E" w14:textId="77777777" w:rsidR="00866079" w:rsidRPr="008B4FE6" w:rsidRDefault="00866079" w:rsidP="00A17084">
            <w:pPr>
              <w:spacing w:line="240" w:lineRule="auto"/>
              <w:rPr>
                <w:rFonts w:ascii="Times New Roman" w:hAnsi="Times New Roman"/>
                <w:color w:val="000000"/>
                <w:spacing w:val="-2"/>
              </w:rPr>
            </w:pPr>
            <w:r>
              <w:rPr>
                <w:rFonts w:ascii="Times New Roman" w:hAnsi="Times New Roman"/>
                <w:color w:val="000000"/>
              </w:rPr>
              <w:t>Przedsiębiorcy</w:t>
            </w:r>
            <w:r w:rsidRPr="000E71B9">
              <w:rPr>
                <w:rFonts w:ascii="Times New Roman" w:hAnsi="Times New Roman"/>
                <w:color w:val="000000"/>
              </w:rPr>
              <w:t xml:space="preserve"> prowa</w:t>
            </w:r>
            <w:r>
              <w:rPr>
                <w:rFonts w:ascii="Times New Roman" w:hAnsi="Times New Roman"/>
                <w:color w:val="000000"/>
              </w:rPr>
              <w:t>dzący instalacje</w:t>
            </w:r>
            <w:r w:rsidRPr="000E71B9">
              <w:rPr>
                <w:rFonts w:ascii="Times New Roman" w:hAnsi="Times New Roman"/>
                <w:color w:val="000000"/>
              </w:rPr>
              <w:t xml:space="preserve"> objęt</w:t>
            </w:r>
            <w:r>
              <w:rPr>
                <w:rFonts w:ascii="Times New Roman" w:hAnsi="Times New Roman"/>
                <w:color w:val="000000"/>
              </w:rPr>
              <w:t>e</w:t>
            </w:r>
            <w:r w:rsidRPr="000E71B9">
              <w:rPr>
                <w:rFonts w:ascii="Times New Roman" w:hAnsi="Times New Roman"/>
                <w:color w:val="000000"/>
              </w:rPr>
              <w:t xml:space="preserve"> </w:t>
            </w:r>
            <w:r>
              <w:rPr>
                <w:rFonts w:ascii="Times New Roman" w:hAnsi="Times New Roman"/>
                <w:color w:val="000000"/>
              </w:rPr>
              <w:t>systemem (w tym podmioty spalające biomasę)</w:t>
            </w:r>
          </w:p>
        </w:tc>
        <w:tc>
          <w:tcPr>
            <w:tcW w:w="3012" w:type="dxa"/>
            <w:gridSpan w:val="7"/>
            <w:shd w:val="clear" w:color="auto" w:fill="auto"/>
          </w:tcPr>
          <w:p w14:paraId="5E491235" w14:textId="6D97E118" w:rsidR="00866079" w:rsidRPr="00B37C80" w:rsidRDefault="00866079" w:rsidP="00A17084">
            <w:pPr>
              <w:spacing w:line="240" w:lineRule="auto"/>
              <w:rPr>
                <w:rFonts w:ascii="Times New Roman" w:hAnsi="Times New Roman"/>
                <w:color w:val="000000"/>
                <w:spacing w:val="-2"/>
              </w:rPr>
            </w:pPr>
            <w:r>
              <w:rPr>
                <w:rFonts w:ascii="Times New Roman" w:hAnsi="Times New Roman"/>
                <w:color w:val="000000"/>
                <w:spacing w:val="-2"/>
              </w:rPr>
              <w:t xml:space="preserve">około </w:t>
            </w:r>
            <w:r w:rsidR="00646EF9">
              <w:rPr>
                <w:rFonts w:ascii="Times New Roman" w:hAnsi="Times New Roman"/>
                <w:color w:val="000000"/>
                <w:spacing w:val="-2"/>
              </w:rPr>
              <w:t>650</w:t>
            </w:r>
            <w:r>
              <w:rPr>
                <w:rFonts w:ascii="Times New Roman" w:hAnsi="Times New Roman"/>
                <w:color w:val="000000"/>
                <w:spacing w:val="-2"/>
              </w:rPr>
              <w:t xml:space="preserve"> </w:t>
            </w:r>
            <w:r w:rsidRPr="00761F75">
              <w:rPr>
                <w:rFonts w:ascii="Times New Roman" w:hAnsi="Times New Roman"/>
                <w:color w:val="000000"/>
                <w:spacing w:val="-2"/>
              </w:rPr>
              <w:t>instalacji</w:t>
            </w:r>
          </w:p>
        </w:tc>
        <w:tc>
          <w:tcPr>
            <w:tcW w:w="3989" w:type="dxa"/>
            <w:gridSpan w:val="13"/>
            <w:shd w:val="clear" w:color="auto" w:fill="auto"/>
          </w:tcPr>
          <w:p w14:paraId="329413B5" w14:textId="579BF57B" w:rsidR="00866079" w:rsidRDefault="00866079" w:rsidP="00646EF9">
            <w:pPr>
              <w:spacing w:line="240" w:lineRule="auto"/>
              <w:rPr>
                <w:rFonts w:ascii="Times New Roman" w:hAnsi="Times New Roman"/>
                <w:color w:val="000000"/>
                <w:spacing w:val="-2"/>
              </w:rPr>
            </w:pPr>
            <w:r>
              <w:rPr>
                <w:rFonts w:ascii="Times New Roman" w:hAnsi="Times New Roman"/>
                <w:bCs/>
                <w:color w:val="000000"/>
                <w:spacing w:val="-2"/>
              </w:rPr>
              <w:t>R</w:t>
            </w:r>
            <w:r w:rsidR="00646EF9">
              <w:rPr>
                <w:rFonts w:ascii="Times New Roman" w:hAnsi="Times New Roman"/>
                <w:bCs/>
                <w:color w:val="000000"/>
                <w:spacing w:val="-2"/>
              </w:rPr>
              <w:t>ejestr Unii</w:t>
            </w:r>
          </w:p>
        </w:tc>
        <w:tc>
          <w:tcPr>
            <w:tcW w:w="2150" w:type="dxa"/>
            <w:gridSpan w:val="4"/>
            <w:shd w:val="clear" w:color="auto" w:fill="auto"/>
          </w:tcPr>
          <w:p w14:paraId="699DF4D7" w14:textId="15254913" w:rsidR="00866079" w:rsidRDefault="00866079" w:rsidP="00A17084">
            <w:pPr>
              <w:spacing w:line="240" w:lineRule="auto"/>
              <w:rPr>
                <w:rFonts w:ascii="Times New Roman" w:hAnsi="Times New Roman"/>
                <w:color w:val="000000"/>
                <w:spacing w:val="-2"/>
              </w:rPr>
            </w:pPr>
            <w:r>
              <w:rPr>
                <w:rFonts w:ascii="Times New Roman" w:hAnsi="Times New Roman"/>
                <w:color w:val="000000"/>
                <w:spacing w:val="-2"/>
              </w:rPr>
              <w:t xml:space="preserve">Nowe zasady uzyskiwania przydziału uprawnień do emisji i weryfikacji tych przydziałów zgodnie z regulacjami </w:t>
            </w:r>
            <w:r>
              <w:rPr>
                <w:rFonts w:ascii="Times New Roman" w:hAnsi="Times New Roman"/>
              </w:rPr>
              <w:t>rozporządzenia</w:t>
            </w:r>
            <w:r w:rsidRPr="00D123A4">
              <w:rPr>
                <w:rFonts w:ascii="Times New Roman" w:hAnsi="Times New Roman"/>
              </w:rPr>
              <w:t xml:space="preserve"> Komisji (UE) 2019/331</w:t>
            </w:r>
          </w:p>
          <w:p w14:paraId="6BC6D377" w14:textId="77777777" w:rsidR="00866079" w:rsidRPr="00B37C80" w:rsidRDefault="00866079" w:rsidP="00A17084">
            <w:pPr>
              <w:spacing w:line="240" w:lineRule="auto"/>
              <w:rPr>
                <w:rFonts w:ascii="Times New Roman" w:hAnsi="Times New Roman"/>
                <w:color w:val="000000"/>
                <w:spacing w:val="-2"/>
              </w:rPr>
            </w:pPr>
          </w:p>
        </w:tc>
      </w:tr>
      <w:tr w:rsidR="00866079" w:rsidRPr="008B4FE6" w14:paraId="72B929BB" w14:textId="77777777" w:rsidTr="00767DD0">
        <w:trPr>
          <w:trHeight w:val="142"/>
        </w:trPr>
        <w:tc>
          <w:tcPr>
            <w:tcW w:w="1935" w:type="dxa"/>
            <w:gridSpan w:val="3"/>
            <w:shd w:val="clear" w:color="auto" w:fill="auto"/>
          </w:tcPr>
          <w:p w14:paraId="5B1A0ACD" w14:textId="578C2E61" w:rsidR="00866079" w:rsidRPr="008B4FE6" w:rsidRDefault="00866079" w:rsidP="00A17084">
            <w:pPr>
              <w:spacing w:line="240" w:lineRule="auto"/>
              <w:rPr>
                <w:rFonts w:ascii="Times New Roman" w:hAnsi="Times New Roman"/>
                <w:color w:val="000000"/>
                <w:spacing w:val="-2"/>
              </w:rPr>
            </w:pPr>
            <w:r w:rsidRPr="40B71A84">
              <w:rPr>
                <w:rFonts w:ascii="Times New Roman" w:hAnsi="Times New Roman"/>
                <w:color w:val="000000" w:themeColor="text1"/>
              </w:rPr>
              <w:t xml:space="preserve">Przedsiębiorcy realizujący inwestycje mające na celu poprawę efektywności energetycznej i modernizację systemów energetycznych w </w:t>
            </w:r>
            <w:r w:rsidRPr="40B71A84">
              <w:rPr>
                <w:rFonts w:ascii="Times New Roman" w:hAnsi="Times New Roman"/>
                <w:color w:val="000000" w:themeColor="text1"/>
              </w:rPr>
              <w:lastRenderedPageBreak/>
              <w:t>Polsce</w:t>
            </w:r>
            <w:r w:rsidR="58950743" w:rsidRPr="40B71A84">
              <w:rPr>
                <w:rFonts w:ascii="Times New Roman" w:hAnsi="Times New Roman"/>
                <w:color w:val="000000" w:themeColor="text1"/>
              </w:rPr>
              <w:t>,</w:t>
            </w:r>
            <w:r w:rsidRPr="40B71A84">
              <w:rPr>
                <w:rFonts w:ascii="Times New Roman" w:hAnsi="Times New Roman"/>
                <w:color w:val="000000" w:themeColor="text1"/>
              </w:rPr>
              <w:t xml:space="preserve"> kwalifikując</w:t>
            </w:r>
            <w:r w:rsidR="2F7A0982" w:rsidRPr="40B71A84">
              <w:rPr>
                <w:rFonts w:ascii="Times New Roman" w:hAnsi="Times New Roman"/>
                <w:color w:val="000000" w:themeColor="text1"/>
              </w:rPr>
              <w:t>y</w:t>
            </w:r>
            <w:r w:rsidRPr="40B71A84">
              <w:rPr>
                <w:rFonts w:ascii="Times New Roman" w:hAnsi="Times New Roman"/>
                <w:color w:val="000000" w:themeColor="text1"/>
              </w:rPr>
              <w:t xml:space="preserve"> się do </w:t>
            </w:r>
            <w:r w:rsidR="2A5F4007" w:rsidRPr="40B71A84">
              <w:rPr>
                <w:rFonts w:ascii="Times New Roman" w:hAnsi="Times New Roman"/>
                <w:color w:val="000000" w:themeColor="text1"/>
              </w:rPr>
              <w:t xml:space="preserve">udzielenia ze </w:t>
            </w:r>
            <w:r w:rsidRPr="40B71A84">
              <w:rPr>
                <w:rFonts w:ascii="Times New Roman" w:hAnsi="Times New Roman"/>
                <w:color w:val="000000" w:themeColor="text1"/>
              </w:rPr>
              <w:t>środków Funduszu Modernizacyjnego</w:t>
            </w:r>
          </w:p>
        </w:tc>
        <w:tc>
          <w:tcPr>
            <w:tcW w:w="3012" w:type="dxa"/>
            <w:gridSpan w:val="7"/>
            <w:shd w:val="clear" w:color="auto" w:fill="auto"/>
          </w:tcPr>
          <w:p w14:paraId="111D4938" w14:textId="77777777" w:rsidR="00866079" w:rsidRPr="00B37C80" w:rsidRDefault="00866079" w:rsidP="00A17084">
            <w:pPr>
              <w:spacing w:line="240" w:lineRule="auto"/>
              <w:rPr>
                <w:rFonts w:ascii="Times New Roman" w:hAnsi="Times New Roman"/>
                <w:color w:val="000000"/>
                <w:spacing w:val="-2"/>
              </w:rPr>
            </w:pPr>
            <w:r>
              <w:rPr>
                <w:rFonts w:ascii="Times New Roman" w:hAnsi="Times New Roman"/>
                <w:color w:val="000000"/>
                <w:spacing w:val="-2"/>
              </w:rPr>
              <w:lastRenderedPageBreak/>
              <w:t>Brak danych</w:t>
            </w:r>
          </w:p>
        </w:tc>
        <w:tc>
          <w:tcPr>
            <w:tcW w:w="3989" w:type="dxa"/>
            <w:gridSpan w:val="13"/>
            <w:shd w:val="clear" w:color="auto" w:fill="auto"/>
          </w:tcPr>
          <w:p w14:paraId="186B2CA0" w14:textId="77777777" w:rsidR="00866079" w:rsidRPr="00D70824" w:rsidRDefault="00866079" w:rsidP="00A17084">
            <w:pPr>
              <w:spacing w:line="240" w:lineRule="auto"/>
              <w:rPr>
                <w:rFonts w:ascii="Times New Roman" w:hAnsi="Times New Roman"/>
                <w:color w:val="000000"/>
                <w:spacing w:val="-2"/>
              </w:rPr>
            </w:pPr>
          </w:p>
        </w:tc>
        <w:tc>
          <w:tcPr>
            <w:tcW w:w="2150" w:type="dxa"/>
            <w:gridSpan w:val="4"/>
            <w:shd w:val="clear" w:color="auto" w:fill="auto"/>
          </w:tcPr>
          <w:p w14:paraId="1BCF172F" w14:textId="75C4C29E" w:rsidR="00866079" w:rsidRPr="00B37C80" w:rsidRDefault="00866079" w:rsidP="00A17084">
            <w:pPr>
              <w:spacing w:line="240" w:lineRule="auto"/>
              <w:rPr>
                <w:rFonts w:ascii="Times New Roman" w:hAnsi="Times New Roman"/>
                <w:color w:val="000000"/>
                <w:spacing w:val="-2"/>
              </w:rPr>
            </w:pPr>
            <w:r w:rsidRPr="00D70824">
              <w:rPr>
                <w:rFonts w:ascii="Times New Roman" w:hAnsi="Times New Roman"/>
                <w:color w:val="000000"/>
                <w:spacing w:val="-2"/>
              </w:rPr>
              <w:t xml:space="preserve">Możliwość ubiegania się o wsparcie finansowe ze środków Funduszu Modernizacyjnego inwestycji mających na celu poprawę efektywności energetycznej i </w:t>
            </w:r>
            <w:r w:rsidRPr="00D70824">
              <w:rPr>
                <w:rFonts w:ascii="Times New Roman" w:hAnsi="Times New Roman"/>
                <w:color w:val="000000"/>
                <w:spacing w:val="-2"/>
              </w:rPr>
              <w:lastRenderedPageBreak/>
              <w:t>modernizację systemów energetycznych w Polsce</w:t>
            </w:r>
          </w:p>
        </w:tc>
      </w:tr>
      <w:tr w:rsidR="00866079" w:rsidRPr="008B4FE6" w14:paraId="4938FC7A" w14:textId="77777777" w:rsidTr="00767DD0">
        <w:trPr>
          <w:trHeight w:val="142"/>
        </w:trPr>
        <w:tc>
          <w:tcPr>
            <w:tcW w:w="1935" w:type="dxa"/>
            <w:gridSpan w:val="3"/>
            <w:shd w:val="clear" w:color="auto" w:fill="auto"/>
          </w:tcPr>
          <w:p w14:paraId="4482EBF6" w14:textId="7CA5782F" w:rsidR="00866079" w:rsidRPr="008B4FE6" w:rsidRDefault="00866079" w:rsidP="00247723">
            <w:pPr>
              <w:spacing w:line="240" w:lineRule="auto"/>
              <w:rPr>
                <w:rFonts w:ascii="Times New Roman" w:hAnsi="Times New Roman"/>
                <w:color w:val="000000"/>
              </w:rPr>
            </w:pPr>
            <w:r>
              <w:rPr>
                <w:rFonts w:ascii="Times New Roman" w:hAnsi="Times New Roman"/>
                <w:color w:val="000000"/>
                <w:spacing w:val="-2"/>
              </w:rPr>
              <w:lastRenderedPageBreak/>
              <w:t xml:space="preserve">Minister </w:t>
            </w:r>
            <w:r w:rsidR="00247723">
              <w:rPr>
                <w:rFonts w:ascii="Times New Roman" w:hAnsi="Times New Roman"/>
                <w:color w:val="000000"/>
                <w:spacing w:val="-2"/>
              </w:rPr>
              <w:t>Klimatu</w:t>
            </w:r>
            <w:r>
              <w:rPr>
                <w:rFonts w:ascii="Times New Roman" w:hAnsi="Times New Roman"/>
                <w:color w:val="000000"/>
                <w:spacing w:val="-2"/>
              </w:rPr>
              <w:t xml:space="preserve"> </w:t>
            </w:r>
          </w:p>
        </w:tc>
        <w:tc>
          <w:tcPr>
            <w:tcW w:w="3012" w:type="dxa"/>
            <w:gridSpan w:val="7"/>
            <w:shd w:val="clear" w:color="auto" w:fill="auto"/>
          </w:tcPr>
          <w:p w14:paraId="6DA30E1D" w14:textId="77777777" w:rsidR="00866079" w:rsidRPr="00B37C80" w:rsidRDefault="00866079" w:rsidP="00A17084">
            <w:pPr>
              <w:spacing w:line="240" w:lineRule="auto"/>
              <w:rPr>
                <w:rFonts w:ascii="Times New Roman" w:hAnsi="Times New Roman"/>
                <w:color w:val="000000"/>
                <w:spacing w:val="-2"/>
              </w:rPr>
            </w:pPr>
            <w:r w:rsidRPr="0049726D">
              <w:rPr>
                <w:rFonts w:ascii="Times New Roman" w:hAnsi="Times New Roman"/>
                <w:color w:val="000000"/>
                <w:spacing w:val="-2"/>
              </w:rPr>
              <w:t>1</w:t>
            </w:r>
          </w:p>
        </w:tc>
        <w:tc>
          <w:tcPr>
            <w:tcW w:w="3989" w:type="dxa"/>
            <w:gridSpan w:val="13"/>
            <w:shd w:val="clear" w:color="auto" w:fill="auto"/>
          </w:tcPr>
          <w:p w14:paraId="088CCD35" w14:textId="3394EF4F" w:rsidR="00866079" w:rsidRDefault="00866079" w:rsidP="00A17084">
            <w:pPr>
              <w:spacing w:line="240" w:lineRule="auto"/>
              <w:rPr>
                <w:rFonts w:ascii="Times New Roman" w:hAnsi="Times New Roman"/>
                <w:color w:val="000000"/>
                <w:spacing w:val="-2"/>
              </w:rPr>
            </w:pPr>
            <w:r>
              <w:rPr>
                <w:rFonts w:ascii="Times New Roman" w:hAnsi="Times New Roman"/>
                <w:color w:val="000000"/>
                <w:spacing w:val="-2"/>
              </w:rPr>
              <w:t>-</w:t>
            </w:r>
          </w:p>
        </w:tc>
        <w:tc>
          <w:tcPr>
            <w:tcW w:w="2150" w:type="dxa"/>
            <w:gridSpan w:val="4"/>
            <w:shd w:val="clear" w:color="auto" w:fill="auto"/>
          </w:tcPr>
          <w:p w14:paraId="671C7171" w14:textId="55BB942C" w:rsidR="00866079" w:rsidRPr="00B37C80" w:rsidRDefault="00E509D3" w:rsidP="007C6C9D">
            <w:pPr>
              <w:spacing w:line="240" w:lineRule="auto"/>
              <w:rPr>
                <w:rFonts w:ascii="Times New Roman" w:hAnsi="Times New Roman"/>
                <w:color w:val="000000"/>
                <w:spacing w:val="-2"/>
              </w:rPr>
            </w:pPr>
            <w:r>
              <w:rPr>
                <w:rFonts w:ascii="Times New Roman" w:hAnsi="Times New Roman"/>
                <w:color w:val="000000" w:themeColor="text1"/>
              </w:rPr>
              <w:t>sprawowanie</w:t>
            </w:r>
            <w:r w:rsidR="40E6FFD9" w:rsidRPr="40B71A84">
              <w:rPr>
                <w:rFonts w:ascii="Times New Roman" w:hAnsi="Times New Roman"/>
                <w:color w:val="000000" w:themeColor="text1"/>
              </w:rPr>
              <w:t xml:space="preserve"> nadz</w:t>
            </w:r>
            <w:r>
              <w:rPr>
                <w:rFonts w:ascii="Times New Roman" w:hAnsi="Times New Roman"/>
                <w:color w:val="000000" w:themeColor="text1"/>
              </w:rPr>
              <w:t xml:space="preserve">oru </w:t>
            </w:r>
            <w:r w:rsidR="40E6FFD9" w:rsidRPr="40B71A84">
              <w:rPr>
                <w:rFonts w:ascii="Times New Roman" w:hAnsi="Times New Roman"/>
                <w:color w:val="000000" w:themeColor="text1"/>
              </w:rPr>
              <w:t xml:space="preserve">nad wykonywaniem zadań przez </w:t>
            </w:r>
            <w:r w:rsidR="00CD3EBD" w:rsidRPr="007C6C9D">
              <w:rPr>
                <w:rFonts w:ascii="Times New Roman" w:hAnsi="Times New Roman"/>
                <w:color w:val="000000" w:themeColor="text1"/>
              </w:rPr>
              <w:t>Operatora funduszu</w:t>
            </w:r>
            <w:r w:rsidR="00866079" w:rsidRPr="007C6C9D">
              <w:rPr>
                <w:rFonts w:ascii="Times New Roman" w:hAnsi="Times New Roman"/>
                <w:color w:val="000000"/>
                <w:spacing w:val="-2"/>
              </w:rPr>
              <w:t xml:space="preserve">; </w:t>
            </w:r>
            <w:r w:rsidRPr="007C6C9D">
              <w:rPr>
                <w:rFonts w:ascii="Times New Roman" w:hAnsi="Times New Roman"/>
                <w:color w:val="000000"/>
                <w:spacing w:val="-2"/>
              </w:rPr>
              <w:t xml:space="preserve">wydawanie decyzji </w:t>
            </w:r>
            <w:r w:rsidR="007C6C9D" w:rsidRPr="007C6C9D">
              <w:rPr>
                <w:rFonts w:ascii="Times New Roman" w:hAnsi="Times New Roman"/>
              </w:rPr>
              <w:t>w zakresie wstrzymania wydania uprawnień do emisji instalacji, w której zawieszono działalnoś</w:t>
            </w:r>
            <w:r w:rsidR="007C6C9D" w:rsidRPr="00FC0118">
              <w:t>ć</w:t>
            </w:r>
          </w:p>
        </w:tc>
      </w:tr>
      <w:tr w:rsidR="00866079" w:rsidRPr="008B4FE6" w14:paraId="6A5BBB0E" w14:textId="77777777" w:rsidTr="00767DD0">
        <w:trPr>
          <w:trHeight w:val="142"/>
        </w:trPr>
        <w:tc>
          <w:tcPr>
            <w:tcW w:w="1935" w:type="dxa"/>
            <w:gridSpan w:val="3"/>
            <w:shd w:val="clear" w:color="auto" w:fill="auto"/>
          </w:tcPr>
          <w:p w14:paraId="2A3ABAE6" w14:textId="77777777" w:rsidR="00866079" w:rsidRPr="008B4FE6" w:rsidRDefault="00866079" w:rsidP="00A17084">
            <w:pPr>
              <w:spacing w:line="240" w:lineRule="auto"/>
              <w:rPr>
                <w:rFonts w:ascii="Times New Roman" w:hAnsi="Times New Roman"/>
                <w:color w:val="000000"/>
              </w:rPr>
            </w:pPr>
            <w:r>
              <w:rPr>
                <w:rFonts w:ascii="Times New Roman" w:hAnsi="Times New Roman"/>
                <w:color w:val="000000"/>
                <w:spacing w:val="-2"/>
              </w:rPr>
              <w:t>Narodowy Fundusz</w:t>
            </w:r>
            <w:r w:rsidRPr="00C47989">
              <w:rPr>
                <w:rFonts w:ascii="Times New Roman" w:hAnsi="Times New Roman"/>
                <w:color w:val="000000"/>
                <w:spacing w:val="-2"/>
              </w:rPr>
              <w:t xml:space="preserve"> Ochrony Środowiska i Gospodarki Wodnej</w:t>
            </w:r>
          </w:p>
        </w:tc>
        <w:tc>
          <w:tcPr>
            <w:tcW w:w="3012" w:type="dxa"/>
            <w:gridSpan w:val="7"/>
            <w:shd w:val="clear" w:color="auto" w:fill="auto"/>
          </w:tcPr>
          <w:p w14:paraId="2A20D695" w14:textId="77777777" w:rsidR="00866079" w:rsidRPr="00B37C80" w:rsidRDefault="00866079" w:rsidP="00A17084">
            <w:pPr>
              <w:spacing w:line="240" w:lineRule="auto"/>
              <w:rPr>
                <w:rFonts w:ascii="Times New Roman" w:hAnsi="Times New Roman"/>
                <w:color w:val="000000"/>
                <w:spacing w:val="-2"/>
              </w:rPr>
            </w:pPr>
            <w:r>
              <w:rPr>
                <w:rFonts w:ascii="Times New Roman" w:hAnsi="Times New Roman"/>
                <w:color w:val="000000"/>
                <w:spacing w:val="-2"/>
              </w:rPr>
              <w:t>1</w:t>
            </w:r>
          </w:p>
        </w:tc>
        <w:tc>
          <w:tcPr>
            <w:tcW w:w="3989" w:type="dxa"/>
            <w:gridSpan w:val="13"/>
            <w:shd w:val="clear" w:color="auto" w:fill="auto"/>
          </w:tcPr>
          <w:p w14:paraId="1FAF978E" w14:textId="5CBF67BC" w:rsidR="00866079" w:rsidRPr="00945F0F" w:rsidRDefault="00866079" w:rsidP="00945F0F">
            <w:pPr>
              <w:pStyle w:val="Tekstkomentarza"/>
              <w:rPr>
                <w:rFonts w:ascii="Times New Roman" w:hAnsi="Times New Roman"/>
              </w:rPr>
            </w:pPr>
            <w:r>
              <w:rPr>
                <w:rFonts w:ascii="Times New Roman" w:hAnsi="Times New Roman"/>
                <w:color w:val="000000"/>
                <w:spacing w:val="-2"/>
              </w:rPr>
              <w:t>-</w:t>
            </w:r>
          </w:p>
        </w:tc>
        <w:tc>
          <w:tcPr>
            <w:tcW w:w="2150" w:type="dxa"/>
            <w:gridSpan w:val="4"/>
            <w:shd w:val="clear" w:color="auto" w:fill="auto"/>
          </w:tcPr>
          <w:p w14:paraId="46C3A5D8" w14:textId="37FA04E2" w:rsidR="00866079" w:rsidRPr="0011663A" w:rsidRDefault="6A4C216D" w:rsidP="40B71A84">
            <w:pPr>
              <w:pStyle w:val="Tekstkomentarza"/>
              <w:spacing w:line="240" w:lineRule="auto"/>
              <w:rPr>
                <w:rFonts w:ascii="Times New Roman" w:hAnsi="Times New Roman"/>
                <w:sz w:val="22"/>
                <w:szCs w:val="22"/>
              </w:rPr>
            </w:pPr>
            <w:r w:rsidRPr="0011663A">
              <w:rPr>
                <w:rFonts w:ascii="Times New Roman" w:hAnsi="Times New Roman"/>
                <w:sz w:val="22"/>
                <w:szCs w:val="22"/>
              </w:rPr>
              <w:t>Pełnienie</w:t>
            </w:r>
            <w:r w:rsidR="6F72CEA8" w:rsidRPr="0011663A">
              <w:rPr>
                <w:rFonts w:ascii="Times New Roman" w:hAnsi="Times New Roman"/>
                <w:sz w:val="22"/>
                <w:szCs w:val="22"/>
              </w:rPr>
              <w:t>:</w:t>
            </w:r>
          </w:p>
          <w:p w14:paraId="3C552CED" w14:textId="4FFF7F6F" w:rsidR="00866079" w:rsidRPr="0011663A" w:rsidRDefault="6F72CEA8" w:rsidP="40B71A84">
            <w:pPr>
              <w:pStyle w:val="Tekstkomentarza"/>
              <w:spacing w:line="240" w:lineRule="auto"/>
              <w:rPr>
                <w:rFonts w:ascii="Times New Roman" w:hAnsi="Times New Roman"/>
                <w:color w:val="000000" w:themeColor="text1"/>
                <w:sz w:val="22"/>
                <w:szCs w:val="22"/>
              </w:rPr>
            </w:pPr>
            <w:r w:rsidRPr="0011663A">
              <w:rPr>
                <w:rFonts w:ascii="Times New Roman" w:hAnsi="Times New Roman"/>
                <w:sz w:val="22"/>
                <w:szCs w:val="22"/>
              </w:rPr>
              <w:t>-</w:t>
            </w:r>
            <w:r w:rsidR="6A4C216D" w:rsidRPr="0011663A">
              <w:rPr>
                <w:rFonts w:ascii="Times New Roman" w:hAnsi="Times New Roman"/>
                <w:sz w:val="22"/>
                <w:szCs w:val="22"/>
              </w:rPr>
              <w:t xml:space="preserve"> roli</w:t>
            </w:r>
            <w:r w:rsidR="7478591E" w:rsidRPr="0011663A">
              <w:rPr>
                <w:rFonts w:ascii="Times New Roman" w:hAnsi="Times New Roman"/>
                <w:sz w:val="22"/>
                <w:szCs w:val="22"/>
              </w:rPr>
              <w:t xml:space="preserve"> </w:t>
            </w:r>
            <w:r w:rsidR="00AB0F1D">
              <w:rPr>
                <w:rFonts w:ascii="Times New Roman" w:hAnsi="Times New Roman"/>
                <w:sz w:val="22"/>
                <w:szCs w:val="22"/>
              </w:rPr>
              <w:t xml:space="preserve">Operatora </w:t>
            </w:r>
            <w:r w:rsidR="00E509D3">
              <w:rPr>
                <w:rFonts w:ascii="Times New Roman" w:hAnsi="Times New Roman"/>
                <w:sz w:val="22"/>
                <w:szCs w:val="22"/>
              </w:rPr>
              <w:t>F</w:t>
            </w:r>
            <w:r w:rsidR="6A4C216D" w:rsidRPr="0011663A">
              <w:rPr>
                <w:rFonts w:ascii="Times New Roman" w:hAnsi="Times New Roman"/>
                <w:sz w:val="22"/>
                <w:szCs w:val="22"/>
              </w:rPr>
              <w:t xml:space="preserve">unduszu Modernizacyjnego i udzielanie dofinansowania </w:t>
            </w:r>
            <w:r w:rsidR="5BE2C0F1" w:rsidRPr="0011663A">
              <w:rPr>
                <w:rFonts w:ascii="Times New Roman" w:hAnsi="Times New Roman"/>
                <w:sz w:val="22"/>
                <w:szCs w:val="22"/>
              </w:rPr>
              <w:t>na realizację projektów ze środków uzyskanych z Funduszu Modernizacyjnego</w:t>
            </w:r>
            <w:r w:rsidR="0C0BCDB5" w:rsidRPr="0011663A">
              <w:rPr>
                <w:rFonts w:ascii="Times New Roman" w:hAnsi="Times New Roman"/>
                <w:sz w:val="22"/>
                <w:szCs w:val="22"/>
              </w:rPr>
              <w:t>;</w:t>
            </w:r>
          </w:p>
          <w:p w14:paraId="7C576440" w14:textId="115262E2" w:rsidR="00866079" w:rsidRPr="0011663A" w:rsidRDefault="0C0BCDB5">
            <w:pPr>
              <w:pStyle w:val="Tekstkomentarza"/>
              <w:spacing w:line="240" w:lineRule="auto"/>
              <w:rPr>
                <w:rFonts w:ascii="Times New Roman" w:hAnsi="Times New Roman"/>
                <w:color w:val="000000" w:themeColor="text1"/>
                <w:sz w:val="22"/>
                <w:szCs w:val="22"/>
              </w:rPr>
            </w:pPr>
            <w:r w:rsidRPr="0011663A">
              <w:rPr>
                <w:rFonts w:ascii="Times New Roman" w:hAnsi="Times New Roman"/>
                <w:sz w:val="22"/>
                <w:szCs w:val="22"/>
              </w:rPr>
              <w:t xml:space="preserve">- </w:t>
            </w:r>
            <w:r w:rsidRPr="40B71A84">
              <w:rPr>
                <w:rFonts w:ascii="Times New Roman" w:hAnsi="Times New Roman"/>
                <w:sz w:val="22"/>
                <w:szCs w:val="22"/>
              </w:rPr>
              <w:t>roli podmiotu wdrażającego środki finansowe Unii Europejskiej metodą zarządzania pośredniego;</w:t>
            </w:r>
          </w:p>
          <w:p w14:paraId="4EBE01E6" w14:textId="357DDBA6" w:rsidR="00866079" w:rsidRPr="0011663A" w:rsidRDefault="0C0BCDB5">
            <w:pPr>
              <w:pStyle w:val="Tekstkomentarza"/>
              <w:spacing w:line="240" w:lineRule="auto"/>
              <w:rPr>
                <w:rFonts w:ascii="Times New Roman" w:hAnsi="Times New Roman"/>
                <w:color w:val="000000"/>
                <w:spacing w:val="-2"/>
                <w:sz w:val="22"/>
                <w:szCs w:val="22"/>
              </w:rPr>
            </w:pPr>
            <w:r w:rsidRPr="0011663A">
              <w:rPr>
                <w:rFonts w:ascii="Times New Roman" w:hAnsi="Times New Roman"/>
                <w:sz w:val="22"/>
                <w:szCs w:val="22"/>
              </w:rPr>
              <w:t xml:space="preserve">- </w:t>
            </w:r>
            <w:r w:rsidRPr="40B71A84">
              <w:rPr>
                <w:rFonts w:ascii="Times New Roman" w:hAnsi="Times New Roman"/>
                <w:sz w:val="22"/>
                <w:szCs w:val="22"/>
              </w:rPr>
              <w:t>funkcji wykonawczej, zarządzającej lub wspomagającej przy międzynarodowej organizacji, instytucji, programie lub funduszu, zapewniających funkcjonowanie mechanizmów finansowych służących realizacji celów Konwencji Klimatycznej</w:t>
            </w:r>
            <w:r w:rsidR="00866079" w:rsidRPr="0011663A">
              <w:rPr>
                <w:rFonts w:ascii="Times New Roman" w:hAnsi="Times New Roman"/>
                <w:sz w:val="22"/>
                <w:szCs w:val="22"/>
              </w:rPr>
              <w:t>.</w:t>
            </w:r>
            <w:r w:rsidR="00866079" w:rsidRPr="0011663A">
              <w:rPr>
                <w:rFonts w:ascii="Times New Roman" w:hAnsi="Times New Roman"/>
                <w:color w:val="000000"/>
                <w:spacing w:val="-2"/>
                <w:sz w:val="22"/>
                <w:szCs w:val="22"/>
              </w:rPr>
              <w:t xml:space="preserve"> </w:t>
            </w:r>
          </w:p>
        </w:tc>
      </w:tr>
      <w:tr w:rsidR="00866079" w:rsidRPr="008B4FE6" w14:paraId="63A4FA36" w14:textId="77777777" w:rsidTr="00767DD0">
        <w:trPr>
          <w:trHeight w:val="142"/>
        </w:trPr>
        <w:tc>
          <w:tcPr>
            <w:tcW w:w="1935" w:type="dxa"/>
            <w:gridSpan w:val="3"/>
            <w:shd w:val="clear" w:color="auto" w:fill="auto"/>
          </w:tcPr>
          <w:p w14:paraId="5C23F481" w14:textId="77777777" w:rsidR="00866079" w:rsidRDefault="00866079" w:rsidP="00A17084">
            <w:pPr>
              <w:spacing w:line="240" w:lineRule="auto"/>
              <w:rPr>
                <w:rFonts w:ascii="Times New Roman" w:hAnsi="Times New Roman"/>
                <w:color w:val="000000"/>
                <w:spacing w:val="-2"/>
              </w:rPr>
            </w:pPr>
            <w:r>
              <w:rPr>
                <w:rFonts w:ascii="Times New Roman" w:hAnsi="Times New Roman"/>
                <w:color w:val="000000"/>
                <w:spacing w:val="-2"/>
              </w:rPr>
              <w:t xml:space="preserve">Instytut Ochrony Środowiska Państwowy Instytut Badawczy - </w:t>
            </w:r>
          </w:p>
          <w:p w14:paraId="6A67F2B2" w14:textId="77777777" w:rsidR="00866079" w:rsidRPr="008B4FE6" w:rsidRDefault="00866079" w:rsidP="00A17084">
            <w:pPr>
              <w:spacing w:line="240" w:lineRule="auto"/>
              <w:rPr>
                <w:rFonts w:ascii="Times New Roman" w:hAnsi="Times New Roman"/>
                <w:color w:val="000000"/>
              </w:rPr>
            </w:pPr>
            <w:r>
              <w:rPr>
                <w:rFonts w:ascii="Times New Roman" w:hAnsi="Times New Roman"/>
                <w:color w:val="000000"/>
                <w:spacing w:val="-2"/>
              </w:rPr>
              <w:t>Krajowy Ośrodek Bilansowania i Zarządzania Emisjami.</w:t>
            </w:r>
          </w:p>
        </w:tc>
        <w:tc>
          <w:tcPr>
            <w:tcW w:w="3012" w:type="dxa"/>
            <w:gridSpan w:val="7"/>
            <w:shd w:val="clear" w:color="auto" w:fill="auto"/>
          </w:tcPr>
          <w:p w14:paraId="30D67DD7" w14:textId="77777777" w:rsidR="00866079" w:rsidRPr="00B37C80" w:rsidRDefault="00866079" w:rsidP="00A17084">
            <w:pPr>
              <w:spacing w:line="240" w:lineRule="auto"/>
              <w:rPr>
                <w:rFonts w:ascii="Times New Roman" w:hAnsi="Times New Roman"/>
                <w:color w:val="000000"/>
                <w:spacing w:val="-2"/>
              </w:rPr>
            </w:pPr>
            <w:r w:rsidRPr="0049726D">
              <w:rPr>
                <w:rFonts w:ascii="Times New Roman" w:hAnsi="Times New Roman"/>
                <w:color w:val="000000"/>
                <w:spacing w:val="-2"/>
              </w:rPr>
              <w:t>1</w:t>
            </w:r>
          </w:p>
        </w:tc>
        <w:tc>
          <w:tcPr>
            <w:tcW w:w="3989" w:type="dxa"/>
            <w:gridSpan w:val="13"/>
            <w:shd w:val="clear" w:color="auto" w:fill="auto"/>
          </w:tcPr>
          <w:p w14:paraId="30B3D673" w14:textId="290F9622" w:rsidR="00866079" w:rsidRDefault="00866079" w:rsidP="00A17084">
            <w:pPr>
              <w:spacing w:line="240" w:lineRule="auto"/>
              <w:rPr>
                <w:rFonts w:ascii="Times New Roman" w:hAnsi="Times New Roman"/>
                <w:color w:val="000000"/>
                <w:spacing w:val="-2"/>
              </w:rPr>
            </w:pPr>
            <w:r>
              <w:rPr>
                <w:rFonts w:ascii="Times New Roman" w:hAnsi="Times New Roman"/>
                <w:color w:val="000000"/>
                <w:spacing w:val="-2"/>
              </w:rPr>
              <w:t>-</w:t>
            </w:r>
          </w:p>
        </w:tc>
        <w:tc>
          <w:tcPr>
            <w:tcW w:w="2150" w:type="dxa"/>
            <w:gridSpan w:val="4"/>
            <w:shd w:val="clear" w:color="auto" w:fill="auto"/>
          </w:tcPr>
          <w:p w14:paraId="2176BFB3" w14:textId="31D1B361" w:rsidR="00866079" w:rsidRPr="00B37C80" w:rsidRDefault="00866079" w:rsidP="00D523F8">
            <w:pPr>
              <w:spacing w:line="240" w:lineRule="auto"/>
              <w:rPr>
                <w:rFonts w:ascii="Times New Roman" w:hAnsi="Times New Roman"/>
                <w:color w:val="000000"/>
                <w:spacing w:val="-2"/>
              </w:rPr>
            </w:pPr>
            <w:r>
              <w:rPr>
                <w:rFonts w:ascii="Times New Roman" w:hAnsi="Times New Roman"/>
                <w:color w:val="000000"/>
                <w:spacing w:val="-2"/>
              </w:rPr>
              <w:t xml:space="preserve">Doprecyzowanie przesłanek wezwania podmiotu składającego wniosek o przydział bezpłatnych uprawnień do usunięcia braków lub uchybień; ocena informacji o wystąpieniu przesłanek o potrzebie dostosowania liczby </w:t>
            </w:r>
            <w:r>
              <w:rPr>
                <w:rFonts w:ascii="Times New Roman" w:hAnsi="Times New Roman"/>
                <w:color w:val="000000"/>
                <w:spacing w:val="-2"/>
              </w:rPr>
              <w:lastRenderedPageBreak/>
              <w:t xml:space="preserve">uprawnień i przekazanie jej ministrowi właściwemu do spraw </w:t>
            </w:r>
            <w:r w:rsidR="00D523F8">
              <w:rPr>
                <w:rFonts w:ascii="Times New Roman" w:hAnsi="Times New Roman"/>
                <w:color w:val="000000"/>
                <w:spacing w:val="-2"/>
              </w:rPr>
              <w:t>klimatu</w:t>
            </w:r>
          </w:p>
        </w:tc>
      </w:tr>
      <w:tr w:rsidR="00866079" w:rsidRPr="008B4FE6" w14:paraId="37C4C808" w14:textId="77777777" w:rsidTr="00767DD0">
        <w:trPr>
          <w:trHeight w:val="142"/>
        </w:trPr>
        <w:tc>
          <w:tcPr>
            <w:tcW w:w="1935" w:type="dxa"/>
            <w:gridSpan w:val="3"/>
            <w:shd w:val="clear" w:color="auto" w:fill="auto"/>
          </w:tcPr>
          <w:p w14:paraId="4B1FCEB2" w14:textId="77777777" w:rsidR="00866079" w:rsidRPr="008B4FE6" w:rsidRDefault="00866079" w:rsidP="00A17084">
            <w:pPr>
              <w:spacing w:line="240" w:lineRule="auto"/>
              <w:rPr>
                <w:rFonts w:ascii="Times New Roman" w:hAnsi="Times New Roman"/>
                <w:color w:val="000000"/>
                <w:spacing w:val="-2"/>
              </w:rPr>
            </w:pPr>
            <w:r>
              <w:rPr>
                <w:rFonts w:ascii="Times New Roman" w:hAnsi="Times New Roman"/>
                <w:color w:val="000000"/>
                <w:spacing w:val="-2"/>
              </w:rPr>
              <w:lastRenderedPageBreak/>
              <w:t>Organy</w:t>
            </w:r>
            <w:r w:rsidRPr="000E71B9">
              <w:rPr>
                <w:rFonts w:ascii="Times New Roman" w:hAnsi="Times New Roman"/>
                <w:color w:val="000000"/>
                <w:spacing w:val="-2"/>
              </w:rPr>
              <w:t xml:space="preserve"> administracji publicznej właściwe</w:t>
            </w:r>
            <w:r>
              <w:rPr>
                <w:rFonts w:ascii="Times New Roman" w:hAnsi="Times New Roman"/>
                <w:color w:val="000000"/>
                <w:spacing w:val="-2"/>
              </w:rPr>
              <w:t xml:space="preserve"> do wydawania </w:t>
            </w:r>
            <w:r w:rsidRPr="000E71B9">
              <w:rPr>
                <w:rFonts w:ascii="Times New Roman" w:hAnsi="Times New Roman"/>
                <w:color w:val="000000"/>
                <w:spacing w:val="-2"/>
              </w:rPr>
              <w:t>zezwole</w:t>
            </w:r>
            <w:r>
              <w:rPr>
                <w:rFonts w:ascii="Times New Roman" w:hAnsi="Times New Roman"/>
                <w:color w:val="000000"/>
                <w:spacing w:val="-2"/>
              </w:rPr>
              <w:t>ń</w:t>
            </w:r>
            <w:r w:rsidRPr="000E71B9">
              <w:rPr>
                <w:rFonts w:ascii="Times New Roman" w:hAnsi="Times New Roman"/>
                <w:color w:val="000000"/>
                <w:spacing w:val="-2"/>
              </w:rPr>
              <w:t xml:space="preserve"> na emisję gazów cieplarnianych</w:t>
            </w:r>
          </w:p>
        </w:tc>
        <w:tc>
          <w:tcPr>
            <w:tcW w:w="3012" w:type="dxa"/>
            <w:gridSpan w:val="7"/>
            <w:shd w:val="clear" w:color="auto" w:fill="auto"/>
          </w:tcPr>
          <w:p w14:paraId="1E495DC7" w14:textId="77777777" w:rsidR="00866079" w:rsidRPr="00761F75" w:rsidRDefault="00866079" w:rsidP="00A17084">
            <w:pPr>
              <w:spacing w:line="240" w:lineRule="auto"/>
              <w:rPr>
                <w:rFonts w:ascii="Times New Roman" w:hAnsi="Times New Roman"/>
                <w:color w:val="000000"/>
                <w:spacing w:val="-2"/>
              </w:rPr>
            </w:pPr>
            <w:r w:rsidRPr="00761F75">
              <w:rPr>
                <w:rFonts w:ascii="Times New Roman" w:hAnsi="Times New Roman"/>
                <w:color w:val="000000"/>
                <w:spacing w:val="-2"/>
              </w:rPr>
              <w:t>16 marszałków województw</w:t>
            </w:r>
            <w:r>
              <w:rPr>
                <w:rFonts w:ascii="Times New Roman" w:hAnsi="Times New Roman"/>
                <w:color w:val="000000"/>
                <w:spacing w:val="-2"/>
              </w:rPr>
              <w:t>,</w:t>
            </w:r>
          </w:p>
          <w:p w14:paraId="7F9F7055" w14:textId="77777777" w:rsidR="00866079" w:rsidRPr="00B37C80" w:rsidRDefault="00866079" w:rsidP="00A17084">
            <w:pPr>
              <w:spacing w:line="240" w:lineRule="auto"/>
              <w:rPr>
                <w:rFonts w:ascii="Times New Roman" w:hAnsi="Times New Roman"/>
                <w:color w:val="000000"/>
                <w:spacing w:val="-2"/>
              </w:rPr>
            </w:pPr>
            <w:r>
              <w:rPr>
                <w:rFonts w:ascii="Times New Roman" w:hAnsi="Times New Roman"/>
                <w:color w:val="000000"/>
                <w:spacing w:val="-2"/>
              </w:rPr>
              <w:t>314 starostów</w:t>
            </w:r>
            <w:r w:rsidRPr="00761F75">
              <w:rPr>
                <w:rFonts w:ascii="Times New Roman" w:hAnsi="Times New Roman"/>
                <w:color w:val="000000"/>
                <w:spacing w:val="-2"/>
              </w:rPr>
              <w:t xml:space="preserve">, </w:t>
            </w:r>
            <w:r>
              <w:rPr>
                <w:rFonts w:ascii="Times New Roman" w:hAnsi="Times New Roman"/>
                <w:color w:val="000000"/>
                <w:spacing w:val="-2"/>
              </w:rPr>
              <w:t>66 prezydentów</w:t>
            </w:r>
            <w:r w:rsidRPr="00761F75">
              <w:rPr>
                <w:rFonts w:ascii="Times New Roman" w:hAnsi="Times New Roman"/>
                <w:color w:val="000000"/>
                <w:spacing w:val="-2"/>
              </w:rPr>
              <w:t xml:space="preserve"> miast na prawach powiatu</w:t>
            </w:r>
          </w:p>
        </w:tc>
        <w:tc>
          <w:tcPr>
            <w:tcW w:w="3989" w:type="dxa"/>
            <w:gridSpan w:val="13"/>
            <w:shd w:val="clear" w:color="auto" w:fill="auto"/>
          </w:tcPr>
          <w:p w14:paraId="13D21A94" w14:textId="168A3FFB" w:rsidR="00866079" w:rsidRDefault="00866079" w:rsidP="00A17084">
            <w:pPr>
              <w:spacing w:line="240" w:lineRule="auto"/>
              <w:rPr>
                <w:rFonts w:ascii="Times New Roman" w:hAnsi="Times New Roman"/>
                <w:color w:val="000000"/>
                <w:spacing w:val="-2"/>
              </w:rPr>
            </w:pPr>
            <w:r>
              <w:rPr>
                <w:rFonts w:ascii="Times New Roman" w:hAnsi="Times New Roman"/>
                <w:color w:val="000000"/>
                <w:spacing w:val="-2"/>
              </w:rPr>
              <w:t>Główny Urząd Statystyczny</w:t>
            </w:r>
          </w:p>
        </w:tc>
        <w:tc>
          <w:tcPr>
            <w:tcW w:w="2150" w:type="dxa"/>
            <w:gridSpan w:val="4"/>
            <w:shd w:val="clear" w:color="auto" w:fill="auto"/>
          </w:tcPr>
          <w:p w14:paraId="404525B8" w14:textId="42974A5C" w:rsidR="00866079" w:rsidRPr="00B37C80" w:rsidRDefault="00866079" w:rsidP="00DF08E4">
            <w:pPr>
              <w:spacing w:line="240" w:lineRule="auto"/>
              <w:rPr>
                <w:rFonts w:ascii="Times New Roman" w:hAnsi="Times New Roman"/>
                <w:color w:val="000000"/>
                <w:spacing w:val="-2"/>
              </w:rPr>
            </w:pPr>
            <w:r>
              <w:rPr>
                <w:rFonts w:ascii="Times New Roman" w:hAnsi="Times New Roman"/>
                <w:color w:val="000000"/>
                <w:spacing w:val="-2"/>
              </w:rPr>
              <w:t xml:space="preserve">Zniesienie obowiązku dokonywania regularnych analiz zezwoleń na emisję gazów </w:t>
            </w:r>
          </w:p>
        </w:tc>
      </w:tr>
      <w:tr w:rsidR="00866079" w:rsidRPr="008B4FE6" w14:paraId="4A2443E0" w14:textId="77777777" w:rsidTr="0F366C62">
        <w:trPr>
          <w:trHeight w:val="302"/>
        </w:trPr>
        <w:tc>
          <w:tcPr>
            <w:tcW w:w="11086" w:type="dxa"/>
            <w:gridSpan w:val="27"/>
            <w:shd w:val="clear" w:color="auto" w:fill="99CCFF"/>
          </w:tcPr>
          <w:p w14:paraId="133A99A0" w14:textId="7E526A51" w:rsidR="00866079" w:rsidRPr="008B4FE6" w:rsidRDefault="00866079" w:rsidP="00A17084">
            <w:pPr>
              <w:numPr>
                <w:ilvl w:val="0"/>
                <w:numId w:val="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866079" w:rsidRPr="008B4FE6" w14:paraId="1C26A7B9" w14:textId="77777777" w:rsidTr="0F366C62">
        <w:trPr>
          <w:trHeight w:val="342"/>
        </w:trPr>
        <w:tc>
          <w:tcPr>
            <w:tcW w:w="11086" w:type="dxa"/>
            <w:gridSpan w:val="27"/>
            <w:shd w:val="clear" w:color="auto" w:fill="FFFFFF" w:themeFill="background1"/>
          </w:tcPr>
          <w:p w14:paraId="6C4CBD6B" w14:textId="49E61507" w:rsidR="00866079" w:rsidRDefault="00866079" w:rsidP="00296124">
            <w:pPr>
              <w:suppressAutoHyphens/>
              <w:autoSpaceDE w:val="0"/>
              <w:autoSpaceDN w:val="0"/>
              <w:adjustRightInd w:val="0"/>
              <w:jc w:val="both"/>
              <w:rPr>
                <w:rFonts w:ascii="Times New Roman" w:eastAsia="Times New Roman" w:hAnsi="Times New Roman"/>
                <w:bCs/>
                <w:szCs w:val="20"/>
                <w:lang w:eastAsia="pl-PL"/>
              </w:rPr>
            </w:pPr>
            <w:r w:rsidRPr="003024F9">
              <w:rPr>
                <w:rFonts w:ascii="Times New Roman" w:hAnsi="Times New Roman"/>
              </w:rPr>
              <w:t xml:space="preserve">Projekt </w:t>
            </w:r>
            <w:r>
              <w:rPr>
                <w:rFonts w:ascii="Times New Roman" w:hAnsi="Times New Roman"/>
              </w:rPr>
              <w:t xml:space="preserve">ustawy nie był przedmiotem pre-konsultacji. </w:t>
            </w:r>
            <w:r>
              <w:rPr>
                <w:rFonts w:ascii="Times New Roman" w:eastAsia="Times New Roman" w:hAnsi="Times New Roman"/>
                <w:bCs/>
                <w:szCs w:val="20"/>
                <w:lang w:eastAsia="pl-PL"/>
              </w:rPr>
              <w:t>Projekt będzie przedmiotem uzgodnień, konsultacji publicznych i opiniowania.</w:t>
            </w:r>
          </w:p>
          <w:p w14:paraId="570B91EE" w14:textId="5394E450" w:rsidR="00866079" w:rsidRPr="00553928" w:rsidRDefault="00866079" w:rsidP="00A17084">
            <w:pPr>
              <w:suppressAutoHyphens/>
              <w:autoSpaceDE w:val="0"/>
              <w:autoSpaceDN w:val="0"/>
              <w:adjustRightInd w:val="0"/>
              <w:spacing w:before="240"/>
              <w:jc w:val="both"/>
              <w:rPr>
                <w:rFonts w:ascii="Times New Roman" w:eastAsia="Times New Roman" w:hAnsi="Times New Roman"/>
                <w:bCs/>
                <w:szCs w:val="20"/>
                <w:lang w:eastAsia="pl-PL"/>
              </w:rPr>
            </w:pPr>
            <w:r w:rsidRPr="00553928">
              <w:rPr>
                <w:rFonts w:ascii="Times New Roman" w:eastAsia="Times New Roman" w:hAnsi="Times New Roman"/>
                <w:bCs/>
                <w:szCs w:val="20"/>
                <w:lang w:eastAsia="pl-PL"/>
              </w:rPr>
              <w:t>Projekt ustawy zosta</w:t>
            </w:r>
            <w:r>
              <w:rPr>
                <w:rFonts w:ascii="Times New Roman" w:eastAsia="Times New Roman" w:hAnsi="Times New Roman"/>
                <w:bCs/>
                <w:szCs w:val="20"/>
                <w:lang w:eastAsia="pl-PL"/>
              </w:rPr>
              <w:t>nie</w:t>
            </w:r>
            <w:r w:rsidRPr="00553928">
              <w:rPr>
                <w:rFonts w:ascii="Times New Roman" w:eastAsia="Times New Roman" w:hAnsi="Times New Roman"/>
                <w:bCs/>
                <w:szCs w:val="20"/>
                <w:lang w:eastAsia="pl-PL"/>
              </w:rPr>
              <w:t xml:space="preserve"> przesłany do konsultacji publicznych</w:t>
            </w:r>
            <w:r>
              <w:rPr>
                <w:rFonts w:ascii="Times New Roman" w:eastAsia="Times New Roman" w:hAnsi="Times New Roman"/>
                <w:bCs/>
                <w:szCs w:val="20"/>
                <w:lang w:eastAsia="pl-PL"/>
              </w:rPr>
              <w:t xml:space="preserve">, które potrwają </w:t>
            </w:r>
            <w:r w:rsidR="00A57371">
              <w:rPr>
                <w:rFonts w:ascii="Times New Roman" w:eastAsia="Times New Roman" w:hAnsi="Times New Roman"/>
                <w:bCs/>
                <w:szCs w:val="20"/>
                <w:lang w:eastAsia="pl-PL"/>
              </w:rPr>
              <w:t>14</w:t>
            </w:r>
            <w:r>
              <w:rPr>
                <w:rFonts w:ascii="Times New Roman" w:eastAsia="Times New Roman" w:hAnsi="Times New Roman"/>
                <w:bCs/>
                <w:szCs w:val="20"/>
                <w:lang w:eastAsia="pl-PL"/>
              </w:rPr>
              <w:t xml:space="preserve"> dni,</w:t>
            </w:r>
            <w:r w:rsidRPr="00553928">
              <w:rPr>
                <w:rFonts w:ascii="Times New Roman" w:eastAsia="Times New Roman" w:hAnsi="Times New Roman"/>
                <w:bCs/>
                <w:szCs w:val="20"/>
                <w:lang w:eastAsia="pl-PL"/>
              </w:rPr>
              <w:t xml:space="preserve"> do następujących podmiotów:</w:t>
            </w:r>
          </w:p>
          <w:p w14:paraId="71EA2C34" w14:textId="7BE37033"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w:t>
            </w:r>
            <w:r w:rsidRPr="00553928">
              <w:rPr>
                <w:rFonts w:ascii="Times New Roman" w:hAnsi="Times New Roman"/>
                <w:spacing w:val="-2"/>
                <w:szCs w:val="20"/>
              </w:rPr>
              <w:tab/>
              <w:t xml:space="preserve">CERBUD Krajowe Zrzeszenie Producentów Materiałów </w:t>
            </w:r>
            <w:r>
              <w:rPr>
                <w:rFonts w:ascii="Times New Roman" w:hAnsi="Times New Roman"/>
                <w:spacing w:val="-2"/>
                <w:szCs w:val="20"/>
              </w:rPr>
              <w:t>Budowlanych</w:t>
            </w:r>
            <w:r w:rsidRPr="00553928">
              <w:rPr>
                <w:rFonts w:ascii="Times New Roman" w:hAnsi="Times New Roman"/>
                <w:spacing w:val="-2"/>
                <w:szCs w:val="20"/>
              </w:rPr>
              <w:t>;</w:t>
            </w:r>
          </w:p>
          <w:p w14:paraId="3FAEB170"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2.</w:t>
            </w:r>
            <w:r w:rsidRPr="00553928">
              <w:rPr>
                <w:rFonts w:ascii="Times New Roman" w:hAnsi="Times New Roman"/>
                <w:spacing w:val="-2"/>
                <w:szCs w:val="20"/>
              </w:rPr>
              <w:tab/>
              <w:t>Forum CO2 Branżowych Organizacji Gospodarczych;</w:t>
            </w:r>
          </w:p>
          <w:p w14:paraId="2BD9FAEB"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3.</w:t>
            </w:r>
            <w:r w:rsidRPr="00553928">
              <w:rPr>
                <w:rFonts w:ascii="Times New Roman" w:hAnsi="Times New Roman"/>
                <w:spacing w:val="-2"/>
                <w:szCs w:val="20"/>
              </w:rPr>
              <w:tab/>
              <w:t>Forum Odbiorców Energii Elektrycznej i Gazu;</w:t>
            </w:r>
          </w:p>
          <w:p w14:paraId="647BCC0E"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4.</w:t>
            </w:r>
            <w:r w:rsidRPr="00553928">
              <w:rPr>
                <w:rFonts w:ascii="Times New Roman" w:hAnsi="Times New Roman"/>
                <w:spacing w:val="-2"/>
                <w:szCs w:val="20"/>
              </w:rPr>
              <w:tab/>
              <w:t>Górnicza Izba Przemysłowo-Handlowa;</w:t>
            </w:r>
          </w:p>
          <w:p w14:paraId="7C50283F"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5.</w:t>
            </w:r>
            <w:r w:rsidRPr="00553928">
              <w:rPr>
                <w:rFonts w:ascii="Times New Roman" w:hAnsi="Times New Roman"/>
                <w:spacing w:val="-2"/>
                <w:szCs w:val="20"/>
              </w:rPr>
              <w:tab/>
              <w:t>Hutnicza Izba Przemysłowo-Handlowa;</w:t>
            </w:r>
          </w:p>
          <w:p w14:paraId="2A25000F"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6.</w:t>
            </w:r>
            <w:r w:rsidRPr="00553928">
              <w:rPr>
                <w:rFonts w:ascii="Times New Roman" w:hAnsi="Times New Roman"/>
                <w:spacing w:val="-2"/>
                <w:szCs w:val="20"/>
              </w:rPr>
              <w:tab/>
              <w:t>Izba Energetyki Przemysłowej i Odbiorców Energii;</w:t>
            </w:r>
          </w:p>
          <w:p w14:paraId="68800CFF"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7.</w:t>
            </w:r>
            <w:r w:rsidRPr="00553928">
              <w:rPr>
                <w:rFonts w:ascii="Times New Roman" w:hAnsi="Times New Roman"/>
                <w:spacing w:val="-2"/>
                <w:szCs w:val="20"/>
              </w:rPr>
              <w:tab/>
              <w:t>Izba Gospodarcza Ciepłownictwo Polskie;</w:t>
            </w:r>
          </w:p>
          <w:p w14:paraId="137F92C4" w14:textId="159BF6C3"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8.</w:t>
            </w:r>
            <w:r w:rsidRPr="00553928">
              <w:rPr>
                <w:rFonts w:ascii="Times New Roman" w:hAnsi="Times New Roman"/>
                <w:spacing w:val="-2"/>
                <w:szCs w:val="20"/>
              </w:rPr>
              <w:tab/>
              <w:t>Izba Gospodarcza Metali Nieżelaznych</w:t>
            </w:r>
            <w:r>
              <w:rPr>
                <w:rFonts w:ascii="Times New Roman" w:hAnsi="Times New Roman"/>
                <w:spacing w:val="-2"/>
                <w:szCs w:val="20"/>
              </w:rPr>
              <w:t xml:space="preserve"> i Recyklingu</w:t>
            </w:r>
            <w:r w:rsidRPr="00553928">
              <w:rPr>
                <w:rFonts w:ascii="Times New Roman" w:hAnsi="Times New Roman"/>
                <w:spacing w:val="-2"/>
                <w:szCs w:val="20"/>
              </w:rPr>
              <w:t>;</w:t>
            </w:r>
          </w:p>
          <w:p w14:paraId="202E33E9"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9.</w:t>
            </w:r>
            <w:r w:rsidRPr="00553928">
              <w:rPr>
                <w:rFonts w:ascii="Times New Roman" w:hAnsi="Times New Roman"/>
                <w:spacing w:val="-2"/>
                <w:szCs w:val="20"/>
              </w:rPr>
              <w:tab/>
              <w:t>Polska Izba Gospodarcza Przemysłu Drzewnego;</w:t>
            </w:r>
          </w:p>
          <w:p w14:paraId="278A28CB"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10.</w:t>
            </w:r>
            <w:r w:rsidRPr="00553928">
              <w:rPr>
                <w:rFonts w:ascii="Times New Roman" w:hAnsi="Times New Roman"/>
                <w:spacing w:val="-2"/>
                <w:szCs w:val="20"/>
              </w:rPr>
              <w:tab/>
              <w:t>Polska Izba Przemysłu Chemicznego;</w:t>
            </w:r>
          </w:p>
          <w:p w14:paraId="7A4BC198"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11.</w:t>
            </w:r>
            <w:r w:rsidRPr="00553928">
              <w:rPr>
                <w:rFonts w:ascii="Times New Roman" w:hAnsi="Times New Roman"/>
                <w:spacing w:val="-2"/>
                <w:szCs w:val="20"/>
              </w:rPr>
              <w:tab/>
              <w:t>Polskie Towarzystwo Elektrociepłowni Zawodowych;</w:t>
            </w:r>
          </w:p>
          <w:p w14:paraId="474ED9DB"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12.</w:t>
            </w:r>
            <w:r w:rsidRPr="00553928">
              <w:rPr>
                <w:rFonts w:ascii="Times New Roman" w:hAnsi="Times New Roman"/>
                <w:spacing w:val="-2"/>
                <w:szCs w:val="20"/>
              </w:rPr>
              <w:tab/>
              <w:t>Polski Komitet Energii Elektrycznej;</w:t>
            </w:r>
          </w:p>
          <w:p w14:paraId="3708874B"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13.</w:t>
            </w:r>
            <w:r w:rsidRPr="00553928">
              <w:rPr>
                <w:rFonts w:ascii="Times New Roman" w:hAnsi="Times New Roman"/>
                <w:spacing w:val="-2"/>
                <w:szCs w:val="20"/>
              </w:rPr>
              <w:tab/>
              <w:t>Polska Organizacja Przemysłu i Handlu Naftowego;</w:t>
            </w:r>
          </w:p>
          <w:p w14:paraId="5D3B0ED4"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14.</w:t>
            </w:r>
            <w:r w:rsidRPr="00553928">
              <w:rPr>
                <w:rFonts w:ascii="Times New Roman" w:hAnsi="Times New Roman"/>
                <w:spacing w:val="-2"/>
                <w:szCs w:val="20"/>
              </w:rPr>
              <w:tab/>
              <w:t>Stowarzyszenie Papierników Polskich;</w:t>
            </w:r>
          </w:p>
          <w:p w14:paraId="3DB4B8E7"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15.</w:t>
            </w:r>
            <w:r w:rsidRPr="00553928">
              <w:rPr>
                <w:rFonts w:ascii="Times New Roman" w:hAnsi="Times New Roman"/>
                <w:spacing w:val="-2"/>
                <w:szCs w:val="20"/>
              </w:rPr>
              <w:tab/>
              <w:t>Stowarzyszenie Producentów Płyt Drewnopochodnych w Polsce;</w:t>
            </w:r>
          </w:p>
          <w:p w14:paraId="5926403F"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16.</w:t>
            </w:r>
            <w:r w:rsidRPr="00553928">
              <w:rPr>
                <w:rFonts w:ascii="Times New Roman" w:hAnsi="Times New Roman"/>
                <w:spacing w:val="-2"/>
                <w:szCs w:val="20"/>
              </w:rPr>
              <w:tab/>
              <w:t>Stowarzyszenie Przemysłu Wapienniczego;</w:t>
            </w:r>
          </w:p>
          <w:p w14:paraId="2B7B91EC"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17.</w:t>
            </w:r>
            <w:r w:rsidRPr="00553928">
              <w:rPr>
                <w:rFonts w:ascii="Times New Roman" w:hAnsi="Times New Roman"/>
                <w:spacing w:val="-2"/>
                <w:szCs w:val="20"/>
              </w:rPr>
              <w:tab/>
              <w:t>Stowarzyszenie Producentów Cementu i Wapna;</w:t>
            </w:r>
          </w:p>
          <w:p w14:paraId="3E99C6D4"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18.</w:t>
            </w:r>
            <w:r w:rsidRPr="00553928">
              <w:rPr>
                <w:rFonts w:ascii="Times New Roman" w:hAnsi="Times New Roman"/>
                <w:spacing w:val="-2"/>
                <w:szCs w:val="20"/>
              </w:rPr>
              <w:tab/>
              <w:t>Towarzystwo Gospodarcze - Polskie Elektrownie;</w:t>
            </w:r>
          </w:p>
          <w:p w14:paraId="2C6D806B" w14:textId="77777777" w:rsidR="00866079" w:rsidRPr="00553928" w:rsidRDefault="00866079" w:rsidP="00A17084">
            <w:pPr>
              <w:jc w:val="both"/>
              <w:rPr>
                <w:rFonts w:ascii="Times New Roman" w:hAnsi="Times New Roman"/>
                <w:spacing w:val="-2"/>
                <w:szCs w:val="20"/>
              </w:rPr>
            </w:pPr>
            <w:r w:rsidRPr="00553928">
              <w:rPr>
                <w:rFonts w:ascii="Times New Roman" w:hAnsi="Times New Roman"/>
                <w:spacing w:val="-2"/>
                <w:szCs w:val="20"/>
              </w:rPr>
              <w:t>19.</w:t>
            </w:r>
            <w:r w:rsidRPr="00553928">
              <w:rPr>
                <w:rFonts w:ascii="Times New Roman" w:hAnsi="Times New Roman"/>
                <w:spacing w:val="-2"/>
                <w:szCs w:val="20"/>
              </w:rPr>
              <w:tab/>
              <w:t>Związek Producentów Cukru;</w:t>
            </w:r>
          </w:p>
          <w:p w14:paraId="7FE454B2" w14:textId="77777777" w:rsidR="00866079" w:rsidRDefault="00866079" w:rsidP="00A17084">
            <w:pPr>
              <w:jc w:val="both"/>
              <w:rPr>
                <w:rFonts w:ascii="Times New Roman" w:hAnsi="Times New Roman"/>
                <w:spacing w:val="-2"/>
                <w:szCs w:val="20"/>
              </w:rPr>
            </w:pPr>
            <w:r w:rsidRPr="00553928">
              <w:rPr>
                <w:rFonts w:ascii="Times New Roman" w:hAnsi="Times New Roman"/>
                <w:spacing w:val="-2"/>
                <w:szCs w:val="20"/>
              </w:rPr>
              <w:t>20.</w:t>
            </w:r>
            <w:r w:rsidRPr="00553928">
              <w:rPr>
                <w:rFonts w:ascii="Times New Roman" w:hAnsi="Times New Roman"/>
                <w:spacing w:val="-2"/>
                <w:szCs w:val="20"/>
              </w:rPr>
              <w:tab/>
              <w:t>Krajowa Izba Gospodarcza</w:t>
            </w:r>
            <w:r>
              <w:rPr>
                <w:rFonts w:ascii="Times New Roman" w:hAnsi="Times New Roman"/>
                <w:spacing w:val="-2"/>
                <w:szCs w:val="20"/>
              </w:rPr>
              <w:t>;</w:t>
            </w:r>
          </w:p>
          <w:p w14:paraId="352A3BCD" w14:textId="77777777" w:rsidR="00866079" w:rsidRDefault="00866079" w:rsidP="00A17084">
            <w:pPr>
              <w:jc w:val="both"/>
              <w:rPr>
                <w:rFonts w:ascii="Times New Roman" w:hAnsi="Times New Roman"/>
                <w:spacing w:val="-2"/>
                <w:szCs w:val="20"/>
              </w:rPr>
            </w:pPr>
            <w:r>
              <w:rPr>
                <w:rFonts w:ascii="Times New Roman" w:hAnsi="Times New Roman"/>
                <w:spacing w:val="-2"/>
                <w:szCs w:val="20"/>
              </w:rPr>
              <w:t>21.</w:t>
            </w:r>
            <w:r w:rsidRPr="00553928">
              <w:rPr>
                <w:rFonts w:ascii="Times New Roman" w:hAnsi="Times New Roman"/>
                <w:spacing w:val="-2"/>
                <w:szCs w:val="20"/>
              </w:rPr>
              <w:t xml:space="preserve"> </w:t>
            </w:r>
            <w:r w:rsidRPr="00553928">
              <w:rPr>
                <w:rFonts w:ascii="Times New Roman" w:hAnsi="Times New Roman"/>
                <w:spacing w:val="-2"/>
                <w:szCs w:val="20"/>
              </w:rPr>
              <w:tab/>
            </w:r>
            <w:r>
              <w:rPr>
                <w:rFonts w:ascii="Times New Roman" w:hAnsi="Times New Roman"/>
                <w:spacing w:val="-2"/>
                <w:szCs w:val="20"/>
              </w:rPr>
              <w:t>Polska Izba Biomasy;</w:t>
            </w:r>
          </w:p>
          <w:p w14:paraId="00751013" w14:textId="156CF2ED" w:rsidR="00866079" w:rsidRDefault="00866079" w:rsidP="00C80888">
            <w:pPr>
              <w:jc w:val="both"/>
              <w:rPr>
                <w:rFonts w:ascii="Times New Roman" w:hAnsi="Times New Roman"/>
                <w:spacing w:val="-2"/>
                <w:szCs w:val="20"/>
              </w:rPr>
            </w:pPr>
            <w:r>
              <w:rPr>
                <w:rFonts w:ascii="Times New Roman" w:hAnsi="Times New Roman"/>
                <w:spacing w:val="-2"/>
                <w:szCs w:val="20"/>
              </w:rPr>
              <w:t>21.</w:t>
            </w:r>
            <w:r w:rsidRPr="00553928">
              <w:rPr>
                <w:rFonts w:ascii="Times New Roman" w:hAnsi="Times New Roman"/>
                <w:spacing w:val="-2"/>
                <w:szCs w:val="20"/>
              </w:rPr>
              <w:t xml:space="preserve"> </w:t>
            </w:r>
            <w:r w:rsidRPr="00553928">
              <w:rPr>
                <w:rFonts w:ascii="Times New Roman" w:hAnsi="Times New Roman"/>
                <w:spacing w:val="-2"/>
                <w:szCs w:val="20"/>
              </w:rPr>
              <w:tab/>
            </w:r>
            <w:r>
              <w:rPr>
                <w:rFonts w:ascii="Times New Roman" w:hAnsi="Times New Roman"/>
                <w:spacing w:val="-2"/>
                <w:szCs w:val="20"/>
              </w:rPr>
              <w:t>ClientEarth Prawnicy dla Ziemi</w:t>
            </w:r>
            <w:r w:rsidR="0077731E">
              <w:rPr>
                <w:rFonts w:ascii="Times New Roman" w:hAnsi="Times New Roman"/>
                <w:spacing w:val="-2"/>
                <w:szCs w:val="20"/>
              </w:rPr>
              <w:t>;</w:t>
            </w:r>
          </w:p>
          <w:p w14:paraId="18F0ABA7" w14:textId="1DD8B828" w:rsidR="00866079" w:rsidRDefault="00866079" w:rsidP="00C80888">
            <w:pPr>
              <w:jc w:val="both"/>
              <w:rPr>
                <w:rFonts w:ascii="Times New Roman" w:hAnsi="Times New Roman"/>
                <w:spacing w:val="-2"/>
                <w:szCs w:val="20"/>
              </w:rPr>
            </w:pPr>
            <w:r>
              <w:rPr>
                <w:rFonts w:ascii="Times New Roman" w:hAnsi="Times New Roman"/>
                <w:spacing w:val="-2"/>
                <w:szCs w:val="20"/>
              </w:rPr>
              <w:t>22.</w:t>
            </w:r>
            <w:r w:rsidRPr="00553928">
              <w:rPr>
                <w:rFonts w:ascii="Times New Roman" w:hAnsi="Times New Roman"/>
                <w:spacing w:val="-2"/>
                <w:szCs w:val="20"/>
              </w:rPr>
              <w:t xml:space="preserve"> </w:t>
            </w:r>
            <w:r w:rsidRPr="00553928">
              <w:rPr>
                <w:rFonts w:ascii="Times New Roman" w:hAnsi="Times New Roman"/>
                <w:spacing w:val="-2"/>
                <w:szCs w:val="20"/>
              </w:rPr>
              <w:tab/>
            </w:r>
            <w:r>
              <w:rPr>
                <w:rFonts w:ascii="Times New Roman" w:hAnsi="Times New Roman"/>
                <w:spacing w:val="-2"/>
                <w:szCs w:val="20"/>
              </w:rPr>
              <w:t>WWF</w:t>
            </w:r>
            <w:r w:rsidR="0077731E">
              <w:rPr>
                <w:rFonts w:ascii="Times New Roman" w:hAnsi="Times New Roman"/>
                <w:spacing w:val="-2"/>
                <w:szCs w:val="20"/>
              </w:rPr>
              <w:t>.</w:t>
            </w:r>
          </w:p>
          <w:p w14:paraId="738F5D26" w14:textId="2A802FE0" w:rsidR="005928DA" w:rsidRDefault="005928DA" w:rsidP="00C80888">
            <w:pPr>
              <w:jc w:val="both"/>
              <w:rPr>
                <w:rFonts w:ascii="Times New Roman" w:hAnsi="Times New Roman"/>
                <w:spacing w:val="-2"/>
                <w:szCs w:val="20"/>
              </w:rPr>
            </w:pPr>
          </w:p>
          <w:p w14:paraId="12B97467" w14:textId="089E9052" w:rsidR="005928DA" w:rsidRDefault="005928DA" w:rsidP="00C80888">
            <w:pPr>
              <w:jc w:val="both"/>
              <w:rPr>
                <w:rFonts w:ascii="Times New Roman" w:hAnsi="Times New Roman"/>
                <w:spacing w:val="-2"/>
                <w:szCs w:val="20"/>
              </w:rPr>
            </w:pPr>
            <w:r>
              <w:rPr>
                <w:rFonts w:ascii="Times New Roman" w:hAnsi="Times New Roman"/>
                <w:spacing w:val="-2"/>
                <w:szCs w:val="20"/>
              </w:rPr>
              <w:t>Projekt zostanie przesłany w ramach procedury opiniowania do wojewódzkich funduszy ochrony środowiska i gospodarki wodnej.</w:t>
            </w:r>
          </w:p>
          <w:p w14:paraId="475AC645" w14:textId="77777777" w:rsidR="00866079" w:rsidRDefault="00866079" w:rsidP="00A17084">
            <w:pPr>
              <w:jc w:val="both"/>
              <w:rPr>
                <w:rFonts w:ascii="Times New Roman" w:hAnsi="Times New Roman"/>
                <w:spacing w:val="-2"/>
                <w:szCs w:val="20"/>
              </w:rPr>
            </w:pPr>
          </w:p>
          <w:p w14:paraId="3E07A32F" w14:textId="12CD8D55" w:rsidR="00866079" w:rsidRDefault="00866079" w:rsidP="00A17084">
            <w:pPr>
              <w:jc w:val="both"/>
              <w:rPr>
                <w:rFonts w:ascii="Times New Roman" w:hAnsi="Times New Roman"/>
                <w:szCs w:val="20"/>
              </w:rPr>
            </w:pPr>
            <w:r w:rsidRPr="00553928">
              <w:rPr>
                <w:rFonts w:ascii="Times New Roman" w:hAnsi="Times New Roman"/>
                <w:szCs w:val="20"/>
              </w:rPr>
              <w:t xml:space="preserve">Projekt ustawy </w:t>
            </w:r>
            <w:r>
              <w:rPr>
                <w:rFonts w:ascii="Times New Roman" w:hAnsi="Times New Roman"/>
                <w:szCs w:val="20"/>
              </w:rPr>
              <w:t>zostanie</w:t>
            </w:r>
            <w:r w:rsidRPr="00553928">
              <w:rPr>
                <w:rFonts w:ascii="Times New Roman" w:hAnsi="Times New Roman"/>
                <w:szCs w:val="20"/>
              </w:rPr>
              <w:t xml:space="preserve"> zamieszczony w Biuletynie Informacji Publicznej Rządowego Centrum Legislacji </w:t>
            </w:r>
            <w:r>
              <w:rPr>
                <w:rFonts w:ascii="Times New Roman" w:hAnsi="Times New Roman"/>
                <w:szCs w:val="20"/>
              </w:rPr>
              <w:br/>
            </w:r>
            <w:r w:rsidRPr="00553928">
              <w:rPr>
                <w:rFonts w:ascii="Times New Roman" w:hAnsi="Times New Roman"/>
                <w:szCs w:val="20"/>
              </w:rPr>
              <w:t xml:space="preserve">w zakładce Rządowy Proces Legislacyjny, zgodnie z art. 5 ustawy z dnia 7 lipca 2005 r. </w:t>
            </w:r>
            <w:r w:rsidRPr="00553928">
              <w:rPr>
                <w:rFonts w:ascii="Times New Roman" w:hAnsi="Times New Roman"/>
                <w:i/>
                <w:szCs w:val="20"/>
              </w:rPr>
              <w:t>o</w:t>
            </w:r>
            <w:r>
              <w:rPr>
                <w:rFonts w:ascii="Times New Roman" w:hAnsi="Times New Roman"/>
                <w:i/>
                <w:szCs w:val="20"/>
              </w:rPr>
              <w:t xml:space="preserve"> </w:t>
            </w:r>
            <w:r w:rsidRPr="00553928">
              <w:rPr>
                <w:rFonts w:ascii="Times New Roman" w:hAnsi="Times New Roman"/>
                <w:i/>
                <w:szCs w:val="20"/>
              </w:rPr>
              <w:t>działalności lobbingowej w procesie stanowienia prawa</w:t>
            </w:r>
            <w:r w:rsidRPr="00553928">
              <w:rPr>
                <w:rFonts w:ascii="Times New Roman" w:hAnsi="Times New Roman"/>
                <w:szCs w:val="20"/>
              </w:rPr>
              <w:t xml:space="preserve"> (Dz. U. </w:t>
            </w:r>
            <w:r>
              <w:rPr>
                <w:rFonts w:ascii="Times New Roman" w:hAnsi="Times New Roman"/>
                <w:szCs w:val="20"/>
              </w:rPr>
              <w:t>z 2017</w:t>
            </w:r>
            <w:r w:rsidRPr="00553928">
              <w:rPr>
                <w:rFonts w:ascii="Times New Roman" w:hAnsi="Times New Roman"/>
                <w:szCs w:val="20"/>
              </w:rPr>
              <w:t xml:space="preserve">, poz. </w:t>
            </w:r>
            <w:r>
              <w:rPr>
                <w:rFonts w:ascii="Times New Roman" w:hAnsi="Times New Roman"/>
                <w:szCs w:val="20"/>
              </w:rPr>
              <w:t>248</w:t>
            </w:r>
            <w:r w:rsidRPr="00553928">
              <w:rPr>
                <w:rFonts w:ascii="Times New Roman" w:hAnsi="Times New Roman"/>
                <w:szCs w:val="20"/>
              </w:rPr>
              <w:t>.)</w:t>
            </w:r>
            <w:r>
              <w:rPr>
                <w:rFonts w:ascii="Times New Roman" w:hAnsi="Times New Roman"/>
                <w:szCs w:val="20"/>
              </w:rPr>
              <w:t xml:space="preserve"> oraz stosownie do § </w:t>
            </w:r>
            <w:r w:rsidRPr="00F509D7">
              <w:rPr>
                <w:rFonts w:ascii="Times New Roman" w:hAnsi="Times New Roman"/>
                <w:szCs w:val="20"/>
              </w:rPr>
              <w:t>52</w:t>
            </w:r>
            <w:r>
              <w:rPr>
                <w:rFonts w:ascii="Times New Roman" w:hAnsi="Times New Roman"/>
                <w:szCs w:val="20"/>
              </w:rPr>
              <w:t xml:space="preserve"> uchwały nr 190 Rady Ministrów z dnia 29 października 2013 r. – Regulamin pracy Rady Ministrów (M. P. z 2016 r. poz. 1006, z późn. zm.).</w:t>
            </w:r>
          </w:p>
          <w:p w14:paraId="460C170B" w14:textId="256DCBD7" w:rsidR="00866079" w:rsidRDefault="00866079" w:rsidP="00A17084">
            <w:pPr>
              <w:pStyle w:val="Nagwek1"/>
              <w:jc w:val="both"/>
              <w:rPr>
                <w:rFonts w:ascii="Times New Roman" w:hAnsi="Times New Roman"/>
              </w:rPr>
            </w:pPr>
            <w:r w:rsidRPr="00792A29">
              <w:rPr>
                <w:rFonts w:ascii="Times New Roman" w:hAnsi="Times New Roman" w:cs="Times New Roman"/>
                <w:b w:val="0"/>
                <w:sz w:val="22"/>
                <w:szCs w:val="22"/>
              </w:rPr>
              <w:t>Projekt nie dotyczy spraw, o których mowa w art. 1 ustawy z dnia 24 lipca 2015 r. o</w:t>
            </w:r>
            <w:r>
              <w:rPr>
                <w:rFonts w:ascii="Times New Roman" w:hAnsi="Times New Roman" w:cs="Times New Roman"/>
                <w:b w:val="0"/>
                <w:sz w:val="22"/>
                <w:szCs w:val="22"/>
              </w:rPr>
              <w:t xml:space="preserve"> </w:t>
            </w:r>
            <w:r w:rsidRPr="00792A29">
              <w:rPr>
                <w:rFonts w:ascii="Times New Roman" w:hAnsi="Times New Roman" w:cs="Times New Roman"/>
                <w:b w:val="0"/>
                <w:sz w:val="22"/>
                <w:szCs w:val="22"/>
              </w:rPr>
              <w:t xml:space="preserve">Radzie Dialogu Społecznego </w:t>
            </w:r>
            <w:r>
              <w:rPr>
                <w:rFonts w:ascii="Times New Roman" w:hAnsi="Times New Roman" w:cs="Times New Roman"/>
                <w:b w:val="0"/>
                <w:sz w:val="22"/>
                <w:szCs w:val="22"/>
              </w:rPr>
              <w:br/>
            </w:r>
            <w:r w:rsidRPr="00792A29">
              <w:rPr>
                <w:rStyle w:val="highlight"/>
                <w:rFonts w:ascii="Times New Roman" w:hAnsi="Times New Roman" w:cs="Times New Roman"/>
                <w:b w:val="0"/>
                <w:sz w:val="22"/>
                <w:szCs w:val="22"/>
              </w:rPr>
              <w:t>i</w:t>
            </w:r>
            <w:bookmarkStart w:id="3" w:name="highlightHit_6"/>
            <w:bookmarkEnd w:id="3"/>
            <w:r>
              <w:t xml:space="preserve"> </w:t>
            </w:r>
            <w:r w:rsidRPr="00792A29">
              <w:rPr>
                <w:rStyle w:val="highlight"/>
                <w:rFonts w:ascii="Times New Roman" w:hAnsi="Times New Roman" w:cs="Times New Roman"/>
                <w:b w:val="0"/>
                <w:sz w:val="22"/>
                <w:szCs w:val="22"/>
              </w:rPr>
              <w:t>innych</w:t>
            </w:r>
            <w:r w:rsidRPr="00792A29">
              <w:rPr>
                <w:rFonts w:ascii="Times New Roman" w:hAnsi="Times New Roman" w:cs="Times New Roman"/>
                <w:b w:val="0"/>
                <w:sz w:val="22"/>
                <w:szCs w:val="22"/>
              </w:rPr>
              <w:t xml:space="preserve"> </w:t>
            </w:r>
            <w:bookmarkStart w:id="4" w:name="highlightHit_7"/>
            <w:bookmarkEnd w:id="4"/>
            <w:r w:rsidRPr="00792A29">
              <w:rPr>
                <w:rStyle w:val="highlight"/>
                <w:rFonts w:ascii="Times New Roman" w:hAnsi="Times New Roman" w:cs="Times New Roman"/>
                <w:b w:val="0"/>
                <w:sz w:val="22"/>
                <w:szCs w:val="22"/>
              </w:rPr>
              <w:t>instytucjach</w:t>
            </w:r>
            <w:r w:rsidRPr="00792A29">
              <w:rPr>
                <w:rFonts w:ascii="Times New Roman" w:hAnsi="Times New Roman" w:cs="Times New Roman"/>
                <w:b w:val="0"/>
                <w:sz w:val="22"/>
                <w:szCs w:val="22"/>
              </w:rPr>
              <w:t xml:space="preserve"> dialogu społecznego </w:t>
            </w:r>
            <w:r w:rsidRPr="00320348">
              <w:rPr>
                <w:rFonts w:ascii="Times New Roman" w:hAnsi="Times New Roman" w:cs="Times New Roman"/>
                <w:b w:val="0"/>
                <w:sz w:val="22"/>
                <w:szCs w:val="22"/>
              </w:rPr>
              <w:t>(Dz. U. z 2018 r. poz. 2232</w:t>
            </w:r>
            <w:r w:rsidR="00AB52C9">
              <w:rPr>
                <w:rFonts w:ascii="Times New Roman" w:hAnsi="Times New Roman" w:cs="Times New Roman"/>
                <w:b w:val="0"/>
                <w:sz w:val="22"/>
                <w:szCs w:val="22"/>
              </w:rPr>
              <w:t xml:space="preserve"> </w:t>
            </w:r>
            <w:r w:rsidR="00AB52C9" w:rsidRPr="00AB52C9">
              <w:rPr>
                <w:rFonts w:ascii="Times New Roman" w:hAnsi="Times New Roman" w:cs="Times New Roman"/>
                <w:b w:val="0"/>
                <w:sz w:val="22"/>
                <w:szCs w:val="22"/>
              </w:rPr>
              <w:t>oraz z 2020 r. poz. 568</w:t>
            </w:r>
            <w:r w:rsidRPr="00320348">
              <w:rPr>
                <w:rFonts w:ascii="Times New Roman" w:hAnsi="Times New Roman" w:cs="Times New Roman"/>
                <w:b w:val="0"/>
                <w:sz w:val="22"/>
                <w:szCs w:val="22"/>
              </w:rPr>
              <w:t>).</w:t>
            </w:r>
            <w:r w:rsidRPr="00AA35A0">
              <w:rPr>
                <w:rFonts w:ascii="Times New Roman" w:hAnsi="Times New Roman"/>
              </w:rPr>
              <w:t xml:space="preserve"> </w:t>
            </w:r>
          </w:p>
          <w:p w14:paraId="0031CCC1" w14:textId="77777777" w:rsidR="00374915" w:rsidRPr="00374915" w:rsidRDefault="00374915" w:rsidP="00374915">
            <w:pPr>
              <w:rPr>
                <w:lang w:eastAsia="pl-PL"/>
              </w:rPr>
            </w:pPr>
          </w:p>
          <w:p w14:paraId="58DCDA16" w14:textId="7B6F9687" w:rsidR="00866079" w:rsidRDefault="00866079" w:rsidP="00A17084">
            <w:pPr>
              <w:jc w:val="both"/>
              <w:rPr>
                <w:rFonts w:ascii="Times New Roman" w:hAnsi="Times New Roman"/>
                <w:color w:val="000000"/>
                <w:szCs w:val="20"/>
                <w:shd w:val="clear" w:color="auto" w:fill="FFFFFF"/>
              </w:rPr>
            </w:pPr>
            <w:r w:rsidRPr="00553928">
              <w:rPr>
                <w:rFonts w:ascii="Times New Roman" w:hAnsi="Times New Roman"/>
                <w:color w:val="000000"/>
                <w:szCs w:val="20"/>
                <w:shd w:val="clear" w:color="auto" w:fill="FFFFFF"/>
              </w:rPr>
              <w:lastRenderedPageBreak/>
              <w:t>Z uwagi na zakres projektu, który nie dotyczy problematyki</w:t>
            </w:r>
            <w:r>
              <w:t xml:space="preserve"> </w:t>
            </w:r>
            <w:r w:rsidRPr="00EA7B0C">
              <w:rPr>
                <w:rFonts w:ascii="Times New Roman" w:hAnsi="Times New Roman"/>
                <w:color w:val="000000"/>
                <w:szCs w:val="20"/>
                <w:shd w:val="clear" w:color="auto" w:fill="FFFFFF"/>
              </w:rPr>
              <w:t xml:space="preserve">samorządu terytorialnego, praw i interesów </w:t>
            </w:r>
            <w:r>
              <w:rPr>
                <w:rFonts w:ascii="Times New Roman" w:hAnsi="Times New Roman"/>
                <w:color w:val="000000"/>
                <w:szCs w:val="20"/>
                <w:shd w:val="clear" w:color="auto" w:fill="FFFFFF"/>
              </w:rPr>
              <w:t xml:space="preserve">organizacji pracodawców i zadań </w:t>
            </w:r>
            <w:r w:rsidRPr="00553928">
              <w:rPr>
                <w:rFonts w:ascii="Times New Roman" w:hAnsi="Times New Roman"/>
                <w:color w:val="000000"/>
                <w:szCs w:val="20"/>
                <w:shd w:val="clear" w:color="auto" w:fill="FFFFFF"/>
              </w:rPr>
              <w:t xml:space="preserve">związków zawodowych projekt nie podlega opiniowaniu przez </w:t>
            </w:r>
            <w:r>
              <w:rPr>
                <w:rFonts w:ascii="Times New Roman" w:hAnsi="Times New Roman"/>
                <w:color w:val="000000"/>
                <w:spacing w:val="-2"/>
              </w:rPr>
              <w:t xml:space="preserve">Komisję Wspólną Rządu i Samorządu Terytorialnego, </w:t>
            </w:r>
            <w:r w:rsidRPr="00553928">
              <w:rPr>
                <w:rFonts w:ascii="Times New Roman" w:hAnsi="Times New Roman"/>
                <w:color w:val="000000"/>
                <w:szCs w:val="20"/>
                <w:shd w:val="clear" w:color="auto" w:fill="FFFFFF"/>
              </w:rPr>
              <w:t xml:space="preserve">reprezentatywne </w:t>
            </w:r>
            <w:r>
              <w:rPr>
                <w:rFonts w:ascii="Times New Roman" w:hAnsi="Times New Roman"/>
                <w:color w:val="000000"/>
                <w:szCs w:val="20"/>
                <w:shd w:val="clear" w:color="auto" w:fill="FFFFFF"/>
              </w:rPr>
              <w:t xml:space="preserve">organizacje pracodawców i reprezentatywne </w:t>
            </w:r>
            <w:r w:rsidRPr="00553928">
              <w:rPr>
                <w:rFonts w:ascii="Times New Roman" w:hAnsi="Times New Roman"/>
                <w:color w:val="000000"/>
                <w:szCs w:val="20"/>
                <w:shd w:val="clear" w:color="auto" w:fill="FFFFFF"/>
              </w:rPr>
              <w:t>związk</w:t>
            </w:r>
            <w:r>
              <w:rPr>
                <w:rFonts w:ascii="Times New Roman" w:hAnsi="Times New Roman"/>
                <w:color w:val="000000"/>
                <w:szCs w:val="20"/>
                <w:shd w:val="clear" w:color="auto" w:fill="FFFFFF"/>
              </w:rPr>
              <w:t>i</w:t>
            </w:r>
            <w:r w:rsidRPr="00553928">
              <w:rPr>
                <w:rFonts w:ascii="Times New Roman" w:hAnsi="Times New Roman"/>
                <w:color w:val="000000"/>
                <w:szCs w:val="20"/>
                <w:shd w:val="clear" w:color="auto" w:fill="FFFFFF"/>
              </w:rPr>
              <w:t xml:space="preserve"> zawodow</w:t>
            </w:r>
            <w:r>
              <w:rPr>
                <w:rFonts w:ascii="Times New Roman" w:hAnsi="Times New Roman"/>
                <w:color w:val="000000"/>
                <w:szCs w:val="20"/>
                <w:shd w:val="clear" w:color="auto" w:fill="FFFFFF"/>
              </w:rPr>
              <w:t>e</w:t>
            </w:r>
            <w:r w:rsidRPr="00553928">
              <w:rPr>
                <w:rFonts w:ascii="Times New Roman" w:hAnsi="Times New Roman"/>
                <w:color w:val="000000"/>
                <w:szCs w:val="20"/>
                <w:shd w:val="clear" w:color="auto" w:fill="FFFFFF"/>
              </w:rPr>
              <w:t>.</w:t>
            </w:r>
          </w:p>
          <w:p w14:paraId="14CF94BA" w14:textId="77777777" w:rsidR="00C06146" w:rsidRDefault="00C06146" w:rsidP="00A17084">
            <w:pPr>
              <w:jc w:val="both"/>
              <w:rPr>
                <w:rFonts w:ascii="Times New Roman" w:hAnsi="Times New Roman"/>
                <w:color w:val="000000"/>
                <w:szCs w:val="20"/>
                <w:shd w:val="clear" w:color="auto" w:fill="FFFFFF"/>
              </w:rPr>
            </w:pPr>
          </w:p>
          <w:p w14:paraId="2BA756B5" w14:textId="4D1BACD9" w:rsidR="00866079" w:rsidRDefault="00866079" w:rsidP="00A17084">
            <w:pPr>
              <w:jc w:val="both"/>
              <w:rPr>
                <w:rFonts w:ascii="Times New Roman" w:hAnsi="Times New Roman"/>
                <w:color w:val="000000"/>
                <w:szCs w:val="20"/>
                <w:shd w:val="clear" w:color="auto" w:fill="FFFFFF"/>
              </w:rPr>
            </w:pPr>
            <w:r>
              <w:rPr>
                <w:rFonts w:ascii="Times New Roman" w:hAnsi="Times New Roman"/>
                <w:color w:val="000000"/>
                <w:szCs w:val="20"/>
                <w:shd w:val="clear" w:color="auto" w:fill="FFFFFF"/>
              </w:rPr>
              <w:t xml:space="preserve">Projekt nie podlega także opiniowaniu, konsultacjom ani uzgodnieniom z organami i instytucjami Unii Europejskiej, w tym z Europejskim Bankiem Centralnym. </w:t>
            </w:r>
          </w:p>
          <w:p w14:paraId="4DB639FD" w14:textId="77777777" w:rsidR="00866079" w:rsidRDefault="00866079" w:rsidP="00A17084">
            <w:pPr>
              <w:jc w:val="both"/>
              <w:rPr>
                <w:rFonts w:ascii="Times New Roman" w:hAnsi="Times New Roman"/>
                <w:color w:val="000000"/>
                <w:szCs w:val="20"/>
                <w:shd w:val="clear" w:color="auto" w:fill="FFFFFF"/>
              </w:rPr>
            </w:pPr>
          </w:p>
          <w:p w14:paraId="62DB8FC0" w14:textId="71F04294" w:rsidR="00866079" w:rsidRPr="008B1E98" w:rsidRDefault="00866079" w:rsidP="481AF0CC">
            <w:pPr>
              <w:jc w:val="both"/>
              <w:rPr>
                <w:rFonts w:ascii="Times New Roman" w:hAnsi="Times New Roman"/>
                <w:color w:val="000000"/>
                <w:shd w:val="clear" w:color="auto" w:fill="FFFFFF"/>
              </w:rPr>
            </w:pPr>
            <w:r w:rsidRPr="481AF0CC">
              <w:rPr>
                <w:rFonts w:ascii="Times New Roman" w:hAnsi="Times New Roman"/>
                <w:color w:val="000000"/>
                <w:shd w:val="clear" w:color="auto" w:fill="FFFFFF"/>
              </w:rPr>
              <w:t>Wyniki przeprowadzonych konsultacji publicznych i opiniowania zostaną omówione w raporcie z konsultacji publicznych.</w:t>
            </w:r>
          </w:p>
        </w:tc>
      </w:tr>
      <w:tr w:rsidR="00866079" w:rsidRPr="008B4FE6" w14:paraId="3590C59A" w14:textId="77777777" w:rsidTr="0F366C62">
        <w:trPr>
          <w:trHeight w:val="363"/>
        </w:trPr>
        <w:tc>
          <w:tcPr>
            <w:tcW w:w="11086" w:type="dxa"/>
            <w:gridSpan w:val="27"/>
            <w:shd w:val="clear" w:color="auto" w:fill="99CCFF"/>
          </w:tcPr>
          <w:p w14:paraId="11FD1810" w14:textId="0DD827C0" w:rsidR="00866079" w:rsidRPr="008B4FE6" w:rsidRDefault="00866079" w:rsidP="00A17084">
            <w:pPr>
              <w:numPr>
                <w:ilvl w:val="0"/>
                <w:numId w:val="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E849D7" w:rsidRPr="00C53F26" w14:paraId="5400B48C" w14:textId="77777777" w:rsidTr="00767DD0">
        <w:trPr>
          <w:trHeight w:val="142"/>
        </w:trPr>
        <w:tc>
          <w:tcPr>
            <w:tcW w:w="1130" w:type="dxa"/>
            <w:vMerge w:val="restart"/>
            <w:shd w:val="clear" w:color="auto" w:fill="FFFFFF" w:themeFill="background1"/>
          </w:tcPr>
          <w:p w14:paraId="707A27D1" w14:textId="77777777" w:rsidR="00AF1A58" w:rsidRDefault="00AF1A58" w:rsidP="00E9732A">
            <w:pPr>
              <w:spacing w:before="40" w:after="40"/>
              <w:rPr>
                <w:rFonts w:ascii="Times New Roman" w:hAnsi="Times New Roman"/>
                <w:color w:val="000000"/>
                <w:sz w:val="18"/>
                <w:szCs w:val="18"/>
              </w:rPr>
            </w:pPr>
          </w:p>
          <w:p w14:paraId="0DF969BC" w14:textId="14564098" w:rsidR="00E849D7" w:rsidRPr="005F5EC9" w:rsidRDefault="00E849D7">
            <w:pPr>
              <w:spacing w:before="40" w:after="40"/>
              <w:rPr>
                <w:rFonts w:ascii="Times New Roman" w:hAnsi="Times New Roman"/>
                <w:i/>
                <w:color w:val="000000"/>
                <w:sz w:val="18"/>
                <w:szCs w:val="18"/>
              </w:rPr>
            </w:pPr>
            <w:r w:rsidRPr="005F5EC9">
              <w:rPr>
                <w:rFonts w:ascii="Times New Roman" w:hAnsi="Times New Roman"/>
                <w:color w:val="000000"/>
                <w:sz w:val="18"/>
                <w:szCs w:val="18"/>
              </w:rPr>
              <w:t xml:space="preserve">(ceny stałe </w:t>
            </w:r>
            <w:r w:rsidRPr="00B739CD">
              <w:rPr>
                <w:rFonts w:ascii="Times New Roman" w:hAnsi="Times New Roman"/>
                <w:color w:val="000000"/>
                <w:sz w:val="18"/>
                <w:szCs w:val="18"/>
              </w:rPr>
              <w:t xml:space="preserve">z </w:t>
            </w:r>
            <w:r>
              <w:rPr>
                <w:rFonts w:ascii="Times New Roman" w:hAnsi="Times New Roman"/>
                <w:color w:val="000000"/>
                <w:sz w:val="18"/>
                <w:szCs w:val="18"/>
              </w:rPr>
              <w:t>2019</w:t>
            </w:r>
            <w:r w:rsidRPr="00B739CD">
              <w:rPr>
                <w:rFonts w:ascii="Times New Roman" w:hAnsi="Times New Roman"/>
                <w:color w:val="000000"/>
                <w:sz w:val="18"/>
                <w:szCs w:val="18"/>
              </w:rPr>
              <w:t xml:space="preserve"> r.)</w:t>
            </w:r>
          </w:p>
        </w:tc>
        <w:tc>
          <w:tcPr>
            <w:tcW w:w="805" w:type="dxa"/>
            <w:gridSpan w:val="2"/>
            <w:shd w:val="clear" w:color="auto" w:fill="FFFFFF" w:themeFill="background1"/>
          </w:tcPr>
          <w:p w14:paraId="3459FB08" w14:textId="77777777" w:rsidR="00E849D7" w:rsidRPr="005F5EC9" w:rsidRDefault="00E849D7" w:rsidP="00007F8B">
            <w:pPr>
              <w:spacing w:before="40" w:after="40" w:line="240" w:lineRule="auto"/>
              <w:jc w:val="center"/>
              <w:rPr>
                <w:rFonts w:ascii="Times New Roman" w:hAnsi="Times New Roman"/>
                <w:color w:val="000000"/>
                <w:sz w:val="18"/>
                <w:szCs w:val="18"/>
              </w:rPr>
            </w:pPr>
          </w:p>
        </w:tc>
        <w:tc>
          <w:tcPr>
            <w:tcW w:w="9151" w:type="dxa"/>
            <w:gridSpan w:val="24"/>
            <w:shd w:val="clear" w:color="auto" w:fill="FFFFFF" w:themeFill="background1"/>
          </w:tcPr>
          <w:p w14:paraId="7B004269" w14:textId="7683F071" w:rsidR="00E849D7" w:rsidRPr="00B739CD" w:rsidRDefault="00E849D7" w:rsidP="00007F8B">
            <w:pPr>
              <w:spacing w:before="40" w:after="40" w:line="240" w:lineRule="auto"/>
              <w:jc w:val="center"/>
              <w:rPr>
                <w:rFonts w:ascii="Times New Roman" w:hAnsi="Times New Roman"/>
                <w:i/>
                <w:color w:val="000000"/>
                <w:spacing w:val="-2"/>
                <w:sz w:val="18"/>
                <w:szCs w:val="18"/>
              </w:rPr>
            </w:pPr>
            <w:r w:rsidRPr="00B739CD">
              <w:rPr>
                <w:rFonts w:ascii="Times New Roman" w:hAnsi="Times New Roman"/>
                <w:color w:val="000000"/>
                <w:sz w:val="18"/>
                <w:szCs w:val="18"/>
              </w:rPr>
              <w:t>Skutki w okresie 10 lat od wejścia w życie zmian [mln zł]</w:t>
            </w:r>
          </w:p>
        </w:tc>
      </w:tr>
      <w:tr w:rsidR="00901F36" w:rsidRPr="00C53F26" w14:paraId="7C6B5B24" w14:textId="77777777" w:rsidTr="00767DD0">
        <w:trPr>
          <w:trHeight w:val="142"/>
        </w:trPr>
        <w:tc>
          <w:tcPr>
            <w:tcW w:w="1130" w:type="dxa"/>
            <w:vMerge/>
          </w:tcPr>
          <w:p w14:paraId="3A1B492F" w14:textId="77777777" w:rsidR="002915C3" w:rsidRPr="005F5EC9" w:rsidRDefault="002915C3" w:rsidP="00B739CD">
            <w:pPr>
              <w:spacing w:before="40" w:after="40" w:line="240" w:lineRule="auto"/>
              <w:rPr>
                <w:rFonts w:ascii="Times New Roman" w:hAnsi="Times New Roman"/>
                <w:i/>
                <w:color w:val="000000"/>
                <w:sz w:val="18"/>
                <w:szCs w:val="18"/>
              </w:rPr>
            </w:pPr>
          </w:p>
        </w:tc>
        <w:tc>
          <w:tcPr>
            <w:tcW w:w="813" w:type="dxa"/>
            <w:gridSpan w:val="3"/>
            <w:shd w:val="clear" w:color="auto" w:fill="FFFFFF" w:themeFill="background1"/>
          </w:tcPr>
          <w:p w14:paraId="43D3603F"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0</w:t>
            </w:r>
          </w:p>
          <w:p w14:paraId="1F20385D"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2020</w:t>
            </w:r>
          </w:p>
        </w:tc>
        <w:tc>
          <w:tcPr>
            <w:tcW w:w="815" w:type="dxa"/>
            <w:shd w:val="clear" w:color="auto" w:fill="FFFFFF" w:themeFill="background1"/>
          </w:tcPr>
          <w:p w14:paraId="321F1BB5"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1</w:t>
            </w:r>
          </w:p>
          <w:p w14:paraId="6E76B303"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2021</w:t>
            </w:r>
          </w:p>
        </w:tc>
        <w:tc>
          <w:tcPr>
            <w:tcW w:w="815" w:type="dxa"/>
            <w:gridSpan w:val="2"/>
            <w:shd w:val="clear" w:color="auto" w:fill="FFFFFF" w:themeFill="background1"/>
          </w:tcPr>
          <w:p w14:paraId="5ABE6623"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w:t>
            </w:r>
          </w:p>
          <w:p w14:paraId="556123DB"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2022</w:t>
            </w:r>
          </w:p>
        </w:tc>
        <w:tc>
          <w:tcPr>
            <w:tcW w:w="817" w:type="dxa"/>
            <w:gridSpan w:val="2"/>
            <w:shd w:val="clear" w:color="auto" w:fill="FFFFFF" w:themeFill="background1"/>
          </w:tcPr>
          <w:p w14:paraId="0AA96BEB"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3</w:t>
            </w:r>
          </w:p>
          <w:p w14:paraId="209DC44E"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2023</w:t>
            </w:r>
          </w:p>
        </w:tc>
        <w:tc>
          <w:tcPr>
            <w:tcW w:w="815" w:type="dxa"/>
            <w:gridSpan w:val="3"/>
            <w:shd w:val="clear" w:color="auto" w:fill="FFFFFF" w:themeFill="background1"/>
          </w:tcPr>
          <w:p w14:paraId="5F80A513"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4</w:t>
            </w:r>
          </w:p>
          <w:p w14:paraId="6549A157"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2024</w:t>
            </w:r>
          </w:p>
        </w:tc>
        <w:tc>
          <w:tcPr>
            <w:tcW w:w="814" w:type="dxa"/>
            <w:gridSpan w:val="2"/>
            <w:shd w:val="clear" w:color="auto" w:fill="FFFFFF" w:themeFill="background1"/>
          </w:tcPr>
          <w:p w14:paraId="54BF85D5"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5</w:t>
            </w:r>
          </w:p>
          <w:p w14:paraId="527E268D"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2025</w:t>
            </w:r>
          </w:p>
        </w:tc>
        <w:tc>
          <w:tcPr>
            <w:tcW w:w="815" w:type="dxa"/>
            <w:gridSpan w:val="2"/>
            <w:shd w:val="clear" w:color="auto" w:fill="FFFFFF" w:themeFill="background1"/>
          </w:tcPr>
          <w:p w14:paraId="4C99D7D2"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6</w:t>
            </w:r>
          </w:p>
          <w:p w14:paraId="44F98302"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2026</w:t>
            </w:r>
          </w:p>
        </w:tc>
        <w:tc>
          <w:tcPr>
            <w:tcW w:w="815" w:type="dxa"/>
            <w:gridSpan w:val="4"/>
            <w:shd w:val="clear" w:color="auto" w:fill="FFFFFF" w:themeFill="background1"/>
          </w:tcPr>
          <w:p w14:paraId="3323B6E6"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7</w:t>
            </w:r>
          </w:p>
          <w:p w14:paraId="7C2C60DB"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2027</w:t>
            </w:r>
          </w:p>
        </w:tc>
        <w:tc>
          <w:tcPr>
            <w:tcW w:w="815" w:type="dxa"/>
            <w:shd w:val="clear" w:color="auto" w:fill="FFFFFF" w:themeFill="background1"/>
          </w:tcPr>
          <w:p w14:paraId="4D8CA074"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8</w:t>
            </w:r>
          </w:p>
          <w:p w14:paraId="26F45563"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2028</w:t>
            </w:r>
          </w:p>
        </w:tc>
        <w:tc>
          <w:tcPr>
            <w:tcW w:w="815" w:type="dxa"/>
            <w:gridSpan w:val="3"/>
            <w:shd w:val="clear" w:color="auto" w:fill="FFFFFF" w:themeFill="background1"/>
          </w:tcPr>
          <w:p w14:paraId="067C893D"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9</w:t>
            </w:r>
          </w:p>
          <w:p w14:paraId="72A9AD91" w14:textId="77777777" w:rsidR="002915C3" w:rsidRPr="00767DD0" w:rsidRDefault="002915C3" w:rsidP="00B739CD">
            <w:pPr>
              <w:spacing w:line="240" w:lineRule="auto"/>
              <w:jc w:val="center"/>
              <w:rPr>
                <w:rFonts w:ascii="Times New Roman" w:hAnsi="Times New Roman"/>
                <w:color w:val="000000"/>
                <w:sz w:val="16"/>
                <w:szCs w:val="18"/>
              </w:rPr>
            </w:pPr>
            <w:r w:rsidRPr="00767DD0">
              <w:rPr>
                <w:rFonts w:ascii="Times New Roman" w:hAnsi="Times New Roman"/>
                <w:color w:val="000000"/>
                <w:sz w:val="16"/>
                <w:szCs w:val="18"/>
              </w:rPr>
              <w:t>2029</w:t>
            </w:r>
          </w:p>
        </w:tc>
        <w:tc>
          <w:tcPr>
            <w:tcW w:w="815" w:type="dxa"/>
            <w:gridSpan w:val="2"/>
            <w:shd w:val="clear" w:color="auto" w:fill="FFFFFF" w:themeFill="background1"/>
          </w:tcPr>
          <w:p w14:paraId="3CA2396D" w14:textId="2D652E0C" w:rsidR="002915C3" w:rsidRPr="00767DD0" w:rsidRDefault="002915C3" w:rsidP="002915C3">
            <w:pPr>
              <w:spacing w:before="40" w:after="40" w:line="240" w:lineRule="auto"/>
              <w:jc w:val="center"/>
              <w:rPr>
                <w:rFonts w:ascii="Times New Roman" w:hAnsi="Times New Roman"/>
                <w:color w:val="000000"/>
                <w:spacing w:val="-2"/>
                <w:sz w:val="16"/>
                <w:szCs w:val="18"/>
              </w:rPr>
            </w:pPr>
            <w:r w:rsidRPr="00767DD0">
              <w:rPr>
                <w:rFonts w:ascii="Times New Roman" w:hAnsi="Times New Roman"/>
                <w:color w:val="000000"/>
                <w:spacing w:val="-2"/>
                <w:sz w:val="16"/>
                <w:szCs w:val="18"/>
              </w:rPr>
              <w:t>10</w:t>
            </w:r>
          </w:p>
          <w:p w14:paraId="48792639" w14:textId="3681D215" w:rsidR="002915C3" w:rsidRPr="00767DD0" w:rsidRDefault="002915C3" w:rsidP="002915C3">
            <w:pPr>
              <w:spacing w:before="40" w:after="40" w:line="240" w:lineRule="auto"/>
              <w:jc w:val="center"/>
              <w:rPr>
                <w:rFonts w:ascii="Times New Roman" w:hAnsi="Times New Roman"/>
                <w:color w:val="000000"/>
                <w:spacing w:val="-2"/>
                <w:sz w:val="16"/>
                <w:szCs w:val="18"/>
              </w:rPr>
            </w:pPr>
            <w:r w:rsidRPr="00767DD0">
              <w:rPr>
                <w:rFonts w:ascii="Times New Roman" w:hAnsi="Times New Roman"/>
                <w:color w:val="000000"/>
                <w:spacing w:val="-2"/>
                <w:sz w:val="16"/>
                <w:szCs w:val="18"/>
              </w:rPr>
              <w:t>2030</w:t>
            </w:r>
          </w:p>
        </w:tc>
        <w:tc>
          <w:tcPr>
            <w:tcW w:w="992" w:type="dxa"/>
            <w:shd w:val="clear" w:color="auto" w:fill="FFFFFF" w:themeFill="background1"/>
            <w:vAlign w:val="center"/>
          </w:tcPr>
          <w:p w14:paraId="485FD101" w14:textId="77777777" w:rsidR="002915C3" w:rsidRDefault="002915C3" w:rsidP="00B739CD">
            <w:pPr>
              <w:spacing w:before="40" w:after="40" w:line="240" w:lineRule="auto"/>
              <w:jc w:val="right"/>
              <w:rPr>
                <w:rFonts w:ascii="Times New Roman" w:hAnsi="Times New Roman"/>
                <w:i/>
                <w:color w:val="000000"/>
                <w:spacing w:val="-2"/>
                <w:sz w:val="18"/>
                <w:szCs w:val="18"/>
              </w:rPr>
            </w:pPr>
            <w:r w:rsidRPr="005F5EC9">
              <w:rPr>
                <w:rFonts w:ascii="Times New Roman" w:hAnsi="Times New Roman"/>
                <w:i/>
                <w:color w:val="000000"/>
                <w:spacing w:val="-2"/>
                <w:sz w:val="18"/>
                <w:szCs w:val="18"/>
              </w:rPr>
              <w:t>Łącznie (1-10)</w:t>
            </w:r>
          </w:p>
          <w:p w14:paraId="72748DA8" w14:textId="58D333C9" w:rsidR="00AF1A58" w:rsidRPr="005F5EC9" w:rsidRDefault="00AF1A58" w:rsidP="00B739CD">
            <w:pPr>
              <w:spacing w:before="40" w:after="40" w:line="240" w:lineRule="auto"/>
              <w:jc w:val="right"/>
              <w:rPr>
                <w:rFonts w:ascii="Times New Roman" w:hAnsi="Times New Roman"/>
                <w:i/>
                <w:color w:val="000000"/>
                <w:spacing w:val="-2"/>
                <w:sz w:val="18"/>
                <w:szCs w:val="18"/>
              </w:rPr>
            </w:pPr>
          </w:p>
        </w:tc>
      </w:tr>
      <w:tr w:rsidR="000E191B" w:rsidRPr="00C53F26" w14:paraId="043E0C3C" w14:textId="77777777" w:rsidTr="000E191B">
        <w:trPr>
          <w:trHeight w:val="142"/>
        </w:trPr>
        <w:tc>
          <w:tcPr>
            <w:tcW w:w="1130" w:type="dxa"/>
          </w:tcPr>
          <w:p w14:paraId="5A101BD5" w14:textId="4904FD08" w:rsidR="00AF1A58" w:rsidRPr="00767DD0" w:rsidRDefault="00AF1A58" w:rsidP="00AF1A58">
            <w:pPr>
              <w:spacing w:before="40" w:after="40" w:line="240" w:lineRule="auto"/>
              <w:rPr>
                <w:rFonts w:ascii="Times New Roman" w:hAnsi="Times New Roman"/>
                <w:b/>
                <w:i/>
                <w:color w:val="000000"/>
                <w:sz w:val="18"/>
                <w:szCs w:val="18"/>
              </w:rPr>
            </w:pPr>
            <w:r w:rsidRPr="00767DD0">
              <w:rPr>
                <w:b/>
                <w:sz w:val="18"/>
              </w:rPr>
              <w:t>Dochody ogółem</w:t>
            </w:r>
          </w:p>
        </w:tc>
        <w:tc>
          <w:tcPr>
            <w:tcW w:w="813" w:type="dxa"/>
            <w:gridSpan w:val="3"/>
            <w:shd w:val="clear" w:color="auto" w:fill="FFFFFF" w:themeFill="background1"/>
          </w:tcPr>
          <w:p w14:paraId="3708B14A" w14:textId="5F6C0089" w:rsidR="00AF1A58" w:rsidRPr="00767DD0" w:rsidRDefault="00AF1A58" w:rsidP="00AF1A58">
            <w:pPr>
              <w:spacing w:line="240" w:lineRule="auto"/>
              <w:jc w:val="center"/>
              <w:rPr>
                <w:rFonts w:ascii="Times New Roman" w:hAnsi="Times New Roman"/>
                <w:color w:val="000000"/>
                <w:sz w:val="16"/>
                <w:szCs w:val="18"/>
              </w:rPr>
            </w:pPr>
            <w:r w:rsidRPr="00767DD0">
              <w:rPr>
                <w:sz w:val="16"/>
              </w:rPr>
              <w:t>1,50</w:t>
            </w:r>
          </w:p>
        </w:tc>
        <w:tc>
          <w:tcPr>
            <w:tcW w:w="815" w:type="dxa"/>
            <w:shd w:val="clear" w:color="auto" w:fill="FFFFFF" w:themeFill="background1"/>
          </w:tcPr>
          <w:p w14:paraId="638647D6" w14:textId="4D5D5F6F" w:rsidR="00AF1A58" w:rsidRPr="00767DD0" w:rsidRDefault="00AF1A58" w:rsidP="00AF1A58">
            <w:pPr>
              <w:spacing w:line="240" w:lineRule="auto"/>
              <w:jc w:val="center"/>
              <w:rPr>
                <w:rFonts w:ascii="Times New Roman" w:hAnsi="Times New Roman"/>
                <w:color w:val="000000"/>
                <w:sz w:val="16"/>
                <w:szCs w:val="18"/>
              </w:rPr>
            </w:pPr>
            <w:r w:rsidRPr="00767DD0">
              <w:rPr>
                <w:sz w:val="16"/>
              </w:rPr>
              <w:t>1 588,66</w:t>
            </w:r>
          </w:p>
        </w:tc>
        <w:tc>
          <w:tcPr>
            <w:tcW w:w="815" w:type="dxa"/>
            <w:gridSpan w:val="2"/>
            <w:shd w:val="clear" w:color="auto" w:fill="FFFFFF" w:themeFill="background1"/>
          </w:tcPr>
          <w:p w14:paraId="317EC26C" w14:textId="12231319" w:rsidR="00AF1A58" w:rsidRPr="00767DD0" w:rsidRDefault="00AF1A58" w:rsidP="00AF1A58">
            <w:pPr>
              <w:spacing w:line="240" w:lineRule="auto"/>
              <w:jc w:val="center"/>
              <w:rPr>
                <w:rFonts w:ascii="Times New Roman" w:hAnsi="Times New Roman"/>
                <w:color w:val="000000"/>
                <w:sz w:val="16"/>
                <w:szCs w:val="18"/>
              </w:rPr>
            </w:pPr>
            <w:r w:rsidRPr="00767DD0">
              <w:rPr>
                <w:sz w:val="16"/>
              </w:rPr>
              <w:t>1 611,28</w:t>
            </w:r>
          </w:p>
        </w:tc>
        <w:tc>
          <w:tcPr>
            <w:tcW w:w="817" w:type="dxa"/>
            <w:gridSpan w:val="2"/>
            <w:shd w:val="clear" w:color="auto" w:fill="FFFFFF" w:themeFill="background1"/>
          </w:tcPr>
          <w:p w14:paraId="66F56F5D" w14:textId="66A05D87" w:rsidR="00AF1A58" w:rsidRPr="00767DD0" w:rsidRDefault="00AF1A58" w:rsidP="00AF1A58">
            <w:pPr>
              <w:spacing w:line="240" w:lineRule="auto"/>
              <w:jc w:val="center"/>
              <w:rPr>
                <w:rFonts w:ascii="Times New Roman" w:hAnsi="Times New Roman"/>
                <w:color w:val="000000"/>
                <w:sz w:val="16"/>
                <w:szCs w:val="18"/>
              </w:rPr>
            </w:pPr>
            <w:r w:rsidRPr="00767DD0">
              <w:rPr>
                <w:sz w:val="16"/>
              </w:rPr>
              <w:t>1 634,50</w:t>
            </w:r>
          </w:p>
        </w:tc>
        <w:tc>
          <w:tcPr>
            <w:tcW w:w="815" w:type="dxa"/>
            <w:gridSpan w:val="3"/>
            <w:shd w:val="clear" w:color="auto" w:fill="FFFFFF" w:themeFill="background1"/>
          </w:tcPr>
          <w:p w14:paraId="70BE4396" w14:textId="3130EDC5" w:rsidR="00AF1A58" w:rsidRPr="00767DD0" w:rsidRDefault="00AF1A58" w:rsidP="00AF1A58">
            <w:pPr>
              <w:spacing w:line="240" w:lineRule="auto"/>
              <w:jc w:val="center"/>
              <w:rPr>
                <w:rFonts w:ascii="Times New Roman" w:hAnsi="Times New Roman"/>
                <w:color w:val="000000"/>
                <w:sz w:val="16"/>
                <w:szCs w:val="18"/>
              </w:rPr>
            </w:pPr>
            <w:r w:rsidRPr="00767DD0">
              <w:rPr>
                <w:sz w:val="16"/>
              </w:rPr>
              <w:t>1 658,88</w:t>
            </w:r>
          </w:p>
        </w:tc>
        <w:tc>
          <w:tcPr>
            <w:tcW w:w="814" w:type="dxa"/>
            <w:gridSpan w:val="2"/>
            <w:shd w:val="clear" w:color="auto" w:fill="FFFFFF" w:themeFill="background1"/>
          </w:tcPr>
          <w:p w14:paraId="4E33B48C" w14:textId="3D1E5D5B" w:rsidR="00AF1A58" w:rsidRPr="00767DD0" w:rsidRDefault="00AF1A58" w:rsidP="00AF1A58">
            <w:pPr>
              <w:spacing w:line="240" w:lineRule="auto"/>
              <w:jc w:val="center"/>
              <w:rPr>
                <w:rFonts w:ascii="Times New Roman" w:hAnsi="Times New Roman"/>
                <w:color w:val="000000"/>
                <w:sz w:val="16"/>
                <w:szCs w:val="18"/>
              </w:rPr>
            </w:pPr>
            <w:r w:rsidRPr="00767DD0">
              <w:rPr>
                <w:sz w:val="16"/>
              </w:rPr>
              <w:t>1 683,26</w:t>
            </w:r>
          </w:p>
        </w:tc>
        <w:tc>
          <w:tcPr>
            <w:tcW w:w="815" w:type="dxa"/>
            <w:gridSpan w:val="2"/>
            <w:shd w:val="clear" w:color="auto" w:fill="FFFFFF" w:themeFill="background1"/>
          </w:tcPr>
          <w:p w14:paraId="30A23DCB" w14:textId="50F04E24" w:rsidR="00AF1A58" w:rsidRPr="00767DD0" w:rsidRDefault="00AF1A58" w:rsidP="00AF1A58">
            <w:pPr>
              <w:spacing w:line="240" w:lineRule="auto"/>
              <w:jc w:val="center"/>
              <w:rPr>
                <w:rFonts w:ascii="Times New Roman" w:hAnsi="Times New Roman"/>
                <w:color w:val="000000"/>
                <w:sz w:val="16"/>
                <w:szCs w:val="18"/>
              </w:rPr>
            </w:pPr>
            <w:r w:rsidRPr="00767DD0">
              <w:rPr>
                <w:sz w:val="16"/>
              </w:rPr>
              <w:t>1 706,36</w:t>
            </w:r>
          </w:p>
        </w:tc>
        <w:tc>
          <w:tcPr>
            <w:tcW w:w="815" w:type="dxa"/>
            <w:gridSpan w:val="4"/>
            <w:shd w:val="clear" w:color="auto" w:fill="FFFFFF" w:themeFill="background1"/>
          </w:tcPr>
          <w:p w14:paraId="5B2973E7" w14:textId="2DF28C01" w:rsidR="00AF1A58" w:rsidRPr="00767DD0" w:rsidRDefault="00AF1A58" w:rsidP="00AF1A58">
            <w:pPr>
              <w:spacing w:line="240" w:lineRule="auto"/>
              <w:jc w:val="center"/>
              <w:rPr>
                <w:rFonts w:ascii="Times New Roman" w:hAnsi="Times New Roman"/>
                <w:color w:val="000000"/>
                <w:sz w:val="16"/>
                <w:szCs w:val="18"/>
              </w:rPr>
            </w:pPr>
            <w:r w:rsidRPr="00767DD0">
              <w:rPr>
                <w:sz w:val="16"/>
              </w:rPr>
              <w:t>1 730,52</w:t>
            </w:r>
          </w:p>
        </w:tc>
        <w:tc>
          <w:tcPr>
            <w:tcW w:w="815" w:type="dxa"/>
            <w:shd w:val="clear" w:color="auto" w:fill="FFFFFF" w:themeFill="background1"/>
          </w:tcPr>
          <w:p w14:paraId="605058FB" w14:textId="4CF1BC6F" w:rsidR="00AF1A58" w:rsidRPr="00767DD0" w:rsidRDefault="00AF1A58" w:rsidP="00AF1A58">
            <w:pPr>
              <w:spacing w:line="240" w:lineRule="auto"/>
              <w:jc w:val="center"/>
              <w:rPr>
                <w:rFonts w:ascii="Times New Roman" w:hAnsi="Times New Roman"/>
                <w:color w:val="000000"/>
                <w:sz w:val="16"/>
                <w:szCs w:val="18"/>
              </w:rPr>
            </w:pPr>
            <w:r w:rsidRPr="00767DD0">
              <w:rPr>
                <w:sz w:val="16"/>
              </w:rPr>
              <w:t>1 754,60</w:t>
            </w:r>
          </w:p>
        </w:tc>
        <w:tc>
          <w:tcPr>
            <w:tcW w:w="815" w:type="dxa"/>
            <w:gridSpan w:val="3"/>
            <w:shd w:val="clear" w:color="auto" w:fill="FFFFFF" w:themeFill="background1"/>
          </w:tcPr>
          <w:p w14:paraId="05727CE3" w14:textId="70D6BF65" w:rsidR="00AF1A58" w:rsidRPr="00767DD0" w:rsidRDefault="00AF1A58" w:rsidP="00AF1A58">
            <w:pPr>
              <w:spacing w:line="240" w:lineRule="auto"/>
              <w:jc w:val="center"/>
              <w:rPr>
                <w:rFonts w:ascii="Times New Roman" w:hAnsi="Times New Roman"/>
                <w:color w:val="000000"/>
                <w:sz w:val="16"/>
                <w:szCs w:val="18"/>
              </w:rPr>
            </w:pPr>
            <w:r w:rsidRPr="00767DD0">
              <w:rPr>
                <w:sz w:val="16"/>
              </w:rPr>
              <w:t>1 778,34</w:t>
            </w:r>
          </w:p>
        </w:tc>
        <w:tc>
          <w:tcPr>
            <w:tcW w:w="815" w:type="dxa"/>
            <w:gridSpan w:val="2"/>
            <w:shd w:val="clear" w:color="auto" w:fill="FFFFFF" w:themeFill="background1"/>
          </w:tcPr>
          <w:p w14:paraId="142DD2EE" w14:textId="7979740F"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1 802,12</w:t>
            </w:r>
          </w:p>
        </w:tc>
        <w:tc>
          <w:tcPr>
            <w:tcW w:w="992" w:type="dxa"/>
            <w:shd w:val="clear" w:color="auto" w:fill="FFFFFF" w:themeFill="background1"/>
          </w:tcPr>
          <w:p w14:paraId="3D01AC5C" w14:textId="436652B8"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16 948,52</w:t>
            </w:r>
          </w:p>
        </w:tc>
      </w:tr>
      <w:tr w:rsidR="000E191B" w:rsidRPr="00AF1A58" w14:paraId="10129BF5"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472F54BA" w14:textId="47802CA4"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budżet państwa</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D237B6" w14:textId="0CD76F4A" w:rsidR="00AF1A58" w:rsidRPr="00767DD0" w:rsidRDefault="00AF1A58" w:rsidP="00AF1A58">
            <w:pPr>
              <w:spacing w:line="240" w:lineRule="auto"/>
              <w:jc w:val="center"/>
              <w:rPr>
                <w:rFonts w:ascii="Times New Roman" w:hAnsi="Times New Roman"/>
                <w:color w:val="000000"/>
                <w:sz w:val="16"/>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B040A6" w14:textId="1B3D7A94"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ACD9C6" w14:textId="209441EE"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2B66FC" w14:textId="72B209D8"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1A9450" w14:textId="3330A120"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86E78" w14:textId="6BA213A0"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2CE48" w14:textId="43D7DA82"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606E14" w14:textId="4AE690F5"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6BF1DF" w14:textId="0A53D7C8"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AD47A" w14:textId="4D89BFCA"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60558" w14:textId="388F81B3"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A7BD35" w14:textId="746F7748"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w:t>
            </w:r>
          </w:p>
        </w:tc>
      </w:tr>
      <w:tr w:rsidR="000E191B" w:rsidRPr="00AF1A58" w14:paraId="79F89F34"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34F5C9AA" w14:textId="733FFB64"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JST</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46596C" w14:textId="789C1D71"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E155D5" w14:textId="18226A78"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A69ECD" w14:textId="7B5B3F27"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6F0D2" w14:textId="7692B8E5"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F173AB" w14:textId="75CC2199"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F369F" w14:textId="3331E6E4"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0F40E3" w14:textId="1C73797E"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39171D" w14:textId="1508A740"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38746D" w14:textId="0804F8E0"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D7389C" w14:textId="41CC6CD0"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A3BE0B" w14:textId="5A772D52"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0BE9220" w14:textId="291280C0"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w:t>
            </w:r>
          </w:p>
        </w:tc>
      </w:tr>
      <w:tr w:rsidR="000E191B" w:rsidRPr="00AF1A58" w14:paraId="005FE0F8"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520075F7" w14:textId="45E2170C"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pozostałe jednostki (NFOŚiGW), w tym:</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BA6A1B" w14:textId="0D9B0446" w:rsidR="00AF1A58" w:rsidRPr="00767DD0" w:rsidRDefault="00AF1A58" w:rsidP="00AF1A58">
            <w:pPr>
              <w:spacing w:line="240" w:lineRule="auto"/>
              <w:jc w:val="center"/>
              <w:rPr>
                <w:rFonts w:ascii="Times New Roman" w:hAnsi="Times New Roman"/>
                <w:color w:val="000000"/>
                <w:sz w:val="16"/>
                <w:szCs w:val="18"/>
              </w:rPr>
            </w:pPr>
            <w:r w:rsidRPr="00767DD0">
              <w:rPr>
                <w:sz w:val="16"/>
              </w:rPr>
              <w:t>1,50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8584CB" w14:textId="0EFFADE6" w:rsidR="00AF1A58" w:rsidRPr="00767DD0" w:rsidRDefault="00AF1A58" w:rsidP="00AF1A58">
            <w:pPr>
              <w:spacing w:line="240" w:lineRule="auto"/>
              <w:jc w:val="center"/>
              <w:rPr>
                <w:rFonts w:ascii="Times New Roman" w:hAnsi="Times New Roman"/>
                <w:color w:val="000000"/>
                <w:sz w:val="16"/>
                <w:szCs w:val="18"/>
              </w:rPr>
            </w:pPr>
            <w:r w:rsidRPr="00767DD0">
              <w:rPr>
                <w:sz w:val="16"/>
              </w:rPr>
              <w:t>1 588,66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444AAB" w14:textId="01BF1A70" w:rsidR="00AF1A58" w:rsidRPr="00767DD0" w:rsidRDefault="00AF1A58" w:rsidP="00AF1A58">
            <w:pPr>
              <w:spacing w:line="240" w:lineRule="auto"/>
              <w:jc w:val="center"/>
              <w:rPr>
                <w:rFonts w:ascii="Times New Roman" w:hAnsi="Times New Roman"/>
                <w:color w:val="000000"/>
                <w:sz w:val="16"/>
                <w:szCs w:val="18"/>
              </w:rPr>
            </w:pPr>
            <w:r w:rsidRPr="00767DD0">
              <w:rPr>
                <w:sz w:val="16"/>
              </w:rPr>
              <w:t>1 611,28</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F163AE" w14:textId="1B65F1EA" w:rsidR="00AF1A58" w:rsidRPr="00767DD0" w:rsidRDefault="00AF1A58" w:rsidP="00AF1A58">
            <w:pPr>
              <w:spacing w:line="240" w:lineRule="auto"/>
              <w:jc w:val="center"/>
              <w:rPr>
                <w:rFonts w:ascii="Times New Roman" w:hAnsi="Times New Roman"/>
                <w:color w:val="000000"/>
                <w:sz w:val="16"/>
                <w:szCs w:val="18"/>
              </w:rPr>
            </w:pPr>
            <w:r w:rsidRPr="00767DD0">
              <w:rPr>
                <w:sz w:val="16"/>
              </w:rPr>
              <w:t>1 634,50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9D0B8" w14:textId="30FE4C78" w:rsidR="00AF1A58" w:rsidRPr="00767DD0" w:rsidRDefault="00AF1A58" w:rsidP="00AF1A58">
            <w:pPr>
              <w:spacing w:line="240" w:lineRule="auto"/>
              <w:jc w:val="center"/>
              <w:rPr>
                <w:rFonts w:ascii="Times New Roman" w:hAnsi="Times New Roman"/>
                <w:color w:val="000000"/>
                <w:sz w:val="16"/>
                <w:szCs w:val="18"/>
              </w:rPr>
            </w:pPr>
            <w:r w:rsidRPr="00767DD0">
              <w:rPr>
                <w:sz w:val="16"/>
              </w:rPr>
              <w:t>1 658,88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18F9C4" w14:textId="26C85363" w:rsidR="00AF1A58" w:rsidRPr="00767DD0" w:rsidRDefault="00AF1A58" w:rsidP="00AF1A58">
            <w:pPr>
              <w:spacing w:line="240" w:lineRule="auto"/>
              <w:jc w:val="center"/>
              <w:rPr>
                <w:rFonts w:ascii="Times New Roman" w:hAnsi="Times New Roman"/>
                <w:color w:val="000000"/>
                <w:sz w:val="16"/>
                <w:szCs w:val="18"/>
              </w:rPr>
            </w:pPr>
            <w:r w:rsidRPr="00767DD0">
              <w:rPr>
                <w:sz w:val="16"/>
              </w:rPr>
              <w:t>1 683,26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27C4A" w14:textId="6E33D4DA" w:rsidR="00AF1A58" w:rsidRPr="00767DD0" w:rsidRDefault="00AF1A58" w:rsidP="00AF1A58">
            <w:pPr>
              <w:spacing w:line="240" w:lineRule="auto"/>
              <w:jc w:val="center"/>
              <w:rPr>
                <w:rFonts w:ascii="Times New Roman" w:hAnsi="Times New Roman"/>
                <w:color w:val="000000"/>
                <w:sz w:val="16"/>
                <w:szCs w:val="18"/>
              </w:rPr>
            </w:pPr>
            <w:r w:rsidRPr="00767DD0">
              <w:rPr>
                <w:sz w:val="16"/>
              </w:rPr>
              <w:t>1 706,36</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D7038A" w14:textId="5579B1DF" w:rsidR="00AF1A58" w:rsidRPr="00767DD0" w:rsidRDefault="00AF1A58" w:rsidP="00AF1A58">
            <w:pPr>
              <w:spacing w:line="240" w:lineRule="auto"/>
              <w:jc w:val="center"/>
              <w:rPr>
                <w:rFonts w:ascii="Times New Roman" w:hAnsi="Times New Roman"/>
                <w:color w:val="000000"/>
                <w:sz w:val="16"/>
                <w:szCs w:val="18"/>
              </w:rPr>
            </w:pPr>
            <w:r w:rsidRPr="00767DD0">
              <w:rPr>
                <w:sz w:val="16"/>
              </w:rPr>
              <w:t>1 730,52</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FAFAB1D" w14:textId="38A98976" w:rsidR="00AF1A58" w:rsidRPr="00767DD0" w:rsidRDefault="00AF1A58" w:rsidP="00AF1A58">
            <w:pPr>
              <w:spacing w:line="240" w:lineRule="auto"/>
              <w:jc w:val="center"/>
              <w:rPr>
                <w:rFonts w:ascii="Times New Roman" w:hAnsi="Times New Roman"/>
                <w:color w:val="000000"/>
                <w:sz w:val="16"/>
                <w:szCs w:val="18"/>
              </w:rPr>
            </w:pPr>
            <w:r w:rsidRPr="00767DD0">
              <w:rPr>
                <w:sz w:val="16"/>
              </w:rPr>
              <w:t>1 754,60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443340" w14:textId="5B0B385A" w:rsidR="00AF1A58" w:rsidRPr="00767DD0" w:rsidRDefault="00AF1A58" w:rsidP="00AF1A58">
            <w:pPr>
              <w:spacing w:line="240" w:lineRule="auto"/>
              <w:jc w:val="center"/>
              <w:rPr>
                <w:rFonts w:ascii="Times New Roman" w:hAnsi="Times New Roman"/>
                <w:color w:val="000000"/>
                <w:sz w:val="16"/>
                <w:szCs w:val="18"/>
              </w:rPr>
            </w:pPr>
            <w:r w:rsidRPr="00767DD0">
              <w:rPr>
                <w:sz w:val="16"/>
              </w:rPr>
              <w:t>1 778,34</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6F158A" w14:textId="587DAF48"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1 802,12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09A0935" w14:textId="68BA4E25"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16 948,52</w:t>
            </w:r>
          </w:p>
        </w:tc>
      </w:tr>
      <w:tr w:rsidR="000E191B" w:rsidRPr="00AF1A58" w14:paraId="5E9FF86F"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79462BBC" w14:textId="46134BB1"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 xml:space="preserve">przychody z tytułu </w:t>
            </w:r>
            <w:r w:rsidR="005928DA">
              <w:rPr>
                <w:sz w:val="18"/>
              </w:rPr>
              <w:t>u</w:t>
            </w:r>
            <w:r w:rsidRPr="00767DD0">
              <w:rPr>
                <w:sz w:val="18"/>
              </w:rPr>
              <w:t>prawnień z systemu EU ETS</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08BA7F" w14:textId="28E2CE4E"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2DE74AEB" w14:textId="2011553D" w:rsidR="00AF1A58" w:rsidRPr="00767DD0" w:rsidRDefault="00AF1A58" w:rsidP="00AF1A58">
            <w:pPr>
              <w:spacing w:line="240" w:lineRule="auto"/>
              <w:jc w:val="center"/>
              <w:rPr>
                <w:rFonts w:ascii="Times New Roman" w:hAnsi="Times New Roman"/>
                <w:color w:val="000000"/>
                <w:sz w:val="16"/>
                <w:szCs w:val="18"/>
              </w:rPr>
            </w:pPr>
            <w:r w:rsidRPr="00767DD0">
              <w:rPr>
                <w:sz w:val="16"/>
              </w:rPr>
              <w:t>1 558,66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31D65D" w14:textId="53FFC2E6" w:rsidR="00AF1A58" w:rsidRPr="00767DD0" w:rsidRDefault="00AF1A58" w:rsidP="00AF1A58">
            <w:pPr>
              <w:spacing w:line="240" w:lineRule="auto"/>
              <w:jc w:val="center"/>
              <w:rPr>
                <w:rFonts w:ascii="Times New Roman" w:hAnsi="Times New Roman"/>
                <w:color w:val="000000"/>
                <w:sz w:val="16"/>
                <w:szCs w:val="18"/>
              </w:rPr>
            </w:pPr>
            <w:r w:rsidRPr="00767DD0">
              <w:rPr>
                <w:sz w:val="16"/>
              </w:rPr>
              <w:t>1 581,28</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F98215" w14:textId="15E4E52C" w:rsidR="00AF1A58" w:rsidRPr="00767DD0" w:rsidRDefault="00AF1A58" w:rsidP="00AF1A58">
            <w:pPr>
              <w:spacing w:line="240" w:lineRule="auto"/>
              <w:jc w:val="center"/>
              <w:rPr>
                <w:rFonts w:ascii="Times New Roman" w:hAnsi="Times New Roman"/>
                <w:color w:val="000000"/>
                <w:sz w:val="16"/>
                <w:szCs w:val="18"/>
              </w:rPr>
            </w:pPr>
            <w:r w:rsidRPr="00767DD0">
              <w:rPr>
                <w:sz w:val="16"/>
              </w:rPr>
              <w:t>1 604,50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00205E" w14:textId="093886E1" w:rsidR="00AF1A58" w:rsidRPr="00767DD0" w:rsidRDefault="00AF1A58" w:rsidP="00AF1A58">
            <w:pPr>
              <w:spacing w:line="240" w:lineRule="auto"/>
              <w:jc w:val="center"/>
              <w:rPr>
                <w:rFonts w:ascii="Times New Roman" w:hAnsi="Times New Roman"/>
                <w:color w:val="000000"/>
                <w:sz w:val="16"/>
                <w:szCs w:val="18"/>
              </w:rPr>
            </w:pPr>
            <w:r w:rsidRPr="00767DD0">
              <w:rPr>
                <w:sz w:val="16"/>
              </w:rPr>
              <w:t>1 628,88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E68D96" w14:textId="589B1A90" w:rsidR="00AF1A58" w:rsidRPr="00767DD0" w:rsidRDefault="00AF1A58" w:rsidP="00AF1A58">
            <w:pPr>
              <w:spacing w:line="240" w:lineRule="auto"/>
              <w:jc w:val="center"/>
              <w:rPr>
                <w:rFonts w:ascii="Times New Roman" w:hAnsi="Times New Roman"/>
                <w:color w:val="000000"/>
                <w:sz w:val="16"/>
                <w:szCs w:val="18"/>
              </w:rPr>
            </w:pPr>
            <w:r w:rsidRPr="00767DD0">
              <w:rPr>
                <w:sz w:val="16"/>
              </w:rPr>
              <w:t>1 653,26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D2B2B9" w14:textId="5156E253" w:rsidR="00AF1A58" w:rsidRPr="00767DD0" w:rsidRDefault="00AF1A58" w:rsidP="00AF1A58">
            <w:pPr>
              <w:spacing w:line="240" w:lineRule="auto"/>
              <w:jc w:val="center"/>
              <w:rPr>
                <w:rFonts w:ascii="Times New Roman" w:hAnsi="Times New Roman"/>
                <w:color w:val="000000"/>
                <w:sz w:val="16"/>
                <w:szCs w:val="18"/>
              </w:rPr>
            </w:pPr>
            <w:r w:rsidRPr="00767DD0">
              <w:rPr>
                <w:sz w:val="16"/>
              </w:rPr>
              <w:t>1 676,36</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1F272B" w14:textId="0D356618" w:rsidR="00AF1A58" w:rsidRPr="00767DD0" w:rsidRDefault="00AF1A58" w:rsidP="00AF1A58">
            <w:pPr>
              <w:spacing w:line="240" w:lineRule="auto"/>
              <w:jc w:val="center"/>
              <w:rPr>
                <w:rFonts w:ascii="Times New Roman" w:hAnsi="Times New Roman"/>
                <w:color w:val="000000"/>
                <w:sz w:val="16"/>
                <w:szCs w:val="18"/>
              </w:rPr>
            </w:pPr>
            <w:r w:rsidRPr="00767DD0">
              <w:rPr>
                <w:sz w:val="16"/>
              </w:rPr>
              <w:t>1 700,52</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E6CCB" w14:textId="549A5553" w:rsidR="00AF1A58" w:rsidRPr="00767DD0" w:rsidRDefault="00AF1A58" w:rsidP="00AF1A58">
            <w:pPr>
              <w:spacing w:line="240" w:lineRule="auto"/>
              <w:jc w:val="center"/>
              <w:rPr>
                <w:rFonts w:ascii="Times New Roman" w:hAnsi="Times New Roman"/>
                <w:color w:val="000000"/>
                <w:sz w:val="16"/>
                <w:szCs w:val="18"/>
              </w:rPr>
            </w:pPr>
            <w:r w:rsidRPr="00767DD0">
              <w:rPr>
                <w:sz w:val="16"/>
              </w:rPr>
              <w:t>1 724,60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108F38" w14:textId="3FC82A3E" w:rsidR="00AF1A58" w:rsidRPr="00767DD0" w:rsidRDefault="00AF1A58" w:rsidP="00AF1A58">
            <w:pPr>
              <w:spacing w:line="240" w:lineRule="auto"/>
              <w:jc w:val="center"/>
              <w:rPr>
                <w:rFonts w:ascii="Times New Roman" w:hAnsi="Times New Roman"/>
                <w:color w:val="000000"/>
                <w:sz w:val="16"/>
                <w:szCs w:val="18"/>
              </w:rPr>
            </w:pPr>
            <w:r w:rsidRPr="00767DD0">
              <w:rPr>
                <w:sz w:val="16"/>
              </w:rPr>
              <w:t>1 748,34</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351A0" w14:textId="7D09653C"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1 772,12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6F51C0" w14:textId="6C7DB165"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16 648,52</w:t>
            </w:r>
          </w:p>
        </w:tc>
      </w:tr>
      <w:tr w:rsidR="000E191B" w:rsidRPr="00AF1A58" w14:paraId="522FE859"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3A0A9151" w14:textId="2D0B609C"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przychody z tytułu refundacji kosztów zarządzania FM</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75A5D8" w14:textId="28861053" w:rsidR="00AF1A58" w:rsidRPr="00767DD0" w:rsidRDefault="00AF1A58" w:rsidP="00AF1A58">
            <w:pPr>
              <w:spacing w:line="240" w:lineRule="auto"/>
              <w:jc w:val="center"/>
              <w:rPr>
                <w:rFonts w:ascii="Times New Roman" w:hAnsi="Times New Roman"/>
                <w:color w:val="000000"/>
                <w:sz w:val="16"/>
                <w:szCs w:val="18"/>
              </w:rPr>
            </w:pPr>
            <w:r w:rsidRPr="00767DD0">
              <w:rPr>
                <w:sz w:val="16"/>
              </w:rPr>
              <w:t>1,5</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36682C02" w14:textId="3A2CF6DA"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6D08B7" w14:textId="6A06D399"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F432F7" w14:textId="22F07C96"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540970" w14:textId="7EE83E76"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FB1A7B" w14:textId="2EB12902"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339FDA" w14:textId="5D7EFA2E"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882664" w14:textId="6B50A959"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35AD02" w14:textId="107DB817"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3B0808" w14:textId="420C0E77"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B000BD" w14:textId="6393C957"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19005E" w14:textId="379FEDD7"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300,00</w:t>
            </w:r>
          </w:p>
        </w:tc>
      </w:tr>
      <w:tr w:rsidR="000E191B" w:rsidRPr="00AF1A58" w14:paraId="0F7ED837"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12F172C7" w14:textId="0D7425C7" w:rsidR="00AF1A58" w:rsidRPr="00767DD0" w:rsidRDefault="00AF1A58" w:rsidP="00AF1A58">
            <w:pPr>
              <w:spacing w:before="40" w:after="40" w:line="240" w:lineRule="auto"/>
              <w:rPr>
                <w:rFonts w:ascii="Times New Roman" w:hAnsi="Times New Roman"/>
                <w:b/>
                <w:i/>
                <w:color w:val="000000"/>
                <w:sz w:val="18"/>
                <w:szCs w:val="18"/>
              </w:rPr>
            </w:pPr>
            <w:r w:rsidRPr="00767DD0">
              <w:rPr>
                <w:b/>
                <w:sz w:val="18"/>
              </w:rPr>
              <w:t>Wydatki ogółem</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CD0AF7" w14:textId="3BDA0083" w:rsidR="00AF1A58" w:rsidRPr="00767DD0" w:rsidRDefault="00AF1A58" w:rsidP="00AF1A58">
            <w:pPr>
              <w:spacing w:line="240" w:lineRule="auto"/>
              <w:jc w:val="center"/>
              <w:rPr>
                <w:rFonts w:ascii="Times New Roman" w:hAnsi="Times New Roman"/>
                <w:color w:val="000000"/>
                <w:sz w:val="16"/>
                <w:szCs w:val="18"/>
              </w:rPr>
            </w:pPr>
            <w:r w:rsidRPr="00767DD0">
              <w:rPr>
                <w:sz w:val="16"/>
              </w:rPr>
              <w:t>1,50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7C2A9B4A" w14:textId="3552646D" w:rsidR="00AF1A58" w:rsidRPr="00767DD0" w:rsidRDefault="00AF1A58" w:rsidP="00AF1A58">
            <w:pPr>
              <w:spacing w:line="240" w:lineRule="auto"/>
              <w:jc w:val="center"/>
              <w:rPr>
                <w:rFonts w:ascii="Times New Roman" w:hAnsi="Times New Roman"/>
                <w:color w:val="000000"/>
                <w:sz w:val="16"/>
                <w:szCs w:val="18"/>
              </w:rPr>
            </w:pPr>
            <w:r w:rsidRPr="00767DD0">
              <w:rPr>
                <w:sz w:val="16"/>
              </w:rPr>
              <w:t>165,29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9465DD" w14:textId="34E38456" w:rsidR="00AF1A58" w:rsidRPr="00767DD0" w:rsidRDefault="00AF1A58" w:rsidP="00AF1A58">
            <w:pPr>
              <w:spacing w:line="240" w:lineRule="auto"/>
              <w:jc w:val="center"/>
              <w:rPr>
                <w:rFonts w:ascii="Times New Roman" w:hAnsi="Times New Roman"/>
                <w:color w:val="000000"/>
                <w:sz w:val="16"/>
                <w:szCs w:val="18"/>
              </w:rPr>
            </w:pPr>
            <w:r w:rsidRPr="00767DD0">
              <w:rPr>
                <w:sz w:val="16"/>
              </w:rPr>
              <w:t>1 336,99</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148C0E" w14:textId="1758AFCF" w:rsidR="00AF1A58" w:rsidRPr="00767DD0" w:rsidRDefault="00AF1A58" w:rsidP="00AF1A58">
            <w:pPr>
              <w:spacing w:line="240" w:lineRule="auto"/>
              <w:jc w:val="center"/>
              <w:rPr>
                <w:rFonts w:ascii="Times New Roman" w:hAnsi="Times New Roman"/>
                <w:color w:val="000000"/>
                <w:sz w:val="16"/>
                <w:szCs w:val="18"/>
              </w:rPr>
            </w:pPr>
            <w:r w:rsidRPr="00767DD0">
              <w:rPr>
                <w:sz w:val="16"/>
              </w:rPr>
              <w:t>1 674,14</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4DB47A" w14:textId="405D6680" w:rsidR="00AF1A58" w:rsidRPr="00767DD0" w:rsidRDefault="00AF1A58" w:rsidP="00AF1A58">
            <w:pPr>
              <w:spacing w:line="240" w:lineRule="auto"/>
              <w:jc w:val="center"/>
              <w:rPr>
                <w:rFonts w:ascii="Times New Roman" w:hAnsi="Times New Roman"/>
                <w:color w:val="000000"/>
                <w:sz w:val="16"/>
                <w:szCs w:val="18"/>
              </w:rPr>
            </w:pPr>
            <w:r w:rsidRPr="00767DD0">
              <w:rPr>
                <w:sz w:val="16"/>
              </w:rPr>
              <w:t>1 858,97</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11796D" w14:textId="5A320F38" w:rsidR="00AF1A58" w:rsidRPr="00767DD0" w:rsidRDefault="00AF1A58" w:rsidP="00AF1A58">
            <w:pPr>
              <w:spacing w:line="240" w:lineRule="auto"/>
              <w:jc w:val="center"/>
              <w:rPr>
                <w:rFonts w:ascii="Times New Roman" w:hAnsi="Times New Roman"/>
                <w:color w:val="000000"/>
                <w:sz w:val="16"/>
                <w:szCs w:val="18"/>
              </w:rPr>
            </w:pPr>
            <w:r w:rsidRPr="00767DD0">
              <w:rPr>
                <w:sz w:val="16"/>
              </w:rPr>
              <w:t>1 883,35</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BFA8D" w14:textId="4D7EC590" w:rsidR="00AF1A58" w:rsidRPr="00767DD0" w:rsidRDefault="00AF1A58" w:rsidP="00AF1A58">
            <w:pPr>
              <w:spacing w:line="240" w:lineRule="auto"/>
              <w:jc w:val="center"/>
              <w:rPr>
                <w:rFonts w:ascii="Times New Roman" w:hAnsi="Times New Roman"/>
                <w:color w:val="000000"/>
                <w:sz w:val="16"/>
                <w:szCs w:val="18"/>
              </w:rPr>
            </w:pPr>
            <w:r w:rsidRPr="00767DD0">
              <w:rPr>
                <w:sz w:val="16"/>
              </w:rPr>
              <w:t>1 874,09</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77D6A7" w14:textId="136E0693" w:rsidR="00AF1A58" w:rsidRPr="00767DD0" w:rsidRDefault="00AF1A58" w:rsidP="00AF1A58">
            <w:pPr>
              <w:spacing w:line="240" w:lineRule="auto"/>
              <w:jc w:val="center"/>
              <w:rPr>
                <w:rFonts w:ascii="Times New Roman" w:hAnsi="Times New Roman"/>
                <w:color w:val="000000"/>
                <w:sz w:val="16"/>
                <w:szCs w:val="18"/>
              </w:rPr>
            </w:pPr>
            <w:r w:rsidRPr="00767DD0">
              <w:rPr>
                <w:sz w:val="16"/>
              </w:rPr>
              <w:t>2 070,71</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E72A001" w14:textId="7EFEE008" w:rsidR="00AF1A58" w:rsidRPr="00767DD0" w:rsidRDefault="00AF1A58" w:rsidP="00AF1A58">
            <w:pPr>
              <w:spacing w:line="240" w:lineRule="auto"/>
              <w:jc w:val="center"/>
              <w:rPr>
                <w:rFonts w:ascii="Times New Roman" w:hAnsi="Times New Roman"/>
                <w:color w:val="000000"/>
                <w:sz w:val="16"/>
                <w:szCs w:val="18"/>
              </w:rPr>
            </w:pPr>
            <w:r w:rsidRPr="00767DD0">
              <w:rPr>
                <w:sz w:val="16"/>
              </w:rPr>
              <w:t>2 272,07</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713050" w14:textId="12E5A0AC" w:rsidR="00AF1A58" w:rsidRPr="00767DD0" w:rsidRDefault="00AF1A58" w:rsidP="00AF1A58">
            <w:pPr>
              <w:spacing w:line="240" w:lineRule="auto"/>
              <w:jc w:val="center"/>
              <w:rPr>
                <w:rFonts w:ascii="Times New Roman" w:hAnsi="Times New Roman"/>
                <w:color w:val="000000"/>
                <w:sz w:val="16"/>
                <w:szCs w:val="18"/>
              </w:rPr>
            </w:pPr>
            <w:r w:rsidRPr="00767DD0">
              <w:rPr>
                <w:sz w:val="16"/>
              </w:rPr>
              <w:t>2 011,60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5740C1" w14:textId="0E51B370"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1 802,21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5C2831" w14:textId="6F5D9811"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16 949,42</w:t>
            </w:r>
          </w:p>
        </w:tc>
      </w:tr>
      <w:tr w:rsidR="000E191B" w:rsidRPr="00AF1A58" w14:paraId="1A11D73A"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1039657D" w14:textId="749FAFD8"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budżet państwa</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F72609" w14:textId="2D29F26C"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7ACE89" w14:textId="3D45E3F0"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21824" w14:textId="3D464BB3"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74E3A8" w14:textId="4CD2DFE1"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4EA847" w14:textId="50E38A03"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9A9C8F" w14:textId="443275AC"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750206" w14:textId="5ED9267E"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DB858F" w14:textId="4BA695E6"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629F8F92" w14:textId="50D1887F"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53BEF7" w14:textId="116E5837"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D1C4ED" w14:textId="513AF4EB"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7C7E9B" w14:textId="5DD2CB63"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0,90</w:t>
            </w:r>
          </w:p>
        </w:tc>
      </w:tr>
      <w:tr w:rsidR="000E191B" w:rsidRPr="00AF1A58" w14:paraId="5483EDE0"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397A9A85" w14:textId="7AD18401"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JST</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86C0FA" w14:textId="52C221E8"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5F66F" w14:textId="7C9BB1BF"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EBE254" w14:textId="7BFEDEE0"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56A0D6" w14:textId="7BB92631"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64F003" w14:textId="08FB1885"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585465" w14:textId="23E85D64"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AA7C78" w14:textId="24538C36"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75C21E" w14:textId="3436C703"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57A4A70E" w14:textId="347D9E4C"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A999BA" w14:textId="522EAC24"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7B6604" w14:textId="638EB572"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C055B14" w14:textId="74D3C47B"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w:t>
            </w:r>
          </w:p>
        </w:tc>
      </w:tr>
      <w:tr w:rsidR="000E191B" w:rsidRPr="00AF1A58" w14:paraId="661C6906"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64497B85" w14:textId="7B259C5D"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pozostałe jednostki (NFOŚiGW), w tym:</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1492A7" w14:textId="6CEC9B63" w:rsidR="00AF1A58" w:rsidRPr="00767DD0" w:rsidRDefault="00AF1A58" w:rsidP="00AF1A58">
            <w:pPr>
              <w:spacing w:line="240" w:lineRule="auto"/>
              <w:jc w:val="center"/>
              <w:rPr>
                <w:rFonts w:ascii="Times New Roman" w:hAnsi="Times New Roman"/>
                <w:color w:val="000000"/>
                <w:sz w:val="16"/>
                <w:szCs w:val="18"/>
              </w:rPr>
            </w:pPr>
            <w:r w:rsidRPr="00767DD0">
              <w:rPr>
                <w:sz w:val="16"/>
              </w:rPr>
              <w:t>1,50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4AFBBE" w14:textId="4C120BB1" w:rsidR="00AF1A58" w:rsidRPr="00767DD0" w:rsidRDefault="00AF1A58" w:rsidP="00AF1A58">
            <w:pPr>
              <w:spacing w:line="240" w:lineRule="auto"/>
              <w:jc w:val="center"/>
              <w:rPr>
                <w:rFonts w:ascii="Times New Roman" w:hAnsi="Times New Roman"/>
                <w:color w:val="000000"/>
                <w:sz w:val="16"/>
                <w:szCs w:val="18"/>
              </w:rPr>
            </w:pPr>
            <w:r w:rsidRPr="00767DD0">
              <w:rPr>
                <w:sz w:val="16"/>
              </w:rPr>
              <w:t>165,20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8713A" w14:textId="6B576056" w:rsidR="00AF1A58" w:rsidRPr="00767DD0" w:rsidRDefault="00AF1A58" w:rsidP="00AF1A58">
            <w:pPr>
              <w:spacing w:line="240" w:lineRule="auto"/>
              <w:jc w:val="center"/>
              <w:rPr>
                <w:rFonts w:ascii="Times New Roman" w:hAnsi="Times New Roman"/>
                <w:color w:val="000000"/>
                <w:sz w:val="16"/>
                <w:szCs w:val="18"/>
              </w:rPr>
            </w:pPr>
            <w:r w:rsidRPr="00767DD0">
              <w:rPr>
                <w:sz w:val="16"/>
              </w:rPr>
              <w:t>1 336,90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CA9AA" w14:textId="1217B7AF" w:rsidR="00AF1A58" w:rsidRPr="00767DD0" w:rsidRDefault="00AF1A58" w:rsidP="00AF1A58">
            <w:pPr>
              <w:spacing w:line="240" w:lineRule="auto"/>
              <w:jc w:val="center"/>
              <w:rPr>
                <w:rFonts w:ascii="Times New Roman" w:hAnsi="Times New Roman"/>
                <w:color w:val="000000"/>
                <w:sz w:val="16"/>
                <w:szCs w:val="18"/>
              </w:rPr>
            </w:pPr>
            <w:r w:rsidRPr="00767DD0">
              <w:rPr>
                <w:sz w:val="16"/>
              </w:rPr>
              <w:t>1 674,05</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D5D8AB" w14:textId="32EE728B" w:rsidR="00AF1A58" w:rsidRPr="00767DD0" w:rsidRDefault="00AF1A58" w:rsidP="00AF1A58">
            <w:pPr>
              <w:spacing w:line="240" w:lineRule="auto"/>
              <w:jc w:val="center"/>
              <w:rPr>
                <w:rFonts w:ascii="Times New Roman" w:hAnsi="Times New Roman"/>
                <w:color w:val="000000"/>
                <w:sz w:val="16"/>
                <w:szCs w:val="18"/>
              </w:rPr>
            </w:pPr>
            <w:r w:rsidRPr="00767DD0">
              <w:rPr>
                <w:sz w:val="16"/>
              </w:rPr>
              <w:t>1 858,88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E5DFE6" w14:textId="00ACFA4B" w:rsidR="00AF1A58" w:rsidRPr="00767DD0" w:rsidRDefault="00AF1A58" w:rsidP="00AF1A58">
            <w:pPr>
              <w:spacing w:line="240" w:lineRule="auto"/>
              <w:jc w:val="center"/>
              <w:rPr>
                <w:rFonts w:ascii="Times New Roman" w:hAnsi="Times New Roman"/>
                <w:color w:val="000000"/>
                <w:sz w:val="16"/>
                <w:szCs w:val="18"/>
              </w:rPr>
            </w:pPr>
            <w:r w:rsidRPr="00767DD0">
              <w:rPr>
                <w:sz w:val="16"/>
              </w:rPr>
              <w:t>1 883,26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CB7B35" w14:textId="070AC0C7" w:rsidR="00AF1A58" w:rsidRPr="00767DD0" w:rsidRDefault="00AF1A58" w:rsidP="00AF1A58">
            <w:pPr>
              <w:spacing w:line="240" w:lineRule="auto"/>
              <w:jc w:val="center"/>
              <w:rPr>
                <w:rFonts w:ascii="Times New Roman" w:hAnsi="Times New Roman"/>
                <w:color w:val="000000"/>
                <w:sz w:val="16"/>
                <w:szCs w:val="18"/>
              </w:rPr>
            </w:pPr>
            <w:r w:rsidRPr="00767DD0">
              <w:rPr>
                <w:sz w:val="16"/>
              </w:rPr>
              <w:t>1 874,00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6427572" w14:textId="4292483E" w:rsidR="00AF1A58" w:rsidRPr="00767DD0" w:rsidRDefault="00AF1A58" w:rsidP="00AF1A58">
            <w:pPr>
              <w:spacing w:line="240" w:lineRule="auto"/>
              <w:jc w:val="center"/>
              <w:rPr>
                <w:rFonts w:ascii="Times New Roman" w:hAnsi="Times New Roman"/>
                <w:color w:val="000000"/>
                <w:sz w:val="16"/>
                <w:szCs w:val="18"/>
              </w:rPr>
            </w:pPr>
            <w:r w:rsidRPr="00767DD0">
              <w:rPr>
                <w:sz w:val="16"/>
              </w:rPr>
              <w:t>2 070,62</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A08469" w14:textId="00EA4F7A" w:rsidR="00AF1A58" w:rsidRPr="00767DD0" w:rsidRDefault="00AF1A58" w:rsidP="00AF1A58">
            <w:pPr>
              <w:spacing w:line="240" w:lineRule="auto"/>
              <w:jc w:val="center"/>
              <w:rPr>
                <w:rFonts w:ascii="Times New Roman" w:hAnsi="Times New Roman"/>
                <w:color w:val="000000"/>
                <w:sz w:val="16"/>
                <w:szCs w:val="18"/>
              </w:rPr>
            </w:pPr>
            <w:r w:rsidRPr="00767DD0">
              <w:rPr>
                <w:sz w:val="16"/>
              </w:rPr>
              <w:t>2 271,98</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047C80" w14:textId="37F7A821" w:rsidR="00AF1A58" w:rsidRPr="00767DD0" w:rsidRDefault="00AF1A58" w:rsidP="00AF1A58">
            <w:pPr>
              <w:spacing w:line="240" w:lineRule="auto"/>
              <w:jc w:val="center"/>
              <w:rPr>
                <w:rFonts w:ascii="Times New Roman" w:hAnsi="Times New Roman"/>
                <w:color w:val="000000"/>
                <w:sz w:val="16"/>
                <w:szCs w:val="18"/>
              </w:rPr>
            </w:pPr>
            <w:r w:rsidRPr="00767DD0">
              <w:rPr>
                <w:sz w:val="16"/>
              </w:rPr>
              <w:t>2 011,51</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8F180" w14:textId="32F9C54B"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1 802,12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C57B6A" w14:textId="3312A23E"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16 948,52</w:t>
            </w:r>
          </w:p>
        </w:tc>
      </w:tr>
      <w:tr w:rsidR="000E191B" w:rsidRPr="00AF1A58" w14:paraId="236156FF"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6AF5EB03" w14:textId="6CE6EFC0"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wydatki ze środków FM</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45B824" w14:textId="728880AC"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B62634" w14:textId="79BD4449" w:rsidR="00AF1A58" w:rsidRPr="00767DD0" w:rsidRDefault="00AF1A58" w:rsidP="00AF1A58">
            <w:pPr>
              <w:spacing w:line="240" w:lineRule="auto"/>
              <w:jc w:val="center"/>
              <w:rPr>
                <w:rFonts w:ascii="Times New Roman" w:hAnsi="Times New Roman"/>
                <w:color w:val="000000"/>
                <w:sz w:val="16"/>
                <w:szCs w:val="18"/>
              </w:rPr>
            </w:pPr>
            <w:r w:rsidRPr="00767DD0">
              <w:rPr>
                <w:sz w:val="16"/>
              </w:rPr>
              <w:t>135,20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E46CBD" w14:textId="6CF1A3D2" w:rsidR="00AF1A58" w:rsidRPr="00767DD0" w:rsidRDefault="00AF1A58" w:rsidP="00AF1A58">
            <w:pPr>
              <w:spacing w:line="240" w:lineRule="auto"/>
              <w:jc w:val="center"/>
              <w:rPr>
                <w:rFonts w:ascii="Times New Roman" w:hAnsi="Times New Roman"/>
                <w:color w:val="000000"/>
                <w:sz w:val="16"/>
                <w:szCs w:val="18"/>
              </w:rPr>
            </w:pPr>
            <w:r w:rsidRPr="00767DD0">
              <w:rPr>
                <w:sz w:val="16"/>
              </w:rPr>
              <w:t>1 306,90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2C4BF3" w14:textId="0D26A082" w:rsidR="00AF1A58" w:rsidRPr="00767DD0" w:rsidRDefault="00AF1A58" w:rsidP="00AF1A58">
            <w:pPr>
              <w:spacing w:line="240" w:lineRule="auto"/>
              <w:jc w:val="center"/>
              <w:rPr>
                <w:rFonts w:ascii="Times New Roman" w:hAnsi="Times New Roman"/>
                <w:color w:val="000000"/>
                <w:sz w:val="16"/>
                <w:szCs w:val="18"/>
              </w:rPr>
            </w:pPr>
            <w:r w:rsidRPr="00767DD0">
              <w:rPr>
                <w:sz w:val="16"/>
              </w:rPr>
              <w:t>1 644,05</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6A9971" w14:textId="1DE86063" w:rsidR="00AF1A58" w:rsidRPr="00767DD0" w:rsidRDefault="00AF1A58" w:rsidP="00AF1A58">
            <w:pPr>
              <w:spacing w:line="240" w:lineRule="auto"/>
              <w:jc w:val="center"/>
              <w:rPr>
                <w:rFonts w:ascii="Times New Roman" w:hAnsi="Times New Roman"/>
                <w:color w:val="000000"/>
                <w:sz w:val="16"/>
                <w:szCs w:val="18"/>
              </w:rPr>
            </w:pPr>
            <w:r w:rsidRPr="00767DD0">
              <w:rPr>
                <w:sz w:val="16"/>
              </w:rPr>
              <w:t>1 828,88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D811B" w14:textId="76C6828A" w:rsidR="00AF1A58" w:rsidRPr="00767DD0" w:rsidRDefault="00AF1A58" w:rsidP="00AF1A58">
            <w:pPr>
              <w:spacing w:line="240" w:lineRule="auto"/>
              <w:jc w:val="center"/>
              <w:rPr>
                <w:rFonts w:ascii="Times New Roman" w:hAnsi="Times New Roman"/>
                <w:color w:val="000000"/>
                <w:sz w:val="16"/>
                <w:szCs w:val="18"/>
              </w:rPr>
            </w:pPr>
            <w:r w:rsidRPr="00767DD0">
              <w:rPr>
                <w:sz w:val="16"/>
              </w:rPr>
              <w:t>1 853,26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9EC8CA" w14:textId="388ADA66" w:rsidR="00AF1A58" w:rsidRPr="00767DD0" w:rsidRDefault="00AF1A58" w:rsidP="00AF1A58">
            <w:pPr>
              <w:spacing w:line="240" w:lineRule="auto"/>
              <w:jc w:val="center"/>
              <w:rPr>
                <w:rFonts w:ascii="Times New Roman" w:hAnsi="Times New Roman"/>
                <w:color w:val="000000"/>
                <w:sz w:val="16"/>
                <w:szCs w:val="18"/>
              </w:rPr>
            </w:pPr>
            <w:r w:rsidRPr="00767DD0">
              <w:rPr>
                <w:sz w:val="16"/>
              </w:rPr>
              <w:t>1 844,00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89E160" w14:textId="41E9550B" w:rsidR="00AF1A58" w:rsidRPr="00767DD0" w:rsidRDefault="00AF1A58" w:rsidP="00AF1A58">
            <w:pPr>
              <w:spacing w:line="240" w:lineRule="auto"/>
              <w:jc w:val="center"/>
              <w:rPr>
                <w:rFonts w:ascii="Times New Roman" w:hAnsi="Times New Roman"/>
                <w:color w:val="000000"/>
                <w:sz w:val="16"/>
                <w:szCs w:val="18"/>
              </w:rPr>
            </w:pPr>
            <w:r w:rsidRPr="00767DD0">
              <w:rPr>
                <w:sz w:val="16"/>
              </w:rPr>
              <w:t>2 040,62</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7DA3E" w14:textId="2F70669B" w:rsidR="00AF1A58" w:rsidRPr="00767DD0" w:rsidRDefault="00AF1A58" w:rsidP="00AF1A58">
            <w:pPr>
              <w:spacing w:line="240" w:lineRule="auto"/>
              <w:jc w:val="center"/>
              <w:rPr>
                <w:rFonts w:ascii="Times New Roman" w:hAnsi="Times New Roman"/>
                <w:color w:val="000000"/>
                <w:sz w:val="16"/>
                <w:szCs w:val="18"/>
              </w:rPr>
            </w:pPr>
            <w:r w:rsidRPr="00767DD0">
              <w:rPr>
                <w:sz w:val="16"/>
              </w:rPr>
              <w:t>2 241,98</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9C6977" w14:textId="061D1976" w:rsidR="00AF1A58" w:rsidRPr="00767DD0" w:rsidRDefault="00AF1A58" w:rsidP="00AF1A58">
            <w:pPr>
              <w:spacing w:line="240" w:lineRule="auto"/>
              <w:jc w:val="center"/>
              <w:rPr>
                <w:rFonts w:ascii="Times New Roman" w:hAnsi="Times New Roman"/>
                <w:color w:val="000000"/>
                <w:sz w:val="16"/>
                <w:szCs w:val="18"/>
              </w:rPr>
            </w:pPr>
            <w:r w:rsidRPr="00767DD0">
              <w:rPr>
                <w:sz w:val="16"/>
              </w:rPr>
              <w:t>1 981,51</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6FE7B" w14:textId="25666C7B"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1 772,12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DD7F16" w14:textId="655C6F64"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16 648,52</w:t>
            </w:r>
          </w:p>
        </w:tc>
      </w:tr>
      <w:tr w:rsidR="000E191B" w:rsidRPr="00AF1A58" w14:paraId="604382F2"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68532C9B" w14:textId="262A3ED3"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 xml:space="preserve"> koszty zarządzania FM</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32A72" w14:textId="3DB8E2EB" w:rsidR="00AF1A58" w:rsidRPr="00767DD0" w:rsidRDefault="00AF1A58" w:rsidP="00AF1A58">
            <w:pPr>
              <w:spacing w:line="240" w:lineRule="auto"/>
              <w:jc w:val="center"/>
              <w:rPr>
                <w:rFonts w:ascii="Times New Roman" w:hAnsi="Times New Roman"/>
                <w:color w:val="000000"/>
                <w:sz w:val="16"/>
                <w:szCs w:val="18"/>
              </w:rPr>
            </w:pPr>
            <w:r w:rsidRPr="00767DD0">
              <w:rPr>
                <w:sz w:val="16"/>
              </w:rPr>
              <w:t>1,5</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E04614" w14:textId="78E62909"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ED7856" w14:textId="30C12C0A"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2E3384" w14:textId="7DC35984"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7B123E" w14:textId="4A4E0DA5"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778C59" w14:textId="2F6E53FA"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FF22B" w14:textId="369859EA"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0A5288" w14:textId="0DBE336A"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2A0D0F5D" w14:textId="54C70EF9"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132219" w14:textId="73963966" w:rsidR="00AF1A58" w:rsidRPr="00767DD0" w:rsidRDefault="00AF1A58" w:rsidP="00AF1A58">
            <w:pPr>
              <w:spacing w:line="240" w:lineRule="auto"/>
              <w:jc w:val="center"/>
              <w:rPr>
                <w:rFonts w:ascii="Times New Roman" w:hAnsi="Times New Roman"/>
                <w:color w:val="000000"/>
                <w:sz w:val="16"/>
                <w:szCs w:val="18"/>
              </w:rPr>
            </w:pPr>
            <w:r w:rsidRPr="00767DD0">
              <w:rPr>
                <w:sz w:val="16"/>
              </w:rPr>
              <w:t>30,00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100594" w14:textId="6525012D"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B2D934" w14:textId="57AB16C1"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300,00</w:t>
            </w:r>
          </w:p>
        </w:tc>
      </w:tr>
      <w:tr w:rsidR="000E191B" w:rsidRPr="00AF1A58" w14:paraId="0B8481FE"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19035CB3" w14:textId="5994CA2C" w:rsidR="00AF1A58" w:rsidRPr="00767DD0" w:rsidRDefault="00AF1A58" w:rsidP="00AF1A58">
            <w:pPr>
              <w:spacing w:before="40" w:after="40" w:line="240" w:lineRule="auto"/>
              <w:rPr>
                <w:rFonts w:ascii="Times New Roman" w:hAnsi="Times New Roman"/>
                <w:b/>
                <w:i/>
                <w:color w:val="000000"/>
                <w:sz w:val="18"/>
                <w:szCs w:val="18"/>
              </w:rPr>
            </w:pPr>
            <w:r w:rsidRPr="00767DD0">
              <w:rPr>
                <w:b/>
                <w:sz w:val="18"/>
              </w:rPr>
              <w:t>Saldo ogółem</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081040" w14:textId="3C1CCE94" w:rsidR="00AF1A58" w:rsidRPr="00767DD0" w:rsidRDefault="00AF1A58" w:rsidP="00AF1A58">
            <w:pPr>
              <w:spacing w:line="240" w:lineRule="auto"/>
              <w:jc w:val="center"/>
              <w:rPr>
                <w:rFonts w:ascii="Times New Roman" w:hAnsi="Times New Roman"/>
                <w:color w:val="000000"/>
                <w:sz w:val="16"/>
                <w:szCs w:val="18"/>
              </w:rPr>
            </w:pPr>
            <w:r w:rsidRPr="00767DD0">
              <w:rPr>
                <w:sz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D643D32" w14:textId="382DE061" w:rsidR="00AF1A58" w:rsidRPr="00767DD0" w:rsidRDefault="00AF1A58" w:rsidP="00AF1A58">
            <w:pPr>
              <w:spacing w:line="240" w:lineRule="auto"/>
              <w:jc w:val="center"/>
              <w:rPr>
                <w:rFonts w:ascii="Times New Roman" w:hAnsi="Times New Roman"/>
                <w:color w:val="000000"/>
                <w:sz w:val="16"/>
                <w:szCs w:val="18"/>
              </w:rPr>
            </w:pPr>
            <w:r w:rsidRPr="00767DD0">
              <w:rPr>
                <w:sz w:val="16"/>
              </w:rPr>
              <w:t>1 423,37</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C67C1" w14:textId="5305B032" w:rsidR="00AF1A58" w:rsidRPr="00767DD0" w:rsidRDefault="00AF1A58" w:rsidP="00AF1A58">
            <w:pPr>
              <w:spacing w:line="240" w:lineRule="auto"/>
              <w:jc w:val="center"/>
              <w:rPr>
                <w:rFonts w:ascii="Times New Roman" w:hAnsi="Times New Roman"/>
                <w:color w:val="000000"/>
                <w:sz w:val="16"/>
                <w:szCs w:val="18"/>
              </w:rPr>
            </w:pPr>
            <w:r w:rsidRPr="00767DD0">
              <w:rPr>
                <w:sz w:val="16"/>
              </w:rPr>
              <w:t>274,29</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75209F" w14:textId="1C454888" w:rsidR="00AF1A58" w:rsidRPr="00767DD0" w:rsidRDefault="00AF1A58" w:rsidP="00AF1A58">
            <w:pPr>
              <w:spacing w:line="240" w:lineRule="auto"/>
              <w:jc w:val="center"/>
              <w:rPr>
                <w:rFonts w:ascii="Times New Roman" w:hAnsi="Times New Roman"/>
                <w:color w:val="000000"/>
                <w:sz w:val="16"/>
                <w:szCs w:val="18"/>
              </w:rPr>
            </w:pPr>
            <w:r w:rsidRPr="00767DD0">
              <w:rPr>
                <w:sz w:val="16"/>
              </w:rPr>
              <w:t>-39,64</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712E81" w14:textId="28FC3F22" w:rsidR="00AF1A58" w:rsidRPr="00767DD0" w:rsidRDefault="00AF1A58" w:rsidP="00AF1A58">
            <w:pPr>
              <w:spacing w:line="240" w:lineRule="auto"/>
              <w:jc w:val="center"/>
              <w:rPr>
                <w:rFonts w:ascii="Times New Roman" w:hAnsi="Times New Roman"/>
                <w:color w:val="000000"/>
                <w:sz w:val="16"/>
                <w:szCs w:val="18"/>
              </w:rPr>
            </w:pPr>
            <w:r w:rsidRPr="00767DD0">
              <w:rPr>
                <w:sz w:val="16"/>
              </w:rPr>
              <w:t>-200,09</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1F449" w14:textId="700EB7E4" w:rsidR="00AF1A58" w:rsidRPr="00767DD0" w:rsidRDefault="00AF1A58" w:rsidP="00AF1A58">
            <w:pPr>
              <w:spacing w:line="240" w:lineRule="auto"/>
              <w:jc w:val="center"/>
              <w:rPr>
                <w:rFonts w:ascii="Times New Roman" w:hAnsi="Times New Roman"/>
                <w:color w:val="000000"/>
                <w:sz w:val="16"/>
                <w:szCs w:val="18"/>
              </w:rPr>
            </w:pPr>
            <w:r w:rsidRPr="00767DD0">
              <w:rPr>
                <w:sz w:val="16"/>
              </w:rPr>
              <w:t>-200,09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D5842A" w14:textId="7FB19D09" w:rsidR="00AF1A58" w:rsidRPr="00767DD0" w:rsidRDefault="00AF1A58" w:rsidP="00AF1A58">
            <w:pPr>
              <w:spacing w:line="240" w:lineRule="auto"/>
              <w:jc w:val="center"/>
              <w:rPr>
                <w:rFonts w:ascii="Times New Roman" w:hAnsi="Times New Roman"/>
                <w:color w:val="000000"/>
                <w:sz w:val="16"/>
                <w:szCs w:val="18"/>
              </w:rPr>
            </w:pPr>
            <w:r w:rsidRPr="00767DD0">
              <w:rPr>
                <w:sz w:val="16"/>
              </w:rPr>
              <w:t>-167,73</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3C0B9D" w14:textId="5BE2622C" w:rsidR="00AF1A58" w:rsidRPr="00767DD0" w:rsidRDefault="00AF1A58" w:rsidP="00AF1A58">
            <w:pPr>
              <w:spacing w:line="240" w:lineRule="auto"/>
              <w:jc w:val="center"/>
              <w:rPr>
                <w:rFonts w:ascii="Times New Roman" w:hAnsi="Times New Roman"/>
                <w:color w:val="000000"/>
                <w:sz w:val="16"/>
                <w:szCs w:val="18"/>
              </w:rPr>
            </w:pPr>
            <w:r w:rsidRPr="00767DD0">
              <w:rPr>
                <w:sz w:val="16"/>
              </w:rPr>
              <w:t>-340,19</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2E963D09" w14:textId="16DD0E39" w:rsidR="00AF1A58" w:rsidRPr="00767DD0" w:rsidRDefault="00AF1A58" w:rsidP="00AF1A58">
            <w:pPr>
              <w:spacing w:line="240" w:lineRule="auto"/>
              <w:jc w:val="center"/>
              <w:rPr>
                <w:rFonts w:ascii="Times New Roman" w:hAnsi="Times New Roman"/>
                <w:color w:val="000000"/>
                <w:sz w:val="16"/>
                <w:szCs w:val="18"/>
              </w:rPr>
            </w:pPr>
            <w:r w:rsidRPr="00767DD0">
              <w:rPr>
                <w:sz w:val="16"/>
              </w:rPr>
              <w:t>-517,47</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B0422F" w14:textId="39776B30" w:rsidR="00AF1A58" w:rsidRPr="00767DD0" w:rsidRDefault="00AF1A58" w:rsidP="00AF1A58">
            <w:pPr>
              <w:spacing w:line="240" w:lineRule="auto"/>
              <w:jc w:val="center"/>
              <w:rPr>
                <w:rFonts w:ascii="Times New Roman" w:hAnsi="Times New Roman"/>
                <w:color w:val="000000"/>
                <w:sz w:val="16"/>
                <w:szCs w:val="18"/>
              </w:rPr>
            </w:pPr>
            <w:r w:rsidRPr="00767DD0">
              <w:rPr>
                <w:sz w:val="16"/>
              </w:rPr>
              <w:t>-233,26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E7DC98" w14:textId="3557D90B"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066CB0" w14:textId="062E5537"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-0,90</w:t>
            </w:r>
          </w:p>
        </w:tc>
      </w:tr>
      <w:tr w:rsidR="000E191B" w:rsidRPr="00AF1A58" w14:paraId="691FAF63"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757BAFE2" w14:textId="3A87C6C5"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budżet państwa</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175D4D" w14:textId="05E1385B"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C63118B" w14:textId="2C3BA4CC"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A4A84F" w14:textId="072DE042"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D9BBFB" w14:textId="0600F5A8"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0D91DC" w14:textId="6DDCF1EA"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A15A32" w14:textId="50398D93"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E0F9F" w14:textId="4AF92C13"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7A3055" w14:textId="541CAF6A"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769D2A88" w14:textId="6B825F87"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7594C7" w14:textId="0397BF13" w:rsidR="00AF1A58" w:rsidRPr="00767DD0" w:rsidRDefault="00AF1A58" w:rsidP="00AF1A58">
            <w:pPr>
              <w:spacing w:line="240" w:lineRule="auto"/>
              <w:jc w:val="center"/>
              <w:rPr>
                <w:rFonts w:ascii="Times New Roman" w:hAnsi="Times New Roman"/>
                <w:color w:val="000000"/>
                <w:sz w:val="16"/>
                <w:szCs w:val="18"/>
              </w:rPr>
            </w:pPr>
            <w:r w:rsidRPr="00767DD0">
              <w:rPr>
                <w:sz w:val="16"/>
              </w:rPr>
              <w:t>-0,09</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D94306" w14:textId="6F89E749"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ED27E1" w14:textId="187ABBE1"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-0,9</w:t>
            </w:r>
          </w:p>
        </w:tc>
      </w:tr>
      <w:tr w:rsidR="000E191B" w:rsidRPr="00AF1A58" w14:paraId="7FBF0372"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7F986232" w14:textId="378670FE"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JST</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FC1453" w14:textId="3BA99A56"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466E1" w14:textId="7492BBD1"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0B9E74" w14:textId="3C3C3451"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CAA460" w14:textId="6CAFD6C6"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10E7B9" w14:textId="30CF517B"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964673" w14:textId="1C75B6B9"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983FD" w14:textId="6AEFA548"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E9756D" w14:textId="06A49F57"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364A9B62" w14:textId="74817A89"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37CEB3" w14:textId="2646C0DF" w:rsidR="00AF1A58" w:rsidRPr="00767DD0" w:rsidRDefault="00AF1A58" w:rsidP="00AF1A58">
            <w:pPr>
              <w:spacing w:line="240" w:lineRule="auto"/>
              <w:jc w:val="center"/>
              <w:rPr>
                <w:rFonts w:ascii="Times New Roman" w:hAnsi="Times New Roman"/>
                <w:color w:val="000000"/>
                <w:sz w:val="16"/>
                <w:szCs w:val="18"/>
              </w:rPr>
            </w:pPr>
            <w:r w:rsidRPr="00767DD0">
              <w:rPr>
                <w:sz w:val="16"/>
              </w:rPr>
              <w:t>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018988" w14:textId="03620275"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0624CF" w14:textId="6204F501"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w:t>
            </w:r>
          </w:p>
        </w:tc>
      </w:tr>
      <w:tr w:rsidR="000E191B" w:rsidRPr="00AF1A58" w14:paraId="2FC34DF3" w14:textId="77777777" w:rsidTr="00767DD0">
        <w:trPr>
          <w:trHeight w:val="142"/>
        </w:trPr>
        <w:tc>
          <w:tcPr>
            <w:tcW w:w="1130" w:type="dxa"/>
            <w:tcBorders>
              <w:top w:val="single" w:sz="4" w:space="0" w:color="auto"/>
              <w:left w:val="single" w:sz="4" w:space="0" w:color="auto"/>
              <w:bottom w:val="single" w:sz="4" w:space="0" w:color="auto"/>
              <w:right w:val="single" w:sz="4" w:space="0" w:color="auto"/>
            </w:tcBorders>
            <w:shd w:val="clear" w:color="000000" w:fill="FFFFFF"/>
          </w:tcPr>
          <w:p w14:paraId="5DF41BFB" w14:textId="73381189" w:rsidR="00AF1A58" w:rsidRPr="000E191B" w:rsidRDefault="00AF1A58" w:rsidP="00AF1A58">
            <w:pPr>
              <w:spacing w:before="40" w:after="40" w:line="240" w:lineRule="auto"/>
              <w:rPr>
                <w:rFonts w:ascii="Times New Roman" w:hAnsi="Times New Roman"/>
                <w:i/>
                <w:color w:val="000000"/>
                <w:sz w:val="18"/>
                <w:szCs w:val="18"/>
              </w:rPr>
            </w:pPr>
            <w:r w:rsidRPr="00767DD0">
              <w:rPr>
                <w:sz w:val="18"/>
              </w:rPr>
              <w:t>pozostałe jednostki (NFOŚiGW)</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E257DA" w14:textId="49059D5F" w:rsidR="00AF1A58" w:rsidRPr="00767DD0" w:rsidRDefault="00AF1A58" w:rsidP="00AF1A58">
            <w:pPr>
              <w:spacing w:line="240" w:lineRule="auto"/>
              <w:jc w:val="center"/>
              <w:rPr>
                <w:rFonts w:ascii="Times New Roman" w:hAnsi="Times New Roman"/>
                <w:color w:val="000000"/>
                <w:sz w:val="16"/>
                <w:szCs w:val="18"/>
              </w:rPr>
            </w:pPr>
            <w:r w:rsidRPr="00767DD0">
              <w:rPr>
                <w:sz w:val="16"/>
              </w:rPr>
              <w:t>0,00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514713" w14:textId="77730EDD" w:rsidR="00AF1A58" w:rsidRPr="00767DD0" w:rsidRDefault="00AF1A58" w:rsidP="00AF1A58">
            <w:pPr>
              <w:spacing w:line="240" w:lineRule="auto"/>
              <w:jc w:val="center"/>
              <w:rPr>
                <w:rFonts w:ascii="Times New Roman" w:hAnsi="Times New Roman"/>
                <w:color w:val="000000"/>
                <w:sz w:val="16"/>
                <w:szCs w:val="18"/>
              </w:rPr>
            </w:pPr>
            <w:r w:rsidRPr="00767DD0">
              <w:rPr>
                <w:sz w:val="16"/>
              </w:rPr>
              <w:t>1 423,46</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206790" w14:textId="140E2DD2" w:rsidR="00AF1A58" w:rsidRPr="00767DD0" w:rsidRDefault="00AF1A58" w:rsidP="00AF1A58">
            <w:pPr>
              <w:spacing w:line="240" w:lineRule="auto"/>
              <w:jc w:val="center"/>
              <w:rPr>
                <w:rFonts w:ascii="Times New Roman" w:hAnsi="Times New Roman"/>
                <w:color w:val="000000"/>
                <w:sz w:val="16"/>
                <w:szCs w:val="18"/>
              </w:rPr>
            </w:pPr>
            <w:r w:rsidRPr="00767DD0">
              <w:rPr>
                <w:sz w:val="16"/>
              </w:rPr>
              <w:t>274,38</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1D9FB" w14:textId="7F009CBD" w:rsidR="00AF1A58" w:rsidRPr="00767DD0" w:rsidRDefault="00AF1A58" w:rsidP="00AF1A58">
            <w:pPr>
              <w:spacing w:line="240" w:lineRule="auto"/>
              <w:jc w:val="center"/>
              <w:rPr>
                <w:rFonts w:ascii="Times New Roman" w:hAnsi="Times New Roman"/>
                <w:color w:val="000000"/>
                <w:sz w:val="16"/>
                <w:szCs w:val="18"/>
              </w:rPr>
            </w:pPr>
            <w:r w:rsidRPr="00767DD0">
              <w:rPr>
                <w:sz w:val="16"/>
              </w:rPr>
              <w:t>-39,55</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841D6B" w14:textId="5589FB7D" w:rsidR="00AF1A58" w:rsidRPr="00767DD0" w:rsidRDefault="00AF1A58" w:rsidP="00AF1A58">
            <w:pPr>
              <w:spacing w:line="240" w:lineRule="auto"/>
              <w:jc w:val="center"/>
              <w:rPr>
                <w:rFonts w:ascii="Times New Roman" w:hAnsi="Times New Roman"/>
                <w:color w:val="000000"/>
                <w:sz w:val="16"/>
                <w:szCs w:val="18"/>
              </w:rPr>
            </w:pPr>
            <w:r w:rsidRPr="00767DD0">
              <w:rPr>
                <w:sz w:val="16"/>
              </w:rPr>
              <w:t>-200,00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69644A" w14:textId="2981DBEE" w:rsidR="00AF1A58" w:rsidRPr="00767DD0" w:rsidRDefault="00AF1A58" w:rsidP="00AF1A58">
            <w:pPr>
              <w:spacing w:line="240" w:lineRule="auto"/>
              <w:jc w:val="center"/>
              <w:rPr>
                <w:rFonts w:ascii="Times New Roman" w:hAnsi="Times New Roman"/>
                <w:color w:val="000000"/>
                <w:sz w:val="16"/>
                <w:szCs w:val="18"/>
              </w:rPr>
            </w:pPr>
            <w:r w:rsidRPr="00767DD0">
              <w:rPr>
                <w:sz w:val="16"/>
              </w:rPr>
              <w:t>-200,00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396397" w14:textId="75DEF40D" w:rsidR="00AF1A58" w:rsidRPr="00767DD0" w:rsidRDefault="00AF1A58" w:rsidP="00AF1A58">
            <w:pPr>
              <w:spacing w:line="240" w:lineRule="auto"/>
              <w:jc w:val="center"/>
              <w:rPr>
                <w:rFonts w:ascii="Times New Roman" w:hAnsi="Times New Roman"/>
                <w:color w:val="000000"/>
                <w:sz w:val="16"/>
                <w:szCs w:val="18"/>
              </w:rPr>
            </w:pPr>
            <w:r w:rsidRPr="00767DD0">
              <w:rPr>
                <w:sz w:val="16"/>
              </w:rPr>
              <w:t>-167,64</w:t>
            </w:r>
          </w:p>
        </w:tc>
        <w:tc>
          <w:tcPr>
            <w:tcW w:w="8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AE8998" w14:textId="05459894" w:rsidR="00AF1A58" w:rsidRPr="00767DD0" w:rsidRDefault="00AF1A58" w:rsidP="00AF1A58">
            <w:pPr>
              <w:spacing w:line="240" w:lineRule="auto"/>
              <w:jc w:val="center"/>
              <w:rPr>
                <w:rFonts w:ascii="Times New Roman" w:hAnsi="Times New Roman"/>
                <w:color w:val="000000"/>
                <w:sz w:val="16"/>
                <w:szCs w:val="18"/>
              </w:rPr>
            </w:pPr>
            <w:r w:rsidRPr="00767DD0">
              <w:rPr>
                <w:sz w:val="16"/>
              </w:rPr>
              <w:t>-340,10</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7E18215" w14:textId="59FB10FF" w:rsidR="00AF1A58" w:rsidRPr="00767DD0" w:rsidRDefault="00AF1A58" w:rsidP="00AF1A58">
            <w:pPr>
              <w:spacing w:line="240" w:lineRule="auto"/>
              <w:jc w:val="center"/>
              <w:rPr>
                <w:rFonts w:ascii="Times New Roman" w:hAnsi="Times New Roman"/>
                <w:color w:val="000000"/>
                <w:sz w:val="16"/>
                <w:szCs w:val="18"/>
              </w:rPr>
            </w:pPr>
            <w:r w:rsidRPr="00767DD0">
              <w:rPr>
                <w:sz w:val="16"/>
              </w:rPr>
              <w:t>-517,38</w:t>
            </w:r>
          </w:p>
        </w:tc>
        <w:tc>
          <w:tcPr>
            <w:tcW w:w="8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482EC1" w14:textId="0FC7FF6D" w:rsidR="00AF1A58" w:rsidRPr="00767DD0" w:rsidRDefault="00AF1A58" w:rsidP="00AF1A58">
            <w:pPr>
              <w:spacing w:line="240" w:lineRule="auto"/>
              <w:jc w:val="center"/>
              <w:rPr>
                <w:rFonts w:ascii="Times New Roman" w:hAnsi="Times New Roman"/>
                <w:color w:val="000000"/>
                <w:sz w:val="16"/>
                <w:szCs w:val="18"/>
              </w:rPr>
            </w:pPr>
            <w:r w:rsidRPr="00767DD0">
              <w:rPr>
                <w:sz w:val="16"/>
              </w:rPr>
              <w:t>-233,17</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674C3" w14:textId="069EA496" w:rsidR="00AF1A58" w:rsidRPr="00767DD0" w:rsidRDefault="00AF1A58" w:rsidP="00AF1A58">
            <w:pPr>
              <w:spacing w:before="40" w:after="40" w:line="240" w:lineRule="auto"/>
              <w:jc w:val="center"/>
              <w:rPr>
                <w:rFonts w:ascii="Times New Roman" w:hAnsi="Times New Roman"/>
                <w:color w:val="000000"/>
                <w:spacing w:val="-2"/>
                <w:sz w:val="16"/>
                <w:szCs w:val="18"/>
              </w:rPr>
            </w:pPr>
            <w:r w:rsidRPr="00767DD0">
              <w:rPr>
                <w:sz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1DBB" w14:textId="0F1CB383" w:rsidR="00AF1A58" w:rsidRPr="00767DD0" w:rsidRDefault="00AF1A58" w:rsidP="00AF1A58">
            <w:pPr>
              <w:spacing w:before="40" w:after="40" w:line="240" w:lineRule="auto"/>
              <w:jc w:val="right"/>
              <w:rPr>
                <w:rFonts w:ascii="Times New Roman" w:hAnsi="Times New Roman"/>
                <w:i/>
                <w:color w:val="000000"/>
                <w:spacing w:val="-2"/>
                <w:sz w:val="16"/>
                <w:szCs w:val="18"/>
              </w:rPr>
            </w:pPr>
            <w:r w:rsidRPr="00767DD0">
              <w:rPr>
                <w:sz w:val="16"/>
              </w:rPr>
              <w:t>0,00</w:t>
            </w:r>
          </w:p>
        </w:tc>
      </w:tr>
      <w:tr w:rsidR="00901F36" w:rsidRPr="008B4FE6" w14:paraId="71E0EB58" w14:textId="77777777" w:rsidTr="00767DD0">
        <w:trPr>
          <w:trHeight w:val="348"/>
        </w:trPr>
        <w:tc>
          <w:tcPr>
            <w:tcW w:w="1935" w:type="dxa"/>
            <w:gridSpan w:val="3"/>
            <w:shd w:val="clear" w:color="auto" w:fill="FFFFFF" w:themeFill="background1"/>
            <w:vAlign w:val="center"/>
          </w:tcPr>
          <w:p w14:paraId="414B4778" w14:textId="77777777" w:rsidR="00901F36" w:rsidRPr="00C53F26" w:rsidRDefault="00901F36" w:rsidP="00C54497">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9151" w:type="dxa"/>
            <w:gridSpan w:val="24"/>
            <w:shd w:val="clear" w:color="auto" w:fill="FFFFFF" w:themeFill="background1"/>
          </w:tcPr>
          <w:p w14:paraId="51F2A800" w14:textId="219005BE" w:rsidR="00E3713D" w:rsidRDefault="07A72B29" w:rsidP="00E3713D">
            <w:pPr>
              <w:pStyle w:val="NormalnyWeb"/>
              <w:spacing w:before="0" w:beforeAutospacing="0" w:after="0" w:afterAutospacing="0" w:line="276" w:lineRule="auto"/>
              <w:jc w:val="both"/>
            </w:pPr>
            <w:r>
              <w:t xml:space="preserve">Zgodnie z niniejszą ustawą środki z Funduszu Modernizacyjnego, o którym mowa w art. 10d dyrektywy 2018/410, są przekazywane na wyodrębniony rachunek bankowy Narodowego Funduszu Ochrony Środowiska i Gospodarki Wodnej. Środki z Funduszu Modernizacyjnego, </w:t>
            </w:r>
            <w:r>
              <w:lastRenderedPageBreak/>
              <w:t xml:space="preserve">które następnie będą przeznaczane na inwestycje, będą pochodzić ze sprzedaży w UE 2% całkowitej liczby uprawnień na aukcji w latach 2021–2030 (z czego dla Polski przewidziane jest 43,41%, zgodnie z załącznikiem IIb dyrektywy 2003/87/WE). </w:t>
            </w:r>
            <w:r>
              <w:br/>
            </w:r>
            <w:r w:rsidR="00E3713D">
              <w:t xml:space="preserve">Koszty zarządzania FM ponoszone przez operatora Funduszu pokrywane są ze sprzedaży w drodze aukcji uprawnień emisji (zgodnie z projektem Rozporządzenia wykonawczego KE dla funkcjonowania FM koszty te rozumiane są jako pokrycie wydatków administracyjnych związanych z zarządzaniem systemem wspólnotowym zgodnie z Art. 10(3)(i) Dyrektywy 2003/87/KE). </w:t>
            </w:r>
          </w:p>
          <w:p w14:paraId="322B1078" w14:textId="3F93BB94" w:rsidR="00FE21C0" w:rsidRPr="00FE21C0" w:rsidRDefault="00FE21C0" w:rsidP="00FE21C0">
            <w:pPr>
              <w:jc w:val="both"/>
              <w:rPr>
                <w:rFonts w:ascii="Times New Roman" w:hAnsi="Times New Roman"/>
                <w:sz w:val="24"/>
                <w:szCs w:val="24"/>
              </w:rPr>
            </w:pPr>
            <w:r w:rsidRPr="00FE21C0">
              <w:rPr>
                <w:rFonts w:ascii="Times New Roman" w:hAnsi="Times New Roman"/>
                <w:bCs/>
                <w:sz w:val="24"/>
                <w:szCs w:val="24"/>
              </w:rPr>
              <w:t xml:space="preserve">Zapewnienie sprawnego i profesjonalnego wdrażania Funduszu Modernizacyjnego wymagać będzie wysoko wyspecjalizowanej kadry eksperckiej w NFOŚiGW. . Ponadto wdrażanie programów finansowych ze środków FM wymagało będzie ścisłej współpracy z EBI co dodatkowo uzasadnia konieczność zapewnienia odpowiedniej kadry.  </w:t>
            </w:r>
            <w:r w:rsidRPr="00FE21C0">
              <w:rPr>
                <w:rFonts w:ascii="Times New Roman" w:hAnsi="Times New Roman"/>
                <w:sz w:val="24"/>
                <w:szCs w:val="24"/>
              </w:rPr>
              <w:t>Na poziomie krajowym jedynym porównywalnym punktem odniesienia mogą być wynagrodzenia pracowników Krajowego Ośrodka Bilansowania i Zarządzania Emisjami (KOBiZE), który zatrudnia przede wszystkim ekspertów związanych z klimatem i handlem emisjami</w:t>
            </w:r>
            <w:r w:rsidR="00927FE2">
              <w:rPr>
                <w:rFonts w:ascii="Times New Roman" w:hAnsi="Times New Roman"/>
                <w:sz w:val="24"/>
                <w:szCs w:val="24"/>
              </w:rPr>
              <w:t xml:space="preserve">, a średnie wynagrodzenie </w:t>
            </w:r>
            <w:r w:rsidR="00DC4F0D">
              <w:rPr>
                <w:rFonts w:ascii="Times New Roman" w:hAnsi="Times New Roman"/>
                <w:sz w:val="24"/>
                <w:szCs w:val="24"/>
              </w:rPr>
              <w:t>wynosi około 10 tys. zł.</w:t>
            </w:r>
          </w:p>
          <w:p w14:paraId="7B4AEF4C" w14:textId="77777777" w:rsidR="00FE21C0" w:rsidRPr="00976DD2" w:rsidRDefault="00FE21C0" w:rsidP="00FE21C0">
            <w:pPr>
              <w:rPr>
                <w:sz w:val="18"/>
                <w:szCs w:val="18"/>
              </w:rPr>
            </w:pPr>
          </w:p>
          <w:p w14:paraId="14418F81" w14:textId="200437C3" w:rsidR="00FE21C0" w:rsidRPr="00FE21C0" w:rsidRDefault="00FE21C0" w:rsidP="00FE21C0">
            <w:pPr>
              <w:pStyle w:val="NormalnyWeb"/>
              <w:spacing w:before="0" w:beforeAutospacing="0" w:after="0" w:afterAutospacing="0" w:line="276" w:lineRule="auto"/>
              <w:jc w:val="both"/>
              <w:rPr>
                <w:rStyle w:val="e24kjd"/>
              </w:rPr>
            </w:pPr>
            <w:r w:rsidRPr="00FE21C0">
              <w:t>Na poziomie europejskim punkt odniesienia stanowić mogą wynagrodzenia ekspertów zatrudnionych w ramach programów twinningowych</w:t>
            </w:r>
            <w:r w:rsidRPr="00FE21C0">
              <w:rPr>
                <w:b/>
                <w:bCs/>
              </w:rPr>
              <w:t xml:space="preserve"> </w:t>
            </w:r>
            <w:r w:rsidRPr="00FE21C0">
              <w:rPr>
                <w:bCs/>
              </w:rPr>
              <w:t>(realizowanych z</w:t>
            </w:r>
            <w:r w:rsidRPr="00FE21C0">
              <w:rPr>
                <w:b/>
                <w:bCs/>
              </w:rPr>
              <w:t xml:space="preserve"> </w:t>
            </w:r>
            <w:r w:rsidRPr="00FE21C0">
              <w:rPr>
                <w:rStyle w:val="e24kjd"/>
              </w:rPr>
              <w:t>inicjatywy KE programów wspierania i rozwoju kompetencji instytucji publicznych). Przykładowa stawka ekspertów np. dla projektów obszaru klimat i środowisko wynosi 450 Euro/dzień.</w:t>
            </w:r>
          </w:p>
          <w:p w14:paraId="7B00E333" w14:textId="6871F663" w:rsidR="00FE21C0" w:rsidRDefault="00FE21C0" w:rsidP="00FE21C0">
            <w:pPr>
              <w:pStyle w:val="NormalnyWeb"/>
              <w:spacing w:before="0" w:beforeAutospacing="0" w:after="0" w:afterAutospacing="0" w:line="276" w:lineRule="auto"/>
              <w:jc w:val="both"/>
            </w:pPr>
            <w:r>
              <w:t xml:space="preserve">Projektowana ustawa wykonując postanowienia </w:t>
            </w:r>
            <w:r w:rsidRPr="40B71A84">
              <w:t>dyrektyw</w:t>
            </w:r>
            <w:r>
              <w:t xml:space="preserve">y </w:t>
            </w:r>
            <w:r w:rsidRPr="40B71A84">
              <w:t>2018/410</w:t>
            </w:r>
            <w:r>
              <w:t xml:space="preserve">, powoduje konieczność stworzenia 1 etatu w Ministerstwie Klimatu  w ramach które byłyby realizowane zadania w zakresie nadzoru nad Krajowym systemem FM, w tym obsługi Rady Konsultacyjnej, sprawozdawczości na potrzeby KE. Koszty roczne utrzymania jednego etatu szacuje się na poziomie ok. 90 tyś zł rocznie, biorąc pod uwagę przeciętne  miesięczne wynagrodzenie całkowite na poziomie </w:t>
            </w:r>
            <w:r>
              <w:rPr>
                <w:rFonts w:ascii="Arial" w:hAnsi="Arial" w:cs="Arial"/>
                <w:sz w:val="17"/>
                <w:szCs w:val="17"/>
              </w:rPr>
              <w:t xml:space="preserve"> </w:t>
            </w:r>
            <w:r w:rsidRPr="00AA4184">
              <w:rPr>
                <w:sz w:val="22"/>
                <w:szCs w:val="22"/>
              </w:rPr>
              <w:t xml:space="preserve">7 485 zł brutto </w:t>
            </w:r>
            <w:r w:rsidRPr="00AA4184">
              <w:t>w  Min</w:t>
            </w:r>
            <w:r>
              <w:t>isterstwie</w:t>
            </w:r>
            <w:r w:rsidRPr="00AA4184">
              <w:t xml:space="preserve"> Środowiska</w:t>
            </w:r>
            <w:r>
              <w:rPr>
                <w:rStyle w:val="Odwoanieprzypisudolnego"/>
              </w:rPr>
              <w:footnoteReference w:id="1"/>
            </w:r>
            <w:r>
              <w:rPr>
                <w:rFonts w:ascii="Arial" w:hAnsi="Arial" w:cs="Arial"/>
                <w:sz w:val="17"/>
                <w:szCs w:val="17"/>
              </w:rPr>
              <w:t xml:space="preserve"> . </w:t>
            </w:r>
            <w:r w:rsidRPr="00767DD0">
              <w:t>Ewentualne koszty obsługi Rady Konsultacyjnej będą znikome i będą okrywane ze środków budżetowych zaplanowanych corocznie w ustawie budżetowej w ramach limitu właściwego dysponenta części budżetowej tj. ministra właściwego do spraw klimatu.</w:t>
            </w:r>
          </w:p>
          <w:p w14:paraId="5CDBE584" w14:textId="77777777" w:rsidR="00FE21C0" w:rsidRDefault="00FE21C0" w:rsidP="00FE21C0">
            <w:pPr>
              <w:pStyle w:val="NormalnyWeb"/>
              <w:spacing w:before="0" w:beforeAutospacing="0" w:after="0" w:afterAutospacing="0" w:line="276" w:lineRule="auto"/>
              <w:jc w:val="both"/>
            </w:pPr>
          </w:p>
          <w:p w14:paraId="1A12634B" w14:textId="77777777" w:rsidR="00FE21C0" w:rsidRPr="00767DD0" w:rsidRDefault="00FE21C0" w:rsidP="481AF0CC">
            <w:pPr>
              <w:pStyle w:val="NormalnyWeb"/>
              <w:spacing w:before="0" w:beforeAutospacing="0" w:after="0" w:afterAutospacing="0" w:line="276" w:lineRule="auto"/>
              <w:jc w:val="both"/>
            </w:pPr>
          </w:p>
          <w:p w14:paraId="5B79FCB7" w14:textId="77777777" w:rsidR="00901F36" w:rsidRPr="00B37C80" w:rsidRDefault="00901F36" w:rsidP="00C54497">
            <w:pPr>
              <w:spacing w:line="240" w:lineRule="auto"/>
              <w:jc w:val="both"/>
              <w:rPr>
                <w:rFonts w:ascii="Times New Roman" w:hAnsi="Times New Roman"/>
                <w:color w:val="000000"/>
                <w:sz w:val="21"/>
                <w:szCs w:val="21"/>
              </w:rPr>
            </w:pPr>
          </w:p>
        </w:tc>
      </w:tr>
      <w:tr w:rsidR="00901F36" w:rsidRPr="008B4FE6" w14:paraId="467CFE15" w14:textId="77777777" w:rsidTr="00767DD0">
        <w:trPr>
          <w:trHeight w:val="1926"/>
        </w:trPr>
        <w:tc>
          <w:tcPr>
            <w:tcW w:w="1935" w:type="dxa"/>
            <w:gridSpan w:val="3"/>
            <w:shd w:val="clear" w:color="auto" w:fill="FFFFFF" w:themeFill="background1"/>
          </w:tcPr>
          <w:p w14:paraId="5CB18820" w14:textId="7D0DCE60" w:rsidR="00901F36" w:rsidRPr="00C53F26" w:rsidRDefault="00901F36" w:rsidP="00C5449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9151" w:type="dxa"/>
            <w:gridSpan w:val="24"/>
            <w:shd w:val="clear" w:color="auto" w:fill="FFFFFF" w:themeFill="background1"/>
          </w:tcPr>
          <w:p w14:paraId="21C028E4" w14:textId="4335EA25" w:rsidR="00901F36" w:rsidRDefault="00901F36" w:rsidP="00C54497">
            <w:pPr>
              <w:pStyle w:val="Akapitzlist"/>
              <w:spacing w:line="240" w:lineRule="auto"/>
              <w:ind w:left="0"/>
              <w:jc w:val="both"/>
              <w:rPr>
                <w:rFonts w:ascii="Times New Roman" w:hAnsi="Times New Roman"/>
                <w:color w:val="000000"/>
              </w:rPr>
            </w:pPr>
            <w:r w:rsidRPr="000F0B71">
              <w:rPr>
                <w:rFonts w:ascii="Times New Roman" w:hAnsi="Times New Roman"/>
                <w:color w:val="000000"/>
              </w:rPr>
              <w:t>Powyższy wpływ na sektor finansów publicznych oszacowano na podstawie następujących założeń</w:t>
            </w:r>
            <w:r>
              <w:rPr>
                <w:rFonts w:ascii="Times New Roman" w:hAnsi="Times New Roman"/>
                <w:color w:val="000000"/>
              </w:rPr>
              <w:t>:</w:t>
            </w:r>
          </w:p>
          <w:p w14:paraId="63ED7091" w14:textId="77777777" w:rsidR="00901F36" w:rsidRDefault="00901F36" w:rsidP="00C54497">
            <w:pPr>
              <w:spacing w:line="240" w:lineRule="auto"/>
              <w:jc w:val="both"/>
              <w:rPr>
                <w:rFonts w:ascii="Times New Roman" w:hAnsi="Times New Roman"/>
                <w:color w:val="000000"/>
                <w:sz w:val="21"/>
                <w:szCs w:val="21"/>
              </w:rPr>
            </w:pPr>
          </w:p>
          <w:tbl>
            <w:tblPr>
              <w:tblW w:w="9005" w:type="dxa"/>
              <w:tblInd w:w="67" w:type="dxa"/>
              <w:tblLayout w:type="fixed"/>
              <w:tblCellMar>
                <w:left w:w="70" w:type="dxa"/>
                <w:right w:w="70" w:type="dxa"/>
              </w:tblCellMar>
              <w:tblLook w:val="04A0" w:firstRow="1" w:lastRow="0" w:firstColumn="1" w:lastColumn="0" w:noHBand="0" w:noVBand="1"/>
            </w:tblPr>
            <w:tblGrid>
              <w:gridCol w:w="434"/>
              <w:gridCol w:w="1208"/>
              <w:gridCol w:w="613"/>
              <w:gridCol w:w="613"/>
              <w:gridCol w:w="613"/>
              <w:gridCol w:w="613"/>
              <w:gridCol w:w="613"/>
              <w:gridCol w:w="613"/>
              <w:gridCol w:w="613"/>
              <w:gridCol w:w="613"/>
              <w:gridCol w:w="613"/>
              <w:gridCol w:w="613"/>
              <w:gridCol w:w="613"/>
              <w:gridCol w:w="620"/>
            </w:tblGrid>
            <w:tr w:rsidR="00901F36" w:rsidRPr="000F0B71" w14:paraId="6DA22122" w14:textId="77777777" w:rsidTr="00B060A4">
              <w:trPr>
                <w:trHeight w:val="461"/>
              </w:trPr>
              <w:tc>
                <w:tcPr>
                  <w:tcW w:w="9005" w:type="dxa"/>
                  <w:gridSpan w:val="14"/>
                  <w:tcBorders>
                    <w:top w:val="single" w:sz="8" w:space="0" w:color="auto"/>
                    <w:left w:val="single" w:sz="8" w:space="0" w:color="auto"/>
                    <w:bottom w:val="single" w:sz="4" w:space="0" w:color="auto"/>
                    <w:right w:val="single" w:sz="8" w:space="0" w:color="auto"/>
                  </w:tcBorders>
                  <w:shd w:val="clear" w:color="auto" w:fill="auto"/>
                  <w:noWrap/>
                  <w:vAlign w:val="center"/>
                </w:tcPr>
                <w:p w14:paraId="27045E4B" w14:textId="77777777" w:rsidR="00901F36" w:rsidRPr="000F0B71" w:rsidRDefault="00901F36" w:rsidP="00C54497">
                  <w:pPr>
                    <w:spacing w:line="240" w:lineRule="auto"/>
                    <w:jc w:val="center"/>
                    <w:rPr>
                      <w:rFonts w:ascii="Times New Roman" w:eastAsia="Times New Roman" w:hAnsi="Times New Roman"/>
                      <w:b/>
                      <w:bCs/>
                      <w:color w:val="000000"/>
                      <w:sz w:val="18"/>
                      <w:szCs w:val="18"/>
                      <w:lang w:eastAsia="pl-PL"/>
                    </w:rPr>
                  </w:pPr>
                  <w:r w:rsidRPr="000F0B71">
                    <w:rPr>
                      <w:rFonts w:ascii="Times New Roman" w:eastAsia="Times New Roman" w:hAnsi="Times New Roman"/>
                      <w:b/>
                      <w:bCs/>
                      <w:color w:val="000000"/>
                      <w:sz w:val="18"/>
                      <w:szCs w:val="18"/>
                      <w:lang w:eastAsia="pl-PL"/>
                    </w:rPr>
                    <w:t>Szacunkowe przychody Funduszu Modernizacyjnego dla Polski w latach 2021-2030, pochodzące ze sprzedaży 2% całkowitej puli uprawnień z systemu EU ETS, wg cen uprawnień giełdy ICE/ECX (rynek future) oraz kursu PLN/EUR wg MF</w:t>
                  </w:r>
                </w:p>
              </w:tc>
            </w:tr>
            <w:tr w:rsidR="00901F36" w:rsidRPr="000F0B71" w14:paraId="493CD534" w14:textId="77777777" w:rsidTr="00B060A4">
              <w:trPr>
                <w:trHeight w:val="461"/>
              </w:trPr>
              <w:tc>
                <w:tcPr>
                  <w:tcW w:w="4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DE16E6"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Lp.</w:t>
                  </w:r>
                </w:p>
              </w:tc>
              <w:tc>
                <w:tcPr>
                  <w:tcW w:w="1208" w:type="dxa"/>
                  <w:tcBorders>
                    <w:top w:val="single" w:sz="8" w:space="0" w:color="auto"/>
                    <w:left w:val="nil"/>
                    <w:bottom w:val="single" w:sz="4" w:space="0" w:color="auto"/>
                    <w:right w:val="single" w:sz="8" w:space="0" w:color="auto"/>
                  </w:tcBorders>
                  <w:shd w:val="clear" w:color="000000" w:fill="DDEBF7"/>
                  <w:noWrap/>
                  <w:vAlign w:val="center"/>
                  <w:hideMark/>
                </w:tcPr>
                <w:p w14:paraId="06217802" w14:textId="77777777" w:rsidR="00901F36" w:rsidRPr="008D2298" w:rsidRDefault="00901F36" w:rsidP="00C54497">
                  <w:pPr>
                    <w:spacing w:line="240" w:lineRule="auto"/>
                    <w:jc w:val="center"/>
                    <w:rPr>
                      <w:rFonts w:ascii="Times New Roman" w:eastAsia="Times New Roman" w:hAnsi="Times New Roman"/>
                      <w:b/>
                      <w:bCs/>
                      <w:color w:val="000000"/>
                      <w:sz w:val="16"/>
                      <w:szCs w:val="16"/>
                      <w:lang w:eastAsia="pl-PL"/>
                    </w:rPr>
                  </w:pPr>
                  <w:r w:rsidRPr="008D2298">
                    <w:rPr>
                      <w:rFonts w:ascii="Times New Roman" w:eastAsia="Times New Roman" w:hAnsi="Times New Roman"/>
                      <w:b/>
                      <w:bCs/>
                      <w:color w:val="000000"/>
                      <w:sz w:val="16"/>
                      <w:szCs w:val="16"/>
                      <w:lang w:eastAsia="pl-PL"/>
                    </w:rPr>
                    <w:t>Kategorie</w:t>
                  </w:r>
                </w:p>
              </w:tc>
              <w:tc>
                <w:tcPr>
                  <w:tcW w:w="613" w:type="dxa"/>
                  <w:tcBorders>
                    <w:top w:val="single" w:sz="8" w:space="0" w:color="auto"/>
                    <w:left w:val="single" w:sz="8" w:space="0" w:color="auto"/>
                    <w:bottom w:val="single" w:sz="4" w:space="0" w:color="auto"/>
                    <w:right w:val="single" w:sz="8" w:space="0" w:color="auto"/>
                  </w:tcBorders>
                  <w:shd w:val="clear" w:color="000000" w:fill="DDEBF7"/>
                  <w:noWrap/>
                  <w:vAlign w:val="center"/>
                  <w:hideMark/>
                </w:tcPr>
                <w:p w14:paraId="4D05A158"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Jednostka</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6C0B84C8"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2021</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10F1E85E"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2022</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2B6C0D6E"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2023</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6B4C0009"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2024</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5DAA599F"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2025</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6B3D0871"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2026</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1F79D588"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2027</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20018D43"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2028</w:t>
                  </w:r>
                </w:p>
              </w:tc>
              <w:tc>
                <w:tcPr>
                  <w:tcW w:w="613" w:type="dxa"/>
                  <w:tcBorders>
                    <w:top w:val="single" w:sz="8" w:space="0" w:color="auto"/>
                    <w:left w:val="nil"/>
                    <w:bottom w:val="single" w:sz="4" w:space="0" w:color="auto"/>
                    <w:right w:val="single" w:sz="4" w:space="0" w:color="auto"/>
                  </w:tcBorders>
                  <w:shd w:val="clear" w:color="000000" w:fill="DDEBF7"/>
                  <w:noWrap/>
                  <w:vAlign w:val="center"/>
                  <w:hideMark/>
                </w:tcPr>
                <w:p w14:paraId="7695086C"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2029</w:t>
                  </w:r>
                </w:p>
              </w:tc>
              <w:tc>
                <w:tcPr>
                  <w:tcW w:w="613" w:type="dxa"/>
                  <w:tcBorders>
                    <w:top w:val="single" w:sz="8" w:space="0" w:color="auto"/>
                    <w:left w:val="nil"/>
                    <w:bottom w:val="single" w:sz="4" w:space="0" w:color="auto"/>
                    <w:right w:val="nil"/>
                  </w:tcBorders>
                  <w:shd w:val="clear" w:color="000000" w:fill="DDEBF7"/>
                  <w:noWrap/>
                  <w:vAlign w:val="center"/>
                  <w:hideMark/>
                </w:tcPr>
                <w:p w14:paraId="4E710335"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2030</w:t>
                  </w:r>
                </w:p>
              </w:tc>
              <w:tc>
                <w:tcPr>
                  <w:tcW w:w="617" w:type="dxa"/>
                  <w:tcBorders>
                    <w:top w:val="single" w:sz="8" w:space="0" w:color="auto"/>
                    <w:left w:val="single" w:sz="4" w:space="0" w:color="auto"/>
                    <w:bottom w:val="single" w:sz="4" w:space="0" w:color="auto"/>
                    <w:right w:val="single" w:sz="8" w:space="0" w:color="auto"/>
                  </w:tcBorders>
                  <w:shd w:val="clear" w:color="000000" w:fill="DDEBF7"/>
                  <w:noWrap/>
                  <w:vAlign w:val="center"/>
                  <w:hideMark/>
                </w:tcPr>
                <w:p w14:paraId="6094D85A"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2021-2030</w:t>
                  </w:r>
                </w:p>
              </w:tc>
            </w:tr>
            <w:tr w:rsidR="00901F36" w:rsidRPr="000F0B71" w14:paraId="54E91FE4" w14:textId="77777777" w:rsidTr="00B060A4">
              <w:trPr>
                <w:trHeight w:val="576"/>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14:paraId="3DCC03EF"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1</w:t>
                  </w:r>
                </w:p>
              </w:tc>
              <w:tc>
                <w:tcPr>
                  <w:tcW w:w="1208" w:type="dxa"/>
                  <w:tcBorders>
                    <w:top w:val="nil"/>
                    <w:left w:val="nil"/>
                    <w:bottom w:val="single" w:sz="4" w:space="0" w:color="auto"/>
                    <w:right w:val="single" w:sz="8" w:space="0" w:color="auto"/>
                  </w:tcBorders>
                  <w:shd w:val="clear" w:color="000000" w:fill="DDEBF7"/>
                  <w:vAlign w:val="center"/>
                  <w:hideMark/>
                </w:tcPr>
                <w:p w14:paraId="56BFABB5" w14:textId="236180AA" w:rsidR="00901F36" w:rsidRPr="008C396D" w:rsidRDefault="00901F36" w:rsidP="00E9732A">
                  <w:pPr>
                    <w:spacing w:line="240" w:lineRule="auto"/>
                    <w:rPr>
                      <w:rFonts w:ascii="Times New Roman" w:eastAsia="Times New Roman" w:hAnsi="Times New Roman"/>
                      <w:color w:val="000000"/>
                      <w:sz w:val="16"/>
                      <w:szCs w:val="16"/>
                      <w:lang w:eastAsia="pl-PL"/>
                    </w:rPr>
                  </w:pPr>
                  <w:r w:rsidRPr="008C396D">
                    <w:rPr>
                      <w:rFonts w:ascii="Times New Roman" w:eastAsia="Times New Roman" w:hAnsi="Times New Roman"/>
                      <w:color w:val="000000"/>
                      <w:sz w:val="16"/>
                      <w:szCs w:val="16"/>
                      <w:lang w:eastAsia="pl-PL"/>
                    </w:rPr>
                    <w:t>Liczba uprawnień do sprzedaży dla Polski</w:t>
                  </w:r>
                  <w:r>
                    <w:rPr>
                      <w:rFonts w:ascii="Times New Roman" w:eastAsia="Times New Roman" w:hAnsi="Times New Roman"/>
                      <w:color w:val="000000"/>
                      <w:sz w:val="16"/>
                      <w:szCs w:val="16"/>
                      <w:lang w:eastAsia="pl-PL"/>
                    </w:rPr>
                    <w:t xml:space="preserve"> (43,41 % z puli 2%)</w:t>
                  </w:r>
                  <w:r w:rsidRPr="008C396D">
                    <w:rPr>
                      <w:rFonts w:ascii="Times New Roman" w:eastAsia="Times New Roman" w:hAnsi="Times New Roman"/>
                      <w:color w:val="000000"/>
                      <w:sz w:val="16"/>
                      <w:szCs w:val="16"/>
                      <w:lang w:eastAsia="pl-PL"/>
                    </w:rPr>
                    <w:t xml:space="preserve"> </w:t>
                  </w:r>
                </w:p>
              </w:tc>
              <w:tc>
                <w:tcPr>
                  <w:tcW w:w="613" w:type="dxa"/>
                  <w:tcBorders>
                    <w:top w:val="nil"/>
                    <w:left w:val="single" w:sz="8" w:space="0" w:color="auto"/>
                    <w:bottom w:val="single" w:sz="4" w:space="0" w:color="auto"/>
                    <w:right w:val="single" w:sz="8" w:space="0" w:color="auto"/>
                  </w:tcBorders>
                  <w:shd w:val="clear" w:color="auto" w:fill="auto"/>
                  <w:noWrap/>
                  <w:vAlign w:val="center"/>
                  <w:hideMark/>
                </w:tcPr>
                <w:p w14:paraId="122B2E53" w14:textId="77777777" w:rsidR="00901F36" w:rsidRPr="002703B2" w:rsidRDefault="00901F36" w:rsidP="00C54497">
                  <w:pPr>
                    <w:spacing w:line="240" w:lineRule="auto"/>
                    <w:jc w:val="center"/>
                    <w:rPr>
                      <w:rFonts w:ascii="Times New Roman" w:eastAsia="Times New Roman" w:hAnsi="Times New Roman"/>
                      <w:color w:val="000000"/>
                      <w:sz w:val="16"/>
                      <w:szCs w:val="16"/>
                      <w:lang w:eastAsia="pl-PL"/>
                    </w:rPr>
                  </w:pPr>
                  <w:r w:rsidRPr="002703B2">
                    <w:rPr>
                      <w:rFonts w:ascii="Times New Roman" w:eastAsia="Times New Roman" w:hAnsi="Times New Roman"/>
                      <w:color w:val="000000"/>
                      <w:sz w:val="16"/>
                      <w:szCs w:val="16"/>
                      <w:lang w:eastAsia="pl-PL"/>
                    </w:rPr>
                    <w:t>mln</w:t>
                  </w:r>
                </w:p>
              </w:tc>
              <w:tc>
                <w:tcPr>
                  <w:tcW w:w="613" w:type="dxa"/>
                  <w:tcBorders>
                    <w:top w:val="nil"/>
                    <w:left w:val="nil"/>
                    <w:bottom w:val="single" w:sz="4" w:space="0" w:color="auto"/>
                    <w:right w:val="single" w:sz="4" w:space="0" w:color="auto"/>
                  </w:tcBorders>
                  <w:shd w:val="clear" w:color="auto" w:fill="auto"/>
                  <w:noWrap/>
                  <w:vAlign w:val="center"/>
                  <w:hideMark/>
                </w:tcPr>
                <w:p w14:paraId="1D9CEB63"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27FF0883"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7DF6515E"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6D9C83CC"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287924AB"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4A807BD4"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3E1B4756"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378C877C"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single" w:sz="4" w:space="0" w:color="auto"/>
                  </w:tcBorders>
                  <w:shd w:val="clear" w:color="auto" w:fill="auto"/>
                  <w:noWrap/>
                  <w:vAlign w:val="center"/>
                  <w:hideMark/>
                </w:tcPr>
                <w:p w14:paraId="25366056"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3" w:type="dxa"/>
                  <w:tcBorders>
                    <w:top w:val="nil"/>
                    <w:left w:val="nil"/>
                    <w:bottom w:val="single" w:sz="4" w:space="0" w:color="auto"/>
                    <w:right w:val="nil"/>
                  </w:tcBorders>
                  <w:shd w:val="clear" w:color="auto" w:fill="auto"/>
                  <w:noWrap/>
                  <w:vAlign w:val="center"/>
                  <w:hideMark/>
                </w:tcPr>
                <w:p w14:paraId="321A973D"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w:t>
                  </w:r>
                </w:p>
              </w:tc>
              <w:tc>
                <w:tcPr>
                  <w:tcW w:w="617" w:type="dxa"/>
                  <w:tcBorders>
                    <w:top w:val="nil"/>
                    <w:left w:val="single" w:sz="4" w:space="0" w:color="auto"/>
                    <w:bottom w:val="single" w:sz="4" w:space="0" w:color="auto"/>
                    <w:right w:val="single" w:sz="8" w:space="0" w:color="auto"/>
                  </w:tcBorders>
                  <w:shd w:val="clear" w:color="auto" w:fill="auto"/>
                  <w:noWrap/>
                  <w:vAlign w:val="center"/>
                  <w:hideMark/>
                </w:tcPr>
                <w:p w14:paraId="4128CA63"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135,00</w:t>
                  </w:r>
                </w:p>
              </w:tc>
            </w:tr>
            <w:tr w:rsidR="00901F36" w:rsidRPr="000F0B71" w14:paraId="2E60717E" w14:textId="77777777" w:rsidTr="00B060A4">
              <w:trPr>
                <w:trHeight w:val="2022"/>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14:paraId="0E794533"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2</w:t>
                  </w:r>
                </w:p>
              </w:tc>
              <w:tc>
                <w:tcPr>
                  <w:tcW w:w="1208" w:type="dxa"/>
                  <w:tcBorders>
                    <w:top w:val="nil"/>
                    <w:left w:val="nil"/>
                    <w:bottom w:val="single" w:sz="4" w:space="0" w:color="auto"/>
                    <w:right w:val="single" w:sz="8" w:space="0" w:color="auto"/>
                  </w:tcBorders>
                  <w:shd w:val="clear" w:color="000000" w:fill="DDEBF7"/>
                  <w:vAlign w:val="center"/>
                  <w:hideMark/>
                </w:tcPr>
                <w:p w14:paraId="5D60610F" w14:textId="77777777" w:rsidR="00901F36" w:rsidRPr="008C396D" w:rsidRDefault="00901F36" w:rsidP="00C54497">
                  <w:pPr>
                    <w:spacing w:line="240" w:lineRule="auto"/>
                    <w:rPr>
                      <w:rFonts w:ascii="Times New Roman" w:eastAsia="Times New Roman" w:hAnsi="Times New Roman"/>
                      <w:color w:val="000000"/>
                      <w:sz w:val="16"/>
                      <w:szCs w:val="16"/>
                      <w:lang w:eastAsia="pl-PL"/>
                    </w:rPr>
                  </w:pPr>
                  <w:r w:rsidRPr="008C396D">
                    <w:rPr>
                      <w:rFonts w:ascii="Times New Roman" w:eastAsia="Times New Roman" w:hAnsi="Times New Roman"/>
                      <w:color w:val="000000"/>
                      <w:sz w:val="16"/>
                      <w:szCs w:val="16"/>
                      <w:lang w:eastAsia="pl-PL"/>
                    </w:rPr>
                    <w:t xml:space="preserve">Notowania cen EUA z rynku ICE future 21-25 (symbol "CKZ") z dnia 17 września 2019 r., z ekstrapolacją trendu liniowego w latach 26-30 [w EUR] </w:t>
                  </w:r>
                </w:p>
              </w:tc>
              <w:tc>
                <w:tcPr>
                  <w:tcW w:w="613" w:type="dxa"/>
                  <w:tcBorders>
                    <w:top w:val="nil"/>
                    <w:left w:val="single" w:sz="8" w:space="0" w:color="auto"/>
                    <w:bottom w:val="single" w:sz="4" w:space="0" w:color="auto"/>
                    <w:right w:val="single" w:sz="8" w:space="0" w:color="auto"/>
                  </w:tcBorders>
                  <w:shd w:val="clear" w:color="auto" w:fill="auto"/>
                  <w:noWrap/>
                  <w:vAlign w:val="center"/>
                  <w:hideMark/>
                </w:tcPr>
                <w:p w14:paraId="55786ABE" w14:textId="77777777" w:rsidR="00901F36" w:rsidRPr="002703B2" w:rsidRDefault="00901F36" w:rsidP="00C54497">
                  <w:pPr>
                    <w:spacing w:line="240" w:lineRule="auto"/>
                    <w:jc w:val="center"/>
                    <w:rPr>
                      <w:rFonts w:ascii="Times New Roman" w:eastAsia="Times New Roman" w:hAnsi="Times New Roman"/>
                      <w:color w:val="000000"/>
                      <w:sz w:val="16"/>
                      <w:szCs w:val="16"/>
                      <w:lang w:eastAsia="pl-PL"/>
                    </w:rPr>
                  </w:pPr>
                  <w:r w:rsidRPr="002703B2">
                    <w:rPr>
                      <w:rFonts w:ascii="Times New Roman" w:eastAsia="Times New Roman" w:hAnsi="Times New Roman"/>
                      <w:color w:val="000000"/>
                      <w:sz w:val="16"/>
                      <w:szCs w:val="16"/>
                      <w:lang w:eastAsia="pl-PL"/>
                    </w:rPr>
                    <w:t>EUR</w:t>
                  </w:r>
                </w:p>
              </w:tc>
              <w:tc>
                <w:tcPr>
                  <w:tcW w:w="613" w:type="dxa"/>
                  <w:tcBorders>
                    <w:top w:val="nil"/>
                    <w:left w:val="nil"/>
                    <w:bottom w:val="single" w:sz="4" w:space="0" w:color="auto"/>
                    <w:right w:val="single" w:sz="4" w:space="0" w:color="auto"/>
                  </w:tcBorders>
                  <w:shd w:val="clear" w:color="auto" w:fill="auto"/>
                  <w:noWrap/>
                  <w:vAlign w:val="center"/>
                  <w:hideMark/>
                </w:tcPr>
                <w:p w14:paraId="07A3E341"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26,85</w:t>
                  </w:r>
                </w:p>
              </w:tc>
              <w:tc>
                <w:tcPr>
                  <w:tcW w:w="613" w:type="dxa"/>
                  <w:tcBorders>
                    <w:top w:val="nil"/>
                    <w:left w:val="nil"/>
                    <w:bottom w:val="single" w:sz="4" w:space="0" w:color="auto"/>
                    <w:right w:val="single" w:sz="4" w:space="0" w:color="auto"/>
                  </w:tcBorders>
                  <w:shd w:val="clear" w:color="auto" w:fill="auto"/>
                  <w:noWrap/>
                  <w:vAlign w:val="center"/>
                  <w:hideMark/>
                </w:tcPr>
                <w:p w14:paraId="3551DB21"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27,24</w:t>
                  </w:r>
                </w:p>
              </w:tc>
              <w:tc>
                <w:tcPr>
                  <w:tcW w:w="613" w:type="dxa"/>
                  <w:tcBorders>
                    <w:top w:val="nil"/>
                    <w:left w:val="nil"/>
                    <w:bottom w:val="single" w:sz="4" w:space="0" w:color="auto"/>
                    <w:right w:val="single" w:sz="4" w:space="0" w:color="auto"/>
                  </w:tcBorders>
                  <w:shd w:val="clear" w:color="auto" w:fill="auto"/>
                  <w:noWrap/>
                  <w:vAlign w:val="center"/>
                  <w:hideMark/>
                </w:tcPr>
                <w:p w14:paraId="20504267"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27,64</w:t>
                  </w:r>
                </w:p>
              </w:tc>
              <w:tc>
                <w:tcPr>
                  <w:tcW w:w="613" w:type="dxa"/>
                  <w:tcBorders>
                    <w:top w:val="nil"/>
                    <w:left w:val="nil"/>
                    <w:bottom w:val="single" w:sz="4" w:space="0" w:color="auto"/>
                    <w:right w:val="single" w:sz="4" w:space="0" w:color="auto"/>
                  </w:tcBorders>
                  <w:shd w:val="clear" w:color="auto" w:fill="auto"/>
                  <w:noWrap/>
                  <w:vAlign w:val="center"/>
                  <w:hideMark/>
                </w:tcPr>
                <w:p w14:paraId="421032D9"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28,06</w:t>
                  </w:r>
                </w:p>
              </w:tc>
              <w:tc>
                <w:tcPr>
                  <w:tcW w:w="613" w:type="dxa"/>
                  <w:tcBorders>
                    <w:top w:val="nil"/>
                    <w:left w:val="nil"/>
                    <w:bottom w:val="single" w:sz="4" w:space="0" w:color="auto"/>
                    <w:right w:val="single" w:sz="4" w:space="0" w:color="auto"/>
                  </w:tcBorders>
                  <w:shd w:val="clear" w:color="auto" w:fill="auto"/>
                  <w:noWrap/>
                  <w:vAlign w:val="center"/>
                  <w:hideMark/>
                </w:tcPr>
                <w:p w14:paraId="027B88FA"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28,48</w:t>
                  </w:r>
                </w:p>
              </w:tc>
              <w:tc>
                <w:tcPr>
                  <w:tcW w:w="613" w:type="dxa"/>
                  <w:tcBorders>
                    <w:top w:val="nil"/>
                    <w:left w:val="nil"/>
                    <w:bottom w:val="single" w:sz="4" w:space="0" w:color="auto"/>
                    <w:right w:val="single" w:sz="4" w:space="0" w:color="auto"/>
                  </w:tcBorders>
                  <w:shd w:val="clear" w:color="auto" w:fill="auto"/>
                  <w:noWrap/>
                  <w:vAlign w:val="center"/>
                  <w:hideMark/>
                </w:tcPr>
                <w:p w14:paraId="58427FA3"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28,88</w:t>
                  </w:r>
                </w:p>
              </w:tc>
              <w:tc>
                <w:tcPr>
                  <w:tcW w:w="613" w:type="dxa"/>
                  <w:tcBorders>
                    <w:top w:val="nil"/>
                    <w:left w:val="nil"/>
                    <w:bottom w:val="single" w:sz="4" w:space="0" w:color="auto"/>
                    <w:right w:val="single" w:sz="4" w:space="0" w:color="auto"/>
                  </w:tcBorders>
                  <w:shd w:val="clear" w:color="auto" w:fill="auto"/>
                  <w:noWrap/>
                  <w:vAlign w:val="center"/>
                  <w:hideMark/>
                </w:tcPr>
                <w:p w14:paraId="0A277F7D"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29,29</w:t>
                  </w:r>
                </w:p>
              </w:tc>
              <w:tc>
                <w:tcPr>
                  <w:tcW w:w="613" w:type="dxa"/>
                  <w:tcBorders>
                    <w:top w:val="nil"/>
                    <w:left w:val="nil"/>
                    <w:bottom w:val="single" w:sz="4" w:space="0" w:color="auto"/>
                    <w:right w:val="single" w:sz="4" w:space="0" w:color="auto"/>
                  </w:tcBorders>
                  <w:shd w:val="clear" w:color="auto" w:fill="auto"/>
                  <w:noWrap/>
                  <w:vAlign w:val="center"/>
                  <w:hideMark/>
                </w:tcPr>
                <w:p w14:paraId="28529EC6"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29,71</w:t>
                  </w:r>
                </w:p>
              </w:tc>
              <w:tc>
                <w:tcPr>
                  <w:tcW w:w="613" w:type="dxa"/>
                  <w:tcBorders>
                    <w:top w:val="nil"/>
                    <w:left w:val="nil"/>
                    <w:bottom w:val="single" w:sz="4" w:space="0" w:color="auto"/>
                    <w:right w:val="single" w:sz="4" w:space="0" w:color="auto"/>
                  </w:tcBorders>
                  <w:shd w:val="clear" w:color="auto" w:fill="auto"/>
                  <w:noWrap/>
                  <w:vAlign w:val="center"/>
                  <w:hideMark/>
                </w:tcPr>
                <w:p w14:paraId="04A1ECE6"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30,12</w:t>
                  </w:r>
                </w:p>
              </w:tc>
              <w:tc>
                <w:tcPr>
                  <w:tcW w:w="613" w:type="dxa"/>
                  <w:tcBorders>
                    <w:top w:val="nil"/>
                    <w:left w:val="nil"/>
                    <w:bottom w:val="single" w:sz="4" w:space="0" w:color="auto"/>
                    <w:right w:val="single" w:sz="4" w:space="0" w:color="auto"/>
                  </w:tcBorders>
                  <w:shd w:val="clear" w:color="auto" w:fill="auto"/>
                  <w:noWrap/>
                  <w:vAlign w:val="center"/>
                  <w:hideMark/>
                </w:tcPr>
                <w:p w14:paraId="5309D44C"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30,53</w:t>
                  </w:r>
                </w:p>
              </w:tc>
              <w:tc>
                <w:tcPr>
                  <w:tcW w:w="617" w:type="dxa"/>
                  <w:tcBorders>
                    <w:top w:val="nil"/>
                    <w:left w:val="nil"/>
                    <w:bottom w:val="single" w:sz="4" w:space="0" w:color="auto"/>
                    <w:right w:val="single" w:sz="8" w:space="0" w:color="auto"/>
                  </w:tcBorders>
                  <w:shd w:val="clear" w:color="auto" w:fill="auto"/>
                  <w:noWrap/>
                  <w:vAlign w:val="center"/>
                  <w:hideMark/>
                </w:tcPr>
                <w:p w14:paraId="3B224FE9"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x</w:t>
                  </w:r>
                </w:p>
              </w:tc>
            </w:tr>
            <w:tr w:rsidR="00901F36" w:rsidRPr="000F0B71" w14:paraId="47233C29" w14:textId="77777777" w:rsidTr="00B060A4">
              <w:trPr>
                <w:trHeight w:val="576"/>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14:paraId="44EEAC11"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lastRenderedPageBreak/>
                    <w:t>3</w:t>
                  </w:r>
                </w:p>
              </w:tc>
              <w:tc>
                <w:tcPr>
                  <w:tcW w:w="1208" w:type="dxa"/>
                  <w:tcBorders>
                    <w:top w:val="nil"/>
                    <w:left w:val="nil"/>
                    <w:bottom w:val="single" w:sz="4" w:space="0" w:color="auto"/>
                    <w:right w:val="single" w:sz="8" w:space="0" w:color="auto"/>
                  </w:tcBorders>
                  <w:shd w:val="clear" w:color="000000" w:fill="DDEBF7"/>
                  <w:vAlign w:val="center"/>
                  <w:hideMark/>
                </w:tcPr>
                <w:p w14:paraId="134BD1FC" w14:textId="77777777" w:rsidR="00901F36" w:rsidRPr="008C396D" w:rsidRDefault="00901F36" w:rsidP="00C54497">
                  <w:pPr>
                    <w:spacing w:line="240" w:lineRule="auto"/>
                    <w:rPr>
                      <w:rFonts w:ascii="Times New Roman" w:eastAsia="Times New Roman" w:hAnsi="Times New Roman"/>
                      <w:color w:val="000000"/>
                      <w:sz w:val="16"/>
                      <w:szCs w:val="16"/>
                      <w:lang w:eastAsia="pl-PL"/>
                    </w:rPr>
                  </w:pPr>
                  <w:r w:rsidRPr="008C396D">
                    <w:rPr>
                      <w:rFonts w:ascii="Times New Roman" w:eastAsia="Times New Roman" w:hAnsi="Times New Roman"/>
                      <w:color w:val="000000"/>
                      <w:sz w:val="16"/>
                      <w:szCs w:val="16"/>
                      <w:lang w:eastAsia="pl-PL"/>
                    </w:rPr>
                    <w:t xml:space="preserve">Przychód ze sprzedaży uprawnień </w:t>
                  </w:r>
                </w:p>
              </w:tc>
              <w:tc>
                <w:tcPr>
                  <w:tcW w:w="613" w:type="dxa"/>
                  <w:tcBorders>
                    <w:top w:val="nil"/>
                    <w:left w:val="single" w:sz="8" w:space="0" w:color="auto"/>
                    <w:bottom w:val="nil"/>
                    <w:right w:val="single" w:sz="8" w:space="0" w:color="auto"/>
                  </w:tcBorders>
                  <w:shd w:val="clear" w:color="auto" w:fill="auto"/>
                  <w:noWrap/>
                  <w:vAlign w:val="center"/>
                  <w:hideMark/>
                </w:tcPr>
                <w:p w14:paraId="5EC360CD" w14:textId="77777777" w:rsidR="00901F36" w:rsidRPr="002703B2" w:rsidRDefault="00901F36" w:rsidP="00C54497">
                  <w:pPr>
                    <w:spacing w:line="240" w:lineRule="auto"/>
                    <w:jc w:val="center"/>
                    <w:rPr>
                      <w:rFonts w:ascii="Times New Roman" w:eastAsia="Times New Roman" w:hAnsi="Times New Roman"/>
                      <w:color w:val="000000"/>
                      <w:sz w:val="16"/>
                      <w:szCs w:val="16"/>
                      <w:lang w:eastAsia="pl-PL"/>
                    </w:rPr>
                  </w:pPr>
                  <w:r w:rsidRPr="002703B2">
                    <w:rPr>
                      <w:rFonts w:ascii="Times New Roman" w:eastAsia="Times New Roman" w:hAnsi="Times New Roman"/>
                      <w:color w:val="000000"/>
                      <w:sz w:val="16"/>
                      <w:szCs w:val="16"/>
                      <w:lang w:eastAsia="pl-PL"/>
                    </w:rPr>
                    <w:t>mln EUR</w:t>
                  </w:r>
                </w:p>
              </w:tc>
              <w:tc>
                <w:tcPr>
                  <w:tcW w:w="613" w:type="dxa"/>
                  <w:tcBorders>
                    <w:top w:val="nil"/>
                    <w:left w:val="nil"/>
                    <w:bottom w:val="single" w:sz="4" w:space="0" w:color="auto"/>
                    <w:right w:val="single" w:sz="4" w:space="0" w:color="auto"/>
                  </w:tcBorders>
                  <w:shd w:val="clear" w:color="auto" w:fill="auto"/>
                  <w:noWrap/>
                  <w:vAlign w:val="center"/>
                  <w:hideMark/>
                </w:tcPr>
                <w:p w14:paraId="0865716B"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362,48</w:t>
                  </w:r>
                </w:p>
              </w:tc>
              <w:tc>
                <w:tcPr>
                  <w:tcW w:w="613" w:type="dxa"/>
                  <w:tcBorders>
                    <w:top w:val="nil"/>
                    <w:left w:val="nil"/>
                    <w:bottom w:val="single" w:sz="4" w:space="0" w:color="auto"/>
                    <w:right w:val="single" w:sz="4" w:space="0" w:color="auto"/>
                  </w:tcBorders>
                  <w:shd w:val="clear" w:color="auto" w:fill="auto"/>
                  <w:noWrap/>
                  <w:vAlign w:val="center"/>
                  <w:hideMark/>
                </w:tcPr>
                <w:p w14:paraId="36BCBA4A"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367,74</w:t>
                  </w:r>
                </w:p>
              </w:tc>
              <w:tc>
                <w:tcPr>
                  <w:tcW w:w="613" w:type="dxa"/>
                  <w:tcBorders>
                    <w:top w:val="nil"/>
                    <w:left w:val="nil"/>
                    <w:bottom w:val="single" w:sz="4" w:space="0" w:color="auto"/>
                    <w:right w:val="single" w:sz="4" w:space="0" w:color="auto"/>
                  </w:tcBorders>
                  <w:shd w:val="clear" w:color="auto" w:fill="auto"/>
                  <w:noWrap/>
                  <w:vAlign w:val="center"/>
                  <w:hideMark/>
                </w:tcPr>
                <w:p w14:paraId="01436701"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373,14</w:t>
                  </w:r>
                </w:p>
              </w:tc>
              <w:tc>
                <w:tcPr>
                  <w:tcW w:w="613" w:type="dxa"/>
                  <w:tcBorders>
                    <w:top w:val="nil"/>
                    <w:left w:val="nil"/>
                    <w:bottom w:val="single" w:sz="4" w:space="0" w:color="auto"/>
                    <w:right w:val="single" w:sz="4" w:space="0" w:color="auto"/>
                  </w:tcBorders>
                  <w:shd w:val="clear" w:color="auto" w:fill="auto"/>
                  <w:noWrap/>
                  <w:vAlign w:val="center"/>
                  <w:hideMark/>
                </w:tcPr>
                <w:p w14:paraId="11D334BC"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378,81</w:t>
                  </w:r>
                </w:p>
              </w:tc>
              <w:tc>
                <w:tcPr>
                  <w:tcW w:w="613" w:type="dxa"/>
                  <w:tcBorders>
                    <w:top w:val="nil"/>
                    <w:left w:val="nil"/>
                    <w:bottom w:val="single" w:sz="4" w:space="0" w:color="auto"/>
                    <w:right w:val="single" w:sz="4" w:space="0" w:color="auto"/>
                  </w:tcBorders>
                  <w:shd w:val="clear" w:color="auto" w:fill="auto"/>
                  <w:noWrap/>
                  <w:vAlign w:val="center"/>
                  <w:hideMark/>
                </w:tcPr>
                <w:p w14:paraId="6E9AB995"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384,48</w:t>
                  </w:r>
                </w:p>
              </w:tc>
              <w:tc>
                <w:tcPr>
                  <w:tcW w:w="613" w:type="dxa"/>
                  <w:tcBorders>
                    <w:top w:val="nil"/>
                    <w:left w:val="nil"/>
                    <w:bottom w:val="single" w:sz="4" w:space="0" w:color="auto"/>
                    <w:right w:val="single" w:sz="4" w:space="0" w:color="auto"/>
                  </w:tcBorders>
                  <w:shd w:val="clear" w:color="auto" w:fill="auto"/>
                  <w:noWrap/>
                  <w:vAlign w:val="center"/>
                  <w:hideMark/>
                </w:tcPr>
                <w:p w14:paraId="40CE71B1"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389,85</w:t>
                  </w:r>
                </w:p>
              </w:tc>
              <w:tc>
                <w:tcPr>
                  <w:tcW w:w="613" w:type="dxa"/>
                  <w:tcBorders>
                    <w:top w:val="nil"/>
                    <w:left w:val="nil"/>
                    <w:bottom w:val="single" w:sz="4" w:space="0" w:color="auto"/>
                    <w:right w:val="single" w:sz="4" w:space="0" w:color="auto"/>
                  </w:tcBorders>
                  <w:shd w:val="clear" w:color="auto" w:fill="auto"/>
                  <w:noWrap/>
                  <w:vAlign w:val="center"/>
                  <w:hideMark/>
                </w:tcPr>
                <w:p w14:paraId="4AEC6C64"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395,47</w:t>
                  </w:r>
                </w:p>
              </w:tc>
              <w:tc>
                <w:tcPr>
                  <w:tcW w:w="613" w:type="dxa"/>
                  <w:tcBorders>
                    <w:top w:val="nil"/>
                    <w:left w:val="nil"/>
                    <w:bottom w:val="single" w:sz="4" w:space="0" w:color="auto"/>
                    <w:right w:val="single" w:sz="4" w:space="0" w:color="auto"/>
                  </w:tcBorders>
                  <w:shd w:val="clear" w:color="auto" w:fill="auto"/>
                  <w:noWrap/>
                  <w:vAlign w:val="center"/>
                  <w:hideMark/>
                </w:tcPr>
                <w:p w14:paraId="6B07110A"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401,07</w:t>
                  </w:r>
                </w:p>
              </w:tc>
              <w:tc>
                <w:tcPr>
                  <w:tcW w:w="613" w:type="dxa"/>
                  <w:tcBorders>
                    <w:top w:val="nil"/>
                    <w:left w:val="nil"/>
                    <w:bottom w:val="single" w:sz="4" w:space="0" w:color="auto"/>
                    <w:right w:val="single" w:sz="4" w:space="0" w:color="auto"/>
                  </w:tcBorders>
                  <w:shd w:val="clear" w:color="auto" w:fill="auto"/>
                  <w:noWrap/>
                  <w:vAlign w:val="center"/>
                  <w:hideMark/>
                </w:tcPr>
                <w:p w14:paraId="0925AF3D"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406,59</w:t>
                  </w:r>
                </w:p>
              </w:tc>
              <w:tc>
                <w:tcPr>
                  <w:tcW w:w="613" w:type="dxa"/>
                  <w:tcBorders>
                    <w:top w:val="nil"/>
                    <w:left w:val="nil"/>
                    <w:bottom w:val="single" w:sz="4" w:space="0" w:color="auto"/>
                    <w:right w:val="nil"/>
                  </w:tcBorders>
                  <w:shd w:val="clear" w:color="auto" w:fill="auto"/>
                  <w:noWrap/>
                  <w:vAlign w:val="center"/>
                  <w:hideMark/>
                </w:tcPr>
                <w:p w14:paraId="05C05B5B"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412,12</w:t>
                  </w:r>
                </w:p>
              </w:tc>
              <w:tc>
                <w:tcPr>
                  <w:tcW w:w="617" w:type="dxa"/>
                  <w:tcBorders>
                    <w:top w:val="nil"/>
                    <w:left w:val="single" w:sz="4" w:space="0" w:color="auto"/>
                    <w:bottom w:val="single" w:sz="4" w:space="0" w:color="auto"/>
                    <w:right w:val="single" w:sz="8" w:space="0" w:color="auto"/>
                  </w:tcBorders>
                  <w:shd w:val="clear" w:color="auto" w:fill="auto"/>
                  <w:noWrap/>
                  <w:vAlign w:val="center"/>
                  <w:hideMark/>
                </w:tcPr>
                <w:p w14:paraId="3F7D5B45"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3 871,75</w:t>
                  </w:r>
                </w:p>
              </w:tc>
            </w:tr>
            <w:tr w:rsidR="00901F36" w:rsidRPr="000F0B71" w14:paraId="6CC23099" w14:textId="77777777" w:rsidTr="00B060A4">
              <w:trPr>
                <w:trHeight w:val="866"/>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14:paraId="2DC7BF6C" w14:textId="77777777" w:rsidR="00901F36" w:rsidRPr="008C396D" w:rsidRDefault="00901F36" w:rsidP="00C54497">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4</w:t>
                  </w:r>
                </w:p>
              </w:tc>
              <w:tc>
                <w:tcPr>
                  <w:tcW w:w="1208" w:type="dxa"/>
                  <w:tcBorders>
                    <w:top w:val="nil"/>
                    <w:left w:val="nil"/>
                    <w:bottom w:val="single" w:sz="4" w:space="0" w:color="auto"/>
                    <w:right w:val="single" w:sz="8" w:space="0" w:color="auto"/>
                  </w:tcBorders>
                  <w:shd w:val="clear" w:color="000000" w:fill="DDEBF7"/>
                  <w:vAlign w:val="center"/>
                  <w:hideMark/>
                </w:tcPr>
                <w:p w14:paraId="6307537F" w14:textId="77777777" w:rsidR="00901F36" w:rsidRPr="008C396D" w:rsidRDefault="00901F36" w:rsidP="00C54497">
                  <w:pPr>
                    <w:spacing w:line="240" w:lineRule="auto"/>
                    <w:rPr>
                      <w:rFonts w:ascii="Times New Roman" w:eastAsia="Times New Roman" w:hAnsi="Times New Roman"/>
                      <w:color w:val="000000"/>
                      <w:sz w:val="16"/>
                      <w:szCs w:val="16"/>
                      <w:lang w:eastAsia="pl-PL"/>
                    </w:rPr>
                  </w:pPr>
                  <w:r w:rsidRPr="008C396D">
                    <w:rPr>
                      <w:rFonts w:ascii="Times New Roman" w:eastAsia="Times New Roman" w:hAnsi="Times New Roman"/>
                      <w:color w:val="000000"/>
                      <w:sz w:val="16"/>
                      <w:szCs w:val="16"/>
                      <w:lang w:eastAsia="pl-PL"/>
                    </w:rPr>
                    <w:t>Kurs PLN/EUR wg wytycznych Ministra Finansów z maja 2019 r.</w:t>
                  </w:r>
                </w:p>
              </w:tc>
              <w:tc>
                <w:tcPr>
                  <w:tcW w:w="61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1B10FF" w14:textId="77777777" w:rsidR="00901F36" w:rsidRPr="002703B2" w:rsidRDefault="00901F36" w:rsidP="00C54497">
                  <w:pPr>
                    <w:spacing w:line="240" w:lineRule="auto"/>
                    <w:jc w:val="center"/>
                    <w:rPr>
                      <w:rFonts w:ascii="Times New Roman" w:eastAsia="Times New Roman" w:hAnsi="Times New Roman"/>
                      <w:color w:val="000000"/>
                      <w:sz w:val="16"/>
                      <w:szCs w:val="16"/>
                      <w:lang w:eastAsia="pl-PL"/>
                    </w:rPr>
                  </w:pPr>
                  <w:r w:rsidRPr="002703B2">
                    <w:rPr>
                      <w:rFonts w:ascii="Times New Roman" w:eastAsia="Times New Roman" w:hAnsi="Times New Roman"/>
                      <w:color w:val="000000"/>
                      <w:sz w:val="16"/>
                      <w:szCs w:val="16"/>
                      <w:lang w:eastAsia="pl-PL"/>
                    </w:rPr>
                    <w:t>PLN/           1 EUR</w:t>
                  </w:r>
                </w:p>
              </w:tc>
              <w:tc>
                <w:tcPr>
                  <w:tcW w:w="613" w:type="dxa"/>
                  <w:tcBorders>
                    <w:top w:val="nil"/>
                    <w:left w:val="nil"/>
                    <w:bottom w:val="single" w:sz="4" w:space="0" w:color="auto"/>
                    <w:right w:val="single" w:sz="4" w:space="0" w:color="auto"/>
                  </w:tcBorders>
                  <w:shd w:val="clear" w:color="auto" w:fill="auto"/>
                  <w:noWrap/>
                  <w:vAlign w:val="center"/>
                  <w:hideMark/>
                </w:tcPr>
                <w:p w14:paraId="4867C2A7"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4FA36D77"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4BAB3E2E"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037D3D49"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76A4D370"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2C505930"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217A56B0"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6D5C6604"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single" w:sz="4" w:space="0" w:color="auto"/>
                  </w:tcBorders>
                  <w:shd w:val="clear" w:color="auto" w:fill="auto"/>
                  <w:noWrap/>
                  <w:vAlign w:val="center"/>
                  <w:hideMark/>
                </w:tcPr>
                <w:p w14:paraId="0CC29D9E"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3" w:type="dxa"/>
                  <w:tcBorders>
                    <w:top w:val="nil"/>
                    <w:left w:val="nil"/>
                    <w:bottom w:val="single" w:sz="4" w:space="0" w:color="auto"/>
                    <w:right w:val="nil"/>
                  </w:tcBorders>
                  <w:shd w:val="clear" w:color="auto" w:fill="auto"/>
                  <w:noWrap/>
                  <w:vAlign w:val="center"/>
                  <w:hideMark/>
                </w:tcPr>
                <w:p w14:paraId="21257B1C"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4,30</w:t>
                  </w:r>
                </w:p>
              </w:tc>
              <w:tc>
                <w:tcPr>
                  <w:tcW w:w="617" w:type="dxa"/>
                  <w:tcBorders>
                    <w:top w:val="nil"/>
                    <w:left w:val="single" w:sz="4" w:space="0" w:color="auto"/>
                    <w:bottom w:val="single" w:sz="4" w:space="0" w:color="auto"/>
                    <w:right w:val="single" w:sz="8" w:space="0" w:color="auto"/>
                  </w:tcBorders>
                  <w:shd w:val="clear" w:color="auto" w:fill="auto"/>
                  <w:noWrap/>
                  <w:vAlign w:val="center"/>
                  <w:hideMark/>
                </w:tcPr>
                <w:p w14:paraId="35F0AA4E" w14:textId="77777777" w:rsidR="00901F36" w:rsidRPr="008C396D" w:rsidRDefault="00901F36" w:rsidP="00C54497">
                  <w:pPr>
                    <w:spacing w:line="240" w:lineRule="auto"/>
                    <w:jc w:val="right"/>
                    <w:rPr>
                      <w:rFonts w:ascii="Times New Roman" w:eastAsia="Times New Roman" w:hAnsi="Times New Roman"/>
                      <w:color w:val="000000"/>
                      <w:sz w:val="14"/>
                      <w:szCs w:val="14"/>
                      <w:lang w:eastAsia="pl-PL"/>
                    </w:rPr>
                  </w:pPr>
                  <w:r w:rsidRPr="008C396D">
                    <w:rPr>
                      <w:rFonts w:ascii="Times New Roman" w:eastAsia="Times New Roman" w:hAnsi="Times New Roman"/>
                      <w:color w:val="000000"/>
                      <w:sz w:val="14"/>
                      <w:szCs w:val="14"/>
                      <w:lang w:eastAsia="pl-PL"/>
                    </w:rPr>
                    <w:t>x</w:t>
                  </w:r>
                </w:p>
              </w:tc>
            </w:tr>
            <w:tr w:rsidR="00901F36" w:rsidRPr="000F0B71" w14:paraId="62FA138F" w14:textId="77777777" w:rsidTr="00B060A4">
              <w:trPr>
                <w:trHeight w:val="590"/>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70CF5B9C" w14:textId="77777777" w:rsidR="00901F36" w:rsidRPr="008C396D" w:rsidRDefault="00901F36" w:rsidP="009F2A15">
                  <w:pPr>
                    <w:spacing w:line="240" w:lineRule="auto"/>
                    <w:jc w:val="center"/>
                    <w:rPr>
                      <w:rFonts w:ascii="Times New Roman" w:eastAsia="Times New Roman" w:hAnsi="Times New Roman"/>
                      <w:b/>
                      <w:bCs/>
                      <w:color w:val="000000"/>
                      <w:sz w:val="16"/>
                      <w:szCs w:val="16"/>
                      <w:lang w:eastAsia="pl-PL"/>
                    </w:rPr>
                  </w:pPr>
                  <w:r w:rsidRPr="008C396D">
                    <w:rPr>
                      <w:rFonts w:ascii="Times New Roman" w:eastAsia="Times New Roman" w:hAnsi="Times New Roman"/>
                      <w:b/>
                      <w:bCs/>
                      <w:color w:val="000000"/>
                      <w:sz w:val="16"/>
                      <w:szCs w:val="16"/>
                      <w:lang w:eastAsia="pl-PL"/>
                    </w:rPr>
                    <w:t>5</w:t>
                  </w:r>
                </w:p>
              </w:tc>
              <w:tc>
                <w:tcPr>
                  <w:tcW w:w="1208" w:type="dxa"/>
                  <w:tcBorders>
                    <w:top w:val="nil"/>
                    <w:left w:val="nil"/>
                    <w:bottom w:val="single" w:sz="8" w:space="0" w:color="auto"/>
                    <w:right w:val="single" w:sz="8" w:space="0" w:color="auto"/>
                  </w:tcBorders>
                  <w:shd w:val="clear" w:color="000000" w:fill="DDEBF7"/>
                  <w:vAlign w:val="center"/>
                  <w:hideMark/>
                </w:tcPr>
                <w:p w14:paraId="5DFA5D97" w14:textId="77777777" w:rsidR="00901F36" w:rsidRPr="008C396D" w:rsidRDefault="00901F36" w:rsidP="009F2A15">
                  <w:pPr>
                    <w:spacing w:line="240" w:lineRule="auto"/>
                    <w:rPr>
                      <w:rFonts w:ascii="Times New Roman" w:eastAsia="Times New Roman" w:hAnsi="Times New Roman"/>
                      <w:color w:val="000000"/>
                      <w:sz w:val="16"/>
                      <w:szCs w:val="16"/>
                      <w:lang w:eastAsia="pl-PL"/>
                    </w:rPr>
                  </w:pPr>
                  <w:r w:rsidRPr="008C396D">
                    <w:rPr>
                      <w:rFonts w:ascii="Times New Roman" w:eastAsia="Times New Roman" w:hAnsi="Times New Roman"/>
                      <w:color w:val="000000"/>
                      <w:sz w:val="16"/>
                      <w:szCs w:val="16"/>
                      <w:lang w:eastAsia="pl-PL"/>
                    </w:rPr>
                    <w:t xml:space="preserve">Przychód ze sprzedaży uprawnień </w:t>
                  </w:r>
                </w:p>
              </w:tc>
              <w:tc>
                <w:tcPr>
                  <w:tcW w:w="613" w:type="dxa"/>
                  <w:tcBorders>
                    <w:top w:val="nil"/>
                    <w:left w:val="single" w:sz="8" w:space="0" w:color="auto"/>
                    <w:bottom w:val="single" w:sz="8" w:space="0" w:color="auto"/>
                    <w:right w:val="single" w:sz="8" w:space="0" w:color="auto"/>
                  </w:tcBorders>
                  <w:shd w:val="clear" w:color="auto" w:fill="auto"/>
                  <w:noWrap/>
                  <w:vAlign w:val="center"/>
                  <w:hideMark/>
                </w:tcPr>
                <w:p w14:paraId="68E555AD" w14:textId="77777777" w:rsidR="00901F36" w:rsidRPr="002703B2" w:rsidRDefault="00901F36" w:rsidP="009F2A15">
                  <w:pPr>
                    <w:spacing w:line="240" w:lineRule="auto"/>
                    <w:jc w:val="center"/>
                    <w:rPr>
                      <w:rFonts w:ascii="Times New Roman" w:eastAsia="Times New Roman" w:hAnsi="Times New Roman"/>
                      <w:color w:val="000000"/>
                      <w:sz w:val="16"/>
                      <w:szCs w:val="16"/>
                      <w:lang w:eastAsia="pl-PL"/>
                    </w:rPr>
                  </w:pPr>
                  <w:r w:rsidRPr="002703B2">
                    <w:rPr>
                      <w:rFonts w:ascii="Times New Roman" w:eastAsia="Times New Roman" w:hAnsi="Times New Roman"/>
                      <w:color w:val="000000"/>
                      <w:sz w:val="16"/>
                      <w:szCs w:val="16"/>
                      <w:lang w:eastAsia="pl-PL"/>
                    </w:rPr>
                    <w:t>mln PLN</w:t>
                  </w:r>
                </w:p>
              </w:tc>
              <w:tc>
                <w:tcPr>
                  <w:tcW w:w="613" w:type="dxa"/>
                  <w:tcBorders>
                    <w:top w:val="nil"/>
                    <w:left w:val="nil"/>
                    <w:bottom w:val="single" w:sz="8" w:space="0" w:color="auto"/>
                    <w:right w:val="single" w:sz="4" w:space="0" w:color="auto"/>
                  </w:tcBorders>
                  <w:shd w:val="clear" w:color="auto" w:fill="auto"/>
                  <w:hideMark/>
                </w:tcPr>
                <w:p w14:paraId="4114B64C" w14:textId="3FCC8365"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1 558,66</w:t>
                  </w:r>
                </w:p>
              </w:tc>
              <w:tc>
                <w:tcPr>
                  <w:tcW w:w="613" w:type="dxa"/>
                  <w:tcBorders>
                    <w:top w:val="nil"/>
                    <w:left w:val="nil"/>
                    <w:bottom w:val="single" w:sz="8" w:space="0" w:color="auto"/>
                    <w:right w:val="single" w:sz="4" w:space="0" w:color="auto"/>
                  </w:tcBorders>
                  <w:shd w:val="clear" w:color="auto" w:fill="auto"/>
                  <w:hideMark/>
                </w:tcPr>
                <w:p w14:paraId="52A26364" w14:textId="23D99076"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1 581,28</w:t>
                  </w:r>
                </w:p>
              </w:tc>
              <w:tc>
                <w:tcPr>
                  <w:tcW w:w="613" w:type="dxa"/>
                  <w:tcBorders>
                    <w:top w:val="nil"/>
                    <w:left w:val="nil"/>
                    <w:bottom w:val="single" w:sz="8" w:space="0" w:color="auto"/>
                    <w:right w:val="single" w:sz="4" w:space="0" w:color="auto"/>
                  </w:tcBorders>
                  <w:shd w:val="clear" w:color="auto" w:fill="auto"/>
                  <w:hideMark/>
                </w:tcPr>
                <w:p w14:paraId="3ACBCEBE" w14:textId="6C87BF61"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1 604,50</w:t>
                  </w:r>
                </w:p>
              </w:tc>
              <w:tc>
                <w:tcPr>
                  <w:tcW w:w="613" w:type="dxa"/>
                  <w:tcBorders>
                    <w:top w:val="nil"/>
                    <w:left w:val="nil"/>
                    <w:bottom w:val="single" w:sz="8" w:space="0" w:color="auto"/>
                    <w:right w:val="single" w:sz="4" w:space="0" w:color="auto"/>
                  </w:tcBorders>
                  <w:shd w:val="clear" w:color="auto" w:fill="auto"/>
                  <w:hideMark/>
                </w:tcPr>
                <w:p w14:paraId="37C71994" w14:textId="2EC5D524"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1 628,88</w:t>
                  </w:r>
                </w:p>
              </w:tc>
              <w:tc>
                <w:tcPr>
                  <w:tcW w:w="613" w:type="dxa"/>
                  <w:tcBorders>
                    <w:top w:val="nil"/>
                    <w:left w:val="nil"/>
                    <w:bottom w:val="single" w:sz="8" w:space="0" w:color="auto"/>
                    <w:right w:val="single" w:sz="4" w:space="0" w:color="auto"/>
                  </w:tcBorders>
                  <w:shd w:val="clear" w:color="auto" w:fill="auto"/>
                  <w:hideMark/>
                </w:tcPr>
                <w:p w14:paraId="6C2D1256" w14:textId="768E84F1"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1 653,26</w:t>
                  </w:r>
                </w:p>
              </w:tc>
              <w:tc>
                <w:tcPr>
                  <w:tcW w:w="613" w:type="dxa"/>
                  <w:tcBorders>
                    <w:top w:val="nil"/>
                    <w:left w:val="nil"/>
                    <w:bottom w:val="single" w:sz="8" w:space="0" w:color="auto"/>
                    <w:right w:val="single" w:sz="4" w:space="0" w:color="auto"/>
                  </w:tcBorders>
                  <w:shd w:val="clear" w:color="auto" w:fill="auto"/>
                  <w:hideMark/>
                </w:tcPr>
                <w:p w14:paraId="182569B3" w14:textId="0C30B2E6"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1 676,36</w:t>
                  </w:r>
                </w:p>
              </w:tc>
              <w:tc>
                <w:tcPr>
                  <w:tcW w:w="613" w:type="dxa"/>
                  <w:tcBorders>
                    <w:top w:val="nil"/>
                    <w:left w:val="nil"/>
                    <w:bottom w:val="single" w:sz="8" w:space="0" w:color="auto"/>
                    <w:right w:val="single" w:sz="4" w:space="0" w:color="auto"/>
                  </w:tcBorders>
                  <w:shd w:val="clear" w:color="auto" w:fill="auto"/>
                  <w:hideMark/>
                </w:tcPr>
                <w:p w14:paraId="6E54C6A0" w14:textId="644AF35A"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1 700,52</w:t>
                  </w:r>
                </w:p>
              </w:tc>
              <w:tc>
                <w:tcPr>
                  <w:tcW w:w="613" w:type="dxa"/>
                  <w:tcBorders>
                    <w:top w:val="nil"/>
                    <w:left w:val="nil"/>
                    <w:bottom w:val="single" w:sz="8" w:space="0" w:color="auto"/>
                    <w:right w:val="single" w:sz="4" w:space="0" w:color="auto"/>
                  </w:tcBorders>
                  <w:shd w:val="clear" w:color="auto" w:fill="auto"/>
                  <w:hideMark/>
                </w:tcPr>
                <w:p w14:paraId="4554D6B8" w14:textId="7D99288A"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1 724,60</w:t>
                  </w:r>
                </w:p>
              </w:tc>
              <w:tc>
                <w:tcPr>
                  <w:tcW w:w="613" w:type="dxa"/>
                  <w:tcBorders>
                    <w:top w:val="nil"/>
                    <w:left w:val="nil"/>
                    <w:bottom w:val="single" w:sz="8" w:space="0" w:color="auto"/>
                    <w:right w:val="single" w:sz="4" w:space="0" w:color="auto"/>
                  </w:tcBorders>
                  <w:shd w:val="clear" w:color="auto" w:fill="auto"/>
                  <w:hideMark/>
                </w:tcPr>
                <w:p w14:paraId="62BE2E94" w14:textId="3EE81694"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1 748,34</w:t>
                  </w:r>
                </w:p>
              </w:tc>
              <w:tc>
                <w:tcPr>
                  <w:tcW w:w="613" w:type="dxa"/>
                  <w:tcBorders>
                    <w:top w:val="nil"/>
                    <w:left w:val="nil"/>
                    <w:bottom w:val="single" w:sz="8" w:space="0" w:color="auto"/>
                    <w:right w:val="nil"/>
                  </w:tcBorders>
                  <w:shd w:val="clear" w:color="auto" w:fill="auto"/>
                  <w:hideMark/>
                </w:tcPr>
                <w:p w14:paraId="350DC686" w14:textId="4D767968" w:rsidR="00901F36" w:rsidRPr="008B6DAF" w:rsidRDefault="00901F36" w:rsidP="009F2A15">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1 772,12</w:t>
                  </w:r>
                </w:p>
              </w:tc>
              <w:tc>
                <w:tcPr>
                  <w:tcW w:w="617" w:type="dxa"/>
                  <w:tcBorders>
                    <w:top w:val="nil"/>
                    <w:left w:val="single" w:sz="4" w:space="0" w:color="auto"/>
                    <w:bottom w:val="single" w:sz="8" w:space="0" w:color="auto"/>
                    <w:right w:val="single" w:sz="8" w:space="0" w:color="auto"/>
                  </w:tcBorders>
                  <w:shd w:val="clear" w:color="auto" w:fill="auto"/>
                  <w:noWrap/>
                  <w:hideMark/>
                </w:tcPr>
                <w:p w14:paraId="6C85C597" w14:textId="02529C12" w:rsidR="00901F36" w:rsidRPr="008B6DAF" w:rsidRDefault="00901F36" w:rsidP="00B90004">
                  <w:pPr>
                    <w:spacing w:line="240" w:lineRule="auto"/>
                    <w:jc w:val="right"/>
                    <w:rPr>
                      <w:rFonts w:ascii="Times New Roman" w:eastAsia="Times New Roman" w:hAnsi="Times New Roman"/>
                      <w:b/>
                      <w:color w:val="000000"/>
                      <w:sz w:val="14"/>
                      <w:szCs w:val="14"/>
                      <w:lang w:eastAsia="pl-PL"/>
                    </w:rPr>
                  </w:pPr>
                  <w:r w:rsidRPr="008B6DAF">
                    <w:rPr>
                      <w:rFonts w:ascii="Times New Roman" w:eastAsia="Times New Roman" w:hAnsi="Times New Roman"/>
                      <w:b/>
                      <w:color w:val="000000"/>
                      <w:sz w:val="14"/>
                      <w:szCs w:val="14"/>
                      <w:lang w:eastAsia="pl-PL"/>
                    </w:rPr>
                    <w:t>16 648,5</w:t>
                  </w:r>
                  <w:r>
                    <w:rPr>
                      <w:rFonts w:ascii="Times New Roman" w:eastAsia="Times New Roman" w:hAnsi="Times New Roman"/>
                      <w:b/>
                      <w:color w:val="000000"/>
                      <w:sz w:val="14"/>
                      <w:szCs w:val="14"/>
                      <w:lang w:eastAsia="pl-PL"/>
                    </w:rPr>
                    <w:t>2</w:t>
                  </w:r>
                </w:p>
              </w:tc>
            </w:tr>
            <w:tr w:rsidR="00901F36" w:rsidRPr="000F0B71" w14:paraId="765CF1F8" w14:textId="77777777" w:rsidTr="00767DD0">
              <w:trPr>
                <w:trHeight w:val="590"/>
              </w:trPr>
              <w:tc>
                <w:tcPr>
                  <w:tcW w:w="9005" w:type="dxa"/>
                  <w:gridSpan w:val="14"/>
                  <w:tcBorders>
                    <w:top w:val="nil"/>
                    <w:left w:val="single" w:sz="8" w:space="0" w:color="auto"/>
                    <w:bottom w:val="nil"/>
                    <w:right w:val="single" w:sz="8" w:space="0" w:color="auto"/>
                  </w:tcBorders>
                  <w:shd w:val="clear" w:color="auto" w:fill="auto"/>
                  <w:noWrap/>
                  <w:vAlign w:val="center"/>
                </w:tcPr>
                <w:p w14:paraId="2ECD4FC2" w14:textId="77777777" w:rsidR="00901F36" w:rsidRDefault="00901F36" w:rsidP="00C54497">
                  <w:pPr>
                    <w:spacing w:line="240" w:lineRule="auto"/>
                    <w:jc w:val="both"/>
                    <w:rPr>
                      <w:rFonts w:ascii="Times New Roman" w:eastAsia="Times New Roman" w:hAnsi="Times New Roman"/>
                      <w:b/>
                      <w:bCs/>
                      <w:color w:val="000000"/>
                      <w:sz w:val="18"/>
                      <w:szCs w:val="18"/>
                      <w:u w:val="single"/>
                      <w:lang w:eastAsia="pl-PL"/>
                    </w:rPr>
                  </w:pPr>
                  <w:r w:rsidRPr="002703B2">
                    <w:rPr>
                      <w:rFonts w:ascii="Times New Roman" w:eastAsia="Times New Roman" w:hAnsi="Times New Roman"/>
                      <w:b/>
                      <w:bCs/>
                      <w:color w:val="000000"/>
                      <w:sz w:val="18"/>
                      <w:szCs w:val="18"/>
                      <w:u w:val="single"/>
                      <w:lang w:eastAsia="pl-PL"/>
                    </w:rPr>
                    <w:t>Główne założenia:</w:t>
                  </w:r>
                </w:p>
                <w:p w14:paraId="15799427" w14:textId="617E9A24" w:rsidR="00901F36" w:rsidRPr="002703B2" w:rsidRDefault="00901F36" w:rsidP="00C54497">
                  <w:pPr>
                    <w:pStyle w:val="Akapitzlist"/>
                    <w:numPr>
                      <w:ilvl w:val="0"/>
                      <w:numId w:val="25"/>
                    </w:numPr>
                    <w:spacing w:line="240" w:lineRule="auto"/>
                    <w:jc w:val="both"/>
                    <w:rPr>
                      <w:rFonts w:ascii="Times New Roman" w:eastAsia="Times New Roman" w:hAnsi="Times New Roman"/>
                      <w:color w:val="000000"/>
                      <w:sz w:val="18"/>
                      <w:szCs w:val="18"/>
                      <w:lang w:eastAsia="pl-PL"/>
                    </w:rPr>
                  </w:pPr>
                  <w:r w:rsidRPr="002703B2">
                    <w:rPr>
                      <w:rFonts w:ascii="Times New Roman" w:eastAsia="Times New Roman" w:hAnsi="Times New Roman"/>
                      <w:color w:val="000000"/>
                      <w:sz w:val="18"/>
                      <w:szCs w:val="18"/>
                      <w:lang w:eastAsia="pl-PL"/>
                    </w:rPr>
                    <w:t>Liczba uprawnień została oszacowana w oparciu o następujące założenia i dokumenty: DYREKTYWĘ PARLAMENTU EUROPEJSKIEGO I RADY (UE) 2018/410 z dnia 14 marca 2018 r. zmieniając</w:t>
                  </w:r>
                  <w:r>
                    <w:rPr>
                      <w:rFonts w:ascii="Times New Roman" w:eastAsia="Times New Roman" w:hAnsi="Times New Roman"/>
                      <w:color w:val="000000"/>
                      <w:sz w:val="18"/>
                      <w:szCs w:val="18"/>
                      <w:lang w:eastAsia="pl-PL"/>
                    </w:rPr>
                    <w:t>ą</w:t>
                  </w:r>
                  <w:r w:rsidRPr="002703B2">
                    <w:rPr>
                      <w:rFonts w:ascii="Times New Roman" w:eastAsia="Times New Roman" w:hAnsi="Times New Roman"/>
                      <w:color w:val="000000"/>
                      <w:sz w:val="18"/>
                      <w:szCs w:val="18"/>
                      <w:lang w:eastAsia="pl-PL"/>
                    </w:rPr>
                    <w:t xml:space="preserve"> dyrektywę 2003/87/WE w celu wzmocnienia efektywnych pod względem kosztów redukcji emisji oraz inwestycji niskoemisyjnych oraz decyzję (UE) 2015/1814.</w:t>
                  </w:r>
                </w:p>
                <w:p w14:paraId="74356B5D" w14:textId="77777777" w:rsidR="00901F36" w:rsidRPr="002703B2" w:rsidRDefault="00901F36" w:rsidP="00C54497">
                  <w:pPr>
                    <w:pStyle w:val="Akapitzlist"/>
                    <w:numPr>
                      <w:ilvl w:val="0"/>
                      <w:numId w:val="25"/>
                    </w:numPr>
                    <w:spacing w:line="240" w:lineRule="auto"/>
                    <w:jc w:val="both"/>
                    <w:rPr>
                      <w:rFonts w:ascii="Times New Roman" w:eastAsia="Times New Roman" w:hAnsi="Times New Roman"/>
                      <w:b/>
                      <w:bCs/>
                      <w:color w:val="000000"/>
                      <w:sz w:val="18"/>
                      <w:szCs w:val="18"/>
                      <w:lang w:eastAsia="pl-PL"/>
                    </w:rPr>
                  </w:pPr>
                  <w:r w:rsidRPr="002703B2">
                    <w:rPr>
                      <w:rFonts w:ascii="Times New Roman" w:eastAsia="Times New Roman" w:hAnsi="Times New Roman"/>
                      <w:color w:val="000000"/>
                      <w:sz w:val="18"/>
                      <w:szCs w:val="18"/>
                      <w:lang w:eastAsia="pl-PL"/>
                    </w:rPr>
                    <w:t>Fundusz Modernizacyjny: przyjęto średnioroczną liczbę uprawnień jakie PL ma otrzymać w latach 2021-2030.</w:t>
                  </w:r>
                </w:p>
                <w:p w14:paraId="225BC806" w14:textId="77777777" w:rsidR="004F45BC" w:rsidRPr="00767DD0" w:rsidRDefault="00901F36" w:rsidP="004F45BC">
                  <w:pPr>
                    <w:pStyle w:val="Akapitzlist"/>
                    <w:numPr>
                      <w:ilvl w:val="0"/>
                      <w:numId w:val="25"/>
                    </w:numPr>
                    <w:spacing w:line="240" w:lineRule="auto"/>
                    <w:jc w:val="both"/>
                    <w:rPr>
                      <w:rFonts w:ascii="Times New Roman" w:eastAsia="Times New Roman" w:hAnsi="Times New Roman"/>
                      <w:b/>
                      <w:bCs/>
                      <w:color w:val="000000"/>
                      <w:sz w:val="18"/>
                      <w:szCs w:val="18"/>
                      <w:lang w:eastAsia="pl-PL"/>
                    </w:rPr>
                  </w:pPr>
                  <w:r w:rsidRPr="002703B2">
                    <w:rPr>
                      <w:rFonts w:ascii="Times New Roman" w:eastAsia="Times New Roman" w:hAnsi="Times New Roman"/>
                      <w:color w:val="000000"/>
                      <w:sz w:val="18"/>
                      <w:szCs w:val="18"/>
                      <w:lang w:eastAsia="pl-PL"/>
                    </w:rPr>
                    <w:t xml:space="preserve">Średnia cena uprawnień EUA i przychód ze sprzedaży w latach 2018-2030: przyjęto cenę EUA zgodnie </w:t>
                  </w:r>
                  <w:r>
                    <w:rPr>
                      <w:rFonts w:ascii="Times New Roman" w:eastAsia="Times New Roman" w:hAnsi="Times New Roman"/>
                      <w:color w:val="000000"/>
                      <w:sz w:val="18"/>
                      <w:szCs w:val="18"/>
                      <w:lang w:eastAsia="pl-PL"/>
                    </w:rPr>
                    <w:br/>
                  </w:r>
                  <w:r w:rsidRPr="002703B2">
                    <w:rPr>
                      <w:rFonts w:ascii="Times New Roman" w:eastAsia="Times New Roman" w:hAnsi="Times New Roman"/>
                      <w:color w:val="000000"/>
                      <w:sz w:val="18"/>
                      <w:szCs w:val="18"/>
                      <w:lang w:eastAsia="pl-PL"/>
                    </w:rPr>
                    <w:t>z notowaniami z rynku terminowego giełdy ICE w latach 2021-2025 ("ICE EUA Futures Dec" - symbol "CKZ") z dnia 17 września 2019 r., natomiast dla lat 2026-2030 przeprowadzono ekstrapolację trendu liniowego za pomocą funkcji regresji liniowe</w:t>
                  </w:r>
                </w:p>
                <w:p w14:paraId="4064CEC3" w14:textId="700BDF04" w:rsidR="004F45BC" w:rsidRPr="00767DD0" w:rsidRDefault="004F45BC" w:rsidP="004F45BC">
                  <w:pPr>
                    <w:pStyle w:val="Akapitzlist"/>
                    <w:numPr>
                      <w:ilvl w:val="0"/>
                      <w:numId w:val="25"/>
                    </w:numPr>
                    <w:spacing w:line="240" w:lineRule="auto"/>
                    <w:jc w:val="both"/>
                    <w:rPr>
                      <w:rFonts w:ascii="Times New Roman" w:eastAsia="Times New Roman" w:hAnsi="Times New Roman"/>
                      <w:b/>
                      <w:bCs/>
                      <w:color w:val="000000"/>
                      <w:sz w:val="18"/>
                      <w:szCs w:val="18"/>
                      <w:lang w:eastAsia="pl-PL"/>
                    </w:rPr>
                  </w:pPr>
                  <w:r>
                    <w:rPr>
                      <w:rFonts w:ascii="Times New Roman" w:eastAsia="Times New Roman" w:hAnsi="Times New Roman"/>
                      <w:color w:val="000000"/>
                      <w:sz w:val="18"/>
                      <w:szCs w:val="18"/>
                      <w:lang w:eastAsia="pl-PL"/>
                    </w:rPr>
                    <w:t xml:space="preserve"> </w:t>
                  </w:r>
                </w:p>
              </w:tc>
            </w:tr>
            <w:tr w:rsidR="004F45BC" w:rsidRPr="000F0B71" w14:paraId="7A3C7986" w14:textId="77777777" w:rsidTr="00B060A4">
              <w:trPr>
                <w:trHeight w:val="590"/>
              </w:trPr>
              <w:tc>
                <w:tcPr>
                  <w:tcW w:w="9005" w:type="dxa"/>
                  <w:gridSpan w:val="14"/>
                  <w:tcBorders>
                    <w:top w:val="nil"/>
                    <w:left w:val="single" w:sz="8" w:space="0" w:color="auto"/>
                    <w:bottom w:val="single" w:sz="8" w:space="0" w:color="auto"/>
                    <w:right w:val="single" w:sz="8" w:space="0" w:color="auto"/>
                  </w:tcBorders>
                  <w:shd w:val="clear" w:color="auto" w:fill="auto"/>
                  <w:noWrap/>
                  <w:vAlign w:val="center"/>
                </w:tcPr>
                <w:p w14:paraId="1670A37C" w14:textId="77777777" w:rsidR="004F45BC" w:rsidRPr="002703B2" w:rsidRDefault="004F45BC" w:rsidP="00C54497">
                  <w:pPr>
                    <w:spacing w:line="240" w:lineRule="auto"/>
                    <w:jc w:val="both"/>
                    <w:rPr>
                      <w:rFonts w:ascii="Times New Roman" w:eastAsia="Times New Roman" w:hAnsi="Times New Roman"/>
                      <w:b/>
                      <w:bCs/>
                      <w:color w:val="000000"/>
                      <w:sz w:val="18"/>
                      <w:szCs w:val="18"/>
                      <w:u w:val="single"/>
                      <w:lang w:eastAsia="pl-PL"/>
                    </w:rPr>
                  </w:pPr>
                </w:p>
              </w:tc>
            </w:tr>
          </w:tbl>
          <w:p w14:paraId="66BB9CD8" w14:textId="77777777" w:rsidR="00901F36" w:rsidRPr="00C53F26" w:rsidRDefault="00901F36" w:rsidP="00C54497">
            <w:pPr>
              <w:spacing w:line="240" w:lineRule="auto"/>
              <w:jc w:val="both"/>
              <w:rPr>
                <w:rFonts w:ascii="Times New Roman" w:hAnsi="Times New Roman"/>
                <w:color w:val="000000"/>
                <w:sz w:val="21"/>
                <w:szCs w:val="21"/>
              </w:rPr>
            </w:pPr>
          </w:p>
        </w:tc>
      </w:tr>
      <w:tr w:rsidR="00866079" w:rsidRPr="008B4FE6" w14:paraId="73016C49" w14:textId="77777777" w:rsidTr="0F366C62">
        <w:trPr>
          <w:trHeight w:val="345"/>
        </w:trPr>
        <w:tc>
          <w:tcPr>
            <w:tcW w:w="11086" w:type="dxa"/>
            <w:gridSpan w:val="27"/>
            <w:shd w:val="clear" w:color="auto" w:fill="99CCFF"/>
          </w:tcPr>
          <w:p w14:paraId="442C4FE2" w14:textId="560E98FD" w:rsidR="00866079" w:rsidRPr="008B4FE6" w:rsidRDefault="00866079" w:rsidP="00C54497">
            <w:pPr>
              <w:numPr>
                <w:ilvl w:val="0"/>
                <w:numId w:val="5"/>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866079" w:rsidRPr="008B4FE6" w14:paraId="6DA7E320" w14:textId="77777777" w:rsidTr="0F366C62">
        <w:trPr>
          <w:trHeight w:val="142"/>
        </w:trPr>
        <w:tc>
          <w:tcPr>
            <w:tcW w:w="11086" w:type="dxa"/>
            <w:gridSpan w:val="27"/>
            <w:shd w:val="clear" w:color="auto" w:fill="FFFFFF" w:themeFill="background1"/>
          </w:tcPr>
          <w:p w14:paraId="18A42EE6" w14:textId="481105B4" w:rsidR="00866079" w:rsidRPr="00301959" w:rsidRDefault="00866079" w:rsidP="00C54497">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0541C7" w:rsidRPr="008B4FE6" w14:paraId="3302328E" w14:textId="77777777" w:rsidTr="00767DD0">
        <w:trPr>
          <w:trHeight w:val="142"/>
        </w:trPr>
        <w:tc>
          <w:tcPr>
            <w:tcW w:w="3876" w:type="dxa"/>
            <w:gridSpan w:val="8"/>
            <w:shd w:val="clear" w:color="auto" w:fill="FFFFFF" w:themeFill="background1"/>
          </w:tcPr>
          <w:p w14:paraId="5CC13DF5" w14:textId="77777777" w:rsidR="000541C7" w:rsidRPr="00301959" w:rsidRDefault="000541C7" w:rsidP="00C54497">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514" w:type="dxa"/>
            <w:shd w:val="clear" w:color="auto" w:fill="FFFFFF" w:themeFill="background1"/>
          </w:tcPr>
          <w:p w14:paraId="7C72B93D" w14:textId="77777777" w:rsidR="000541C7" w:rsidRPr="00301959" w:rsidRDefault="000541C7" w:rsidP="00C54497">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1361" w:type="dxa"/>
            <w:gridSpan w:val="4"/>
            <w:shd w:val="clear" w:color="auto" w:fill="FFFFFF" w:themeFill="background1"/>
          </w:tcPr>
          <w:p w14:paraId="5839662D" w14:textId="77777777" w:rsidR="000541C7" w:rsidRPr="00301959" w:rsidRDefault="000541C7" w:rsidP="00C54497">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2"/>
            <w:shd w:val="clear" w:color="auto" w:fill="FFFFFF" w:themeFill="background1"/>
          </w:tcPr>
          <w:p w14:paraId="2D11A07E" w14:textId="77777777" w:rsidR="000541C7" w:rsidRPr="00301959" w:rsidRDefault="000541C7" w:rsidP="00C54497">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4"/>
            <w:shd w:val="clear" w:color="auto" w:fill="FFFFFF" w:themeFill="background1"/>
          </w:tcPr>
          <w:p w14:paraId="1846DAF1" w14:textId="77777777" w:rsidR="000541C7" w:rsidRPr="00301959" w:rsidRDefault="000541C7" w:rsidP="00C54497">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1017" w:type="dxa"/>
            <w:gridSpan w:val="3"/>
            <w:shd w:val="clear" w:color="auto" w:fill="FFFFFF" w:themeFill="background1"/>
          </w:tcPr>
          <w:p w14:paraId="714A08DE" w14:textId="77777777" w:rsidR="000541C7" w:rsidRPr="00301959" w:rsidRDefault="000541C7" w:rsidP="00C54497">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92" w:type="dxa"/>
            <w:gridSpan w:val="3"/>
            <w:shd w:val="clear" w:color="auto" w:fill="FFFFFF" w:themeFill="background1"/>
          </w:tcPr>
          <w:p w14:paraId="40432B21" w14:textId="77777777" w:rsidR="000541C7" w:rsidRPr="00301959" w:rsidRDefault="000541C7" w:rsidP="00C54497">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51" w:type="dxa"/>
            <w:gridSpan w:val="2"/>
            <w:shd w:val="clear" w:color="auto" w:fill="FFFFFF" w:themeFill="background1"/>
          </w:tcPr>
          <w:p w14:paraId="6BDA5BD7" w14:textId="41D669A6" w:rsidR="000541C7" w:rsidRPr="001B3460" w:rsidRDefault="000541C7" w:rsidP="00C54497">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1A0528" w:rsidRPr="008B4FE6" w14:paraId="31545ED4" w14:textId="77777777" w:rsidTr="00767DD0">
        <w:trPr>
          <w:trHeight w:val="142"/>
        </w:trPr>
        <w:tc>
          <w:tcPr>
            <w:tcW w:w="1585" w:type="dxa"/>
            <w:gridSpan w:val="2"/>
            <w:vMerge w:val="restart"/>
            <w:shd w:val="clear" w:color="auto" w:fill="FFFFFF" w:themeFill="background1"/>
          </w:tcPr>
          <w:p w14:paraId="765A3757" w14:textId="77777777" w:rsidR="001A0528" w:rsidRDefault="001A0528" w:rsidP="001A0528">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7E0A08ED" w14:textId="77777777" w:rsidR="001A0528" w:rsidRDefault="001A0528" w:rsidP="001A0528">
            <w:pPr>
              <w:rPr>
                <w:rFonts w:ascii="Times New Roman" w:hAnsi="Times New Roman"/>
                <w:spacing w:val="-2"/>
                <w:sz w:val="21"/>
                <w:szCs w:val="21"/>
              </w:rPr>
            </w:pPr>
            <w:r>
              <w:rPr>
                <w:rFonts w:ascii="Times New Roman" w:hAnsi="Times New Roman"/>
                <w:spacing w:val="-2"/>
                <w:sz w:val="21"/>
                <w:szCs w:val="21"/>
              </w:rPr>
              <w:t xml:space="preserve">(w mln zł, </w:t>
            </w:r>
          </w:p>
          <w:p w14:paraId="620563E8" w14:textId="11F0EBD0" w:rsidR="001A0528" w:rsidRPr="00301959" w:rsidRDefault="001A0528" w:rsidP="001A0528">
            <w:pPr>
              <w:spacing w:line="240" w:lineRule="auto"/>
              <w:rPr>
                <w:rFonts w:ascii="Times New Roman" w:hAnsi="Times New Roman"/>
                <w:color w:val="000000"/>
                <w:sz w:val="21"/>
                <w:szCs w:val="21"/>
              </w:rPr>
            </w:pPr>
            <w:r>
              <w:rPr>
                <w:rFonts w:ascii="Times New Roman" w:hAnsi="Times New Roman"/>
                <w:spacing w:val="-2"/>
                <w:sz w:val="21"/>
                <w:szCs w:val="21"/>
              </w:rPr>
              <w:t>ceny stałe z 2019 r.)</w:t>
            </w:r>
          </w:p>
        </w:tc>
        <w:tc>
          <w:tcPr>
            <w:tcW w:w="2291" w:type="dxa"/>
            <w:gridSpan w:val="6"/>
            <w:shd w:val="clear" w:color="auto" w:fill="FFFFFF" w:themeFill="background1"/>
          </w:tcPr>
          <w:p w14:paraId="03D6A635" w14:textId="77777777" w:rsidR="001A0528" w:rsidRPr="00301959" w:rsidRDefault="001A0528" w:rsidP="001A0528">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514" w:type="dxa"/>
            <w:shd w:val="clear" w:color="auto" w:fill="FFFFFF" w:themeFill="background1"/>
          </w:tcPr>
          <w:p w14:paraId="5CB2FA72" w14:textId="10018021" w:rsidR="001A0528" w:rsidRPr="00B37C80" w:rsidRDefault="001A0528" w:rsidP="001A0528">
            <w:pPr>
              <w:spacing w:line="240" w:lineRule="auto"/>
              <w:rPr>
                <w:rFonts w:ascii="Times New Roman" w:hAnsi="Times New Roman"/>
                <w:color w:val="000000"/>
                <w:sz w:val="21"/>
                <w:szCs w:val="21"/>
              </w:rPr>
            </w:pPr>
            <w:r>
              <w:rPr>
                <w:rFonts w:ascii="Times New Roman" w:hAnsi="Times New Roman"/>
              </w:rPr>
              <w:t>0</w:t>
            </w:r>
          </w:p>
        </w:tc>
        <w:tc>
          <w:tcPr>
            <w:tcW w:w="1361" w:type="dxa"/>
            <w:gridSpan w:val="4"/>
            <w:shd w:val="clear" w:color="auto" w:fill="FFFFFF" w:themeFill="background1"/>
          </w:tcPr>
          <w:p w14:paraId="593ED449" w14:textId="11882535" w:rsidR="001A0528" w:rsidRPr="00C80888" w:rsidRDefault="001A0528" w:rsidP="001A0528">
            <w:pPr>
              <w:spacing w:line="240" w:lineRule="auto"/>
              <w:rPr>
                <w:rFonts w:ascii="Times New Roman" w:hAnsi="Times New Roman"/>
              </w:rPr>
            </w:pPr>
            <w:r w:rsidRPr="00C80888">
              <w:rPr>
                <w:rFonts w:ascii="Times New Roman" w:hAnsi="Times New Roman"/>
                <w:color w:val="000000"/>
                <w:sz w:val="18"/>
                <w:szCs w:val="18"/>
              </w:rPr>
              <w:t>1 558,66</w:t>
            </w:r>
            <w:r w:rsidRPr="00C80888">
              <w:rPr>
                <w:rFonts w:ascii="Times New Roman" w:hAnsi="Times New Roman"/>
              </w:rPr>
              <w:t xml:space="preserve"> </w:t>
            </w:r>
          </w:p>
        </w:tc>
        <w:tc>
          <w:tcPr>
            <w:tcW w:w="938" w:type="dxa"/>
            <w:gridSpan w:val="2"/>
            <w:shd w:val="clear" w:color="auto" w:fill="FFFFFF" w:themeFill="background1"/>
          </w:tcPr>
          <w:p w14:paraId="5A62CB6F" w14:textId="63C09DE8" w:rsidR="001A0528" w:rsidRPr="00C80888" w:rsidRDefault="001A0528" w:rsidP="001A0528">
            <w:pPr>
              <w:spacing w:line="240" w:lineRule="auto"/>
              <w:rPr>
                <w:rFonts w:ascii="Times New Roman" w:hAnsi="Times New Roman"/>
                <w:color w:val="000000"/>
                <w:sz w:val="18"/>
                <w:szCs w:val="18"/>
              </w:rPr>
            </w:pPr>
            <w:r w:rsidRPr="00C80888">
              <w:rPr>
                <w:rFonts w:ascii="Times New Roman" w:hAnsi="Times New Roman"/>
                <w:color w:val="000000"/>
                <w:sz w:val="18"/>
                <w:szCs w:val="18"/>
              </w:rPr>
              <w:t>1 581,28</w:t>
            </w:r>
          </w:p>
        </w:tc>
        <w:tc>
          <w:tcPr>
            <w:tcW w:w="937" w:type="dxa"/>
            <w:gridSpan w:val="4"/>
            <w:shd w:val="clear" w:color="auto" w:fill="FFFFFF" w:themeFill="background1"/>
          </w:tcPr>
          <w:p w14:paraId="1B235624" w14:textId="3837E7F1" w:rsidR="001A0528" w:rsidRPr="00C80888" w:rsidRDefault="001A0528" w:rsidP="001A0528">
            <w:pPr>
              <w:spacing w:line="240" w:lineRule="auto"/>
              <w:rPr>
                <w:rFonts w:ascii="Times New Roman" w:hAnsi="Times New Roman"/>
                <w:color w:val="000000"/>
                <w:sz w:val="18"/>
                <w:szCs w:val="18"/>
              </w:rPr>
            </w:pPr>
            <w:r w:rsidRPr="00C80888">
              <w:rPr>
                <w:rFonts w:ascii="Times New Roman" w:hAnsi="Times New Roman"/>
                <w:color w:val="000000"/>
                <w:sz w:val="18"/>
                <w:szCs w:val="18"/>
              </w:rPr>
              <w:t>1 604,50</w:t>
            </w:r>
          </w:p>
        </w:tc>
        <w:tc>
          <w:tcPr>
            <w:tcW w:w="1017" w:type="dxa"/>
            <w:gridSpan w:val="3"/>
            <w:shd w:val="clear" w:color="auto" w:fill="FFFFFF" w:themeFill="background1"/>
          </w:tcPr>
          <w:p w14:paraId="35AC5D60" w14:textId="7F898FD4" w:rsidR="001A0528" w:rsidRPr="00C80888" w:rsidRDefault="001A0528" w:rsidP="001A0528">
            <w:pPr>
              <w:spacing w:line="240" w:lineRule="auto"/>
              <w:rPr>
                <w:rFonts w:ascii="Times New Roman" w:hAnsi="Times New Roman"/>
                <w:color w:val="000000"/>
                <w:sz w:val="18"/>
                <w:szCs w:val="18"/>
              </w:rPr>
            </w:pPr>
            <w:r w:rsidRPr="00C80888">
              <w:rPr>
                <w:rFonts w:ascii="Times New Roman" w:hAnsi="Times New Roman"/>
                <w:color w:val="000000"/>
                <w:sz w:val="18"/>
                <w:szCs w:val="18"/>
              </w:rPr>
              <w:t>1 653,26</w:t>
            </w:r>
          </w:p>
        </w:tc>
        <w:tc>
          <w:tcPr>
            <w:tcW w:w="992" w:type="dxa"/>
            <w:gridSpan w:val="3"/>
            <w:shd w:val="clear" w:color="auto" w:fill="FFFFFF" w:themeFill="background1"/>
          </w:tcPr>
          <w:p w14:paraId="3086EB7E" w14:textId="0298492E" w:rsidR="001A0528" w:rsidRPr="00C80888" w:rsidRDefault="001A0528" w:rsidP="001A0528">
            <w:pPr>
              <w:spacing w:line="240" w:lineRule="auto"/>
              <w:rPr>
                <w:rFonts w:ascii="Times New Roman" w:eastAsia="Times New Roman" w:hAnsi="Times New Roman"/>
                <w:color w:val="000000"/>
                <w:sz w:val="18"/>
                <w:szCs w:val="18"/>
                <w:lang w:eastAsia="pl-PL"/>
              </w:rPr>
            </w:pPr>
            <w:r w:rsidRPr="00C80888">
              <w:rPr>
                <w:rFonts w:ascii="Times New Roman" w:eastAsia="Times New Roman" w:hAnsi="Times New Roman"/>
                <w:color w:val="000000"/>
                <w:sz w:val="18"/>
                <w:szCs w:val="18"/>
                <w:lang w:eastAsia="pl-PL"/>
              </w:rPr>
              <w:t>1772,12</w:t>
            </w:r>
          </w:p>
        </w:tc>
        <w:tc>
          <w:tcPr>
            <w:tcW w:w="1451" w:type="dxa"/>
            <w:gridSpan w:val="2"/>
            <w:shd w:val="clear" w:color="auto" w:fill="FFFFFF" w:themeFill="background1"/>
          </w:tcPr>
          <w:p w14:paraId="4304FC6B" w14:textId="48B9E64B" w:rsidR="001A0528" w:rsidRPr="00C80888" w:rsidRDefault="001A0528" w:rsidP="001A0528">
            <w:pPr>
              <w:spacing w:line="240" w:lineRule="auto"/>
              <w:rPr>
                <w:rFonts w:ascii="Times New Roman" w:hAnsi="Times New Roman"/>
                <w:color w:val="000000"/>
                <w:spacing w:val="-2"/>
                <w:sz w:val="18"/>
                <w:szCs w:val="18"/>
              </w:rPr>
            </w:pPr>
            <w:r w:rsidRPr="00C80888">
              <w:rPr>
                <w:rFonts w:ascii="Times New Roman" w:hAnsi="Times New Roman"/>
                <w:color w:val="000000"/>
                <w:sz w:val="18"/>
                <w:szCs w:val="18"/>
              </w:rPr>
              <w:t>16 648,5</w:t>
            </w:r>
            <w:r>
              <w:rPr>
                <w:rFonts w:ascii="Times New Roman" w:hAnsi="Times New Roman"/>
                <w:color w:val="000000"/>
                <w:sz w:val="18"/>
                <w:szCs w:val="18"/>
              </w:rPr>
              <w:t>2</w:t>
            </w:r>
          </w:p>
        </w:tc>
      </w:tr>
      <w:tr w:rsidR="009D55ED" w:rsidRPr="008B4FE6" w14:paraId="1CE5C02F" w14:textId="77777777" w:rsidTr="00767DD0">
        <w:trPr>
          <w:trHeight w:val="142"/>
        </w:trPr>
        <w:tc>
          <w:tcPr>
            <w:tcW w:w="1585" w:type="dxa"/>
            <w:gridSpan w:val="2"/>
            <w:vMerge/>
          </w:tcPr>
          <w:p w14:paraId="0CC6A936" w14:textId="77777777" w:rsidR="009D55ED" w:rsidRPr="00301959" w:rsidRDefault="009D55ED" w:rsidP="009D55ED">
            <w:pPr>
              <w:spacing w:line="240" w:lineRule="auto"/>
              <w:rPr>
                <w:rFonts w:ascii="Times New Roman" w:hAnsi="Times New Roman"/>
                <w:color w:val="000000"/>
                <w:sz w:val="21"/>
                <w:szCs w:val="21"/>
              </w:rPr>
            </w:pPr>
          </w:p>
        </w:tc>
        <w:tc>
          <w:tcPr>
            <w:tcW w:w="2291" w:type="dxa"/>
            <w:gridSpan w:val="6"/>
            <w:shd w:val="clear" w:color="auto" w:fill="FFFFFF" w:themeFill="background1"/>
          </w:tcPr>
          <w:p w14:paraId="3C5626F4"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514" w:type="dxa"/>
            <w:shd w:val="clear" w:color="auto" w:fill="FFFFFF" w:themeFill="background1"/>
          </w:tcPr>
          <w:p w14:paraId="50212A2B" w14:textId="1FC024C7"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1361" w:type="dxa"/>
            <w:gridSpan w:val="4"/>
            <w:shd w:val="clear" w:color="auto" w:fill="FFFFFF" w:themeFill="background1"/>
          </w:tcPr>
          <w:p w14:paraId="235B910F" w14:textId="70F2A7E5"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938" w:type="dxa"/>
            <w:gridSpan w:val="2"/>
            <w:shd w:val="clear" w:color="auto" w:fill="FFFFFF" w:themeFill="background1"/>
          </w:tcPr>
          <w:p w14:paraId="0AD8B356" w14:textId="6D002D93"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937" w:type="dxa"/>
            <w:gridSpan w:val="4"/>
            <w:shd w:val="clear" w:color="auto" w:fill="FFFFFF" w:themeFill="background1"/>
          </w:tcPr>
          <w:p w14:paraId="36649746" w14:textId="6EAC4106"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1017" w:type="dxa"/>
            <w:gridSpan w:val="3"/>
            <w:shd w:val="clear" w:color="auto" w:fill="FFFFFF" w:themeFill="background1"/>
          </w:tcPr>
          <w:p w14:paraId="4C0C38A3" w14:textId="0B6EE7A1"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992" w:type="dxa"/>
            <w:gridSpan w:val="3"/>
            <w:shd w:val="clear" w:color="auto" w:fill="FFFFFF" w:themeFill="background1"/>
          </w:tcPr>
          <w:p w14:paraId="0BE5A7C0" w14:textId="25BBD64A"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1451" w:type="dxa"/>
            <w:gridSpan w:val="2"/>
            <w:shd w:val="clear" w:color="auto" w:fill="FFFFFF" w:themeFill="background1"/>
          </w:tcPr>
          <w:p w14:paraId="04611EC3" w14:textId="731CD89E" w:rsidR="009D55ED" w:rsidRPr="00B37C80" w:rsidRDefault="009D55ED" w:rsidP="009D55ED">
            <w:pPr>
              <w:spacing w:line="240" w:lineRule="auto"/>
              <w:rPr>
                <w:rFonts w:ascii="Times New Roman" w:hAnsi="Times New Roman"/>
                <w:color w:val="000000"/>
                <w:spacing w:val="-2"/>
                <w:sz w:val="21"/>
                <w:szCs w:val="21"/>
              </w:rPr>
            </w:pPr>
            <w:r>
              <w:rPr>
                <w:rFonts w:ascii="Times New Roman" w:hAnsi="Times New Roman"/>
              </w:rPr>
              <w:t>-</w:t>
            </w:r>
          </w:p>
        </w:tc>
      </w:tr>
      <w:tr w:rsidR="009D55ED" w:rsidRPr="008B4FE6" w14:paraId="5E94385C" w14:textId="77777777" w:rsidTr="00767DD0">
        <w:trPr>
          <w:trHeight w:val="142"/>
        </w:trPr>
        <w:tc>
          <w:tcPr>
            <w:tcW w:w="1585" w:type="dxa"/>
            <w:gridSpan w:val="2"/>
            <w:vMerge/>
          </w:tcPr>
          <w:p w14:paraId="350A9E65" w14:textId="77777777" w:rsidR="009D55ED" w:rsidRPr="00301959" w:rsidRDefault="009D55ED" w:rsidP="009D55ED">
            <w:pPr>
              <w:spacing w:line="240" w:lineRule="auto"/>
              <w:rPr>
                <w:rFonts w:ascii="Times New Roman" w:hAnsi="Times New Roman"/>
                <w:color w:val="000000"/>
                <w:sz w:val="21"/>
                <w:szCs w:val="21"/>
              </w:rPr>
            </w:pPr>
          </w:p>
        </w:tc>
        <w:tc>
          <w:tcPr>
            <w:tcW w:w="2291" w:type="dxa"/>
            <w:gridSpan w:val="6"/>
            <w:shd w:val="clear" w:color="auto" w:fill="FFFFFF" w:themeFill="background1"/>
          </w:tcPr>
          <w:p w14:paraId="736B61EE" w14:textId="77777777" w:rsidR="009D55ED" w:rsidRPr="00301959" w:rsidRDefault="009D55ED" w:rsidP="009D55ED">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514" w:type="dxa"/>
            <w:shd w:val="clear" w:color="auto" w:fill="FFFFFF" w:themeFill="background1"/>
          </w:tcPr>
          <w:p w14:paraId="7998CE1C" w14:textId="3B1C044F"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1361" w:type="dxa"/>
            <w:gridSpan w:val="4"/>
            <w:shd w:val="clear" w:color="auto" w:fill="FFFFFF" w:themeFill="background1"/>
          </w:tcPr>
          <w:p w14:paraId="762802AD" w14:textId="0CA01E5D" w:rsidR="009D55ED" w:rsidRPr="00B37C80" w:rsidRDefault="001A0528" w:rsidP="481AF0CC">
            <w:pPr>
              <w:spacing w:line="240" w:lineRule="auto"/>
            </w:pPr>
            <w:r>
              <w:t>-</w:t>
            </w:r>
          </w:p>
        </w:tc>
        <w:tc>
          <w:tcPr>
            <w:tcW w:w="938" w:type="dxa"/>
            <w:gridSpan w:val="2"/>
            <w:shd w:val="clear" w:color="auto" w:fill="FFFFFF" w:themeFill="background1"/>
          </w:tcPr>
          <w:p w14:paraId="77FBA673" w14:textId="75B97A7F" w:rsidR="009D55ED" w:rsidRPr="00B37C80" w:rsidRDefault="001A0528" w:rsidP="481AF0CC">
            <w:pPr>
              <w:spacing w:line="240" w:lineRule="auto"/>
            </w:pPr>
            <w:r>
              <w:t>-</w:t>
            </w:r>
          </w:p>
        </w:tc>
        <w:tc>
          <w:tcPr>
            <w:tcW w:w="937" w:type="dxa"/>
            <w:gridSpan w:val="4"/>
            <w:shd w:val="clear" w:color="auto" w:fill="FFFFFF" w:themeFill="background1"/>
          </w:tcPr>
          <w:p w14:paraId="0C2D7082" w14:textId="679D5A7D" w:rsidR="009D55ED" w:rsidRPr="00B37C80" w:rsidRDefault="001A0528" w:rsidP="481AF0CC">
            <w:pPr>
              <w:spacing w:line="240" w:lineRule="auto"/>
            </w:pPr>
            <w:r>
              <w:t>-</w:t>
            </w:r>
          </w:p>
        </w:tc>
        <w:tc>
          <w:tcPr>
            <w:tcW w:w="1017" w:type="dxa"/>
            <w:gridSpan w:val="3"/>
            <w:shd w:val="clear" w:color="auto" w:fill="FFFFFF" w:themeFill="background1"/>
          </w:tcPr>
          <w:p w14:paraId="4641DFE7" w14:textId="1AA54D19" w:rsidR="009D55ED" w:rsidRPr="00B37C80" w:rsidRDefault="001A0528" w:rsidP="481AF0CC">
            <w:pPr>
              <w:spacing w:line="240" w:lineRule="auto"/>
            </w:pPr>
            <w:r>
              <w:t>-</w:t>
            </w:r>
          </w:p>
        </w:tc>
        <w:tc>
          <w:tcPr>
            <w:tcW w:w="992" w:type="dxa"/>
            <w:gridSpan w:val="3"/>
            <w:shd w:val="clear" w:color="auto" w:fill="FFFFFF" w:themeFill="background1"/>
          </w:tcPr>
          <w:p w14:paraId="68376EFE" w14:textId="528B69D5" w:rsidR="009D55ED" w:rsidRPr="00B37C80" w:rsidRDefault="001A0528" w:rsidP="481AF0CC">
            <w:pPr>
              <w:spacing w:line="240" w:lineRule="auto"/>
            </w:pPr>
            <w:r>
              <w:t>-</w:t>
            </w:r>
          </w:p>
        </w:tc>
        <w:tc>
          <w:tcPr>
            <w:tcW w:w="1451" w:type="dxa"/>
            <w:gridSpan w:val="2"/>
            <w:shd w:val="clear" w:color="auto" w:fill="FFFFFF" w:themeFill="background1"/>
          </w:tcPr>
          <w:p w14:paraId="31A9EA74" w14:textId="49680198" w:rsidR="009D55ED" w:rsidRPr="00B37C80" w:rsidRDefault="001A0528" w:rsidP="481AF0CC">
            <w:pPr>
              <w:spacing w:line="240" w:lineRule="auto"/>
            </w:pPr>
            <w:r>
              <w:t>-</w:t>
            </w:r>
          </w:p>
        </w:tc>
      </w:tr>
      <w:tr w:rsidR="009D55ED" w:rsidRPr="008B4FE6" w14:paraId="32623E2C" w14:textId="77777777" w:rsidTr="00767DD0">
        <w:trPr>
          <w:trHeight w:val="142"/>
        </w:trPr>
        <w:tc>
          <w:tcPr>
            <w:tcW w:w="1585" w:type="dxa"/>
            <w:gridSpan w:val="2"/>
            <w:vMerge/>
          </w:tcPr>
          <w:p w14:paraId="7743018D" w14:textId="77777777" w:rsidR="009D55ED" w:rsidRPr="00301959" w:rsidRDefault="009D55ED" w:rsidP="009D55ED">
            <w:pPr>
              <w:spacing w:line="240" w:lineRule="auto"/>
              <w:rPr>
                <w:rFonts w:ascii="Times New Roman" w:hAnsi="Times New Roman"/>
                <w:color w:val="000000"/>
                <w:sz w:val="21"/>
                <w:szCs w:val="21"/>
              </w:rPr>
            </w:pPr>
          </w:p>
        </w:tc>
        <w:tc>
          <w:tcPr>
            <w:tcW w:w="2291" w:type="dxa"/>
            <w:gridSpan w:val="6"/>
            <w:shd w:val="clear" w:color="auto" w:fill="FFFFFF" w:themeFill="background1"/>
          </w:tcPr>
          <w:p w14:paraId="609F8026" w14:textId="788E6CD4" w:rsidR="009D55ED" w:rsidRPr="00301959" w:rsidRDefault="009D55ED" w:rsidP="009D55ED">
            <w:pPr>
              <w:spacing w:line="240" w:lineRule="auto"/>
              <w:rPr>
                <w:rFonts w:ascii="Times New Roman" w:hAnsi="Times New Roman"/>
                <w:color w:val="000000"/>
                <w:sz w:val="21"/>
                <w:szCs w:val="21"/>
              </w:rPr>
            </w:pPr>
            <w:r>
              <w:rPr>
                <w:rFonts w:ascii="Times New Roman" w:hAnsi="Times New Roman"/>
                <w:color w:val="000000"/>
                <w:sz w:val="21"/>
                <w:szCs w:val="21"/>
              </w:rPr>
              <w:t>Osoby z niepełnosprawnością i osoby starsze</w:t>
            </w:r>
          </w:p>
        </w:tc>
        <w:tc>
          <w:tcPr>
            <w:tcW w:w="514" w:type="dxa"/>
            <w:shd w:val="clear" w:color="auto" w:fill="FFFFFF" w:themeFill="background1"/>
          </w:tcPr>
          <w:p w14:paraId="62040A71" w14:textId="4D93AA69"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1361" w:type="dxa"/>
            <w:gridSpan w:val="4"/>
            <w:shd w:val="clear" w:color="auto" w:fill="FFFFFF" w:themeFill="background1"/>
          </w:tcPr>
          <w:p w14:paraId="50118CAF" w14:textId="34FD57D6"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938" w:type="dxa"/>
            <w:gridSpan w:val="2"/>
            <w:shd w:val="clear" w:color="auto" w:fill="FFFFFF" w:themeFill="background1"/>
          </w:tcPr>
          <w:p w14:paraId="4C4EE42C" w14:textId="761F7079"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937" w:type="dxa"/>
            <w:gridSpan w:val="4"/>
            <w:shd w:val="clear" w:color="auto" w:fill="FFFFFF" w:themeFill="background1"/>
          </w:tcPr>
          <w:p w14:paraId="09945A95" w14:textId="2F2AD9F4"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1017" w:type="dxa"/>
            <w:gridSpan w:val="3"/>
            <w:shd w:val="clear" w:color="auto" w:fill="FFFFFF" w:themeFill="background1"/>
          </w:tcPr>
          <w:p w14:paraId="1B63BD81" w14:textId="19F83332"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992" w:type="dxa"/>
            <w:gridSpan w:val="3"/>
            <w:shd w:val="clear" w:color="auto" w:fill="FFFFFF" w:themeFill="background1"/>
          </w:tcPr>
          <w:p w14:paraId="5C69BA41" w14:textId="61D0B890" w:rsidR="009D55ED" w:rsidRPr="00B37C80" w:rsidRDefault="009D55ED" w:rsidP="009D55ED">
            <w:pPr>
              <w:spacing w:line="240" w:lineRule="auto"/>
              <w:rPr>
                <w:rFonts w:ascii="Times New Roman" w:hAnsi="Times New Roman"/>
                <w:color w:val="000000"/>
                <w:sz w:val="21"/>
                <w:szCs w:val="21"/>
              </w:rPr>
            </w:pPr>
            <w:r>
              <w:rPr>
                <w:rFonts w:ascii="Times New Roman" w:hAnsi="Times New Roman"/>
              </w:rPr>
              <w:t>-</w:t>
            </w:r>
          </w:p>
        </w:tc>
        <w:tc>
          <w:tcPr>
            <w:tcW w:w="1451" w:type="dxa"/>
            <w:gridSpan w:val="2"/>
            <w:shd w:val="clear" w:color="auto" w:fill="FFFFFF" w:themeFill="background1"/>
          </w:tcPr>
          <w:p w14:paraId="5F1B38E3" w14:textId="54826392" w:rsidR="009D55ED" w:rsidRPr="00B37C80" w:rsidRDefault="009D55ED" w:rsidP="009D55ED">
            <w:pPr>
              <w:spacing w:line="240" w:lineRule="auto"/>
              <w:rPr>
                <w:rFonts w:ascii="Times New Roman" w:hAnsi="Times New Roman"/>
                <w:color w:val="000000"/>
                <w:spacing w:val="-2"/>
                <w:sz w:val="21"/>
                <w:szCs w:val="21"/>
              </w:rPr>
            </w:pPr>
            <w:r>
              <w:rPr>
                <w:rFonts w:ascii="Times New Roman" w:hAnsi="Times New Roman"/>
              </w:rPr>
              <w:t>-</w:t>
            </w:r>
          </w:p>
        </w:tc>
      </w:tr>
      <w:tr w:rsidR="009D55ED" w:rsidRPr="008B4FE6" w14:paraId="3F1A1BDD" w14:textId="77777777" w:rsidTr="00767DD0">
        <w:trPr>
          <w:trHeight w:val="142"/>
        </w:trPr>
        <w:tc>
          <w:tcPr>
            <w:tcW w:w="1585" w:type="dxa"/>
            <w:gridSpan w:val="2"/>
            <w:vMerge w:val="restart"/>
            <w:shd w:val="clear" w:color="auto" w:fill="FFFFFF" w:themeFill="background1"/>
          </w:tcPr>
          <w:p w14:paraId="7DF7F26D"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1" w:type="dxa"/>
            <w:gridSpan w:val="6"/>
            <w:shd w:val="clear" w:color="auto" w:fill="FFFFFF" w:themeFill="background1"/>
          </w:tcPr>
          <w:p w14:paraId="2C1C34A3"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210" w:type="dxa"/>
            <w:gridSpan w:val="19"/>
            <w:shd w:val="clear" w:color="auto" w:fill="FFFFFF" w:themeFill="background1"/>
          </w:tcPr>
          <w:p w14:paraId="511C2090" w14:textId="2DA04C91" w:rsidR="009D55ED" w:rsidRPr="00B37C80" w:rsidRDefault="009D55ED" w:rsidP="009D55ED">
            <w:pPr>
              <w:spacing w:line="240" w:lineRule="auto"/>
              <w:rPr>
                <w:rFonts w:ascii="Times New Roman" w:hAnsi="Times New Roman"/>
                <w:color w:val="000000"/>
                <w:spacing w:val="-2"/>
                <w:sz w:val="21"/>
                <w:szCs w:val="21"/>
              </w:rPr>
            </w:pPr>
            <w:r>
              <w:rPr>
                <w:rFonts w:ascii="Times New Roman" w:hAnsi="Times New Roman"/>
                <w:spacing w:val="-2"/>
              </w:rPr>
              <w:t>Brak wpływu</w:t>
            </w:r>
          </w:p>
        </w:tc>
      </w:tr>
      <w:tr w:rsidR="009D55ED" w:rsidRPr="008B4FE6" w14:paraId="5DA58210" w14:textId="77777777" w:rsidTr="00767DD0">
        <w:trPr>
          <w:trHeight w:val="142"/>
        </w:trPr>
        <w:tc>
          <w:tcPr>
            <w:tcW w:w="1585" w:type="dxa"/>
            <w:gridSpan w:val="2"/>
            <w:vMerge/>
          </w:tcPr>
          <w:p w14:paraId="67ABC82C" w14:textId="77777777" w:rsidR="009D55ED" w:rsidRPr="00301959" w:rsidRDefault="009D55ED" w:rsidP="009D55ED">
            <w:pPr>
              <w:spacing w:line="240" w:lineRule="auto"/>
              <w:rPr>
                <w:rFonts w:ascii="Times New Roman" w:hAnsi="Times New Roman"/>
                <w:color w:val="000000"/>
                <w:sz w:val="21"/>
                <w:szCs w:val="21"/>
              </w:rPr>
            </w:pPr>
          </w:p>
        </w:tc>
        <w:tc>
          <w:tcPr>
            <w:tcW w:w="2291" w:type="dxa"/>
            <w:gridSpan w:val="6"/>
            <w:shd w:val="clear" w:color="auto" w:fill="FFFFFF" w:themeFill="background1"/>
          </w:tcPr>
          <w:p w14:paraId="442B267D"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210" w:type="dxa"/>
            <w:gridSpan w:val="19"/>
            <w:shd w:val="clear" w:color="auto" w:fill="FFFFFF" w:themeFill="background1"/>
          </w:tcPr>
          <w:p w14:paraId="46704F78" w14:textId="746CCC78" w:rsidR="009D55ED" w:rsidRPr="00B37C80" w:rsidRDefault="009D55ED" w:rsidP="009D55ED">
            <w:pPr>
              <w:spacing w:line="240" w:lineRule="auto"/>
              <w:rPr>
                <w:rFonts w:ascii="Times New Roman" w:hAnsi="Times New Roman"/>
                <w:color w:val="000000"/>
                <w:spacing w:val="-2"/>
                <w:sz w:val="21"/>
                <w:szCs w:val="21"/>
              </w:rPr>
            </w:pPr>
            <w:r>
              <w:rPr>
                <w:rFonts w:ascii="Times New Roman" w:hAnsi="Times New Roman"/>
                <w:spacing w:val="-2"/>
              </w:rPr>
              <w:t>Brak wpływu</w:t>
            </w:r>
          </w:p>
        </w:tc>
      </w:tr>
      <w:tr w:rsidR="009D55ED" w:rsidRPr="008B4FE6" w14:paraId="2855D808" w14:textId="77777777" w:rsidTr="00767DD0">
        <w:trPr>
          <w:trHeight w:val="596"/>
        </w:trPr>
        <w:tc>
          <w:tcPr>
            <w:tcW w:w="1585" w:type="dxa"/>
            <w:gridSpan w:val="2"/>
            <w:vMerge/>
          </w:tcPr>
          <w:p w14:paraId="317B86FD" w14:textId="77777777" w:rsidR="009D55ED" w:rsidRPr="00301959" w:rsidRDefault="009D55ED" w:rsidP="009D55ED">
            <w:pPr>
              <w:spacing w:line="240" w:lineRule="auto"/>
              <w:rPr>
                <w:rFonts w:ascii="Times New Roman" w:hAnsi="Times New Roman"/>
                <w:color w:val="000000"/>
                <w:sz w:val="21"/>
                <w:szCs w:val="21"/>
              </w:rPr>
            </w:pPr>
          </w:p>
        </w:tc>
        <w:tc>
          <w:tcPr>
            <w:tcW w:w="2291" w:type="dxa"/>
            <w:gridSpan w:val="6"/>
            <w:shd w:val="clear" w:color="auto" w:fill="FFFFFF" w:themeFill="background1"/>
          </w:tcPr>
          <w:p w14:paraId="6AF67651" w14:textId="77777777" w:rsidR="009D55ED" w:rsidRPr="00301959" w:rsidRDefault="009D55ED" w:rsidP="009D55ED">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210" w:type="dxa"/>
            <w:gridSpan w:val="19"/>
            <w:shd w:val="clear" w:color="auto" w:fill="FFFFFF" w:themeFill="background1"/>
          </w:tcPr>
          <w:p w14:paraId="0C25FC89" w14:textId="13B992FF" w:rsidR="009D55ED" w:rsidRPr="00B37C80" w:rsidRDefault="009D55ED" w:rsidP="009D55E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9D55ED" w:rsidRPr="008B4FE6" w14:paraId="4DA2D32C" w14:textId="77777777" w:rsidTr="00767DD0">
        <w:trPr>
          <w:trHeight w:val="240"/>
        </w:trPr>
        <w:tc>
          <w:tcPr>
            <w:tcW w:w="1585" w:type="dxa"/>
            <w:gridSpan w:val="2"/>
            <w:vMerge/>
          </w:tcPr>
          <w:p w14:paraId="004D7098" w14:textId="77777777" w:rsidR="009D55ED" w:rsidRPr="00301959" w:rsidRDefault="009D55ED" w:rsidP="009D55ED">
            <w:pPr>
              <w:spacing w:line="240" w:lineRule="auto"/>
              <w:rPr>
                <w:rFonts w:ascii="Times New Roman" w:hAnsi="Times New Roman"/>
                <w:color w:val="000000"/>
                <w:sz w:val="21"/>
                <w:szCs w:val="21"/>
              </w:rPr>
            </w:pPr>
          </w:p>
        </w:tc>
        <w:tc>
          <w:tcPr>
            <w:tcW w:w="2291" w:type="dxa"/>
            <w:gridSpan w:val="6"/>
            <w:shd w:val="clear" w:color="auto" w:fill="FFFFFF" w:themeFill="background1"/>
          </w:tcPr>
          <w:p w14:paraId="35E527D9" w14:textId="072DACAF" w:rsidR="009D55ED" w:rsidRPr="00301959" w:rsidRDefault="009D55ED" w:rsidP="009D55ED">
            <w:pPr>
              <w:tabs>
                <w:tab w:val="right" w:pos="1936"/>
              </w:tabs>
              <w:spacing w:line="240" w:lineRule="auto"/>
              <w:rPr>
                <w:rFonts w:ascii="Times New Roman" w:hAnsi="Times New Roman"/>
                <w:sz w:val="21"/>
                <w:szCs w:val="21"/>
              </w:rPr>
            </w:pPr>
            <w:r>
              <w:rPr>
                <w:rFonts w:ascii="Times New Roman" w:hAnsi="Times New Roman"/>
                <w:color w:val="000000"/>
                <w:sz w:val="21"/>
                <w:szCs w:val="21"/>
              </w:rPr>
              <w:t>Osoby z niepełnosprawnością i osoby starsze</w:t>
            </w:r>
            <w:r w:rsidRPr="00301959" w:rsidDel="0055520E">
              <w:rPr>
                <w:rFonts w:ascii="Times New Roman" w:hAnsi="Times New Roman"/>
                <w:color w:val="000000"/>
                <w:sz w:val="21"/>
                <w:szCs w:val="21"/>
              </w:rPr>
              <w:t xml:space="preserve"> </w:t>
            </w:r>
          </w:p>
        </w:tc>
        <w:tc>
          <w:tcPr>
            <w:tcW w:w="7210" w:type="dxa"/>
            <w:gridSpan w:val="19"/>
            <w:shd w:val="clear" w:color="auto" w:fill="FFFFFF" w:themeFill="background1"/>
          </w:tcPr>
          <w:p w14:paraId="33368541" w14:textId="57C6E17B" w:rsidR="009D55ED" w:rsidRPr="00B37C80" w:rsidRDefault="009D55ED" w:rsidP="009D55ED">
            <w:pPr>
              <w:tabs>
                <w:tab w:val="left" w:pos="3000"/>
              </w:tabs>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9D55ED" w:rsidRPr="008B4FE6" w14:paraId="5BEEB48D" w14:textId="77777777" w:rsidTr="00767DD0">
        <w:trPr>
          <w:trHeight w:val="142"/>
        </w:trPr>
        <w:tc>
          <w:tcPr>
            <w:tcW w:w="1585" w:type="dxa"/>
            <w:gridSpan w:val="2"/>
            <w:vMerge w:val="restart"/>
            <w:shd w:val="clear" w:color="auto" w:fill="FFFFFF" w:themeFill="background1"/>
          </w:tcPr>
          <w:p w14:paraId="7A8C208A"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1" w:type="dxa"/>
            <w:gridSpan w:val="6"/>
            <w:shd w:val="clear" w:color="auto" w:fill="FFFFFF" w:themeFill="background1"/>
          </w:tcPr>
          <w:p w14:paraId="6CC93B00"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210" w:type="dxa"/>
            <w:gridSpan w:val="19"/>
            <w:shd w:val="clear" w:color="auto" w:fill="FFFFFF" w:themeFill="background1"/>
          </w:tcPr>
          <w:p w14:paraId="7EE96C5A" w14:textId="3C9387C3" w:rsidR="009D55ED" w:rsidRPr="00B37C80" w:rsidRDefault="009D55ED" w:rsidP="009D55ED">
            <w:pPr>
              <w:spacing w:line="240" w:lineRule="auto"/>
              <w:rPr>
                <w:rFonts w:ascii="Times New Roman" w:hAnsi="Times New Roman"/>
                <w:color w:val="000000"/>
                <w:spacing w:val="-2"/>
                <w:sz w:val="21"/>
                <w:szCs w:val="21"/>
              </w:rPr>
            </w:pPr>
          </w:p>
        </w:tc>
      </w:tr>
      <w:tr w:rsidR="009D55ED" w:rsidRPr="008B4FE6" w14:paraId="5D395145" w14:textId="77777777" w:rsidTr="00767DD0">
        <w:trPr>
          <w:trHeight w:val="142"/>
        </w:trPr>
        <w:tc>
          <w:tcPr>
            <w:tcW w:w="1585" w:type="dxa"/>
            <w:gridSpan w:val="2"/>
            <w:vMerge/>
          </w:tcPr>
          <w:p w14:paraId="6F9168CD" w14:textId="77777777" w:rsidR="009D55ED" w:rsidRPr="00301959" w:rsidRDefault="009D55ED" w:rsidP="009D55ED">
            <w:pPr>
              <w:spacing w:line="240" w:lineRule="auto"/>
              <w:rPr>
                <w:rFonts w:ascii="Times New Roman" w:hAnsi="Times New Roman"/>
                <w:color w:val="000000"/>
                <w:sz w:val="21"/>
                <w:szCs w:val="21"/>
              </w:rPr>
            </w:pPr>
          </w:p>
        </w:tc>
        <w:tc>
          <w:tcPr>
            <w:tcW w:w="2291" w:type="dxa"/>
            <w:gridSpan w:val="6"/>
            <w:shd w:val="clear" w:color="auto" w:fill="FFFFFF" w:themeFill="background1"/>
          </w:tcPr>
          <w:p w14:paraId="386E69AC"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210" w:type="dxa"/>
            <w:gridSpan w:val="19"/>
            <w:shd w:val="clear" w:color="auto" w:fill="FFFFFF" w:themeFill="background1"/>
          </w:tcPr>
          <w:p w14:paraId="7ED8C638" w14:textId="687C51D5" w:rsidR="009D55ED" w:rsidRPr="00B37C80" w:rsidRDefault="009D55ED" w:rsidP="009D55ED">
            <w:pPr>
              <w:spacing w:line="240" w:lineRule="auto"/>
              <w:rPr>
                <w:rFonts w:ascii="Times New Roman" w:hAnsi="Times New Roman"/>
                <w:color w:val="000000"/>
                <w:spacing w:val="-2"/>
                <w:sz w:val="21"/>
                <w:szCs w:val="21"/>
              </w:rPr>
            </w:pPr>
          </w:p>
        </w:tc>
      </w:tr>
      <w:tr w:rsidR="009D55ED" w:rsidRPr="008B4FE6" w14:paraId="063841BA" w14:textId="77777777" w:rsidTr="00767DD0">
        <w:trPr>
          <w:trHeight w:val="1643"/>
        </w:trPr>
        <w:tc>
          <w:tcPr>
            <w:tcW w:w="1935" w:type="dxa"/>
            <w:gridSpan w:val="3"/>
            <w:shd w:val="clear" w:color="auto" w:fill="FFFFFF" w:themeFill="background1"/>
          </w:tcPr>
          <w:p w14:paraId="7AEFB8E0" w14:textId="77777777" w:rsidR="009D55ED" w:rsidRPr="00301959" w:rsidRDefault="009D55ED" w:rsidP="009D55E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9151" w:type="dxa"/>
            <w:gridSpan w:val="24"/>
            <w:shd w:val="clear" w:color="auto" w:fill="FFFFFF" w:themeFill="background1"/>
          </w:tcPr>
          <w:p w14:paraId="3003F2A6" w14:textId="64288447" w:rsidR="009D55ED" w:rsidRPr="00EB6EE2" w:rsidRDefault="71089144" w:rsidP="481AF0CC">
            <w:pPr>
              <w:spacing w:line="240" w:lineRule="auto"/>
              <w:jc w:val="both"/>
            </w:pPr>
            <w:r w:rsidRPr="0F366C62">
              <w:rPr>
                <w:rFonts w:ascii="Times New Roman" w:eastAsia="Times New Roman" w:hAnsi="Times New Roman"/>
              </w:rPr>
              <w:t>Projekt ustawy będzie miał pozytywny wpływ na konkurencyjność przedsiębiorstw, które modernizują systemy energetyczne oraz działają na rzecz poprawy efektywności energetycznej – których inwestycje w tym zakresie zostaną wsparte ze środków Funduszu Modernizacyjnego. Przyczyni się także do zmniejsz</w:t>
            </w:r>
            <w:r w:rsidR="0923F1CB" w:rsidRPr="0F366C62">
              <w:rPr>
                <w:rFonts w:ascii="Times New Roman" w:eastAsia="Times New Roman" w:hAnsi="Times New Roman"/>
              </w:rPr>
              <w:t>eni</w:t>
            </w:r>
            <w:r w:rsidRPr="0F366C62">
              <w:rPr>
                <w:rFonts w:ascii="Times New Roman" w:eastAsia="Times New Roman" w:hAnsi="Times New Roman"/>
              </w:rPr>
              <w:t xml:space="preserve">a skali ubóstwa energetycznego. </w:t>
            </w:r>
          </w:p>
          <w:p w14:paraId="19C719DF" w14:textId="27D78E54" w:rsidR="009D55ED" w:rsidRPr="00EB6EE2" w:rsidRDefault="71089144" w:rsidP="0F366C62">
            <w:pPr>
              <w:spacing w:line="240" w:lineRule="auto"/>
              <w:jc w:val="both"/>
              <w:rPr>
                <w:rFonts w:ascii="Times New Roman" w:eastAsia="Times New Roman" w:hAnsi="Times New Roman"/>
              </w:rPr>
            </w:pPr>
            <w:r w:rsidRPr="0F366C62">
              <w:rPr>
                <w:rFonts w:ascii="Times New Roman" w:eastAsia="Times New Roman" w:hAnsi="Times New Roman"/>
              </w:rPr>
              <w:t>Fundusz Modernizacyjny nie będzie wspierał przedsięwzięć inwestycyjnych wytwarzających energię przy wykorzystaniu stałych paliw kopalnych.</w:t>
            </w:r>
            <w:r w:rsidR="1BA512A5" w:rsidRPr="0F366C62">
              <w:rPr>
                <w:rFonts w:ascii="Times New Roman" w:eastAsia="Times New Roman" w:hAnsi="Times New Roman"/>
              </w:rPr>
              <w:t xml:space="preserve"> </w:t>
            </w:r>
          </w:p>
        </w:tc>
      </w:tr>
      <w:tr w:rsidR="009D55ED" w:rsidRPr="008B4FE6" w14:paraId="697DDA3E" w14:textId="77777777" w:rsidTr="0F366C62">
        <w:trPr>
          <w:trHeight w:val="342"/>
        </w:trPr>
        <w:tc>
          <w:tcPr>
            <w:tcW w:w="11086" w:type="dxa"/>
            <w:gridSpan w:val="27"/>
            <w:shd w:val="clear" w:color="auto" w:fill="99CCFF"/>
          </w:tcPr>
          <w:p w14:paraId="373E3B83" w14:textId="53C78B88" w:rsidR="009D55ED" w:rsidRPr="008B4FE6" w:rsidRDefault="009D55ED" w:rsidP="009D55ED">
            <w:pPr>
              <w:numPr>
                <w:ilvl w:val="0"/>
                <w:numId w:val="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9D55ED" w:rsidRPr="008B4FE6" w14:paraId="226D7ADC" w14:textId="77777777" w:rsidTr="0F366C62">
        <w:trPr>
          <w:trHeight w:val="151"/>
        </w:trPr>
        <w:tc>
          <w:tcPr>
            <w:tcW w:w="11086" w:type="dxa"/>
            <w:gridSpan w:val="27"/>
            <w:shd w:val="clear" w:color="auto" w:fill="FFFFFF" w:themeFill="background1"/>
          </w:tcPr>
          <w:p w14:paraId="1C2A6B92" w14:textId="36B3CC57" w:rsidR="009D55ED" w:rsidRPr="008B4FE6" w:rsidRDefault="009D55ED" w:rsidP="009D55ED">
            <w:pPr>
              <w:spacing w:line="240" w:lineRule="auto"/>
              <w:rPr>
                <w:rFonts w:ascii="Times New Roman" w:hAnsi="Times New Roman"/>
                <w:color w:val="000000"/>
              </w:rPr>
            </w:pPr>
            <w:r w:rsidRPr="001A5FDA">
              <w:rPr>
                <w:rFonts w:ascii="Times New Roman" w:hAnsi="Times New Roman"/>
                <w:color w:val="000000"/>
              </w:rPr>
              <w:fldChar w:fldCharType="begin">
                <w:ffData>
                  <w:name w:val="Wybór1"/>
                  <w:enabled/>
                  <w:calcOnExit w:val="0"/>
                  <w:checkBox>
                    <w:sizeAuto/>
                    <w:default w:val="0"/>
                  </w:checkBox>
                </w:ffData>
              </w:fldChar>
            </w:r>
            <w:r w:rsidRPr="001A5FDA">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1A5FDA">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9D55ED" w:rsidRPr="008B4FE6" w14:paraId="5C62730A" w14:textId="77777777" w:rsidTr="00767DD0">
        <w:trPr>
          <w:trHeight w:val="946"/>
        </w:trPr>
        <w:tc>
          <w:tcPr>
            <w:tcW w:w="5098" w:type="dxa"/>
            <w:gridSpan w:val="11"/>
            <w:shd w:val="clear" w:color="auto" w:fill="FFFFFF" w:themeFill="background1"/>
          </w:tcPr>
          <w:p w14:paraId="5D0F13F3" w14:textId="77777777" w:rsidR="009D55ED" w:rsidRDefault="009D55ED" w:rsidP="009D55ED">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988" w:type="dxa"/>
            <w:gridSpan w:val="16"/>
            <w:shd w:val="clear" w:color="auto" w:fill="FFFFFF" w:themeFill="background1"/>
          </w:tcPr>
          <w:p w14:paraId="267D3CCD" w14:textId="2D9485E4" w:rsidR="009D55ED" w:rsidRDefault="009D55ED" w:rsidP="009D55E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2D92510D" w14:textId="4617BB45" w:rsidR="009D55ED" w:rsidRDefault="009D55ED" w:rsidP="009D55E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613C2BA0" w14:textId="77777777" w:rsidR="009D55ED" w:rsidRDefault="009D55ED" w:rsidP="009D55ED">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9D55ED" w:rsidRPr="008B4FE6" w14:paraId="2F004027" w14:textId="77777777" w:rsidTr="00767DD0">
        <w:trPr>
          <w:trHeight w:val="1245"/>
        </w:trPr>
        <w:tc>
          <w:tcPr>
            <w:tcW w:w="5098" w:type="dxa"/>
            <w:gridSpan w:val="11"/>
            <w:shd w:val="clear" w:color="auto" w:fill="FFFFFF" w:themeFill="background1"/>
          </w:tcPr>
          <w:p w14:paraId="47E41F46" w14:textId="77777777" w:rsidR="009D55ED" w:rsidRPr="008B4FE6" w:rsidRDefault="009D55ED" w:rsidP="009D55ED">
            <w:pPr>
              <w:spacing w:line="240" w:lineRule="auto"/>
              <w:rPr>
                <w:rFonts w:ascii="Times New Roman" w:hAnsi="Times New Roman"/>
                <w:color w:val="000000"/>
                <w:spacing w:val="-2"/>
              </w:rPr>
            </w:pPr>
            <w:r w:rsidRPr="008B4FE6">
              <w:rPr>
                <w:rFonts w:ascii="Times New Roman" w:hAnsi="Times New Roman"/>
                <w:color w:val="000000"/>
              </w:rPr>
              <w:lastRenderedPageBreak/>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159095B3" w14:textId="77777777" w:rsidR="009D55ED" w:rsidRPr="008B4FE6" w:rsidRDefault="009D55ED" w:rsidP="009D55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66CBC2A0" w14:textId="77777777" w:rsidR="009D55ED" w:rsidRDefault="009D55ED" w:rsidP="009D55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31F662B8" w14:textId="77777777" w:rsidR="009D55ED" w:rsidRPr="008B4FE6" w:rsidRDefault="009D55ED" w:rsidP="009D55ED">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988" w:type="dxa"/>
            <w:gridSpan w:val="16"/>
            <w:shd w:val="clear" w:color="auto" w:fill="FFFFFF" w:themeFill="background1"/>
          </w:tcPr>
          <w:p w14:paraId="54360A94" w14:textId="211BED3C" w:rsidR="009D55ED" w:rsidRPr="008B4FE6" w:rsidRDefault="009D55ED" w:rsidP="009D55E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3840B286" w14:textId="77777777" w:rsidR="009D55ED" w:rsidRPr="008B4FE6" w:rsidRDefault="009D55ED" w:rsidP="009D55E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250D8198" w14:textId="77777777" w:rsidR="009D55ED" w:rsidRPr="008B4FE6" w:rsidRDefault="009D55ED" w:rsidP="009D55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12315F91" w14:textId="77777777" w:rsidR="009D55ED" w:rsidRPr="008B4FE6" w:rsidRDefault="009D55ED" w:rsidP="009D55E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0B2BEBC3" w14:textId="77777777" w:rsidR="009D55ED" w:rsidRPr="008B4FE6" w:rsidRDefault="009D55ED" w:rsidP="009D55ED">
            <w:pPr>
              <w:spacing w:line="240" w:lineRule="auto"/>
              <w:rPr>
                <w:rFonts w:ascii="Times New Roman" w:hAnsi="Times New Roman"/>
                <w:color w:val="000000"/>
              </w:rPr>
            </w:pPr>
          </w:p>
        </w:tc>
      </w:tr>
      <w:tr w:rsidR="009D55ED" w:rsidRPr="008B4FE6" w14:paraId="0A131BF6" w14:textId="77777777" w:rsidTr="00767DD0">
        <w:trPr>
          <w:trHeight w:val="870"/>
        </w:trPr>
        <w:tc>
          <w:tcPr>
            <w:tcW w:w="5098" w:type="dxa"/>
            <w:gridSpan w:val="11"/>
            <w:shd w:val="clear" w:color="auto" w:fill="FFFFFF" w:themeFill="background1"/>
          </w:tcPr>
          <w:p w14:paraId="37A9E75E" w14:textId="77777777" w:rsidR="009D55ED" w:rsidRPr="008B4FE6" w:rsidRDefault="009D55ED" w:rsidP="009D55ED">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988" w:type="dxa"/>
            <w:gridSpan w:val="16"/>
            <w:shd w:val="clear" w:color="auto" w:fill="FFFFFF" w:themeFill="background1"/>
          </w:tcPr>
          <w:p w14:paraId="0C1DDAC4" w14:textId="1C43F8A9" w:rsidR="009D55ED" w:rsidRDefault="009D55ED" w:rsidP="009D55E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705E4DF8" w14:textId="77777777" w:rsidR="009D55ED" w:rsidRDefault="009D55ED" w:rsidP="009D55E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CE208D8" w14:textId="77777777" w:rsidR="009D55ED" w:rsidRDefault="009D55ED" w:rsidP="009D55E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367A3A16" w14:textId="77777777" w:rsidR="009D55ED" w:rsidRPr="008B4FE6" w:rsidRDefault="009D55ED" w:rsidP="009D55ED">
            <w:pPr>
              <w:spacing w:line="240" w:lineRule="auto"/>
              <w:rPr>
                <w:rFonts w:ascii="Times New Roman" w:hAnsi="Times New Roman"/>
                <w:color w:val="000000"/>
              </w:rPr>
            </w:pPr>
          </w:p>
        </w:tc>
      </w:tr>
      <w:tr w:rsidR="009D55ED" w:rsidRPr="008B4FE6" w14:paraId="41D62F55" w14:textId="77777777" w:rsidTr="0F366C62">
        <w:trPr>
          <w:trHeight w:val="630"/>
        </w:trPr>
        <w:tc>
          <w:tcPr>
            <w:tcW w:w="11086" w:type="dxa"/>
            <w:gridSpan w:val="27"/>
            <w:shd w:val="clear" w:color="auto" w:fill="FFFFFF" w:themeFill="background1"/>
          </w:tcPr>
          <w:p w14:paraId="1A24682A" w14:textId="0849154B" w:rsidR="009D55ED" w:rsidRDefault="009D55ED" w:rsidP="009D55ED">
            <w:pPr>
              <w:spacing w:line="240" w:lineRule="auto"/>
              <w:jc w:val="both"/>
              <w:rPr>
                <w:rFonts w:ascii="Times New Roman" w:hAnsi="Times New Roman"/>
                <w:color w:val="000000"/>
              </w:rPr>
            </w:pPr>
            <w:r>
              <w:rPr>
                <w:rFonts w:ascii="Times New Roman" w:hAnsi="Times New Roman"/>
                <w:color w:val="000000"/>
              </w:rPr>
              <w:t>Komentarz:</w:t>
            </w:r>
          </w:p>
          <w:p w14:paraId="01BCC4CA" w14:textId="42C6B2F9" w:rsidR="009D55ED" w:rsidRPr="008B4FE6" w:rsidRDefault="009D55ED" w:rsidP="009D55ED">
            <w:pPr>
              <w:spacing w:line="240" w:lineRule="auto"/>
              <w:jc w:val="both"/>
              <w:rPr>
                <w:rFonts w:ascii="Times New Roman" w:hAnsi="Times New Roman"/>
                <w:color w:val="000000"/>
              </w:rPr>
            </w:pPr>
            <w:r>
              <w:rPr>
                <w:rFonts w:ascii="Times New Roman" w:hAnsi="Times New Roman"/>
                <w:szCs w:val="20"/>
              </w:rPr>
              <w:t>Projektowana ustawa wprowadza procedurę ubiegania się o wsparcie przedsięwzięć, w tym również przedsięwzięć inwestycyjnych ze środków Funduszu Modernizacyjnego. Procedura zakłada opracowanie przez potencjalnych beneficjentów wsparcia wniosków o finansowanie przedsięwzięć, na procedurę składa się proces selekcji wniosków, zawarcie umowy o finansowanie przedsięwzięcia, a także dokumentowanie jego realizacji i osiąganych postępów realizacji, oraz w niektórych przypadkach dokumentowanie osiąganych efektów po zakończeniu realizacji tego przedsięwzięcia</w:t>
            </w:r>
          </w:p>
        </w:tc>
      </w:tr>
      <w:tr w:rsidR="009D55ED" w:rsidRPr="008B4FE6" w14:paraId="2153EF01" w14:textId="77777777" w:rsidTr="0F366C62">
        <w:trPr>
          <w:trHeight w:val="142"/>
        </w:trPr>
        <w:tc>
          <w:tcPr>
            <w:tcW w:w="11086" w:type="dxa"/>
            <w:gridSpan w:val="27"/>
            <w:shd w:val="clear" w:color="auto" w:fill="99CCFF"/>
          </w:tcPr>
          <w:p w14:paraId="50E2A154" w14:textId="2300E500" w:rsidR="009D55ED" w:rsidRPr="008B4FE6" w:rsidRDefault="009D55ED" w:rsidP="00F151D7">
            <w:pPr>
              <w:numPr>
                <w:ilvl w:val="0"/>
                <w:numId w:val="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Wpływ na rynek pracy </w:t>
            </w:r>
          </w:p>
        </w:tc>
      </w:tr>
      <w:tr w:rsidR="009D55ED" w:rsidRPr="008B4FE6" w14:paraId="4EE831EB" w14:textId="77777777" w:rsidTr="0F366C62">
        <w:trPr>
          <w:trHeight w:val="142"/>
        </w:trPr>
        <w:tc>
          <w:tcPr>
            <w:tcW w:w="11086" w:type="dxa"/>
            <w:gridSpan w:val="27"/>
          </w:tcPr>
          <w:p w14:paraId="2C04CAE3" w14:textId="52D359D1" w:rsidR="009D55ED" w:rsidRPr="008B4FE6" w:rsidRDefault="009D55ED" w:rsidP="009D55ED">
            <w:pPr>
              <w:spacing w:line="240" w:lineRule="auto"/>
              <w:jc w:val="both"/>
              <w:rPr>
                <w:rFonts w:ascii="Times New Roman" w:hAnsi="Times New Roman"/>
                <w:color w:val="000000"/>
              </w:rPr>
            </w:pPr>
            <w:r w:rsidRPr="002E407E">
              <w:rPr>
                <w:rFonts w:ascii="Times New Roman" w:hAnsi="Times New Roman"/>
                <w:color w:val="000000"/>
                <w:u w:color="000000"/>
                <w:bdr w:val="nil"/>
                <w:lang w:eastAsia="pl-PL"/>
              </w:rPr>
              <w:t xml:space="preserve">Brak bezpośredniego wpływu. </w:t>
            </w:r>
            <w:r>
              <w:rPr>
                <w:rFonts w:ascii="Times New Roman" w:hAnsi="Times New Roman"/>
                <w:color w:val="000000"/>
                <w:u w:color="000000"/>
                <w:bdr w:val="nil"/>
                <w:lang w:eastAsia="pl-PL"/>
              </w:rPr>
              <w:t>Nowe inwestycje w</w:t>
            </w:r>
            <w:r w:rsidRPr="002E407E">
              <w:rPr>
                <w:rFonts w:ascii="Times New Roman" w:hAnsi="Times New Roman"/>
                <w:color w:val="000000"/>
                <w:u w:color="000000"/>
                <w:bdr w:val="nil"/>
                <w:lang w:eastAsia="pl-PL"/>
              </w:rPr>
              <w:t xml:space="preserve"> </w:t>
            </w:r>
            <w:r w:rsidRPr="00B86C00">
              <w:rPr>
                <w:rFonts w:ascii="Times New Roman" w:hAnsi="Times New Roman"/>
                <w:color w:val="000000"/>
                <w:u w:color="000000"/>
                <w:bdr w:val="nil"/>
                <w:lang w:eastAsia="pl-PL"/>
              </w:rPr>
              <w:t>moderniz</w:t>
            </w:r>
            <w:r>
              <w:rPr>
                <w:rFonts w:ascii="Times New Roman" w:hAnsi="Times New Roman"/>
                <w:color w:val="000000"/>
                <w:u w:color="000000"/>
                <w:bdr w:val="nil"/>
                <w:lang w:eastAsia="pl-PL"/>
              </w:rPr>
              <w:t>ację</w:t>
            </w:r>
            <w:r w:rsidRPr="00B86C00">
              <w:rPr>
                <w:rFonts w:ascii="Times New Roman" w:hAnsi="Times New Roman"/>
                <w:color w:val="000000"/>
                <w:u w:color="000000"/>
                <w:bdr w:val="nil"/>
                <w:lang w:eastAsia="pl-PL"/>
              </w:rPr>
              <w:t xml:space="preserve"> system</w:t>
            </w:r>
            <w:r>
              <w:rPr>
                <w:rFonts w:ascii="Times New Roman" w:hAnsi="Times New Roman"/>
                <w:color w:val="000000"/>
                <w:u w:color="000000"/>
                <w:bdr w:val="nil"/>
                <w:lang w:eastAsia="pl-PL"/>
              </w:rPr>
              <w:t>ów</w:t>
            </w:r>
            <w:r w:rsidRPr="00B86C00">
              <w:rPr>
                <w:rFonts w:ascii="Times New Roman" w:hAnsi="Times New Roman"/>
                <w:color w:val="000000"/>
                <w:u w:color="000000"/>
                <w:bdr w:val="nil"/>
                <w:lang w:eastAsia="pl-PL"/>
              </w:rPr>
              <w:t xml:space="preserve"> energetyczn</w:t>
            </w:r>
            <w:r>
              <w:rPr>
                <w:rFonts w:ascii="Times New Roman" w:hAnsi="Times New Roman"/>
                <w:color w:val="000000"/>
                <w:u w:color="000000"/>
                <w:bdr w:val="nil"/>
                <w:lang w:eastAsia="pl-PL"/>
              </w:rPr>
              <w:t>ych</w:t>
            </w:r>
            <w:r w:rsidRPr="00B86C00">
              <w:rPr>
                <w:rFonts w:ascii="Times New Roman" w:hAnsi="Times New Roman"/>
                <w:color w:val="000000"/>
                <w:u w:color="000000"/>
                <w:bdr w:val="nil"/>
                <w:lang w:eastAsia="pl-PL"/>
              </w:rPr>
              <w:t xml:space="preserve"> oraz </w:t>
            </w:r>
            <w:r>
              <w:rPr>
                <w:rFonts w:ascii="Times New Roman" w:hAnsi="Times New Roman"/>
                <w:color w:val="000000"/>
                <w:u w:color="000000"/>
                <w:bdr w:val="nil"/>
                <w:lang w:eastAsia="pl-PL"/>
              </w:rPr>
              <w:t>w działania</w:t>
            </w:r>
            <w:r w:rsidRPr="00B86C00">
              <w:rPr>
                <w:rFonts w:ascii="Times New Roman" w:hAnsi="Times New Roman"/>
                <w:color w:val="000000"/>
                <w:u w:color="000000"/>
                <w:bdr w:val="nil"/>
                <w:lang w:eastAsia="pl-PL"/>
              </w:rPr>
              <w:t xml:space="preserve"> na rzecz poprawy efektywności energetycznej </w:t>
            </w:r>
            <w:r>
              <w:rPr>
                <w:rFonts w:ascii="Times New Roman" w:hAnsi="Times New Roman"/>
                <w:color w:val="000000"/>
                <w:u w:color="000000"/>
                <w:bdr w:val="nil"/>
                <w:lang w:eastAsia="pl-PL"/>
              </w:rPr>
              <w:t>powinny spowodować zatrudnienie nowych specjalistów, zwiększyć zapotrzebowanie na surowce lub technologie wykorzystywane przy stosowaniu odnawialnych źródeł energii oraz mieć wpływ na budownictwo nowych obiektów tego typu</w:t>
            </w:r>
            <w:r w:rsidRPr="002E407E">
              <w:rPr>
                <w:rFonts w:ascii="Times New Roman" w:hAnsi="Times New Roman"/>
                <w:color w:val="000000"/>
                <w:u w:color="000000"/>
                <w:bdr w:val="nil"/>
                <w:lang w:eastAsia="pl-PL"/>
              </w:rPr>
              <w:t>.</w:t>
            </w:r>
          </w:p>
        </w:tc>
      </w:tr>
      <w:tr w:rsidR="009D55ED" w:rsidRPr="008B4FE6" w14:paraId="0D0B351D" w14:textId="77777777" w:rsidTr="0F366C62">
        <w:trPr>
          <w:trHeight w:val="142"/>
        </w:trPr>
        <w:tc>
          <w:tcPr>
            <w:tcW w:w="11086" w:type="dxa"/>
            <w:gridSpan w:val="27"/>
            <w:shd w:val="clear" w:color="auto" w:fill="99CCFF"/>
          </w:tcPr>
          <w:p w14:paraId="3CCFDAD7" w14:textId="0196A15C" w:rsidR="009D55ED" w:rsidRPr="008B4FE6" w:rsidRDefault="009D55ED" w:rsidP="00F151D7">
            <w:pPr>
              <w:numPr>
                <w:ilvl w:val="0"/>
                <w:numId w:val="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Wpływ na pozostałe obszary</w:t>
            </w:r>
          </w:p>
        </w:tc>
      </w:tr>
      <w:tr w:rsidR="009D55ED" w:rsidRPr="008B4FE6" w14:paraId="1066F6DB" w14:textId="77777777" w:rsidTr="00767DD0">
        <w:trPr>
          <w:trHeight w:val="1031"/>
        </w:trPr>
        <w:tc>
          <w:tcPr>
            <w:tcW w:w="3537" w:type="dxa"/>
            <w:gridSpan w:val="6"/>
            <w:shd w:val="clear" w:color="auto" w:fill="FFFFFF" w:themeFill="background1"/>
          </w:tcPr>
          <w:p w14:paraId="02014632" w14:textId="77777777" w:rsidR="009D55ED" w:rsidRPr="008B4FE6" w:rsidRDefault="009D55ED" w:rsidP="009D55ED">
            <w:pPr>
              <w:spacing w:line="240" w:lineRule="auto"/>
              <w:rPr>
                <w:rFonts w:ascii="Times New Roman" w:hAnsi="Times New Roman"/>
                <w:color w:val="000000"/>
              </w:rPr>
            </w:pPr>
          </w:p>
          <w:p w14:paraId="05EEA989" w14:textId="77777777" w:rsidR="009D55ED" w:rsidRPr="008B4FE6" w:rsidRDefault="009D55ED" w:rsidP="009D55E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2FEA972F" w14:textId="77777777" w:rsidR="009D55ED" w:rsidRDefault="009D55ED" w:rsidP="009D55ED">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55B6A933" w14:textId="77777777" w:rsidR="009D55ED" w:rsidRPr="008B4FE6" w:rsidRDefault="009D55ED" w:rsidP="009D55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1"/>
            <w:shd w:val="clear" w:color="auto" w:fill="FFFFFF" w:themeFill="background1"/>
          </w:tcPr>
          <w:p w14:paraId="5B85F0E4" w14:textId="77777777" w:rsidR="009D55ED" w:rsidRPr="008B4FE6" w:rsidRDefault="009D55ED" w:rsidP="009D55ED">
            <w:pPr>
              <w:spacing w:line="240" w:lineRule="auto"/>
              <w:rPr>
                <w:rFonts w:ascii="Times New Roman" w:hAnsi="Times New Roman"/>
                <w:color w:val="000000"/>
              </w:rPr>
            </w:pPr>
          </w:p>
          <w:p w14:paraId="3C773771" w14:textId="77777777" w:rsidR="009D55ED" w:rsidRPr="008B4FE6" w:rsidRDefault="009D55ED" w:rsidP="009D55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4496B102" w14:textId="77777777" w:rsidR="009D55ED" w:rsidRPr="008B4FE6" w:rsidRDefault="009D55ED" w:rsidP="009D55ED">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862" w:type="dxa"/>
            <w:gridSpan w:val="10"/>
            <w:shd w:val="clear" w:color="auto" w:fill="FFFFFF" w:themeFill="background1"/>
          </w:tcPr>
          <w:p w14:paraId="64117417" w14:textId="75E777C2" w:rsidR="009D55ED" w:rsidRPr="008B4FE6" w:rsidRDefault="009D55ED" w:rsidP="009D55ED">
            <w:pPr>
              <w:spacing w:line="240" w:lineRule="auto"/>
              <w:rPr>
                <w:rFonts w:ascii="Times New Roman" w:hAnsi="Times New Roman"/>
                <w:color w:val="000000"/>
              </w:rPr>
            </w:pPr>
          </w:p>
          <w:p w14:paraId="0C9F7272" w14:textId="77777777" w:rsidR="009D55ED" w:rsidRDefault="009D55ED" w:rsidP="009D55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5BF63BF4" w14:textId="77777777" w:rsidR="009D55ED" w:rsidRPr="008B4FE6" w:rsidRDefault="009D55ED" w:rsidP="009D55E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227E6">
              <w:rPr>
                <w:rFonts w:ascii="Times New Roman" w:hAnsi="Times New Roman"/>
                <w:color w:val="000000"/>
              </w:rPr>
            </w:r>
            <w:r w:rsidR="005227E6">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9D55ED" w:rsidRPr="008B4FE6" w14:paraId="00F621C4" w14:textId="77777777" w:rsidTr="00767DD0">
        <w:trPr>
          <w:trHeight w:val="712"/>
        </w:trPr>
        <w:tc>
          <w:tcPr>
            <w:tcW w:w="1935" w:type="dxa"/>
            <w:gridSpan w:val="3"/>
            <w:shd w:val="clear" w:color="auto" w:fill="FFFFFF" w:themeFill="background1"/>
            <w:vAlign w:val="center"/>
          </w:tcPr>
          <w:p w14:paraId="5918E2A9" w14:textId="77777777" w:rsidR="009D55ED" w:rsidRPr="008B4FE6" w:rsidRDefault="009D55ED" w:rsidP="009D55ED">
            <w:pPr>
              <w:spacing w:line="240" w:lineRule="auto"/>
              <w:rPr>
                <w:rFonts w:ascii="Times New Roman" w:hAnsi="Times New Roman"/>
                <w:color w:val="000000"/>
              </w:rPr>
            </w:pPr>
            <w:r w:rsidRPr="008B4FE6">
              <w:rPr>
                <w:rFonts w:ascii="Times New Roman" w:hAnsi="Times New Roman"/>
                <w:color w:val="000000"/>
              </w:rPr>
              <w:t>Omówienie wpływu</w:t>
            </w:r>
          </w:p>
        </w:tc>
        <w:tc>
          <w:tcPr>
            <w:tcW w:w="9151" w:type="dxa"/>
            <w:gridSpan w:val="24"/>
            <w:shd w:val="clear" w:color="auto" w:fill="FFFFFF" w:themeFill="background1"/>
          </w:tcPr>
          <w:p w14:paraId="2ABC4297" w14:textId="7638B37D" w:rsidR="009D55ED" w:rsidRPr="002703B2" w:rsidRDefault="009D55ED" w:rsidP="009D55ED">
            <w:pPr>
              <w:spacing w:line="240" w:lineRule="auto"/>
              <w:jc w:val="both"/>
              <w:rPr>
                <w:rFonts w:ascii="Times New Roman" w:eastAsia="Times New Roman" w:hAnsi="Times New Roman"/>
                <w:bCs/>
                <w:lang w:eastAsia="pl-PL"/>
              </w:rPr>
            </w:pPr>
            <w:r w:rsidRPr="002703B2">
              <w:rPr>
                <w:rFonts w:ascii="Times New Roman" w:eastAsia="Times New Roman" w:hAnsi="Times New Roman"/>
                <w:bCs/>
                <w:lang w:eastAsia="pl-PL"/>
              </w:rPr>
              <w:t>Poprawa jakości regulacji i zwiększenie elastyczności dla podmiotów biorących udział w systemie handlu uprawnieniami do emisji gazów cieplarnianych może przyczynić się do zwiększenia liczby inwestycji związanych z redukcją emisji, a tym samym pozytywnie wpłynąć na środowisko naturalne. W szczególności należy się spodziewać większych inwestycji w modernizację systemów energetycznych oraz w działania na rzecz poprawy efektywności energetycznej, a z drugiej strony zmniejszenia wykorzystywania paliw kopalnych w energetyce.</w:t>
            </w:r>
          </w:p>
          <w:p w14:paraId="1353627D" w14:textId="77777777" w:rsidR="009D55ED" w:rsidRPr="008B4FE6" w:rsidRDefault="009D55ED" w:rsidP="009D55ED">
            <w:pPr>
              <w:spacing w:line="240" w:lineRule="auto"/>
              <w:jc w:val="both"/>
              <w:rPr>
                <w:rFonts w:ascii="Times New Roman" w:hAnsi="Times New Roman"/>
                <w:color w:val="000000"/>
                <w:spacing w:val="-2"/>
              </w:rPr>
            </w:pPr>
            <w:r w:rsidRPr="002703B2">
              <w:rPr>
                <w:rFonts w:ascii="Times New Roman" w:hAnsi="Times New Roman"/>
              </w:rPr>
              <w:t>W związku z powyższym przewiduje się bezpośredni wpływ przedmiotowej regulacji na środowisko naturalne.</w:t>
            </w:r>
          </w:p>
        </w:tc>
      </w:tr>
      <w:tr w:rsidR="009D55ED" w:rsidRPr="008B4FE6" w14:paraId="4F3F71CE" w14:textId="77777777" w:rsidTr="0F366C62">
        <w:trPr>
          <w:trHeight w:val="142"/>
        </w:trPr>
        <w:tc>
          <w:tcPr>
            <w:tcW w:w="11086" w:type="dxa"/>
            <w:gridSpan w:val="27"/>
            <w:shd w:val="clear" w:color="auto" w:fill="99CCFF"/>
          </w:tcPr>
          <w:p w14:paraId="7D7A1332" w14:textId="722F244B" w:rsidR="009D55ED" w:rsidRPr="00627221" w:rsidRDefault="009D55ED" w:rsidP="009D55ED">
            <w:pPr>
              <w:numPr>
                <w:ilvl w:val="0"/>
                <w:numId w:val="5"/>
              </w:numPr>
              <w:spacing w:before="60" w:after="60" w:line="240" w:lineRule="auto"/>
              <w:ind w:left="318" w:hanging="284"/>
              <w:jc w:val="both"/>
              <w:rPr>
                <w:rFonts w:ascii="Times New Roman" w:hAnsi="Times New Roman"/>
                <w:b/>
              </w:rPr>
            </w:pPr>
            <w:r>
              <w:rPr>
                <w:rFonts w:ascii="Times New Roman" w:hAnsi="Times New Roman"/>
                <w:b/>
                <w:spacing w:val="-2"/>
                <w:sz w:val="21"/>
                <w:szCs w:val="21"/>
              </w:rPr>
              <w:t xml:space="preserve"> 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9D55ED" w:rsidRPr="008B4FE6" w14:paraId="4B1F191F" w14:textId="77777777" w:rsidTr="0F366C62">
        <w:trPr>
          <w:trHeight w:val="142"/>
        </w:trPr>
        <w:tc>
          <w:tcPr>
            <w:tcW w:w="11086" w:type="dxa"/>
            <w:gridSpan w:val="27"/>
            <w:shd w:val="clear" w:color="auto" w:fill="FFFFFF" w:themeFill="background1"/>
          </w:tcPr>
          <w:p w14:paraId="56F9BF7B" w14:textId="1141F97B" w:rsidR="009D55ED" w:rsidRPr="00B37C80" w:rsidRDefault="009D55ED" w:rsidP="009D55ED">
            <w:pPr>
              <w:spacing w:line="240" w:lineRule="auto"/>
              <w:jc w:val="both"/>
              <w:rPr>
                <w:rFonts w:ascii="Times New Roman" w:hAnsi="Times New Roman"/>
                <w:spacing w:val="-2"/>
              </w:rPr>
            </w:pPr>
            <w:r>
              <w:rPr>
                <w:rFonts w:ascii="Times New Roman" w:hAnsi="Times New Roman"/>
                <w:color w:val="000000"/>
                <w:szCs w:val="20"/>
                <w:u w:color="000000"/>
                <w:bdr w:val="nil"/>
                <w:lang w:eastAsia="pl-PL"/>
              </w:rPr>
              <w:t xml:space="preserve">Planowany termin wejście w życie ustawy </w:t>
            </w:r>
            <w:r w:rsidR="00BF205A">
              <w:rPr>
                <w:rFonts w:ascii="Times New Roman" w:hAnsi="Times New Roman"/>
                <w:color w:val="000000"/>
                <w:szCs w:val="20"/>
                <w:u w:color="000000"/>
                <w:bdr w:val="nil"/>
                <w:lang w:eastAsia="pl-PL"/>
              </w:rPr>
              <w:t xml:space="preserve"> to 1 styczeń 2021</w:t>
            </w:r>
            <w:r>
              <w:rPr>
                <w:rFonts w:ascii="Times New Roman" w:hAnsi="Times New Roman"/>
                <w:color w:val="000000"/>
                <w:szCs w:val="20"/>
                <w:u w:color="000000"/>
                <w:bdr w:val="nil"/>
                <w:lang w:eastAsia="pl-PL"/>
              </w:rPr>
              <w:t xml:space="preserve"> r.</w:t>
            </w:r>
            <w:r w:rsidR="00BF205A">
              <w:rPr>
                <w:rFonts w:ascii="Times New Roman" w:hAnsi="Times New Roman"/>
                <w:color w:val="000000"/>
                <w:szCs w:val="20"/>
                <w:u w:color="000000"/>
                <w:bdr w:val="nil"/>
                <w:lang w:eastAsia="pl-PL"/>
              </w:rPr>
              <w:t>,</w:t>
            </w:r>
            <w:r w:rsidR="002D2C02">
              <w:rPr>
                <w:rFonts w:ascii="Times New Roman" w:hAnsi="Times New Roman"/>
                <w:color w:val="000000"/>
                <w:szCs w:val="20"/>
                <w:u w:color="000000"/>
                <w:bdr w:val="nil"/>
                <w:lang w:eastAsia="pl-PL"/>
              </w:rPr>
              <w:t xml:space="preserve"> </w:t>
            </w:r>
            <w:r w:rsidR="00BF205A">
              <w:rPr>
                <w:rFonts w:ascii="Times New Roman" w:hAnsi="Times New Roman"/>
                <w:color w:val="000000"/>
                <w:szCs w:val="20"/>
                <w:u w:color="000000"/>
                <w:bdr w:val="nil"/>
                <w:lang w:eastAsia="pl-PL"/>
              </w:rPr>
              <w:t>z tym że regulacje dotyczące</w:t>
            </w:r>
            <w:r w:rsidR="006562E4">
              <w:rPr>
                <w:rFonts w:ascii="Times New Roman" w:hAnsi="Times New Roman"/>
                <w:color w:val="000000"/>
                <w:szCs w:val="20"/>
                <w:u w:color="000000"/>
                <w:bdr w:val="nil"/>
                <w:lang w:eastAsia="pl-PL"/>
              </w:rPr>
              <w:t xml:space="preserve"> Funduszu wejdą w życie po upływie 14 dni od dnia ogłoszenia. </w:t>
            </w:r>
            <w:r>
              <w:rPr>
                <w:rFonts w:ascii="Times New Roman" w:hAnsi="Times New Roman"/>
                <w:color w:val="000000"/>
                <w:szCs w:val="20"/>
                <w:u w:color="000000"/>
                <w:bdr w:val="nil"/>
                <w:lang w:eastAsia="pl-PL"/>
              </w:rPr>
              <w:t>Planuje się, że pierwsze wnioski o dofinansowanie projektów wpłyną do NFOŚiGW w 2021 r.</w:t>
            </w:r>
          </w:p>
          <w:p w14:paraId="4633C526" w14:textId="77777777" w:rsidR="009D55ED" w:rsidRPr="00B37C80" w:rsidRDefault="009D55ED" w:rsidP="009D55ED">
            <w:pPr>
              <w:spacing w:line="240" w:lineRule="auto"/>
              <w:jc w:val="both"/>
              <w:rPr>
                <w:rFonts w:ascii="Times New Roman" w:hAnsi="Times New Roman"/>
                <w:spacing w:val="-2"/>
              </w:rPr>
            </w:pPr>
          </w:p>
        </w:tc>
      </w:tr>
      <w:tr w:rsidR="009D55ED" w:rsidRPr="008B4FE6" w14:paraId="22956A91" w14:textId="77777777" w:rsidTr="0F366C62">
        <w:trPr>
          <w:trHeight w:val="142"/>
        </w:trPr>
        <w:tc>
          <w:tcPr>
            <w:tcW w:w="11086" w:type="dxa"/>
            <w:gridSpan w:val="27"/>
            <w:shd w:val="clear" w:color="auto" w:fill="99CCFF"/>
          </w:tcPr>
          <w:p w14:paraId="03139DB2" w14:textId="2A34289F" w:rsidR="009D55ED" w:rsidRPr="008B4FE6" w:rsidRDefault="009D55ED" w:rsidP="009D55ED">
            <w:pPr>
              <w:numPr>
                <w:ilvl w:val="0"/>
                <w:numId w:val="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9D55ED" w:rsidRPr="008B4FE6" w14:paraId="4C7D9988" w14:textId="77777777" w:rsidTr="0F366C62">
        <w:trPr>
          <w:trHeight w:val="142"/>
        </w:trPr>
        <w:tc>
          <w:tcPr>
            <w:tcW w:w="11086" w:type="dxa"/>
            <w:gridSpan w:val="27"/>
            <w:shd w:val="clear" w:color="auto" w:fill="FFFFFF" w:themeFill="background1"/>
          </w:tcPr>
          <w:p w14:paraId="5804D574" w14:textId="7516E828" w:rsidR="009D55ED" w:rsidRPr="00B37C80" w:rsidRDefault="009D55ED" w:rsidP="009D55ED">
            <w:pPr>
              <w:spacing w:line="240" w:lineRule="auto"/>
              <w:jc w:val="both"/>
              <w:rPr>
                <w:rFonts w:ascii="Times New Roman" w:hAnsi="Times New Roman"/>
                <w:color w:val="000000"/>
                <w:spacing w:val="-2"/>
              </w:rPr>
            </w:pPr>
            <w:r>
              <w:rPr>
                <w:rFonts w:ascii="Times New Roman" w:hAnsi="Times New Roman"/>
                <w:u w:color="000000"/>
                <w:bdr w:val="nil"/>
                <w:lang w:eastAsia="pl-PL"/>
              </w:rPr>
              <w:t>Weryfikacja w zakresie wydatkowania środków z Funduszu Modernizacyjnego powinna być możliwa już w połowie okresu rozliczeniowego 2021-2030</w:t>
            </w:r>
            <w:r w:rsidRPr="009C72C0">
              <w:rPr>
                <w:rFonts w:ascii="Times New Roman" w:hAnsi="Times New Roman"/>
                <w:color w:val="000000"/>
                <w:u w:color="000000"/>
                <w:bdr w:val="nil"/>
                <w:lang w:eastAsia="pl-PL"/>
              </w:rPr>
              <w:t>.</w:t>
            </w:r>
            <w:r>
              <w:rPr>
                <w:rFonts w:ascii="Times New Roman" w:hAnsi="Times New Roman"/>
                <w:color w:val="000000"/>
                <w:u w:color="000000"/>
                <w:bdr w:val="nil"/>
                <w:lang w:eastAsia="pl-PL"/>
              </w:rPr>
              <w:t xml:space="preserve"> Miernikiem będzie poziom wydatkowania środków. Całościowa ocena będzie możliwa do zweryfikowania po zrealizowaniu inwestycji na </w:t>
            </w:r>
            <w:r w:rsidRPr="0015084D">
              <w:rPr>
                <w:rFonts w:ascii="Times New Roman" w:hAnsi="Times New Roman"/>
                <w:color w:val="000000"/>
                <w:u w:color="000000"/>
                <w:bdr w:val="nil"/>
                <w:lang w:eastAsia="pl-PL"/>
              </w:rPr>
              <w:t>modernizację systemów energetycznych oraz w działania na rzecz poprawy efektywności energetycznej</w:t>
            </w:r>
            <w:r>
              <w:rPr>
                <w:rFonts w:ascii="Times New Roman" w:hAnsi="Times New Roman"/>
                <w:color w:val="000000"/>
                <w:u w:color="000000"/>
                <w:bdr w:val="nil"/>
                <w:lang w:eastAsia="pl-PL"/>
              </w:rPr>
              <w:t>, które wymagają kilku lat na realizację.</w:t>
            </w:r>
          </w:p>
        </w:tc>
      </w:tr>
      <w:tr w:rsidR="009D55ED" w:rsidRPr="008B4FE6" w14:paraId="56F815FA" w14:textId="77777777" w:rsidTr="0F366C62">
        <w:trPr>
          <w:trHeight w:val="142"/>
        </w:trPr>
        <w:tc>
          <w:tcPr>
            <w:tcW w:w="11086" w:type="dxa"/>
            <w:gridSpan w:val="27"/>
            <w:shd w:val="clear" w:color="auto" w:fill="99CCFF"/>
          </w:tcPr>
          <w:p w14:paraId="0977E0CF" w14:textId="1A0AF58C" w:rsidR="009D55ED" w:rsidRPr="008B4FE6" w:rsidRDefault="009D55ED" w:rsidP="009D55ED">
            <w:pPr>
              <w:numPr>
                <w:ilvl w:val="0"/>
                <w:numId w:val="5"/>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9D55ED" w:rsidRPr="008B4FE6" w14:paraId="1D0FFB95" w14:textId="77777777" w:rsidTr="0F366C62">
        <w:trPr>
          <w:trHeight w:val="142"/>
        </w:trPr>
        <w:tc>
          <w:tcPr>
            <w:tcW w:w="11086" w:type="dxa"/>
            <w:gridSpan w:val="27"/>
            <w:shd w:val="clear" w:color="auto" w:fill="FFFFFF" w:themeFill="background1"/>
          </w:tcPr>
          <w:p w14:paraId="175E7089" w14:textId="2B50E2CF" w:rsidR="009D55ED" w:rsidRPr="00B37C80" w:rsidRDefault="009D55ED" w:rsidP="009D55ED">
            <w:pPr>
              <w:spacing w:line="240" w:lineRule="auto"/>
              <w:jc w:val="both"/>
              <w:rPr>
                <w:rFonts w:ascii="Times New Roman" w:hAnsi="Times New Roman"/>
                <w:color w:val="000000"/>
                <w:spacing w:val="-2"/>
              </w:rPr>
            </w:pPr>
            <w:bookmarkStart w:id="5" w:name="_GoBack"/>
            <w:bookmarkEnd w:id="5"/>
          </w:p>
        </w:tc>
      </w:tr>
    </w:tbl>
    <w:p w14:paraId="0933455F" w14:textId="77777777" w:rsidR="006176ED" w:rsidRPr="00522D94" w:rsidRDefault="006176ED" w:rsidP="009C3D18">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FC9D" w14:textId="77777777" w:rsidR="005227E6" w:rsidRDefault="005227E6" w:rsidP="00044739">
      <w:pPr>
        <w:spacing w:line="240" w:lineRule="auto"/>
      </w:pPr>
      <w:r>
        <w:separator/>
      </w:r>
    </w:p>
  </w:endnote>
  <w:endnote w:type="continuationSeparator" w:id="0">
    <w:p w14:paraId="41805B1C" w14:textId="77777777" w:rsidR="005227E6" w:rsidRDefault="005227E6"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FDD4" w14:textId="77777777" w:rsidR="005227E6" w:rsidRDefault="005227E6" w:rsidP="00044739">
      <w:pPr>
        <w:spacing w:line="240" w:lineRule="auto"/>
      </w:pPr>
      <w:r>
        <w:separator/>
      </w:r>
    </w:p>
  </w:footnote>
  <w:footnote w:type="continuationSeparator" w:id="0">
    <w:p w14:paraId="7617D8C2" w14:textId="77777777" w:rsidR="005227E6" w:rsidRDefault="005227E6" w:rsidP="00044739">
      <w:pPr>
        <w:spacing w:line="240" w:lineRule="auto"/>
      </w:pPr>
      <w:r>
        <w:continuationSeparator/>
      </w:r>
    </w:p>
  </w:footnote>
  <w:footnote w:id="1">
    <w:p w14:paraId="6C190B18" w14:textId="77777777" w:rsidR="00927FE2" w:rsidRDefault="00927FE2" w:rsidP="00FE21C0">
      <w:pPr>
        <w:pStyle w:val="Tekstprzypisudolnego"/>
      </w:pPr>
      <w:r>
        <w:rPr>
          <w:rStyle w:val="Odwoanieprzypisudolnego"/>
        </w:rPr>
        <w:footnoteRef/>
      </w:r>
      <w:r>
        <w:t xml:space="preserve"> Źródło </w:t>
      </w:r>
      <w:r w:rsidRPr="00AA4184">
        <w:t>https://dsc.kprm.gov.pl/sites/default/files/zal_2_wynagrodzenia_w_sluzbie_cywilnej_w_2018_r_0.pdf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EB7B73"/>
    <w:multiLevelType w:val="hybridMultilevel"/>
    <w:tmpl w:val="9DFEA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nsid w:val="42DB019C"/>
    <w:multiLevelType w:val="hybridMultilevel"/>
    <w:tmpl w:val="500E9EEA"/>
    <w:lvl w:ilvl="0" w:tplc="E724F85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146976"/>
    <w:multiLevelType w:val="hybridMultilevel"/>
    <w:tmpl w:val="221C1072"/>
    <w:lvl w:ilvl="0" w:tplc="04150011">
      <w:start w:val="1"/>
      <w:numFmt w:val="decimal"/>
      <w:lvlText w:val="%1)"/>
      <w:lvlJc w:val="left"/>
      <w:pPr>
        <w:ind w:left="720" w:hanging="360"/>
      </w:pPr>
      <w:rPr>
        <w:rFonts w:hint="default"/>
      </w:rPr>
    </w:lvl>
    <w:lvl w:ilvl="1" w:tplc="69204696">
      <w:start w:val="1"/>
      <w:numFmt w:val="bullet"/>
      <w:lvlText w:val="o"/>
      <w:lvlJc w:val="left"/>
      <w:pPr>
        <w:ind w:left="1440" w:hanging="360"/>
      </w:pPr>
      <w:rPr>
        <w:rFonts w:ascii="Courier New" w:hAnsi="Courier New" w:hint="default"/>
      </w:rPr>
    </w:lvl>
    <w:lvl w:ilvl="2" w:tplc="4D54184A">
      <w:start w:val="1"/>
      <w:numFmt w:val="bullet"/>
      <w:lvlText w:val=""/>
      <w:lvlJc w:val="left"/>
      <w:pPr>
        <w:ind w:left="2160" w:hanging="360"/>
      </w:pPr>
      <w:rPr>
        <w:rFonts w:ascii="Wingdings" w:hAnsi="Wingdings" w:hint="default"/>
      </w:rPr>
    </w:lvl>
    <w:lvl w:ilvl="3" w:tplc="0C964C9A">
      <w:start w:val="1"/>
      <w:numFmt w:val="bullet"/>
      <w:lvlText w:val=""/>
      <w:lvlJc w:val="left"/>
      <w:pPr>
        <w:ind w:left="2880" w:hanging="360"/>
      </w:pPr>
      <w:rPr>
        <w:rFonts w:ascii="Symbol" w:hAnsi="Symbol" w:hint="default"/>
      </w:rPr>
    </w:lvl>
    <w:lvl w:ilvl="4" w:tplc="21D8CFF0">
      <w:start w:val="1"/>
      <w:numFmt w:val="bullet"/>
      <w:lvlText w:val="o"/>
      <w:lvlJc w:val="left"/>
      <w:pPr>
        <w:ind w:left="3600" w:hanging="360"/>
      </w:pPr>
      <w:rPr>
        <w:rFonts w:ascii="Courier New" w:hAnsi="Courier New" w:hint="default"/>
      </w:rPr>
    </w:lvl>
    <w:lvl w:ilvl="5" w:tplc="BBB4830C">
      <w:start w:val="1"/>
      <w:numFmt w:val="bullet"/>
      <w:lvlText w:val=""/>
      <w:lvlJc w:val="left"/>
      <w:pPr>
        <w:ind w:left="4320" w:hanging="360"/>
      </w:pPr>
      <w:rPr>
        <w:rFonts w:ascii="Wingdings" w:hAnsi="Wingdings" w:hint="default"/>
      </w:rPr>
    </w:lvl>
    <w:lvl w:ilvl="6" w:tplc="E49AA532">
      <w:start w:val="1"/>
      <w:numFmt w:val="bullet"/>
      <w:lvlText w:val=""/>
      <w:lvlJc w:val="left"/>
      <w:pPr>
        <w:ind w:left="5040" w:hanging="360"/>
      </w:pPr>
      <w:rPr>
        <w:rFonts w:ascii="Symbol" w:hAnsi="Symbol" w:hint="default"/>
      </w:rPr>
    </w:lvl>
    <w:lvl w:ilvl="7" w:tplc="014C1748">
      <w:start w:val="1"/>
      <w:numFmt w:val="bullet"/>
      <w:lvlText w:val="o"/>
      <w:lvlJc w:val="left"/>
      <w:pPr>
        <w:ind w:left="5760" w:hanging="360"/>
      </w:pPr>
      <w:rPr>
        <w:rFonts w:ascii="Courier New" w:hAnsi="Courier New" w:hint="default"/>
      </w:rPr>
    </w:lvl>
    <w:lvl w:ilvl="8" w:tplc="8D86F1AC">
      <w:start w:val="1"/>
      <w:numFmt w:val="bullet"/>
      <w:lvlText w:val=""/>
      <w:lvlJc w:val="left"/>
      <w:pPr>
        <w:ind w:left="6480" w:hanging="360"/>
      </w:pPr>
      <w:rPr>
        <w:rFonts w:ascii="Wingdings" w:hAnsi="Wingdings" w:hint="default"/>
      </w:rPr>
    </w:lvl>
  </w:abstractNum>
  <w:abstractNum w:abstractNumId="14">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nsid w:val="617B056D"/>
    <w:multiLevelType w:val="hybridMultilevel"/>
    <w:tmpl w:val="B8481EFE"/>
    <w:lvl w:ilvl="0" w:tplc="74FAFC7E">
      <w:start w:val="1"/>
      <w:numFmt w:val="bullet"/>
      <w:lvlText w:val=""/>
      <w:lvlJc w:val="left"/>
      <w:pPr>
        <w:ind w:left="720" w:hanging="360"/>
      </w:pPr>
      <w:rPr>
        <w:rFonts w:ascii="Symbol" w:hAnsi="Symbol" w:hint="default"/>
      </w:rPr>
    </w:lvl>
    <w:lvl w:ilvl="1" w:tplc="0A26D1BA">
      <w:start w:val="1"/>
      <w:numFmt w:val="bullet"/>
      <w:lvlText w:val="o"/>
      <w:lvlJc w:val="left"/>
      <w:pPr>
        <w:ind w:left="1440" w:hanging="360"/>
      </w:pPr>
      <w:rPr>
        <w:rFonts w:ascii="Courier New" w:hAnsi="Courier New" w:hint="default"/>
      </w:rPr>
    </w:lvl>
    <w:lvl w:ilvl="2" w:tplc="58727230">
      <w:start w:val="1"/>
      <w:numFmt w:val="bullet"/>
      <w:lvlText w:val=""/>
      <w:lvlJc w:val="left"/>
      <w:pPr>
        <w:ind w:left="2160" w:hanging="360"/>
      </w:pPr>
      <w:rPr>
        <w:rFonts w:ascii="Wingdings" w:hAnsi="Wingdings" w:hint="default"/>
      </w:rPr>
    </w:lvl>
    <w:lvl w:ilvl="3" w:tplc="F6C460F4">
      <w:start w:val="1"/>
      <w:numFmt w:val="bullet"/>
      <w:lvlText w:val=""/>
      <w:lvlJc w:val="left"/>
      <w:pPr>
        <w:ind w:left="2880" w:hanging="360"/>
      </w:pPr>
      <w:rPr>
        <w:rFonts w:ascii="Symbol" w:hAnsi="Symbol" w:hint="default"/>
      </w:rPr>
    </w:lvl>
    <w:lvl w:ilvl="4" w:tplc="FF3A1298">
      <w:start w:val="1"/>
      <w:numFmt w:val="bullet"/>
      <w:lvlText w:val="o"/>
      <w:lvlJc w:val="left"/>
      <w:pPr>
        <w:ind w:left="3600" w:hanging="360"/>
      </w:pPr>
      <w:rPr>
        <w:rFonts w:ascii="Courier New" w:hAnsi="Courier New" w:hint="default"/>
      </w:rPr>
    </w:lvl>
    <w:lvl w:ilvl="5" w:tplc="CDF83E60">
      <w:start w:val="1"/>
      <w:numFmt w:val="bullet"/>
      <w:lvlText w:val=""/>
      <w:lvlJc w:val="left"/>
      <w:pPr>
        <w:ind w:left="4320" w:hanging="360"/>
      </w:pPr>
      <w:rPr>
        <w:rFonts w:ascii="Wingdings" w:hAnsi="Wingdings" w:hint="default"/>
      </w:rPr>
    </w:lvl>
    <w:lvl w:ilvl="6" w:tplc="51B06186">
      <w:start w:val="1"/>
      <w:numFmt w:val="bullet"/>
      <w:lvlText w:val=""/>
      <w:lvlJc w:val="left"/>
      <w:pPr>
        <w:ind w:left="5040" w:hanging="360"/>
      </w:pPr>
      <w:rPr>
        <w:rFonts w:ascii="Symbol" w:hAnsi="Symbol" w:hint="default"/>
      </w:rPr>
    </w:lvl>
    <w:lvl w:ilvl="7" w:tplc="EBA4798A">
      <w:start w:val="1"/>
      <w:numFmt w:val="bullet"/>
      <w:lvlText w:val="o"/>
      <w:lvlJc w:val="left"/>
      <w:pPr>
        <w:ind w:left="5760" w:hanging="360"/>
      </w:pPr>
      <w:rPr>
        <w:rFonts w:ascii="Courier New" w:hAnsi="Courier New" w:hint="default"/>
      </w:rPr>
    </w:lvl>
    <w:lvl w:ilvl="8" w:tplc="2F4A733E">
      <w:start w:val="1"/>
      <w:numFmt w:val="bullet"/>
      <w:lvlText w:val=""/>
      <w:lvlJc w:val="left"/>
      <w:pPr>
        <w:ind w:left="6480" w:hanging="360"/>
      </w:pPr>
      <w:rPr>
        <w:rFonts w:ascii="Wingdings" w:hAnsi="Wingdings" w:hint="default"/>
      </w:rPr>
    </w:lvl>
  </w:abstractNum>
  <w:abstractNum w:abstractNumId="21">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3"/>
  </w:num>
  <w:num w:numId="3">
    <w:abstractNumId w:val="4"/>
  </w:num>
  <w:num w:numId="4">
    <w:abstractNumId w:val="0"/>
  </w:num>
  <w:num w:numId="5">
    <w:abstractNumId w:val="9"/>
  </w:num>
  <w:num w:numId="6">
    <w:abstractNumId w:val="21"/>
  </w:num>
  <w:num w:numId="7">
    <w:abstractNumId w:val="1"/>
  </w:num>
  <w:num w:numId="8">
    <w:abstractNumId w:val="8"/>
  </w:num>
  <w:num w:numId="9">
    <w:abstractNumId w:val="14"/>
  </w:num>
  <w:num w:numId="10">
    <w:abstractNumId w:val="5"/>
  </w:num>
  <w:num w:numId="11">
    <w:abstractNumId w:val="16"/>
  </w:num>
  <w:num w:numId="12">
    <w:abstractNumId w:val="11"/>
  </w:num>
  <w:num w:numId="13">
    <w:abstractNumId w:val="15"/>
  </w:num>
  <w:num w:numId="14">
    <w:abstractNumId w:val="3"/>
  </w:num>
  <w:num w:numId="15">
    <w:abstractNumId w:val="10"/>
  </w:num>
  <w:num w:numId="16">
    <w:abstractNumId w:val="22"/>
  </w:num>
  <w:num w:numId="17">
    <w:abstractNumId w:val="17"/>
  </w:num>
  <w:num w:numId="18">
    <w:abstractNumId w:val="19"/>
  </w:num>
  <w:num w:numId="19">
    <w:abstractNumId w:val="6"/>
  </w:num>
  <w:num w:numId="20">
    <w:abstractNumId w:val="23"/>
  </w:num>
  <w:num w:numId="21">
    <w:abstractNumId w:val="24"/>
  </w:num>
  <w:num w:numId="22">
    <w:abstractNumId w:val="18"/>
  </w:num>
  <w:num w:numId="23">
    <w:abstractNumId w:val="7"/>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07F8B"/>
    <w:rsid w:val="00012A52"/>
    <w:rsid w:val="00012D11"/>
    <w:rsid w:val="00013EB5"/>
    <w:rsid w:val="0001491A"/>
    <w:rsid w:val="000164A9"/>
    <w:rsid w:val="00023836"/>
    <w:rsid w:val="00027BA3"/>
    <w:rsid w:val="000356A9"/>
    <w:rsid w:val="00044138"/>
    <w:rsid w:val="00044739"/>
    <w:rsid w:val="00051637"/>
    <w:rsid w:val="000541C7"/>
    <w:rsid w:val="00056681"/>
    <w:rsid w:val="000648A7"/>
    <w:rsid w:val="0006618B"/>
    <w:rsid w:val="00066FCA"/>
    <w:rsid w:val="000670C0"/>
    <w:rsid w:val="00071B99"/>
    <w:rsid w:val="000756E5"/>
    <w:rsid w:val="0007704E"/>
    <w:rsid w:val="00080BD6"/>
    <w:rsid w:val="00080EC8"/>
    <w:rsid w:val="00084A64"/>
    <w:rsid w:val="000944AC"/>
    <w:rsid w:val="00094CB9"/>
    <w:rsid w:val="000956B2"/>
    <w:rsid w:val="000969E7"/>
    <w:rsid w:val="000A23DE"/>
    <w:rsid w:val="000A4020"/>
    <w:rsid w:val="000B40F2"/>
    <w:rsid w:val="000B54FB"/>
    <w:rsid w:val="000C29B0"/>
    <w:rsid w:val="000C33FB"/>
    <w:rsid w:val="000C76FC"/>
    <w:rsid w:val="000D38FC"/>
    <w:rsid w:val="000D4CBE"/>
    <w:rsid w:val="000D4D90"/>
    <w:rsid w:val="000D5566"/>
    <w:rsid w:val="000D6A33"/>
    <w:rsid w:val="000E191B"/>
    <w:rsid w:val="000E2687"/>
    <w:rsid w:val="000E2D10"/>
    <w:rsid w:val="000F28AD"/>
    <w:rsid w:val="000F2C48"/>
    <w:rsid w:val="000F3204"/>
    <w:rsid w:val="0010548B"/>
    <w:rsid w:val="001072D1"/>
    <w:rsid w:val="00116345"/>
    <w:rsid w:val="0011663A"/>
    <w:rsid w:val="00116980"/>
    <w:rsid w:val="00117017"/>
    <w:rsid w:val="00122F2B"/>
    <w:rsid w:val="00130E8E"/>
    <w:rsid w:val="0013216E"/>
    <w:rsid w:val="001401B5"/>
    <w:rsid w:val="001414A9"/>
    <w:rsid w:val="001422B9"/>
    <w:rsid w:val="0014556C"/>
    <w:rsid w:val="00145ED3"/>
    <w:rsid w:val="0014665F"/>
    <w:rsid w:val="001507F8"/>
    <w:rsid w:val="00153464"/>
    <w:rsid w:val="001541B3"/>
    <w:rsid w:val="00155B15"/>
    <w:rsid w:val="00162101"/>
    <w:rsid w:val="001625BE"/>
    <w:rsid w:val="001643A4"/>
    <w:rsid w:val="001727BB"/>
    <w:rsid w:val="00180D25"/>
    <w:rsid w:val="0018318D"/>
    <w:rsid w:val="001847CC"/>
    <w:rsid w:val="0018572C"/>
    <w:rsid w:val="00187E79"/>
    <w:rsid w:val="00187F0D"/>
    <w:rsid w:val="00192CC5"/>
    <w:rsid w:val="00193613"/>
    <w:rsid w:val="001956A7"/>
    <w:rsid w:val="00197319"/>
    <w:rsid w:val="001A0528"/>
    <w:rsid w:val="001A118A"/>
    <w:rsid w:val="001A27F4"/>
    <w:rsid w:val="001A2D95"/>
    <w:rsid w:val="001B3460"/>
    <w:rsid w:val="001B4CA1"/>
    <w:rsid w:val="001B75D8"/>
    <w:rsid w:val="001C0A14"/>
    <w:rsid w:val="001C1060"/>
    <w:rsid w:val="001C3C63"/>
    <w:rsid w:val="001D1704"/>
    <w:rsid w:val="001D4732"/>
    <w:rsid w:val="001D6A3C"/>
    <w:rsid w:val="001D6D51"/>
    <w:rsid w:val="001E11D0"/>
    <w:rsid w:val="001E244C"/>
    <w:rsid w:val="001F196B"/>
    <w:rsid w:val="001F3344"/>
    <w:rsid w:val="001F3FAA"/>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36EE2"/>
    <w:rsid w:val="00247723"/>
    <w:rsid w:val="00254DED"/>
    <w:rsid w:val="00255619"/>
    <w:rsid w:val="00255DAD"/>
    <w:rsid w:val="00256108"/>
    <w:rsid w:val="002603AD"/>
    <w:rsid w:val="00260F33"/>
    <w:rsid w:val="002613BD"/>
    <w:rsid w:val="002624F1"/>
    <w:rsid w:val="00270C81"/>
    <w:rsid w:val="00271558"/>
    <w:rsid w:val="00274862"/>
    <w:rsid w:val="00282D72"/>
    <w:rsid w:val="00283258"/>
    <w:rsid w:val="00283402"/>
    <w:rsid w:val="00290FD6"/>
    <w:rsid w:val="002915C3"/>
    <w:rsid w:val="00294259"/>
    <w:rsid w:val="00295A17"/>
    <w:rsid w:val="00296124"/>
    <w:rsid w:val="002A2B8B"/>
    <w:rsid w:val="002A2C81"/>
    <w:rsid w:val="002B3D1A"/>
    <w:rsid w:val="002C0B1E"/>
    <w:rsid w:val="002C27D0"/>
    <w:rsid w:val="002C2B70"/>
    <w:rsid w:val="002C2C9B"/>
    <w:rsid w:val="002D17D6"/>
    <w:rsid w:val="002D18D7"/>
    <w:rsid w:val="002D21CE"/>
    <w:rsid w:val="002D2C02"/>
    <w:rsid w:val="002E3DA3"/>
    <w:rsid w:val="002E450F"/>
    <w:rsid w:val="002E6B38"/>
    <w:rsid w:val="002E6D63"/>
    <w:rsid w:val="002E6E2B"/>
    <w:rsid w:val="002F1DB4"/>
    <w:rsid w:val="002F4C76"/>
    <w:rsid w:val="002F500B"/>
    <w:rsid w:val="002F793E"/>
    <w:rsid w:val="00300991"/>
    <w:rsid w:val="00300D65"/>
    <w:rsid w:val="00301959"/>
    <w:rsid w:val="00305B8A"/>
    <w:rsid w:val="003175FD"/>
    <w:rsid w:val="00320348"/>
    <w:rsid w:val="003205CE"/>
    <w:rsid w:val="00331BF9"/>
    <w:rsid w:val="00332752"/>
    <w:rsid w:val="0033495E"/>
    <w:rsid w:val="00334A79"/>
    <w:rsid w:val="00334D8D"/>
    <w:rsid w:val="00337345"/>
    <w:rsid w:val="00337DD2"/>
    <w:rsid w:val="003404D1"/>
    <w:rsid w:val="0034234C"/>
    <w:rsid w:val="003443FF"/>
    <w:rsid w:val="00345333"/>
    <w:rsid w:val="00355808"/>
    <w:rsid w:val="00362C7E"/>
    <w:rsid w:val="00363309"/>
    <w:rsid w:val="00363601"/>
    <w:rsid w:val="00363C2F"/>
    <w:rsid w:val="00364D05"/>
    <w:rsid w:val="00374915"/>
    <w:rsid w:val="00376AC9"/>
    <w:rsid w:val="00380A1B"/>
    <w:rsid w:val="00393032"/>
    <w:rsid w:val="00394B69"/>
    <w:rsid w:val="00397078"/>
    <w:rsid w:val="003A256E"/>
    <w:rsid w:val="003A2761"/>
    <w:rsid w:val="003A449D"/>
    <w:rsid w:val="003A6953"/>
    <w:rsid w:val="003B1751"/>
    <w:rsid w:val="003B6083"/>
    <w:rsid w:val="003C36B2"/>
    <w:rsid w:val="003C3838"/>
    <w:rsid w:val="003C5847"/>
    <w:rsid w:val="003D0681"/>
    <w:rsid w:val="003D12F6"/>
    <w:rsid w:val="003D1426"/>
    <w:rsid w:val="003D18CF"/>
    <w:rsid w:val="003E2F4E"/>
    <w:rsid w:val="003E720A"/>
    <w:rsid w:val="00403E6E"/>
    <w:rsid w:val="004129B4"/>
    <w:rsid w:val="00415C30"/>
    <w:rsid w:val="00417E6A"/>
    <w:rsid w:val="00417EF0"/>
    <w:rsid w:val="00422181"/>
    <w:rsid w:val="00423F42"/>
    <w:rsid w:val="004244A8"/>
    <w:rsid w:val="00425F72"/>
    <w:rsid w:val="00427736"/>
    <w:rsid w:val="00432172"/>
    <w:rsid w:val="00441787"/>
    <w:rsid w:val="00444F2D"/>
    <w:rsid w:val="00450A83"/>
    <w:rsid w:val="00452034"/>
    <w:rsid w:val="00455FA6"/>
    <w:rsid w:val="00457DEC"/>
    <w:rsid w:val="004602D4"/>
    <w:rsid w:val="00466C70"/>
    <w:rsid w:val="004702C9"/>
    <w:rsid w:val="00472E45"/>
    <w:rsid w:val="00473FEA"/>
    <w:rsid w:val="0047579D"/>
    <w:rsid w:val="00483262"/>
    <w:rsid w:val="004838A5"/>
    <w:rsid w:val="00484107"/>
    <w:rsid w:val="00485CC5"/>
    <w:rsid w:val="004862C1"/>
    <w:rsid w:val="0049343F"/>
    <w:rsid w:val="004964FC"/>
    <w:rsid w:val="00496909"/>
    <w:rsid w:val="004975A9"/>
    <w:rsid w:val="004A145E"/>
    <w:rsid w:val="004A1F15"/>
    <w:rsid w:val="004A2A81"/>
    <w:rsid w:val="004A7BD7"/>
    <w:rsid w:val="004B3BEB"/>
    <w:rsid w:val="004C15C2"/>
    <w:rsid w:val="004C306D"/>
    <w:rsid w:val="004C36D8"/>
    <w:rsid w:val="004D1248"/>
    <w:rsid w:val="004D1E3C"/>
    <w:rsid w:val="004D4169"/>
    <w:rsid w:val="004D6E14"/>
    <w:rsid w:val="004F45BC"/>
    <w:rsid w:val="004F4E17"/>
    <w:rsid w:val="004F566F"/>
    <w:rsid w:val="004F75C8"/>
    <w:rsid w:val="0050082F"/>
    <w:rsid w:val="00500C56"/>
    <w:rsid w:val="00501713"/>
    <w:rsid w:val="00506568"/>
    <w:rsid w:val="0051551B"/>
    <w:rsid w:val="00520C57"/>
    <w:rsid w:val="0052169C"/>
    <w:rsid w:val="005227E6"/>
    <w:rsid w:val="00522D94"/>
    <w:rsid w:val="00533D89"/>
    <w:rsid w:val="00536564"/>
    <w:rsid w:val="00541B8A"/>
    <w:rsid w:val="0054276A"/>
    <w:rsid w:val="00544597"/>
    <w:rsid w:val="00544FFE"/>
    <w:rsid w:val="005473F5"/>
    <w:rsid w:val="005477E7"/>
    <w:rsid w:val="00551E7F"/>
    <w:rsid w:val="00552794"/>
    <w:rsid w:val="00563199"/>
    <w:rsid w:val="00563D2F"/>
    <w:rsid w:val="00564874"/>
    <w:rsid w:val="00567963"/>
    <w:rsid w:val="0057004C"/>
    <w:rsid w:val="0057009A"/>
    <w:rsid w:val="00571260"/>
    <w:rsid w:val="0057189C"/>
    <w:rsid w:val="00573FC1"/>
    <w:rsid w:val="005741EE"/>
    <w:rsid w:val="0057668E"/>
    <w:rsid w:val="00582B08"/>
    <w:rsid w:val="00585983"/>
    <w:rsid w:val="005928DA"/>
    <w:rsid w:val="00595E83"/>
    <w:rsid w:val="00596530"/>
    <w:rsid w:val="005967F3"/>
    <w:rsid w:val="005971E7"/>
    <w:rsid w:val="005A06DF"/>
    <w:rsid w:val="005A31DC"/>
    <w:rsid w:val="005A5527"/>
    <w:rsid w:val="005A5AE6"/>
    <w:rsid w:val="005B1206"/>
    <w:rsid w:val="005B37E8"/>
    <w:rsid w:val="005B69BA"/>
    <w:rsid w:val="005B7D81"/>
    <w:rsid w:val="005C0056"/>
    <w:rsid w:val="005D4EE7"/>
    <w:rsid w:val="005D61D6"/>
    <w:rsid w:val="005E0D13"/>
    <w:rsid w:val="005E5047"/>
    <w:rsid w:val="005E7205"/>
    <w:rsid w:val="005E7371"/>
    <w:rsid w:val="005E7D26"/>
    <w:rsid w:val="005F116C"/>
    <w:rsid w:val="005F2131"/>
    <w:rsid w:val="005F47DE"/>
    <w:rsid w:val="00605EF6"/>
    <w:rsid w:val="00606455"/>
    <w:rsid w:val="00614929"/>
    <w:rsid w:val="00614C12"/>
    <w:rsid w:val="00616511"/>
    <w:rsid w:val="006176ED"/>
    <w:rsid w:val="006202F3"/>
    <w:rsid w:val="0062097A"/>
    <w:rsid w:val="00620A84"/>
    <w:rsid w:val="00621DA6"/>
    <w:rsid w:val="00622732"/>
    <w:rsid w:val="00623CFE"/>
    <w:rsid w:val="00627221"/>
    <w:rsid w:val="00627EE8"/>
    <w:rsid w:val="006316FA"/>
    <w:rsid w:val="006370D2"/>
    <w:rsid w:val="0064074F"/>
    <w:rsid w:val="00641F55"/>
    <w:rsid w:val="00645E4A"/>
    <w:rsid w:val="00646EF9"/>
    <w:rsid w:val="00651891"/>
    <w:rsid w:val="00653688"/>
    <w:rsid w:val="006562E4"/>
    <w:rsid w:val="00657E50"/>
    <w:rsid w:val="0066091B"/>
    <w:rsid w:val="006660E9"/>
    <w:rsid w:val="00667249"/>
    <w:rsid w:val="00667558"/>
    <w:rsid w:val="00671523"/>
    <w:rsid w:val="006725E7"/>
    <w:rsid w:val="006754EF"/>
    <w:rsid w:val="00676C8D"/>
    <w:rsid w:val="00676F1F"/>
    <w:rsid w:val="00677381"/>
    <w:rsid w:val="00677414"/>
    <w:rsid w:val="006832CF"/>
    <w:rsid w:val="0068601E"/>
    <w:rsid w:val="00690A8B"/>
    <w:rsid w:val="0069486B"/>
    <w:rsid w:val="006A4904"/>
    <w:rsid w:val="006A548F"/>
    <w:rsid w:val="006A701A"/>
    <w:rsid w:val="006B64DC"/>
    <w:rsid w:val="006B7A91"/>
    <w:rsid w:val="006C205B"/>
    <w:rsid w:val="006D4704"/>
    <w:rsid w:val="006D6A2D"/>
    <w:rsid w:val="006E1E18"/>
    <w:rsid w:val="006E31CE"/>
    <w:rsid w:val="006E34D3"/>
    <w:rsid w:val="006E686E"/>
    <w:rsid w:val="006F0FE3"/>
    <w:rsid w:val="006F1435"/>
    <w:rsid w:val="006F78C4"/>
    <w:rsid w:val="00701936"/>
    <w:rsid w:val="007031A0"/>
    <w:rsid w:val="007052CF"/>
    <w:rsid w:val="00705A29"/>
    <w:rsid w:val="00707498"/>
    <w:rsid w:val="00711A65"/>
    <w:rsid w:val="00714133"/>
    <w:rsid w:val="00714A86"/>
    <w:rsid w:val="00714DA4"/>
    <w:rsid w:val="007158B2"/>
    <w:rsid w:val="00716081"/>
    <w:rsid w:val="00722B48"/>
    <w:rsid w:val="00724164"/>
    <w:rsid w:val="00725DE7"/>
    <w:rsid w:val="0072636A"/>
    <w:rsid w:val="00726B44"/>
    <w:rsid w:val="007318DD"/>
    <w:rsid w:val="00733167"/>
    <w:rsid w:val="00740D2C"/>
    <w:rsid w:val="007448DD"/>
    <w:rsid w:val="00744BF9"/>
    <w:rsid w:val="00750901"/>
    <w:rsid w:val="00752623"/>
    <w:rsid w:val="00760F1F"/>
    <w:rsid w:val="0076423E"/>
    <w:rsid w:val="007646CB"/>
    <w:rsid w:val="0076658F"/>
    <w:rsid w:val="00767C73"/>
    <w:rsid w:val="00767DD0"/>
    <w:rsid w:val="0077040A"/>
    <w:rsid w:val="00772D64"/>
    <w:rsid w:val="007743B1"/>
    <w:rsid w:val="0077731E"/>
    <w:rsid w:val="00792609"/>
    <w:rsid w:val="00792887"/>
    <w:rsid w:val="007943E2"/>
    <w:rsid w:val="00794F2C"/>
    <w:rsid w:val="007A3BC7"/>
    <w:rsid w:val="007A5AC4"/>
    <w:rsid w:val="007A6EF9"/>
    <w:rsid w:val="007B0FDD"/>
    <w:rsid w:val="007B4802"/>
    <w:rsid w:val="007B6668"/>
    <w:rsid w:val="007B6B33"/>
    <w:rsid w:val="007C2701"/>
    <w:rsid w:val="007C6C9D"/>
    <w:rsid w:val="007D2192"/>
    <w:rsid w:val="007D3FF1"/>
    <w:rsid w:val="007D7071"/>
    <w:rsid w:val="007E707F"/>
    <w:rsid w:val="007F0021"/>
    <w:rsid w:val="007F2F52"/>
    <w:rsid w:val="00801F71"/>
    <w:rsid w:val="0080340D"/>
    <w:rsid w:val="008037A6"/>
    <w:rsid w:val="00805F28"/>
    <w:rsid w:val="0080749F"/>
    <w:rsid w:val="00811D46"/>
    <w:rsid w:val="008125B0"/>
    <w:rsid w:val="008144CB"/>
    <w:rsid w:val="00815F68"/>
    <w:rsid w:val="00821717"/>
    <w:rsid w:val="00824210"/>
    <w:rsid w:val="008263C0"/>
    <w:rsid w:val="00841422"/>
    <w:rsid w:val="00841D3B"/>
    <w:rsid w:val="0084314C"/>
    <w:rsid w:val="00843171"/>
    <w:rsid w:val="0085201F"/>
    <w:rsid w:val="008575C3"/>
    <w:rsid w:val="00863D28"/>
    <w:rsid w:val="00863F1E"/>
    <w:rsid w:val="008648C3"/>
    <w:rsid w:val="00866079"/>
    <w:rsid w:val="0088057B"/>
    <w:rsid w:val="008806AC"/>
    <w:rsid w:val="00880F26"/>
    <w:rsid w:val="00896C2E"/>
    <w:rsid w:val="008A224B"/>
    <w:rsid w:val="008A5095"/>
    <w:rsid w:val="008A608F"/>
    <w:rsid w:val="008B1A9A"/>
    <w:rsid w:val="008B4FE6"/>
    <w:rsid w:val="008B6C37"/>
    <w:rsid w:val="008B6DAF"/>
    <w:rsid w:val="008C72FF"/>
    <w:rsid w:val="008D4ABB"/>
    <w:rsid w:val="008E0110"/>
    <w:rsid w:val="008E18F7"/>
    <w:rsid w:val="008E1E10"/>
    <w:rsid w:val="008E291B"/>
    <w:rsid w:val="008E3986"/>
    <w:rsid w:val="008E4F2F"/>
    <w:rsid w:val="008E74B0"/>
    <w:rsid w:val="008F2D9C"/>
    <w:rsid w:val="008F3ACF"/>
    <w:rsid w:val="009008A8"/>
    <w:rsid w:val="00901F36"/>
    <w:rsid w:val="009063B0"/>
    <w:rsid w:val="00907106"/>
    <w:rsid w:val="009107FD"/>
    <w:rsid w:val="0091137C"/>
    <w:rsid w:val="00911567"/>
    <w:rsid w:val="00917AAE"/>
    <w:rsid w:val="00921B09"/>
    <w:rsid w:val="0092348C"/>
    <w:rsid w:val="009251A9"/>
    <w:rsid w:val="00926085"/>
    <w:rsid w:val="009279D5"/>
    <w:rsid w:val="00927FE2"/>
    <w:rsid w:val="00930699"/>
    <w:rsid w:val="00931F69"/>
    <w:rsid w:val="00934123"/>
    <w:rsid w:val="00937347"/>
    <w:rsid w:val="00940E50"/>
    <w:rsid w:val="00945F0F"/>
    <w:rsid w:val="00947AD3"/>
    <w:rsid w:val="00951515"/>
    <w:rsid w:val="00955774"/>
    <w:rsid w:val="009560B5"/>
    <w:rsid w:val="00956DD9"/>
    <w:rsid w:val="009703D6"/>
    <w:rsid w:val="0097181B"/>
    <w:rsid w:val="0097236A"/>
    <w:rsid w:val="00976DC5"/>
    <w:rsid w:val="009818C7"/>
    <w:rsid w:val="00982DD4"/>
    <w:rsid w:val="009841E5"/>
    <w:rsid w:val="0098479F"/>
    <w:rsid w:val="00984A8A"/>
    <w:rsid w:val="009857B6"/>
    <w:rsid w:val="00985A8D"/>
    <w:rsid w:val="00986610"/>
    <w:rsid w:val="009877DC"/>
    <w:rsid w:val="00991F96"/>
    <w:rsid w:val="00992FA3"/>
    <w:rsid w:val="009938AB"/>
    <w:rsid w:val="009940BF"/>
    <w:rsid w:val="00996F0A"/>
    <w:rsid w:val="009970C6"/>
    <w:rsid w:val="009A008C"/>
    <w:rsid w:val="009A132B"/>
    <w:rsid w:val="009A1D86"/>
    <w:rsid w:val="009A400B"/>
    <w:rsid w:val="009A77D6"/>
    <w:rsid w:val="009B049C"/>
    <w:rsid w:val="009B11C8"/>
    <w:rsid w:val="009B2BCF"/>
    <w:rsid w:val="009B2FF8"/>
    <w:rsid w:val="009B5BA3"/>
    <w:rsid w:val="009C3D18"/>
    <w:rsid w:val="009D0027"/>
    <w:rsid w:val="009D0655"/>
    <w:rsid w:val="009D55ED"/>
    <w:rsid w:val="009E1E98"/>
    <w:rsid w:val="009E20D1"/>
    <w:rsid w:val="009E2E5F"/>
    <w:rsid w:val="009E3ABE"/>
    <w:rsid w:val="009E3C4B"/>
    <w:rsid w:val="009E7248"/>
    <w:rsid w:val="009F0637"/>
    <w:rsid w:val="009F2619"/>
    <w:rsid w:val="009F2A15"/>
    <w:rsid w:val="009F62A6"/>
    <w:rsid w:val="009F674F"/>
    <w:rsid w:val="009F799E"/>
    <w:rsid w:val="00A02020"/>
    <w:rsid w:val="00A03A07"/>
    <w:rsid w:val="00A056CB"/>
    <w:rsid w:val="00A07A29"/>
    <w:rsid w:val="00A10FF1"/>
    <w:rsid w:val="00A11991"/>
    <w:rsid w:val="00A147B6"/>
    <w:rsid w:val="00A1506B"/>
    <w:rsid w:val="00A17084"/>
    <w:rsid w:val="00A17CB2"/>
    <w:rsid w:val="00A23191"/>
    <w:rsid w:val="00A319C0"/>
    <w:rsid w:val="00A33560"/>
    <w:rsid w:val="00A364E4"/>
    <w:rsid w:val="00A371A5"/>
    <w:rsid w:val="00A42823"/>
    <w:rsid w:val="00A46BD3"/>
    <w:rsid w:val="00A47BDF"/>
    <w:rsid w:val="00A51CD7"/>
    <w:rsid w:val="00A52ADB"/>
    <w:rsid w:val="00A533E8"/>
    <w:rsid w:val="00A542D9"/>
    <w:rsid w:val="00A56E64"/>
    <w:rsid w:val="00A57371"/>
    <w:rsid w:val="00A624C3"/>
    <w:rsid w:val="00A6641C"/>
    <w:rsid w:val="00A767D2"/>
    <w:rsid w:val="00A77616"/>
    <w:rsid w:val="00A805DA"/>
    <w:rsid w:val="00A811B4"/>
    <w:rsid w:val="00A87CDE"/>
    <w:rsid w:val="00A92BAF"/>
    <w:rsid w:val="00A94737"/>
    <w:rsid w:val="00A94BA3"/>
    <w:rsid w:val="00A96CBA"/>
    <w:rsid w:val="00AA32A1"/>
    <w:rsid w:val="00AA4184"/>
    <w:rsid w:val="00AB0F1D"/>
    <w:rsid w:val="00AB1ACD"/>
    <w:rsid w:val="00AB277F"/>
    <w:rsid w:val="00AB4099"/>
    <w:rsid w:val="00AB449A"/>
    <w:rsid w:val="00AB52C9"/>
    <w:rsid w:val="00AD14F9"/>
    <w:rsid w:val="00AD35D6"/>
    <w:rsid w:val="00AD58C5"/>
    <w:rsid w:val="00AD7FB5"/>
    <w:rsid w:val="00AE36C4"/>
    <w:rsid w:val="00AE472C"/>
    <w:rsid w:val="00AE5375"/>
    <w:rsid w:val="00AE6CF8"/>
    <w:rsid w:val="00AF1A58"/>
    <w:rsid w:val="00AF4CAC"/>
    <w:rsid w:val="00B039BD"/>
    <w:rsid w:val="00B03E0D"/>
    <w:rsid w:val="00B04712"/>
    <w:rsid w:val="00B05066"/>
    <w:rsid w:val="00B054F8"/>
    <w:rsid w:val="00B060A4"/>
    <w:rsid w:val="00B07322"/>
    <w:rsid w:val="00B2219A"/>
    <w:rsid w:val="00B30114"/>
    <w:rsid w:val="00B32AD3"/>
    <w:rsid w:val="00B3581B"/>
    <w:rsid w:val="00B36B81"/>
    <w:rsid w:val="00B36FEE"/>
    <w:rsid w:val="00B37AF6"/>
    <w:rsid w:val="00B37C80"/>
    <w:rsid w:val="00B4308D"/>
    <w:rsid w:val="00B5092B"/>
    <w:rsid w:val="00B5194E"/>
    <w:rsid w:val="00B51AF5"/>
    <w:rsid w:val="00B522D9"/>
    <w:rsid w:val="00B531FC"/>
    <w:rsid w:val="00B55347"/>
    <w:rsid w:val="00B57E5E"/>
    <w:rsid w:val="00B61F37"/>
    <w:rsid w:val="00B72252"/>
    <w:rsid w:val="00B739CD"/>
    <w:rsid w:val="00B7770F"/>
    <w:rsid w:val="00B77A89"/>
    <w:rsid w:val="00B77B27"/>
    <w:rsid w:val="00B8134E"/>
    <w:rsid w:val="00B81B55"/>
    <w:rsid w:val="00B84613"/>
    <w:rsid w:val="00B86A20"/>
    <w:rsid w:val="00B87AF0"/>
    <w:rsid w:val="00B90004"/>
    <w:rsid w:val="00B9037B"/>
    <w:rsid w:val="00B910BD"/>
    <w:rsid w:val="00B93834"/>
    <w:rsid w:val="00B96223"/>
    <w:rsid w:val="00B96469"/>
    <w:rsid w:val="00BA0DA2"/>
    <w:rsid w:val="00BA2981"/>
    <w:rsid w:val="00BA42EE"/>
    <w:rsid w:val="00BA48F9"/>
    <w:rsid w:val="00BB0DCA"/>
    <w:rsid w:val="00BB2666"/>
    <w:rsid w:val="00BB6B80"/>
    <w:rsid w:val="00BC3773"/>
    <w:rsid w:val="00BC381A"/>
    <w:rsid w:val="00BD0962"/>
    <w:rsid w:val="00BD1EED"/>
    <w:rsid w:val="00BE5148"/>
    <w:rsid w:val="00BF0DA2"/>
    <w:rsid w:val="00BF109C"/>
    <w:rsid w:val="00BF205A"/>
    <w:rsid w:val="00BF34FA"/>
    <w:rsid w:val="00C004B6"/>
    <w:rsid w:val="00C02D20"/>
    <w:rsid w:val="00C047A7"/>
    <w:rsid w:val="00C05DE5"/>
    <w:rsid w:val="00C06146"/>
    <w:rsid w:val="00C06BBA"/>
    <w:rsid w:val="00C070EB"/>
    <w:rsid w:val="00C15A67"/>
    <w:rsid w:val="00C24231"/>
    <w:rsid w:val="00C33027"/>
    <w:rsid w:val="00C349A5"/>
    <w:rsid w:val="00C37667"/>
    <w:rsid w:val="00C435DB"/>
    <w:rsid w:val="00C44D73"/>
    <w:rsid w:val="00C50B42"/>
    <w:rsid w:val="00C516FF"/>
    <w:rsid w:val="00C52BFA"/>
    <w:rsid w:val="00C53675"/>
    <w:rsid w:val="00C53D1D"/>
    <w:rsid w:val="00C53F26"/>
    <w:rsid w:val="00C540BC"/>
    <w:rsid w:val="00C54497"/>
    <w:rsid w:val="00C63BB1"/>
    <w:rsid w:val="00C64F7D"/>
    <w:rsid w:val="00C66B47"/>
    <w:rsid w:val="00C67309"/>
    <w:rsid w:val="00C674F0"/>
    <w:rsid w:val="00C7614E"/>
    <w:rsid w:val="00C77BF1"/>
    <w:rsid w:val="00C80888"/>
    <w:rsid w:val="00C80D60"/>
    <w:rsid w:val="00C82FBD"/>
    <w:rsid w:val="00C85267"/>
    <w:rsid w:val="00C8721B"/>
    <w:rsid w:val="00C9372C"/>
    <w:rsid w:val="00C9470E"/>
    <w:rsid w:val="00C95CEB"/>
    <w:rsid w:val="00CA1054"/>
    <w:rsid w:val="00CA63EB"/>
    <w:rsid w:val="00CA69F1"/>
    <w:rsid w:val="00CA7EC8"/>
    <w:rsid w:val="00CB403F"/>
    <w:rsid w:val="00CB6991"/>
    <w:rsid w:val="00CC6194"/>
    <w:rsid w:val="00CC6305"/>
    <w:rsid w:val="00CC6A74"/>
    <w:rsid w:val="00CC6E1C"/>
    <w:rsid w:val="00CC78A5"/>
    <w:rsid w:val="00CD0516"/>
    <w:rsid w:val="00CD3EBD"/>
    <w:rsid w:val="00CD46D5"/>
    <w:rsid w:val="00CD756B"/>
    <w:rsid w:val="00CE734F"/>
    <w:rsid w:val="00CE7FB5"/>
    <w:rsid w:val="00CF112E"/>
    <w:rsid w:val="00CF5F4F"/>
    <w:rsid w:val="00D042DA"/>
    <w:rsid w:val="00D17A15"/>
    <w:rsid w:val="00D218DC"/>
    <w:rsid w:val="00D24E56"/>
    <w:rsid w:val="00D2525C"/>
    <w:rsid w:val="00D252EB"/>
    <w:rsid w:val="00D31643"/>
    <w:rsid w:val="00D31AEB"/>
    <w:rsid w:val="00D32ECD"/>
    <w:rsid w:val="00D361E4"/>
    <w:rsid w:val="00D364F6"/>
    <w:rsid w:val="00D42A8F"/>
    <w:rsid w:val="00D439F6"/>
    <w:rsid w:val="00D459C6"/>
    <w:rsid w:val="00D460B5"/>
    <w:rsid w:val="00D50729"/>
    <w:rsid w:val="00D50C19"/>
    <w:rsid w:val="00D523F8"/>
    <w:rsid w:val="00D5379E"/>
    <w:rsid w:val="00D62643"/>
    <w:rsid w:val="00D63B46"/>
    <w:rsid w:val="00D64C0F"/>
    <w:rsid w:val="00D722BB"/>
    <w:rsid w:val="00D72EFE"/>
    <w:rsid w:val="00D76227"/>
    <w:rsid w:val="00D77DF1"/>
    <w:rsid w:val="00D80004"/>
    <w:rsid w:val="00D86AFF"/>
    <w:rsid w:val="00D95A44"/>
    <w:rsid w:val="00D95D16"/>
    <w:rsid w:val="00D97C76"/>
    <w:rsid w:val="00DB02B4"/>
    <w:rsid w:val="00DB538D"/>
    <w:rsid w:val="00DC2635"/>
    <w:rsid w:val="00DC275C"/>
    <w:rsid w:val="00DC4B0D"/>
    <w:rsid w:val="00DC4F0D"/>
    <w:rsid w:val="00DC7E2B"/>
    <w:rsid w:val="00DC7FE1"/>
    <w:rsid w:val="00DD1DE0"/>
    <w:rsid w:val="00DD3F3F"/>
    <w:rsid w:val="00DD5572"/>
    <w:rsid w:val="00DD5738"/>
    <w:rsid w:val="00DE5D80"/>
    <w:rsid w:val="00DF076F"/>
    <w:rsid w:val="00DF08E4"/>
    <w:rsid w:val="00DF1B43"/>
    <w:rsid w:val="00DF58CD"/>
    <w:rsid w:val="00DF65DE"/>
    <w:rsid w:val="00E019A5"/>
    <w:rsid w:val="00E02EC8"/>
    <w:rsid w:val="00E037F5"/>
    <w:rsid w:val="00E04ECB"/>
    <w:rsid w:val="00E05A09"/>
    <w:rsid w:val="00E06CA1"/>
    <w:rsid w:val="00E0737E"/>
    <w:rsid w:val="00E172B8"/>
    <w:rsid w:val="00E17FB4"/>
    <w:rsid w:val="00E20B75"/>
    <w:rsid w:val="00E214F2"/>
    <w:rsid w:val="00E2371E"/>
    <w:rsid w:val="00E24BD7"/>
    <w:rsid w:val="00E26286"/>
    <w:rsid w:val="00E26523"/>
    <w:rsid w:val="00E26809"/>
    <w:rsid w:val="00E3412D"/>
    <w:rsid w:val="00E3713D"/>
    <w:rsid w:val="00E509D3"/>
    <w:rsid w:val="00E563F0"/>
    <w:rsid w:val="00E57322"/>
    <w:rsid w:val="00E628CB"/>
    <w:rsid w:val="00E62AD9"/>
    <w:rsid w:val="00E638C8"/>
    <w:rsid w:val="00E665EF"/>
    <w:rsid w:val="00E711C4"/>
    <w:rsid w:val="00E7509B"/>
    <w:rsid w:val="00E849D7"/>
    <w:rsid w:val="00E86590"/>
    <w:rsid w:val="00E907FF"/>
    <w:rsid w:val="00E952C6"/>
    <w:rsid w:val="00E96318"/>
    <w:rsid w:val="00E9732A"/>
    <w:rsid w:val="00EA42D1"/>
    <w:rsid w:val="00EA42EF"/>
    <w:rsid w:val="00EA65D4"/>
    <w:rsid w:val="00EA7B0C"/>
    <w:rsid w:val="00EB0CBA"/>
    <w:rsid w:val="00EB2DD1"/>
    <w:rsid w:val="00EB6B37"/>
    <w:rsid w:val="00EB6EE2"/>
    <w:rsid w:val="00EB7E53"/>
    <w:rsid w:val="00EC29FE"/>
    <w:rsid w:val="00EC3C70"/>
    <w:rsid w:val="00ED3A3D"/>
    <w:rsid w:val="00ED538A"/>
    <w:rsid w:val="00ED6FBC"/>
    <w:rsid w:val="00EE2F16"/>
    <w:rsid w:val="00EE3861"/>
    <w:rsid w:val="00EE4A3E"/>
    <w:rsid w:val="00EF2E73"/>
    <w:rsid w:val="00EF7683"/>
    <w:rsid w:val="00EF7A2D"/>
    <w:rsid w:val="00F04F8D"/>
    <w:rsid w:val="00F10AD0"/>
    <w:rsid w:val="00F1164B"/>
    <w:rsid w:val="00F116CC"/>
    <w:rsid w:val="00F12BD1"/>
    <w:rsid w:val="00F151D7"/>
    <w:rsid w:val="00F15327"/>
    <w:rsid w:val="00F168CF"/>
    <w:rsid w:val="00F1766E"/>
    <w:rsid w:val="00F23114"/>
    <w:rsid w:val="00F2555C"/>
    <w:rsid w:val="00F31DF3"/>
    <w:rsid w:val="00F33AE5"/>
    <w:rsid w:val="00F3597D"/>
    <w:rsid w:val="00F4376D"/>
    <w:rsid w:val="00F45399"/>
    <w:rsid w:val="00F465EA"/>
    <w:rsid w:val="00F509D7"/>
    <w:rsid w:val="00F54E7B"/>
    <w:rsid w:val="00F55A88"/>
    <w:rsid w:val="00F67876"/>
    <w:rsid w:val="00F74005"/>
    <w:rsid w:val="00F76884"/>
    <w:rsid w:val="00F813B3"/>
    <w:rsid w:val="00F824D7"/>
    <w:rsid w:val="00F83D24"/>
    <w:rsid w:val="00F83DD9"/>
    <w:rsid w:val="00F83F40"/>
    <w:rsid w:val="00F85AE7"/>
    <w:rsid w:val="00F95042"/>
    <w:rsid w:val="00F97ABD"/>
    <w:rsid w:val="00FA117A"/>
    <w:rsid w:val="00FB386A"/>
    <w:rsid w:val="00FC0786"/>
    <w:rsid w:val="00FC49EF"/>
    <w:rsid w:val="00FE01A4"/>
    <w:rsid w:val="00FE21C0"/>
    <w:rsid w:val="00FE36E2"/>
    <w:rsid w:val="00FF11AD"/>
    <w:rsid w:val="00FF2971"/>
    <w:rsid w:val="00FF34D4"/>
    <w:rsid w:val="010B82AD"/>
    <w:rsid w:val="041DF5B1"/>
    <w:rsid w:val="04E62DAF"/>
    <w:rsid w:val="051CF745"/>
    <w:rsid w:val="0523C214"/>
    <w:rsid w:val="05DCE1B4"/>
    <w:rsid w:val="0630B62F"/>
    <w:rsid w:val="07A72B29"/>
    <w:rsid w:val="0873CB69"/>
    <w:rsid w:val="0923F1CB"/>
    <w:rsid w:val="0B738F0A"/>
    <w:rsid w:val="0C0BCDB5"/>
    <w:rsid w:val="0E5084C7"/>
    <w:rsid w:val="0EEBA903"/>
    <w:rsid w:val="0F366C62"/>
    <w:rsid w:val="0F7A9C88"/>
    <w:rsid w:val="10CBE332"/>
    <w:rsid w:val="1160091E"/>
    <w:rsid w:val="123CF2D0"/>
    <w:rsid w:val="127B1C9B"/>
    <w:rsid w:val="13529C8F"/>
    <w:rsid w:val="14D001B9"/>
    <w:rsid w:val="165FEDA3"/>
    <w:rsid w:val="16F809FC"/>
    <w:rsid w:val="18A26741"/>
    <w:rsid w:val="18BDD974"/>
    <w:rsid w:val="18EE237B"/>
    <w:rsid w:val="1B5673BC"/>
    <w:rsid w:val="1BA512A5"/>
    <w:rsid w:val="1BD54E38"/>
    <w:rsid w:val="1CCD3515"/>
    <w:rsid w:val="1D809308"/>
    <w:rsid w:val="1E797AF2"/>
    <w:rsid w:val="1F1ED8B0"/>
    <w:rsid w:val="1F501E37"/>
    <w:rsid w:val="1FD329D0"/>
    <w:rsid w:val="1FF3994D"/>
    <w:rsid w:val="2053D794"/>
    <w:rsid w:val="2067F651"/>
    <w:rsid w:val="20AC153B"/>
    <w:rsid w:val="216473CB"/>
    <w:rsid w:val="21BC1D75"/>
    <w:rsid w:val="21E2A5E0"/>
    <w:rsid w:val="22CCE72F"/>
    <w:rsid w:val="23BC5E4C"/>
    <w:rsid w:val="23C9D7C5"/>
    <w:rsid w:val="240716CA"/>
    <w:rsid w:val="24187006"/>
    <w:rsid w:val="2440599C"/>
    <w:rsid w:val="247D3EEC"/>
    <w:rsid w:val="25BB7CB9"/>
    <w:rsid w:val="270C8784"/>
    <w:rsid w:val="27849540"/>
    <w:rsid w:val="27D4FC69"/>
    <w:rsid w:val="285D0BF8"/>
    <w:rsid w:val="2A5F4007"/>
    <w:rsid w:val="2CD8DEA0"/>
    <w:rsid w:val="2D6571C0"/>
    <w:rsid w:val="2D997CF3"/>
    <w:rsid w:val="2DD0D3F1"/>
    <w:rsid w:val="2DEC05D8"/>
    <w:rsid w:val="2E2D7783"/>
    <w:rsid w:val="2F7A0982"/>
    <w:rsid w:val="31FE9CF3"/>
    <w:rsid w:val="3293254B"/>
    <w:rsid w:val="3372BA46"/>
    <w:rsid w:val="351DF1DD"/>
    <w:rsid w:val="37ECBC22"/>
    <w:rsid w:val="39BC376B"/>
    <w:rsid w:val="3A2593D9"/>
    <w:rsid w:val="3A760985"/>
    <w:rsid w:val="3AAA7C93"/>
    <w:rsid w:val="3B2BC5C6"/>
    <w:rsid w:val="3BDD17D4"/>
    <w:rsid w:val="3C737760"/>
    <w:rsid w:val="3D61E5C1"/>
    <w:rsid w:val="3F1D9C1A"/>
    <w:rsid w:val="3F7025A2"/>
    <w:rsid w:val="40B71A84"/>
    <w:rsid w:val="40E6FFD9"/>
    <w:rsid w:val="40FBDD69"/>
    <w:rsid w:val="41A08EDC"/>
    <w:rsid w:val="41B02CE9"/>
    <w:rsid w:val="41FD343A"/>
    <w:rsid w:val="44F82A7D"/>
    <w:rsid w:val="47F0F7F6"/>
    <w:rsid w:val="481AF0CC"/>
    <w:rsid w:val="493DD9E3"/>
    <w:rsid w:val="4A59418F"/>
    <w:rsid w:val="4C8018CC"/>
    <w:rsid w:val="4D29FDDF"/>
    <w:rsid w:val="4E7AB4AC"/>
    <w:rsid w:val="4F4BEB81"/>
    <w:rsid w:val="4F7C2767"/>
    <w:rsid w:val="4F9AF078"/>
    <w:rsid w:val="4FA4ECE0"/>
    <w:rsid w:val="4FFF4B51"/>
    <w:rsid w:val="509C68ED"/>
    <w:rsid w:val="518ED3F1"/>
    <w:rsid w:val="541A0A2D"/>
    <w:rsid w:val="55E70352"/>
    <w:rsid w:val="56BDE3FE"/>
    <w:rsid w:val="57124EFE"/>
    <w:rsid w:val="57B6C1A1"/>
    <w:rsid w:val="58950743"/>
    <w:rsid w:val="5967F53E"/>
    <w:rsid w:val="59D1D201"/>
    <w:rsid w:val="5A7EC402"/>
    <w:rsid w:val="5A9FBFBF"/>
    <w:rsid w:val="5AE51797"/>
    <w:rsid w:val="5BE2C0F1"/>
    <w:rsid w:val="5D69F4BF"/>
    <w:rsid w:val="5E361841"/>
    <w:rsid w:val="609B0A22"/>
    <w:rsid w:val="60B9DF8F"/>
    <w:rsid w:val="60F79195"/>
    <w:rsid w:val="61C0FB4F"/>
    <w:rsid w:val="621600B0"/>
    <w:rsid w:val="64C42956"/>
    <w:rsid w:val="654E1AB2"/>
    <w:rsid w:val="654E4D83"/>
    <w:rsid w:val="65A11639"/>
    <w:rsid w:val="65F944F9"/>
    <w:rsid w:val="6643204D"/>
    <w:rsid w:val="66DBEB5F"/>
    <w:rsid w:val="6832FF8B"/>
    <w:rsid w:val="6835DF82"/>
    <w:rsid w:val="6A0A4450"/>
    <w:rsid w:val="6A4C216D"/>
    <w:rsid w:val="6A737A2A"/>
    <w:rsid w:val="6B655165"/>
    <w:rsid w:val="6BDEFB44"/>
    <w:rsid w:val="6BED71D5"/>
    <w:rsid w:val="6C3257B1"/>
    <w:rsid w:val="6C76C25F"/>
    <w:rsid w:val="6CFF2CD7"/>
    <w:rsid w:val="6F2F5B43"/>
    <w:rsid w:val="6F3E4009"/>
    <w:rsid w:val="6F72CEA8"/>
    <w:rsid w:val="7026C805"/>
    <w:rsid w:val="71089144"/>
    <w:rsid w:val="733029FF"/>
    <w:rsid w:val="7399BB0E"/>
    <w:rsid w:val="7459C901"/>
    <w:rsid w:val="7478591E"/>
    <w:rsid w:val="74D218DD"/>
    <w:rsid w:val="7609213E"/>
    <w:rsid w:val="7653220D"/>
    <w:rsid w:val="774CAB17"/>
    <w:rsid w:val="77AFC630"/>
    <w:rsid w:val="78EF4C67"/>
    <w:rsid w:val="792EDD06"/>
    <w:rsid w:val="7A045EFC"/>
    <w:rsid w:val="7AF50E4E"/>
    <w:rsid w:val="7BF268CA"/>
    <w:rsid w:val="7DA0584D"/>
    <w:rsid w:val="7EE6415D"/>
    <w:rsid w:val="7F349D05"/>
    <w:rsid w:val="7FFCC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highlight">
    <w:name w:val="highlight"/>
    <w:rsid w:val="00A17084"/>
  </w:style>
  <w:style w:type="character" w:customStyle="1" w:styleId="Brak">
    <w:name w:val="Brak"/>
    <w:rsid w:val="004862C1"/>
  </w:style>
  <w:style w:type="paragraph" w:styleId="NormalnyWeb">
    <w:name w:val="Normal (Web)"/>
    <w:basedOn w:val="Normalny"/>
    <w:uiPriority w:val="99"/>
    <w:unhideWhenUsed/>
    <w:rsid w:val="004862C1"/>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CA7EC8"/>
    <w:rPr>
      <w:sz w:val="22"/>
      <w:szCs w:val="22"/>
      <w:lang w:eastAsia="en-US"/>
    </w:rPr>
  </w:style>
  <w:style w:type="character" w:customStyle="1" w:styleId="Nierozpoznanawzmianka1">
    <w:name w:val="Nierozpoznana wzmianka1"/>
    <w:basedOn w:val="Domylnaczcionkaakapitu"/>
    <w:uiPriority w:val="99"/>
    <w:semiHidden/>
    <w:unhideWhenUsed/>
    <w:rsid w:val="00300D65"/>
    <w:rPr>
      <w:color w:val="605E5C"/>
      <w:shd w:val="clear" w:color="auto" w:fill="E1DFDD"/>
    </w:rPr>
  </w:style>
  <w:style w:type="character" w:customStyle="1" w:styleId="e24kjd">
    <w:name w:val="e24kjd"/>
    <w:basedOn w:val="Domylnaczcionkaakapitu"/>
    <w:rsid w:val="00FE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7531289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2934255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594703818">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gorzata.zadrozna@klimat.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5D6B7E984C8E4EB91694BA47CB6520" ma:contentTypeVersion="2" ma:contentTypeDescription="Utwórz nowy dokument." ma:contentTypeScope="" ma:versionID="38c44ff67e38e9683d4738b92868a064">
  <xsd:schema xmlns:xsd="http://www.w3.org/2001/XMLSchema" xmlns:xs="http://www.w3.org/2001/XMLSchema" xmlns:p="http://schemas.microsoft.com/office/2006/metadata/properties" xmlns:ns2="5ee70e4d-5ef4-4764-9791-c6ca2662ac8c" targetNamespace="http://schemas.microsoft.com/office/2006/metadata/properties" ma:root="true" ma:fieldsID="e48643e5e97d8d5886a7192c1e7f2ad3" ns2:_="">
    <xsd:import namespace="5ee70e4d-5ef4-4764-9791-c6ca2662ac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0e4d-5ef4-4764-9791-c6ca2662a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DF18-B1C9-4D8A-B827-479297233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48122-E3EE-4DEF-A3A2-A5F2E251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70e4d-5ef4-4764-9791-c6ca2662a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EF787-544B-4241-AB65-2AAA146AFD65}">
  <ds:schemaRefs>
    <ds:schemaRef ds:uri="http://schemas.microsoft.com/sharepoint/v3/contenttype/forms"/>
  </ds:schemaRefs>
</ds:datastoreItem>
</file>

<file path=customXml/itemProps4.xml><?xml version="1.0" encoding="utf-8"?>
<ds:datastoreItem xmlns:ds="http://schemas.openxmlformats.org/officeDocument/2006/customXml" ds:itemID="{A3F209A4-2634-4A2A-8C83-6E31CF80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20643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2020-07-10T05:00:00Z</dcterms:created>
  <dcterms:modified xsi:type="dcterms:W3CDTF">2020-07-10T14:27:00Z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0x0101005C5D6B7E984C8E4EB91694BA47CB6520</vt:lpwstr>
  </property>
</Properties>
</file>