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D02BDB" w14:textId="7012BA41" w:rsidR="00DA29CC" w:rsidRPr="00B9200D" w:rsidRDefault="00DA29CC" w:rsidP="00DA29CC">
      <w:pPr>
        <w:pStyle w:val="OZNPROJEKTUwskazaniedatylubwersjiprojektu"/>
      </w:pPr>
      <w:bookmarkStart w:id="0" w:name="_GoBack"/>
      <w:bookmarkEnd w:id="0"/>
      <w:r w:rsidRPr="00B9200D">
        <w:t>PROJEKT</w:t>
      </w:r>
      <w:r>
        <w:t xml:space="preserve"> (wersja z dnia </w:t>
      </w:r>
      <w:r w:rsidR="00B227E2">
        <w:t>2</w:t>
      </w:r>
      <w:r w:rsidR="00E46153">
        <w:t>3</w:t>
      </w:r>
      <w:r w:rsidR="00B227E2">
        <w:t>.07</w:t>
      </w:r>
      <w:r>
        <w:t>.2020)</w:t>
      </w:r>
    </w:p>
    <w:p w14:paraId="512F4A06" w14:textId="77777777" w:rsidR="00DA29CC" w:rsidRPr="00BF3057" w:rsidRDefault="00DA29CC" w:rsidP="00DA29CC">
      <w:pPr>
        <w:pStyle w:val="OZNRODZAKTUtznustawalubrozporzdzenieiorganwydajcy"/>
        <w:rPr>
          <w:rStyle w:val="Ppogrubienie"/>
        </w:rPr>
      </w:pPr>
      <w:r w:rsidRPr="00BF3057">
        <w:rPr>
          <w:rStyle w:val="Ppogrubienie"/>
        </w:rPr>
        <w:t>USTAWA</w:t>
      </w:r>
    </w:p>
    <w:p w14:paraId="1E379D60" w14:textId="77777777" w:rsidR="00DA29CC" w:rsidRDefault="00DA29CC" w:rsidP="00DA29CC">
      <w:pPr>
        <w:pStyle w:val="DATAAKTUdatauchwalenialubwydaniaaktu"/>
      </w:pPr>
      <w:r>
        <w:t>z dnia …………. 2020 r.</w:t>
      </w:r>
    </w:p>
    <w:p w14:paraId="569D3381" w14:textId="214DBF4C" w:rsidR="00DA29CC" w:rsidRPr="00A17CAE" w:rsidRDefault="00DA29CC" w:rsidP="00DA29CC">
      <w:pPr>
        <w:pStyle w:val="TYTUAKTUprzedmiotregulacjiustawylubrozporzdzenia"/>
        <w:rPr>
          <w:rStyle w:val="IDindeksdolny"/>
        </w:rPr>
      </w:pPr>
      <w:r w:rsidRPr="006619F7">
        <w:t>o zmianie ustawy o rynku mocy</w:t>
      </w:r>
      <w:r w:rsidRPr="00A17CAE">
        <w:rPr>
          <w:rStyle w:val="IGindeksgrny"/>
        </w:rPr>
        <w:t xml:space="preserve"> </w:t>
      </w:r>
      <w:r w:rsidRPr="00A17CAE">
        <w:rPr>
          <w:rStyle w:val="IGindeksgrny"/>
        </w:rPr>
        <w:footnoteReference w:id="1"/>
      </w:r>
      <w:r w:rsidRPr="00A17CAE">
        <w:rPr>
          <w:rStyle w:val="IGindeksgrny"/>
        </w:rPr>
        <w:t>)</w:t>
      </w:r>
    </w:p>
    <w:p w14:paraId="67CDCE94" w14:textId="77777777" w:rsidR="00DA29CC" w:rsidRDefault="00DA29CC" w:rsidP="00DA29CC">
      <w:pPr>
        <w:pStyle w:val="ARTartustawynprozporzdzenia"/>
      </w:pPr>
      <w:r w:rsidRPr="00BF3057">
        <w:rPr>
          <w:rStyle w:val="Ppogrubienie"/>
        </w:rPr>
        <w:t>Art. 1.</w:t>
      </w:r>
      <w:r>
        <w:t xml:space="preserve"> W ustawie z dnia 8 grudnia 2017 r. o rynku mocy (Dz. U. z 2020 r. poz. 247) wprowadza się następujące zmiany:</w:t>
      </w:r>
    </w:p>
    <w:p w14:paraId="5D7AE120" w14:textId="77777777" w:rsidR="00DA29CC" w:rsidRPr="007B4546" w:rsidRDefault="00DA29CC" w:rsidP="00DA29CC">
      <w:pPr>
        <w:pStyle w:val="PKTpunkt"/>
      </w:pPr>
      <w:r w:rsidRPr="004D09E4">
        <w:t>1)</w:t>
      </w:r>
      <w:r w:rsidRPr="004D09E4">
        <w:tab/>
      </w:r>
      <w:r w:rsidRPr="007B4546">
        <w:t>w art. 2 w ust. 1:</w:t>
      </w:r>
    </w:p>
    <w:p w14:paraId="4E1B6EE7" w14:textId="77777777" w:rsidR="00DA29CC" w:rsidRPr="007B4546" w:rsidRDefault="00DA29CC" w:rsidP="00DA29CC">
      <w:pPr>
        <w:pStyle w:val="LITlitera"/>
      </w:pPr>
      <w:r w:rsidRPr="004D09E4">
        <w:t>a)</w:t>
      </w:r>
      <w:r w:rsidRPr="004D09E4">
        <w:tab/>
      </w:r>
      <w:r w:rsidRPr="007B4546">
        <w:t>po pkt 17 dodaje się pkt 17a i 17b w brzmieniu:</w:t>
      </w:r>
    </w:p>
    <w:p w14:paraId="0D7A6B70" w14:textId="77777777" w:rsidR="00DA29CC" w:rsidRDefault="00DA29CC" w:rsidP="00DA29CC">
      <w:pPr>
        <w:pStyle w:val="ZLITPKTzmpktliter"/>
      </w:pPr>
      <w:r>
        <w:t xml:space="preserve">„17a) jednostka wytwórcza – </w:t>
      </w:r>
      <w:r w:rsidRPr="002924ED">
        <w:t>jednostkę wytwórczą, o której mowa w art. 3 pkt 43 ustawy z dnia 10 kwietnia 1997 r. – Prawo energetyczne</w:t>
      </w:r>
      <w:r>
        <w:t xml:space="preserve"> lub inny wyodrębniony zespół urządzeń służących do wytwarzania energii elektrycznej;</w:t>
      </w:r>
    </w:p>
    <w:p w14:paraId="2C786129" w14:textId="1E4311DF" w:rsidR="00DA29CC" w:rsidRDefault="00DA29CC" w:rsidP="00DA29CC">
      <w:pPr>
        <w:pStyle w:val="ZLITPKTzmpktliter"/>
      </w:pPr>
      <w:r>
        <w:t>17b) limit emisji – limit emisji wynoszący 550 g dwutlenku węgla pochodzącego z paliw kopalnych na kWh wytworzonej energii elektrycznej,</w:t>
      </w:r>
      <w:r w:rsidRPr="005852AB">
        <w:t xml:space="preserve"> </w:t>
      </w:r>
      <w:r>
        <w:t xml:space="preserve">o którym mowa </w:t>
      </w:r>
      <w:r w:rsidRPr="003A4B83">
        <w:t xml:space="preserve">art. 22 ust. 4 </w:t>
      </w:r>
      <w:r>
        <w:t>r</w:t>
      </w:r>
      <w:r w:rsidRPr="003A4B83">
        <w:t>ozporządzenia Parlamentu Europejskiego i Rady (UE) 2019/</w:t>
      </w:r>
      <w:r>
        <w:t>943</w:t>
      </w:r>
      <w:r w:rsidRPr="003A4B83">
        <w:t xml:space="preserve"> z dnia </w:t>
      </w:r>
      <w:r>
        <w:t>5 czerwca 2019 r.</w:t>
      </w:r>
      <w:r w:rsidRPr="003A4B83">
        <w:t xml:space="preserve"> w</w:t>
      </w:r>
      <w:r>
        <w:t> </w:t>
      </w:r>
      <w:r w:rsidRPr="003A4B83">
        <w:t>sprawie wewnętrznego rynku energii elektrycznej</w:t>
      </w:r>
      <w:r>
        <w:t xml:space="preserve"> </w:t>
      </w:r>
      <w:r w:rsidRPr="00CB04DE">
        <w:t>(Dz. Urz. UE L 158 z 14</w:t>
      </w:r>
      <w:r w:rsidR="00535A8B">
        <w:t>.06.</w:t>
      </w:r>
      <w:r w:rsidRPr="00CB04DE">
        <w:t>2019 r.</w:t>
      </w:r>
      <w:r w:rsidR="00535A8B">
        <w:t>,</w:t>
      </w:r>
      <w:r w:rsidRPr="00CB04DE">
        <w:t xml:space="preserve"> str. 54)</w:t>
      </w:r>
      <w:r>
        <w:t>;”,</w:t>
      </w:r>
    </w:p>
    <w:p w14:paraId="21342196" w14:textId="77777777" w:rsidR="00DA29CC" w:rsidRPr="007B4546" w:rsidRDefault="00DA29CC" w:rsidP="00DA29CC">
      <w:pPr>
        <w:pStyle w:val="LITlitera"/>
      </w:pPr>
      <w:r w:rsidRPr="004D09E4">
        <w:t>b)</w:t>
      </w:r>
      <w:r w:rsidRPr="004D09E4">
        <w:tab/>
      </w:r>
      <w:r w:rsidRPr="007B4546">
        <w:t>po pkt 29 dodaje się pkt 29a w brzmieniu:</w:t>
      </w:r>
    </w:p>
    <w:p w14:paraId="67F93A1A" w14:textId="3035240B" w:rsidR="00DA29CC" w:rsidRDefault="00DA29CC" w:rsidP="00DA29CC">
      <w:pPr>
        <w:pStyle w:val="ZLITPKTzmpktliter"/>
      </w:pPr>
      <w:r>
        <w:t>„29a) rozpoczęcie komercyjnej produkcji – dzień rozpoczęcia pracy jednostki wytwórczej, zgodnie z jej przeznaczeniem, po osiągnięciu stanu, w którym eksploatacja (praca) tej jednostki jest dopuszczalna pod względem prawnym i technicznym;</w:t>
      </w:r>
      <w:r w:rsidR="00495C11">
        <w:t>”;</w:t>
      </w:r>
    </w:p>
    <w:p w14:paraId="5F36E3A4" w14:textId="77777777" w:rsidR="00DA29CC" w:rsidRPr="007B4546" w:rsidRDefault="00DA29CC" w:rsidP="00DA29CC">
      <w:pPr>
        <w:pStyle w:val="PKTpunkt"/>
      </w:pPr>
      <w:r w:rsidRPr="004D09E4">
        <w:t>2)</w:t>
      </w:r>
      <w:r w:rsidRPr="004D09E4">
        <w:tab/>
      </w:r>
      <w:r w:rsidRPr="007B4546">
        <w:t>w art. 10 ust. 2 otrzymuje brzmienie:</w:t>
      </w:r>
    </w:p>
    <w:p w14:paraId="57C7EF81" w14:textId="1274B7BA" w:rsidR="00DA29CC" w:rsidRDefault="00DA29CC" w:rsidP="00DA29CC">
      <w:pPr>
        <w:pStyle w:val="ZUSTzmustartykuempunktem"/>
      </w:pPr>
      <w:r>
        <w:t>„</w:t>
      </w:r>
      <w:r w:rsidRPr="00C331E1">
        <w:t>2. Operator</w:t>
      </w:r>
      <w:r w:rsidR="00535A8B">
        <w:t>,</w:t>
      </w:r>
      <w:r w:rsidRPr="00C331E1">
        <w:t xml:space="preserve"> w terminie 14 dni od zawarcia</w:t>
      </w:r>
      <w:r w:rsidR="00B91A09">
        <w:t xml:space="preserve"> lub zmiany</w:t>
      </w:r>
      <w:r w:rsidRPr="00C331E1">
        <w:t xml:space="preserve"> umowy, o której mowa w art. 6 ust. 3 albo 4, przekazuje Prezesowi URE </w:t>
      </w:r>
      <w:r>
        <w:t xml:space="preserve">i ministrowi właściwemu do spraw energii </w:t>
      </w:r>
      <w:r w:rsidRPr="00C331E1">
        <w:t>informację o jej zawarciu</w:t>
      </w:r>
      <w:r w:rsidR="00B91A09">
        <w:t xml:space="preserve"> lub zmianie, wraz z aktualną kopią tej umowy</w:t>
      </w:r>
      <w:r w:rsidRPr="00C331E1">
        <w:t>.</w:t>
      </w:r>
      <w:r>
        <w:t>”;</w:t>
      </w:r>
    </w:p>
    <w:p w14:paraId="2C3C1B67" w14:textId="2B682A16" w:rsidR="00DA29CC" w:rsidRPr="007B4546" w:rsidRDefault="00DA29CC" w:rsidP="00DA29CC">
      <w:pPr>
        <w:pStyle w:val="PKTpunkt"/>
      </w:pPr>
      <w:r w:rsidRPr="004D09E4">
        <w:t>3)</w:t>
      </w:r>
      <w:r w:rsidRPr="004D09E4">
        <w:tab/>
      </w:r>
      <w:r w:rsidRPr="007B4546">
        <w:t xml:space="preserve">w art. 15 dodaje się ust. 6 </w:t>
      </w:r>
      <w:r w:rsidR="003D377A">
        <w:t>i 7</w:t>
      </w:r>
      <w:r w:rsidRPr="007B4546">
        <w:t xml:space="preserve"> w brzmieniu:</w:t>
      </w:r>
    </w:p>
    <w:p w14:paraId="18F41BB5" w14:textId="5257BC8E" w:rsidR="00DA29CC" w:rsidRDefault="00DA29CC" w:rsidP="00DA29CC">
      <w:pPr>
        <w:pStyle w:val="ZUSTzmustartykuempunktem"/>
      </w:pPr>
      <w:r w:rsidRPr="00A40E1E">
        <w:t>„6. Dostawca mocy nie może złożyć wniosku o certyfikację</w:t>
      </w:r>
      <w:r w:rsidR="00157449">
        <w:t xml:space="preserve"> </w:t>
      </w:r>
      <w:r w:rsidRPr="00A40E1E">
        <w:t xml:space="preserve">w odniesieniu do jednostki rynku mocy, </w:t>
      </w:r>
      <w:bookmarkStart w:id="1" w:name="_Hlk46057466"/>
      <w:r w:rsidRPr="00A40E1E">
        <w:t xml:space="preserve">która w </w:t>
      </w:r>
      <w:r>
        <w:t>roku</w:t>
      </w:r>
      <w:r w:rsidRPr="00A40E1E">
        <w:t xml:space="preserve"> dostaw nie będzie spełniała limitu emisji</w:t>
      </w:r>
      <w:r>
        <w:t>,</w:t>
      </w:r>
      <w:bookmarkEnd w:id="1"/>
      <w:r>
        <w:t xml:space="preserve"> z zastrzeżeniem ust. 7</w:t>
      </w:r>
      <w:r w:rsidRPr="00A40E1E">
        <w:t>.</w:t>
      </w:r>
    </w:p>
    <w:p w14:paraId="574959AA" w14:textId="30D0FB59" w:rsidR="00DA29CC" w:rsidRPr="002C75E3" w:rsidRDefault="00DA29CC" w:rsidP="003D377A">
      <w:pPr>
        <w:pStyle w:val="ZUSTzmustartykuempunktem"/>
      </w:pPr>
      <w:r>
        <w:lastRenderedPageBreak/>
        <w:t xml:space="preserve">7. W przypadku </w:t>
      </w:r>
      <w:r w:rsidRPr="00F31B16">
        <w:t xml:space="preserve">jednostki rynku mocy, </w:t>
      </w:r>
      <w:r w:rsidR="004E42F3" w:rsidRPr="00F31B16">
        <w:t xml:space="preserve">o której mowa w ust. 6, </w:t>
      </w:r>
      <w:r w:rsidRPr="00F31B16">
        <w:t>w</w:t>
      </w:r>
      <w:r>
        <w:t xml:space="preserve"> skład której wchodzi jednostka wytwórcza, która rozpoczęła komercyjną produkcję przed dniem 4 lipca </w:t>
      </w:r>
      <w:r w:rsidRPr="00F31B16">
        <w:t xml:space="preserve">2019 r. i która w roku dostaw nie będzie spełniała limitu emisji, </w:t>
      </w:r>
      <w:r w:rsidR="004E42F3" w:rsidRPr="00F31B16">
        <w:t>dostawca</w:t>
      </w:r>
      <w:r w:rsidR="004E42F3">
        <w:t xml:space="preserve"> mocy może złożyć </w:t>
      </w:r>
      <w:r>
        <w:t>wnios</w:t>
      </w:r>
      <w:r w:rsidR="004E42F3">
        <w:t>ek</w:t>
      </w:r>
      <w:r>
        <w:t xml:space="preserve"> o certyfikację </w:t>
      </w:r>
      <w:r w:rsidR="004E42F3">
        <w:t xml:space="preserve">wyłącznie </w:t>
      </w:r>
      <w:r>
        <w:t>w zakresie utworzenia jednostki rynku mocy i dopuszczenia jej do udziału w rynku wtórnym.”</w:t>
      </w:r>
      <w:r w:rsidRPr="00A40E1E">
        <w:t>;</w:t>
      </w:r>
    </w:p>
    <w:p w14:paraId="3401AE38" w14:textId="77777777" w:rsidR="00DA29CC" w:rsidRPr="007B4546" w:rsidRDefault="00DA29CC" w:rsidP="00DA29CC">
      <w:pPr>
        <w:pStyle w:val="PKTpunkt"/>
      </w:pPr>
      <w:r w:rsidRPr="004D09E4">
        <w:t>4)</w:t>
      </w:r>
      <w:r w:rsidRPr="004D09E4">
        <w:tab/>
      </w:r>
      <w:r w:rsidRPr="007B4546">
        <w:t>w art. 16:</w:t>
      </w:r>
    </w:p>
    <w:p w14:paraId="3F855D8E" w14:textId="77777777" w:rsidR="00A05C2F" w:rsidRDefault="00DA29CC" w:rsidP="00DA29CC">
      <w:pPr>
        <w:pStyle w:val="LITlitera"/>
      </w:pPr>
      <w:r w:rsidRPr="004D09E4">
        <w:t>a)</w:t>
      </w:r>
      <w:r w:rsidRPr="004D09E4">
        <w:tab/>
      </w:r>
      <w:r w:rsidRPr="007B4546">
        <w:t>w ust. 2</w:t>
      </w:r>
      <w:r w:rsidR="00A05C2F">
        <w:t>:</w:t>
      </w:r>
    </w:p>
    <w:p w14:paraId="7A62E7CD" w14:textId="77777777" w:rsidR="00A05C2F" w:rsidRDefault="00A05C2F" w:rsidP="00DA29CC">
      <w:pPr>
        <w:pStyle w:val="LITlitera"/>
      </w:pPr>
      <w:r>
        <w:t xml:space="preserve">- </w:t>
      </w:r>
      <w:r w:rsidR="00DA29CC" w:rsidRPr="007B4546">
        <w:t xml:space="preserve"> uchyla się pkt 4</w:t>
      </w:r>
      <w:r>
        <w:t>,</w:t>
      </w:r>
    </w:p>
    <w:p w14:paraId="3F638DCC" w14:textId="57EAAD44" w:rsidR="00DA29CC" w:rsidRPr="007B4546" w:rsidRDefault="00A05C2F" w:rsidP="00DA29CC">
      <w:pPr>
        <w:pStyle w:val="LITlitera"/>
      </w:pPr>
      <w:r>
        <w:t>-</w:t>
      </w:r>
      <w:r>
        <w:tab/>
      </w:r>
      <w:r w:rsidR="00DA29CC" w:rsidRPr="007B4546">
        <w:t>dodaje się pkt 4a w brzmieniu:</w:t>
      </w:r>
    </w:p>
    <w:p w14:paraId="69439B5B" w14:textId="4F0B79A2" w:rsidR="00DA29CC" w:rsidRDefault="00DA29CC" w:rsidP="00DA29CC">
      <w:pPr>
        <w:pStyle w:val="ZLITPKTzmpktliter"/>
      </w:pPr>
      <w:r>
        <w:t xml:space="preserve">„4a) w skład której wchodzi jednostka wytwórcza, która w roku dostaw nie będzie spełniała limitu emisji i rozpoczęła komercyjną produkcję nie wcześniej niż w </w:t>
      </w:r>
      <w:r w:rsidRPr="0091743F">
        <w:t>dniu 4 lipca 2019 r.;</w:t>
      </w:r>
      <w:r>
        <w:t>”</w:t>
      </w:r>
      <w:r w:rsidR="00A05C2F">
        <w:t>,</w:t>
      </w:r>
    </w:p>
    <w:p w14:paraId="61ABE080" w14:textId="3F4FD258" w:rsidR="00DA29CC" w:rsidRPr="007B4546" w:rsidRDefault="00DA29CC" w:rsidP="00DA29CC">
      <w:pPr>
        <w:pStyle w:val="LITlitera"/>
      </w:pPr>
      <w:r w:rsidRPr="004D09E4">
        <w:t>b)</w:t>
      </w:r>
      <w:r w:rsidRPr="004D09E4">
        <w:tab/>
      </w:r>
      <w:r w:rsidRPr="007B4546">
        <w:t>dodaje się ust. 5 w brzmieniu:</w:t>
      </w:r>
    </w:p>
    <w:p w14:paraId="19D084AA" w14:textId="3FF1486F" w:rsidR="00DA29CC" w:rsidRPr="00B37784" w:rsidRDefault="00DA29CC" w:rsidP="00DA29CC">
      <w:pPr>
        <w:pStyle w:val="ZLITUSTzmustliter"/>
      </w:pPr>
      <w:r w:rsidRPr="001172BF">
        <w:t xml:space="preserve">„5. </w:t>
      </w:r>
      <w:r w:rsidRPr="00C10EC7">
        <w:t>Jednostka redukcji zapotrzebowania planowana wchodząca w skład jednostki rynku mocy redukcji zapotrzebowania</w:t>
      </w:r>
      <w:r w:rsidR="0034633C">
        <w:t>,</w:t>
      </w:r>
      <w:r w:rsidRPr="00C10EC7">
        <w:t xml:space="preserve"> nie może zostać zastąpiona jedną lub większą liczbą jednostek fizycznych redukcji zapotrzebowania, jeżeli zastąpienie to spowoduje, że jednostka rynku mocy</w:t>
      </w:r>
      <w:r w:rsidR="00A05C2F">
        <w:t>,</w:t>
      </w:r>
      <w:r w:rsidRPr="00C10EC7">
        <w:t xml:space="preserve"> w okresie dostaw</w:t>
      </w:r>
      <w:r w:rsidR="00A05C2F">
        <w:t>,</w:t>
      </w:r>
      <w:r w:rsidRPr="00C10EC7">
        <w:t xml:space="preserve"> nie spełni limitu emisji</w:t>
      </w:r>
      <w:r>
        <w:t>.”;</w:t>
      </w:r>
    </w:p>
    <w:p w14:paraId="6F7E3264" w14:textId="77777777" w:rsidR="00DA29CC" w:rsidRPr="007B4546" w:rsidRDefault="00DA29CC" w:rsidP="00DA29CC">
      <w:pPr>
        <w:pStyle w:val="PKTpunkt"/>
      </w:pPr>
      <w:r w:rsidRPr="004D09E4">
        <w:t>5)</w:t>
      </w:r>
      <w:r w:rsidRPr="004D09E4">
        <w:tab/>
      </w:r>
      <w:r w:rsidRPr="007B4546">
        <w:t>w art. 19:</w:t>
      </w:r>
    </w:p>
    <w:p w14:paraId="57600EDA" w14:textId="5A04D104" w:rsidR="00DA29CC" w:rsidRPr="007B4546" w:rsidRDefault="00DA29CC" w:rsidP="00DA29CC">
      <w:pPr>
        <w:pStyle w:val="LITlitera"/>
      </w:pPr>
      <w:r w:rsidRPr="004D09E4">
        <w:t>a)</w:t>
      </w:r>
      <w:r w:rsidRPr="004D09E4">
        <w:tab/>
      </w:r>
      <w:r w:rsidRPr="007B4546">
        <w:t xml:space="preserve">w ust. 1 </w:t>
      </w:r>
      <w:r w:rsidR="00A05C2F">
        <w:t>w pkt 8 kropk</w:t>
      </w:r>
      <w:r w:rsidR="00495CD1">
        <w:t>ę</w:t>
      </w:r>
      <w:r w:rsidR="00A05C2F">
        <w:t xml:space="preserve"> zast</w:t>
      </w:r>
      <w:r w:rsidR="00495CD1">
        <w:t>ę</w:t>
      </w:r>
      <w:r w:rsidR="00A05C2F">
        <w:t>puje się średnikiem i dodaje się pkt 9 i 10 w brzmieniu</w:t>
      </w:r>
      <w:r w:rsidRPr="007B4546">
        <w:t>:</w:t>
      </w:r>
    </w:p>
    <w:p w14:paraId="1B26AA06" w14:textId="5A952D92" w:rsidR="00DA29CC" w:rsidRPr="007E10AB" w:rsidRDefault="00DA29CC" w:rsidP="00DA29CC">
      <w:pPr>
        <w:pStyle w:val="ZLITLITzmlitliter"/>
      </w:pPr>
      <w:r>
        <w:t>„</w:t>
      </w:r>
      <w:r w:rsidR="00A05C2F">
        <w:t>9</w:t>
      </w:r>
      <w:r>
        <w:t xml:space="preserve">) </w:t>
      </w:r>
      <w:r w:rsidRPr="00146BC8">
        <w:t xml:space="preserve">oświadczenie </w:t>
      </w:r>
      <w:r>
        <w:t xml:space="preserve">dotyczące </w:t>
      </w:r>
      <w:r w:rsidRPr="00146BC8">
        <w:t>planowan</w:t>
      </w:r>
      <w:r>
        <w:t>ego</w:t>
      </w:r>
      <w:r w:rsidRPr="00FB47E0">
        <w:t xml:space="preserve"> </w:t>
      </w:r>
      <w:r>
        <w:t>spełnienia</w:t>
      </w:r>
      <w:r w:rsidRPr="00FB47E0">
        <w:t xml:space="preserve"> </w:t>
      </w:r>
      <w:r w:rsidRPr="00146BC8">
        <w:t>limitu emisji</w:t>
      </w:r>
      <w:r w:rsidRPr="001172BF">
        <w:t xml:space="preserve"> </w:t>
      </w:r>
      <w:r>
        <w:t xml:space="preserve">przez jednostkę rynku mocy </w:t>
      </w:r>
      <w:r w:rsidRPr="0091743F">
        <w:t>w okresie wykonywania obowiązku mocowego</w:t>
      </w:r>
      <w:r w:rsidR="00A05C2F">
        <w:t>;</w:t>
      </w:r>
    </w:p>
    <w:p w14:paraId="35556014" w14:textId="23C69A3B" w:rsidR="00DA29CC" w:rsidRPr="00BE1605" w:rsidRDefault="00A05C2F" w:rsidP="00DA29CC">
      <w:pPr>
        <w:pStyle w:val="ZLITLITzmlitliter"/>
      </w:pPr>
      <w:r>
        <w:t>10</w:t>
      </w:r>
      <w:r w:rsidR="00DA29CC" w:rsidRPr="00BE1605">
        <w:t xml:space="preserve">) oświadczenie dotyczące </w:t>
      </w:r>
      <w:r w:rsidR="00DA29CC">
        <w:t xml:space="preserve">rozpoczęcia komercyjnej produkcji przez wszystkie </w:t>
      </w:r>
      <w:r w:rsidR="00DA29CC" w:rsidRPr="00BE1605">
        <w:t>jednostki wytwórcze</w:t>
      </w:r>
      <w:r w:rsidR="00DA29CC">
        <w:t>, wchodzące</w:t>
      </w:r>
      <w:r w:rsidR="00DA29CC" w:rsidRPr="00BE1605">
        <w:t xml:space="preserve"> w skład jednostek fizycznych tworzących jednostkę rynku mocy,</w:t>
      </w:r>
      <w:r w:rsidR="00DA29CC">
        <w:t xml:space="preserve"> nie później niż 3 lipca 2019 r. albo po tej dacie</w:t>
      </w:r>
      <w:r>
        <w:t>.</w:t>
      </w:r>
      <w:r w:rsidR="00DA29CC">
        <w:t>”;</w:t>
      </w:r>
    </w:p>
    <w:p w14:paraId="2753A613" w14:textId="494E7B93" w:rsidR="00DA29CC" w:rsidRPr="007B4546" w:rsidRDefault="00DA29CC" w:rsidP="00F31B16">
      <w:pPr>
        <w:pStyle w:val="LITlitera"/>
      </w:pPr>
      <w:r w:rsidRPr="004D09E4">
        <w:t>b)</w:t>
      </w:r>
      <w:r w:rsidRPr="004D09E4">
        <w:tab/>
      </w:r>
      <w:r w:rsidRPr="007B4546">
        <w:t>w ust. 2 w pkt 2 w lit. b</w:t>
      </w:r>
      <w:r w:rsidR="00EA5C01">
        <w:t>,</w:t>
      </w:r>
      <w:r w:rsidRPr="007B4546">
        <w:t xml:space="preserve"> na końcu</w:t>
      </w:r>
      <w:r w:rsidR="00535A8B">
        <w:t>,</w:t>
      </w:r>
      <w:r w:rsidRPr="007B4546">
        <w:t xml:space="preserve"> po przecinku dodaje się wyraz „oraz” i dodaje się lit. ba w brzmieniu:</w:t>
      </w:r>
    </w:p>
    <w:p w14:paraId="4F16F354" w14:textId="77777777" w:rsidR="00DA29CC" w:rsidRPr="00A40E1E" w:rsidRDefault="00DA29CC" w:rsidP="00DA29CC">
      <w:pPr>
        <w:pStyle w:val="ZLITLITzmlitliter"/>
      </w:pPr>
      <w:r w:rsidRPr="008D66CB">
        <w:t>„ba) planowane spełnienie limitu emisji przez nową jednostkę rynku mocy wytwórczą w </w:t>
      </w:r>
      <w:r>
        <w:t>każdym roku</w:t>
      </w:r>
      <w:r w:rsidRPr="008D66CB">
        <w:t xml:space="preserve"> dostaw,”,</w:t>
      </w:r>
    </w:p>
    <w:p w14:paraId="3E81C1D8" w14:textId="016B409F" w:rsidR="00DA29CC" w:rsidRPr="007B4546" w:rsidRDefault="00DA29CC" w:rsidP="00DA29CC">
      <w:pPr>
        <w:pStyle w:val="LITlitera"/>
      </w:pPr>
      <w:r w:rsidRPr="004D09E4">
        <w:t>c)</w:t>
      </w:r>
      <w:r w:rsidRPr="004D09E4">
        <w:tab/>
      </w:r>
      <w:r w:rsidRPr="007B4546">
        <w:t>w ust. 3 w pkt 4 w lit. b na końcu</w:t>
      </w:r>
      <w:r w:rsidR="00535A8B">
        <w:t>,</w:t>
      </w:r>
      <w:r w:rsidRPr="007B4546">
        <w:t xml:space="preserve"> po przecinku</w:t>
      </w:r>
      <w:r w:rsidRPr="00504B4F">
        <w:t xml:space="preserve"> </w:t>
      </w:r>
      <w:r w:rsidRPr="007B4546">
        <w:t>dodaje się wyraz „oraz” i dodaje się lit. ba w brzmieniu:</w:t>
      </w:r>
    </w:p>
    <w:p w14:paraId="12F65DA1" w14:textId="77777777" w:rsidR="00DA29CC" w:rsidRPr="005F43BE" w:rsidRDefault="00DA29CC" w:rsidP="00DA29CC">
      <w:pPr>
        <w:pStyle w:val="ZLITLITzmlitliter"/>
      </w:pPr>
      <w:r w:rsidRPr="005F43BE">
        <w:t xml:space="preserve">„ba) planowane spełnienie limitu emisji przez modernizowaną jednostkę rynku mocy wytwórczą w </w:t>
      </w:r>
      <w:r>
        <w:t>każdym roku</w:t>
      </w:r>
      <w:r w:rsidRPr="005F43BE">
        <w:t xml:space="preserve"> dostaw,”;</w:t>
      </w:r>
    </w:p>
    <w:p w14:paraId="10729B05" w14:textId="51C3480A" w:rsidR="00DA29CC" w:rsidRPr="007B4546" w:rsidRDefault="00DA29CC" w:rsidP="00DA29CC">
      <w:pPr>
        <w:pStyle w:val="PKTpunkt"/>
      </w:pPr>
      <w:r w:rsidRPr="004D09E4">
        <w:lastRenderedPageBreak/>
        <w:t>6)</w:t>
      </w:r>
      <w:r w:rsidRPr="004D09E4">
        <w:tab/>
      </w:r>
      <w:r w:rsidRPr="007B4546">
        <w:t xml:space="preserve">w art. 20 </w:t>
      </w:r>
      <w:r w:rsidR="00495CD1">
        <w:t xml:space="preserve">w </w:t>
      </w:r>
      <w:r w:rsidRPr="007B4546">
        <w:t>ust. 4</w:t>
      </w:r>
      <w:r w:rsidR="00495CD1">
        <w:t xml:space="preserve"> w</w:t>
      </w:r>
      <w:r w:rsidRPr="007B4546">
        <w:t xml:space="preserve"> pkt 2 w lit. b kropkę zastępuje się przecinkiem</w:t>
      </w:r>
      <w:r w:rsidR="00495CD1">
        <w:t>,</w:t>
      </w:r>
      <w:r w:rsidRPr="007B4546">
        <w:t xml:space="preserve"> dodaje się wyraz „oraz” i dodaje się lit. c w brzmieniu:</w:t>
      </w:r>
    </w:p>
    <w:p w14:paraId="17B1C4C4" w14:textId="77777777" w:rsidR="00DA29CC" w:rsidRPr="00307862" w:rsidRDefault="00DA29CC" w:rsidP="00DA29CC">
      <w:pPr>
        <w:pStyle w:val="ZLITzmlitartykuempunktem"/>
      </w:pPr>
      <w:r w:rsidRPr="00307862">
        <w:t xml:space="preserve">„c) </w:t>
      </w:r>
      <w:r w:rsidRPr="008B45ED">
        <w:t xml:space="preserve">w przypadku gdy w skład jednostki rynku mocy wchodzi co najmniej jedna jednostka wytwórcza – planowane spełnienie limitu emisji przez wszystkie </w:t>
      </w:r>
      <w:r>
        <w:t>jednostki</w:t>
      </w:r>
      <w:r w:rsidRPr="008B45ED">
        <w:t xml:space="preserve"> wytwórcze wchodzące w skład</w:t>
      </w:r>
      <w:r>
        <w:t xml:space="preserve"> jednostek fizycznych tworzących daną</w:t>
      </w:r>
      <w:r w:rsidRPr="008B45ED">
        <w:t xml:space="preserve"> jednostk</w:t>
      </w:r>
      <w:r>
        <w:t>ę</w:t>
      </w:r>
      <w:r w:rsidRPr="008B45ED">
        <w:t xml:space="preserve"> rynku mocy redukcji zapotrzebowania w okresie dostaw</w:t>
      </w:r>
      <w:r w:rsidRPr="00307862">
        <w:t>.”;</w:t>
      </w:r>
    </w:p>
    <w:p w14:paraId="19D664A7" w14:textId="77777777" w:rsidR="00DA29CC" w:rsidRPr="007B4546" w:rsidRDefault="00DA29CC" w:rsidP="00DA29CC">
      <w:pPr>
        <w:pStyle w:val="PKTpunkt"/>
      </w:pPr>
      <w:r w:rsidRPr="004D09E4">
        <w:t>7)</w:t>
      </w:r>
      <w:r w:rsidRPr="004D09E4">
        <w:tab/>
      </w:r>
      <w:r w:rsidRPr="007B4546">
        <w:t>po art. 20 dodaje się art. 20a w brzmieniu:</w:t>
      </w:r>
    </w:p>
    <w:p w14:paraId="50E01F27" w14:textId="77777777" w:rsidR="00DA29CC" w:rsidRDefault="00DA29CC" w:rsidP="00DA29CC">
      <w:pPr>
        <w:pStyle w:val="ZUSTzmustartykuempunktem"/>
      </w:pPr>
      <w:r>
        <w:t>„Art. 20a. 1.</w:t>
      </w:r>
      <w:r w:rsidRPr="008C055B">
        <w:t xml:space="preserve"> Limit emisji uznaje się za spełniony przez jednostkę rynku mocy, jeśli żadna z jednostek wytwórczych wchodzących w skład jednostek fizycznych tworzących daną jednostkę rynku mocy nie przekroczyła limitu emisji w danym roku dostaw.</w:t>
      </w:r>
    </w:p>
    <w:p w14:paraId="4117F5C2" w14:textId="77777777" w:rsidR="00DA29CC" w:rsidRDefault="00DA29CC" w:rsidP="00DA29CC">
      <w:pPr>
        <w:pStyle w:val="ZUSTzmustartykuempunktem"/>
      </w:pPr>
      <w:r>
        <w:t>2. Jednostkowa emisja dwutlenku węgla w odniesieniu do jednostki</w:t>
      </w:r>
      <w:r w:rsidRPr="00F835E3">
        <w:t xml:space="preserve"> wytwórcz</w:t>
      </w:r>
      <w:r>
        <w:t>ej, wyznaczana jest zgodnie z wzorem:</w:t>
      </w:r>
    </w:p>
    <w:p w14:paraId="4F3BDE1B" w14:textId="77777777" w:rsidR="00DA29CC" w:rsidRPr="004D09E4" w:rsidRDefault="00DA29CC" w:rsidP="00DA29CC">
      <w:pPr>
        <w:pStyle w:val="ZUSTzmustartykuempunktem"/>
      </w:pPr>
      <m:oMathPara>
        <m:oMath>
          <m:r>
            <m:rPr>
              <m:sty m:val="p"/>
            </m:rPr>
            <w:rPr>
              <w:rStyle w:val="Kkursywa"/>
              <w:rFonts w:ascii="Cambria Math" w:hAnsi="Cambria Math"/>
            </w:rPr>
            <m:t>EJ =</m:t>
          </m:r>
          <m:f>
            <m:fPr>
              <m:ctrlPr>
                <w:rPr>
                  <w:rStyle w:val="Kkursywa"/>
                  <w:rFonts w:ascii="Cambria Math" w:hAnsi="Cambria Math"/>
                  <w:i w:val="0"/>
                </w:rPr>
              </m:ctrlPr>
            </m:fPr>
            <m:num>
              <m:r>
                <m:rPr>
                  <m:sty m:val="p"/>
                </m:rPr>
                <w:rPr>
                  <w:rStyle w:val="Kkursywa"/>
                  <w:rFonts w:ascii="Cambria Math" w:hAnsi="Cambria Math"/>
                </w:rPr>
                <m:t>0,0036∙</m:t>
              </m:r>
              <m:d>
                <m:dPr>
                  <m:ctrlPr>
                    <w:rPr>
                      <w:rStyle w:val="Kkursywa"/>
                      <w:rFonts w:ascii="Cambria Math" w:hAnsi="Cambria Math"/>
                      <w:i w:val="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Style w:val="Kkursywa"/>
                      <w:rFonts w:ascii="Cambria Math" w:hAnsi="Cambria Math"/>
                    </w:rPr>
                    <m:t>1-</m:t>
                  </m:r>
                  <m:sSub>
                    <m:sSubPr>
                      <m:ctrlPr>
                        <w:rPr>
                          <w:rStyle w:val="Kkursywa"/>
                          <w:rFonts w:ascii="Cambria Math" w:hAnsi="Cambria Math"/>
                          <w:i w:val="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Style w:val="Kkursywa"/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Style w:val="Kkursywa"/>
                          <w:rFonts w:ascii="Cambria Math" w:hAnsi="Cambria Math"/>
                        </w:rPr>
                        <m:t>CO2</m:t>
                      </m:r>
                    </m:sub>
                  </m:sSub>
                </m:e>
              </m:d>
              <m:r>
                <m:rPr>
                  <m:sty m:val="p"/>
                </m:rPr>
                <w:rPr>
                  <w:rStyle w:val="Kkursywa"/>
                  <w:rFonts w:ascii="Cambria Math" w:hAnsi="Cambria Math"/>
                </w:rPr>
                <m:t>∙</m:t>
              </m:r>
              <m:nary>
                <m:naryPr>
                  <m:chr m:val="∑"/>
                  <m:limLoc m:val="subSup"/>
                  <m:ctrlPr>
                    <w:rPr>
                      <w:rStyle w:val="Kkursywa"/>
                      <w:rFonts w:ascii="Cambria Math" w:hAnsi="Cambria Math"/>
                      <w:i w:val="0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Style w:val="Kkursywa"/>
                      <w:rFonts w:ascii="Cambria Math" w:hAnsi="Cambria Math"/>
                    </w:rPr>
                    <m:t>p=1</m:t>
                  </m:r>
                </m:sub>
                <m:sup>
                  <m:r>
                    <m:rPr>
                      <m:sty m:val="p"/>
                    </m:rPr>
                    <w:rPr>
                      <w:rStyle w:val="Kkursywa"/>
                      <w:rFonts w:ascii="Cambria Math" w:hAnsi="Cambria Math"/>
                    </w:rPr>
                    <m:t>p=n</m:t>
                  </m:r>
                </m:sup>
                <m:e>
                  <m:sSub>
                    <m:sSubPr>
                      <m:ctrlPr>
                        <w:rPr>
                          <w:rStyle w:val="Kkursywa"/>
                          <w:rFonts w:ascii="Cambria Math" w:hAnsi="Cambria Math"/>
                          <w:i w:val="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Style w:val="Kkursywa"/>
                          <w:rFonts w:ascii="Cambria Math" w:hAnsi="Cambria Math"/>
                        </w:rPr>
                        <m:t>U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Style w:val="Kkursywa"/>
                          <w:rFonts w:ascii="Cambria Math" w:hAnsi="Cambria Math"/>
                        </w:rPr>
                        <m:t>p</m:t>
                      </m:r>
                    </m:sub>
                  </m:sSub>
                  <m:r>
                    <m:rPr>
                      <m:sty m:val="p"/>
                    </m:rPr>
                    <w:rPr>
                      <w:rStyle w:val="Kkursywa"/>
                      <w:rFonts w:ascii="Cambria Math" w:hAnsi="Cambria Math"/>
                    </w:rPr>
                    <m:t>∙</m:t>
                  </m:r>
                  <m:sSub>
                    <m:sSubPr>
                      <m:ctrlPr>
                        <w:rPr>
                          <w:rStyle w:val="Kkursywa"/>
                          <w:rFonts w:ascii="Cambria Math" w:hAnsi="Cambria Math"/>
                          <w:i w:val="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Style w:val="Kkursywa"/>
                          <w:rFonts w:ascii="Cambria Math" w:hAnsi="Cambria Math"/>
                        </w:rPr>
                        <m:t>WE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Style w:val="Kkursywa"/>
                          <w:rFonts w:ascii="Cambria Math" w:hAnsi="Cambria Math"/>
                        </w:rPr>
                        <m:t>p</m:t>
                      </m:r>
                    </m:sub>
                  </m:sSub>
                </m:e>
              </m:nary>
            </m:num>
            <m:den>
              <m:sSub>
                <m:sSubPr>
                  <m:ctrlPr>
                    <w:rPr>
                      <w:rStyle w:val="Kkursywa"/>
                      <w:rFonts w:ascii="Cambria Math" w:hAnsi="Cambria Math"/>
                      <w:i w:val="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Style w:val="Kkursywa"/>
                      <w:rFonts w:ascii="Cambria Math" w:hAnsi="Cambria Math"/>
                      <w:i w:val="0"/>
                    </w:rPr>
                    <w:sym w:font="Symbol" w:char="F068"/>
                  </m:r>
                </m:e>
                <m:sub>
                  <m:r>
                    <m:rPr>
                      <m:sty m:val="p"/>
                    </m:rPr>
                    <w:rPr>
                      <w:rStyle w:val="Kkursywa"/>
                      <w:rFonts w:ascii="Cambria Math" w:hAnsi="Cambria Math"/>
                    </w:rPr>
                    <m:t>proj</m:t>
                  </m:r>
                </m:sub>
              </m:sSub>
            </m:den>
          </m:f>
        </m:oMath>
      </m:oMathPara>
    </w:p>
    <w:p w14:paraId="46C4885A" w14:textId="77777777" w:rsidR="00DA29CC" w:rsidRDefault="00DA29CC" w:rsidP="00DA29CC">
      <w:pPr>
        <w:pStyle w:val="ZUSTzmustartykuempunktem"/>
      </w:pPr>
      <w:r>
        <w:t>gdzie:</w:t>
      </w:r>
    </w:p>
    <w:p w14:paraId="7CAFB6AA" w14:textId="77777777" w:rsidR="00DA29CC" w:rsidRDefault="00DA29CC" w:rsidP="00DA29CC">
      <w:pPr>
        <w:pStyle w:val="ZUSTzmustartykuempunktem"/>
      </w:pPr>
      <m:oMath>
        <m:r>
          <m:rPr>
            <m:sty m:val="p"/>
          </m:rPr>
          <w:rPr>
            <w:rStyle w:val="Kkursywa"/>
            <w:rFonts w:ascii="Cambria Math" w:hAnsi="Cambria Math"/>
          </w:rPr>
          <m:t>EJ</m:t>
        </m:r>
      </m:oMath>
      <w:r>
        <w:t xml:space="preserve"> – oznacza jednostkową emisję dwutlenku węgla danej jednostki wytwórczej, wyrażoną w gCO</w:t>
      </w:r>
      <w:r w:rsidRPr="00A17CAE">
        <w:rPr>
          <w:rStyle w:val="IDindeksdolny"/>
        </w:rPr>
        <w:t>2</w:t>
      </w:r>
      <w:r>
        <w:t>/kWh;</w:t>
      </w:r>
    </w:p>
    <w:p w14:paraId="7BFF8D04" w14:textId="6156580D" w:rsidR="00DA29CC" w:rsidRDefault="00290AB0" w:rsidP="00DA29CC">
      <w:pPr>
        <w:pStyle w:val="ZUSTzmustartykuempunktem"/>
      </w:pPr>
      <m:oMath>
        <m:sSub>
          <m:sSubPr>
            <m:ctrlPr>
              <w:rPr>
                <w:rStyle w:val="Kkursywa"/>
                <w:rFonts w:ascii="Cambria Math" w:hAnsi="Cambria Math"/>
                <w:i w:val="0"/>
              </w:rPr>
            </m:ctrlPr>
          </m:sSubPr>
          <m:e>
            <m:r>
              <m:rPr>
                <m:sty m:val="p"/>
              </m:rPr>
              <w:rPr>
                <w:rStyle w:val="Kkursywa"/>
                <w:rFonts w:ascii="Cambria Math" w:hAnsi="Cambria Math"/>
              </w:rPr>
              <m:t>t</m:t>
            </m:r>
          </m:e>
          <m:sub>
            <m:r>
              <m:rPr>
                <m:sty m:val="p"/>
              </m:rPr>
              <w:rPr>
                <w:rStyle w:val="Kkursywa"/>
                <w:rFonts w:ascii="Cambria Math" w:hAnsi="Cambria Math"/>
              </w:rPr>
              <m:t>CO2</m:t>
            </m:r>
          </m:sub>
        </m:sSub>
      </m:oMath>
      <w:r w:rsidR="00DA29CC">
        <w:t xml:space="preserve"> – oznacza udział emisji dwutlenku węgla, która została przeniesiona z jednostki wytwórczej do instalacji, o których mowa w art. 49 ust. 1 lit. a lub b </w:t>
      </w:r>
      <w:r w:rsidR="00535A8B">
        <w:t xml:space="preserve">rozporządzenia wykonawczego </w:t>
      </w:r>
      <w:r w:rsidR="00DA29CC">
        <w:t xml:space="preserve">Komisji (UE) 2018/2066 z dnia 19 grudnia 2018 r. w sprawie monitorowania i raportowania w zakresie gazów cieplarnianych na podstawie dyrektywy 2003/87/WE Parlamentu Europejskiego i Rady oraz zmieniającego rozporządzenie Komisji (UE) nr 601/2012 </w:t>
      </w:r>
      <w:r w:rsidR="00DA29CC" w:rsidRPr="008D40C6">
        <w:t>(Dz. Urz</w:t>
      </w:r>
      <w:r w:rsidR="00DA29CC">
        <w:t>. UE L 334 z 31</w:t>
      </w:r>
      <w:r w:rsidR="00535A8B">
        <w:t>.12.2018</w:t>
      </w:r>
      <w:r w:rsidR="00DA29CC">
        <w:t>r.</w:t>
      </w:r>
      <w:r w:rsidR="007735BA">
        <w:t>,</w:t>
      </w:r>
      <w:r w:rsidR="00DA29CC" w:rsidRPr="008D40C6">
        <w:t xml:space="preserve"> str. 1)</w:t>
      </w:r>
      <w:r w:rsidR="00DA29CC">
        <w:t>, w całkowitej emisji tej jednostki, wyrażony w %;</w:t>
      </w:r>
    </w:p>
    <w:p w14:paraId="15D1DD00" w14:textId="77777777" w:rsidR="00DA29CC" w:rsidRDefault="00DA29CC" w:rsidP="00DA29CC">
      <w:pPr>
        <w:pStyle w:val="ZUSTzmustartykuempunktem"/>
      </w:pPr>
      <m:oMath>
        <m:r>
          <m:rPr>
            <m:sty m:val="p"/>
          </m:rPr>
          <w:rPr>
            <w:rStyle w:val="Kkursywa"/>
            <w:rFonts w:ascii="Cambria Math" w:hAnsi="Cambria Math"/>
          </w:rPr>
          <m:t>p</m:t>
        </m:r>
      </m:oMath>
      <w:r>
        <w:t xml:space="preserve"> – jest oznaczeniem paliwa, gdzie </w:t>
      </w:r>
      <m:oMath>
        <m:r>
          <m:rPr>
            <m:sty m:val="p"/>
          </m:rPr>
          <w:rPr>
            <w:rStyle w:val="Kkursywa"/>
            <w:rFonts w:ascii="Cambria Math" w:hAnsi="Cambria Math"/>
          </w:rPr>
          <m:t>n</m:t>
        </m:r>
      </m:oMath>
      <w:r>
        <w:t xml:space="preserve"> jest liczbą paliw wykorzystywanych w danej jednostce wytwórczej;</w:t>
      </w:r>
    </w:p>
    <w:p w14:paraId="2F17F6EF" w14:textId="77777777" w:rsidR="00DA29CC" w:rsidRDefault="00290AB0" w:rsidP="00DA29CC">
      <w:pPr>
        <w:pStyle w:val="ZUSTzmustartykuempunktem"/>
      </w:pPr>
      <m:oMath>
        <m:sSub>
          <m:sSubPr>
            <m:ctrlPr>
              <w:rPr>
                <w:rStyle w:val="Kkursywa"/>
                <w:rFonts w:ascii="Cambria Math" w:hAnsi="Cambria Math"/>
                <w:i w:val="0"/>
              </w:rPr>
            </m:ctrlPr>
          </m:sSubPr>
          <m:e>
            <m:r>
              <m:rPr>
                <m:sty m:val="p"/>
              </m:rPr>
              <w:rPr>
                <w:rStyle w:val="Kkursywa"/>
                <w:rFonts w:ascii="Cambria Math" w:hAnsi="Cambria Math"/>
              </w:rPr>
              <m:t>U</m:t>
            </m:r>
          </m:e>
          <m:sub>
            <m:r>
              <m:rPr>
                <m:sty m:val="p"/>
              </m:rPr>
              <w:rPr>
                <w:rStyle w:val="Kkursywa"/>
                <w:rFonts w:ascii="Cambria Math" w:hAnsi="Cambria Math"/>
              </w:rPr>
              <m:t>p</m:t>
            </m:r>
          </m:sub>
        </m:sSub>
      </m:oMath>
      <w:r w:rsidR="00DA29CC">
        <w:t xml:space="preserve"> – oznacza udział energetyczny danego paliwa w całym paliwie dostarczanym do danej jednostki wytwórczej, w okresie </w:t>
      </w:r>
      <w:r w:rsidR="00DA29CC" w:rsidRPr="0040179C">
        <w:t xml:space="preserve">całego </w:t>
      </w:r>
      <w:r w:rsidR="00DA29CC" w:rsidRPr="00D61E25">
        <w:t>roku</w:t>
      </w:r>
      <w:r w:rsidR="00DA29CC" w:rsidRPr="0040179C">
        <w:t xml:space="preserve"> kalendarzowego obejmującego okres</w:t>
      </w:r>
      <w:r w:rsidR="00DA29CC" w:rsidRPr="00D61E25">
        <w:t xml:space="preserve"> dostaw</w:t>
      </w:r>
      <w:r w:rsidR="00DA29CC">
        <w:t>, wyrażony w %;</w:t>
      </w:r>
    </w:p>
    <w:p w14:paraId="4568EF90" w14:textId="5E7C3BFF" w:rsidR="00DA29CC" w:rsidRDefault="00290AB0" w:rsidP="00DA29CC">
      <w:pPr>
        <w:pStyle w:val="ZUSTzmustartykuempunktem"/>
      </w:pPr>
      <m:oMath>
        <m:sSub>
          <m:sSubPr>
            <m:ctrlPr>
              <w:rPr>
                <w:rStyle w:val="Kkursywa"/>
                <w:rFonts w:ascii="Cambria Math" w:hAnsi="Cambria Math"/>
                <w:i w:val="0"/>
              </w:rPr>
            </m:ctrlPr>
          </m:sSubPr>
          <m:e>
            <m:r>
              <m:rPr>
                <m:sty m:val="p"/>
              </m:rPr>
              <w:rPr>
                <w:rStyle w:val="Kkursywa"/>
                <w:rFonts w:ascii="Cambria Math" w:hAnsi="Cambria Math"/>
              </w:rPr>
              <m:t>WE</m:t>
            </m:r>
          </m:e>
          <m:sub>
            <m:r>
              <m:rPr>
                <m:sty m:val="p"/>
              </m:rPr>
              <w:rPr>
                <w:rStyle w:val="Kkursywa"/>
                <w:rFonts w:ascii="Cambria Math" w:hAnsi="Cambria Math"/>
              </w:rPr>
              <m:t>p</m:t>
            </m:r>
          </m:sub>
        </m:sSub>
      </m:oMath>
      <w:r w:rsidR="00DA29CC">
        <w:t xml:space="preserve"> – oznacza jednostkowy wskaźnik emisji dwutlenku węgla dla danego paliwa, wyznaczony tak jak na potrzeby raportowania emisji określonych w </w:t>
      </w:r>
      <w:r w:rsidR="0063569C">
        <w:t>rozporządzeniu wykonawczym</w:t>
      </w:r>
      <w:r w:rsidR="0063569C" w:rsidRPr="001668C5">
        <w:t xml:space="preserve"> </w:t>
      </w:r>
      <w:r w:rsidR="00DA29CC" w:rsidRPr="001668C5">
        <w:t xml:space="preserve">Komisji (UE) 2018/2066 z dnia 19 grudnia 2018 r. w sprawie monitorowania i raportowania w zakresie emisji gazów cieplarnianych na podstawie </w:t>
      </w:r>
      <w:r w:rsidR="00DA29CC" w:rsidRPr="001668C5">
        <w:lastRenderedPageBreak/>
        <w:t>dyrektywy 2003/87/WE Parlamentu Europ</w:t>
      </w:r>
      <w:r w:rsidR="00DA29CC">
        <w:t>ejskiego i Rady oraz zmieniającym</w:t>
      </w:r>
      <w:r w:rsidR="00DA29CC" w:rsidRPr="001668C5">
        <w:t xml:space="preserve"> rozporzą</w:t>
      </w:r>
      <w:r w:rsidR="00DA29CC">
        <w:t>dzenie Komisji (UE) nr 601/2012, wyrażony w kgCO</w:t>
      </w:r>
      <w:r w:rsidR="00DA29CC" w:rsidRPr="00A17CAE">
        <w:rPr>
          <w:rStyle w:val="IDindeksdolny"/>
        </w:rPr>
        <w:t>2</w:t>
      </w:r>
      <w:r w:rsidR="00DA29CC">
        <w:t>/TJ;</w:t>
      </w:r>
    </w:p>
    <w:p w14:paraId="65BB3EC0" w14:textId="77777777" w:rsidR="00DA29CC" w:rsidRDefault="00290AB0" w:rsidP="00DA29CC">
      <w:pPr>
        <w:pStyle w:val="ZUSTzmustartykuempunktem"/>
      </w:pPr>
      <m:oMath>
        <m:sSub>
          <m:sSubPr>
            <m:ctrlPr>
              <w:rPr>
                <w:rStyle w:val="Kkursywa"/>
                <w:rFonts w:ascii="Cambria Math" w:hAnsi="Cambria Math"/>
                <w:i w:val="0"/>
              </w:rPr>
            </m:ctrlPr>
          </m:sSubPr>
          <m:e>
            <m:r>
              <m:rPr>
                <m:sty m:val="p"/>
              </m:rPr>
              <w:rPr>
                <w:rStyle w:val="Kkursywa"/>
                <w:rFonts w:ascii="Cambria Math" w:hAnsi="Cambria Math"/>
                <w:i w:val="0"/>
              </w:rPr>
              <w:sym w:font="Symbol" w:char="F068"/>
            </m:r>
          </m:e>
          <m:sub>
            <m:r>
              <m:rPr>
                <m:sty m:val="p"/>
              </m:rPr>
              <w:rPr>
                <w:rStyle w:val="Kkursywa"/>
                <w:rFonts w:ascii="Cambria Math" w:hAnsi="Cambria Math"/>
              </w:rPr>
              <m:t>proj</m:t>
            </m:r>
          </m:sub>
        </m:sSub>
      </m:oMath>
      <w:r w:rsidR="00DA29CC">
        <w:t xml:space="preserve"> – oznacza sprawność projektową wytwarzania energii elektrycznej w danej jednostce wytwórczej, </w:t>
      </w:r>
      <w:r w:rsidR="00DA29CC" w:rsidRPr="009B7438">
        <w:t>liczon</w:t>
      </w:r>
      <w:r w:rsidR="00DA29CC">
        <w:t>ą</w:t>
      </w:r>
      <w:r w:rsidR="00DA29CC" w:rsidRPr="009B7438">
        <w:t xml:space="preserve"> jako iloraz mocy elektrycznej i całkowitego zużycia paliwa, dla warunków znamionowych</w:t>
      </w:r>
      <w:r w:rsidR="00DA29CC">
        <w:t>.</w:t>
      </w:r>
    </w:p>
    <w:p w14:paraId="5B634AFA" w14:textId="13B08C96" w:rsidR="00DA29CC" w:rsidRPr="00412880" w:rsidRDefault="00DA29CC" w:rsidP="00DA29CC">
      <w:pPr>
        <w:pStyle w:val="ZUSTzmustartykuempunktem"/>
      </w:pPr>
      <w:r>
        <w:t>3</w:t>
      </w:r>
      <w:r w:rsidRPr="00412880">
        <w:t xml:space="preserve">. W przypadku magazynów energii elektrycznej wchodzących w skład jednostek fizycznych tworzących daną jednostkę rynku mocy, na potrzeby weryfikacji spełnienia limitu emisji, przyjmuje się, że wskaźnik emisji </w:t>
      </w:r>
      <w:r>
        <w:t>dwutlenku węgla</w:t>
      </w:r>
      <w:r w:rsidR="0063569C">
        <w:t xml:space="preserve">, </w:t>
      </w:r>
      <w:r w:rsidR="0063569C" w:rsidRPr="0063569C">
        <w:t>w przypadku magazynów energii</w:t>
      </w:r>
      <w:r w:rsidRPr="00412880">
        <w:t>:</w:t>
      </w:r>
    </w:p>
    <w:p w14:paraId="0B4042FF" w14:textId="460727EF" w:rsidR="00DA29CC" w:rsidRPr="00824DA5" w:rsidRDefault="00DA29CC" w:rsidP="00DA29CC">
      <w:pPr>
        <w:pStyle w:val="ZLITzmlitartykuempunktem"/>
      </w:pPr>
      <w:r w:rsidRPr="00824DA5">
        <w:t>a) niepołączonych bezpośrednio z jednostką wytwórczą i zasilanych wyłącznie z sieci – jest równy zero,</w:t>
      </w:r>
    </w:p>
    <w:p w14:paraId="3B56F2E0" w14:textId="58EDA57E" w:rsidR="00DA29CC" w:rsidRPr="005F39CD" w:rsidRDefault="00DA29CC" w:rsidP="00DA29CC">
      <w:pPr>
        <w:pStyle w:val="ZLITzmlitartykuempunktem"/>
      </w:pPr>
      <w:r w:rsidRPr="00412880">
        <w:t xml:space="preserve">b) </w:t>
      </w:r>
      <w:r w:rsidRPr="00D61E25">
        <w:t>połączonych bezpośrednio z jedną</w:t>
      </w:r>
      <w:r w:rsidRPr="00412880">
        <w:t xml:space="preserve"> lub </w:t>
      </w:r>
      <w:r w:rsidR="0063569C">
        <w:t xml:space="preserve">z </w:t>
      </w:r>
      <w:r w:rsidRPr="00412880">
        <w:t xml:space="preserve">większą liczbą jednostek wytwórczych – jest równy </w:t>
      </w:r>
      <w:r>
        <w:t xml:space="preserve">najwyższemu spośród </w:t>
      </w:r>
      <w:r w:rsidRPr="00412880">
        <w:t>wskaźnik</w:t>
      </w:r>
      <w:r>
        <w:t>ów emisji wyznaczonych</w:t>
      </w:r>
      <w:r w:rsidRPr="00412880">
        <w:t xml:space="preserve"> odpowiednio dla bezpośrednio połączonych jednostek wytwórczych</w:t>
      </w:r>
      <w:r>
        <w:t>.</w:t>
      </w:r>
      <w:r w:rsidRPr="005F39CD">
        <w:t>”;</w:t>
      </w:r>
    </w:p>
    <w:p w14:paraId="11B044BC" w14:textId="77777777" w:rsidR="00DA29CC" w:rsidRPr="007B4546" w:rsidRDefault="00DA29CC" w:rsidP="00DA29CC">
      <w:pPr>
        <w:pStyle w:val="PKTpunkt"/>
      </w:pPr>
      <w:r w:rsidRPr="004D09E4">
        <w:t>8)</w:t>
      </w:r>
      <w:r w:rsidRPr="004D09E4">
        <w:tab/>
      </w:r>
      <w:r w:rsidRPr="007B4546">
        <w:t>po art. 33 dodaje się art. 33a w brzmieniu:</w:t>
      </w:r>
    </w:p>
    <w:p w14:paraId="32498D1B" w14:textId="2A21A981" w:rsidR="00DA29CC" w:rsidRDefault="00DA29CC" w:rsidP="00DA29CC">
      <w:pPr>
        <w:pStyle w:val="ZARTzmartartykuempunktem"/>
      </w:pPr>
      <w:r>
        <w:t>„Art. 33a. 1</w:t>
      </w:r>
      <w:r w:rsidRPr="00884191">
        <w:t xml:space="preserve">. </w:t>
      </w:r>
      <w:r w:rsidRPr="00DC7256">
        <w:t>W terminie 60 dni od</w:t>
      </w:r>
      <w:r w:rsidRPr="00884191">
        <w:t xml:space="preserve"> dnia</w:t>
      </w:r>
      <w:r>
        <w:t xml:space="preserve"> otrzymania proponowanych wartości parametrów, o których mowa w art. 14 ust. 2, Prezes URE przekazuje ministrowi właściwemu</w:t>
      </w:r>
      <w:r w:rsidRPr="000D7158">
        <w:t xml:space="preserve"> do spraw </w:t>
      </w:r>
      <w:r w:rsidRPr="00F31B16">
        <w:t>energii  propozycję parametrów o których mowa w art. 31 pkt 1, w od</w:t>
      </w:r>
      <w:r w:rsidRPr="006E2E68">
        <w:t>niesieniu do najbliższej aukcji głównej oraz najbliższych aukcji dodatkowych</w:t>
      </w:r>
      <w:r>
        <w:t>.</w:t>
      </w:r>
    </w:p>
    <w:p w14:paraId="4AB7101C" w14:textId="77777777" w:rsidR="00DA29CC" w:rsidRDefault="00DA29CC" w:rsidP="00DA29CC">
      <w:pPr>
        <w:pStyle w:val="ZUSTzmustartykuempunktem"/>
      </w:pPr>
      <w:r>
        <w:t>2. Prezes URE</w:t>
      </w:r>
      <w:r w:rsidR="00495CD1">
        <w:t>,</w:t>
      </w:r>
      <w:r>
        <w:t xml:space="preserve"> przygotowując propozycję, o której mowa w ust. 1, może przyjąć propozycje przekazane przez operatora zgodnie z art. 14 ust. 2 lub zaproponować inne wielkości.”;</w:t>
      </w:r>
    </w:p>
    <w:p w14:paraId="6BF1F110" w14:textId="2169E84D" w:rsidR="00DA29CC" w:rsidRPr="007B4546" w:rsidRDefault="00DA29CC" w:rsidP="00DA29CC">
      <w:pPr>
        <w:pStyle w:val="PKTpunkt"/>
      </w:pPr>
      <w:r w:rsidRPr="004D09E4">
        <w:t>9)</w:t>
      </w:r>
      <w:r w:rsidRPr="004D09E4">
        <w:tab/>
      </w:r>
      <w:r w:rsidRPr="007B4546">
        <w:t>w art. 34 ust. 1</w:t>
      </w:r>
      <w:r w:rsidR="00861352">
        <w:t xml:space="preserve"> i 2 otrzymują</w:t>
      </w:r>
      <w:r w:rsidRPr="007B4546">
        <w:t xml:space="preserve"> brzmienie:</w:t>
      </w:r>
    </w:p>
    <w:p w14:paraId="7827AE8F" w14:textId="70E5CAED" w:rsidR="002F257D" w:rsidRDefault="00DA29CC" w:rsidP="00DA29CC">
      <w:pPr>
        <w:pStyle w:val="ZUSTzmustartykuempunktem"/>
      </w:pPr>
      <w:r>
        <w:t xml:space="preserve">„1. </w:t>
      </w:r>
      <w:r w:rsidRPr="00C551F3">
        <w:t xml:space="preserve">Minister właściwy do spraw energii, </w:t>
      </w:r>
      <w:r>
        <w:t xml:space="preserve">po </w:t>
      </w:r>
      <w:r w:rsidRPr="00C551F3">
        <w:t>zasięgnięciu opinii Prezesa URE</w:t>
      </w:r>
      <w:r w:rsidR="00861352">
        <w:t xml:space="preserve">, </w:t>
      </w:r>
      <w:r w:rsidRPr="00C551F3">
        <w:t xml:space="preserve">określa, w drodze rozporządzenia, parametry najbliższej </w:t>
      </w:r>
      <w:r w:rsidRPr="00861352">
        <w:t>aukcji wstępnej</w:t>
      </w:r>
      <w:r w:rsidR="00861352">
        <w:t>, jeżeli jest ona przeprowadzana</w:t>
      </w:r>
      <w:r w:rsidRPr="00C551F3">
        <w:t>, parametry najbliższej aukcji głównej i najbliższych aukcji dodatkowych, o których mowa w art. 32 ust. 1 i 3, mając na względzie politykę energetyczną państwa, adekwatność stosowanych parametrów do potrzeb systemu, zapewnienie bezpieczeństwa systemu, równoprawne i niedyskryminacyjne traktowanie dostawców mocy oraz mając na względzie przewidywaną dostępność zdolności przesyłowych oraz ich udział w zapewnieniu bezpieczeństwa dostaw energii elektrycznej.</w:t>
      </w:r>
      <w:r w:rsidR="002F257D">
        <w:t xml:space="preserve"> </w:t>
      </w:r>
    </w:p>
    <w:p w14:paraId="3BB9EC6C" w14:textId="7338DB41" w:rsidR="00DA29CC" w:rsidRDefault="002F257D" w:rsidP="00DA29CC">
      <w:pPr>
        <w:pStyle w:val="ZUSTzmustartykuempunktem"/>
      </w:pPr>
      <w:r>
        <w:t xml:space="preserve">2. </w:t>
      </w:r>
      <w:r w:rsidRPr="002F257D">
        <w:t>Minister właściwy do spraw energii wydaje rozporządzenie, o którym mowa w ust. 1, po otrzymaniu propozycji, o której mowa w art. 33a ust. 1 i nie później niż 18 tygodni przed rozpoczęciem każdej aukcji głównej.”</w:t>
      </w:r>
      <w:r w:rsidR="00DA29CC">
        <w:t>;</w:t>
      </w:r>
    </w:p>
    <w:p w14:paraId="66AFBD94" w14:textId="649F3992" w:rsidR="00DA29CC" w:rsidRPr="007B4546" w:rsidRDefault="00DA29CC" w:rsidP="00DA29CC">
      <w:pPr>
        <w:pStyle w:val="PKTpunkt"/>
      </w:pPr>
      <w:r w:rsidRPr="004D09E4">
        <w:t>10)</w:t>
      </w:r>
      <w:r w:rsidRPr="004D09E4">
        <w:tab/>
      </w:r>
      <w:r w:rsidRPr="007B4546">
        <w:t xml:space="preserve">po art. 40 dodaje </w:t>
      </w:r>
      <w:r w:rsidRPr="00861352">
        <w:t xml:space="preserve">się art. 40a </w:t>
      </w:r>
      <w:r w:rsidR="00861352" w:rsidRPr="00861352">
        <w:t xml:space="preserve">i art. 40b </w:t>
      </w:r>
      <w:r w:rsidRPr="007B4546">
        <w:t>w brzmieniu:</w:t>
      </w:r>
    </w:p>
    <w:p w14:paraId="7F08C881" w14:textId="19059820" w:rsidR="00DA29CC" w:rsidRDefault="00DA29CC" w:rsidP="00DA29CC">
      <w:pPr>
        <w:pStyle w:val="ZARTzmartartykuempunktem"/>
      </w:pPr>
      <w:r>
        <w:t>„Art. 40a. 1. Prezes URE wyznacza i ogłasza w Biuletynie Informacji Publicznej na swojej stronie podmiotowej:</w:t>
      </w:r>
    </w:p>
    <w:p w14:paraId="0F00F2BB" w14:textId="6590D9DA" w:rsidR="00DA29CC" w:rsidRDefault="00DA29CC" w:rsidP="00DA29CC">
      <w:pPr>
        <w:pStyle w:val="ZPKTzmpktartykuempunktem"/>
      </w:pPr>
      <w:r>
        <w:t>1) wartoś</w:t>
      </w:r>
      <w:r w:rsidR="000E0267">
        <w:t>ć</w:t>
      </w:r>
      <w:r>
        <w:t xml:space="preserve"> niedostarczonej energii elektrycznej, </w:t>
      </w:r>
    </w:p>
    <w:p w14:paraId="326C98C5" w14:textId="58F86A8B" w:rsidR="00DA29CC" w:rsidRDefault="00DA29CC" w:rsidP="00DA29CC">
      <w:pPr>
        <w:pStyle w:val="ZPKTzmpktartykuempunktem"/>
      </w:pPr>
      <w:r>
        <w:t>2) koszt nowej jednostki.</w:t>
      </w:r>
    </w:p>
    <w:p w14:paraId="0B2D972F" w14:textId="3A351812" w:rsidR="00DA29CC" w:rsidRDefault="00DA29CC" w:rsidP="00DA29CC">
      <w:pPr>
        <w:pStyle w:val="ZUSTzmustartykuempunktem"/>
      </w:pPr>
      <w:r>
        <w:t>2. Wielkości, o których mowa w ust. 1</w:t>
      </w:r>
      <w:r w:rsidR="00005A37">
        <w:t>,</w:t>
      </w:r>
      <w:r>
        <w:t xml:space="preserve"> wyznaczane są w oparciu o metody, o których mowa odpowiednio w art. 23 ust. 6 lit. a i b </w:t>
      </w:r>
      <w:r w:rsidRPr="00C939B5">
        <w:t xml:space="preserve">rozporządzenia Parlamentu Europejskiego i Rady (UE) 2019/943 z dnia 5 czerwca 2019 r. w sprawie wewnętrznego rynku energii elektrycznej </w:t>
      </w:r>
      <w:r>
        <w:t xml:space="preserve">i aktualizowane przynajmniej raz na 5 lat lub </w:t>
      </w:r>
      <w:r w:rsidRPr="00884191">
        <w:t>częściej, jeżeli Prezes URE zaobserwuje znaczącą zmianę tych wielkości.</w:t>
      </w:r>
    </w:p>
    <w:p w14:paraId="21E93BD7" w14:textId="46A6A5CE" w:rsidR="00861352" w:rsidRPr="00884191" w:rsidRDefault="00207230" w:rsidP="00DA29CC">
      <w:pPr>
        <w:pStyle w:val="ZUSTzmustartykuempunktem"/>
      </w:pPr>
      <w:r>
        <w:t xml:space="preserve">40b. </w:t>
      </w:r>
      <w:r w:rsidR="00861352" w:rsidRPr="00861352">
        <w:t>Każdorazowo w terminie 14 dni po opublikowaniu parametrów, o których mowa w art. 40a ust. 1</w:t>
      </w:r>
      <w:r w:rsidR="00861352">
        <w:t xml:space="preserve"> pkt 1 lub 2, Prezes URE </w:t>
      </w:r>
      <w:r w:rsidR="00861352" w:rsidRPr="00861352">
        <w:t xml:space="preserve">informuje ministra właściwego do spraw energii </w:t>
      </w:r>
      <w:r w:rsidR="00861352">
        <w:t xml:space="preserve">o ich opublikowaniu, </w:t>
      </w:r>
      <w:r w:rsidR="00861352" w:rsidRPr="00861352">
        <w:t>przedstawiając uzasadnienie swojego stanowiska.</w:t>
      </w:r>
      <w:r w:rsidR="00AE4BBE">
        <w:t>”;</w:t>
      </w:r>
    </w:p>
    <w:p w14:paraId="659AFC50" w14:textId="116D74F6" w:rsidR="00DA29CC" w:rsidRPr="007B4546" w:rsidRDefault="00DA29CC" w:rsidP="00DA29CC">
      <w:pPr>
        <w:pStyle w:val="PKTpunkt"/>
      </w:pPr>
      <w:r w:rsidRPr="004D09E4">
        <w:t>11)</w:t>
      </w:r>
      <w:r w:rsidRPr="004D09E4">
        <w:tab/>
      </w:r>
      <w:r w:rsidRPr="007B4546">
        <w:t>w art. 47:</w:t>
      </w:r>
    </w:p>
    <w:p w14:paraId="05CE6B39" w14:textId="02C9FF78" w:rsidR="00DA29CC" w:rsidRPr="007B4546" w:rsidRDefault="00DA29CC" w:rsidP="00DA29CC">
      <w:pPr>
        <w:pStyle w:val="LITlitera"/>
      </w:pPr>
      <w:r w:rsidRPr="004D09E4">
        <w:t>a)</w:t>
      </w:r>
      <w:r w:rsidRPr="004D09E4">
        <w:tab/>
      </w:r>
      <w:r w:rsidRPr="007B4546">
        <w:t>ust. 2 otrzymuje</w:t>
      </w:r>
      <w:r w:rsidR="002C1332">
        <w:t xml:space="preserve"> brzmienie</w:t>
      </w:r>
      <w:r w:rsidRPr="007B4546">
        <w:t>:</w:t>
      </w:r>
    </w:p>
    <w:p w14:paraId="5AF41B3C" w14:textId="5FC9DDD9" w:rsidR="00DA29CC" w:rsidRDefault="00DA29CC" w:rsidP="00DA29CC">
      <w:pPr>
        <w:pStyle w:val="ZLITUSTzmustliter"/>
      </w:pPr>
      <w:r w:rsidRPr="00285E1E">
        <w:t>„</w:t>
      </w:r>
      <w:r>
        <w:t xml:space="preserve">2. </w:t>
      </w:r>
      <w:r w:rsidRPr="00285E1E">
        <w:t>W przypadku gdy umowa mocowa dotyczy nowej jednostki</w:t>
      </w:r>
      <w:r>
        <w:t xml:space="preserve"> rynku mocy wytwórczej, za każdy miesiąc roku dostaw, który rozpoczął się przed spełnieniem przez dostawcę mocy wymagań, po których mowa w art. 52 ust. 2</w:t>
      </w:r>
      <w:r w:rsidR="00910388">
        <w:t>,</w:t>
      </w:r>
      <w:r>
        <w:t xml:space="preserve"> dostawca mocy płaci karę w wysokości:</w:t>
      </w:r>
    </w:p>
    <w:p w14:paraId="61C5A91B" w14:textId="77777777" w:rsidR="00DA29CC" w:rsidRDefault="00DA29CC" w:rsidP="00DA29CC">
      <w:pPr>
        <w:pStyle w:val="ZLITPKTzmpktliter"/>
      </w:pPr>
      <w:r>
        <w:t>1) 5% wartości obowiązku mocowego objętego umową mocową – w pierwszym roku dostaw,</w:t>
      </w:r>
    </w:p>
    <w:p w14:paraId="76F5689E" w14:textId="77777777" w:rsidR="00DA29CC" w:rsidRDefault="00DA29CC" w:rsidP="00DA29CC">
      <w:pPr>
        <w:pStyle w:val="ZLITPKTzmpktliter"/>
      </w:pPr>
      <w:r>
        <w:t>2) 15% wartości obowiązku mocowego objętego umową mocową – w drugim roku dostaw,</w:t>
      </w:r>
    </w:p>
    <w:p w14:paraId="3FBB603F" w14:textId="4819E55E" w:rsidR="00DA29CC" w:rsidRDefault="00DA29CC" w:rsidP="00DA29CC">
      <w:pPr>
        <w:pStyle w:val="ZLITPKTzmpktliter"/>
      </w:pPr>
      <w:r>
        <w:t>3) 25% wartości obowiązku mocowego objętego umową mocową – w trzecim roku dostaw</w:t>
      </w:r>
    </w:p>
    <w:p w14:paraId="12682BA1" w14:textId="1502F240" w:rsidR="00DA29CC" w:rsidRDefault="00910388" w:rsidP="00DA29CC">
      <w:pPr>
        <w:pStyle w:val="ZLITLITzmlitliter"/>
      </w:pPr>
      <w:r>
        <w:t>-</w:t>
      </w:r>
      <w:r>
        <w:tab/>
      </w:r>
      <w:r w:rsidR="00DA29CC">
        <w:t>obliczonej na podstawie najwyższej ceny zamknięcia aukcji mocy odnoszącej się do danego roku dostaw.”</w:t>
      </w:r>
      <w:r>
        <w:t>,</w:t>
      </w:r>
    </w:p>
    <w:p w14:paraId="415E71B1" w14:textId="77777777" w:rsidR="00DA29CC" w:rsidRPr="007B4546" w:rsidRDefault="00DA29CC" w:rsidP="00DA29CC">
      <w:pPr>
        <w:pStyle w:val="LITlitera"/>
      </w:pPr>
      <w:r w:rsidRPr="004D09E4">
        <w:t>b)</w:t>
      </w:r>
      <w:r w:rsidRPr="004D09E4">
        <w:tab/>
      </w:r>
      <w:r w:rsidRPr="007B4546">
        <w:t>dodaje się ust. 3 w brzmieniu:</w:t>
      </w:r>
    </w:p>
    <w:p w14:paraId="5F3C6199" w14:textId="14A705FA" w:rsidR="00DA29CC" w:rsidRDefault="00DA29CC" w:rsidP="00DA29CC">
      <w:pPr>
        <w:pStyle w:val="ZLITPKTzmpktliter"/>
      </w:pPr>
      <w:r>
        <w:t>„</w:t>
      </w:r>
      <w:r w:rsidRPr="00C331E1">
        <w:t>3. W przypadku, o którym mowa w ust. 2, w odniesieniu do danej jednostki rynku mocy do dnia przedstawienia informacji, o których mowa w art. 52 ust. 2, przepisów art. 59 nie stosuje się.</w:t>
      </w:r>
      <w:r>
        <w:t>”</w:t>
      </w:r>
      <w:r w:rsidR="00910388">
        <w:t>;</w:t>
      </w:r>
    </w:p>
    <w:p w14:paraId="2A7923AB" w14:textId="77777777" w:rsidR="00DA29CC" w:rsidRPr="007B4546" w:rsidRDefault="00DA29CC" w:rsidP="00DA29CC">
      <w:pPr>
        <w:pStyle w:val="PKTpunkt"/>
      </w:pPr>
      <w:r w:rsidRPr="004D09E4">
        <w:t>12)</w:t>
      </w:r>
      <w:r w:rsidRPr="004D09E4">
        <w:tab/>
      </w:r>
      <w:r w:rsidRPr="007B4546">
        <w:t>w art. 48:</w:t>
      </w:r>
    </w:p>
    <w:p w14:paraId="045A1EFB" w14:textId="77777777" w:rsidR="00DA29CC" w:rsidRPr="007B4546" w:rsidRDefault="00DA29CC" w:rsidP="00DA29CC">
      <w:pPr>
        <w:pStyle w:val="LITlitera"/>
      </w:pPr>
      <w:r w:rsidRPr="004D09E4">
        <w:t>a)</w:t>
      </w:r>
      <w:r w:rsidRPr="004D09E4">
        <w:tab/>
      </w:r>
      <w:r w:rsidRPr="007B4546">
        <w:t>w ust. 1 pkt 1 otrzymuje brzmienie:</w:t>
      </w:r>
    </w:p>
    <w:p w14:paraId="10633E15" w14:textId="5F969FB2" w:rsidR="00DA29CC" w:rsidRDefault="00DA29CC" w:rsidP="00DA29CC">
      <w:pPr>
        <w:pStyle w:val="ZLITPKTzmpktliter"/>
      </w:pPr>
      <w:r w:rsidRPr="009471AC">
        <w:t>„1) aukcji dodatkowych – przenosić na inną jednostkę rynku mocy obowiązek mocowy w części lub w całości, w odniesieniu do całości okresu dostaw lub jego części, z zastrzeżeniem, że przedmiotem obrotu może być wyłącznie przyszła część okresu dostaw (obrót wtórny obowiązkiem mocowym);”</w:t>
      </w:r>
      <w:r w:rsidR="00A860C1">
        <w:t>,</w:t>
      </w:r>
    </w:p>
    <w:p w14:paraId="4A515643" w14:textId="77777777" w:rsidR="00DA29CC" w:rsidRPr="007B4546" w:rsidRDefault="00DA29CC" w:rsidP="00DA29CC">
      <w:pPr>
        <w:pStyle w:val="LITlitera"/>
      </w:pPr>
      <w:r w:rsidRPr="004D09E4">
        <w:t>b)</w:t>
      </w:r>
      <w:r w:rsidRPr="004D09E4">
        <w:tab/>
      </w:r>
      <w:r w:rsidRPr="007B4546">
        <w:t>w ust. 2 w pkt 2 w lit. e na końcu średnik zastępuje się przecinkiem i dodaje się lit. f w brzmieniu:</w:t>
      </w:r>
    </w:p>
    <w:p w14:paraId="2D672FBE" w14:textId="7001FF83" w:rsidR="00DA29CC" w:rsidRPr="0092051B" w:rsidRDefault="00DA29CC" w:rsidP="00DA29CC">
      <w:pPr>
        <w:pStyle w:val="ZLITLITzmlitliter"/>
      </w:pPr>
      <w:r w:rsidRPr="00114D43">
        <w:t>„</w:t>
      </w:r>
      <w:r w:rsidRPr="00884191">
        <w:t xml:space="preserve">f) </w:t>
      </w:r>
      <w:r w:rsidRPr="00DC7256">
        <w:t>w zakresie obrotu wtórnego obowiązkiem mocowym</w:t>
      </w:r>
      <w:r w:rsidRPr="00884191">
        <w:t xml:space="preserve"> –</w:t>
      </w:r>
      <w:r>
        <w:t xml:space="preserve"> jednostek rynku mocy, </w:t>
      </w:r>
      <w:r w:rsidRPr="00D61E25">
        <w:t>dla których we wniosku</w:t>
      </w:r>
      <w:r>
        <w:t xml:space="preserve"> o certyfikację nie</w:t>
      </w:r>
      <w:r w:rsidRPr="00D61E25">
        <w:t xml:space="preserve"> złożono oświadczeni</w:t>
      </w:r>
      <w:r>
        <w:t>a</w:t>
      </w:r>
      <w:r w:rsidRPr="00D61E25">
        <w:t xml:space="preserve"> o planowanym spełnieniu limitu emisji,</w:t>
      </w:r>
      <w:r>
        <w:t xml:space="preserve"> z zastrzeżeniem art. 49a.</w:t>
      </w:r>
      <w:r w:rsidRPr="0092051B">
        <w:t>”</w:t>
      </w:r>
      <w:r w:rsidR="00A860C1">
        <w:t>;</w:t>
      </w:r>
    </w:p>
    <w:p w14:paraId="6A9F58F9" w14:textId="77777777" w:rsidR="00DA29CC" w:rsidRPr="007B4546" w:rsidRDefault="00DA29CC" w:rsidP="00DA29CC">
      <w:pPr>
        <w:pStyle w:val="PKTpunkt"/>
      </w:pPr>
      <w:r w:rsidRPr="004D09E4">
        <w:t>13)</w:t>
      </w:r>
      <w:r w:rsidRPr="004D09E4">
        <w:tab/>
      </w:r>
      <w:r w:rsidRPr="007B4546">
        <w:t>po art. 49 dodaje się art. 49a w brzmieniu:</w:t>
      </w:r>
    </w:p>
    <w:p w14:paraId="7E253733" w14:textId="442D3271" w:rsidR="00DA29CC" w:rsidRDefault="00DA29CC" w:rsidP="00DA29CC">
      <w:pPr>
        <w:pStyle w:val="ZARTzmartartykuempunktem"/>
      </w:pPr>
      <w:r w:rsidRPr="009471AC">
        <w:t>„</w:t>
      </w:r>
      <w:r>
        <w:t xml:space="preserve">Art. 49a. </w:t>
      </w:r>
      <w:r w:rsidRPr="00114D43">
        <w:t xml:space="preserve">Przepisów art. 48 ust. 2 pkt 2 lit. f nie stosuje się w odniesieniu do obowiązku mocowego, który powstał nie później niż w dniu 31 grudnia 2019 r. w wyniku aukcji mocy, również w przypadku </w:t>
      </w:r>
      <w:r w:rsidR="00A860C1">
        <w:t>gdy</w:t>
      </w:r>
      <w:r w:rsidR="00A860C1" w:rsidRPr="00114D43">
        <w:t xml:space="preserve"> </w:t>
      </w:r>
      <w:r w:rsidRPr="00114D43">
        <w:t>ten obowiązek mocowy został przeniesiony na inną jednostkę rynku mocy w wyniku transakcji na rynku wtórnym, niezależnie od liczby transakcji, którym podlegał</w:t>
      </w:r>
      <w:r w:rsidRPr="0092051B">
        <w:t>.”;</w:t>
      </w:r>
    </w:p>
    <w:p w14:paraId="74C38B32" w14:textId="77777777" w:rsidR="00DA29CC" w:rsidRPr="007B4546" w:rsidRDefault="00DA29CC" w:rsidP="00DA29CC">
      <w:pPr>
        <w:pStyle w:val="PKTpunkt"/>
      </w:pPr>
      <w:r w:rsidRPr="004D09E4">
        <w:t>14)</w:t>
      </w:r>
      <w:r w:rsidRPr="004D09E4">
        <w:tab/>
      </w:r>
      <w:r w:rsidRPr="007B4546">
        <w:t>w art. 52 w ust. 2 w pkt 3 w lit. b na końcu po przecinku dodaje się wyraz „oraz” i dodaje się lit. ba w brzmieniu:</w:t>
      </w:r>
    </w:p>
    <w:p w14:paraId="0CBFFE1E" w14:textId="51E9F3AE" w:rsidR="00DA29CC" w:rsidRDefault="00DA29CC" w:rsidP="00DA29CC">
      <w:pPr>
        <w:pStyle w:val="ZLITzmlitartykuempunktem"/>
      </w:pPr>
      <w:r>
        <w:t>„ba) spełnienie limitu emisji, o którym mowa odpowiednio w art. 19 ust. 2 pkt 2 lit. ba</w:t>
      </w:r>
      <w:r w:rsidR="00A860C1">
        <w:t xml:space="preserve"> i w </w:t>
      </w:r>
      <w:r>
        <w:t>ust. 3 pkt 4 lit. ba lub</w:t>
      </w:r>
      <w:r w:rsidR="00A860C1">
        <w:t xml:space="preserve"> w</w:t>
      </w:r>
      <w:r>
        <w:t xml:space="preserve"> art. 20 ust. 4 pkt 2 </w:t>
      </w:r>
      <w:r w:rsidRPr="007F63DD">
        <w:t xml:space="preserve">lit. </w:t>
      </w:r>
      <w:r>
        <w:t>c,”;</w:t>
      </w:r>
    </w:p>
    <w:p w14:paraId="3C848F9A" w14:textId="77777777" w:rsidR="00DA29CC" w:rsidRPr="007B4546" w:rsidRDefault="00DA29CC" w:rsidP="00DA29CC">
      <w:pPr>
        <w:pStyle w:val="PKTpunkt"/>
      </w:pPr>
      <w:r w:rsidRPr="004D09E4">
        <w:t>15)</w:t>
      </w:r>
      <w:r w:rsidRPr="004D09E4">
        <w:tab/>
      </w:r>
      <w:r w:rsidRPr="007B4546">
        <w:t>po art. 52 dodaje się art. 52a i 52b w brzmieniu:</w:t>
      </w:r>
    </w:p>
    <w:p w14:paraId="4485E475" w14:textId="77777777" w:rsidR="00DA29CC" w:rsidRPr="00285E1E" w:rsidRDefault="00DA29CC" w:rsidP="00DA29CC">
      <w:pPr>
        <w:pStyle w:val="ZARTzmartartykuempunktem"/>
      </w:pPr>
      <w:r w:rsidRPr="00285E1E">
        <w:t>„Art. 52a. 1. W przypadku umowy mocowej zawartej na więcej niż 1 okres dostaw w odniesieniu do nowej lub modernizowanej jednostki rynku mocy wytwórczej, dla której zmianie uległa moc osiągalna netto jednostki fizycznej wytwórczej tworzącej tę jednostkę rynku mocy, a zmiana ta nie była większa niż 5% mocy określonej w certyfikacie, dostawca mocy może wystąpić do operatora z wnioskiem o dokonanie zmiany tej mocy.</w:t>
      </w:r>
    </w:p>
    <w:p w14:paraId="5F9A2A5A" w14:textId="1CD3016E" w:rsidR="00DA29CC" w:rsidRPr="00285E1E" w:rsidRDefault="00DA29CC" w:rsidP="00DA29CC">
      <w:pPr>
        <w:pStyle w:val="ZUSTzmustartykuempunktem"/>
      </w:pPr>
      <w:r w:rsidRPr="00285E1E">
        <w:t>2. Wniosek, o którym mowa w ust. 1</w:t>
      </w:r>
      <w:r w:rsidR="00A860C1">
        <w:t>,</w:t>
      </w:r>
      <w:r w:rsidRPr="00285E1E">
        <w:t xml:space="preserve"> może zostać złożony przez dostawcę mocy jednokrotnie i nie później niż z chwilą przedstawienia informacji, o których mowa w art. 52 ust. 2.</w:t>
      </w:r>
    </w:p>
    <w:p w14:paraId="3857B455" w14:textId="16F16C3E" w:rsidR="00DA29CC" w:rsidRPr="00285E1E" w:rsidRDefault="00DA29CC" w:rsidP="00DA29CC">
      <w:pPr>
        <w:pStyle w:val="ZUSTzmustartykuempunktem"/>
      </w:pPr>
      <w:r w:rsidRPr="00285E1E">
        <w:t>3. Na podstawie wniosku, o którym mowa w ust. 1, w terminie 14 dni</w:t>
      </w:r>
      <w:r w:rsidR="00A860C1">
        <w:t xml:space="preserve"> od dnia otrzymania tego wniosku</w:t>
      </w:r>
      <w:r w:rsidRPr="00285E1E">
        <w:t>, operator dokonuje zmiany mocy osiągalnej netto ujętej w certyfikacie oraz</w:t>
      </w:r>
      <w:r w:rsidR="00A860C1">
        <w:t>,</w:t>
      </w:r>
      <w:r w:rsidRPr="00285E1E">
        <w:t xml:space="preserve"> w przypadku zmniejszenia mocy osiągalnej netto</w:t>
      </w:r>
      <w:r w:rsidR="00852D96">
        <w:t>,</w:t>
      </w:r>
      <w:r w:rsidRPr="00285E1E">
        <w:t xml:space="preserve"> proporcjonalnego zmniejszenia wielkości obowiązku mocowego określonego w umowie mocowej, poprzez wpis zaktualizowanych danych w rejestrze. Zmniejszenie wielkości obowiązku mocowego skutkuje odpowiednio zmniejszeniem wysokości wynagrodzenia należnego dostawcy mocy za wykonywanie obowiązku mocowego zgodnie z zawartą umową mocową oraz zatrzymaniem przez operatora odpowiedniej części zabezpieczenia finansowego.</w:t>
      </w:r>
    </w:p>
    <w:p w14:paraId="17AE0177" w14:textId="695345FE" w:rsidR="00DA29CC" w:rsidRPr="00285E1E" w:rsidRDefault="00DA29CC" w:rsidP="00DA29CC">
      <w:pPr>
        <w:pStyle w:val="ZUSTzmustartykuempunktem"/>
      </w:pPr>
      <w:r w:rsidRPr="00285E1E">
        <w:t>4. W przypadku dokonania zmian zgodnie z ust. 3, spełnienie obowiązków, o których mowa w art. 52</w:t>
      </w:r>
      <w:r w:rsidR="00852D96">
        <w:t>,</w:t>
      </w:r>
      <w:r w:rsidRPr="00285E1E">
        <w:t xml:space="preserve"> odnosi się do zmienionej mocy osiągalnej netto.</w:t>
      </w:r>
    </w:p>
    <w:p w14:paraId="097AEAE1" w14:textId="77777777" w:rsidR="00DA29CC" w:rsidRPr="00285E1E" w:rsidRDefault="00DA29CC" w:rsidP="00DA29CC">
      <w:pPr>
        <w:pStyle w:val="ZARTzmartartykuempunktem"/>
      </w:pPr>
      <w:r w:rsidRPr="00285E1E">
        <w:t>Art. 52b. 1. W przypadku umowy mocowej zawartej na więcej niż 1 okres dostaw w odniesieniu do nowej jednostki rynku mocy wytwórczej, która w okresie dostaw nie będzie spełniała limitu emisji, dostawca mocy może wystąpić do operatora z wnioskiem o zmianę technologii wytwarzania energii elektrycznej przez jednostkę fizyczną wytwórczą tworzącą daną jednostkę rynku mocy.</w:t>
      </w:r>
    </w:p>
    <w:p w14:paraId="4B917980" w14:textId="77777777" w:rsidR="00DA29CC" w:rsidRPr="00285E1E" w:rsidRDefault="00DA29CC" w:rsidP="00DA29CC">
      <w:pPr>
        <w:pStyle w:val="ZUSTzmustartykuempunktem"/>
      </w:pPr>
      <w:r w:rsidRPr="00285E1E">
        <w:t>2. Wniosek, o którym mowa w ust. 1 może zostać złożony przez dostawcę mocy jednokrotnie i nie później niż z chwilą przedstawienia informacji, o których mowa w art. 52 ust. 2.</w:t>
      </w:r>
    </w:p>
    <w:p w14:paraId="26EF1372" w14:textId="71E73694" w:rsidR="00DA29CC" w:rsidRPr="00285E1E" w:rsidRDefault="00DA29CC" w:rsidP="00DA29CC">
      <w:pPr>
        <w:pStyle w:val="ZUSTzmustartykuempunktem"/>
      </w:pPr>
      <w:r w:rsidRPr="00285E1E">
        <w:t>3. Zmiana technologii wytwarzania energii elektrycznej, o której mowa w ust. 1</w:t>
      </w:r>
      <w:r w:rsidR="00852D96">
        <w:t>,</w:t>
      </w:r>
      <w:r w:rsidRPr="00285E1E">
        <w:t xml:space="preserve"> może </w:t>
      </w:r>
      <w:r w:rsidR="00852D96">
        <w:t>polegać</w:t>
      </w:r>
      <w:r w:rsidR="00852D96" w:rsidRPr="00285E1E">
        <w:t xml:space="preserve"> </w:t>
      </w:r>
      <w:r w:rsidRPr="00285E1E">
        <w:t xml:space="preserve">wyłącznie </w:t>
      </w:r>
      <w:r w:rsidR="00852D96">
        <w:t xml:space="preserve">na dokonaniu </w:t>
      </w:r>
      <w:r w:rsidRPr="00285E1E">
        <w:t>zmian, w wyniku, któr</w:t>
      </w:r>
      <w:r w:rsidR="00852D96">
        <w:t>ych</w:t>
      </w:r>
      <w:r w:rsidRPr="00285E1E">
        <w:t>:</w:t>
      </w:r>
    </w:p>
    <w:p w14:paraId="3CC9BE20" w14:textId="77777777" w:rsidR="00DA29CC" w:rsidRPr="00285E1E" w:rsidRDefault="00DA29CC" w:rsidP="00DA29CC">
      <w:pPr>
        <w:pStyle w:val="ZPKTzmpktartykuempunktem"/>
      </w:pPr>
      <w:r w:rsidRPr="00285E1E">
        <w:t>1) jednostka rynku mocy będzie w okresie dostaw spełniała limit emisji,</w:t>
      </w:r>
    </w:p>
    <w:p w14:paraId="228FB6EE" w14:textId="77777777" w:rsidR="00DA29CC" w:rsidRPr="00285E1E" w:rsidRDefault="00DA29CC" w:rsidP="00DA29CC">
      <w:pPr>
        <w:pStyle w:val="ZPKTzmpktartykuempunktem"/>
      </w:pPr>
      <w:r w:rsidRPr="00285E1E">
        <w:t>2) nie zmieni się lokalizacja jednostki fizycznej w systemie.</w:t>
      </w:r>
    </w:p>
    <w:p w14:paraId="7E69921D" w14:textId="77777777" w:rsidR="00DA29CC" w:rsidRPr="00285E1E" w:rsidRDefault="00DA29CC" w:rsidP="00DA29CC">
      <w:pPr>
        <w:pStyle w:val="ZUSTzmustartykuempunktem"/>
      </w:pPr>
      <w:r w:rsidRPr="00285E1E">
        <w:t>4. W przypadku zmiany technologii wytwarzania energii elektrycznej, o której mowa w ust. 1 dopuszcza się również zmianę mocy osiągalnej netto jednostki fizycznej tworzącej jednostkę rynku mocy o nie więcej niż 20%.</w:t>
      </w:r>
    </w:p>
    <w:p w14:paraId="33175194" w14:textId="7C7B9E35" w:rsidR="00DA29CC" w:rsidRPr="00285E1E" w:rsidRDefault="00DA29CC" w:rsidP="00DA29CC">
      <w:pPr>
        <w:pStyle w:val="ZUSTzmustartykuempunktem"/>
      </w:pPr>
      <w:r w:rsidRPr="00285E1E">
        <w:t>5. Na podstawie wniosku, o którym mowa w ust. 1, w terminie 30 dni, operator dokonuje odpowiedniej zmiany certyfikatu, w tym w zakresie przypisania właściwego korekcyjnego współczynnika dyspozycyjności i mocy osiągalnej netto, o ile wniosek obejmował zmianę mocy osiągalnej netto.</w:t>
      </w:r>
    </w:p>
    <w:p w14:paraId="20A17C1A" w14:textId="6A66F7DB" w:rsidR="00DA29CC" w:rsidRPr="00285E1E" w:rsidRDefault="00DA29CC" w:rsidP="00DA29CC">
      <w:pPr>
        <w:pStyle w:val="ZUSTzmustartykuempunktem"/>
      </w:pPr>
      <w:r w:rsidRPr="00285E1E">
        <w:t xml:space="preserve">6. W przypadku </w:t>
      </w:r>
      <w:r w:rsidR="00852D96">
        <w:t>gdy</w:t>
      </w:r>
      <w:r w:rsidR="00852D96" w:rsidRPr="00285E1E">
        <w:t xml:space="preserve"> </w:t>
      </w:r>
      <w:r w:rsidRPr="00285E1E">
        <w:t>obowiązek mocowy jednostki rynku mocy, której dotyczy wniosek, o którym mowa w ust. 1, jest większy od iloczynu mocy osiągalnej netto i korekcyjnego współczynnika dyspozycyjności, określonego w certyfikacie zmienionym zgodnie z ust. 5, operator dokonuje zmniejszenia wielkości obowiązku mocowego określonego w umowie mocowej do wielkości równej iloczynowi mocy osiągalnej i korekcyjnego współczynnika dyspozycyjności, poprzez wpis zaktualizowanych danych w rejestrze. Zmniejszenie wielkości obowiązku mocowego skutkuje odpowiednio zmniejszeniem wysokości wynagrodzenia należnego dostawcy mocy za wykonywanie obowiązku mocowego zgodnie z zawartą umową mocową oraz zatrzymaniem przez operatora odpowiedniej części zabezpieczenia finansowego.</w:t>
      </w:r>
    </w:p>
    <w:p w14:paraId="6E22A30C" w14:textId="39C18911" w:rsidR="00DA29CC" w:rsidRPr="00285E1E" w:rsidRDefault="00DA29CC" w:rsidP="00DA29CC">
      <w:pPr>
        <w:pStyle w:val="ZUSTzmustartykuempunktem"/>
      </w:pPr>
      <w:r w:rsidRPr="00285E1E">
        <w:t>7. W przypadku dokonania zmian zgodnie z ust. 4, spełnienie obowiązków, o których mowa w art. 52</w:t>
      </w:r>
      <w:r w:rsidR="00852D96">
        <w:t>,</w:t>
      </w:r>
      <w:r w:rsidRPr="00285E1E">
        <w:t xml:space="preserve"> odnosi się do zmienionej mocy osiągalnej netto, na zasadach określonych w regulaminie rynku mocy, o którym mowa w art. 83.”;</w:t>
      </w:r>
    </w:p>
    <w:p w14:paraId="41D5E6A4" w14:textId="77777777" w:rsidR="00DA29CC" w:rsidRPr="007B4546" w:rsidRDefault="00DA29CC" w:rsidP="00DA29CC">
      <w:pPr>
        <w:pStyle w:val="PKTpunkt"/>
      </w:pPr>
      <w:r w:rsidRPr="004D09E4">
        <w:t>16)</w:t>
      </w:r>
      <w:r w:rsidRPr="004D09E4">
        <w:tab/>
      </w:r>
      <w:r w:rsidRPr="007B4546">
        <w:t>w art. 59 po ust. 2 dodaje się ust. 2a w brzmieniu:</w:t>
      </w:r>
    </w:p>
    <w:p w14:paraId="45FDEEFB" w14:textId="77777777" w:rsidR="00DA29CC" w:rsidRPr="00010DBE" w:rsidRDefault="00DA29CC" w:rsidP="00DA29CC">
      <w:pPr>
        <w:pStyle w:val="ZUSTzmustartykuempunktem"/>
      </w:pPr>
      <w:r w:rsidRPr="00010DBE">
        <w:t>„2a. Prezes URE oblicza jednostkową stawkę kary na dany rok dostaw i ogłasza ją w Biuletynie Informacji Publicznej na swojej stronie podmiotowej, do dnia 15 grudnia roku poprzedzającego dany rok dostaw.”;</w:t>
      </w:r>
    </w:p>
    <w:p w14:paraId="39C5DF03" w14:textId="77777777" w:rsidR="00DA29CC" w:rsidRPr="007B4546" w:rsidRDefault="00DA29CC" w:rsidP="00DA29CC">
      <w:pPr>
        <w:pStyle w:val="PKTpunkt"/>
      </w:pPr>
      <w:r w:rsidRPr="004D09E4">
        <w:t>17)</w:t>
      </w:r>
      <w:r w:rsidRPr="004D09E4">
        <w:tab/>
      </w:r>
      <w:r w:rsidRPr="007B4546">
        <w:t>po art. 67 dodaje się art. 67a w brzmieniu:</w:t>
      </w:r>
    </w:p>
    <w:p w14:paraId="77094908" w14:textId="30B41206" w:rsidR="00DA29CC" w:rsidRDefault="00DA29CC" w:rsidP="00DA29CC">
      <w:pPr>
        <w:pStyle w:val="ZUSTzmustartykuempunktem"/>
      </w:pPr>
      <w:r>
        <w:t>„Art. 67a. 1</w:t>
      </w:r>
      <w:r w:rsidRPr="006C5FFC">
        <w:t xml:space="preserve">. </w:t>
      </w:r>
      <w:r>
        <w:t>Nie później niż w terminie 30 dni od zakończenia</w:t>
      </w:r>
      <w:r w:rsidRPr="006C5FFC">
        <w:t xml:space="preserve"> każdego roku </w:t>
      </w:r>
      <w:r>
        <w:t>dostaw</w:t>
      </w:r>
      <w:r w:rsidRPr="006C5FFC">
        <w:t>, dostawca mocy</w:t>
      </w:r>
      <w:r>
        <w:t>, w odniesieniu do każdej jednostki rynku mocy</w:t>
      </w:r>
      <w:r w:rsidR="00492B8E" w:rsidRPr="00492B8E">
        <w:rPr>
          <w:rFonts w:ascii="Times New Roman" w:hAnsi="Times New Roman"/>
        </w:rPr>
        <w:t xml:space="preserve"> </w:t>
      </w:r>
      <w:r w:rsidR="00492B8E" w:rsidRPr="00492B8E">
        <w:t xml:space="preserve">certyfikowanej na </w:t>
      </w:r>
      <w:r w:rsidR="008A317B">
        <w:t xml:space="preserve">zakończony </w:t>
      </w:r>
      <w:r w:rsidR="00492B8E" w:rsidRPr="00492B8E">
        <w:t>rok dostaw</w:t>
      </w:r>
      <w:r>
        <w:t>, innej niż j</w:t>
      </w:r>
      <w:r w:rsidRPr="00780355">
        <w:t>ednostka rynku mocy składająca się z jednostek fizycznych połączenia międzysystemowego</w:t>
      </w:r>
      <w:r>
        <w:t>,</w:t>
      </w:r>
      <w:r w:rsidRPr="00780355">
        <w:t xml:space="preserve"> </w:t>
      </w:r>
      <w:r w:rsidRPr="006C5FFC">
        <w:t>składa do operatora</w:t>
      </w:r>
      <w:r>
        <w:t xml:space="preserve"> oświadczenie o:</w:t>
      </w:r>
      <w:r w:rsidR="000B3A3A">
        <w:t xml:space="preserve"> </w:t>
      </w:r>
    </w:p>
    <w:p w14:paraId="3A43BB08" w14:textId="77777777" w:rsidR="00DA29CC" w:rsidRDefault="00DA29CC" w:rsidP="00DA29CC">
      <w:pPr>
        <w:pStyle w:val="ZPKTzmpktartykuempunktem"/>
      </w:pPr>
      <w:r>
        <w:t>1) spełnieniu limitu emisji przez daną jednostkę rynku mocy w danym roku dostaw</w:t>
      </w:r>
      <w:r w:rsidRPr="00D61E25">
        <w:t>,</w:t>
      </w:r>
      <w:r w:rsidRPr="00D61E25" w:rsidDel="00CE23D9">
        <w:t xml:space="preserve"> </w:t>
      </w:r>
      <w:r w:rsidRPr="00D61E25">
        <w:t>albo</w:t>
      </w:r>
    </w:p>
    <w:p w14:paraId="536AF6F3" w14:textId="77777777" w:rsidR="00DA29CC" w:rsidRDefault="00DA29CC" w:rsidP="00DA29CC">
      <w:pPr>
        <w:pStyle w:val="ZPKTzmpktartykuempunktem"/>
      </w:pPr>
      <w:r>
        <w:t>2) niespełnieniu warunku, o którym mowa w</w:t>
      </w:r>
      <w:r w:rsidDel="00CE23D9">
        <w:t xml:space="preserve"> </w:t>
      </w:r>
      <w:r>
        <w:t>pkt 1.</w:t>
      </w:r>
    </w:p>
    <w:p w14:paraId="4990A856" w14:textId="51A078CE" w:rsidR="00DA29CC" w:rsidRDefault="00DA29CC" w:rsidP="00DA29CC">
      <w:pPr>
        <w:pStyle w:val="ZUSTzmustartykuempunktem"/>
      </w:pPr>
      <w:r>
        <w:t xml:space="preserve">2. Oświadczenia, o których mowa w ust. 1, są składane przez dostawcę mocy będącego osobą fizyczną albo przez osoby reprezentujące dostawcę mocy lub działające w jego imieniu, pod rygorem odpowiedzialności karnej </w:t>
      </w:r>
      <w:r w:rsidRPr="000B1F6F">
        <w:t xml:space="preserve">za składanie fałszywych zeznań. Składający oświadczenie </w:t>
      </w:r>
      <w:r>
        <w:t xml:space="preserve">zawiera </w:t>
      </w:r>
      <w:r w:rsidRPr="000B1F6F">
        <w:t>w nim klauzul</w:t>
      </w:r>
      <w:r>
        <w:t>ę</w:t>
      </w:r>
      <w:r w:rsidRPr="000B1F6F">
        <w:t xml:space="preserve"> </w:t>
      </w:r>
      <w:r>
        <w:t>o</w:t>
      </w:r>
      <w:r w:rsidRPr="000B1F6F">
        <w:t xml:space="preserve"> następującej treści: "Jestem świadomy odpowiedzialności karnej za złożenie fałszywego oświadczenia</w:t>
      </w:r>
      <w:r w:rsidR="00CD6612">
        <w:t xml:space="preserve"> </w:t>
      </w:r>
      <w:r w:rsidR="00CD6612" w:rsidRPr="00CD6612">
        <w:t>wynikającej z art. 233 § 6 ustawy z dnia 6 czerwca 1997 r. – Kodeks karny</w:t>
      </w:r>
      <w:r w:rsidRPr="000B1F6F">
        <w:t>.". Klauzula ta zastępuje pouczenie organu o odpowiedzialności karnej za składanie fałszywych zeznań.</w:t>
      </w:r>
    </w:p>
    <w:p w14:paraId="2B4A515B" w14:textId="5477F20B" w:rsidR="00DA29CC" w:rsidRDefault="007D263F" w:rsidP="00DA29CC">
      <w:pPr>
        <w:pStyle w:val="ZUSTzmustartykuempunktem"/>
      </w:pPr>
      <w:r>
        <w:t>3</w:t>
      </w:r>
      <w:r w:rsidR="00DA29CC">
        <w:t>. Składając oświadczenie, o którym mowa w ust. 1 pkt 1, dostawca mocy</w:t>
      </w:r>
      <w:r>
        <w:t>,</w:t>
      </w:r>
      <w:r w:rsidR="00DA29CC" w:rsidRPr="00207F34">
        <w:t xml:space="preserve"> </w:t>
      </w:r>
      <w:r w:rsidR="00DA29CC">
        <w:t>w odniesieniu do jednostki rynku mocy:</w:t>
      </w:r>
    </w:p>
    <w:p w14:paraId="5D1FD704" w14:textId="333930B9" w:rsidR="00DA29CC" w:rsidRDefault="00DA29CC" w:rsidP="00DA29CC">
      <w:pPr>
        <w:pStyle w:val="ZPKTzmpktartykuempunktem"/>
      </w:pPr>
      <w:r>
        <w:t xml:space="preserve">1) </w:t>
      </w:r>
      <w:r w:rsidR="007D263F">
        <w:tab/>
      </w:r>
      <w:r>
        <w:t>obejmującej co najmniej jedną jednostkę wytwórczą, w której wykorzystywane jest więcej niż jedno paliwo, termicznie przekształcane są odpady lub wychwytywany i przenoszony jest dwutlenek węgla –</w:t>
      </w:r>
      <w:r w:rsidR="00CF0AB4">
        <w:t xml:space="preserve"> </w:t>
      </w:r>
      <w:r w:rsidR="00A17135">
        <w:t>załącza</w:t>
      </w:r>
      <w:r w:rsidR="007D263F">
        <w:t>,</w:t>
      </w:r>
    </w:p>
    <w:p w14:paraId="29888ED1" w14:textId="25EE7F7F" w:rsidR="00DA29CC" w:rsidRDefault="00DA29CC" w:rsidP="00DA29CC">
      <w:pPr>
        <w:pStyle w:val="ZPKTzmpktartykuempunktem"/>
      </w:pPr>
      <w:r>
        <w:t xml:space="preserve">2) </w:t>
      </w:r>
      <w:r w:rsidR="007D263F">
        <w:tab/>
      </w:r>
      <w:r>
        <w:t xml:space="preserve">innej niż wskazana w pkt 1 – może </w:t>
      </w:r>
      <w:r w:rsidR="00A17135">
        <w:t>załączyć</w:t>
      </w:r>
      <w:r>
        <w:t xml:space="preserve"> </w:t>
      </w:r>
    </w:p>
    <w:p w14:paraId="76DBC402" w14:textId="400AB667" w:rsidR="00DA29CC" w:rsidRDefault="007D263F" w:rsidP="00DA29CC">
      <w:pPr>
        <w:pStyle w:val="ZPKTzmpktartykuempunktem"/>
      </w:pPr>
      <w:r>
        <w:t>-</w:t>
      </w:r>
      <w:r>
        <w:tab/>
      </w:r>
      <w:r w:rsidR="00DA29CC">
        <w:t xml:space="preserve">potwierdzenie prawidłowości złożonego oświadczenia wystawione przez podmiot akredytowany w zakresie, o którym mowa w pkt 1a lub 1b załącznika 1 do </w:t>
      </w:r>
      <w:r>
        <w:t xml:space="preserve">rozporządzenia </w:t>
      </w:r>
      <w:r w:rsidR="00DA29CC">
        <w:t>wykonawczego Komisji (UE) 2018/2067 z dnia 19 grudnia 2018 r. w sprawie weryfikacji danych oraz akredytacji weryfikatorów na podstawie dyrektywy 2003/87/WE Parlamentu Europejskiego i Rady</w:t>
      </w:r>
      <w:r>
        <w:t xml:space="preserve"> (Dz. Urz. UE L </w:t>
      </w:r>
      <w:r w:rsidR="00CA15E1">
        <w:t xml:space="preserve">334 </w:t>
      </w:r>
      <w:r>
        <w:t>z 31.12.2018 r.</w:t>
      </w:r>
      <w:r w:rsidR="00CA15E1">
        <w:t>, str. 94)</w:t>
      </w:r>
      <w:r>
        <w:t xml:space="preserve"> </w:t>
      </w:r>
      <w:r w:rsidR="00DA29CC">
        <w:t>.</w:t>
      </w:r>
    </w:p>
    <w:p w14:paraId="0D547F79" w14:textId="0312810E" w:rsidR="007D263F" w:rsidRPr="007D263F" w:rsidRDefault="007D263F" w:rsidP="007D263F">
      <w:pPr>
        <w:pStyle w:val="ZUSTzmustartykuempunktem"/>
      </w:pPr>
      <w:r>
        <w:t>4</w:t>
      </w:r>
      <w:r w:rsidRPr="007D263F">
        <w:t>. Niezłożenie oświadczenia, o którym mowa w ust. 1 pkt 1, w terminie określonym w ust. 1 lub w trybie określonym w regulaminie rynku mocy, jest równoznaczne ze złożeniem oświadczenia, o którym mowa ust. 1 pkt 2.</w:t>
      </w:r>
    </w:p>
    <w:p w14:paraId="67FB89FE" w14:textId="5C35C34C" w:rsidR="00DA29CC" w:rsidRDefault="00DA29CC" w:rsidP="00DA29CC">
      <w:pPr>
        <w:pStyle w:val="ZUSTzmustartykuempunktem"/>
      </w:pPr>
      <w:r>
        <w:t>5</w:t>
      </w:r>
      <w:r w:rsidRPr="0070605B">
        <w:t xml:space="preserve">. Operator </w:t>
      </w:r>
      <w:r w:rsidR="00CA15E1">
        <w:t xml:space="preserve">może </w:t>
      </w:r>
      <w:r w:rsidRPr="0070605B">
        <w:t xml:space="preserve"> </w:t>
      </w:r>
      <w:r w:rsidR="00CA15E1" w:rsidRPr="0070605B">
        <w:t>wezwa</w:t>
      </w:r>
      <w:r w:rsidR="00CA15E1">
        <w:t>ć</w:t>
      </w:r>
      <w:r w:rsidR="00CA15E1" w:rsidRPr="0070605B">
        <w:t xml:space="preserve"> </w:t>
      </w:r>
      <w:r w:rsidRPr="0070605B">
        <w:t>dostawc</w:t>
      </w:r>
      <w:r w:rsidR="00CA15E1">
        <w:t>ę</w:t>
      </w:r>
      <w:r w:rsidRPr="0070605B">
        <w:t xml:space="preserve"> mocy do przedstawienia wyjaśnień dotyczących złożonych oświadczeń, o których mowa w ust. 1, w trybie i terminie określonym w regulaminie rynku mocy</w:t>
      </w:r>
      <w:r>
        <w:t xml:space="preserve">. </w:t>
      </w:r>
    </w:p>
    <w:p w14:paraId="37E9CC7C" w14:textId="1AEA56E1" w:rsidR="00DA29CC" w:rsidRPr="0070605B" w:rsidRDefault="00DA29CC" w:rsidP="00DA29CC">
      <w:pPr>
        <w:pStyle w:val="ZUSTzmustartykuempunktem"/>
      </w:pPr>
      <w:r w:rsidRPr="00FD6FB7">
        <w:t>6. W ramach wezwania, o którym mowa w ust. 5</w:t>
      </w:r>
      <w:r w:rsidR="00CA15E1">
        <w:t>,</w:t>
      </w:r>
      <w:r w:rsidRPr="00FD6FB7">
        <w:t xml:space="preserve"> operator </w:t>
      </w:r>
      <w:r w:rsidR="00CA15E1">
        <w:t>może</w:t>
      </w:r>
      <w:r w:rsidRPr="00FD6FB7">
        <w:t xml:space="preserve"> wezwa</w:t>
      </w:r>
      <w:r w:rsidR="00CA15E1">
        <w:t>ć</w:t>
      </w:r>
      <w:r w:rsidRPr="00FD6FB7">
        <w:t xml:space="preserve"> dostawc</w:t>
      </w:r>
      <w:r w:rsidR="00CA15E1">
        <w:t>ę</w:t>
      </w:r>
      <w:r w:rsidRPr="00FD6FB7">
        <w:t xml:space="preserve"> mocy do </w:t>
      </w:r>
      <w:r w:rsidR="008A2079">
        <w:t>załączenia</w:t>
      </w:r>
      <w:r w:rsidR="008A2079" w:rsidRPr="00FD6FB7">
        <w:t xml:space="preserve"> </w:t>
      </w:r>
      <w:r w:rsidRPr="00FD6FB7">
        <w:t xml:space="preserve">potwierdzenia prawidłowości złożonego oświadczenia wystawionego przez podmiot akredytowany w zakresie, o którym mowa w pkt 1a lub 1b załącznika 1 do </w:t>
      </w:r>
      <w:r w:rsidR="00CA15E1">
        <w:t>r</w:t>
      </w:r>
      <w:r w:rsidR="00CA15E1" w:rsidRPr="00FD6FB7">
        <w:t xml:space="preserve">ozporządzenia </w:t>
      </w:r>
      <w:r w:rsidRPr="00FD6FB7">
        <w:t>wykonawczego Komisji (UE) 2018/2067 z dnia 19 grudnia 2018 r. w sprawie weryfikacji danych oraz akredytacji weryfikatorów na podstawie dyrektywy 2003/87/WE Parlamentu Europejskiego i Rady.</w:t>
      </w:r>
    </w:p>
    <w:p w14:paraId="1F568A83" w14:textId="77777777" w:rsidR="00DA29CC" w:rsidRPr="0070605B" w:rsidRDefault="00DA29CC" w:rsidP="00DA29CC">
      <w:pPr>
        <w:pStyle w:val="ZUSTzmustartykuempunktem"/>
      </w:pPr>
      <w:r>
        <w:t>7</w:t>
      </w:r>
      <w:r w:rsidRPr="0070605B">
        <w:t xml:space="preserve">. W przypadku złożenia oświadczenia, o którym mowa w ust. 1 pkt </w:t>
      </w:r>
      <w:r>
        <w:t>2</w:t>
      </w:r>
      <w:r w:rsidRPr="0070605B">
        <w:t xml:space="preserve">, dostawca mocy, </w:t>
      </w:r>
      <w:r>
        <w:t>w </w:t>
      </w:r>
      <w:r w:rsidRPr="0070605B">
        <w:t>odniesieniu do danej jednostki rynku mocy:</w:t>
      </w:r>
    </w:p>
    <w:p w14:paraId="560C98C8" w14:textId="6DAA38D2" w:rsidR="00DA29CC" w:rsidRPr="0070605B" w:rsidRDefault="00DA29CC" w:rsidP="00DA29CC">
      <w:pPr>
        <w:pStyle w:val="ZPKTzmpktartykuempunktem"/>
      </w:pPr>
      <w:r w:rsidRPr="0070605B">
        <w:t xml:space="preserve">1) </w:t>
      </w:r>
      <w:r w:rsidR="00CA15E1">
        <w:tab/>
      </w:r>
      <w:r w:rsidRPr="0070605B">
        <w:t>zwraca wypłaconą premię należną za rok dostaw, którego dotyczyło oświadczenie – jeżeli premia została już wypłacona;</w:t>
      </w:r>
    </w:p>
    <w:p w14:paraId="3C4E1EA7" w14:textId="3652C8D9" w:rsidR="00DA29CC" w:rsidRPr="0070605B" w:rsidRDefault="00DA29CC" w:rsidP="00DA29CC">
      <w:pPr>
        <w:pStyle w:val="ZPKTzmpktartykuempunktem"/>
      </w:pPr>
      <w:r w:rsidRPr="0070605B">
        <w:t>2)</w:t>
      </w:r>
      <w:r w:rsidR="00CA15E1">
        <w:tab/>
      </w:r>
      <w:r w:rsidRPr="0070605B">
        <w:t xml:space="preserve"> nie otrzymuje premii za rok dostaw, którego dotyczyło oświadczenie – jeżeli premia nie została jeszcze wypłacona;</w:t>
      </w:r>
    </w:p>
    <w:p w14:paraId="1BFAB906" w14:textId="20F010B7" w:rsidR="00DA29CC" w:rsidRPr="0070605B" w:rsidRDefault="00DA29CC" w:rsidP="00DA29CC">
      <w:pPr>
        <w:pStyle w:val="ZPKTzmpktartykuempunktem"/>
      </w:pPr>
      <w:r w:rsidRPr="0070605B">
        <w:t xml:space="preserve">3) </w:t>
      </w:r>
      <w:r w:rsidR="00CA15E1">
        <w:tab/>
      </w:r>
      <w:r w:rsidRPr="0070605B">
        <w:t>zwraca wypłacone wynagrodzenie za wykonywanie obowiązku mocowego w roku dostaw, którego dotyczyło oświadczenie – w zakresie wynagrodzenia, które zostało już wypłacone;</w:t>
      </w:r>
    </w:p>
    <w:p w14:paraId="7C98D22C" w14:textId="34BDF4D4" w:rsidR="00DA29CC" w:rsidRPr="0070605B" w:rsidRDefault="00DA29CC" w:rsidP="00DA29CC">
      <w:pPr>
        <w:pStyle w:val="ZPKTzmpktartykuempunktem"/>
      </w:pPr>
      <w:r w:rsidRPr="0070605B">
        <w:t xml:space="preserve">4) </w:t>
      </w:r>
      <w:r w:rsidR="00CA15E1">
        <w:tab/>
      </w:r>
      <w:r w:rsidRPr="0070605B">
        <w:t>nie otrzymuje wynagrodzenia za wykonywanie obowiązku mocowego w roku dostaw, którego dotyczyło oświadczenie – w zakresie wynagrodzenia, które nie zostało jeszcze wypłacone.</w:t>
      </w:r>
    </w:p>
    <w:p w14:paraId="0DC3EEA1" w14:textId="403F5D37" w:rsidR="00DA29CC" w:rsidRPr="0070605B" w:rsidRDefault="00DA29CC" w:rsidP="00DA29CC">
      <w:pPr>
        <w:pStyle w:val="ZUSTzmustartykuempunktem"/>
      </w:pPr>
      <w:r>
        <w:t>8</w:t>
      </w:r>
      <w:r w:rsidRPr="0070605B">
        <w:t>. Przepis</w:t>
      </w:r>
      <w:r>
        <w:t>ów</w:t>
      </w:r>
      <w:r w:rsidRPr="0070605B">
        <w:t xml:space="preserve"> ust. </w:t>
      </w:r>
      <w:r>
        <w:t>7</w:t>
      </w:r>
      <w:r w:rsidRPr="0070605B">
        <w:t xml:space="preserve"> pkt 3 i 4, nie </w:t>
      </w:r>
      <w:r>
        <w:t>stosuje się w odniesieniu do</w:t>
      </w:r>
      <w:r w:rsidRPr="0070605B">
        <w:t xml:space="preserve"> wynagrodzenia należne</w:t>
      </w:r>
      <w:r>
        <w:t>go</w:t>
      </w:r>
      <w:r w:rsidRPr="0070605B">
        <w:t xml:space="preserve"> za wykonywanie obowiązku mocowego, który </w:t>
      </w:r>
      <w:r>
        <w:t>powstał nie później niż w dniu 31 grudnia 2019 r.</w:t>
      </w:r>
      <w:r w:rsidRPr="0070605B">
        <w:t xml:space="preserve"> w wyniku aukcji</w:t>
      </w:r>
      <w:r>
        <w:t xml:space="preserve"> mocy, również w przypadku </w:t>
      </w:r>
      <w:r w:rsidR="00122A99">
        <w:t xml:space="preserve">gdy </w:t>
      </w:r>
      <w:r>
        <w:t>ten obowiązek mocowy został przeniesiony na inną jednostkę rynku mocy w wyniku transakcji na rynku wtórnym.</w:t>
      </w:r>
    </w:p>
    <w:p w14:paraId="29C9DEDD" w14:textId="54D53F5C" w:rsidR="000F381F" w:rsidRPr="0070605B" w:rsidRDefault="00DA29CC" w:rsidP="00861352">
      <w:pPr>
        <w:pStyle w:val="ZUSTzmustartykuempunktem"/>
      </w:pPr>
      <w:r>
        <w:t>9</w:t>
      </w:r>
      <w:r w:rsidRPr="0070605B">
        <w:t xml:space="preserve">. Środki finansowe pozyskane w związku z zastosowaniem przepisów, o których mowa w ust. </w:t>
      </w:r>
      <w:r>
        <w:t>7</w:t>
      </w:r>
      <w:r w:rsidRPr="0070605B">
        <w:t xml:space="preserve"> pkt 1 i 2 przeznaczane są na powiększenie puli premii, która będzie wypłacona za kolejny rok dostaw, którego dotyczyło oświadczenie.”;</w:t>
      </w:r>
    </w:p>
    <w:p w14:paraId="20FCCE92" w14:textId="5595ACB4" w:rsidR="00861352" w:rsidRPr="00FB4EA9" w:rsidRDefault="00861352" w:rsidP="00861352">
      <w:pPr>
        <w:pStyle w:val="Tekstkomentarza"/>
      </w:pPr>
      <w:r>
        <w:t xml:space="preserve">18) </w:t>
      </w:r>
      <w:r w:rsidRPr="00FB4EA9">
        <w:t>w art. 68 ust. 1 otrzymuje brzmienie:</w:t>
      </w:r>
    </w:p>
    <w:p w14:paraId="48D4E4F2" w14:textId="5E50BD06" w:rsidR="00861352" w:rsidRDefault="00861352" w:rsidP="00861352">
      <w:pPr>
        <w:pStyle w:val="ZUSTzmustartykuempunktem"/>
      </w:pPr>
      <w:r w:rsidRPr="00FB4EA9">
        <w:t>„1. Minister właściwy do spraw energii określi, w drodze rozporządzenia, szczegółowe warunki i sposób wykonania obowiązku mocowego, jego rozliczania i demonstrowania oraz szczegółowe warunki zawierania transakcji na rynku wtórnym, biorąc pod uwagę równoprawne i niedyskryminacyjne traktowanie dostawców mocy, stosowanie poziomu zachęt i kar zapewniających wykonanie obowiązków mocowych, bezpieczeństwo dostaw energii elektrycznej do odbiorców końcowych, sprawne przeprowadzanie transakcji, ograniczenie możliwości manipulacji i nadużywania pozycji rynkowej przez dostawców mocy, a także, w przypadku</w:t>
      </w:r>
      <w:r w:rsidR="00207230">
        <w:t xml:space="preserve"> określania</w:t>
      </w:r>
      <w:r w:rsidRPr="00FB4EA9">
        <w:t xml:space="preserve"> standardu bezpieczeństwa dostaw energii elekt</w:t>
      </w:r>
      <w:r w:rsidR="00207230">
        <w:t>rycznej do odbiorców końcowych</w:t>
      </w:r>
      <w:r w:rsidR="00207230">
        <w:rPr>
          <w:rFonts w:cs="Times"/>
        </w:rPr>
        <w:t>, parametry i informacje przedstawiane przez Prezesa URE na podstawie art. 40a i 40b</w:t>
      </w:r>
      <w:r w:rsidRPr="00FB4EA9">
        <w:t>.”</w:t>
      </w:r>
      <w:r w:rsidR="00AE4BBE">
        <w:t>;</w:t>
      </w:r>
    </w:p>
    <w:p w14:paraId="761A1E47" w14:textId="6B20F856" w:rsidR="00DA29CC" w:rsidRPr="007B4546" w:rsidRDefault="00861352" w:rsidP="00861352">
      <w:pPr>
        <w:pStyle w:val="PKTpunkt"/>
      </w:pPr>
      <w:r>
        <w:t xml:space="preserve">19) </w:t>
      </w:r>
      <w:r w:rsidR="00DA29CC" w:rsidRPr="007B4546">
        <w:t xml:space="preserve">w art. 70 </w:t>
      </w:r>
      <w:r w:rsidR="00AE4BBE">
        <w:t xml:space="preserve">w </w:t>
      </w:r>
      <w:r w:rsidR="00DA29CC" w:rsidRPr="007B4546">
        <w:t>ust. 1 pkt 1 otrzymuje brzmienie:</w:t>
      </w:r>
    </w:p>
    <w:p w14:paraId="63089216" w14:textId="6B2DEDD1" w:rsidR="00DA29CC" w:rsidRPr="004806D1" w:rsidRDefault="00DA29CC" w:rsidP="00DA29CC">
      <w:pPr>
        <w:pStyle w:val="ZUSTzmustartykuempunktem"/>
      </w:pPr>
      <w:r w:rsidRPr="004806D1">
        <w:t>„1) pobierających energię elektryczną w gospodarstwie domowym oraz odbiorców końcowych innych niż odbiorcy pobierający energię elektryczną w gospodarstwie domowym zasilanych z sieci o napięciu znamionowym nie wyższym niż 1 kV i o mocy umownej nie większej niż 16 kW – jako stawkę miesięczną, zależną od rocznego zużycia energii elektrycznej, płatną za punkt poboru energii elektrycznej rozumiany jako punkt w sieci elektroenergetycznej, w którym mierzony jest pobór energii elektrycznej przez układ pomiarowo-rozliczeniowy, określony w umowie o świadczenie usług dystrybucji energii elektrycznej lub w umowie sprzedaży energii elektrycznej, lub w umowie kompleksowej;”</w:t>
      </w:r>
      <w:r w:rsidR="00C631DD">
        <w:t>;</w:t>
      </w:r>
    </w:p>
    <w:p w14:paraId="5AD93F6A" w14:textId="5AE874D9" w:rsidR="00DA29CC" w:rsidRPr="007B4546" w:rsidRDefault="00E63C8B" w:rsidP="00DA29CC">
      <w:pPr>
        <w:pStyle w:val="PKTpunkt"/>
      </w:pPr>
      <w:r>
        <w:t>20</w:t>
      </w:r>
      <w:r w:rsidR="00DA29CC" w:rsidRPr="004D09E4">
        <w:t>)</w:t>
      </w:r>
      <w:r w:rsidR="00DA29CC" w:rsidRPr="004D09E4">
        <w:tab/>
      </w:r>
      <w:r w:rsidR="00DA29CC" w:rsidRPr="007B4546">
        <w:t>w art. 74:</w:t>
      </w:r>
    </w:p>
    <w:p w14:paraId="5B62B526" w14:textId="77777777" w:rsidR="00DA29CC" w:rsidRPr="007B4546" w:rsidRDefault="00DA29CC" w:rsidP="00DA29CC">
      <w:pPr>
        <w:pStyle w:val="LITlitera"/>
      </w:pPr>
      <w:r w:rsidRPr="004D09E4">
        <w:t>a)</w:t>
      </w:r>
      <w:r w:rsidRPr="004D09E4">
        <w:tab/>
      </w:r>
      <w:r w:rsidRPr="007B4546">
        <w:t>po ust. 4 dodaje się ust. 4a w brzmieniu:</w:t>
      </w:r>
    </w:p>
    <w:p w14:paraId="74CC655E" w14:textId="0D26AD78" w:rsidR="00DA29CC" w:rsidRDefault="00DA29CC" w:rsidP="00DA29CC">
      <w:pPr>
        <w:pStyle w:val="ZLITUSTzmustliter"/>
      </w:pPr>
      <w:r w:rsidRPr="00010DBE">
        <w:t>„4a. Prezes URE wybiera godziny doby, o których mowa w ust. 4 pkt 2, biorąc pod uwagę charakter dobowej krzywej zapotrzebowania na moc w systemie.”</w:t>
      </w:r>
      <w:r w:rsidR="00CD7176">
        <w:t>,</w:t>
      </w:r>
    </w:p>
    <w:p w14:paraId="6059BCEF" w14:textId="77777777" w:rsidR="00DA29CC" w:rsidRPr="007B4546" w:rsidRDefault="00DA29CC" w:rsidP="00DA29CC">
      <w:pPr>
        <w:pStyle w:val="LITlitera"/>
      </w:pPr>
      <w:r w:rsidRPr="004D09E4">
        <w:t>b)</w:t>
      </w:r>
      <w:r w:rsidRPr="004D09E4">
        <w:tab/>
      </w:r>
      <w:r w:rsidRPr="007B4546">
        <w:t>w ust. 6 objaśnienie symbolu „Z</w:t>
      </w:r>
      <w:r w:rsidRPr="00A17CAE">
        <w:rPr>
          <w:rStyle w:val="IDindeksdolny"/>
        </w:rPr>
        <w:t>GD</w:t>
      </w:r>
      <w:r w:rsidRPr="007B4546">
        <w:t>” otrzymuje brzmienie:</w:t>
      </w:r>
    </w:p>
    <w:p w14:paraId="6DB20B57" w14:textId="54975E61" w:rsidR="00DA29CC" w:rsidRPr="00010DBE" w:rsidRDefault="00DA29CC" w:rsidP="00DA29CC">
      <w:pPr>
        <w:pStyle w:val="ZLITLEGWMATFIZCHEMzmlegendywzorumatfizlubchemliter"/>
      </w:pPr>
      <w:r>
        <w:t>„Z</w:t>
      </w:r>
      <w:r w:rsidRPr="00A17CAE">
        <w:rPr>
          <w:rStyle w:val="IDindeksdolny"/>
        </w:rPr>
        <w:t>GD</w:t>
      </w:r>
      <w:r>
        <w:t xml:space="preserve"> – roczne zużycie energii elektrycznej w systemie przez odbiorców, o których mowa w art. 70 ust. 1 pkt 1,”</w:t>
      </w:r>
      <w:r w:rsidR="00CD7176">
        <w:t>,</w:t>
      </w:r>
    </w:p>
    <w:p w14:paraId="626A05BC" w14:textId="05BB790C" w:rsidR="00DA29CC" w:rsidRPr="007B4546" w:rsidRDefault="00DA29CC" w:rsidP="00DA29CC">
      <w:pPr>
        <w:pStyle w:val="LITlitera"/>
      </w:pPr>
      <w:r w:rsidRPr="004D09E4">
        <w:t>c)</w:t>
      </w:r>
      <w:r w:rsidRPr="004D09E4">
        <w:tab/>
      </w:r>
      <w:r w:rsidR="00CD7176">
        <w:t>w</w:t>
      </w:r>
      <w:r w:rsidRPr="007B4546">
        <w:t xml:space="preserve"> ust. 7 </w:t>
      </w:r>
      <w:r w:rsidR="00CD7176">
        <w:t xml:space="preserve">wprowadzenie do wyliczenia </w:t>
      </w:r>
      <w:r w:rsidRPr="007B4546">
        <w:t>otrzymuje brzmienie:</w:t>
      </w:r>
    </w:p>
    <w:p w14:paraId="186AE453" w14:textId="4EDBA10F" w:rsidR="00DA29CC" w:rsidRDefault="00DA29CC" w:rsidP="00DA29CC">
      <w:pPr>
        <w:pStyle w:val="ZLITUSTzmustliter"/>
      </w:pPr>
      <w:r>
        <w:t>„</w:t>
      </w:r>
      <w:r w:rsidRPr="00672D3C">
        <w:t>7. Stawki opłaty mocowej dla odbiorców końcowych, o których mowa w art. 70 ust. 1 pkt 1, Prezes URE kalkuluje odrębnie w odniesieniu do odbiorców końcowych, zużywających rocznie:</w:t>
      </w:r>
      <w:r>
        <w:t>”</w:t>
      </w:r>
      <w:r w:rsidR="00CD7176">
        <w:t>,</w:t>
      </w:r>
    </w:p>
    <w:p w14:paraId="57C614A0" w14:textId="77777777" w:rsidR="00DA29CC" w:rsidRPr="007B4546" w:rsidRDefault="00DA29CC" w:rsidP="00DA29CC">
      <w:pPr>
        <w:pStyle w:val="LITlitera"/>
      </w:pPr>
      <w:r w:rsidRPr="004D09E4">
        <w:t>d)</w:t>
      </w:r>
      <w:r w:rsidRPr="004D09E4">
        <w:tab/>
      </w:r>
      <w:r w:rsidRPr="007B4546">
        <w:t>ust. 8 otrzymuje brzmienie:</w:t>
      </w:r>
    </w:p>
    <w:p w14:paraId="65121B1C" w14:textId="5911979A" w:rsidR="00DA29CC" w:rsidRPr="00672D3C" w:rsidRDefault="00DA29CC" w:rsidP="00DA29CC">
      <w:pPr>
        <w:pStyle w:val="ZLITUSTzmustliter"/>
      </w:pPr>
      <w:r>
        <w:t>„</w:t>
      </w:r>
      <w:r w:rsidRPr="00672D3C">
        <w:t xml:space="preserve">8. W celu wyznaczenia odrębnych stawek opłaty mocowej dla </w:t>
      </w:r>
      <w:r>
        <w:t xml:space="preserve"> odbiorców, o których mowa w art. 70 ust. 1 pkt 1</w:t>
      </w:r>
      <w:r w:rsidR="00CD7176">
        <w:t>,</w:t>
      </w:r>
      <w:r w:rsidRPr="00672D3C">
        <w:t xml:space="preserve"> Prezes URE wyznacza stawkę bazową, zgodnie z wzorem:</w:t>
      </w:r>
    </w:p>
    <w:p w14:paraId="02A6EAFA" w14:textId="77777777" w:rsidR="00DA29CC" w:rsidRPr="004D09E4" w:rsidRDefault="00DA29CC" w:rsidP="00DA29CC">
      <w:pPr>
        <w:pStyle w:val="ZLITUSTzmustliter"/>
      </w:pPr>
      <m:oMathPara>
        <m:oMath>
          <m:r>
            <m:rPr>
              <m:sty m:val="p"/>
            </m:rPr>
            <w:rPr>
              <w:rStyle w:val="Kkursywa"/>
              <w:rFonts w:ascii="Cambria Math" w:hAnsi="Cambria Math"/>
            </w:rPr>
            <m:t>S=</m:t>
          </m:r>
          <m:f>
            <m:fPr>
              <m:ctrlPr>
                <w:rPr>
                  <w:rStyle w:val="Kkursywa"/>
                  <w:rFonts w:ascii="Cambria Math" w:hAnsi="Cambria Math"/>
                  <w:i w:val="0"/>
                </w:rPr>
              </m:ctrlPr>
            </m:fPr>
            <m:num>
              <m:sSub>
                <m:sSubPr>
                  <m:ctrlPr>
                    <w:rPr>
                      <w:rStyle w:val="Kkursywa"/>
                      <w:rFonts w:ascii="Cambria Math" w:hAnsi="Cambria Math"/>
                      <w:i w:val="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Style w:val="Kkursywa"/>
                      <w:rFonts w:ascii="Cambria Math" w:hAnsi="Cambria Math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Style w:val="Kkursywa"/>
                      <w:rFonts w:ascii="Cambria Math" w:hAnsi="Cambria Math"/>
                    </w:rPr>
                    <m:t>GD</m:t>
                  </m:r>
                </m:sub>
              </m:sSub>
            </m:num>
            <m:den>
              <m:r>
                <m:rPr>
                  <m:sty m:val="p"/>
                </m:rPr>
                <w:rPr>
                  <w:rStyle w:val="Kkursywa"/>
                  <w:rFonts w:ascii="Cambria Math" w:hAnsi="Cambria Math"/>
                </w:rPr>
                <m:t>0,25∙a+0,6∙b+c+1,4∙d</m:t>
              </m:r>
            </m:den>
          </m:f>
        </m:oMath>
      </m:oMathPara>
    </w:p>
    <w:p w14:paraId="58911837" w14:textId="77777777" w:rsidR="00DA29CC" w:rsidRDefault="00DA29CC" w:rsidP="00DA29CC">
      <w:pPr>
        <w:pStyle w:val="ZLITUSTzmustliter"/>
      </w:pPr>
    </w:p>
    <w:p w14:paraId="515AD3F1" w14:textId="77777777" w:rsidR="00DA29CC" w:rsidRPr="00672D3C" w:rsidRDefault="00DA29CC" w:rsidP="00DA29CC">
      <w:pPr>
        <w:pStyle w:val="ZLITUSTzmustliter"/>
      </w:pPr>
      <w:r w:rsidRPr="00672D3C">
        <w:t>gdzie poszczególne symbole oznaczają:</w:t>
      </w:r>
    </w:p>
    <w:p w14:paraId="2481ACDA" w14:textId="77777777" w:rsidR="00DA29CC" w:rsidRPr="00672D3C" w:rsidRDefault="00DA29CC" w:rsidP="00DA29CC">
      <w:pPr>
        <w:pStyle w:val="ZLITLEGWMATFIZCHEMzmlegendywzorumatfizlubchemliter"/>
      </w:pPr>
      <w:r w:rsidRPr="00672D3C">
        <w:t xml:space="preserve">S – </w:t>
      </w:r>
      <w:r>
        <w:tab/>
      </w:r>
      <w:r w:rsidRPr="00672D3C">
        <w:t>stawkę bazową,</w:t>
      </w:r>
    </w:p>
    <w:p w14:paraId="1DD0FB0B" w14:textId="77777777" w:rsidR="00DA29CC" w:rsidRPr="00672D3C" w:rsidRDefault="00DA29CC" w:rsidP="00DA29CC">
      <w:pPr>
        <w:pStyle w:val="ZLITLEGWMATFIZCHEMzmlegendywzorumatfizlubchemliter"/>
      </w:pPr>
      <w:r w:rsidRPr="00672D3C">
        <w:t>K</w:t>
      </w:r>
      <w:r w:rsidRPr="00A17CAE">
        <w:rPr>
          <w:rStyle w:val="IDindeksdolny"/>
        </w:rPr>
        <w:t>GD</w:t>
      </w:r>
      <w:r w:rsidRPr="00672D3C">
        <w:t xml:space="preserve"> – </w:t>
      </w:r>
      <w:r>
        <w:tab/>
      </w:r>
      <w:r w:rsidRPr="00672D3C">
        <w:t>koszt rynku mocy dla grupy odbiorców</w:t>
      </w:r>
      <w:r>
        <w:t xml:space="preserve"> końcowych</w:t>
      </w:r>
      <w:r w:rsidRPr="00672D3C">
        <w:t>, o której mowa w art. 70 ust. 1 pkt 1,</w:t>
      </w:r>
    </w:p>
    <w:p w14:paraId="753B9249" w14:textId="5EC2C6CB" w:rsidR="00DA29CC" w:rsidRPr="00672D3C" w:rsidRDefault="00DA29CC" w:rsidP="00DA29CC">
      <w:pPr>
        <w:pStyle w:val="ZLITLEGWMATFIZCHEMzmlegendywzorumatfizlubchemliter"/>
      </w:pPr>
      <w:r w:rsidRPr="00672D3C">
        <w:t xml:space="preserve">a – </w:t>
      </w:r>
      <w:r>
        <w:tab/>
      </w:r>
      <w:r w:rsidRPr="00672D3C">
        <w:t>liczbę</w:t>
      </w:r>
      <w:r>
        <w:t xml:space="preserve"> odbiorców końcowych, o których mowa w art. 70 ust. 1 pkt 1</w:t>
      </w:r>
      <w:r w:rsidR="00CD7176">
        <w:t>,</w:t>
      </w:r>
      <w:r w:rsidRPr="00672D3C">
        <w:t xml:space="preserve"> zużywających rocznie poniżej 500 kWh energii elektrycznej,</w:t>
      </w:r>
    </w:p>
    <w:p w14:paraId="0967EAB1" w14:textId="71513A2D" w:rsidR="00DA29CC" w:rsidRPr="00672D3C" w:rsidRDefault="00DA29CC" w:rsidP="00DA29CC">
      <w:pPr>
        <w:pStyle w:val="ZLITLEGWMATFIZCHEMzmlegendywzorumatfizlubchemliter"/>
      </w:pPr>
      <w:r w:rsidRPr="00672D3C">
        <w:t xml:space="preserve">b – </w:t>
      </w:r>
      <w:r>
        <w:tab/>
      </w:r>
      <w:r w:rsidRPr="00672D3C">
        <w:t>liczbę</w:t>
      </w:r>
      <w:r>
        <w:t xml:space="preserve"> odbiorców końcowych, o których mowa w art. 70 ust. 1 pkt 1</w:t>
      </w:r>
      <w:r w:rsidR="00CD7176">
        <w:t>,</w:t>
      </w:r>
      <w:r w:rsidRPr="00672D3C">
        <w:t xml:space="preserve">  zużywających rocznie od 500 kWh do 1200 kWh energii elektrycznej,</w:t>
      </w:r>
    </w:p>
    <w:p w14:paraId="72A338A0" w14:textId="5431C7C8" w:rsidR="00DA29CC" w:rsidRPr="00672D3C" w:rsidRDefault="00DA29CC" w:rsidP="00DA29CC">
      <w:pPr>
        <w:pStyle w:val="ZLITLEGWMATFIZCHEMzmlegendywzorumatfizlubchemliter"/>
      </w:pPr>
      <w:r w:rsidRPr="00672D3C">
        <w:t xml:space="preserve">c – </w:t>
      </w:r>
      <w:r>
        <w:tab/>
      </w:r>
      <w:r w:rsidRPr="00672D3C">
        <w:t>liczbę</w:t>
      </w:r>
      <w:r>
        <w:t xml:space="preserve"> odbiorców końcowych, o których mowa w art. 70 ust. 1 pkt 1</w:t>
      </w:r>
      <w:r w:rsidR="00CD7176">
        <w:t>,</w:t>
      </w:r>
      <w:r w:rsidRPr="00672D3C">
        <w:t xml:space="preserve"> zużywających rocznie powyżej 1200 kWh do 2800 kWh energii elektrycznej,</w:t>
      </w:r>
    </w:p>
    <w:p w14:paraId="7AC05865" w14:textId="06DC8FD3" w:rsidR="00DA29CC" w:rsidRPr="00D77F8E" w:rsidRDefault="00DA29CC" w:rsidP="00DA29CC">
      <w:pPr>
        <w:pStyle w:val="ZLITLEGWMATFIZCHEMzmlegendywzorumatfizlubchemliter"/>
      </w:pPr>
      <w:r w:rsidRPr="00672D3C">
        <w:t xml:space="preserve">d – </w:t>
      </w:r>
      <w:r>
        <w:tab/>
      </w:r>
      <w:r w:rsidRPr="00672D3C">
        <w:t>liczbę</w:t>
      </w:r>
      <w:r>
        <w:t xml:space="preserve"> odbiorców końcowych, o których mowa w art. 70 ust. 1 pkt 1</w:t>
      </w:r>
      <w:r w:rsidR="00CD7176">
        <w:t>,</w:t>
      </w:r>
      <w:r w:rsidRPr="00672D3C">
        <w:t xml:space="preserve"> zu</w:t>
      </w:r>
      <w:r>
        <w:t xml:space="preserve">żywających rocznie powyżej 2800 </w:t>
      </w:r>
      <w:r w:rsidRPr="00D77F8E">
        <w:t>kWh energii elektrycznej.</w:t>
      </w:r>
      <w:r>
        <w:t>”</w:t>
      </w:r>
      <w:r w:rsidR="00CD7176">
        <w:t>,</w:t>
      </w:r>
    </w:p>
    <w:p w14:paraId="400C07B6" w14:textId="45FA365A" w:rsidR="00DA29CC" w:rsidRPr="007B4546" w:rsidRDefault="00DA29CC" w:rsidP="00DA29CC">
      <w:pPr>
        <w:pStyle w:val="LITlitera"/>
      </w:pPr>
      <w:r w:rsidRPr="004D09E4">
        <w:t>e)</w:t>
      </w:r>
      <w:r w:rsidRPr="004D09E4">
        <w:tab/>
      </w:r>
      <w:r w:rsidR="00CD7176">
        <w:t>w</w:t>
      </w:r>
      <w:r w:rsidRPr="007B4546">
        <w:t xml:space="preserve"> ust. 9</w:t>
      </w:r>
      <w:r w:rsidR="00CD7176">
        <w:t xml:space="preserve"> wprowadzenie do wyliczenia</w:t>
      </w:r>
      <w:r w:rsidRPr="007B4546">
        <w:t xml:space="preserve"> otrzymuje brzmienie:</w:t>
      </w:r>
    </w:p>
    <w:p w14:paraId="2890B60C" w14:textId="6DCB33B3" w:rsidR="00DA29CC" w:rsidRPr="00D77F8E" w:rsidRDefault="00DA29CC" w:rsidP="00DA29CC">
      <w:pPr>
        <w:pStyle w:val="ZLITUSTzmustliter"/>
      </w:pPr>
      <w:r>
        <w:t>„</w:t>
      </w:r>
      <w:r w:rsidRPr="00672D3C">
        <w:t>9. Stawki opłaty mocowej dla poszczególnych</w:t>
      </w:r>
      <w:r>
        <w:t xml:space="preserve"> grup odbiorców końcowych, o których mowa w ust. 7 </w:t>
      </w:r>
      <w:r w:rsidRPr="00672D3C">
        <w:t>wynoszą:</w:t>
      </w:r>
      <w:r>
        <w:t>”;</w:t>
      </w:r>
    </w:p>
    <w:p w14:paraId="52A4B789" w14:textId="11DC9A35" w:rsidR="00DA29CC" w:rsidRPr="007B4546" w:rsidRDefault="00DA29CC" w:rsidP="00DA29CC">
      <w:pPr>
        <w:pStyle w:val="PKTpunkt"/>
      </w:pPr>
      <w:r w:rsidRPr="004D09E4">
        <w:t>2</w:t>
      </w:r>
      <w:r w:rsidR="00E63C8B">
        <w:t>1</w:t>
      </w:r>
      <w:r w:rsidRPr="004D09E4">
        <w:t>)</w:t>
      </w:r>
      <w:r w:rsidRPr="004D09E4">
        <w:tab/>
      </w:r>
      <w:r w:rsidRPr="007B4546">
        <w:t>art. 76 otrzymuje brzmienie:</w:t>
      </w:r>
    </w:p>
    <w:p w14:paraId="1421E00F" w14:textId="40DE0E40" w:rsidR="00DA29CC" w:rsidRDefault="00DA29CC" w:rsidP="00DA29CC">
      <w:pPr>
        <w:pStyle w:val="ZARTzmartartykuempunktem"/>
      </w:pPr>
      <w:r w:rsidRPr="00010DBE">
        <w:t>„Art. 76. Minister właściwy do spraw energii określi, w drodze rozporządzenia, szczegółowy sposób pobierania opłaty mocowej, w tym terminy i sposób przekazywania operatorowi środków z tytułu opłaty mocowej, zakres i termin przekazywania operatorowi i płatnikowi opłaty mocowej informacji, w tym informacji o sumie należnych opłat mocowych i okresy rozliczeniowe między odpowiednio operatorem, płatnikami opłaty mocowej i innymi podmiotami zobowiązanymi do wnoszenia opłaty mocowej oraz zakres</w:t>
      </w:r>
      <w:r w:rsidR="00CC5889">
        <w:t xml:space="preserve"> danych</w:t>
      </w:r>
      <w:r w:rsidRPr="00010DBE">
        <w:t xml:space="preserve"> i sposób</w:t>
      </w:r>
      <w:r w:rsidR="00CC5889">
        <w:t xml:space="preserve"> ich</w:t>
      </w:r>
      <w:r w:rsidRPr="00010DBE">
        <w:t xml:space="preserve"> wykorzystania na potrzeby wyznaczania stawek opłaty mocowej, biorąc pod uwagę zapewnienie sprawnego przebiegu procesu pozyskiwania środków z opłaty mocowej oraz dostępne źródła danych i informacji.”;</w:t>
      </w:r>
    </w:p>
    <w:p w14:paraId="729D5864" w14:textId="5F10E211" w:rsidR="00DA29CC" w:rsidRPr="007B4546" w:rsidRDefault="00DA29CC" w:rsidP="00DA29CC">
      <w:pPr>
        <w:pStyle w:val="PKTpunkt"/>
      </w:pPr>
      <w:r w:rsidRPr="004D09E4">
        <w:t>2</w:t>
      </w:r>
      <w:r w:rsidR="00E63C8B">
        <w:t>2</w:t>
      </w:r>
      <w:r w:rsidRPr="004D09E4">
        <w:t>)</w:t>
      </w:r>
      <w:r w:rsidRPr="004D09E4">
        <w:tab/>
      </w:r>
      <w:r w:rsidRPr="007B4546">
        <w:t>w art. 77:</w:t>
      </w:r>
    </w:p>
    <w:p w14:paraId="1954F655" w14:textId="77777777" w:rsidR="00DA29CC" w:rsidRPr="007B4546" w:rsidRDefault="00DA29CC" w:rsidP="00DA29CC">
      <w:pPr>
        <w:pStyle w:val="LITlitera"/>
      </w:pPr>
      <w:r w:rsidRPr="004D09E4">
        <w:t>a)</w:t>
      </w:r>
      <w:r w:rsidRPr="004D09E4">
        <w:tab/>
      </w:r>
      <w:r w:rsidRPr="007B4546">
        <w:t>ust. 1 otrzymuje brzmienie:</w:t>
      </w:r>
    </w:p>
    <w:p w14:paraId="6B7AD40C" w14:textId="46AFC585" w:rsidR="00DA29CC" w:rsidRPr="00CE1C1F" w:rsidRDefault="00DA29CC" w:rsidP="00DA29CC">
      <w:pPr>
        <w:pStyle w:val="ZLITUSTzmustliter"/>
      </w:pPr>
      <w:r w:rsidRPr="00CE1C1F">
        <w:t xml:space="preserve">„1. Środki zgromadzone z tytułu opłaty mocowej, a także zatrzymane zabezpieczenia finansowe i kary, z wyłączeniem kar, o których mowa w art. 85, zwroty wynagrodzenia za wykonywanie obowiązku mocowego, o którym mowa w art. 67 ust. 4, środki pozyskane </w:t>
      </w:r>
      <w:r w:rsidR="00A430A0">
        <w:t xml:space="preserve">na podstawie </w:t>
      </w:r>
      <w:r w:rsidRPr="00CE1C1F">
        <w:t>art. 67a ust. 7, oraz odsetki od tych środków, stanowią własność operatora.”</w:t>
      </w:r>
      <w:r w:rsidR="00A430A0">
        <w:t>,</w:t>
      </w:r>
    </w:p>
    <w:p w14:paraId="6225C0E6" w14:textId="77777777" w:rsidR="00DA29CC" w:rsidRPr="007B4546" w:rsidRDefault="00DA29CC" w:rsidP="00DA29CC">
      <w:pPr>
        <w:pStyle w:val="LITlitera"/>
      </w:pPr>
      <w:r w:rsidRPr="004D09E4">
        <w:t>b)</w:t>
      </w:r>
      <w:r w:rsidRPr="004D09E4">
        <w:tab/>
      </w:r>
      <w:r w:rsidRPr="007B4546">
        <w:t>po ust. 2 dodaje się ust. 2a w brzmieniu:</w:t>
      </w:r>
    </w:p>
    <w:p w14:paraId="5D663129" w14:textId="23164E82" w:rsidR="00DA29CC" w:rsidRDefault="00DA29CC" w:rsidP="00DA29CC">
      <w:pPr>
        <w:pStyle w:val="ZLITUSTzmustliter"/>
      </w:pPr>
      <w:r w:rsidRPr="00010DBE">
        <w:t xml:space="preserve">„2a. W przypadku stosowania mechanizmu podzielonej płatności, o którym mowa w ustawie z dnia 11 marca 2004 r. o podatku od towarów i usług w odniesieniu do wypłaty wynagrodzenia za wykonywanie obowiązków mocowych, przekazywanie kwoty stanowiącej równowartość podatku od towarów i usług, o której mowa w ust. 2, może być realizowane w całości lub w części pomiędzy rachunkiem VAT, w rozumieniu </w:t>
      </w:r>
      <w:r w:rsidR="002C7E0D">
        <w:t xml:space="preserve">art. 2 pkt 37 </w:t>
      </w:r>
      <w:r w:rsidRPr="00010DBE">
        <w:t>wskazanej ustawy, prowadzonym dla operatora i rachunkiem VAT prowadzonym dla rachunku opłaty mocowej.”;</w:t>
      </w:r>
    </w:p>
    <w:p w14:paraId="3478EA88" w14:textId="69291D62" w:rsidR="00DA29CC" w:rsidRPr="007B4546" w:rsidRDefault="00E63C8B" w:rsidP="00DA29CC">
      <w:pPr>
        <w:pStyle w:val="PKTpunkt"/>
      </w:pPr>
      <w:r>
        <w:t>23</w:t>
      </w:r>
      <w:r w:rsidR="00DA29CC" w:rsidRPr="004D09E4">
        <w:t>)</w:t>
      </w:r>
      <w:r w:rsidR="00DA29CC" w:rsidRPr="004D09E4">
        <w:tab/>
      </w:r>
      <w:r w:rsidR="00DA29CC" w:rsidRPr="007B4546">
        <w:t>w art. 83 w pkt 11 na końcu kropkę zastępuje się średnikiem i dodaje się pkt 12 i 13 w brzmieniu:</w:t>
      </w:r>
    </w:p>
    <w:p w14:paraId="1DCA27D1" w14:textId="77777777" w:rsidR="00DA29CC" w:rsidRDefault="00DA29CC" w:rsidP="00DA29CC">
      <w:pPr>
        <w:pStyle w:val="ZPKTzmpktartykuempunktem"/>
      </w:pPr>
      <w:r>
        <w:t>„</w:t>
      </w:r>
      <w:r w:rsidRPr="00285E1E">
        <w:t>12) tryb składania i rozpatrywania wniosków, o których mowa w art. 52a i art. 52b</w:t>
      </w:r>
      <w:r>
        <w:t>;</w:t>
      </w:r>
    </w:p>
    <w:p w14:paraId="6F66508B" w14:textId="77777777" w:rsidR="00DA29CC" w:rsidRDefault="00DA29CC" w:rsidP="00DA29CC">
      <w:pPr>
        <w:pStyle w:val="ZPKTzmpktartykuempunktem"/>
      </w:pPr>
      <w:r w:rsidRPr="0070605B">
        <w:t>1</w:t>
      </w:r>
      <w:r>
        <w:t>3</w:t>
      </w:r>
      <w:r w:rsidRPr="0070605B">
        <w:t>) tryb i termin składania</w:t>
      </w:r>
      <w:r>
        <w:t xml:space="preserve"> oraz weryfikacji</w:t>
      </w:r>
      <w:r w:rsidRPr="0070605B">
        <w:t xml:space="preserve"> oświadczeń, o których mowa w art. 67a</w:t>
      </w:r>
      <w:r>
        <w:t>.”;</w:t>
      </w:r>
    </w:p>
    <w:p w14:paraId="432CD99C" w14:textId="3A3A637A" w:rsidR="00DA29CC" w:rsidRPr="007B4546" w:rsidRDefault="00E63C8B" w:rsidP="00DA29CC">
      <w:pPr>
        <w:pStyle w:val="PKTpunkt"/>
      </w:pPr>
      <w:r>
        <w:t>24</w:t>
      </w:r>
      <w:r w:rsidR="00DA29CC" w:rsidRPr="004D09E4">
        <w:t>)</w:t>
      </w:r>
      <w:r w:rsidR="00DA29CC" w:rsidRPr="004D09E4">
        <w:tab/>
      </w:r>
      <w:r w:rsidR="00DA29CC" w:rsidRPr="007B4546">
        <w:t>w art. 85 w ust. 1 w pkt 5 kropkę zastępuje się średnikiem i dodaje się pkt 6 w brzmieniu:</w:t>
      </w:r>
    </w:p>
    <w:p w14:paraId="2AA50BEA" w14:textId="77777777" w:rsidR="00DA29CC" w:rsidRPr="006619F7" w:rsidRDefault="00DA29CC" w:rsidP="00DA29CC">
      <w:pPr>
        <w:pStyle w:val="ZPKTzmpktartykuempunktem"/>
      </w:pPr>
      <w:r w:rsidRPr="006619F7">
        <w:t>„6) składając oświadczenie, o którym mowa w art. 67a ust. 1, przekazuje dane nieprawdziwe lub niepełne.”;</w:t>
      </w:r>
    </w:p>
    <w:p w14:paraId="18C6EC79" w14:textId="38AAAF65" w:rsidR="00DA29CC" w:rsidRPr="007B4546" w:rsidRDefault="00E63C8B" w:rsidP="00DA29CC">
      <w:pPr>
        <w:pStyle w:val="PKTpunkt"/>
      </w:pPr>
      <w:r>
        <w:t>25</w:t>
      </w:r>
      <w:r w:rsidR="00DA29CC" w:rsidRPr="004D09E4">
        <w:t>)</w:t>
      </w:r>
      <w:r w:rsidR="00DA29CC" w:rsidRPr="004D09E4">
        <w:tab/>
      </w:r>
      <w:r w:rsidR="00DA29CC" w:rsidRPr="007B4546">
        <w:t>po art. 96 dodaje się art. 96a w brzmieniu:</w:t>
      </w:r>
    </w:p>
    <w:p w14:paraId="226A96FB" w14:textId="01223C5A" w:rsidR="00DA29CC" w:rsidRDefault="00DA29CC" w:rsidP="00DA29CC">
      <w:pPr>
        <w:pStyle w:val="ZARTzmartartykuempunktem"/>
      </w:pPr>
      <w:r>
        <w:t>„Art. 96a</w:t>
      </w:r>
      <w:r w:rsidRPr="006F2B87">
        <w:t xml:space="preserve">. </w:t>
      </w:r>
      <w:r>
        <w:t xml:space="preserve">1. </w:t>
      </w:r>
      <w:r w:rsidRPr="006F2B87">
        <w:t xml:space="preserve">Na potrzeby certyfikacji do aukcji </w:t>
      </w:r>
      <w:r>
        <w:t xml:space="preserve">dodatkowych </w:t>
      </w:r>
      <w:r w:rsidRPr="006F2B87">
        <w:t xml:space="preserve">na okresy dostaw </w:t>
      </w:r>
      <w:r>
        <w:t>przypadające na lata 2022 – 2024 oraz pierwszy i drugi kwartał roku 2025,</w:t>
      </w:r>
      <w:r w:rsidRPr="006F2B87">
        <w:t xml:space="preserve"> </w:t>
      </w:r>
      <w:r>
        <w:t>art. 15 ust. 6 nie stosuje się.</w:t>
      </w:r>
    </w:p>
    <w:p w14:paraId="6E2ED76C" w14:textId="631A45C9" w:rsidR="00DA29CC" w:rsidRPr="00EA6B57" w:rsidRDefault="00DA29CC" w:rsidP="00DA29CC">
      <w:pPr>
        <w:pStyle w:val="ZUSTzmustartykuempunktem"/>
      </w:pPr>
      <w:r>
        <w:t>2</w:t>
      </w:r>
      <w:r w:rsidRPr="00EC4376">
        <w:t xml:space="preserve">. </w:t>
      </w:r>
      <w:r w:rsidR="00E42751">
        <w:t>D</w:t>
      </w:r>
      <w:r w:rsidRPr="00EC4376">
        <w:t xml:space="preserve">o jednostki redukcji zapotrzebowania planowanej wchodzącej w skład jednostki rynku mocy redukcji zapotrzebowania, objętej umową mocową zawartą </w:t>
      </w:r>
      <w:r>
        <w:t>nie później niż</w:t>
      </w:r>
      <w:r w:rsidRPr="00EC4376">
        <w:t xml:space="preserve"> 31 grudnia 2019 r.</w:t>
      </w:r>
      <w:r w:rsidR="00E42751">
        <w:t xml:space="preserve">, </w:t>
      </w:r>
      <w:r w:rsidR="00E42751" w:rsidRPr="00E42751">
        <w:t>art. 16 ust. 5 nie stosuje się</w:t>
      </w:r>
      <w:r w:rsidR="00E42751">
        <w:t>.</w:t>
      </w:r>
    </w:p>
    <w:p w14:paraId="160B4BF0" w14:textId="14526E2C" w:rsidR="00DA29CC" w:rsidRDefault="00DA29CC" w:rsidP="00DA29CC">
      <w:pPr>
        <w:pStyle w:val="ZUSTzmustartykuempunktem"/>
      </w:pPr>
      <w:r>
        <w:t>3. Na potrzeby umów mocowych zawartych nie później niż w dniu 31 grudnia 2019</w:t>
      </w:r>
      <w:r w:rsidR="00E42751">
        <w:t> </w:t>
      </w:r>
      <w:r>
        <w:t xml:space="preserve">r. w wyniku aukcji </w:t>
      </w:r>
      <w:r w:rsidRPr="008B5D52">
        <w:t xml:space="preserve">głównych, </w:t>
      </w:r>
      <w:r>
        <w:t>art. 52 ust. 2 pkt 3 lit. ba nie stosuje się.”</w:t>
      </w:r>
      <w:r w:rsidR="00E42751">
        <w:t>;</w:t>
      </w:r>
    </w:p>
    <w:p w14:paraId="6119DDBB" w14:textId="36021E70" w:rsidR="00DA29CC" w:rsidRPr="007B4546" w:rsidRDefault="00BC6504" w:rsidP="00DA29CC">
      <w:pPr>
        <w:pStyle w:val="PKTpunkt"/>
      </w:pPr>
      <w:r w:rsidRPr="004D09E4">
        <w:t>2</w:t>
      </w:r>
      <w:r w:rsidR="00E63C8B">
        <w:t>6</w:t>
      </w:r>
      <w:r w:rsidR="00DA29CC" w:rsidRPr="004D09E4">
        <w:t>)</w:t>
      </w:r>
      <w:r w:rsidR="00DA29CC" w:rsidRPr="004D09E4">
        <w:tab/>
      </w:r>
      <w:r w:rsidR="00DA29CC" w:rsidRPr="007B4546">
        <w:t>w art. 99:</w:t>
      </w:r>
    </w:p>
    <w:p w14:paraId="385C47B8" w14:textId="77777777" w:rsidR="00DA29CC" w:rsidRPr="007B4546" w:rsidRDefault="00DA29CC" w:rsidP="00DA29CC">
      <w:pPr>
        <w:pStyle w:val="LITlitera"/>
      </w:pPr>
      <w:r w:rsidRPr="004D09E4">
        <w:t>a)</w:t>
      </w:r>
      <w:r w:rsidRPr="004D09E4">
        <w:tab/>
      </w:r>
      <w:r w:rsidRPr="007B4546">
        <w:t>ust. 1 otrzymuje brzmienie:</w:t>
      </w:r>
    </w:p>
    <w:p w14:paraId="47383031" w14:textId="21FB15C8" w:rsidR="00DA29CC" w:rsidRDefault="00DA29CC" w:rsidP="00DA29CC">
      <w:pPr>
        <w:pStyle w:val="ZLITUSTzmustliter"/>
      </w:pPr>
      <w:r>
        <w:t>„1. Opłatę mocową pobiera się od dnia 1 stycznia 2021 r.”</w:t>
      </w:r>
      <w:r w:rsidR="00BC6504">
        <w:t>,</w:t>
      </w:r>
    </w:p>
    <w:p w14:paraId="519D932E" w14:textId="28AA11C3" w:rsidR="00DA29CC" w:rsidRPr="007B4546" w:rsidRDefault="00DA29CC" w:rsidP="00DA29CC">
      <w:pPr>
        <w:pStyle w:val="LITlitera"/>
      </w:pPr>
      <w:r w:rsidRPr="004D09E4">
        <w:t>b)</w:t>
      </w:r>
      <w:r w:rsidRPr="004D09E4">
        <w:tab/>
      </w:r>
      <w:r w:rsidR="00BC6504">
        <w:t>uchyla się ust. 2</w:t>
      </w:r>
      <w:r w:rsidR="00AE4BBE">
        <w:t>.</w:t>
      </w:r>
    </w:p>
    <w:p w14:paraId="7534B5BD" w14:textId="421FFFB8" w:rsidR="00DA29CC" w:rsidRPr="00D61E25" w:rsidRDefault="008A317B" w:rsidP="008A317B">
      <w:pPr>
        <w:pStyle w:val="ARTartustawynprozporzdzenia"/>
      </w:pPr>
      <w:r w:rsidRPr="004D09E4" w:rsidDel="008A317B">
        <w:t xml:space="preserve"> </w:t>
      </w:r>
      <w:r w:rsidRPr="008A317B">
        <w:rPr>
          <w:rStyle w:val="Ppogrubienie"/>
        </w:rPr>
        <w:t>Art. 2.</w:t>
      </w:r>
      <w:r>
        <w:tab/>
      </w:r>
      <w:r w:rsidR="00DA29CC" w:rsidRPr="00D61E25">
        <w:t>Okres obowiązywania umów mocowych zawartych w wyniku aukcji głównej na rok dostaw 2025, dotyczących jednostek rynku mocy, dla których we wniosku</w:t>
      </w:r>
      <w:r w:rsidR="00DA29CC">
        <w:t xml:space="preserve"> o certyfikację</w:t>
      </w:r>
      <w:r w:rsidR="00DA29CC" w:rsidRPr="00D61E25">
        <w:t xml:space="preserve"> </w:t>
      </w:r>
      <w:r w:rsidR="00DA29CC">
        <w:t xml:space="preserve">nie </w:t>
      </w:r>
      <w:r w:rsidR="00DA29CC" w:rsidRPr="00D61E25">
        <w:t>złożono oświadczeni</w:t>
      </w:r>
      <w:r w:rsidR="00DA29CC">
        <w:t>a</w:t>
      </w:r>
      <w:r w:rsidR="00DA29CC" w:rsidRPr="00D61E25">
        <w:t xml:space="preserve"> o planowanym spełnieniu limitu emisji, skraca się do dnia 30 czerwca 2025 r. </w:t>
      </w:r>
      <w:r w:rsidR="00DA29CC">
        <w:t>S</w:t>
      </w:r>
      <w:r w:rsidR="00DA29CC" w:rsidRPr="00D61E25">
        <w:t>krócony okres obowiązywania umów mocowych, o których mowa w zdaniu poprzedzającym</w:t>
      </w:r>
      <w:r w:rsidR="00DA29CC">
        <w:t>,  uwzględniany jest przez operatora i Prezesa U</w:t>
      </w:r>
      <w:r w:rsidR="00B263EB">
        <w:t xml:space="preserve">rzędu </w:t>
      </w:r>
      <w:r w:rsidR="00DA29CC">
        <w:t>R</w:t>
      </w:r>
      <w:r w:rsidR="00B263EB">
        <w:t xml:space="preserve">egulacji </w:t>
      </w:r>
      <w:r w:rsidR="00DA29CC">
        <w:t>E</w:t>
      </w:r>
      <w:r w:rsidR="00B263EB">
        <w:t>nergetyki</w:t>
      </w:r>
      <w:r w:rsidR="00DA29CC">
        <w:t xml:space="preserve"> odpowiednio w ogłoszeniu o wstępnych i ostatecznych wynikach aukcji głównej na rok dostaw 2025</w:t>
      </w:r>
      <w:r w:rsidR="00DA29CC" w:rsidRPr="00D61E25">
        <w:t xml:space="preserve">. </w:t>
      </w:r>
    </w:p>
    <w:p w14:paraId="022D0CAC" w14:textId="45C50683" w:rsidR="00DA29CC" w:rsidRDefault="008A317B" w:rsidP="008A317B">
      <w:pPr>
        <w:pStyle w:val="ARTartustawynprozporzdzenia"/>
      </w:pPr>
      <w:r w:rsidRPr="008A317B">
        <w:rPr>
          <w:rStyle w:val="Ppogrubienie"/>
        </w:rPr>
        <w:t>Art. 3.</w:t>
      </w:r>
      <w:r>
        <w:tab/>
      </w:r>
      <w:r w:rsidR="00DA29CC">
        <w:t xml:space="preserve">Przepis art. 48 ust. 2 pkt 2 lit. f </w:t>
      </w:r>
      <w:r w:rsidR="00B263EB">
        <w:t>ustawy zmienianej w art. 1</w:t>
      </w:r>
      <w:r w:rsidR="00AE4BBE">
        <w:t>,</w:t>
      </w:r>
      <w:r w:rsidR="00451631">
        <w:t xml:space="preserve"> </w:t>
      </w:r>
      <w:r w:rsidR="00DA29CC">
        <w:t xml:space="preserve">stosuje się </w:t>
      </w:r>
      <w:r>
        <w:t xml:space="preserve">po raz pierwszy </w:t>
      </w:r>
      <w:r w:rsidR="00DA29CC">
        <w:t>do obowiązków mocowych obejmujących okres przypadający po dniu 30 czerwca 2025</w:t>
      </w:r>
      <w:r>
        <w:t> </w:t>
      </w:r>
      <w:r w:rsidR="00DA29CC">
        <w:t>r.</w:t>
      </w:r>
    </w:p>
    <w:p w14:paraId="154BE373" w14:textId="32979B58" w:rsidR="00DA29CC" w:rsidRPr="0033528D" w:rsidRDefault="008A317B" w:rsidP="008A317B">
      <w:pPr>
        <w:pStyle w:val="ARTartustawynprozporzdzenia"/>
      </w:pPr>
      <w:r w:rsidRPr="008A317B">
        <w:rPr>
          <w:rStyle w:val="Ppogrubienie"/>
        </w:rPr>
        <w:t>Art. 4.</w:t>
      </w:r>
      <w:r w:rsidRPr="008A317B">
        <w:rPr>
          <w:rStyle w:val="Ppogrubienie"/>
        </w:rPr>
        <w:tab/>
      </w:r>
      <w:r w:rsidR="00DA29CC" w:rsidRPr="00D61E25">
        <w:t xml:space="preserve">Przepis art. 67a </w:t>
      </w:r>
      <w:r w:rsidR="00B263EB">
        <w:t>ustawy zmienianej w art. 1</w:t>
      </w:r>
      <w:r w:rsidR="00AE4BBE">
        <w:t>,</w:t>
      </w:r>
      <w:r w:rsidR="00B263EB">
        <w:t xml:space="preserve"> </w:t>
      </w:r>
      <w:r w:rsidR="00DA29CC" w:rsidRPr="00D61E25">
        <w:t xml:space="preserve">stosuje się </w:t>
      </w:r>
      <w:r>
        <w:t>po raz pierwszy</w:t>
      </w:r>
      <w:r w:rsidRPr="00D61E25">
        <w:t xml:space="preserve"> </w:t>
      </w:r>
      <w:r>
        <w:t>do</w:t>
      </w:r>
      <w:r w:rsidRPr="00D61E25">
        <w:t xml:space="preserve"> </w:t>
      </w:r>
      <w:r w:rsidR="00DA29CC" w:rsidRPr="00D61E25">
        <w:t>roku dostaw 2025, przy czym w odniesieniu do roku dostaw 2025 zwrot lub brak wypłaty wynagrodzenia, o których mowa w art. 67a ust. 7 pkt 3 i 4</w:t>
      </w:r>
      <w:r w:rsidR="00B263EB">
        <w:t xml:space="preserve"> tej ustawy</w:t>
      </w:r>
      <w:r w:rsidR="00DA29CC" w:rsidRPr="00D61E25">
        <w:t>, dotyczy wyłącznie wynagrodzenia należnego za wykonywanie obowiązku mocowego w okresie od dnia 1 lipca 2025 r. do dnia 31 grudnia 2025 r.</w:t>
      </w:r>
    </w:p>
    <w:p w14:paraId="1B6178C4" w14:textId="06ECCF43" w:rsidR="00DA29CC" w:rsidRDefault="00DA29CC" w:rsidP="00DA29CC">
      <w:pPr>
        <w:pStyle w:val="ARTartustawynprozporzdzenia"/>
      </w:pPr>
      <w:r w:rsidRPr="00176244">
        <w:rPr>
          <w:rStyle w:val="Ppogrubienie"/>
        </w:rPr>
        <w:t xml:space="preserve">Art. </w:t>
      </w:r>
      <w:r w:rsidR="008A317B">
        <w:rPr>
          <w:rStyle w:val="Ppogrubienie"/>
        </w:rPr>
        <w:t>5</w:t>
      </w:r>
      <w:r w:rsidRPr="00176244">
        <w:rPr>
          <w:rStyle w:val="Ppogrubienie"/>
        </w:rPr>
        <w:t>.</w:t>
      </w:r>
      <w:r w:rsidRPr="004D09E4">
        <w:t xml:space="preserve"> </w:t>
      </w:r>
      <w:bookmarkStart w:id="2" w:name="_Hlk38969915"/>
      <w:r w:rsidRPr="00DC7256">
        <w:t>Prezes U</w:t>
      </w:r>
      <w:r w:rsidR="00B263EB">
        <w:t xml:space="preserve">rzędu </w:t>
      </w:r>
      <w:r w:rsidRPr="00DC7256">
        <w:t>R</w:t>
      </w:r>
      <w:r w:rsidR="00B263EB">
        <w:t xml:space="preserve">egulacji </w:t>
      </w:r>
      <w:r w:rsidRPr="00DC7256">
        <w:t>E</w:t>
      </w:r>
      <w:r w:rsidR="00B263EB">
        <w:t>nergetyki</w:t>
      </w:r>
      <w:r w:rsidRPr="00DC7256">
        <w:t xml:space="preserve"> po raz pierwszy przekazuje ministrowi właściwemu do spraw energii  propozycję parametrów</w:t>
      </w:r>
      <w:r w:rsidR="00B263EB">
        <w:t xml:space="preserve"> </w:t>
      </w:r>
      <w:r w:rsidR="00451631">
        <w:t>na podstawie</w:t>
      </w:r>
      <w:r w:rsidR="00B263EB">
        <w:t xml:space="preserve"> a</w:t>
      </w:r>
      <w:r w:rsidR="00451631">
        <w:t xml:space="preserve">rt. </w:t>
      </w:r>
      <w:r>
        <w:t>33a ustawy</w:t>
      </w:r>
      <w:r w:rsidRPr="00F515D4">
        <w:t xml:space="preserve"> </w:t>
      </w:r>
      <w:r w:rsidRPr="00965830">
        <w:t xml:space="preserve">zmienianej w art. 1, w brzmieniu nadanym niniejszą ustawą, </w:t>
      </w:r>
      <w:r>
        <w:t>w terminie 14 dni od dnia wejścia w życie niniejszej ustawy</w:t>
      </w:r>
      <w:bookmarkEnd w:id="2"/>
      <w:r>
        <w:t>.</w:t>
      </w:r>
    </w:p>
    <w:p w14:paraId="0562B459" w14:textId="1A801CE5" w:rsidR="00DA29CC" w:rsidRPr="008D2379" w:rsidRDefault="00DA29CC" w:rsidP="00DA29CC">
      <w:pPr>
        <w:pStyle w:val="ARTartustawynprozporzdzenia"/>
      </w:pPr>
      <w:r w:rsidRPr="00176244">
        <w:rPr>
          <w:rStyle w:val="Ppogrubienie"/>
        </w:rPr>
        <w:t xml:space="preserve">Art. </w:t>
      </w:r>
      <w:r w:rsidR="00B263EB">
        <w:rPr>
          <w:rStyle w:val="Ppogrubienie"/>
        </w:rPr>
        <w:t>6</w:t>
      </w:r>
      <w:r w:rsidRPr="00176244">
        <w:rPr>
          <w:rStyle w:val="Ppogrubienie"/>
        </w:rPr>
        <w:t>.</w:t>
      </w:r>
      <w:r w:rsidRPr="004D09E4">
        <w:t xml:space="preserve"> </w:t>
      </w:r>
      <w:r w:rsidRPr="008D2379">
        <w:t>Prezes U</w:t>
      </w:r>
      <w:r w:rsidR="00B263EB">
        <w:t xml:space="preserve">rzędu </w:t>
      </w:r>
      <w:r w:rsidRPr="008D2379">
        <w:t>R</w:t>
      </w:r>
      <w:r w:rsidR="00B263EB">
        <w:t xml:space="preserve">egulacji </w:t>
      </w:r>
      <w:r w:rsidRPr="008D2379">
        <w:t>E</w:t>
      </w:r>
      <w:r w:rsidR="00B263EB">
        <w:t>nergetyki</w:t>
      </w:r>
      <w:r w:rsidRPr="008D2379">
        <w:t xml:space="preserve"> oblicza </w:t>
      </w:r>
      <w:r>
        <w:t xml:space="preserve">stawki opłaty mocowej na rok dostaw 2021 </w:t>
      </w:r>
      <w:r w:rsidRPr="008D2379">
        <w:t>i ogłasza j</w:t>
      </w:r>
      <w:r>
        <w:t>e</w:t>
      </w:r>
      <w:r w:rsidRPr="008D2379">
        <w:t xml:space="preserve"> w Biuletynie Informacji Publicznej na swoje</w:t>
      </w:r>
      <w:r>
        <w:t>j stronie podmiotowej, do dnia 3</w:t>
      </w:r>
      <w:r w:rsidR="00B01FA7">
        <w:t>0</w:t>
      </w:r>
      <w:r>
        <w:t xml:space="preserve"> </w:t>
      </w:r>
      <w:r w:rsidR="00B01FA7">
        <w:t xml:space="preserve">listopada </w:t>
      </w:r>
      <w:r>
        <w:t>2020 r.</w:t>
      </w:r>
    </w:p>
    <w:p w14:paraId="36AD7633" w14:textId="05485E7F" w:rsidR="00DA29CC" w:rsidRDefault="00DA29CC" w:rsidP="00DA29CC">
      <w:pPr>
        <w:pStyle w:val="ARTartustawynprozporzdzenia"/>
      </w:pPr>
      <w:r w:rsidRPr="00176244">
        <w:rPr>
          <w:rStyle w:val="Ppogrubienie"/>
        </w:rPr>
        <w:t xml:space="preserve">Art. </w:t>
      </w:r>
      <w:r w:rsidR="002C1332">
        <w:rPr>
          <w:rStyle w:val="Ppogrubienie"/>
        </w:rPr>
        <w:t>7</w:t>
      </w:r>
      <w:r w:rsidRPr="00176244">
        <w:rPr>
          <w:rStyle w:val="Ppogrubienie"/>
        </w:rPr>
        <w:t>.</w:t>
      </w:r>
      <w:r w:rsidRPr="004D09E4">
        <w:t xml:space="preserve"> </w:t>
      </w:r>
      <w:r w:rsidRPr="00285E1E">
        <w:t>Przepis</w:t>
      </w:r>
      <w:r>
        <w:t xml:space="preserve"> art. 47 ust. 2 i 3,</w:t>
      </w:r>
      <w:r w:rsidRPr="00285E1E">
        <w:t xml:space="preserve"> art. 52a, art. 52b ustawy zmienianej w art. 1, w brzmieniu nadanym niniejszą ustawą, stosuje się także do umów mocowych zawartych przed dniem wejścia w życie niniejszej ustawy.</w:t>
      </w:r>
    </w:p>
    <w:p w14:paraId="379C6163" w14:textId="553D10CE" w:rsidR="00DA29CC" w:rsidRPr="00AF18F2" w:rsidRDefault="00DA29CC" w:rsidP="00DA29CC">
      <w:pPr>
        <w:pStyle w:val="ARTartustawynprozporzdzenia"/>
      </w:pPr>
      <w:r w:rsidRPr="00176244">
        <w:rPr>
          <w:rStyle w:val="Ppogrubienie"/>
        </w:rPr>
        <w:t xml:space="preserve">Art. </w:t>
      </w:r>
      <w:r w:rsidR="002C1332">
        <w:rPr>
          <w:rStyle w:val="Ppogrubienie"/>
        </w:rPr>
        <w:t>8</w:t>
      </w:r>
      <w:r w:rsidRPr="00176244">
        <w:rPr>
          <w:rStyle w:val="Ppogrubienie"/>
        </w:rPr>
        <w:t>.</w:t>
      </w:r>
      <w:r>
        <w:t xml:space="preserve"> </w:t>
      </w:r>
      <w:bookmarkStart w:id="3" w:name="_Hlk38972177"/>
      <w:r w:rsidRPr="00AF18F2">
        <w:t>1. Operator przedłoży Prezesowi U</w:t>
      </w:r>
      <w:r w:rsidR="002C1332">
        <w:t xml:space="preserve">rzędu </w:t>
      </w:r>
      <w:r w:rsidRPr="00AF18F2">
        <w:t>R</w:t>
      </w:r>
      <w:r w:rsidR="002C1332">
        <w:t xml:space="preserve">egulacji </w:t>
      </w:r>
      <w:r w:rsidRPr="00AF18F2">
        <w:t>E</w:t>
      </w:r>
      <w:r w:rsidR="002C1332">
        <w:t>nergetyki</w:t>
      </w:r>
      <w:r w:rsidRPr="00AF18F2">
        <w:t xml:space="preserve"> do zatwierdzenia, projekt zmiany regulaminu rynku mocy, o którym mowa w art. 83</w:t>
      </w:r>
      <w:r>
        <w:t xml:space="preserve"> ustawy zmienianej w art. 1,</w:t>
      </w:r>
      <w:r w:rsidRPr="00AF18F2">
        <w:t xml:space="preserve"> w terminie 60 dni od dnia wejścia w życie </w:t>
      </w:r>
      <w:r>
        <w:t xml:space="preserve">niniejszej </w:t>
      </w:r>
      <w:r w:rsidRPr="00AF18F2">
        <w:t>ustawy.</w:t>
      </w:r>
    </w:p>
    <w:p w14:paraId="0550EB29" w14:textId="6A63F302" w:rsidR="00DA29CC" w:rsidRDefault="00DA29CC" w:rsidP="00DA29CC">
      <w:pPr>
        <w:pStyle w:val="ARTartustawynprozporzdzenia"/>
      </w:pPr>
      <w:r w:rsidRPr="00AF18F2">
        <w:t>2. Prezes U</w:t>
      </w:r>
      <w:r w:rsidR="0044031F">
        <w:t xml:space="preserve">rzędu </w:t>
      </w:r>
      <w:r w:rsidRPr="00AF18F2">
        <w:t>R</w:t>
      </w:r>
      <w:r w:rsidR="0044031F">
        <w:t xml:space="preserve">egulacji </w:t>
      </w:r>
      <w:r w:rsidRPr="00AF18F2">
        <w:t>E</w:t>
      </w:r>
      <w:r w:rsidR="0044031F">
        <w:t>nergetyki</w:t>
      </w:r>
      <w:r w:rsidRPr="00AF18F2">
        <w:t>, w uzgodnieniu z ministrem właściwym do spraw energii, wydaje decyzję w sprawie zatwierdzenia zmiany regulaminu rynku mocy, o którym mowa w art. 83</w:t>
      </w:r>
      <w:r>
        <w:t xml:space="preserve"> ustawy zmienianej w art. 1</w:t>
      </w:r>
      <w:r w:rsidRPr="00AF18F2">
        <w:t xml:space="preserve">, w terminie 30 dni od dnia przedłożenia przez operatora projektu regulaminu rynku mocy. Przepisy art. 84 </w:t>
      </w:r>
      <w:r>
        <w:t xml:space="preserve">ustawy zmienianej w art. 1, </w:t>
      </w:r>
      <w:r w:rsidRPr="00AF18F2">
        <w:t>stosuje się odpowiednio.</w:t>
      </w:r>
    </w:p>
    <w:p w14:paraId="19ACEEFD" w14:textId="3155A0EB" w:rsidR="00884AE3" w:rsidRDefault="00884AE3" w:rsidP="00DA29CC">
      <w:pPr>
        <w:pStyle w:val="ARTartustawynprozporzdzenia"/>
      </w:pPr>
      <w:r w:rsidRPr="00451631">
        <w:rPr>
          <w:b/>
        </w:rPr>
        <w:t>Art. 9.</w:t>
      </w:r>
      <w:r w:rsidR="00451631">
        <w:rPr>
          <w:b/>
        </w:rPr>
        <w:t xml:space="preserve"> </w:t>
      </w:r>
      <w:r w:rsidRPr="00884AE3">
        <w:t xml:space="preserve">Dotychczasowe przepisy wykonawcze wydane na podstawie art. </w:t>
      </w:r>
      <w:r>
        <w:t>34</w:t>
      </w:r>
      <w:r w:rsidRPr="00884AE3">
        <w:t xml:space="preserve"> ustawy zmienianej w art. 1, zachowują moc do dnia wejścia w życie przepisów wykonawczych wydanych na podstawie art. </w:t>
      </w:r>
      <w:r>
        <w:t>34</w:t>
      </w:r>
      <w:r w:rsidRPr="00884AE3">
        <w:t xml:space="preserve"> ustawy zmienianej w art. 1, w brz</w:t>
      </w:r>
      <w:r>
        <w:t>mieniu nadanym niniejszą ustawą</w:t>
      </w:r>
      <w:r w:rsidR="00246549">
        <w:t xml:space="preserve">, nie dłużej niż </w:t>
      </w:r>
      <w:r w:rsidR="007D0FC7">
        <w:t>36</w:t>
      </w:r>
      <w:r w:rsidR="00246549">
        <w:t xml:space="preserve"> miesi</w:t>
      </w:r>
      <w:r w:rsidR="007D0FC7">
        <w:t>ęcy</w:t>
      </w:r>
    </w:p>
    <w:p w14:paraId="346CE864" w14:textId="1F782BC0" w:rsidR="00F47B59" w:rsidRDefault="00F47B59" w:rsidP="00DA29CC">
      <w:pPr>
        <w:pStyle w:val="ARTartustawynprozporzdzenia"/>
      </w:pPr>
      <w:r w:rsidRPr="00451631">
        <w:rPr>
          <w:b/>
        </w:rPr>
        <w:t xml:space="preserve">Art. </w:t>
      </w:r>
      <w:r w:rsidR="00884AE3" w:rsidRPr="00451631">
        <w:rPr>
          <w:b/>
        </w:rPr>
        <w:t>10</w:t>
      </w:r>
      <w:r w:rsidR="00451631" w:rsidRPr="00451631">
        <w:rPr>
          <w:b/>
        </w:rPr>
        <w:t>.</w:t>
      </w:r>
      <w:r>
        <w:t xml:space="preserve"> </w:t>
      </w:r>
      <w:r w:rsidRPr="00F47B59">
        <w:t xml:space="preserve">Dotychczasowe przepisy wykonawcze wydane na podstawie art. </w:t>
      </w:r>
      <w:r>
        <w:t>68</w:t>
      </w:r>
      <w:r w:rsidRPr="00F47B59">
        <w:t xml:space="preserve"> ustawy zmienianej w art. </w:t>
      </w:r>
      <w:r>
        <w:t xml:space="preserve">1, </w:t>
      </w:r>
      <w:r w:rsidRPr="00F47B59">
        <w:t xml:space="preserve">zachowują moc do dnia wejścia w życie przepisów wykonawczych wydanych na podstawie art. </w:t>
      </w:r>
      <w:r>
        <w:t>68</w:t>
      </w:r>
      <w:r w:rsidRPr="00F47B59">
        <w:t xml:space="preserve"> ustawy zmienianej w art. </w:t>
      </w:r>
      <w:r>
        <w:t>1</w:t>
      </w:r>
      <w:r w:rsidRPr="00F47B59">
        <w:t xml:space="preserve">, w brzmieniu nadanym niniejszą ustawą, jednak nie dłużej niż </w:t>
      </w:r>
      <w:r>
        <w:t>36 miesięcy i mogą być zmieniane</w:t>
      </w:r>
      <w:r w:rsidR="00884AE3">
        <w:t>.</w:t>
      </w:r>
    </w:p>
    <w:bookmarkEnd w:id="3"/>
    <w:p w14:paraId="0C5A2F5B" w14:textId="1D2EFAD2" w:rsidR="00645DC3" w:rsidRDefault="00DA29CC" w:rsidP="00DA29CC">
      <w:pPr>
        <w:pStyle w:val="ARTartustawynprozporzdzenia"/>
      </w:pPr>
      <w:r w:rsidRPr="00176244">
        <w:rPr>
          <w:rStyle w:val="Ppogrubienie"/>
        </w:rPr>
        <w:t xml:space="preserve">Art. </w:t>
      </w:r>
      <w:r w:rsidR="0044031F">
        <w:rPr>
          <w:rStyle w:val="Ppogrubienie"/>
        </w:rPr>
        <w:t>1</w:t>
      </w:r>
      <w:r w:rsidR="00884AE3">
        <w:rPr>
          <w:rStyle w:val="Ppogrubienie"/>
        </w:rPr>
        <w:t>1</w:t>
      </w:r>
      <w:r w:rsidRPr="00176244">
        <w:rPr>
          <w:rStyle w:val="Ppogrubienie"/>
        </w:rPr>
        <w:t>.</w:t>
      </w:r>
      <w:r>
        <w:t xml:space="preserve"> Ustawa wchodzi w życie po upływie 14 dni od dnia ogłoszenia.</w:t>
      </w:r>
    </w:p>
    <w:p w14:paraId="2E590064" w14:textId="2770B55A" w:rsidR="003C056A" w:rsidRDefault="003C056A" w:rsidP="00DA29CC">
      <w:pPr>
        <w:pStyle w:val="ARTartustawynprozporzdzenia"/>
      </w:pPr>
    </w:p>
    <w:p w14:paraId="29E9F9F0" w14:textId="10264787" w:rsidR="003C056A" w:rsidRDefault="003C056A" w:rsidP="00DA29CC">
      <w:pPr>
        <w:pStyle w:val="ARTartustawynprozporzdzenia"/>
      </w:pPr>
    </w:p>
    <w:p w14:paraId="07CC13AE" w14:textId="77777777" w:rsidR="003C056A" w:rsidRDefault="003C056A" w:rsidP="003C056A">
      <w:pPr>
        <w:pStyle w:val="ARTartustawynprozporzdzenia"/>
        <w:spacing w:before="0" w:line="240" w:lineRule="auto"/>
        <w:ind w:firstLine="0"/>
      </w:pPr>
      <w:r>
        <w:t>Za zgodność pod względem prawnym, legislacyjnym i redakcyjnym</w:t>
      </w:r>
    </w:p>
    <w:p w14:paraId="3B1BBCD3" w14:textId="77777777" w:rsidR="003C056A" w:rsidRDefault="003C056A" w:rsidP="003C056A">
      <w:pPr>
        <w:pStyle w:val="ARTartustawynprozporzdzenia"/>
        <w:spacing w:before="0" w:line="240" w:lineRule="auto"/>
        <w:ind w:firstLine="0"/>
      </w:pPr>
      <w:r>
        <w:t>Dyrektor Departamentu Prawnego</w:t>
      </w:r>
    </w:p>
    <w:p w14:paraId="3227B07D" w14:textId="77777777" w:rsidR="003C056A" w:rsidRDefault="003C056A" w:rsidP="003C056A">
      <w:pPr>
        <w:pStyle w:val="ARTartustawynprozporzdzenia"/>
        <w:spacing w:before="0" w:line="240" w:lineRule="auto"/>
        <w:ind w:firstLine="0"/>
      </w:pPr>
      <w:r>
        <w:t>w Ministerstwie Klimatu</w:t>
      </w:r>
    </w:p>
    <w:p w14:paraId="37AA69FA" w14:textId="77777777" w:rsidR="003C056A" w:rsidRDefault="003C056A" w:rsidP="003C056A">
      <w:pPr>
        <w:pStyle w:val="ARTartustawynprozporzdzenia"/>
        <w:spacing w:before="0" w:line="240" w:lineRule="auto"/>
        <w:ind w:firstLine="0"/>
      </w:pPr>
      <w:r>
        <w:t>Anna Kozińska-Żywar</w:t>
      </w:r>
    </w:p>
    <w:p w14:paraId="2792C9A1" w14:textId="1FB06900" w:rsidR="003C056A" w:rsidRDefault="003C056A" w:rsidP="003C056A">
      <w:pPr>
        <w:pStyle w:val="ARTartustawynprozporzdzenia"/>
        <w:spacing w:before="0" w:line="240" w:lineRule="auto"/>
        <w:ind w:firstLine="0"/>
      </w:pPr>
      <w:r>
        <w:t>(- podpisano kwalifikowanym podpisem elektronicznym)</w:t>
      </w:r>
    </w:p>
    <w:p w14:paraId="5B5D55CA" w14:textId="26B11ECB" w:rsidR="003C056A" w:rsidRDefault="003C056A" w:rsidP="00DA29CC">
      <w:pPr>
        <w:pStyle w:val="ARTartustawynprozporzdzenia"/>
      </w:pPr>
    </w:p>
    <w:p w14:paraId="73F7279C" w14:textId="77777777" w:rsidR="003C056A" w:rsidRDefault="003C056A" w:rsidP="00DA29CC">
      <w:pPr>
        <w:pStyle w:val="ARTartustawynprozporzdzenia"/>
      </w:pPr>
    </w:p>
    <w:sectPr w:rsidR="003C056A" w:rsidSect="00CD7176">
      <w:headerReference w:type="default" r:id="rId7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068FE9" w14:textId="77777777" w:rsidR="00290AB0" w:rsidRDefault="00290AB0" w:rsidP="00DA29CC">
      <w:pPr>
        <w:spacing w:line="240" w:lineRule="auto"/>
      </w:pPr>
      <w:r>
        <w:separator/>
      </w:r>
    </w:p>
  </w:endnote>
  <w:endnote w:type="continuationSeparator" w:id="0">
    <w:p w14:paraId="61268875" w14:textId="77777777" w:rsidR="00290AB0" w:rsidRDefault="00290AB0" w:rsidP="00DA29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AB38EF" w14:textId="77777777" w:rsidR="00290AB0" w:rsidRDefault="00290AB0" w:rsidP="00DA29CC">
      <w:pPr>
        <w:spacing w:line="240" w:lineRule="auto"/>
      </w:pPr>
      <w:r>
        <w:separator/>
      </w:r>
    </w:p>
  </w:footnote>
  <w:footnote w:type="continuationSeparator" w:id="0">
    <w:p w14:paraId="18E91E35" w14:textId="77777777" w:rsidR="00290AB0" w:rsidRDefault="00290AB0" w:rsidP="00DA29CC">
      <w:pPr>
        <w:spacing w:line="240" w:lineRule="auto"/>
      </w:pPr>
      <w:r>
        <w:continuationSeparator/>
      </w:r>
    </w:p>
  </w:footnote>
  <w:footnote w:id="1">
    <w:p w14:paraId="6676147E" w14:textId="6CAD149F" w:rsidR="00CD7176" w:rsidRPr="00464323" w:rsidRDefault="00CD7176" w:rsidP="00DA29CC">
      <w:pPr>
        <w:pStyle w:val="ODNONIKtreodnonika"/>
      </w:pPr>
      <w:r w:rsidRPr="00464323">
        <w:rPr>
          <w:rStyle w:val="Odwoanieprzypisudolnego"/>
          <w:rFonts w:ascii="Arial" w:hAnsi="Arial"/>
          <w:sz w:val="18"/>
          <w:szCs w:val="18"/>
        </w:rPr>
        <w:footnoteRef/>
      </w:r>
      <w:r w:rsidRPr="00464323">
        <w:rPr>
          <w:vertAlign w:val="superscript"/>
        </w:rPr>
        <w:t xml:space="preserve">) </w:t>
      </w:r>
      <w:r>
        <w:rPr>
          <w:vertAlign w:val="superscript"/>
        </w:rPr>
        <w:t xml:space="preserve">   </w:t>
      </w:r>
      <w:r w:rsidRPr="00464323">
        <w:t xml:space="preserve">Niniejsza ustawa </w:t>
      </w:r>
      <w:r w:rsidRPr="0091743F">
        <w:t>służy stosowaniu</w:t>
      </w:r>
      <w:r w:rsidRPr="00464323">
        <w:t xml:space="preserve"> rozporządzenia Parlamentu Europejskiego i Rady (UE) 2019/943 z dnia 5 czerwca 2019 r. w sprawie wewnętrznego rynku energii elektrycznej (Dz. Urz. UE L 158 z 14</w:t>
      </w:r>
      <w:r>
        <w:t>.06.</w:t>
      </w:r>
      <w:r w:rsidRPr="00464323">
        <w:t xml:space="preserve"> 2019 r.</w:t>
      </w:r>
      <w:r>
        <w:t>,</w:t>
      </w:r>
      <w:r w:rsidRPr="00464323">
        <w:t xml:space="preserve"> str. 54).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F7D5E8" w14:textId="18C419A1" w:rsidR="00CD7176" w:rsidRPr="00B371CC" w:rsidRDefault="00CD7176" w:rsidP="00CD7176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621C6F"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4069CF"/>
    <w:multiLevelType w:val="hybridMultilevel"/>
    <w:tmpl w:val="E39A24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CC"/>
    <w:rsid w:val="00005A37"/>
    <w:rsid w:val="0002099B"/>
    <w:rsid w:val="000B3A3A"/>
    <w:rsid w:val="000B6617"/>
    <w:rsid w:val="000E0267"/>
    <w:rsid w:val="000E77E9"/>
    <w:rsid w:val="000F381F"/>
    <w:rsid w:val="00102BF4"/>
    <w:rsid w:val="00122A99"/>
    <w:rsid w:val="001373E2"/>
    <w:rsid w:val="00155858"/>
    <w:rsid w:val="00157449"/>
    <w:rsid w:val="00191BE3"/>
    <w:rsid w:val="001B3FD0"/>
    <w:rsid w:val="00202008"/>
    <w:rsid w:val="00207230"/>
    <w:rsid w:val="00222E40"/>
    <w:rsid w:val="0023166F"/>
    <w:rsid w:val="00246549"/>
    <w:rsid w:val="00265A52"/>
    <w:rsid w:val="00287F6A"/>
    <w:rsid w:val="00290AB0"/>
    <w:rsid w:val="002C1332"/>
    <w:rsid w:val="002C7E0D"/>
    <w:rsid w:val="002D59C2"/>
    <w:rsid w:val="002F1834"/>
    <w:rsid w:val="002F1ECA"/>
    <w:rsid w:val="002F257D"/>
    <w:rsid w:val="003004BC"/>
    <w:rsid w:val="00310C54"/>
    <w:rsid w:val="00331E49"/>
    <w:rsid w:val="0034633C"/>
    <w:rsid w:val="003C056A"/>
    <w:rsid w:val="003C093C"/>
    <w:rsid w:val="003D377A"/>
    <w:rsid w:val="003F6C8A"/>
    <w:rsid w:val="00423648"/>
    <w:rsid w:val="00435522"/>
    <w:rsid w:val="0044031F"/>
    <w:rsid w:val="00451631"/>
    <w:rsid w:val="00471F0E"/>
    <w:rsid w:val="00481921"/>
    <w:rsid w:val="0048250F"/>
    <w:rsid w:val="00487275"/>
    <w:rsid w:val="00492B8E"/>
    <w:rsid w:val="00495C11"/>
    <w:rsid w:val="00495CD1"/>
    <w:rsid w:val="004C123A"/>
    <w:rsid w:val="004E42F3"/>
    <w:rsid w:val="00510EDC"/>
    <w:rsid w:val="00521F1D"/>
    <w:rsid w:val="00535A8B"/>
    <w:rsid w:val="005B0BDE"/>
    <w:rsid w:val="005D2C2B"/>
    <w:rsid w:val="00621C6F"/>
    <w:rsid w:val="0063569C"/>
    <w:rsid w:val="00645DC3"/>
    <w:rsid w:val="006E2E22"/>
    <w:rsid w:val="007735BA"/>
    <w:rsid w:val="007B39EA"/>
    <w:rsid w:val="007D0FC7"/>
    <w:rsid w:val="007D263F"/>
    <w:rsid w:val="007D7FFA"/>
    <w:rsid w:val="007E4D8A"/>
    <w:rsid w:val="008009C7"/>
    <w:rsid w:val="008249BE"/>
    <w:rsid w:val="00852D96"/>
    <w:rsid w:val="00853582"/>
    <w:rsid w:val="00861352"/>
    <w:rsid w:val="00884AE3"/>
    <w:rsid w:val="008A2079"/>
    <w:rsid w:val="008A317B"/>
    <w:rsid w:val="009011D0"/>
    <w:rsid w:val="00910388"/>
    <w:rsid w:val="00910F71"/>
    <w:rsid w:val="009138EB"/>
    <w:rsid w:val="00967280"/>
    <w:rsid w:val="009B3DEE"/>
    <w:rsid w:val="009F0479"/>
    <w:rsid w:val="00A01F6B"/>
    <w:rsid w:val="00A05C2F"/>
    <w:rsid w:val="00A10F24"/>
    <w:rsid w:val="00A17135"/>
    <w:rsid w:val="00A3559F"/>
    <w:rsid w:val="00A430A0"/>
    <w:rsid w:val="00A5006D"/>
    <w:rsid w:val="00A860C1"/>
    <w:rsid w:val="00A956FA"/>
    <w:rsid w:val="00AA2D3A"/>
    <w:rsid w:val="00AE4BBE"/>
    <w:rsid w:val="00B01FA7"/>
    <w:rsid w:val="00B05F1C"/>
    <w:rsid w:val="00B1402B"/>
    <w:rsid w:val="00B2180B"/>
    <w:rsid w:val="00B227E2"/>
    <w:rsid w:val="00B263EB"/>
    <w:rsid w:val="00B91A09"/>
    <w:rsid w:val="00B97EA3"/>
    <w:rsid w:val="00BA19A7"/>
    <w:rsid w:val="00BB3413"/>
    <w:rsid w:val="00BC1337"/>
    <w:rsid w:val="00BC6504"/>
    <w:rsid w:val="00C442E2"/>
    <w:rsid w:val="00C631DD"/>
    <w:rsid w:val="00C83AEF"/>
    <w:rsid w:val="00C84248"/>
    <w:rsid w:val="00CA15E1"/>
    <w:rsid w:val="00CC5889"/>
    <w:rsid w:val="00CD6612"/>
    <w:rsid w:val="00CD7176"/>
    <w:rsid w:val="00CE288B"/>
    <w:rsid w:val="00CF0AB4"/>
    <w:rsid w:val="00D23F7B"/>
    <w:rsid w:val="00D76308"/>
    <w:rsid w:val="00D849DA"/>
    <w:rsid w:val="00DA29CC"/>
    <w:rsid w:val="00DB7553"/>
    <w:rsid w:val="00DC29E6"/>
    <w:rsid w:val="00DD1AF3"/>
    <w:rsid w:val="00E42751"/>
    <w:rsid w:val="00E46153"/>
    <w:rsid w:val="00E46859"/>
    <w:rsid w:val="00E63C8B"/>
    <w:rsid w:val="00EA5C01"/>
    <w:rsid w:val="00EA7C8A"/>
    <w:rsid w:val="00F31B16"/>
    <w:rsid w:val="00F47B59"/>
    <w:rsid w:val="00F60C06"/>
    <w:rsid w:val="00FB4EA9"/>
    <w:rsid w:val="00FE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3D7A7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9CC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rsid w:val="002F1834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WERSALIKW">
    <w:name w:val="_BEZ_WERSALIKÓW_"/>
    <w:basedOn w:val="Domylnaczcionkaakapitu"/>
    <w:uiPriority w:val="4"/>
    <w:qFormat/>
    <w:rsid w:val="002F1834"/>
    <w:rPr>
      <w:caps/>
    </w:rPr>
  </w:style>
  <w:style w:type="character" w:customStyle="1" w:styleId="IDindeksdolny">
    <w:name w:val="_ID_ – indeks dolny"/>
    <w:basedOn w:val="Domylnaczcionkaakapitu"/>
    <w:uiPriority w:val="3"/>
    <w:qFormat/>
    <w:rsid w:val="002F1834"/>
    <w:rPr>
      <w:b w:val="0"/>
      <w:i w:val="0"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2F1834"/>
    <w:rPr>
      <w:i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2F1834"/>
    <w:rPr>
      <w:b/>
      <w:vanish w:val="0"/>
      <w:spacing w:val="0"/>
      <w:vertAlign w:val="sub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2F1834"/>
    <w:rPr>
      <w:b/>
      <w:i/>
      <w:vanish w:val="0"/>
      <w:spacing w:val="0"/>
      <w:vertAlign w:val="subscript"/>
    </w:rPr>
  </w:style>
  <w:style w:type="character" w:customStyle="1" w:styleId="IGindeksgrny">
    <w:name w:val="_IG_ – indeks górny"/>
    <w:basedOn w:val="Domylnaczcionkaakapitu"/>
    <w:uiPriority w:val="2"/>
    <w:qFormat/>
    <w:rsid w:val="002F1834"/>
    <w:rPr>
      <w:b w:val="0"/>
      <w:i w:val="0"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2F1834"/>
    <w:rPr>
      <w:i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2F1834"/>
    <w:rPr>
      <w:b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2F1834"/>
    <w:rPr>
      <w:b/>
      <w:i/>
      <w:vanish w:val="0"/>
      <w:spacing w:val="0"/>
      <w:vertAlign w:val="superscript"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2F1834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2F1834"/>
    <w:rPr>
      <w:b w:val="0"/>
      <w:i w:val="0"/>
      <w:vanish w:val="0"/>
      <w:spacing w:val="0"/>
      <w:position w:val="6"/>
      <w:vertAlign w:val="superscript"/>
    </w:rPr>
  </w:style>
  <w:style w:type="character" w:customStyle="1" w:styleId="Kkursywa">
    <w:name w:val="_K_ – kursywa"/>
    <w:basedOn w:val="Domylnaczcionkaakapitu"/>
    <w:uiPriority w:val="1"/>
    <w:qFormat/>
    <w:rsid w:val="002F1834"/>
    <w:rPr>
      <w:i/>
    </w:rPr>
  </w:style>
  <w:style w:type="character" w:customStyle="1" w:styleId="Ppogrubienie">
    <w:name w:val="_P_ – pogrubienie"/>
    <w:basedOn w:val="Domylnaczcionkaakapitu"/>
    <w:uiPriority w:val="1"/>
    <w:qFormat/>
    <w:rsid w:val="002F1834"/>
    <w:rPr>
      <w:b/>
    </w:rPr>
  </w:style>
  <w:style w:type="character" w:customStyle="1" w:styleId="PKpogrubieniekursywa">
    <w:name w:val="_P_K_ – pogrubienie kursywa"/>
    <w:basedOn w:val="Domylnaczcionkaakapitu"/>
    <w:uiPriority w:val="1"/>
    <w:qFormat/>
    <w:rsid w:val="002F1834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2F1834"/>
    <w:rPr>
      <w:vanish w:val="0"/>
      <w:color w:val="FF0000"/>
      <w:u w:val="single" w:color="FF0000"/>
    </w:rPr>
  </w:style>
  <w:style w:type="paragraph" w:customStyle="1" w:styleId="PKTpunkt">
    <w:name w:val="PKT – punkt"/>
    <w:uiPriority w:val="13"/>
    <w:qFormat/>
    <w:rsid w:val="002F1834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2F1834"/>
    <w:pPr>
      <w:ind w:left="986" w:hanging="476"/>
    </w:pPr>
  </w:style>
  <w:style w:type="paragraph" w:customStyle="1" w:styleId="TIRtiret">
    <w:name w:val="TIR – tiret"/>
    <w:basedOn w:val="LITlitera"/>
    <w:uiPriority w:val="15"/>
    <w:qFormat/>
    <w:rsid w:val="002F1834"/>
    <w:pPr>
      <w:ind w:left="1384" w:hanging="397"/>
    </w:pPr>
  </w:style>
  <w:style w:type="paragraph" w:customStyle="1" w:styleId="2TIRpodwjnytiret">
    <w:name w:val="2TIR – podwójny tiret"/>
    <w:basedOn w:val="TIRtiret"/>
    <w:uiPriority w:val="73"/>
    <w:qFormat/>
    <w:rsid w:val="002F1834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2F1834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styleId="Bezodstpw">
    <w:name w:val="No Spacing"/>
    <w:uiPriority w:val="99"/>
    <w:rsid w:val="002F1834"/>
    <w:pPr>
      <w:widowControl w:val="0"/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2F1834"/>
    <w:pPr>
      <w:spacing w:before="0"/>
    </w:pPr>
    <w:rPr>
      <w:bCs/>
    </w:r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2F1834"/>
    <w:pPr>
      <w:ind w:left="510" w:right="510" w:firstLine="0"/>
      <w:mirrorIndents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2F1834"/>
    <w:pPr>
      <w:ind w:left="987" w:firstLine="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2F1834"/>
    <w:pPr>
      <w:ind w:left="1780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2F1834"/>
    <w:pPr>
      <w:ind w:left="510" w:firstLine="0"/>
    </w:pPr>
    <w:rPr>
      <w:szCs w:val="24"/>
    </w:rPr>
  </w:style>
  <w:style w:type="paragraph" w:customStyle="1" w:styleId="ODNONIKtreodnonika">
    <w:name w:val="ODNOŚNIK – treść odnośnika"/>
    <w:uiPriority w:val="19"/>
    <w:qFormat/>
    <w:rsid w:val="002F1834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PKTODNONIKApunktodnonika">
    <w:name w:val="PKT_ODNOŚNIKA – punkt odnośnika"/>
    <w:basedOn w:val="ODNONIKtreodnonika"/>
    <w:uiPriority w:val="19"/>
    <w:qFormat/>
    <w:rsid w:val="002F1834"/>
    <w:pPr>
      <w:ind w:left="568"/>
    </w:p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2F1834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2F1834"/>
    <w:pPr>
      <w:ind w:left="567" w:firstLine="0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2F1834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2F1834"/>
    <w:pPr>
      <w:ind w:left="0" w:firstLine="0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2F1834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2F1834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2F1834"/>
    <w:pPr>
      <w:ind w:left="1191"/>
    </w:p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2F1834"/>
    <w:pPr>
      <w:ind w:left="0" w:firstLine="0"/>
    </w:p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2F1834"/>
    <w:pPr>
      <w:ind w:left="284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2F1834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2F1834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2F1834"/>
    <w:pPr>
      <w:ind w:left="-510" w:firstLine="0"/>
    </w:p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2F1834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caps/>
      <w:kern w:val="24"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Normalny"/>
    <w:uiPriority w:val="6"/>
    <w:qFormat/>
    <w:rsid w:val="002F1834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2F1834"/>
    <w:pPr>
      <w:ind w:left="-510"/>
    </w:pPr>
  </w:style>
  <w:style w:type="paragraph" w:customStyle="1" w:styleId="WMATFIZCHEMwzrmatfizlubchem">
    <w:name w:val="W_MAT(FIZ|CHEM) – wzór mat. (fiz. lub chem.)"/>
    <w:uiPriority w:val="18"/>
    <w:qFormat/>
    <w:rsid w:val="002F1834"/>
    <w:pPr>
      <w:spacing w:after="0" w:line="360" w:lineRule="auto"/>
      <w:jc w:val="center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2F1834"/>
    <w:pPr>
      <w:ind w:left="1304" w:hanging="794"/>
      <w:jc w:val="both"/>
    </w:pPr>
  </w:style>
  <w:style w:type="paragraph" w:styleId="Nagwek">
    <w:name w:val="header"/>
    <w:basedOn w:val="Normalny"/>
    <w:link w:val="NagwekZnak"/>
    <w:uiPriority w:val="99"/>
    <w:semiHidden/>
    <w:rsid w:val="002F1834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2F1834"/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9"/>
    <w:rsid w:val="002F1834"/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2F1834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2F1834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2F1834"/>
    <w:pPr>
      <w:ind w:left="0" w:right="4820"/>
      <w:jc w:val="left"/>
    </w:p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2F1834"/>
    <w:rPr>
      <w:bCs/>
    </w:rPr>
  </w:style>
  <w:style w:type="paragraph" w:customStyle="1" w:styleId="NOTATKILEGISLATORA">
    <w:name w:val="NOTATKI_LEGISLATORA"/>
    <w:basedOn w:val="Normalny"/>
    <w:uiPriority w:val="5"/>
    <w:qFormat/>
    <w:rsid w:val="002F1834"/>
    <w:rPr>
      <w:b/>
      <w:i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F1834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character" w:styleId="Odwoaniedokomentarza">
    <w:name w:val="annotation reference"/>
    <w:basedOn w:val="Domylnaczcionkaakapitu"/>
    <w:uiPriority w:val="99"/>
    <w:semiHidden/>
    <w:rsid w:val="002F1834"/>
    <w:rPr>
      <w:sz w:val="16"/>
      <w:szCs w:val="16"/>
    </w:rPr>
  </w:style>
  <w:style w:type="character" w:styleId="Odwoanieprzypisudolnego">
    <w:name w:val="footnote reference"/>
    <w:uiPriority w:val="99"/>
    <w:semiHidden/>
    <w:rsid w:val="002F1834"/>
    <w:rPr>
      <w:rFonts w:cs="Times New Roman"/>
      <w:vertAlign w:val="superscript"/>
    </w:rPr>
  </w:style>
  <w:style w:type="paragraph" w:customStyle="1" w:styleId="OZNPARAFYADNOTACJE">
    <w:name w:val="OZN_PARAFY(ADNOTACJE)"/>
    <w:basedOn w:val="ODNONIKtreodnonika"/>
    <w:uiPriority w:val="26"/>
    <w:qFormat/>
    <w:rsid w:val="002F1834"/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2F1834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2F1834"/>
    <w:pPr>
      <w:keepNext/>
    </w:pPr>
    <w:rPr>
      <w:b/>
      <w:u w:val="none"/>
    </w:r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2F1834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2F1834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2F1834"/>
    <w:pPr>
      <w:ind w:left="1588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2F1834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Arial"/>
      <w:bCs/>
      <w:kern w:val="24"/>
      <w:sz w:val="24"/>
      <w:szCs w:val="24"/>
      <w:lang w:eastAsia="pl-PL"/>
    </w:r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2F1834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2F1834"/>
    <w:pPr>
      <w:ind w:left="510" w:firstLine="0"/>
    </w:pPr>
  </w:style>
  <w:style w:type="paragraph" w:styleId="Stopka">
    <w:name w:val="footer"/>
    <w:basedOn w:val="Normalny"/>
    <w:link w:val="StopkaZnak"/>
    <w:uiPriority w:val="99"/>
    <w:semiHidden/>
    <w:rsid w:val="002F1834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2F1834"/>
    <w:rPr>
      <w:rFonts w:ascii="Times" w:eastAsia="Times New Roman" w:hAnsi="Times" w:cs="Times New Roman"/>
      <w:kern w:val="1"/>
      <w:sz w:val="24"/>
      <w:szCs w:val="24"/>
      <w:lang w:eastAsia="ar-SA"/>
    </w:rPr>
  </w:style>
  <w:style w:type="table" w:customStyle="1" w:styleId="TABELA1zszablonu">
    <w:name w:val="TABELA 1 z szablonu"/>
    <w:basedOn w:val="Tabela-Siatka"/>
    <w:uiPriority w:val="99"/>
    <w:rsid w:val="002F1834"/>
    <w:rPr>
      <w:rFonts w:ascii="Times" w:eastAsia="Times New Roman" w:hAnsi="Times" w:cs="Times New Roman"/>
      <w:sz w:val="24"/>
      <w:szCs w:val="24"/>
      <w:lang w:eastAsia="pl-PL"/>
    </w:rPr>
    <w:tblPr>
      <w:jc w:val="center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styleId="Tabela-Siatka">
    <w:name w:val="Table Grid"/>
    <w:basedOn w:val="Standardowy"/>
    <w:uiPriority w:val="39"/>
    <w:rsid w:val="002F1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2zszablonu">
    <w:name w:val="TABELA 2 z szablonu"/>
    <w:basedOn w:val="Tabela-Elegancki"/>
    <w:uiPriority w:val="99"/>
    <w:rsid w:val="002F1834"/>
    <w:pPr>
      <w:spacing w:line="240" w:lineRule="auto"/>
    </w:pPr>
    <w:rPr>
      <w:rFonts w:ascii="Times" w:eastAsia="Times New Roman" w:hAnsi="Times" w:cs="Times New Roman"/>
      <w:sz w:val="24"/>
      <w:szCs w:val="24"/>
      <w:lang w:eastAsia="pl-PL"/>
    </w:rPr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styleId="Tabela-Elegancki">
    <w:name w:val="Table Elegant"/>
    <w:basedOn w:val="Standardowy"/>
    <w:uiPriority w:val="99"/>
    <w:semiHidden/>
    <w:unhideWhenUsed/>
    <w:rsid w:val="002F1834"/>
    <w:pPr>
      <w:widowControl w:val="0"/>
      <w:autoSpaceDE w:val="0"/>
      <w:autoSpaceDN w:val="0"/>
      <w:adjustRightInd w:val="0"/>
      <w:spacing w:after="0" w:line="360" w:lineRule="auto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3zszablonu">
    <w:name w:val="TABELA 3 z szablonu"/>
    <w:basedOn w:val="TABELA2zszablonu"/>
    <w:uiPriority w:val="99"/>
    <w:rsid w:val="002F1834"/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2F1834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2F1834"/>
    <w:rPr>
      <w:rFonts w:ascii="Tahoma" w:eastAsia="Times New Roman" w:hAnsi="Tahoma" w:cs="Tahoma"/>
      <w:kern w:val="1"/>
      <w:sz w:val="24"/>
      <w:szCs w:val="16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rsid w:val="002F1834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1834"/>
    <w:rPr>
      <w:rFonts w:ascii="Times" w:eastAsia="Times New Roman" w:hAnsi="Times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2F1834"/>
    <w:rPr>
      <w:color w:val="808080"/>
    </w:r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2F1834"/>
    <w:pPr>
      <w:ind w:left="-510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2F1834"/>
    <w:pPr>
      <w:spacing w:after="0" w:line="360" w:lineRule="auto"/>
    </w:pPr>
    <w:rPr>
      <w:rFonts w:ascii="Times New Roman" w:eastAsiaTheme="minorEastAsia" w:hAnsi="Times New Roman" w:cs="Arial"/>
      <w:b/>
      <w:sz w:val="24"/>
      <w:szCs w:val="20"/>
      <w:lang w:eastAsia="pl-PL"/>
    </w:rPr>
  </w:style>
  <w:style w:type="paragraph" w:customStyle="1" w:styleId="TEKSTZacznikido">
    <w:name w:val="TEKST&quot;Załącznik(i) do ...&quot;"/>
    <w:uiPriority w:val="28"/>
    <w:qFormat/>
    <w:rsid w:val="002F1834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2F1834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2F1834"/>
    <w:pPr>
      <w:widowControl/>
      <w:suppressAutoHyphens/>
      <w:jc w:val="center"/>
    </w:pPr>
    <w:rPr>
      <w:rFonts w:ascii="Times" w:hAnsi="Times"/>
      <w:bCs/>
      <w:kern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F18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1834"/>
    <w:rPr>
      <w:rFonts w:ascii="Times" w:eastAsia="Times New Roman" w:hAnsi="Times" w:cs="Times New Roman"/>
      <w:b/>
      <w:bCs/>
      <w:sz w:val="24"/>
      <w:szCs w:val="24"/>
      <w:lang w:eastAsia="pl-PL"/>
    </w:rPr>
  </w:style>
  <w:style w:type="paragraph" w:customStyle="1" w:styleId="TYTDZOZNoznaczenietytuulubdziau">
    <w:name w:val="TYT(DZ)_OZN – oznaczenie tytułu lub działu"/>
    <w:next w:val="Normalny"/>
    <w:uiPriority w:val="9"/>
    <w:qFormat/>
    <w:rsid w:val="002F1834"/>
    <w:pPr>
      <w:keepNext/>
      <w:spacing w:before="120" w:after="0" w:line="360" w:lineRule="auto"/>
      <w:jc w:val="center"/>
    </w:pPr>
    <w:rPr>
      <w:rFonts w:ascii="Times" w:eastAsiaTheme="minorEastAsia" w:hAnsi="Times" w:cs="Arial"/>
      <w:bCs/>
      <w:caps/>
      <w:kern w:val="24"/>
      <w:sz w:val="24"/>
      <w:szCs w:val="24"/>
      <w:lang w:eastAsia="pl-PL"/>
    </w:rPr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2F1834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sz w:val="24"/>
      <w:szCs w:val="26"/>
      <w:lang w:eastAsia="pl-PL"/>
    </w:rPr>
  </w:style>
  <w:style w:type="paragraph" w:customStyle="1" w:styleId="TYTTABELItytutabeli">
    <w:name w:val="TYT_TABELI – tytuł tabeli"/>
    <w:basedOn w:val="TYTDZOZNoznaczenietytuulubdziau"/>
    <w:uiPriority w:val="22"/>
    <w:qFormat/>
    <w:rsid w:val="002F1834"/>
    <w:rPr>
      <w:b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2F1834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2F1834"/>
    <w:pPr>
      <w:ind w:left="-51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2F1834"/>
    <w:pPr>
      <w:ind w:left="907"/>
    </w:pPr>
  </w:style>
  <w:style w:type="paragraph" w:customStyle="1" w:styleId="Z2TIRwPKTzmpodwtirwpktartykuempunktem">
    <w:name w:val="Z/2TIR_w_PKT – zm. podw. tir. w pkt artykułem (punktem)"/>
    <w:basedOn w:val="TIRtiret"/>
    <w:next w:val="Normalny"/>
    <w:uiPriority w:val="74"/>
    <w:qFormat/>
    <w:rsid w:val="002F1834"/>
    <w:pPr>
      <w:ind w:left="2291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2F1834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2F1834"/>
    <w:pPr>
      <w:ind w:left="1304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2F1834"/>
    <w:pPr>
      <w:spacing w:before="0"/>
      <w:ind w:left="510"/>
    </w:pPr>
  </w:style>
  <w:style w:type="paragraph" w:customStyle="1" w:styleId="ZCYTzmcytatunpprzysigiartykuempunktem">
    <w:name w:val="Z/CYT – zm. cytatu np. przysięgi artykułem (punktem)"/>
    <w:basedOn w:val="CYTcytatnpprzysigi"/>
    <w:next w:val="Normalny"/>
    <w:uiPriority w:val="37"/>
    <w:qFormat/>
    <w:rsid w:val="002F1834"/>
    <w:pPr>
      <w:ind w:left="1021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2F1834"/>
    <w:pPr>
      <w:ind w:left="51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2F1834"/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Normalny"/>
    <w:uiPriority w:val="75"/>
    <w:qFormat/>
    <w:rsid w:val="002F1834"/>
    <w:pPr>
      <w:ind w:left="1383" w:firstLine="0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Normalny"/>
    <w:uiPriority w:val="75"/>
    <w:qFormat/>
    <w:rsid w:val="002F1834"/>
    <w:pPr>
      <w:ind w:left="1894" w:firstLine="0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2F1834"/>
    <w:pPr>
      <w:ind w:left="907" w:firstLine="0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2F1834"/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2F1834"/>
    <w:pPr>
      <w:spacing w:line="360" w:lineRule="auto"/>
      <w:ind w:left="907" w:hanging="397"/>
    </w:pPr>
    <w:rPr>
      <w:sz w:val="24"/>
    </w:r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2F1834"/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2F1834"/>
    <w:pPr>
      <w:ind w:left="510" w:firstLine="0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2F1834"/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2F1834"/>
    <w:pPr>
      <w:ind w:left="1021"/>
    </w:pPr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2F1834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2F1834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2F1834"/>
    <w:pPr>
      <w:ind w:left="1304"/>
    </w:pPr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2F1834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Normalny"/>
    <w:uiPriority w:val="36"/>
    <w:qFormat/>
    <w:rsid w:val="002F1834"/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Normalny"/>
    <w:uiPriority w:val="36"/>
    <w:qFormat/>
    <w:rsid w:val="002F1834"/>
    <w:pPr>
      <w:ind w:left="1497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2F1834"/>
    <w:pPr>
      <w:ind w:left="510"/>
    </w:pPr>
    <w:rPr>
      <w:b w:val="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2F1834"/>
    <w:pPr>
      <w:ind w:firstLine="0"/>
    </w:pPr>
    <w:rPr>
      <w:rFonts w:ascii="Times New Roman" w:hAnsi="Times New Roman"/>
    </w:r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2F1834"/>
    <w:pPr>
      <w:ind w:left="1815"/>
    </w:pPr>
  </w:style>
  <w:style w:type="paragraph" w:customStyle="1" w:styleId="ZLITzmlitartykuempunktem">
    <w:name w:val="Z/LIT – zm. lit. artykułem (punktem)"/>
    <w:basedOn w:val="LITlitera"/>
    <w:uiPriority w:val="32"/>
    <w:qFormat/>
    <w:rsid w:val="002F1834"/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2F1834"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2F1834"/>
    <w:pPr>
      <w:ind w:left="1497"/>
    </w:pPr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2F1834"/>
    <w:pPr>
      <w:ind w:left="1304"/>
    </w:p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2F1834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2F1834"/>
    <w:pPr>
      <w:ind w:left="1701"/>
    </w:p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2F1834"/>
    <w:pPr>
      <w:ind w:left="510"/>
    </w:pPr>
  </w:style>
  <w:style w:type="paragraph" w:customStyle="1" w:styleId="ZPKTzmpktartykuempunktem">
    <w:name w:val="Z/PKT – zm. pkt artykułem (punktem)"/>
    <w:basedOn w:val="PKTpunkt"/>
    <w:uiPriority w:val="31"/>
    <w:qFormat/>
    <w:rsid w:val="002F1834"/>
    <w:pPr>
      <w:ind w:left="1020"/>
    </w:pPr>
  </w:style>
  <w:style w:type="paragraph" w:customStyle="1" w:styleId="ZROZDZODDZOZNzmoznrozdzoddzartykuempunktem">
    <w:name w:val="Z/ROZDZ(ODDZ)_OZN – zm. ozn. rozdz. (oddz.) artykułem (punktem)"/>
    <w:next w:val="Normalny"/>
    <w:uiPriority w:val="29"/>
    <w:qFormat/>
    <w:rsid w:val="002F1834"/>
    <w:pPr>
      <w:keepNext/>
      <w:suppressAutoHyphens/>
      <w:spacing w:after="0" w:line="360" w:lineRule="auto"/>
      <w:ind w:left="510"/>
      <w:jc w:val="center"/>
    </w:pPr>
    <w:rPr>
      <w:rFonts w:ascii="Times" w:eastAsiaTheme="minorEastAsia" w:hAnsi="Times" w:cs="Arial"/>
      <w:bCs/>
      <w:kern w:val="24"/>
      <w:sz w:val="24"/>
      <w:szCs w:val="24"/>
      <w:lang w:eastAsia="pl-PL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2F1834"/>
    <w:pPr>
      <w:spacing w:after="120"/>
      <w:ind w:left="510"/>
    </w:pPr>
    <w:rPr>
      <w:b w:val="0"/>
    </w:r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2F1834"/>
    <w:pPr>
      <w:ind w:left="1021"/>
    </w:p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2F1834"/>
    <w:pPr>
      <w:ind w:left="90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2F1834"/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2F1834"/>
    <w:pPr>
      <w:ind w:left="1894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Normalny"/>
    <w:uiPriority w:val="28"/>
    <w:qFormat/>
    <w:rsid w:val="002F1834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2F1834"/>
    <w:pPr>
      <w:keepNext/>
      <w:suppressAutoHyphens/>
      <w:spacing w:after="0" w:line="360" w:lineRule="auto"/>
      <w:ind w:left="510"/>
      <w:jc w:val="center"/>
    </w:pPr>
    <w:rPr>
      <w:rFonts w:ascii="Times" w:eastAsia="Times New Roman" w:hAnsi="Times" w:cs="Times New Roman"/>
      <w:sz w:val="24"/>
      <w:szCs w:val="26"/>
      <w:lang w:eastAsia="pl-PL"/>
    </w:rPr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2F1834"/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2F1834"/>
    <w:pPr>
      <w:ind w:left="510"/>
    </w:p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2F1834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2F1834"/>
    <w:pPr>
      <w:ind w:left="3051"/>
    </w:p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2F1834"/>
    <w:pPr>
      <w:ind w:left="3561"/>
    </w:pPr>
    <w:rPr>
      <w:rFonts w:ascii="Times New Roman" w:hAnsi="Times New Roman"/>
      <w:lang w:val="en-US"/>
    </w:r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2F1834"/>
    <w:pPr>
      <w:ind w:left="2574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2F1834"/>
    <w:pPr>
      <w:ind w:left="2256"/>
    </w:pPr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2F1834"/>
    <w:pPr>
      <w:ind w:left="2290" w:hanging="510"/>
    </w:pPr>
    <w:rPr>
      <w:rFonts w:ascii="Times New Roman" w:hAnsi="Times New Roman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2F1834"/>
    <w:pPr>
      <w:ind w:left="1780" w:firstLine="510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F1834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Normalny"/>
    <w:uiPriority w:val="61"/>
    <w:qFormat/>
    <w:rsid w:val="002F1834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Normalny"/>
    <w:uiPriority w:val="90"/>
    <w:qFormat/>
    <w:rsid w:val="002F1834"/>
    <w:pPr>
      <w:ind w:left="2291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2F1834"/>
    <w:pPr>
      <w:ind w:left="1780"/>
    </w:pPr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2F1834"/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2F1834"/>
    <w:pPr>
      <w:ind w:left="2654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2F1834"/>
    <w:pPr>
      <w:ind w:left="3164" w:firstLine="0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2F1834"/>
    <w:pPr>
      <w:ind w:left="2177"/>
    </w:p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2F1834"/>
    <w:pPr>
      <w:ind w:left="2767"/>
    </w:pPr>
    <w:rPr>
      <w:rFonts w:ascii="Times New Roman" w:hAnsi="Times New Roman"/>
    </w:r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2F1834"/>
    <w:pPr>
      <w:ind w:left="2291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2F1834"/>
    <w:pPr>
      <w:ind w:left="1780" w:firstLine="0"/>
    </w:pPr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2F1834"/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2F1834"/>
    <w:pPr>
      <w:ind w:left="2257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2F1834"/>
    <w:pPr>
      <w:ind w:left="2654"/>
    </w:p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2F1834"/>
    <w:pPr>
      <w:ind w:left="3164"/>
    </w:pPr>
    <w:rPr>
      <w:rFonts w:ascii="Times New Roman" w:hAnsi="Times New Roman"/>
      <w:lang w:val="en-US"/>
    </w:r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2F1834"/>
    <w:pPr>
      <w:ind w:left="2767" w:firstLine="0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2F1834"/>
    <w:pPr>
      <w:ind w:left="1383"/>
    </w:p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2F1834"/>
    <w:rPr>
      <w:rFonts w:ascii="Times New Roman" w:hAnsi="Times New Roman"/>
    </w:r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2F1834"/>
    <w:pPr>
      <w:ind w:left="1780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2F1834"/>
    <w:pPr>
      <w:ind w:left="2291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2F1834"/>
    <w:pPr>
      <w:ind w:left="2688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2F1834"/>
    <w:pPr>
      <w:ind w:left="3085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Normalny"/>
    <w:uiPriority w:val="45"/>
    <w:qFormat/>
    <w:rsid w:val="002F1834"/>
    <w:pPr>
      <w:ind w:left="987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Normalny"/>
    <w:uiPriority w:val="54"/>
    <w:qFormat/>
    <w:rsid w:val="002F1834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Normalny"/>
    <w:uiPriority w:val="81"/>
    <w:qFormat/>
    <w:rsid w:val="002F1834"/>
    <w:pPr>
      <w:ind w:left="1780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Normalny"/>
    <w:uiPriority w:val="45"/>
    <w:qFormat/>
    <w:rsid w:val="002F1834"/>
    <w:pPr>
      <w:ind w:left="987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2F1834"/>
    <w:pPr>
      <w:ind w:left="1383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2F1834"/>
    <w:pPr>
      <w:ind w:left="1780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2F1834"/>
    <w:pPr>
      <w:ind w:left="2291" w:firstLine="0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2F1834"/>
    <w:pPr>
      <w:ind w:left="2177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2F1834"/>
    <w:pPr>
      <w:ind w:left="1780" w:firstLine="510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Normalny"/>
    <w:uiPriority w:val="53"/>
    <w:qFormat/>
    <w:rsid w:val="002F1834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Normalny"/>
    <w:uiPriority w:val="62"/>
    <w:qFormat/>
    <w:rsid w:val="002F1834"/>
    <w:pPr>
      <w:ind w:left="1383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2F1834"/>
    <w:pPr>
      <w:ind w:left="1780"/>
    </w:pPr>
  </w:style>
  <w:style w:type="paragraph" w:customStyle="1" w:styleId="ZLIT2TIRzmpodwtirliter">
    <w:name w:val="Z_LIT/2TIR – zm. podw. tir. literą"/>
    <w:basedOn w:val="TIRtiret"/>
    <w:uiPriority w:val="75"/>
    <w:qFormat/>
    <w:rsid w:val="002F1834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2F1834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2F1834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2F1834"/>
    <w:pPr>
      <w:ind w:left="2767"/>
    </w:pPr>
  </w:style>
  <w:style w:type="paragraph" w:customStyle="1" w:styleId="ZLITUSTzmustliter">
    <w:name w:val="Z_LIT/UST(§) – zm. ust. (§) literą"/>
    <w:basedOn w:val="USTustnpkodeksu"/>
    <w:uiPriority w:val="46"/>
    <w:qFormat/>
    <w:rsid w:val="002F1834"/>
    <w:pPr>
      <w:ind w:left="987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2F1834"/>
    <w:rPr>
      <w:rFonts w:ascii="Times New Roman" w:hAnsi="Times New Roman"/>
    </w:r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2F1834"/>
    <w:pPr>
      <w:ind w:left="987"/>
    </w:pPr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2F1834"/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2F1834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2F1834"/>
    <w:pPr>
      <w:ind w:left="2370" w:firstLine="0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2F1834"/>
    <w:pPr>
      <w:ind w:left="1383" w:firstLine="0"/>
    </w:pPr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2F1834"/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2F1834"/>
    <w:pPr>
      <w:ind w:left="1497"/>
    </w:pPr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2F1834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2F1834"/>
    <w:pPr>
      <w:ind w:left="1463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2F1834"/>
    <w:pPr>
      <w:ind w:left="1973"/>
    </w:p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2F1834"/>
    <w:pPr>
      <w:ind w:firstLine="0"/>
    </w:pPr>
    <w:rPr>
      <w:rFonts w:ascii="Times New Roman" w:hAnsi="Times New Roman"/>
    </w:rPr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2F1834"/>
    <w:pPr>
      <w:ind w:left="987"/>
    </w:pPr>
  </w:style>
  <w:style w:type="paragraph" w:customStyle="1" w:styleId="ZLITLITzmlitliter">
    <w:name w:val="Z_LIT/LIT – zm. lit. literą"/>
    <w:basedOn w:val="LITlitera"/>
    <w:uiPriority w:val="48"/>
    <w:qFormat/>
    <w:rsid w:val="002F1834"/>
    <w:pPr>
      <w:ind w:left="1463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2F1834"/>
    <w:pPr>
      <w:ind w:left="1973"/>
    </w:pPr>
  </w:style>
  <w:style w:type="paragraph" w:customStyle="1" w:styleId="ZLITPKTzmpktliter">
    <w:name w:val="Z_LIT/PKT – zm. pkt literą"/>
    <w:basedOn w:val="PKTpunkt"/>
    <w:uiPriority w:val="47"/>
    <w:qFormat/>
    <w:rsid w:val="002F1834"/>
    <w:pPr>
      <w:ind w:left="1497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2F1834"/>
    <w:pPr>
      <w:ind w:left="1497"/>
    </w:pPr>
  </w:style>
  <w:style w:type="paragraph" w:customStyle="1" w:styleId="ZLITTIRzmtirliter">
    <w:name w:val="Z_LIT/TIR – zm. tir. literą"/>
    <w:basedOn w:val="TIRtiret"/>
    <w:uiPriority w:val="49"/>
    <w:qFormat/>
    <w:rsid w:val="002F1834"/>
  </w:style>
  <w:style w:type="paragraph" w:customStyle="1" w:styleId="ZLITTIRwLITzmtirwlitliter">
    <w:name w:val="Z_LIT/TIR_w_LIT – zm. tir. w lit. literą"/>
    <w:basedOn w:val="TIRtiret"/>
    <w:uiPriority w:val="49"/>
    <w:qFormat/>
    <w:rsid w:val="002F1834"/>
    <w:pPr>
      <w:ind w:left="1860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2F1834"/>
    <w:pPr>
      <w:ind w:left="2370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Normalny"/>
    <w:uiPriority w:val="44"/>
    <w:qFormat/>
    <w:rsid w:val="002F1834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2F1834"/>
    <w:pPr>
      <w:ind w:left="987"/>
    </w:pPr>
  </w:style>
  <w:style w:type="paragraph" w:customStyle="1" w:styleId="ZTIR2TIRzmpodwtirtiret">
    <w:name w:val="Z_TIR/2TIR – zm. podw. tir. tiret"/>
    <w:basedOn w:val="TIRtiret"/>
    <w:uiPriority w:val="78"/>
    <w:qFormat/>
    <w:rsid w:val="002F1834"/>
    <w:pPr>
      <w:ind w:left="178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2F1834"/>
    <w:pPr>
      <w:ind w:left="2654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2F1834"/>
    <w:pPr>
      <w:ind w:left="3164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2F1834"/>
    <w:pPr>
      <w:ind w:left="2177"/>
    </w:pPr>
  </w:style>
  <w:style w:type="paragraph" w:customStyle="1" w:styleId="ZTIRPKTzmpkttiret">
    <w:name w:val="Z_TIR/PKT – zm. pkt tiret"/>
    <w:basedOn w:val="PKTpunkt"/>
    <w:uiPriority w:val="56"/>
    <w:qFormat/>
    <w:rsid w:val="002F1834"/>
    <w:pPr>
      <w:ind w:left="1893"/>
    </w:pPr>
  </w:style>
  <w:style w:type="paragraph" w:customStyle="1" w:styleId="ZTIRARTzmarttiret">
    <w:name w:val="Z_TIR/ART(§) – zm. art. (§) tiret"/>
    <w:basedOn w:val="ZTIRPKTzmpkttiret"/>
    <w:uiPriority w:val="55"/>
    <w:qFormat/>
    <w:rsid w:val="002F1834"/>
    <w:pPr>
      <w:ind w:left="1383" w:firstLine="510"/>
    </w:pPr>
    <w:rPr>
      <w:rFonts w:ascii="Times New Roman" w:hAnsi="Times New Roman"/>
    </w:rPr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2F1834"/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2F1834"/>
    <w:pPr>
      <w:ind w:left="2257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2F1834"/>
    <w:pPr>
      <w:ind w:left="2767" w:firstLine="0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2F1834"/>
    <w:pPr>
      <w:ind w:left="1780"/>
    </w:pPr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2F1834"/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2F1834"/>
    <w:pPr>
      <w:ind w:left="1860"/>
    </w:pPr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2F1834"/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2F1834"/>
    <w:pPr>
      <w:ind w:left="1860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2F1834"/>
    <w:pPr>
      <w:ind w:left="2257"/>
    </w:p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2F1834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2F1834"/>
    <w:pPr>
      <w:ind w:left="2336" w:firstLine="0"/>
    </w:pPr>
  </w:style>
  <w:style w:type="paragraph" w:customStyle="1" w:styleId="ZTIRDZOZNzmozndziautiret">
    <w:name w:val="Z_TIR/DZ_OZN – zm. ozn. działu tiret"/>
    <w:basedOn w:val="ZLITTYTDZOZNzmozntytuudziauliter"/>
    <w:next w:val="Normalny"/>
    <w:uiPriority w:val="54"/>
    <w:qFormat/>
    <w:rsid w:val="002F1834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2F1834"/>
    <w:pPr>
      <w:ind w:left="1383"/>
    </w:pPr>
  </w:style>
  <w:style w:type="paragraph" w:customStyle="1" w:styleId="ZTIRLITzmlittiret">
    <w:name w:val="Z_TIR/LIT – zm. lit. tiret"/>
    <w:basedOn w:val="LITlitera"/>
    <w:uiPriority w:val="57"/>
    <w:qFormat/>
    <w:rsid w:val="002F1834"/>
    <w:pPr>
      <w:ind w:left="1859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2F1834"/>
    <w:pPr>
      <w:ind w:left="2336"/>
    </w:p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2F1834"/>
    <w:pPr>
      <w:ind w:left="1894"/>
    </w:pPr>
  </w:style>
  <w:style w:type="paragraph" w:customStyle="1" w:styleId="ZTIRTIRzmtirtiret">
    <w:name w:val="Z_TIR/TIR – zm. tir. tiret"/>
    <w:basedOn w:val="TIRtiret"/>
    <w:uiPriority w:val="57"/>
    <w:qFormat/>
    <w:rsid w:val="002F1834"/>
    <w:pPr>
      <w:ind w:left="1780"/>
    </w:pPr>
  </w:style>
  <w:style w:type="paragraph" w:customStyle="1" w:styleId="ZTIRUSTzmusttiret">
    <w:name w:val="Z_TIR/UST(§) – zm. ust. (§) tiret"/>
    <w:basedOn w:val="ZTIRARTzmarttiret"/>
    <w:uiPriority w:val="55"/>
    <w:qFormat/>
    <w:rsid w:val="002F1834"/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2F1834"/>
  </w:style>
  <w:style w:type="paragraph" w:customStyle="1" w:styleId="ZZPKTzmianazmpkt">
    <w:name w:val="ZZ/PKT – zmiana zm. pkt"/>
    <w:basedOn w:val="ZPKTzmpktartykuempunktem"/>
    <w:uiPriority w:val="66"/>
    <w:qFormat/>
    <w:rsid w:val="002F1834"/>
    <w:pPr>
      <w:ind w:left="2404"/>
    </w:pPr>
  </w:style>
  <w:style w:type="paragraph" w:customStyle="1" w:styleId="ZZLITzmianazmlit">
    <w:name w:val="ZZ/LIT – zmiana zm. lit."/>
    <w:basedOn w:val="ZZPKTzmianazmpkt"/>
    <w:uiPriority w:val="67"/>
    <w:qFormat/>
    <w:rsid w:val="002F1834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2F1834"/>
    <w:pPr>
      <w:ind w:left="2291" w:hanging="397"/>
    </w:pPr>
  </w:style>
  <w:style w:type="paragraph" w:customStyle="1" w:styleId="ZZCZWSP2TIRzmianazmczciwsppodwtir">
    <w:name w:val="ZZ/CZ_WSP_2TIR – zmiana zm. części wsp. podw. tir."/>
    <w:basedOn w:val="ZZTIRzmianazmtir"/>
    <w:next w:val="Normalny"/>
    <w:uiPriority w:val="94"/>
    <w:qFormat/>
    <w:rsid w:val="002F1834"/>
    <w:pPr>
      <w:ind w:left="1894" w:firstLine="0"/>
    </w:pPr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2F1834"/>
    <w:pPr>
      <w:ind w:left="2291" w:hanging="397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2F1834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2F1834"/>
    <w:pPr>
      <w:ind w:left="3164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2F1834"/>
    <w:pPr>
      <w:ind w:left="3674"/>
    </w:pPr>
  </w:style>
  <w:style w:type="paragraph" w:customStyle="1" w:styleId="ZZARTzmianazmart">
    <w:name w:val="ZZ/ART(§) – zmiana zm. art. (§)"/>
    <w:basedOn w:val="ZARTzmartartykuempunktem"/>
    <w:uiPriority w:val="65"/>
    <w:qFormat/>
    <w:rsid w:val="002F1834"/>
    <w:pPr>
      <w:ind w:left="1894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2F1834"/>
    <w:pPr>
      <w:ind w:firstLine="0"/>
    </w:pPr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2F1834"/>
  </w:style>
  <w:style w:type="paragraph" w:customStyle="1" w:styleId="ZZCYTzmianazmcytatunpprzysigi">
    <w:name w:val="ZZ/CYT – zmiana zm. cytatu np. przysięgi"/>
    <w:basedOn w:val="ZZFRAGzmianazmfragmentunpzdania"/>
    <w:next w:val="Normalny"/>
    <w:uiPriority w:val="71"/>
    <w:qFormat/>
    <w:rsid w:val="002F1834"/>
    <w:pPr>
      <w:ind w:left="2404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2F1834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2F1834"/>
    <w:pPr>
      <w:ind w:left="3277" w:firstLine="0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2F1834"/>
    <w:pPr>
      <w:ind w:left="2291" w:firstLine="0"/>
    </w:pPr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2F1834"/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2F1834"/>
    <w:pPr>
      <w:ind w:left="2880"/>
    </w:pPr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2F1834"/>
    <w:pPr>
      <w:ind w:left="2404" w:firstLine="0"/>
    </w:pPr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2F1834"/>
  </w:style>
  <w:style w:type="paragraph" w:customStyle="1" w:styleId="ZZTIRwLITzmianazmtirwlit">
    <w:name w:val="ZZ/TIR_w_LIT – zmiana zm. tir. w lit."/>
    <w:basedOn w:val="ZZTIRzmianazmtir"/>
    <w:uiPriority w:val="67"/>
    <w:qFormat/>
    <w:rsid w:val="002F1834"/>
    <w:pPr>
      <w:ind w:left="276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2F1834"/>
    <w:pPr>
      <w:ind w:left="2370" w:firstLine="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2F1834"/>
    <w:pPr>
      <w:ind w:left="3277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2F1834"/>
    <w:pPr>
      <w:ind w:left="2880" w:firstLine="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2F1834"/>
    <w:pPr>
      <w:spacing w:before="0"/>
      <w:ind w:left="1894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2F1834"/>
    <w:pPr>
      <w:ind w:left="3198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Normalny"/>
    <w:uiPriority w:val="64"/>
    <w:qFormat/>
    <w:rsid w:val="002F1834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2F1834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2F1834"/>
    <w:pPr>
      <w:ind w:left="240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2F1834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2F1834"/>
    <w:pPr>
      <w:ind w:left="1894"/>
    </w:pPr>
  </w:style>
  <w:style w:type="paragraph" w:customStyle="1" w:styleId="ZZUSTzmianazmust">
    <w:name w:val="ZZ/UST(§) – zmiana zm. ust. (§)"/>
    <w:basedOn w:val="ZZARTzmianazmart"/>
    <w:uiPriority w:val="65"/>
    <w:qFormat/>
    <w:rsid w:val="002F1834"/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2F1834"/>
    <w:pPr>
      <w:ind w:left="2404"/>
    </w:pPr>
  </w:style>
  <w:style w:type="paragraph" w:styleId="Poprawka">
    <w:name w:val="Revision"/>
    <w:hidden/>
    <w:uiPriority w:val="99"/>
    <w:semiHidden/>
    <w:rsid w:val="00F31B16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0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5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4054</Words>
  <Characters>24329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2020-07-28T07:50:00Z</dcterms:created>
  <dcterms:modified xsi:type="dcterms:W3CDTF">2020-07-28T07:50:00Z</dcterms:modified>
</cp:coreProperties>
</file>