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943F" w14:textId="77777777" w:rsidR="006F1249" w:rsidRPr="009300D9" w:rsidRDefault="006F1249" w:rsidP="009300D9">
      <w:pPr>
        <w:pStyle w:val="p3"/>
        <w:spacing w:before="0" w:beforeAutospacing="0" w:after="120" w:afterAutospacing="0" w:line="276" w:lineRule="auto"/>
        <w:jc w:val="center"/>
        <w:rPr>
          <w:rStyle w:val="s1"/>
          <w:rFonts w:eastAsiaTheme="minorEastAsia"/>
          <w:bCs/>
          <w:smallCaps/>
        </w:rPr>
      </w:pPr>
      <w:r w:rsidRPr="009300D9">
        <w:rPr>
          <w:rStyle w:val="s1"/>
          <w:bCs/>
          <w:smallCaps/>
        </w:rPr>
        <w:t>UZASADNIENIE</w:t>
      </w:r>
    </w:p>
    <w:p w14:paraId="102120F5" w14:textId="77777777" w:rsidR="00BB6C39" w:rsidRPr="009300D9" w:rsidRDefault="00B41972" w:rsidP="009300D9">
      <w:pPr>
        <w:pStyle w:val="ODNONIKtreodnonika"/>
        <w:spacing w:after="240" w:line="276" w:lineRule="auto"/>
        <w:ind w:left="0" w:firstLine="708"/>
        <w:rPr>
          <w:rFonts w:cs="Times New Roman"/>
          <w:sz w:val="24"/>
          <w:szCs w:val="24"/>
        </w:rPr>
      </w:pPr>
      <w:r w:rsidRPr="009300D9">
        <w:rPr>
          <w:rStyle w:val="s1"/>
          <w:rFonts w:cs="Times New Roman"/>
          <w:bCs/>
          <w:sz w:val="24"/>
          <w:szCs w:val="24"/>
        </w:rPr>
        <w:t>Celem nowelizacji jest d</w:t>
      </w:r>
      <w:r w:rsidR="00E8645E" w:rsidRPr="009300D9">
        <w:rPr>
          <w:rStyle w:val="s1"/>
          <w:rFonts w:cs="Times New Roman"/>
          <w:bCs/>
          <w:sz w:val="24"/>
          <w:szCs w:val="24"/>
        </w:rPr>
        <w:t xml:space="preserve">opełnienie pełnej transpozycji </w:t>
      </w:r>
      <w:r w:rsidRPr="009300D9">
        <w:rPr>
          <w:rStyle w:val="s1"/>
          <w:rFonts w:cs="Times New Roman"/>
          <w:bCs/>
          <w:sz w:val="24"/>
          <w:szCs w:val="24"/>
        </w:rPr>
        <w:t xml:space="preserve">dyrektywy </w:t>
      </w:r>
      <w:r w:rsidRPr="009300D9">
        <w:rPr>
          <w:rFonts w:cs="Times New Roman"/>
          <w:sz w:val="24"/>
          <w:szCs w:val="24"/>
        </w:rPr>
        <w:t xml:space="preserve">Parlamentu </w:t>
      </w:r>
      <w:r w:rsidR="00115335" w:rsidRPr="009300D9">
        <w:rPr>
          <w:rFonts w:cs="Times New Roman"/>
          <w:sz w:val="24"/>
          <w:szCs w:val="24"/>
        </w:rPr>
        <w:t xml:space="preserve">Europejskiego </w:t>
      </w:r>
      <w:r w:rsidRPr="009300D9">
        <w:rPr>
          <w:rFonts w:cs="Times New Roman"/>
          <w:sz w:val="24"/>
          <w:szCs w:val="24"/>
        </w:rPr>
        <w:t>i Rady (UE) 2018/410 z dnia 14 marca 2018 r. zmieniającą dyrektywę 2003/87/WE w celu wzmocnienia efektywnych pod względem kosztów redukcji emisji oraz inwestycji niskoemisyjnych oraz decyzję (UE) 2015/1814 (Dz. Urz.</w:t>
      </w:r>
      <w:r w:rsidR="00D073CA" w:rsidRPr="009300D9">
        <w:rPr>
          <w:rFonts w:cs="Times New Roman"/>
          <w:sz w:val="24"/>
          <w:szCs w:val="24"/>
        </w:rPr>
        <w:t xml:space="preserve"> UE L 76 z 19.03.2018</w:t>
      </w:r>
      <w:r w:rsidR="00AB3A0A" w:rsidRPr="009300D9">
        <w:rPr>
          <w:rFonts w:cs="Times New Roman"/>
          <w:sz w:val="24"/>
          <w:szCs w:val="24"/>
        </w:rPr>
        <w:t>, str. 3)</w:t>
      </w:r>
      <w:r w:rsidR="00E74655" w:rsidRPr="009300D9">
        <w:rPr>
          <w:rFonts w:cs="Times New Roman"/>
          <w:sz w:val="24"/>
          <w:szCs w:val="24"/>
        </w:rPr>
        <w:t>,</w:t>
      </w:r>
      <w:r w:rsidR="00AB3A0A" w:rsidRPr="009300D9">
        <w:rPr>
          <w:rFonts w:cs="Times New Roman"/>
          <w:sz w:val="24"/>
          <w:szCs w:val="24"/>
        </w:rPr>
        <w:t xml:space="preserve"> zwanej dalej „Dyrektywą </w:t>
      </w:r>
      <w:r w:rsidR="007F7452" w:rsidRPr="009300D9">
        <w:rPr>
          <w:rFonts w:cs="Times New Roman"/>
          <w:sz w:val="24"/>
          <w:szCs w:val="24"/>
        </w:rPr>
        <w:t>2018/410</w:t>
      </w:r>
      <w:r w:rsidR="00D073CA" w:rsidRPr="009300D9">
        <w:rPr>
          <w:rFonts w:cs="Times New Roman"/>
          <w:sz w:val="24"/>
          <w:szCs w:val="24"/>
        </w:rPr>
        <w:t>”</w:t>
      </w:r>
      <w:r w:rsidR="00115335" w:rsidRPr="009300D9">
        <w:rPr>
          <w:rFonts w:cs="Times New Roman"/>
          <w:sz w:val="24"/>
          <w:szCs w:val="24"/>
        </w:rPr>
        <w:t xml:space="preserve">. </w:t>
      </w:r>
    </w:p>
    <w:p w14:paraId="4F64403A" w14:textId="34F27743" w:rsidR="00115335" w:rsidRPr="009300D9" w:rsidRDefault="008934E7" w:rsidP="009300D9">
      <w:pPr>
        <w:pStyle w:val="ODNONIKtreodnonika"/>
        <w:spacing w:after="240" w:line="276" w:lineRule="auto"/>
        <w:ind w:left="0" w:firstLine="708"/>
        <w:rPr>
          <w:rFonts w:cs="Times New Roman"/>
          <w:sz w:val="24"/>
          <w:szCs w:val="24"/>
        </w:rPr>
      </w:pPr>
      <w:r w:rsidRPr="009300D9">
        <w:rPr>
          <w:rFonts w:cs="Times New Roman"/>
          <w:sz w:val="24"/>
          <w:szCs w:val="24"/>
        </w:rPr>
        <w:t xml:space="preserve">Jedną z bardziej doniosłych zmian wprowadzonych przez </w:t>
      </w:r>
      <w:r w:rsidR="00D073CA" w:rsidRPr="009300D9">
        <w:rPr>
          <w:rStyle w:val="s1"/>
          <w:rFonts w:cs="Times New Roman"/>
          <w:bCs/>
          <w:sz w:val="24"/>
          <w:szCs w:val="24"/>
        </w:rPr>
        <w:t xml:space="preserve">Dyrektywę </w:t>
      </w:r>
      <w:r w:rsidR="007F7452" w:rsidRPr="009300D9">
        <w:rPr>
          <w:rStyle w:val="s1"/>
          <w:rFonts w:cs="Times New Roman"/>
          <w:bCs/>
          <w:sz w:val="24"/>
          <w:szCs w:val="24"/>
        </w:rPr>
        <w:t>2018/410</w:t>
      </w:r>
      <w:r w:rsidR="006F1249" w:rsidRPr="009300D9">
        <w:rPr>
          <w:rStyle w:val="s1"/>
          <w:rFonts w:cs="Times New Roman"/>
          <w:bCs/>
          <w:sz w:val="24"/>
          <w:szCs w:val="24"/>
        </w:rPr>
        <w:t xml:space="preserve"> </w:t>
      </w:r>
      <w:r w:rsidRPr="009300D9">
        <w:rPr>
          <w:rStyle w:val="s1"/>
          <w:rFonts w:cs="Times New Roman"/>
          <w:bCs/>
          <w:sz w:val="24"/>
          <w:szCs w:val="24"/>
        </w:rPr>
        <w:t xml:space="preserve">jest powołanie </w:t>
      </w:r>
      <w:r w:rsidR="006F1249" w:rsidRPr="009300D9">
        <w:rPr>
          <w:rStyle w:val="s1"/>
          <w:rFonts w:cs="Times New Roman"/>
          <w:bCs/>
          <w:sz w:val="24"/>
          <w:szCs w:val="24"/>
        </w:rPr>
        <w:t>do życia tzw. Fundusz</w:t>
      </w:r>
      <w:r w:rsidRPr="009300D9">
        <w:rPr>
          <w:rStyle w:val="s1"/>
          <w:rFonts w:cs="Times New Roman"/>
          <w:bCs/>
          <w:sz w:val="24"/>
          <w:szCs w:val="24"/>
        </w:rPr>
        <w:t>u</w:t>
      </w:r>
      <w:r w:rsidR="006F1249" w:rsidRPr="009300D9">
        <w:rPr>
          <w:rStyle w:val="s1"/>
          <w:rFonts w:cs="Times New Roman"/>
          <w:bCs/>
          <w:sz w:val="24"/>
          <w:szCs w:val="24"/>
        </w:rPr>
        <w:t xml:space="preserve"> </w:t>
      </w:r>
      <w:r w:rsidRPr="009300D9">
        <w:rPr>
          <w:rStyle w:val="s1"/>
          <w:rFonts w:cs="Times New Roman"/>
          <w:bCs/>
          <w:sz w:val="24"/>
          <w:szCs w:val="24"/>
        </w:rPr>
        <w:t xml:space="preserve">Modernizacyjnego, zwanego </w:t>
      </w:r>
      <w:r w:rsidR="006F1249" w:rsidRPr="009300D9">
        <w:rPr>
          <w:rStyle w:val="s1"/>
          <w:rFonts w:cs="Times New Roman"/>
          <w:bCs/>
          <w:sz w:val="24"/>
          <w:szCs w:val="24"/>
        </w:rPr>
        <w:t xml:space="preserve">dalej </w:t>
      </w:r>
      <w:r w:rsidR="00115335" w:rsidRPr="009300D9">
        <w:rPr>
          <w:rStyle w:val="s1"/>
          <w:rFonts w:cs="Times New Roman"/>
          <w:bCs/>
          <w:sz w:val="24"/>
          <w:szCs w:val="24"/>
        </w:rPr>
        <w:t>„</w:t>
      </w:r>
      <w:r w:rsidR="006F1249" w:rsidRPr="009300D9">
        <w:rPr>
          <w:rStyle w:val="s1"/>
          <w:rFonts w:cs="Times New Roman"/>
          <w:bCs/>
          <w:sz w:val="24"/>
          <w:szCs w:val="24"/>
        </w:rPr>
        <w:t>Fundusz</w:t>
      </w:r>
      <w:r w:rsidR="00AB3A0A" w:rsidRPr="009300D9">
        <w:rPr>
          <w:rStyle w:val="s1"/>
          <w:rFonts w:cs="Times New Roman"/>
          <w:bCs/>
          <w:sz w:val="24"/>
          <w:szCs w:val="24"/>
        </w:rPr>
        <w:t>em</w:t>
      </w:r>
      <w:r w:rsidR="00115335" w:rsidRPr="009300D9">
        <w:rPr>
          <w:rStyle w:val="s1"/>
          <w:rFonts w:cs="Times New Roman"/>
          <w:bCs/>
          <w:sz w:val="24"/>
          <w:szCs w:val="24"/>
        </w:rPr>
        <w:t>”</w:t>
      </w:r>
      <w:r w:rsidR="00C60EA3" w:rsidRPr="009300D9">
        <w:rPr>
          <w:rStyle w:val="s1"/>
          <w:rFonts w:cs="Times New Roman"/>
          <w:bCs/>
          <w:sz w:val="24"/>
          <w:szCs w:val="24"/>
        </w:rPr>
        <w:t>.</w:t>
      </w:r>
      <w:r w:rsidR="00BB6C39" w:rsidRPr="009300D9">
        <w:rPr>
          <w:rStyle w:val="s1"/>
          <w:rFonts w:cs="Times New Roman"/>
          <w:sz w:val="24"/>
          <w:szCs w:val="24"/>
        </w:rPr>
        <w:t xml:space="preserve"> </w:t>
      </w:r>
      <w:r w:rsidR="006F1249" w:rsidRPr="009300D9">
        <w:rPr>
          <w:rStyle w:val="s1"/>
          <w:rFonts w:cs="Times New Roman"/>
          <w:bCs/>
          <w:sz w:val="24"/>
          <w:szCs w:val="24"/>
        </w:rPr>
        <w:t>Działalność Funduszu została zaplanowana na lata 2021-2030. Jego najważniejszym celem jest wsparcie wykonania ustalonego na forum Unii Europejskiej celu redukcji gazów cieplarnianych o</w:t>
      </w:r>
      <w:r w:rsidR="00407047" w:rsidRPr="009300D9">
        <w:rPr>
          <w:rStyle w:val="s1"/>
          <w:rFonts w:cs="Times New Roman"/>
          <w:bCs/>
          <w:sz w:val="24"/>
          <w:szCs w:val="24"/>
        </w:rPr>
        <w:t> </w:t>
      </w:r>
      <w:r w:rsidR="006F1249" w:rsidRPr="009300D9">
        <w:rPr>
          <w:rStyle w:val="s1"/>
          <w:rFonts w:cs="Times New Roman"/>
          <w:bCs/>
          <w:sz w:val="24"/>
          <w:szCs w:val="24"/>
        </w:rPr>
        <w:t>40</w:t>
      </w:r>
      <w:r w:rsidR="00407047" w:rsidRPr="009300D9">
        <w:rPr>
          <w:rStyle w:val="s1"/>
          <w:rFonts w:cs="Times New Roman"/>
          <w:bCs/>
          <w:sz w:val="24"/>
          <w:szCs w:val="24"/>
        </w:rPr>
        <w:t> </w:t>
      </w:r>
      <w:r w:rsidR="006F1249" w:rsidRPr="009300D9">
        <w:rPr>
          <w:rStyle w:val="s1"/>
          <w:rFonts w:cs="Times New Roman"/>
          <w:bCs/>
          <w:sz w:val="24"/>
          <w:szCs w:val="24"/>
        </w:rPr>
        <w:t>% w 2030 r. w porównaniu do 1990 r.</w:t>
      </w:r>
      <w:r w:rsidR="006F1249" w:rsidRPr="009300D9">
        <w:rPr>
          <w:rStyle w:val="s1"/>
          <w:rFonts w:cs="Times New Roman"/>
          <w:sz w:val="24"/>
          <w:szCs w:val="24"/>
        </w:rPr>
        <w:t xml:space="preserve"> Fundusz powstał z myślą </w:t>
      </w:r>
      <w:r w:rsidR="00D073CA" w:rsidRPr="009300D9">
        <w:rPr>
          <w:rStyle w:val="s1"/>
          <w:rFonts w:cs="Times New Roman"/>
          <w:sz w:val="24"/>
          <w:szCs w:val="24"/>
        </w:rPr>
        <w:br/>
      </w:r>
      <w:r w:rsidR="006F1249" w:rsidRPr="009300D9">
        <w:rPr>
          <w:rStyle w:val="s1"/>
          <w:rFonts w:cs="Times New Roman"/>
          <w:sz w:val="24"/>
          <w:szCs w:val="24"/>
        </w:rPr>
        <w:t xml:space="preserve">o państwach członkowskich, których PKB </w:t>
      </w:r>
      <w:r w:rsidR="006F1249" w:rsidRPr="009300D9">
        <w:rPr>
          <w:rStyle w:val="s1"/>
          <w:rFonts w:cs="Times New Roman"/>
          <w:i/>
          <w:sz w:val="24"/>
          <w:szCs w:val="24"/>
        </w:rPr>
        <w:t>per capita</w:t>
      </w:r>
      <w:r w:rsidR="006F1249" w:rsidRPr="009300D9">
        <w:rPr>
          <w:rStyle w:val="s1"/>
          <w:rFonts w:cs="Times New Roman"/>
          <w:sz w:val="24"/>
          <w:szCs w:val="24"/>
        </w:rPr>
        <w:t xml:space="preserve"> było w 2013 roku niższe niż 60% średniej U</w:t>
      </w:r>
      <w:r w:rsidR="00D073CA" w:rsidRPr="009300D9">
        <w:rPr>
          <w:rStyle w:val="s1"/>
          <w:rFonts w:cs="Times New Roman"/>
          <w:sz w:val="24"/>
          <w:szCs w:val="24"/>
        </w:rPr>
        <w:t xml:space="preserve">nii </w:t>
      </w:r>
      <w:r w:rsidR="006F1249" w:rsidRPr="009300D9">
        <w:rPr>
          <w:rStyle w:val="s1"/>
          <w:rFonts w:cs="Times New Roman"/>
          <w:sz w:val="24"/>
          <w:szCs w:val="24"/>
        </w:rPr>
        <w:t>E</w:t>
      </w:r>
      <w:r w:rsidR="00D073CA" w:rsidRPr="009300D9">
        <w:rPr>
          <w:rStyle w:val="s1"/>
          <w:rFonts w:cs="Times New Roman"/>
          <w:sz w:val="24"/>
          <w:szCs w:val="24"/>
        </w:rPr>
        <w:t>uropejskiej, zwanej dalej „UE”</w:t>
      </w:r>
      <w:r w:rsidR="006F1249" w:rsidRPr="009300D9">
        <w:rPr>
          <w:rStyle w:val="s1"/>
          <w:rFonts w:cs="Times New Roman"/>
          <w:sz w:val="24"/>
          <w:szCs w:val="24"/>
        </w:rPr>
        <w:t>. Korzystać z</w:t>
      </w:r>
      <w:r w:rsidR="00407047" w:rsidRPr="009300D9">
        <w:rPr>
          <w:rStyle w:val="s1"/>
          <w:rFonts w:cs="Times New Roman"/>
          <w:sz w:val="24"/>
          <w:szCs w:val="24"/>
        </w:rPr>
        <w:t> </w:t>
      </w:r>
      <w:r w:rsidR="006F1249" w:rsidRPr="009300D9">
        <w:rPr>
          <w:rStyle w:val="s1"/>
          <w:rFonts w:cs="Times New Roman"/>
          <w:sz w:val="24"/>
          <w:szCs w:val="24"/>
        </w:rPr>
        <w:t>niego będzie dziesięć państw z Europy Środkowo-Wschodniej, w tym Polska.</w:t>
      </w:r>
      <w:r w:rsidR="00115335" w:rsidRPr="009300D9">
        <w:rPr>
          <w:rStyle w:val="s1"/>
          <w:rFonts w:cs="Times New Roman"/>
          <w:sz w:val="24"/>
          <w:szCs w:val="24"/>
        </w:rPr>
        <w:t xml:space="preserve"> </w:t>
      </w:r>
      <w:r w:rsidR="006F1249" w:rsidRPr="009300D9">
        <w:rPr>
          <w:rFonts w:cs="Times New Roman"/>
          <w:sz w:val="24"/>
          <w:szCs w:val="24"/>
          <w:shd w:val="clear" w:color="auto" w:fill="FFFFFF"/>
        </w:rPr>
        <w:t xml:space="preserve">Środki Funduszu zostaną przeznaczone na modernizację systemu energetycznego i poprawę efektywności energetycznej w państwach członkowskich UE. </w:t>
      </w:r>
      <w:r w:rsidR="00D073CA" w:rsidRPr="009300D9">
        <w:rPr>
          <w:rFonts w:cs="Times New Roman"/>
          <w:sz w:val="24"/>
          <w:szCs w:val="24"/>
          <w:shd w:val="clear" w:color="auto" w:fill="FFFFFF"/>
        </w:rPr>
        <w:t>Zgodnie z Dyrektywą</w:t>
      </w:r>
      <w:r w:rsidR="006F1249" w:rsidRPr="009300D9">
        <w:rPr>
          <w:rFonts w:cs="Times New Roman"/>
          <w:sz w:val="24"/>
          <w:szCs w:val="24"/>
          <w:shd w:val="clear" w:color="auto" w:fill="FFFFFF"/>
        </w:rPr>
        <w:t xml:space="preserve"> </w:t>
      </w:r>
      <w:r w:rsidR="007F7452" w:rsidRPr="009300D9">
        <w:rPr>
          <w:rFonts w:cs="Times New Roman"/>
          <w:sz w:val="24"/>
          <w:szCs w:val="24"/>
          <w:shd w:val="clear" w:color="auto" w:fill="FFFFFF"/>
        </w:rPr>
        <w:t>2018/410</w:t>
      </w:r>
      <w:r w:rsidR="00AB3A0A" w:rsidRPr="009300D9">
        <w:rPr>
          <w:rFonts w:cs="Times New Roman"/>
          <w:sz w:val="24"/>
          <w:szCs w:val="24"/>
          <w:shd w:val="clear" w:color="auto" w:fill="FFFFFF"/>
        </w:rPr>
        <w:t xml:space="preserve"> </w:t>
      </w:r>
      <w:r w:rsidR="006F1249" w:rsidRPr="009300D9">
        <w:rPr>
          <w:rFonts w:cs="Times New Roman"/>
          <w:sz w:val="24"/>
          <w:szCs w:val="24"/>
          <w:shd w:val="clear" w:color="auto" w:fill="FFFFFF"/>
        </w:rPr>
        <w:t>z</w:t>
      </w:r>
      <w:r w:rsidR="00D073CA" w:rsidRPr="009300D9">
        <w:rPr>
          <w:rFonts w:cs="Times New Roman"/>
          <w:sz w:val="24"/>
          <w:szCs w:val="24"/>
          <w:shd w:val="clear" w:color="auto" w:fill="FFFFFF"/>
        </w:rPr>
        <w:t>e</w:t>
      </w:r>
      <w:r w:rsidR="006F1249" w:rsidRPr="009300D9">
        <w:rPr>
          <w:rFonts w:cs="Times New Roman"/>
          <w:sz w:val="24"/>
          <w:szCs w:val="24"/>
          <w:shd w:val="clear" w:color="auto" w:fill="FFFFFF"/>
        </w:rPr>
        <w:t xml:space="preserve"> środków </w:t>
      </w:r>
      <w:r w:rsidR="00D073CA" w:rsidRPr="009300D9">
        <w:rPr>
          <w:rFonts w:cs="Times New Roman"/>
          <w:sz w:val="24"/>
          <w:szCs w:val="24"/>
          <w:shd w:val="clear" w:color="auto" w:fill="FFFFFF"/>
        </w:rPr>
        <w:t xml:space="preserve">Funduszu </w:t>
      </w:r>
      <w:r w:rsidR="006F1249" w:rsidRPr="009300D9">
        <w:rPr>
          <w:rFonts w:cs="Times New Roman"/>
          <w:sz w:val="24"/>
          <w:szCs w:val="24"/>
          <w:shd w:val="clear" w:color="auto" w:fill="FFFFFF"/>
        </w:rPr>
        <w:t xml:space="preserve">powinny być realizowane również projekty inwestycyjne na małą skalę, co oznacza możliwość uzyskania wsparcia polegającego na finansowaniu modernizacji dużych obiektów energetycznych, ale również np. takich inwestycji jak </w:t>
      </w:r>
      <w:r w:rsidR="006F1249" w:rsidRPr="009300D9">
        <w:rPr>
          <w:rFonts w:eastAsia="Times New Roman" w:cs="Times New Roman"/>
          <w:sz w:val="24"/>
          <w:szCs w:val="24"/>
        </w:rPr>
        <w:t>termomodernizacja istniejących budynków jednorodzinnych, modernizacja źródeł i sieci ciepłowniczych, rozwój niskoemisyjnej energetyki rozproszonej itp. Kluczowym jednak ograniczeniem, jeśli chodzi o rodzaj przedsięwzięć, które mogą uzyskać wsparcie ze środków Funduszu, jest wyłączenie możliwości finansowania obiektów wytwarzających energię przy wykorzystaniu</w:t>
      </w:r>
      <w:r w:rsidR="0054442F" w:rsidRPr="009300D9">
        <w:rPr>
          <w:rFonts w:eastAsia="Times New Roman" w:cs="Times New Roman"/>
          <w:sz w:val="24"/>
          <w:szCs w:val="24"/>
        </w:rPr>
        <w:t xml:space="preserve"> stałych</w:t>
      </w:r>
      <w:r w:rsidR="006F1249" w:rsidRPr="009300D9">
        <w:rPr>
          <w:rFonts w:eastAsia="Times New Roman" w:cs="Times New Roman"/>
          <w:sz w:val="24"/>
          <w:szCs w:val="24"/>
        </w:rPr>
        <w:t xml:space="preserve"> paliw kopalnych.</w:t>
      </w:r>
      <w:r w:rsidR="00115335" w:rsidRPr="009300D9">
        <w:rPr>
          <w:rFonts w:eastAsia="Times New Roman" w:cs="Times New Roman"/>
          <w:sz w:val="24"/>
          <w:szCs w:val="24"/>
        </w:rPr>
        <w:t xml:space="preserve"> </w:t>
      </w:r>
    </w:p>
    <w:p w14:paraId="4F12E197" w14:textId="77777777" w:rsidR="00BB6C39" w:rsidRPr="009300D9" w:rsidRDefault="00BB6C39" w:rsidP="009300D9">
      <w:pPr>
        <w:pStyle w:val="p3"/>
        <w:spacing w:before="0" w:beforeAutospacing="0" w:after="240" w:afterAutospacing="0" w:line="276" w:lineRule="auto"/>
        <w:jc w:val="both"/>
      </w:pPr>
      <w:r w:rsidRPr="009300D9">
        <w:rPr>
          <w:rStyle w:val="s1"/>
        </w:rPr>
        <w:t>Fundusz</w:t>
      </w:r>
      <w:r w:rsidR="006F1249" w:rsidRPr="009300D9">
        <w:rPr>
          <w:rStyle w:val="s1"/>
        </w:rPr>
        <w:t xml:space="preserve"> zasilą środki pochodzące ze sprzedaży </w:t>
      </w:r>
      <w:r w:rsidR="000C1C8F" w:rsidRPr="009300D9">
        <w:rPr>
          <w:rStyle w:val="s1"/>
        </w:rPr>
        <w:t xml:space="preserve">przez Komisję Europejską </w:t>
      </w:r>
      <w:r w:rsidR="006F1249" w:rsidRPr="009300D9">
        <w:rPr>
          <w:rStyle w:val="s1"/>
        </w:rPr>
        <w:t>uprawnie</w:t>
      </w:r>
      <w:r w:rsidRPr="009300D9">
        <w:rPr>
          <w:rStyle w:val="s1"/>
        </w:rPr>
        <w:t>ń do emisji stanowiących 2 %</w:t>
      </w:r>
      <w:r w:rsidR="006F1249" w:rsidRPr="009300D9">
        <w:rPr>
          <w:rStyle w:val="s1"/>
        </w:rPr>
        <w:t xml:space="preserve"> całkowitej puli unijnej. Kwota, jaką będzie dysponował Fundusz zależy od rynkowej ceny uprawnień do emisji </w:t>
      </w:r>
      <w:r w:rsidR="00AB3A0A" w:rsidRPr="009300D9">
        <w:rPr>
          <w:rStyle w:val="s1"/>
        </w:rPr>
        <w:t>w systemie handlu uprawnieniami do emisji gazów cieplarnianych</w:t>
      </w:r>
      <w:r w:rsidR="00CF0922" w:rsidRPr="009300D9">
        <w:rPr>
          <w:rStyle w:val="s1"/>
        </w:rPr>
        <w:t>,</w:t>
      </w:r>
      <w:r w:rsidR="00AB3A0A" w:rsidRPr="009300D9">
        <w:rPr>
          <w:rStyle w:val="s1"/>
        </w:rPr>
        <w:t xml:space="preserve"> zwanym </w:t>
      </w:r>
      <w:r w:rsidRPr="009300D9">
        <w:rPr>
          <w:rStyle w:val="s1"/>
        </w:rPr>
        <w:t xml:space="preserve">dalej </w:t>
      </w:r>
      <w:r w:rsidR="00AB3A0A" w:rsidRPr="009300D9">
        <w:rPr>
          <w:rStyle w:val="s1"/>
        </w:rPr>
        <w:t xml:space="preserve">„systemem ETS”. </w:t>
      </w:r>
      <w:r w:rsidR="006F1249" w:rsidRPr="009300D9">
        <w:rPr>
          <w:rStyle w:val="s1"/>
        </w:rPr>
        <w:t>Im wyższa będzie cena uprawnień</w:t>
      </w:r>
      <w:r w:rsidR="00407047" w:rsidRPr="009300D9">
        <w:rPr>
          <w:rStyle w:val="s1"/>
        </w:rPr>
        <w:t xml:space="preserve"> do emisji</w:t>
      </w:r>
      <w:r w:rsidR="006F1249" w:rsidRPr="009300D9">
        <w:rPr>
          <w:rStyle w:val="s1"/>
        </w:rPr>
        <w:t>, tym więcej środków będzie można przeznaczyć na inwestycje. Każde państwo członkowskie będące beneficjentem Funduszu ma swój odpowiednio zdefiniowany udział w puli środków Funduszu.</w:t>
      </w:r>
      <w:r w:rsidR="006F1249" w:rsidRPr="009300D9">
        <w:rPr>
          <w:rStyle w:val="Odwoanieprzypisudolnego"/>
        </w:rPr>
        <w:footnoteReference w:id="1"/>
      </w:r>
      <w:r w:rsidR="006F1249" w:rsidRPr="009300D9">
        <w:rPr>
          <w:rStyle w:val="s1"/>
        </w:rPr>
        <w:t xml:space="preserve"> </w:t>
      </w:r>
      <w:r w:rsidR="006F1249" w:rsidRPr="009300D9">
        <w:t xml:space="preserve">Zgodnie ze wstępnymi szacunkami </w:t>
      </w:r>
      <w:r w:rsidR="00AB3A0A" w:rsidRPr="009300D9">
        <w:t>Ministerstwa Klimatu</w:t>
      </w:r>
      <w:r w:rsidR="006F1249" w:rsidRPr="009300D9">
        <w:t xml:space="preserve">, Polsce zostaną przydzielone środki pochodzące ze sprzedaży </w:t>
      </w:r>
      <w:r w:rsidR="00F913E3" w:rsidRPr="009300D9">
        <w:t xml:space="preserve">ok. </w:t>
      </w:r>
      <w:r w:rsidR="006F1249" w:rsidRPr="009300D9">
        <w:t>135 mln uprawnień</w:t>
      </w:r>
      <w:r w:rsidR="00407047" w:rsidRPr="009300D9">
        <w:t xml:space="preserve"> do emisji</w:t>
      </w:r>
      <w:r w:rsidR="006F1249" w:rsidRPr="009300D9">
        <w:t xml:space="preserve">. </w:t>
      </w:r>
      <w:r w:rsidR="006F1249" w:rsidRPr="009300D9">
        <w:rPr>
          <w:shd w:val="clear" w:color="auto" w:fill="FFFFFF"/>
        </w:rPr>
        <w:t>Ich wartość w zależności od popytu na uprawnienia i ich cen rynkowych, sięgnie od 2-4,8 mld euro.</w:t>
      </w:r>
      <w:r w:rsidR="00E40851" w:rsidRPr="009300D9">
        <w:rPr>
          <w:shd w:val="clear" w:color="auto" w:fill="FFFFFF"/>
        </w:rPr>
        <w:t xml:space="preserve"> </w:t>
      </w:r>
      <w:r w:rsidR="00E40851" w:rsidRPr="009300D9">
        <w:t>Całkowita pula środków Funduszu, które wygeneruje sprzedaż uprawnień do emisji, będzie znana dopiero pod koniec 2030 r. Wysokość tych środków będzie zależna od ceny uprawnień do emisji, jakie będą notowane na aukcjach.</w:t>
      </w:r>
    </w:p>
    <w:p w14:paraId="6BCAF5CE" w14:textId="15E66E30" w:rsidR="00C60EA3" w:rsidRPr="009300D9" w:rsidRDefault="006F1249" w:rsidP="009300D9">
      <w:pPr>
        <w:pStyle w:val="p3"/>
        <w:spacing w:before="0" w:beforeAutospacing="0" w:after="240" w:afterAutospacing="0" w:line="276" w:lineRule="auto"/>
        <w:jc w:val="both"/>
      </w:pPr>
      <w:r w:rsidRPr="009300D9">
        <w:t>Europejski Bank Inwestycyjny</w:t>
      </w:r>
      <w:r w:rsidR="00EC1A26" w:rsidRPr="009300D9">
        <w:t>, zwany dalej „</w:t>
      </w:r>
      <w:r w:rsidRPr="009300D9">
        <w:t>EBI</w:t>
      </w:r>
      <w:r w:rsidR="00EC1A26" w:rsidRPr="009300D9">
        <w:t>”,</w:t>
      </w:r>
      <w:r w:rsidRPr="009300D9">
        <w:t xml:space="preserve"> zapewnia, aby uprawnienia </w:t>
      </w:r>
      <w:r w:rsidR="00407047" w:rsidRPr="009300D9">
        <w:t xml:space="preserve">do emisji </w:t>
      </w:r>
      <w:r w:rsidR="00BB6C39" w:rsidRPr="009300D9">
        <w:t xml:space="preserve">były sprzedawane </w:t>
      </w:r>
      <w:r w:rsidRPr="009300D9">
        <w:t xml:space="preserve">na aukcji na wspólnej platformie aukcyjnej, zgodnie z art. 10 ust. 4 dyrektywy ETS, </w:t>
      </w:r>
      <w:r w:rsidR="00BB6C39" w:rsidRPr="009300D9">
        <w:br/>
      </w:r>
      <w:r w:rsidRPr="009300D9">
        <w:lastRenderedPageBreak/>
        <w:t xml:space="preserve">i odpowiada za zarządzanie przychodami, alokację i przekazywanie ich państwom członkowskim będącym beneficjentami </w:t>
      </w:r>
      <w:r w:rsidR="007F5A5C" w:rsidRPr="009300D9">
        <w:t>Funduszu</w:t>
      </w:r>
      <w:r w:rsidRPr="009300D9">
        <w:t>.</w:t>
      </w:r>
    </w:p>
    <w:p w14:paraId="065DBB56" w14:textId="2BB2D52D" w:rsidR="00C60EA3" w:rsidRPr="009300D9" w:rsidRDefault="006F1249" w:rsidP="009300D9">
      <w:pPr>
        <w:pStyle w:val="ODNONIKtreodnonika"/>
        <w:spacing w:after="240" w:line="276" w:lineRule="auto"/>
        <w:ind w:left="0" w:firstLine="0"/>
        <w:rPr>
          <w:rFonts w:cs="Times New Roman"/>
          <w:sz w:val="24"/>
          <w:szCs w:val="24"/>
        </w:rPr>
      </w:pPr>
      <w:r w:rsidRPr="009300D9">
        <w:rPr>
          <w:rFonts w:cs="Times New Roman"/>
          <w:sz w:val="24"/>
          <w:szCs w:val="24"/>
        </w:rPr>
        <w:t>Fundusz będzie zarządzany przez państwa członkowskie – beneficjentów Funduszu przy udziale Euro</w:t>
      </w:r>
      <w:r w:rsidR="00CF0922" w:rsidRPr="009300D9">
        <w:rPr>
          <w:rFonts w:cs="Times New Roman"/>
          <w:sz w:val="24"/>
          <w:szCs w:val="24"/>
        </w:rPr>
        <w:t>pejskiego Banku Inwestycyjnego, zwanego dalej „EBI”</w:t>
      </w:r>
      <w:r w:rsidRPr="009300D9">
        <w:rPr>
          <w:rFonts w:cs="Times New Roman"/>
          <w:sz w:val="24"/>
          <w:szCs w:val="24"/>
        </w:rPr>
        <w:t xml:space="preserve">, który będzie brał udział w wyborze projektów. </w:t>
      </w:r>
    </w:p>
    <w:p w14:paraId="16DBBD12" w14:textId="299D1162" w:rsidR="00C60EA3" w:rsidRPr="009300D9" w:rsidRDefault="006F1249" w:rsidP="009300D9">
      <w:pPr>
        <w:pStyle w:val="ODNONIKtreodnonika"/>
        <w:spacing w:after="240" w:line="276" w:lineRule="auto"/>
        <w:ind w:left="0" w:firstLine="0"/>
        <w:rPr>
          <w:rFonts w:cs="Times New Roman"/>
          <w:sz w:val="24"/>
          <w:szCs w:val="24"/>
          <w:shd w:val="clear" w:color="auto" w:fill="F5F5F5"/>
        </w:rPr>
      </w:pPr>
      <w:r w:rsidRPr="009300D9">
        <w:rPr>
          <w:rFonts w:cs="Times New Roman"/>
          <w:sz w:val="24"/>
          <w:szCs w:val="24"/>
        </w:rPr>
        <w:t>Zarządzanie Funduszem zapewni również Komitet Inwestycyjny składający się z</w:t>
      </w:r>
      <w:r w:rsidR="00407047" w:rsidRPr="009300D9">
        <w:rPr>
          <w:rFonts w:cs="Times New Roman"/>
          <w:sz w:val="24"/>
          <w:szCs w:val="24"/>
        </w:rPr>
        <w:t> </w:t>
      </w:r>
      <w:r w:rsidRPr="009300D9">
        <w:rPr>
          <w:rFonts w:cs="Times New Roman"/>
          <w:sz w:val="24"/>
          <w:szCs w:val="24"/>
        </w:rPr>
        <w:t>przedstawicieli dziesięciu państw członkowskich będących beneficjentami Funduszu, trzech państw członkowskich niebędących beneficjentami, EBI, przedstawiciela Komisji Europejskiej. Pracami komitetu będzie kierował przedstawiciel K</w:t>
      </w:r>
      <w:r w:rsidR="00EC1A26" w:rsidRPr="009300D9">
        <w:rPr>
          <w:rFonts w:cs="Times New Roman"/>
          <w:sz w:val="24"/>
          <w:szCs w:val="24"/>
        </w:rPr>
        <w:t xml:space="preserve">omisji </w:t>
      </w:r>
      <w:r w:rsidRPr="009300D9">
        <w:rPr>
          <w:rFonts w:cs="Times New Roman"/>
          <w:sz w:val="24"/>
          <w:szCs w:val="24"/>
        </w:rPr>
        <w:t>E</w:t>
      </w:r>
      <w:r w:rsidR="00EC1A26" w:rsidRPr="009300D9">
        <w:rPr>
          <w:rFonts w:cs="Times New Roman"/>
          <w:sz w:val="24"/>
          <w:szCs w:val="24"/>
        </w:rPr>
        <w:t>uropejskiej</w:t>
      </w:r>
      <w:r w:rsidRPr="009300D9">
        <w:rPr>
          <w:rFonts w:cs="Times New Roman"/>
          <w:sz w:val="24"/>
          <w:szCs w:val="24"/>
        </w:rPr>
        <w:t>.</w:t>
      </w:r>
      <w:r w:rsidRPr="009300D9">
        <w:rPr>
          <w:rFonts w:cs="Times New Roman"/>
          <w:sz w:val="24"/>
          <w:szCs w:val="24"/>
          <w:shd w:val="clear" w:color="auto" w:fill="F5F5F5"/>
        </w:rPr>
        <w:t xml:space="preserve"> </w:t>
      </w:r>
    </w:p>
    <w:p w14:paraId="402C010C" w14:textId="0F11C578" w:rsidR="006838DE" w:rsidRPr="009300D9" w:rsidRDefault="006838DE" w:rsidP="009300D9">
      <w:pPr>
        <w:pStyle w:val="ODNONIKtreodnonika"/>
        <w:spacing w:after="240" w:line="276" w:lineRule="auto"/>
        <w:ind w:left="0" w:firstLine="0"/>
        <w:rPr>
          <w:rFonts w:cs="Times New Roman"/>
          <w:sz w:val="24"/>
          <w:szCs w:val="24"/>
        </w:rPr>
      </w:pPr>
      <w:r w:rsidRPr="009300D9">
        <w:rPr>
          <w:rFonts w:cs="Times New Roman"/>
          <w:sz w:val="24"/>
          <w:szCs w:val="24"/>
        </w:rPr>
        <w:t>Aby sfinansować inwestycję z Funduszu, państwo członkowskie będące beneficjentem musi przedstawić ją EBI</w:t>
      </w:r>
      <w:r w:rsidR="00E40851" w:rsidRPr="009300D9">
        <w:rPr>
          <w:rFonts w:cs="Times New Roman"/>
          <w:sz w:val="24"/>
          <w:szCs w:val="24"/>
        </w:rPr>
        <w:t xml:space="preserve"> i </w:t>
      </w:r>
      <w:r w:rsidRPr="009300D9">
        <w:rPr>
          <w:rFonts w:cs="Times New Roman"/>
          <w:sz w:val="24"/>
          <w:szCs w:val="24"/>
        </w:rPr>
        <w:t>Komitetowi Inwestycyjnemu. EBI</w:t>
      </w:r>
      <w:r w:rsidR="00BB6C39" w:rsidRPr="009300D9">
        <w:rPr>
          <w:rFonts w:cs="Times New Roman"/>
          <w:sz w:val="24"/>
          <w:szCs w:val="24"/>
        </w:rPr>
        <w:t xml:space="preserve"> </w:t>
      </w:r>
      <w:r w:rsidRPr="009300D9">
        <w:rPr>
          <w:rFonts w:cs="Times New Roman"/>
          <w:sz w:val="24"/>
          <w:szCs w:val="24"/>
        </w:rPr>
        <w:t xml:space="preserve">potwierdza, czy każda inwestycja znajduje się na liście obszarów priorytetowych Funduszu określonych w </w:t>
      </w:r>
      <w:r w:rsidR="00D55BE8" w:rsidRPr="009300D9">
        <w:rPr>
          <w:rFonts w:cs="Times New Roman"/>
          <w:sz w:val="24"/>
          <w:szCs w:val="24"/>
        </w:rPr>
        <w:t>D</w:t>
      </w:r>
      <w:r w:rsidRPr="009300D9">
        <w:rPr>
          <w:rFonts w:cs="Times New Roman"/>
          <w:sz w:val="24"/>
          <w:szCs w:val="24"/>
        </w:rPr>
        <w:t>yrektywie 2018/410</w:t>
      </w:r>
      <w:r w:rsidR="00BB6C39" w:rsidRPr="009300D9">
        <w:rPr>
          <w:rFonts w:cs="Times New Roman"/>
          <w:sz w:val="24"/>
          <w:szCs w:val="24"/>
        </w:rPr>
        <w:t xml:space="preserve"> ma na celu</w:t>
      </w:r>
      <w:r w:rsidRPr="009300D9">
        <w:rPr>
          <w:rFonts w:cs="Times New Roman"/>
          <w:sz w:val="24"/>
          <w:szCs w:val="24"/>
        </w:rPr>
        <w:t>:</w:t>
      </w:r>
      <w:r w:rsidR="008D76F4" w:rsidRPr="009300D9">
        <w:rPr>
          <w:rFonts w:cs="Times New Roman"/>
          <w:sz w:val="24"/>
          <w:szCs w:val="24"/>
        </w:rPr>
        <w:t xml:space="preserve"> </w:t>
      </w:r>
    </w:p>
    <w:p w14:paraId="73310226" w14:textId="6EE951CC" w:rsidR="006838DE" w:rsidRPr="009300D9" w:rsidRDefault="006838DE" w:rsidP="009300D9">
      <w:pPr>
        <w:pStyle w:val="p3"/>
        <w:numPr>
          <w:ilvl w:val="0"/>
          <w:numId w:val="1"/>
        </w:numPr>
        <w:spacing w:before="0" w:beforeAutospacing="0" w:after="120" w:afterAutospacing="0" w:line="276" w:lineRule="auto"/>
        <w:ind w:left="0" w:firstLine="0"/>
        <w:jc w:val="both"/>
        <w:rPr>
          <w:rFonts w:eastAsiaTheme="minorEastAsia"/>
        </w:rPr>
      </w:pPr>
      <w:r w:rsidRPr="009300D9">
        <w:rPr>
          <w:rFonts w:eastAsiaTheme="minorEastAsia"/>
        </w:rPr>
        <w:t xml:space="preserve">wspieranie inwestycji w wytwarzanie i użytkowanie energii elektrycznej ze źródeł odnawialnych, </w:t>
      </w:r>
    </w:p>
    <w:p w14:paraId="3A2C4F03" w14:textId="37D140F8" w:rsidR="006838DE" w:rsidRPr="009300D9" w:rsidRDefault="006838DE" w:rsidP="009300D9">
      <w:pPr>
        <w:pStyle w:val="p3"/>
        <w:numPr>
          <w:ilvl w:val="0"/>
          <w:numId w:val="1"/>
        </w:numPr>
        <w:spacing w:before="0" w:beforeAutospacing="0" w:after="120" w:afterAutospacing="0" w:line="276" w:lineRule="auto"/>
        <w:ind w:left="0" w:firstLine="0"/>
        <w:jc w:val="both"/>
        <w:rPr>
          <w:rFonts w:eastAsiaTheme="minorEastAsia"/>
        </w:rPr>
      </w:pPr>
      <w:r w:rsidRPr="009300D9">
        <w:rPr>
          <w:rFonts w:eastAsiaTheme="minorEastAsia"/>
        </w:rPr>
        <w:t xml:space="preserve"> magazynowanie energii i modernizację sieci energetycznych, w rurociągów należących do systemów ciepłowniczych, sieci </w:t>
      </w:r>
      <w:proofErr w:type="spellStart"/>
      <w:r w:rsidRPr="009300D9">
        <w:rPr>
          <w:rFonts w:eastAsiaTheme="minorEastAsia"/>
        </w:rPr>
        <w:t>przesyłu</w:t>
      </w:r>
      <w:proofErr w:type="spellEnd"/>
      <w:r w:rsidRPr="009300D9">
        <w:rPr>
          <w:rFonts w:eastAsiaTheme="minorEastAsia"/>
        </w:rPr>
        <w:t xml:space="preserve"> energii elektrycznej oraz połączeń międzysystemowych między państwami członkowskimi U</w:t>
      </w:r>
      <w:r w:rsidR="008D76F4" w:rsidRPr="009300D9">
        <w:rPr>
          <w:rFonts w:eastAsiaTheme="minorEastAsia"/>
        </w:rPr>
        <w:t>E</w:t>
      </w:r>
      <w:r w:rsidRPr="009300D9">
        <w:rPr>
          <w:rFonts w:eastAsiaTheme="minorEastAsia"/>
        </w:rPr>
        <w:t>;</w:t>
      </w:r>
    </w:p>
    <w:p w14:paraId="50DFEC72" w14:textId="77777777" w:rsidR="006838DE" w:rsidRPr="009300D9" w:rsidRDefault="006838DE" w:rsidP="009300D9">
      <w:pPr>
        <w:pStyle w:val="p3"/>
        <w:numPr>
          <w:ilvl w:val="0"/>
          <w:numId w:val="1"/>
        </w:numPr>
        <w:spacing w:before="0" w:beforeAutospacing="0" w:after="120" w:afterAutospacing="0" w:line="276" w:lineRule="auto"/>
        <w:ind w:left="0" w:firstLine="0"/>
        <w:jc w:val="both"/>
        <w:rPr>
          <w:rFonts w:eastAsiaTheme="minorEastAsia"/>
        </w:rPr>
      </w:pPr>
      <w:r w:rsidRPr="009300D9">
        <w:rPr>
          <w:rFonts w:eastAsiaTheme="minorEastAsia"/>
        </w:rPr>
        <w:t xml:space="preserve">wspieranie, we współpracy z partnerami społecznymi, sprawiedliwych przemian mających na celu ułatwienie pracownikom zmiany miejsca zatrudnienia oraz zdobywanie nowych i specjalistycznych umiejętności, wspieranie edukacji oraz inicjatyw zatrudnieniowych, a także nowych inicjatyw gospodarczych (start </w:t>
      </w:r>
      <w:proofErr w:type="spellStart"/>
      <w:r w:rsidRPr="009300D9">
        <w:rPr>
          <w:rFonts w:eastAsiaTheme="minorEastAsia"/>
        </w:rPr>
        <w:t>up</w:t>
      </w:r>
      <w:proofErr w:type="spellEnd"/>
      <w:r w:rsidRPr="009300D9">
        <w:rPr>
          <w:rFonts w:eastAsiaTheme="minorEastAsia"/>
        </w:rPr>
        <w:t>-ów) lub,</w:t>
      </w:r>
    </w:p>
    <w:p w14:paraId="397EC0C2" w14:textId="77777777" w:rsidR="006838DE" w:rsidRPr="009300D9" w:rsidRDefault="006838DE" w:rsidP="009300D9">
      <w:pPr>
        <w:pStyle w:val="p3"/>
        <w:numPr>
          <w:ilvl w:val="0"/>
          <w:numId w:val="1"/>
        </w:numPr>
        <w:spacing w:before="0" w:beforeAutospacing="0" w:after="120" w:afterAutospacing="0" w:line="276" w:lineRule="auto"/>
        <w:ind w:left="0" w:firstLine="0"/>
        <w:jc w:val="both"/>
        <w:rPr>
          <w:rFonts w:eastAsiaTheme="minorEastAsia"/>
        </w:rPr>
      </w:pPr>
      <w:r w:rsidRPr="009300D9">
        <w:rPr>
          <w:rFonts w:eastAsiaTheme="minorEastAsia"/>
        </w:rPr>
        <w:t xml:space="preserve">inwestycje w efektywność energetyczną, w tym w sektorach transportu, budownictwa, rolnictwa i odpadów oraz </w:t>
      </w:r>
    </w:p>
    <w:p w14:paraId="7ED1CD3C" w14:textId="71B642A8" w:rsidR="006838DE" w:rsidRPr="009300D9" w:rsidRDefault="006838DE" w:rsidP="009300D9">
      <w:pPr>
        <w:pStyle w:val="p3"/>
        <w:numPr>
          <w:ilvl w:val="0"/>
          <w:numId w:val="1"/>
        </w:numPr>
        <w:spacing w:before="0" w:beforeAutospacing="0" w:after="120" w:afterAutospacing="0" w:line="276" w:lineRule="auto"/>
        <w:ind w:left="0" w:firstLine="0"/>
        <w:jc w:val="both"/>
      </w:pPr>
      <w:r w:rsidRPr="009300D9">
        <w:rPr>
          <w:rFonts w:eastAsiaTheme="minorEastAsia"/>
        </w:rPr>
        <w:t>wsparcie sprawiedliwych przemian (społecznych i gospodarczych) w regionach uzależnionych od węgla.</w:t>
      </w:r>
    </w:p>
    <w:p w14:paraId="5089A49A" w14:textId="78281BB1" w:rsidR="006F1249" w:rsidRPr="009300D9" w:rsidRDefault="006F1249" w:rsidP="009300D9">
      <w:pPr>
        <w:pStyle w:val="p3"/>
        <w:spacing w:before="0" w:beforeAutospacing="0" w:after="120" w:afterAutospacing="0" w:line="276" w:lineRule="auto"/>
        <w:jc w:val="both"/>
      </w:pPr>
      <w:r w:rsidRPr="009300D9">
        <w:t xml:space="preserve">Co najmniej 70% środków finansowych z Funduszu przeznacza się na inwestycje znajdujące się na liście obszarów priorytetowych, a maksymalnie 30% na inwestycje spoza tej listy (zasada 70/30). </w:t>
      </w:r>
    </w:p>
    <w:p w14:paraId="16F2B408" w14:textId="4313F519" w:rsidR="00F6206D" w:rsidRPr="009300D9" w:rsidRDefault="00F6206D" w:rsidP="009300D9">
      <w:pPr>
        <w:pStyle w:val="p3"/>
        <w:spacing w:before="0" w:beforeAutospacing="0" w:after="120" w:afterAutospacing="0" w:line="276" w:lineRule="auto"/>
        <w:jc w:val="both"/>
      </w:pPr>
      <w:r w:rsidRPr="009300D9">
        <w:t>Ze środków Funduszu, można uzyskać dofinansowanie do 70% kosztów kwalifikowanych realizacji inwestycji nie należącej do kategorii priorytetowej, pod warunkiem jednak, że pozostałe koszty kwalifikowane są finansowane ze środków prywatnych. W przypadku inwestycji należących do kategorii priorytetowych ze środków Funduszu można uzyskać  dofinansowanie do 100% kosztów kwalifikowanych realizacji inwestycji.</w:t>
      </w:r>
    </w:p>
    <w:p w14:paraId="0B1A11AF" w14:textId="6FAE98B8" w:rsidR="006F1249" w:rsidRPr="009300D9" w:rsidRDefault="006F1249" w:rsidP="009300D9">
      <w:pPr>
        <w:pStyle w:val="p3"/>
        <w:spacing w:before="0" w:beforeAutospacing="0" w:after="120" w:afterAutospacing="0" w:line="276" w:lineRule="auto"/>
        <w:jc w:val="both"/>
      </w:pPr>
      <w:r w:rsidRPr="009300D9">
        <w:t xml:space="preserve">Finansowanie inwestycji ze środków Funduszu, podlega ocenie z punktu widzenia warunków dopuszczalności pomocy państwa. Można jednak wnioskować, że </w:t>
      </w:r>
      <w:r w:rsidR="004A36F0" w:rsidRPr="009300D9">
        <w:t xml:space="preserve">dofinansowania niektórych przedsięwzięć ze środków </w:t>
      </w:r>
      <w:r w:rsidRPr="009300D9">
        <w:t xml:space="preserve">Funduszu nie będą stanowiły pomocy państwa, np. niektóre rodzaje </w:t>
      </w:r>
      <w:r w:rsidRPr="009300D9">
        <w:lastRenderedPageBreak/>
        <w:t xml:space="preserve">inwestycji infrastrukturalnych lub środki stanowiące wsparcie sprawiedliwych przemian </w:t>
      </w:r>
      <w:r w:rsidR="00F14D47" w:rsidRPr="009300D9">
        <w:br/>
      </w:r>
      <w:r w:rsidRPr="009300D9">
        <w:t>w regionach uzależnionych od węgla, jeśli będą przyznawane bezpośrednio osobom fizycznym</w:t>
      </w:r>
      <w:r w:rsidR="007F5A5C" w:rsidRPr="009300D9">
        <w:t>.</w:t>
      </w:r>
    </w:p>
    <w:p w14:paraId="022514A9" w14:textId="7FF28FD9" w:rsidR="006F1249" w:rsidRPr="009300D9" w:rsidRDefault="006F1249" w:rsidP="009300D9">
      <w:pPr>
        <w:pStyle w:val="p3"/>
        <w:spacing w:before="0" w:beforeAutospacing="0" w:after="120" w:afterAutospacing="0" w:line="276" w:lineRule="auto"/>
        <w:jc w:val="both"/>
      </w:pPr>
      <w:r w:rsidRPr="009300D9">
        <w:t>Jeśli inwestycja zostanie potwierdzona jako należąca do jednego z obszarów priorytetowych, skorzysta z prostszej ścieżki do finansowania. W ścieżce tej</w:t>
      </w:r>
      <w:r w:rsidR="00115335" w:rsidRPr="009300D9">
        <w:t>,</w:t>
      </w:r>
      <w:r w:rsidRPr="009300D9">
        <w:t xml:space="preserve"> jeżeli EBI potwierdzi, że inwestycja należy do obszarów priorytetowych, Komisja </w:t>
      </w:r>
      <w:r w:rsidR="00F14D47" w:rsidRPr="009300D9">
        <w:t xml:space="preserve">Europejska </w:t>
      </w:r>
      <w:r w:rsidRPr="009300D9">
        <w:t xml:space="preserve">może podjąć decyzję </w:t>
      </w:r>
      <w:r w:rsidR="00F14D47" w:rsidRPr="009300D9">
        <w:br/>
      </w:r>
      <w:r w:rsidRPr="009300D9">
        <w:t xml:space="preserve">o wypłacie środków na realizację tej inwestycji. Komitet Inwestycyjny jest tylko informowany o potwierdzeniu inwestycji przez EBI i nie jest już zaangażowany w ocenę wniosków </w:t>
      </w:r>
      <w:r w:rsidR="00F14D47" w:rsidRPr="009300D9">
        <w:br/>
      </w:r>
      <w:r w:rsidRPr="009300D9">
        <w:t xml:space="preserve">o finansowanie inwestycji. </w:t>
      </w:r>
    </w:p>
    <w:p w14:paraId="63963FB4" w14:textId="1825C67A" w:rsidR="006F1249" w:rsidRPr="009300D9" w:rsidRDefault="006F1249" w:rsidP="009300D9">
      <w:pPr>
        <w:pStyle w:val="p3"/>
        <w:spacing w:before="0" w:beforeAutospacing="0" w:after="120" w:afterAutospacing="0" w:line="276" w:lineRule="auto"/>
        <w:jc w:val="both"/>
      </w:pPr>
      <w:r w:rsidRPr="009300D9">
        <w:t xml:space="preserve">Inwestycje, które nie należą do obszarów priorytetowych, muszą zostać poddane ściślejszej kontroli, w tym ocenie </w:t>
      </w:r>
      <w:r w:rsidR="000F0104" w:rsidRPr="009300D9">
        <w:t xml:space="preserve">przez Komitet Inwestycyjny i EBI </w:t>
      </w:r>
      <w:r w:rsidRPr="009300D9">
        <w:t>ich technicznej</w:t>
      </w:r>
      <w:r w:rsidR="000F0104" w:rsidRPr="009300D9">
        <w:t xml:space="preserve"> wykonalności</w:t>
      </w:r>
      <w:r w:rsidRPr="009300D9">
        <w:t xml:space="preserve"> </w:t>
      </w:r>
      <w:r w:rsidR="00F14D47" w:rsidRPr="009300D9">
        <w:br/>
      </w:r>
      <w:r w:rsidRPr="009300D9">
        <w:t>i finansowej rentowności oraz osiągniętych przez nie redukcji emisji.</w:t>
      </w:r>
    </w:p>
    <w:p w14:paraId="122C02A9" w14:textId="45E56730" w:rsidR="00FF18BE" w:rsidRPr="009300D9" w:rsidRDefault="00FF18BE" w:rsidP="009300D9">
      <w:pPr>
        <w:spacing w:after="120" w:line="276" w:lineRule="auto"/>
        <w:jc w:val="both"/>
        <w:rPr>
          <w:rFonts w:ascii="Times New Roman" w:eastAsiaTheme="minorEastAsia" w:hAnsi="Times New Roman" w:cs="Times New Roman"/>
          <w:sz w:val="24"/>
          <w:szCs w:val="24"/>
          <w:lang w:eastAsia="pl-PL"/>
        </w:rPr>
      </w:pPr>
      <w:r w:rsidRPr="009300D9">
        <w:rPr>
          <w:rFonts w:ascii="Times New Roman" w:eastAsiaTheme="minorEastAsia" w:hAnsi="Times New Roman" w:cs="Times New Roman"/>
          <w:sz w:val="24"/>
          <w:szCs w:val="24"/>
          <w:lang w:eastAsia="pl-PL"/>
        </w:rPr>
        <w:t xml:space="preserve">W procedurze oceny wniosków inwestycyjnych EBI przeprowadza szczegółową ocenę </w:t>
      </w:r>
      <w:r w:rsidR="00F14D47" w:rsidRPr="009300D9">
        <w:rPr>
          <w:rFonts w:ascii="Times New Roman" w:eastAsiaTheme="minorEastAsia" w:hAnsi="Times New Roman" w:cs="Times New Roman"/>
          <w:sz w:val="24"/>
          <w:szCs w:val="24"/>
          <w:lang w:eastAsia="pl-PL"/>
        </w:rPr>
        <w:br/>
      </w:r>
      <w:r w:rsidRPr="009300D9">
        <w:rPr>
          <w:rFonts w:ascii="Times New Roman" w:eastAsiaTheme="minorEastAsia" w:hAnsi="Times New Roman" w:cs="Times New Roman"/>
          <w:sz w:val="24"/>
          <w:szCs w:val="24"/>
          <w:lang w:eastAsia="pl-PL"/>
        </w:rPr>
        <w:t xml:space="preserve">i przedstawia ją Komitetowi Inwestycyjnemu. EBI przy tym dokona szczegółowej oceny technicznej, ekonomicznej przedsięwzięcia, a także biznesowego uzasadnienia inwestycji, </w:t>
      </w:r>
      <w:r w:rsidR="00F14D47" w:rsidRPr="009300D9">
        <w:rPr>
          <w:rFonts w:ascii="Times New Roman" w:eastAsiaTheme="minorEastAsia" w:hAnsi="Times New Roman" w:cs="Times New Roman"/>
          <w:sz w:val="24"/>
          <w:szCs w:val="24"/>
          <w:lang w:eastAsia="pl-PL"/>
        </w:rPr>
        <w:br/>
      </w:r>
      <w:r w:rsidRPr="009300D9">
        <w:rPr>
          <w:rFonts w:ascii="Times New Roman" w:eastAsiaTheme="minorEastAsia" w:hAnsi="Times New Roman" w:cs="Times New Roman"/>
          <w:sz w:val="24"/>
          <w:szCs w:val="24"/>
          <w:lang w:eastAsia="pl-PL"/>
        </w:rPr>
        <w:t>w tym propozycji źródeł finansowania. W razie potrzeby EBI zwróci się o dodatkowe informacje do państwa członkowskiego składającego wniosek inwestycyjny.</w:t>
      </w:r>
      <w:r w:rsidR="00E40851" w:rsidRPr="009300D9">
        <w:rPr>
          <w:rFonts w:ascii="Times New Roman" w:eastAsiaTheme="minorEastAsia" w:hAnsi="Times New Roman" w:cs="Times New Roman"/>
          <w:sz w:val="24"/>
          <w:szCs w:val="24"/>
          <w:lang w:eastAsia="pl-PL"/>
        </w:rPr>
        <w:t xml:space="preserve"> </w:t>
      </w:r>
    </w:p>
    <w:p w14:paraId="3D6EC0CC" w14:textId="77777777" w:rsidR="00FF18BE" w:rsidRPr="009300D9" w:rsidRDefault="00FF18BE" w:rsidP="009300D9">
      <w:pPr>
        <w:spacing w:after="120" w:line="276" w:lineRule="auto"/>
        <w:jc w:val="both"/>
        <w:rPr>
          <w:rFonts w:ascii="Times New Roman" w:eastAsiaTheme="minorEastAsia" w:hAnsi="Times New Roman" w:cs="Times New Roman"/>
          <w:sz w:val="24"/>
          <w:szCs w:val="24"/>
          <w:lang w:eastAsia="pl-PL"/>
        </w:rPr>
      </w:pPr>
      <w:r w:rsidRPr="009300D9">
        <w:rPr>
          <w:rFonts w:ascii="Times New Roman" w:eastAsiaTheme="minorEastAsia" w:hAnsi="Times New Roman" w:cs="Times New Roman"/>
          <w:sz w:val="24"/>
          <w:szCs w:val="24"/>
          <w:lang w:eastAsia="pl-PL"/>
        </w:rPr>
        <w:t>Na podstawie oceny EBI, Komitet Inwestycyjny oceni techniczną i finansową opłacalność tej inwestycji, w tym planowane do osiągnięcia redukcje emisji, i wyda zalecenie dotyczące finansowania inwestycji z Funduszu Modernizacyjnego.</w:t>
      </w:r>
    </w:p>
    <w:p w14:paraId="746FB40A" w14:textId="05ABF623" w:rsidR="006F1249" w:rsidRPr="009300D9" w:rsidRDefault="00D55BE8" w:rsidP="009300D9">
      <w:pPr>
        <w:pStyle w:val="p3"/>
        <w:spacing w:before="0" w:beforeAutospacing="0" w:after="120" w:afterAutospacing="0" w:line="276" w:lineRule="auto"/>
        <w:jc w:val="both"/>
      </w:pPr>
      <w:r w:rsidRPr="009300D9">
        <w:t>Zgodnie z D</w:t>
      </w:r>
      <w:r w:rsidR="006F1249" w:rsidRPr="009300D9">
        <w:t xml:space="preserve">yrektywą </w:t>
      </w:r>
      <w:r w:rsidR="007F7452" w:rsidRPr="009300D9">
        <w:t xml:space="preserve">218/410 </w:t>
      </w:r>
      <w:r w:rsidR="006F1249" w:rsidRPr="009300D9">
        <w:t xml:space="preserve">Komisja </w:t>
      </w:r>
      <w:r w:rsidR="00F14D47" w:rsidRPr="009300D9">
        <w:t xml:space="preserve">Europejska </w:t>
      </w:r>
      <w:r w:rsidR="006F1249" w:rsidRPr="009300D9">
        <w:t>jest odpowiedzialna za podejmowanie decyzji o wypłacie środków. Na podstawie tej decyzji EBI</w:t>
      </w:r>
      <w:r w:rsidR="007F5A5C" w:rsidRPr="009300D9">
        <w:t xml:space="preserve">, </w:t>
      </w:r>
      <w:r w:rsidR="006F1249" w:rsidRPr="009300D9">
        <w:t>przekaże środki państwu członko</w:t>
      </w:r>
      <w:r w:rsidR="007F5A5C" w:rsidRPr="009300D9">
        <w:t>wskiemu będącemu beneficjentem</w:t>
      </w:r>
      <w:r w:rsidR="00F913E3" w:rsidRPr="009300D9">
        <w:t>.</w:t>
      </w:r>
    </w:p>
    <w:p w14:paraId="7C5ACA35" w14:textId="592CAFC7" w:rsidR="006F1249" w:rsidRPr="009300D9" w:rsidRDefault="006F1249" w:rsidP="009300D9">
      <w:pPr>
        <w:pStyle w:val="p3"/>
        <w:spacing w:before="0" w:beforeAutospacing="0" w:after="120" w:afterAutospacing="0" w:line="276" w:lineRule="auto"/>
        <w:jc w:val="both"/>
      </w:pPr>
      <w:r w:rsidRPr="009300D9">
        <w:t xml:space="preserve">EBI będzie odpowiedzialny za zarządzanie przychodami i płatnościami na rzecz państw członkowskich, przy czym każde państwo członkowskie będzie miało w </w:t>
      </w:r>
      <w:r w:rsidR="007F5A5C" w:rsidRPr="009300D9">
        <w:t>Funduszu</w:t>
      </w:r>
      <w:r w:rsidRPr="009300D9">
        <w:t xml:space="preserve"> pulę środków możliwych do wykorzystania. </w:t>
      </w:r>
    </w:p>
    <w:p w14:paraId="420C46B8" w14:textId="77777777" w:rsidR="006F1249" w:rsidRPr="009300D9" w:rsidRDefault="006F1249" w:rsidP="009300D9">
      <w:pPr>
        <w:pStyle w:val="p3"/>
        <w:spacing w:before="0" w:beforeAutospacing="0" w:after="120" w:afterAutospacing="0" w:line="276" w:lineRule="auto"/>
        <w:jc w:val="both"/>
      </w:pPr>
      <w:r w:rsidRPr="009300D9">
        <w:t>Państwa członkowskie będące beneficjentami będą odpowiedzialne za monitorowanie realizacji inwestycji finansowanych ze środków Funduszu.</w:t>
      </w:r>
    </w:p>
    <w:p w14:paraId="22603F49" w14:textId="7C99D582" w:rsidR="007F5A5C" w:rsidRPr="009300D9" w:rsidRDefault="007F5A5C" w:rsidP="009300D9">
      <w:pPr>
        <w:pStyle w:val="p3"/>
        <w:spacing w:before="0" w:beforeAutospacing="0" w:after="120" w:afterAutospacing="0" w:line="276" w:lineRule="auto"/>
        <w:jc w:val="both"/>
      </w:pPr>
      <w:r w:rsidRPr="009300D9">
        <w:t>Szczegółowe zasady korzystania z Funduszu, w tym wymogi formalne dotyczące składania wniosków przez państwa członkowskie dotyczące dofinansowania inwestycji</w:t>
      </w:r>
      <w:r w:rsidR="00C60EA3" w:rsidRPr="009300D9">
        <w:t>,</w:t>
      </w:r>
      <w:r w:rsidR="00EB3B74" w:rsidRPr="009300D9">
        <w:t xml:space="preserve"> </w:t>
      </w:r>
      <w:r w:rsidR="00EB3B74" w:rsidRPr="009300D9">
        <w:rPr>
          <w:rFonts w:eastAsiaTheme="minorEastAsia"/>
        </w:rPr>
        <w:t>oceny wniosków,</w:t>
      </w:r>
      <w:r w:rsidR="00C60EA3" w:rsidRPr="009300D9">
        <w:t xml:space="preserve"> wymogi dotyczące sprawozdawczości na poziomie państwa członkowskich</w:t>
      </w:r>
      <w:r w:rsidRPr="009300D9">
        <w:t xml:space="preserve"> zostaną określone w akcie delegowanym wydanym</w:t>
      </w:r>
      <w:r w:rsidR="00D55BE8" w:rsidRPr="009300D9">
        <w:t xml:space="preserve"> na podstawie art. 10d ust. 12 D</w:t>
      </w:r>
      <w:r w:rsidRPr="009300D9">
        <w:t xml:space="preserve">yrektywy </w:t>
      </w:r>
      <w:r w:rsidR="007F7452" w:rsidRPr="009300D9">
        <w:t>2018/410</w:t>
      </w:r>
      <w:r w:rsidRPr="009300D9">
        <w:t>. W chwili obecnej Komisja Eur</w:t>
      </w:r>
      <w:r w:rsidR="002D3448" w:rsidRPr="009300D9">
        <w:t xml:space="preserve">opejska pracuje nad przepisami </w:t>
      </w:r>
      <w:r w:rsidR="00607246" w:rsidRPr="009300D9">
        <w:t>w</w:t>
      </w:r>
      <w:r w:rsidRPr="009300D9">
        <w:t xml:space="preserve"> tym zakresie</w:t>
      </w:r>
      <w:r w:rsidR="00F14D47" w:rsidRPr="009300D9">
        <w:t>,</w:t>
      </w:r>
      <w:r w:rsidRPr="009300D9">
        <w:t xml:space="preserve"> a wstępny projekt rozporządzenia został przedstawiony państwom członkowskim</w:t>
      </w:r>
      <w:r w:rsidR="00F14D47" w:rsidRPr="009300D9">
        <w:t xml:space="preserve"> UE</w:t>
      </w:r>
      <w:r w:rsidR="00C60EA3" w:rsidRPr="009300D9">
        <w:t>.</w:t>
      </w:r>
    </w:p>
    <w:p w14:paraId="6C01D73C" w14:textId="0D2CF938" w:rsidR="006F1249" w:rsidRPr="009300D9" w:rsidRDefault="002D3448" w:rsidP="009300D9">
      <w:pPr>
        <w:pStyle w:val="p3"/>
        <w:spacing w:before="0" w:beforeAutospacing="0" w:after="120" w:afterAutospacing="0" w:line="276" w:lineRule="auto"/>
        <w:jc w:val="both"/>
      </w:pPr>
      <w:r w:rsidRPr="009300D9">
        <w:t>Przyjęto, że mechanizm funkcjonowania Funduszu zostanie implementowany do ustawy z dnia 12</w:t>
      </w:r>
      <w:r w:rsidR="00407047" w:rsidRPr="009300D9">
        <w:t> </w:t>
      </w:r>
      <w:r w:rsidRPr="009300D9">
        <w:t>czerwca 2015 r. o systemie handlu uprawnieniami do emisji gazów cieplarnianych (</w:t>
      </w:r>
      <w:proofErr w:type="spellStart"/>
      <w:r w:rsidRPr="009300D9">
        <w:t>Dz.U</w:t>
      </w:r>
      <w:proofErr w:type="spellEnd"/>
      <w:r w:rsidRPr="009300D9">
        <w:t xml:space="preserve"> z 2020 r., poz. 136</w:t>
      </w:r>
      <w:r w:rsidR="00F14D47" w:rsidRPr="009300D9">
        <w:t xml:space="preserve"> i 284</w:t>
      </w:r>
      <w:r w:rsidRPr="009300D9">
        <w:t>)</w:t>
      </w:r>
      <w:r w:rsidR="00F14D47" w:rsidRPr="009300D9">
        <w:t>,</w:t>
      </w:r>
      <w:r w:rsidRPr="009300D9">
        <w:t xml:space="preserve"> zwanej </w:t>
      </w:r>
      <w:r w:rsidR="00F14D47" w:rsidRPr="009300D9">
        <w:t xml:space="preserve">dalej </w:t>
      </w:r>
      <w:r w:rsidRPr="009300D9">
        <w:t xml:space="preserve">„ustawą ETS”. Do ustawy ETS proponuje się dodanie  nowego rozdziału 8a </w:t>
      </w:r>
      <w:r w:rsidR="00115335" w:rsidRPr="009300D9">
        <w:t xml:space="preserve">pn. </w:t>
      </w:r>
      <w:r w:rsidRPr="009300D9">
        <w:t>Krajowy system wdrażania Funduszu Modernizacyjnego.</w:t>
      </w:r>
      <w:r w:rsidR="00C2290D" w:rsidRPr="009300D9">
        <w:t xml:space="preserve"> </w:t>
      </w:r>
      <w:r w:rsidR="00732E04" w:rsidRPr="009300D9">
        <w:t>Dodany</w:t>
      </w:r>
      <w:r w:rsidR="00C60EA3" w:rsidRPr="009300D9">
        <w:t xml:space="preserve"> rozdział obejmuje </w:t>
      </w:r>
      <w:r w:rsidR="00732E04" w:rsidRPr="009300D9">
        <w:t>przede wszystkim</w:t>
      </w:r>
      <w:r w:rsidR="00C60EA3" w:rsidRPr="009300D9">
        <w:t xml:space="preserve"> obowiązki uczestników procesu w zakresie zarządzania systemem wdrażania Funduszu, w tym Krajowego operatora</w:t>
      </w:r>
      <w:r w:rsidR="00DC70D3" w:rsidRPr="009300D9">
        <w:t>, ministra właściwego do spraw klimatu oraz Rady Konsultacyjnej.</w:t>
      </w:r>
    </w:p>
    <w:p w14:paraId="3E9BCFE2" w14:textId="441DE0C2" w:rsidR="00C2290D" w:rsidRPr="009300D9" w:rsidRDefault="00C2290D" w:rsidP="009300D9">
      <w:pPr>
        <w:pStyle w:val="p3"/>
        <w:spacing w:before="0" w:beforeAutospacing="0" w:after="120" w:afterAutospacing="0" w:line="276" w:lineRule="auto"/>
        <w:jc w:val="both"/>
      </w:pPr>
      <w:r w:rsidRPr="009300D9">
        <w:lastRenderedPageBreak/>
        <w:t>Funkcję Krajowego operatora Funduszu Modernizacyjnego będzie pełnił Narodowy Fundusz Ochrony Środowiska i Gospodarki Wodnej</w:t>
      </w:r>
      <w:r w:rsidR="00F14D47" w:rsidRPr="009300D9">
        <w:t>,</w:t>
      </w:r>
      <w:r w:rsidR="00DA0051" w:rsidRPr="009300D9">
        <w:t xml:space="preserve"> </w:t>
      </w:r>
      <w:r w:rsidR="00B07F81" w:rsidRPr="009300D9">
        <w:t xml:space="preserve">zwany </w:t>
      </w:r>
      <w:r w:rsidR="00DA0051" w:rsidRPr="009300D9">
        <w:t>dalej „</w:t>
      </w:r>
      <w:proofErr w:type="spellStart"/>
      <w:r w:rsidR="00DA0051" w:rsidRPr="009300D9">
        <w:t>NFOŚiGW</w:t>
      </w:r>
      <w:proofErr w:type="spellEnd"/>
      <w:r w:rsidR="00DA0051" w:rsidRPr="009300D9">
        <w:t>”</w:t>
      </w:r>
      <w:r w:rsidRPr="009300D9">
        <w:t xml:space="preserve">. </w:t>
      </w:r>
      <w:proofErr w:type="spellStart"/>
      <w:r w:rsidR="00E619D4" w:rsidRPr="009300D9">
        <w:t>NFOŚiGW</w:t>
      </w:r>
      <w:proofErr w:type="spellEnd"/>
      <w:r w:rsidRPr="009300D9">
        <w:t xml:space="preserve"> od </w:t>
      </w:r>
      <w:r w:rsidR="00B07F81" w:rsidRPr="009300D9">
        <w:t xml:space="preserve">30 </w:t>
      </w:r>
      <w:r w:rsidRPr="009300D9">
        <w:t xml:space="preserve">lat stanowi najważniejszy element polskiego systemu finansowania ochrony środowiska </w:t>
      </w:r>
      <w:r w:rsidR="00D15545" w:rsidRPr="009300D9">
        <w:br/>
      </w:r>
      <w:r w:rsidRPr="009300D9">
        <w:t>i gospodarki wodnej, dysponując największym potencjałem finansowym</w:t>
      </w:r>
      <w:r w:rsidR="000D4C52" w:rsidRPr="009300D9">
        <w:t xml:space="preserve"> w tym obszarze</w:t>
      </w:r>
      <w:r w:rsidRPr="009300D9">
        <w:t xml:space="preserve">. </w:t>
      </w:r>
      <w:r w:rsidR="00D15545" w:rsidRPr="009300D9">
        <w:br/>
      </w:r>
      <w:r w:rsidRPr="009300D9">
        <w:t xml:space="preserve">W okresie 1989-2016 </w:t>
      </w:r>
      <w:proofErr w:type="spellStart"/>
      <w:r w:rsidRPr="009300D9">
        <w:t>N</w:t>
      </w:r>
      <w:r w:rsidR="00EC1A26" w:rsidRPr="009300D9">
        <w:t>FOŚiGW</w:t>
      </w:r>
      <w:proofErr w:type="spellEnd"/>
      <w:r w:rsidRPr="009300D9">
        <w:t xml:space="preserve"> zawarł ponad 28 tys. umów </w:t>
      </w:r>
      <w:r w:rsidR="00EC1A26" w:rsidRPr="009300D9">
        <w:br/>
      </w:r>
      <w:r w:rsidRPr="009300D9">
        <w:t xml:space="preserve">o dofinansowanie projektów, wypłacając ze środków krajowych ok. 9,8 mld euro. W tym okresie dofinansowano również przedsięwzięcia ekologiczne kwotą ok. 6,4 mld euro ze środków europejskich obsługiwanych przez </w:t>
      </w:r>
      <w:proofErr w:type="spellStart"/>
      <w:r w:rsidRPr="009300D9">
        <w:t>NFOŚiGW</w:t>
      </w:r>
      <w:proofErr w:type="spellEnd"/>
      <w:r w:rsidRPr="009300D9">
        <w:t xml:space="preserve">. </w:t>
      </w:r>
      <w:proofErr w:type="spellStart"/>
      <w:r w:rsidR="00D15545" w:rsidRPr="009300D9">
        <w:t>NFOŚiGW</w:t>
      </w:r>
      <w:proofErr w:type="spellEnd"/>
      <w:r w:rsidRPr="009300D9">
        <w:t xml:space="preserve"> zapewniał i zapewnia wykorzystanie funduszy zagranicznych, przeznaczonych na ochronę środowiska, m.in. z Funduszu PHARE, Funduszu ISPA, Funduszu Spójności, Europejskiego Funduszu Rozwoju Regionalnego, Programu LIFE+, Norweskiego Mechanizmu Finansowego i Mechanizmu Finansowego Europejskiego Obszaru Gospodarczego. Efektem wieloletnich doświadczeń </w:t>
      </w:r>
      <w:proofErr w:type="spellStart"/>
      <w:r w:rsidRPr="009300D9">
        <w:t>NFOŚiGW</w:t>
      </w:r>
      <w:proofErr w:type="spellEnd"/>
      <w:r w:rsidRPr="009300D9">
        <w:t xml:space="preserve"> w obsłudze środków U</w:t>
      </w:r>
      <w:r w:rsidR="00D15545" w:rsidRPr="009300D9">
        <w:t>E</w:t>
      </w:r>
      <w:r w:rsidRPr="009300D9">
        <w:t xml:space="preserve"> było przede wszystkim powierzenie</w:t>
      </w:r>
      <w:r w:rsidR="00D15545" w:rsidRPr="009300D9">
        <w:t xml:space="preserve"> mu</w:t>
      </w:r>
      <w:r w:rsidRPr="009300D9">
        <w:t xml:space="preserve"> roli Instytucji Wdrażającej dla pięciu priorytetów Programu Operacyjnego Infrastruktura i Środowisko 2007-2013 oraz dwóch priorytetów PO </w:t>
      </w:r>
      <w:proofErr w:type="spellStart"/>
      <w:r w:rsidRPr="009300D9">
        <w:t>IiŚ</w:t>
      </w:r>
      <w:proofErr w:type="spellEnd"/>
      <w:r w:rsidRPr="009300D9">
        <w:t xml:space="preserve"> 2014-2020 (zmniejszenie emisyjności gospodarki oraz ochrona środowiska, w tym adaptacja do zmian klimatu). Wpływy uzyskane przez Polskę w międzynarodowych transakcjach sprzedaży uprawnień do emisji dwutlenku węgla w ramach Protokołu z Kioto, zasilają System Zielonych Inwestycji (GIS - Green Investment </w:t>
      </w:r>
      <w:proofErr w:type="spellStart"/>
      <w:r w:rsidRPr="009300D9">
        <w:t>Scheme</w:t>
      </w:r>
      <w:proofErr w:type="spellEnd"/>
      <w:r w:rsidRPr="009300D9">
        <w:t xml:space="preserve">), który wspiera inwestycje z zakresu ochrony klimatu i redukcji emisji gazów cieplarnianych. Obsługę tych środków od kilku lat zapewnia </w:t>
      </w:r>
      <w:proofErr w:type="spellStart"/>
      <w:r w:rsidRPr="009300D9">
        <w:t>NFOŚiGW</w:t>
      </w:r>
      <w:proofErr w:type="spellEnd"/>
      <w:r w:rsidRPr="009300D9">
        <w:t xml:space="preserve">. Wieloletnie doświadczenie </w:t>
      </w:r>
      <w:proofErr w:type="spellStart"/>
      <w:r w:rsidRPr="009300D9">
        <w:t>NFOŚiGW</w:t>
      </w:r>
      <w:proofErr w:type="spellEnd"/>
      <w:r w:rsidR="003F7E9E" w:rsidRPr="009300D9">
        <w:t>,</w:t>
      </w:r>
      <w:r w:rsidRPr="009300D9">
        <w:t xml:space="preserve"> wysoko wykwalifikowana kadra oraz </w:t>
      </w:r>
      <w:r w:rsidR="00D57329" w:rsidRPr="009300D9">
        <w:t>sprawdzone procedury</w:t>
      </w:r>
      <w:r w:rsidRPr="009300D9">
        <w:t xml:space="preserve"> dofinansowania projektów ze środków zagranicznych uzasadniają powierzenie </w:t>
      </w:r>
      <w:proofErr w:type="spellStart"/>
      <w:r w:rsidRPr="009300D9">
        <w:t>NFOŚiGW</w:t>
      </w:r>
      <w:proofErr w:type="spellEnd"/>
      <w:r w:rsidRPr="009300D9">
        <w:t xml:space="preserve"> zadań związanych </w:t>
      </w:r>
      <w:r w:rsidR="00EC1A26" w:rsidRPr="009300D9">
        <w:br/>
      </w:r>
      <w:r w:rsidRPr="009300D9">
        <w:t xml:space="preserve">z obsługą Funduszu.  </w:t>
      </w:r>
    </w:p>
    <w:p w14:paraId="66004F7E" w14:textId="5E15A34B" w:rsidR="00D4307F" w:rsidRPr="009300D9" w:rsidRDefault="00E619D4"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Finansowanie inwestycji</w:t>
      </w:r>
      <w:r w:rsidR="00115335" w:rsidRPr="009300D9">
        <w:rPr>
          <w:rFonts w:ascii="Times New Roman" w:hAnsi="Times New Roman" w:cs="Times New Roman"/>
          <w:szCs w:val="24"/>
        </w:rPr>
        <w:t xml:space="preserve"> ze środków Funduszu</w:t>
      </w:r>
      <w:r w:rsidR="003F7E9E" w:rsidRPr="009300D9">
        <w:rPr>
          <w:rFonts w:ascii="Times New Roman" w:hAnsi="Times New Roman" w:cs="Times New Roman"/>
          <w:szCs w:val="24"/>
        </w:rPr>
        <w:t xml:space="preserve"> </w:t>
      </w:r>
      <w:r w:rsidRPr="009300D9">
        <w:rPr>
          <w:rFonts w:ascii="Times New Roman" w:hAnsi="Times New Roman" w:cs="Times New Roman"/>
          <w:szCs w:val="24"/>
        </w:rPr>
        <w:t>będzie odbywało się w ramach przyjętych programów priorytetowych</w:t>
      </w:r>
      <w:r w:rsidR="00B23DB6" w:rsidRPr="009300D9">
        <w:rPr>
          <w:rFonts w:ascii="Times New Roman" w:hAnsi="Times New Roman" w:cs="Times New Roman"/>
          <w:szCs w:val="24"/>
        </w:rPr>
        <w:t xml:space="preserve"> </w:t>
      </w:r>
      <w:proofErr w:type="spellStart"/>
      <w:r w:rsidR="00B23DB6" w:rsidRPr="009300D9">
        <w:rPr>
          <w:rFonts w:ascii="Times New Roman" w:hAnsi="Times New Roman" w:cs="Times New Roman"/>
          <w:szCs w:val="24"/>
        </w:rPr>
        <w:t>NFOŚiGW</w:t>
      </w:r>
      <w:proofErr w:type="spellEnd"/>
      <w:r w:rsidRPr="009300D9">
        <w:rPr>
          <w:rFonts w:ascii="Times New Roman" w:hAnsi="Times New Roman" w:cs="Times New Roman"/>
          <w:szCs w:val="24"/>
        </w:rPr>
        <w:t>.</w:t>
      </w:r>
      <w:r w:rsidR="00185110" w:rsidRPr="009300D9">
        <w:rPr>
          <w:rFonts w:ascii="Times New Roman" w:hAnsi="Times New Roman" w:cs="Times New Roman"/>
          <w:szCs w:val="24"/>
        </w:rPr>
        <w:t xml:space="preserve"> </w:t>
      </w:r>
      <w:r w:rsidR="00C201B3" w:rsidRPr="009300D9">
        <w:rPr>
          <w:rFonts w:ascii="Times New Roman" w:hAnsi="Times New Roman" w:cs="Times New Roman"/>
          <w:szCs w:val="24"/>
        </w:rPr>
        <w:t xml:space="preserve">Nabór wniosków </w:t>
      </w:r>
      <w:r w:rsidR="00DA71D4" w:rsidRPr="009300D9">
        <w:rPr>
          <w:rFonts w:ascii="Times New Roman" w:hAnsi="Times New Roman" w:cs="Times New Roman"/>
          <w:szCs w:val="24"/>
        </w:rPr>
        <w:t xml:space="preserve">o </w:t>
      </w:r>
      <w:r w:rsidR="00C201B3" w:rsidRPr="009300D9">
        <w:rPr>
          <w:rFonts w:ascii="Times New Roman" w:hAnsi="Times New Roman" w:cs="Times New Roman"/>
          <w:szCs w:val="24"/>
        </w:rPr>
        <w:t>dofinasowanie inwestycji/zadania z zakresu ochrony środowiska i gospodarki wodnej</w:t>
      </w:r>
      <w:r w:rsidR="00407047" w:rsidRPr="009300D9">
        <w:rPr>
          <w:rFonts w:ascii="Times New Roman" w:hAnsi="Times New Roman" w:cs="Times New Roman"/>
          <w:szCs w:val="24"/>
        </w:rPr>
        <w:t>,</w:t>
      </w:r>
      <w:r w:rsidR="00C201B3" w:rsidRPr="009300D9">
        <w:rPr>
          <w:rFonts w:ascii="Times New Roman" w:hAnsi="Times New Roman" w:cs="Times New Roman"/>
          <w:szCs w:val="24"/>
        </w:rPr>
        <w:t xml:space="preserve"> które finansuje NFOŚIGW w chwili obecn</w:t>
      </w:r>
      <w:r w:rsidR="00D93DFC" w:rsidRPr="009300D9">
        <w:rPr>
          <w:rFonts w:ascii="Times New Roman" w:hAnsi="Times New Roman" w:cs="Times New Roman"/>
          <w:szCs w:val="24"/>
        </w:rPr>
        <w:t>ej</w:t>
      </w:r>
      <w:r w:rsidR="00C201B3" w:rsidRPr="009300D9">
        <w:rPr>
          <w:rFonts w:ascii="Times New Roman" w:hAnsi="Times New Roman" w:cs="Times New Roman"/>
          <w:szCs w:val="24"/>
        </w:rPr>
        <w:t xml:space="preserve"> odbywa się w ramach przyjętych przez Zarząd NFOŚIGW programów priorytetowych. Mechanizm ten funkcjonuje od lat</w:t>
      </w:r>
      <w:r w:rsidR="00E65622" w:rsidRPr="009300D9">
        <w:rPr>
          <w:rFonts w:ascii="Times New Roman" w:hAnsi="Times New Roman" w:cs="Times New Roman"/>
          <w:szCs w:val="24"/>
        </w:rPr>
        <w:t>, dlatego</w:t>
      </w:r>
      <w:r w:rsidR="00C201B3" w:rsidRPr="009300D9">
        <w:rPr>
          <w:rFonts w:ascii="Times New Roman" w:hAnsi="Times New Roman" w:cs="Times New Roman"/>
          <w:szCs w:val="24"/>
        </w:rPr>
        <w:t xml:space="preserve"> przyjęto, że finansowanie inwestycji z Funduszu będzie odbywało się na podobnych zasadach, z pewnymi </w:t>
      </w:r>
      <w:r w:rsidR="00C6553C" w:rsidRPr="009300D9">
        <w:rPr>
          <w:rFonts w:ascii="Times New Roman" w:hAnsi="Times New Roman" w:cs="Times New Roman"/>
          <w:szCs w:val="24"/>
        </w:rPr>
        <w:t>odstępstwami</w:t>
      </w:r>
      <w:r w:rsidR="00C201B3" w:rsidRPr="009300D9">
        <w:rPr>
          <w:rFonts w:ascii="Times New Roman" w:hAnsi="Times New Roman" w:cs="Times New Roman"/>
          <w:szCs w:val="24"/>
        </w:rPr>
        <w:t>.</w:t>
      </w:r>
      <w:r w:rsidR="009D0033" w:rsidRPr="009300D9">
        <w:rPr>
          <w:rFonts w:ascii="Times New Roman" w:hAnsi="Times New Roman" w:cs="Times New Roman"/>
          <w:szCs w:val="24"/>
        </w:rPr>
        <w:t xml:space="preserve"> Lista programów </w:t>
      </w:r>
      <w:r w:rsidR="00484EC2" w:rsidRPr="009300D9">
        <w:rPr>
          <w:rFonts w:ascii="Times New Roman" w:hAnsi="Times New Roman" w:cs="Times New Roman"/>
          <w:szCs w:val="24"/>
        </w:rPr>
        <w:t xml:space="preserve">priorytetowych </w:t>
      </w:r>
      <w:r w:rsidR="00DC70D3" w:rsidRPr="009300D9">
        <w:rPr>
          <w:rFonts w:ascii="Times New Roman" w:hAnsi="Times New Roman" w:cs="Times New Roman"/>
          <w:szCs w:val="24"/>
        </w:rPr>
        <w:t>finansowanych ze środków Funduszu przypadając</w:t>
      </w:r>
      <w:r w:rsidR="003F7E9E" w:rsidRPr="009300D9">
        <w:rPr>
          <w:rFonts w:ascii="Times New Roman" w:hAnsi="Times New Roman" w:cs="Times New Roman"/>
          <w:szCs w:val="24"/>
        </w:rPr>
        <w:t xml:space="preserve">ych </w:t>
      </w:r>
      <w:r w:rsidR="00EC1A26" w:rsidRPr="009300D9">
        <w:rPr>
          <w:rFonts w:ascii="Times New Roman" w:hAnsi="Times New Roman" w:cs="Times New Roman"/>
          <w:szCs w:val="24"/>
        </w:rPr>
        <w:t xml:space="preserve">Rzeczypospolitej </w:t>
      </w:r>
      <w:r w:rsidR="00DC70D3" w:rsidRPr="009300D9">
        <w:rPr>
          <w:rFonts w:ascii="Times New Roman" w:hAnsi="Times New Roman" w:cs="Times New Roman"/>
          <w:szCs w:val="24"/>
        </w:rPr>
        <w:t>Pol</w:t>
      </w:r>
      <w:r w:rsidR="00EC1A26" w:rsidRPr="009300D9">
        <w:rPr>
          <w:rFonts w:ascii="Times New Roman" w:hAnsi="Times New Roman" w:cs="Times New Roman"/>
          <w:szCs w:val="24"/>
        </w:rPr>
        <w:t>ski</w:t>
      </w:r>
      <w:r w:rsidR="00DC70D3" w:rsidRPr="009300D9">
        <w:rPr>
          <w:rFonts w:ascii="Times New Roman" w:hAnsi="Times New Roman" w:cs="Times New Roman"/>
          <w:szCs w:val="24"/>
        </w:rPr>
        <w:t>e</w:t>
      </w:r>
      <w:r w:rsidR="00EC1A26" w:rsidRPr="009300D9">
        <w:rPr>
          <w:rFonts w:ascii="Times New Roman" w:hAnsi="Times New Roman" w:cs="Times New Roman"/>
          <w:szCs w:val="24"/>
        </w:rPr>
        <w:t>j</w:t>
      </w:r>
      <w:r w:rsidR="00DC70D3" w:rsidRPr="009300D9">
        <w:rPr>
          <w:rFonts w:ascii="Times New Roman" w:hAnsi="Times New Roman" w:cs="Times New Roman"/>
          <w:szCs w:val="24"/>
        </w:rPr>
        <w:t xml:space="preserve">, </w:t>
      </w:r>
      <w:r w:rsidR="00484EC2" w:rsidRPr="009300D9">
        <w:rPr>
          <w:rFonts w:ascii="Times New Roman" w:hAnsi="Times New Roman" w:cs="Times New Roman"/>
          <w:szCs w:val="24"/>
        </w:rPr>
        <w:t xml:space="preserve">będzie </w:t>
      </w:r>
      <w:r w:rsidR="00675D90" w:rsidRPr="009300D9">
        <w:rPr>
          <w:rFonts w:ascii="Times New Roman" w:hAnsi="Times New Roman" w:cs="Times New Roman"/>
          <w:szCs w:val="24"/>
        </w:rPr>
        <w:t xml:space="preserve">zatwierdzana </w:t>
      </w:r>
      <w:r w:rsidR="00597597" w:rsidRPr="009300D9">
        <w:rPr>
          <w:rFonts w:ascii="Times New Roman" w:hAnsi="Times New Roman" w:cs="Times New Roman"/>
          <w:szCs w:val="24"/>
        </w:rPr>
        <w:t>przez Rad</w:t>
      </w:r>
      <w:r w:rsidR="00EC1A26" w:rsidRPr="009300D9">
        <w:rPr>
          <w:rFonts w:ascii="Times New Roman" w:hAnsi="Times New Roman" w:cs="Times New Roman"/>
          <w:szCs w:val="24"/>
        </w:rPr>
        <w:t>ę</w:t>
      </w:r>
      <w:r w:rsidR="00597597" w:rsidRPr="009300D9">
        <w:rPr>
          <w:rFonts w:ascii="Times New Roman" w:hAnsi="Times New Roman" w:cs="Times New Roman"/>
          <w:szCs w:val="24"/>
        </w:rPr>
        <w:t xml:space="preserve"> Nadzorczą</w:t>
      </w:r>
      <w:r w:rsidR="00CE07D6" w:rsidRPr="009300D9">
        <w:rPr>
          <w:rFonts w:ascii="Times New Roman" w:hAnsi="Times New Roman" w:cs="Times New Roman"/>
          <w:szCs w:val="24"/>
        </w:rPr>
        <w:t xml:space="preserve"> po uprzednim uzgodnieniu z</w:t>
      </w:r>
      <w:r w:rsidR="00DF55C1" w:rsidRPr="009300D9">
        <w:rPr>
          <w:rFonts w:ascii="Times New Roman" w:hAnsi="Times New Roman" w:cs="Times New Roman"/>
          <w:szCs w:val="24"/>
        </w:rPr>
        <w:t xml:space="preserve"> </w:t>
      </w:r>
      <w:r w:rsidR="00597597" w:rsidRPr="009300D9">
        <w:rPr>
          <w:rFonts w:ascii="Times New Roman" w:hAnsi="Times New Roman" w:cs="Times New Roman"/>
          <w:szCs w:val="24"/>
        </w:rPr>
        <w:t>ministr</w:t>
      </w:r>
      <w:r w:rsidR="00CE07D6" w:rsidRPr="009300D9">
        <w:rPr>
          <w:rFonts w:ascii="Times New Roman" w:hAnsi="Times New Roman" w:cs="Times New Roman"/>
          <w:szCs w:val="24"/>
        </w:rPr>
        <w:t>em</w:t>
      </w:r>
      <w:r w:rsidR="00597597" w:rsidRPr="009300D9">
        <w:rPr>
          <w:rFonts w:ascii="Times New Roman" w:hAnsi="Times New Roman" w:cs="Times New Roman"/>
          <w:szCs w:val="24"/>
        </w:rPr>
        <w:t xml:space="preserve"> właściwy</w:t>
      </w:r>
      <w:r w:rsidR="00CE07D6" w:rsidRPr="009300D9">
        <w:rPr>
          <w:rFonts w:ascii="Times New Roman" w:hAnsi="Times New Roman" w:cs="Times New Roman"/>
          <w:szCs w:val="24"/>
        </w:rPr>
        <w:t>m</w:t>
      </w:r>
      <w:r w:rsidR="00597597" w:rsidRPr="009300D9">
        <w:rPr>
          <w:rFonts w:ascii="Times New Roman" w:hAnsi="Times New Roman" w:cs="Times New Roman"/>
          <w:szCs w:val="24"/>
        </w:rPr>
        <w:t xml:space="preserve"> do spraw klimatu. Powyższy mechanizm nie będzie odbiegał od regulacji zawartych w ustawie</w:t>
      </w:r>
      <w:r w:rsidR="00FA359F" w:rsidRPr="009300D9">
        <w:rPr>
          <w:rFonts w:ascii="Times New Roman" w:hAnsi="Times New Roman" w:cs="Times New Roman"/>
          <w:szCs w:val="24"/>
        </w:rPr>
        <w:t xml:space="preserve"> z dnia 27 kwietnia 2001 r.</w:t>
      </w:r>
      <w:r w:rsidR="00DC70D3" w:rsidRPr="009300D9">
        <w:rPr>
          <w:rFonts w:ascii="Times New Roman" w:hAnsi="Times New Roman" w:cs="Times New Roman"/>
          <w:szCs w:val="24"/>
        </w:rPr>
        <w:t xml:space="preserve"> Prawo ochrony środowiska</w:t>
      </w:r>
      <w:r w:rsidR="00732E04" w:rsidRPr="009300D9">
        <w:rPr>
          <w:rFonts w:ascii="Times New Roman" w:hAnsi="Times New Roman" w:cs="Times New Roman"/>
          <w:szCs w:val="24"/>
        </w:rPr>
        <w:t xml:space="preserve"> (</w:t>
      </w:r>
      <w:proofErr w:type="spellStart"/>
      <w:r w:rsidR="00732E04" w:rsidRPr="009300D9">
        <w:rPr>
          <w:rFonts w:ascii="Times New Roman" w:hAnsi="Times New Roman" w:cs="Times New Roman"/>
          <w:szCs w:val="24"/>
        </w:rPr>
        <w:t>Dz.U</w:t>
      </w:r>
      <w:proofErr w:type="spellEnd"/>
      <w:r w:rsidR="00732E04" w:rsidRPr="009300D9">
        <w:rPr>
          <w:rFonts w:ascii="Times New Roman" w:hAnsi="Times New Roman" w:cs="Times New Roman"/>
          <w:szCs w:val="24"/>
        </w:rPr>
        <w:t>. z 2019, poz.</w:t>
      </w:r>
      <w:r w:rsidR="00B0212B" w:rsidRPr="009300D9">
        <w:rPr>
          <w:rFonts w:ascii="Times New Roman" w:hAnsi="Times New Roman" w:cs="Times New Roman"/>
          <w:szCs w:val="24"/>
        </w:rPr>
        <w:t xml:space="preserve"> </w:t>
      </w:r>
      <w:r w:rsidR="00732E04" w:rsidRPr="009300D9">
        <w:rPr>
          <w:rFonts w:ascii="Times New Roman" w:hAnsi="Times New Roman" w:cs="Times New Roman"/>
          <w:szCs w:val="24"/>
        </w:rPr>
        <w:t xml:space="preserve">1396, z </w:t>
      </w:r>
      <w:proofErr w:type="spellStart"/>
      <w:r w:rsidR="00732E04" w:rsidRPr="009300D9">
        <w:rPr>
          <w:rFonts w:ascii="Times New Roman" w:hAnsi="Times New Roman" w:cs="Times New Roman"/>
          <w:szCs w:val="24"/>
        </w:rPr>
        <w:t>późn</w:t>
      </w:r>
      <w:proofErr w:type="spellEnd"/>
      <w:r w:rsidR="00732E04" w:rsidRPr="009300D9">
        <w:rPr>
          <w:rFonts w:ascii="Times New Roman" w:hAnsi="Times New Roman" w:cs="Times New Roman"/>
          <w:szCs w:val="24"/>
        </w:rPr>
        <w:t xml:space="preserve">. </w:t>
      </w:r>
      <w:r w:rsidR="003F7E9E" w:rsidRPr="009300D9">
        <w:rPr>
          <w:rFonts w:ascii="Times New Roman" w:hAnsi="Times New Roman" w:cs="Times New Roman"/>
          <w:szCs w:val="24"/>
        </w:rPr>
        <w:t>z</w:t>
      </w:r>
      <w:r w:rsidR="00732E04" w:rsidRPr="009300D9">
        <w:rPr>
          <w:rFonts w:ascii="Times New Roman" w:hAnsi="Times New Roman" w:cs="Times New Roman"/>
          <w:szCs w:val="24"/>
        </w:rPr>
        <w:t>m.)</w:t>
      </w:r>
      <w:r w:rsidR="003F7E9E" w:rsidRPr="009300D9">
        <w:rPr>
          <w:rFonts w:ascii="Times New Roman" w:hAnsi="Times New Roman" w:cs="Times New Roman"/>
          <w:szCs w:val="24"/>
        </w:rPr>
        <w:t>,</w:t>
      </w:r>
      <w:r w:rsidR="00DC70D3" w:rsidRPr="009300D9">
        <w:rPr>
          <w:rFonts w:ascii="Times New Roman" w:hAnsi="Times New Roman" w:cs="Times New Roman"/>
          <w:szCs w:val="24"/>
        </w:rPr>
        <w:t xml:space="preserve"> </w:t>
      </w:r>
      <w:r w:rsidR="00C71329" w:rsidRPr="009300D9">
        <w:rPr>
          <w:rFonts w:ascii="Times New Roman" w:hAnsi="Times New Roman" w:cs="Times New Roman"/>
          <w:szCs w:val="24"/>
        </w:rPr>
        <w:t>zwan</w:t>
      </w:r>
      <w:r w:rsidR="003F7E9E" w:rsidRPr="009300D9">
        <w:rPr>
          <w:rFonts w:ascii="Times New Roman" w:hAnsi="Times New Roman" w:cs="Times New Roman"/>
          <w:szCs w:val="24"/>
        </w:rPr>
        <w:t>ej</w:t>
      </w:r>
      <w:r w:rsidR="00C71329" w:rsidRPr="009300D9">
        <w:rPr>
          <w:rFonts w:ascii="Times New Roman" w:hAnsi="Times New Roman" w:cs="Times New Roman"/>
          <w:szCs w:val="24"/>
        </w:rPr>
        <w:t xml:space="preserve"> dalej</w:t>
      </w:r>
      <w:r w:rsidR="00DC70D3" w:rsidRPr="009300D9">
        <w:rPr>
          <w:rFonts w:ascii="Times New Roman" w:hAnsi="Times New Roman" w:cs="Times New Roman"/>
          <w:szCs w:val="24"/>
        </w:rPr>
        <w:t xml:space="preserve"> </w:t>
      </w:r>
      <w:r w:rsidR="003F7E9E" w:rsidRPr="009300D9">
        <w:rPr>
          <w:rFonts w:ascii="Times New Roman" w:hAnsi="Times New Roman" w:cs="Times New Roman"/>
          <w:szCs w:val="24"/>
        </w:rPr>
        <w:t>„</w:t>
      </w:r>
      <w:r w:rsidR="00DC70D3" w:rsidRPr="009300D9">
        <w:rPr>
          <w:rFonts w:ascii="Times New Roman" w:hAnsi="Times New Roman" w:cs="Times New Roman"/>
          <w:szCs w:val="24"/>
        </w:rPr>
        <w:t>ustawą POŚ</w:t>
      </w:r>
      <w:r w:rsidR="003F7E9E" w:rsidRPr="009300D9">
        <w:rPr>
          <w:rFonts w:ascii="Times New Roman" w:hAnsi="Times New Roman" w:cs="Times New Roman"/>
          <w:szCs w:val="24"/>
        </w:rPr>
        <w:t>”</w:t>
      </w:r>
      <w:r w:rsidR="00DC70D3" w:rsidRPr="009300D9">
        <w:rPr>
          <w:rFonts w:ascii="Times New Roman" w:hAnsi="Times New Roman" w:cs="Times New Roman"/>
          <w:szCs w:val="24"/>
        </w:rPr>
        <w:t xml:space="preserve">. Odpowiedzialnym za opracowanie programów priorytetowych będzie </w:t>
      </w:r>
      <w:r w:rsidR="00597597" w:rsidRPr="009300D9">
        <w:rPr>
          <w:rFonts w:ascii="Times New Roman" w:hAnsi="Times New Roman" w:cs="Times New Roman"/>
          <w:szCs w:val="24"/>
        </w:rPr>
        <w:t xml:space="preserve">Zarząd </w:t>
      </w:r>
      <w:proofErr w:type="spellStart"/>
      <w:r w:rsidR="00597597" w:rsidRPr="009300D9">
        <w:rPr>
          <w:rFonts w:ascii="Times New Roman" w:hAnsi="Times New Roman" w:cs="Times New Roman"/>
          <w:szCs w:val="24"/>
        </w:rPr>
        <w:t>NFOŚiGW</w:t>
      </w:r>
      <w:proofErr w:type="spellEnd"/>
      <w:r w:rsidR="00FA359F" w:rsidRPr="009300D9">
        <w:rPr>
          <w:rFonts w:ascii="Times New Roman" w:hAnsi="Times New Roman" w:cs="Times New Roman"/>
          <w:szCs w:val="24"/>
        </w:rPr>
        <w:t>. Swoistym novum w stosunku do regulacji zawartych w ustawie POŚ będzie</w:t>
      </w:r>
      <w:r w:rsidR="007F0625" w:rsidRPr="009300D9">
        <w:rPr>
          <w:rFonts w:ascii="Times New Roman" w:hAnsi="Times New Roman" w:cs="Times New Roman"/>
          <w:szCs w:val="24"/>
        </w:rPr>
        <w:t xml:space="preserve"> </w:t>
      </w:r>
      <w:r w:rsidR="00FA359F" w:rsidRPr="009300D9">
        <w:rPr>
          <w:rFonts w:ascii="Times New Roman" w:hAnsi="Times New Roman" w:cs="Times New Roman"/>
          <w:szCs w:val="24"/>
        </w:rPr>
        <w:t xml:space="preserve">obowiązek zasięgnięcia przez </w:t>
      </w:r>
      <w:r w:rsidR="00931F57" w:rsidRPr="009300D9">
        <w:rPr>
          <w:rFonts w:ascii="Times New Roman" w:hAnsi="Times New Roman" w:cs="Times New Roman"/>
          <w:szCs w:val="24"/>
        </w:rPr>
        <w:t>ministra właściwego do spraw klimatu</w:t>
      </w:r>
      <w:r w:rsidR="00FA359F" w:rsidRPr="009300D9">
        <w:rPr>
          <w:rFonts w:ascii="Times New Roman" w:hAnsi="Times New Roman" w:cs="Times New Roman"/>
          <w:szCs w:val="24"/>
        </w:rPr>
        <w:t xml:space="preserve"> </w:t>
      </w:r>
      <w:r w:rsidR="007F0625" w:rsidRPr="009300D9">
        <w:rPr>
          <w:rFonts w:ascii="Times New Roman" w:hAnsi="Times New Roman" w:cs="Times New Roman"/>
          <w:szCs w:val="24"/>
        </w:rPr>
        <w:t xml:space="preserve">opinii </w:t>
      </w:r>
      <w:r w:rsidR="00FA359F" w:rsidRPr="009300D9">
        <w:rPr>
          <w:rFonts w:ascii="Times New Roman" w:hAnsi="Times New Roman" w:cs="Times New Roman"/>
          <w:szCs w:val="24"/>
        </w:rPr>
        <w:t>Rad</w:t>
      </w:r>
      <w:r w:rsidR="00931F57" w:rsidRPr="009300D9">
        <w:rPr>
          <w:rFonts w:ascii="Times New Roman" w:hAnsi="Times New Roman" w:cs="Times New Roman"/>
          <w:szCs w:val="24"/>
        </w:rPr>
        <w:t>y</w:t>
      </w:r>
      <w:r w:rsidR="00FA359F" w:rsidRPr="009300D9">
        <w:rPr>
          <w:rFonts w:ascii="Times New Roman" w:hAnsi="Times New Roman" w:cs="Times New Roman"/>
          <w:szCs w:val="24"/>
        </w:rPr>
        <w:t xml:space="preserve"> Konsultacyjnej</w:t>
      </w:r>
      <w:r w:rsidR="00EB3B74" w:rsidRPr="009300D9">
        <w:rPr>
          <w:rFonts w:ascii="Times New Roman" w:hAnsi="Times New Roman" w:cs="Times New Roman"/>
          <w:szCs w:val="24"/>
        </w:rPr>
        <w:t xml:space="preserve"> w zakresie każdego programu priorytetowego, który ma być finansowany ze środków Funduszu</w:t>
      </w:r>
      <w:r w:rsidR="007F0625" w:rsidRPr="009300D9">
        <w:rPr>
          <w:rFonts w:ascii="Times New Roman" w:hAnsi="Times New Roman" w:cs="Times New Roman"/>
          <w:szCs w:val="24"/>
        </w:rPr>
        <w:t>.</w:t>
      </w:r>
      <w:r w:rsidR="00597597" w:rsidRPr="009300D9">
        <w:rPr>
          <w:rFonts w:ascii="Times New Roman" w:hAnsi="Times New Roman" w:cs="Times New Roman"/>
          <w:szCs w:val="24"/>
        </w:rPr>
        <w:t xml:space="preserve"> Rada Konsultacyjna Funduszu będzie organem doradczym ministra właściwego do spraw klimatu w zakresie funkcjonowania Krajowego systemu wdrażania Funduszu. Rada będzie działała na podstawie regulaminu przyjętego przez ministra właściwego ds. klimatu. </w:t>
      </w:r>
      <w:r w:rsidR="00D4307F" w:rsidRPr="009300D9">
        <w:rPr>
          <w:rFonts w:ascii="Times New Roman" w:hAnsi="Times New Roman" w:cs="Times New Roman"/>
          <w:szCs w:val="24"/>
        </w:rPr>
        <w:t xml:space="preserve">Opinia Rady Konsultacyjnej będzie wiążąca dla </w:t>
      </w:r>
      <w:r w:rsidR="006F6E76" w:rsidRPr="009300D9">
        <w:rPr>
          <w:rFonts w:ascii="Times New Roman" w:hAnsi="Times New Roman" w:cs="Times New Roman"/>
          <w:szCs w:val="24"/>
        </w:rPr>
        <w:t>krajowego o</w:t>
      </w:r>
      <w:r w:rsidR="00D4307F" w:rsidRPr="009300D9">
        <w:rPr>
          <w:rFonts w:ascii="Times New Roman" w:hAnsi="Times New Roman" w:cs="Times New Roman"/>
          <w:szCs w:val="24"/>
        </w:rPr>
        <w:t>peratora Funduszu.</w:t>
      </w:r>
    </w:p>
    <w:p w14:paraId="43898BDE" w14:textId="5B717CE0" w:rsidR="00597597" w:rsidRPr="009300D9" w:rsidRDefault="00597597" w:rsidP="009300D9">
      <w:pPr>
        <w:pStyle w:val="p3"/>
        <w:spacing w:before="0" w:beforeAutospacing="0" w:after="120" w:afterAutospacing="0" w:line="276" w:lineRule="auto"/>
        <w:jc w:val="both"/>
      </w:pPr>
      <w:r w:rsidRPr="009300D9">
        <w:t xml:space="preserve">W </w:t>
      </w:r>
      <w:r w:rsidR="006F0E6D" w:rsidRPr="009300D9">
        <w:t>skład</w:t>
      </w:r>
      <w:r w:rsidRPr="009300D9">
        <w:t xml:space="preserve"> Rady </w:t>
      </w:r>
      <w:r w:rsidR="006F0E6D" w:rsidRPr="009300D9">
        <w:t>Konsultacyjnej</w:t>
      </w:r>
      <w:r w:rsidRPr="009300D9">
        <w:t xml:space="preserve"> będ</w:t>
      </w:r>
      <w:r w:rsidR="007F0625" w:rsidRPr="009300D9">
        <w:t>ą</w:t>
      </w:r>
      <w:r w:rsidRPr="009300D9">
        <w:t xml:space="preserve"> wchodzili przedstawiciele :</w:t>
      </w:r>
    </w:p>
    <w:p w14:paraId="0EC7AA61" w14:textId="77777777" w:rsidR="00597597" w:rsidRPr="009300D9" w:rsidRDefault="00597597"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lastRenderedPageBreak/>
        <w:t>1) ministra właściwego do spraw klimatu;</w:t>
      </w:r>
    </w:p>
    <w:p w14:paraId="1CDFFFD7" w14:textId="67DC564A" w:rsidR="00597597" w:rsidRPr="009300D9" w:rsidRDefault="00597597"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2) ministra właściwego do spraw gospodarki;</w:t>
      </w:r>
    </w:p>
    <w:p w14:paraId="0AE731DF" w14:textId="5FED30FB" w:rsidR="006C595F"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3) ministra właściwego do spraw pracy;</w:t>
      </w:r>
    </w:p>
    <w:p w14:paraId="5866A236" w14:textId="5E4FA924"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4</w:t>
      </w:r>
      <w:r w:rsidR="00597597" w:rsidRPr="009300D9">
        <w:rPr>
          <w:rFonts w:ascii="Times New Roman" w:hAnsi="Times New Roman" w:cs="Times New Roman"/>
          <w:szCs w:val="24"/>
        </w:rPr>
        <w:t>) ministra właściwego do spraw energii;</w:t>
      </w:r>
    </w:p>
    <w:p w14:paraId="1C7F056E" w14:textId="22E9FBD4" w:rsidR="006C595F"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5) ministra właściwego do spraw środowiska;</w:t>
      </w:r>
    </w:p>
    <w:p w14:paraId="7469D9EA" w14:textId="1E2F082D"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6</w:t>
      </w:r>
      <w:r w:rsidR="00597597" w:rsidRPr="009300D9">
        <w:rPr>
          <w:rFonts w:ascii="Times New Roman" w:hAnsi="Times New Roman" w:cs="Times New Roman"/>
          <w:szCs w:val="24"/>
        </w:rPr>
        <w:t>) ministra właściwego do spraw rozwoju regionalnego;</w:t>
      </w:r>
    </w:p>
    <w:p w14:paraId="1BD9E038" w14:textId="0D597028"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7</w:t>
      </w:r>
      <w:r w:rsidR="00597597" w:rsidRPr="009300D9">
        <w:rPr>
          <w:rFonts w:ascii="Times New Roman" w:hAnsi="Times New Roman" w:cs="Times New Roman"/>
          <w:szCs w:val="24"/>
        </w:rPr>
        <w:t>) ministra właściwego do spraw finansów publicznych;</w:t>
      </w:r>
    </w:p>
    <w:p w14:paraId="107B81B7" w14:textId="3B305EC9"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8</w:t>
      </w:r>
      <w:r w:rsidR="00597597" w:rsidRPr="009300D9">
        <w:rPr>
          <w:rFonts w:ascii="Times New Roman" w:hAnsi="Times New Roman" w:cs="Times New Roman"/>
          <w:szCs w:val="24"/>
        </w:rPr>
        <w:t>) ministra właściwego do spraw rolnictwa;</w:t>
      </w:r>
    </w:p>
    <w:p w14:paraId="6D2BF3E3" w14:textId="49B11DF6"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9</w:t>
      </w:r>
      <w:r w:rsidR="00597597" w:rsidRPr="009300D9">
        <w:rPr>
          <w:rFonts w:ascii="Times New Roman" w:hAnsi="Times New Roman" w:cs="Times New Roman"/>
          <w:szCs w:val="24"/>
        </w:rPr>
        <w:t>) ministra właściwego do spraw transportu;</w:t>
      </w:r>
    </w:p>
    <w:p w14:paraId="4A384453" w14:textId="2AD73126"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10</w:t>
      </w:r>
      <w:r w:rsidR="00597597" w:rsidRPr="009300D9">
        <w:rPr>
          <w:rFonts w:ascii="Times New Roman" w:hAnsi="Times New Roman" w:cs="Times New Roman"/>
          <w:szCs w:val="24"/>
        </w:rPr>
        <w:t>) ministra właściwego do spraw budownictwa, planowania i zagospodarowania przestrzennego oraz mieszkalnictwa;</w:t>
      </w:r>
    </w:p>
    <w:p w14:paraId="6BA1FD8A" w14:textId="1C853CEC" w:rsidR="00597597"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11</w:t>
      </w:r>
      <w:r w:rsidR="00597597" w:rsidRPr="009300D9">
        <w:rPr>
          <w:rFonts w:ascii="Times New Roman" w:hAnsi="Times New Roman" w:cs="Times New Roman"/>
          <w:szCs w:val="24"/>
        </w:rPr>
        <w:t>) ministra właściwego do spraw gospodarki wodnej;</w:t>
      </w:r>
    </w:p>
    <w:p w14:paraId="29E741E5" w14:textId="3E7EF377" w:rsidR="006F0E6D" w:rsidRPr="009300D9" w:rsidRDefault="006C595F" w:rsidP="009300D9">
      <w:pPr>
        <w:pStyle w:val="PKTpunkt"/>
        <w:spacing w:after="120" w:line="276" w:lineRule="auto"/>
        <w:ind w:firstLine="0"/>
        <w:rPr>
          <w:rFonts w:ascii="Times New Roman" w:hAnsi="Times New Roman" w:cs="Times New Roman"/>
          <w:szCs w:val="24"/>
        </w:rPr>
      </w:pPr>
      <w:r w:rsidRPr="009300D9">
        <w:rPr>
          <w:rFonts w:ascii="Times New Roman" w:hAnsi="Times New Roman" w:cs="Times New Roman"/>
          <w:szCs w:val="24"/>
        </w:rPr>
        <w:t>12</w:t>
      </w:r>
      <w:r w:rsidR="00597597" w:rsidRPr="009300D9">
        <w:rPr>
          <w:rFonts w:ascii="Times New Roman" w:hAnsi="Times New Roman" w:cs="Times New Roman"/>
          <w:szCs w:val="24"/>
        </w:rPr>
        <w:t>) ministra właściwego do spraw aktywów państwowych.</w:t>
      </w:r>
    </w:p>
    <w:p w14:paraId="52F2E057" w14:textId="5A84C9E0" w:rsidR="00E8645E" w:rsidRPr="009300D9" w:rsidRDefault="00DC70D3" w:rsidP="009300D9">
      <w:pPr>
        <w:pStyle w:val="USTustnpkodeksu"/>
        <w:spacing w:after="120" w:line="276" w:lineRule="auto"/>
        <w:ind w:firstLine="0"/>
        <w:rPr>
          <w:rFonts w:ascii="Times New Roman" w:hAnsi="Times New Roman" w:cs="Times New Roman"/>
          <w:szCs w:val="24"/>
        </w:rPr>
      </w:pPr>
      <w:r w:rsidRPr="009300D9">
        <w:rPr>
          <w:rFonts w:ascii="Times New Roman" w:hAnsi="Times New Roman" w:cs="Times New Roman"/>
          <w:szCs w:val="24"/>
        </w:rPr>
        <w:t xml:space="preserve">W pracach Rady Konsultacyjnej Funduszu </w:t>
      </w:r>
      <w:r w:rsidR="00732E04" w:rsidRPr="009300D9">
        <w:rPr>
          <w:rFonts w:ascii="Times New Roman" w:hAnsi="Times New Roman" w:cs="Times New Roman"/>
          <w:szCs w:val="24"/>
        </w:rPr>
        <w:t>będzie brał</w:t>
      </w:r>
      <w:r w:rsidRPr="009300D9">
        <w:rPr>
          <w:rFonts w:ascii="Times New Roman" w:hAnsi="Times New Roman" w:cs="Times New Roman"/>
          <w:szCs w:val="24"/>
        </w:rPr>
        <w:t xml:space="preserve"> udział, w charakterze obserwatora bez prawa głosu, przedstawiciel Krajowego operatora</w:t>
      </w:r>
      <w:r w:rsidR="006F6E76" w:rsidRPr="009300D9">
        <w:rPr>
          <w:rFonts w:ascii="Times New Roman" w:hAnsi="Times New Roman" w:cs="Times New Roman"/>
          <w:szCs w:val="24"/>
        </w:rPr>
        <w:t xml:space="preserve"> Funduszu</w:t>
      </w:r>
      <w:r w:rsidRPr="009300D9">
        <w:rPr>
          <w:rFonts w:ascii="Times New Roman" w:hAnsi="Times New Roman" w:cs="Times New Roman"/>
          <w:szCs w:val="24"/>
        </w:rPr>
        <w:t xml:space="preserve">. </w:t>
      </w:r>
    </w:p>
    <w:p w14:paraId="0CF1DFAC" w14:textId="411BDD0A" w:rsidR="00AC4D89" w:rsidRPr="009300D9" w:rsidRDefault="00AC4D89" w:rsidP="009300D9">
      <w:pPr>
        <w:pStyle w:val="USTustnpkodeksu"/>
        <w:spacing w:after="120" w:line="276" w:lineRule="auto"/>
        <w:ind w:firstLine="0"/>
        <w:rPr>
          <w:rFonts w:ascii="Times New Roman" w:hAnsi="Times New Roman" w:cs="Times New Roman"/>
          <w:szCs w:val="24"/>
        </w:rPr>
      </w:pPr>
      <w:r w:rsidRPr="009300D9">
        <w:rPr>
          <w:rFonts w:ascii="Times New Roman" w:hAnsi="Times New Roman" w:cs="Times New Roman"/>
          <w:szCs w:val="24"/>
        </w:rPr>
        <w:t>Zaproponowany sposób przyjmowania programów priorytetowych w postaci zasięgnięcia opinii ciała kolegialnego jest niezbędny z uwagi na zainteresowanie wielu resortów rodzajami projektów, któ</w:t>
      </w:r>
      <w:r w:rsidR="00D4307F" w:rsidRPr="009300D9">
        <w:rPr>
          <w:rFonts w:ascii="Times New Roman" w:hAnsi="Times New Roman" w:cs="Times New Roman"/>
          <w:szCs w:val="24"/>
        </w:rPr>
        <w:t>r</w:t>
      </w:r>
      <w:r w:rsidRPr="009300D9">
        <w:rPr>
          <w:rFonts w:ascii="Times New Roman" w:hAnsi="Times New Roman" w:cs="Times New Roman"/>
          <w:szCs w:val="24"/>
        </w:rPr>
        <w:t xml:space="preserve">e mogą uzyskać dofinansowanie ze środków Funduszu. Zasadnym jest, aby </w:t>
      </w:r>
      <w:r w:rsidR="004C6EFD" w:rsidRPr="009300D9">
        <w:rPr>
          <w:rFonts w:ascii="Times New Roman" w:hAnsi="Times New Roman" w:cs="Times New Roman"/>
          <w:szCs w:val="24"/>
        </w:rPr>
        <w:br/>
      </w:r>
      <w:r w:rsidRPr="009300D9">
        <w:rPr>
          <w:rFonts w:ascii="Times New Roman" w:hAnsi="Times New Roman" w:cs="Times New Roman"/>
          <w:szCs w:val="24"/>
        </w:rPr>
        <w:t xml:space="preserve">w ocenie programów priorytetowych w tych obszarach słyszalny był głos przedstawicieli właściwych ministerstw. Przyjęcie programu priorytetowego zakończy krajowy etap procesu dotyczący wskazania kierunków finansowania inwestycji na terenie </w:t>
      </w:r>
      <w:r w:rsidR="004C6EFD" w:rsidRPr="009300D9">
        <w:rPr>
          <w:rFonts w:ascii="Times New Roman" w:hAnsi="Times New Roman" w:cs="Times New Roman"/>
          <w:szCs w:val="24"/>
        </w:rPr>
        <w:t>Rzeczypospolitej Polskiej</w:t>
      </w:r>
      <w:r w:rsidRPr="009300D9">
        <w:rPr>
          <w:rFonts w:ascii="Times New Roman" w:hAnsi="Times New Roman" w:cs="Times New Roman"/>
          <w:szCs w:val="24"/>
        </w:rPr>
        <w:t xml:space="preserve">. Kolejnym etapem procesu będzie etap uzgodnień na poziomie </w:t>
      </w:r>
      <w:r w:rsidR="00B74072" w:rsidRPr="009300D9">
        <w:rPr>
          <w:rFonts w:ascii="Times New Roman" w:hAnsi="Times New Roman" w:cs="Times New Roman"/>
          <w:szCs w:val="24"/>
        </w:rPr>
        <w:t>EBI</w:t>
      </w:r>
      <w:r w:rsidRPr="009300D9">
        <w:rPr>
          <w:rFonts w:ascii="Times New Roman" w:hAnsi="Times New Roman" w:cs="Times New Roman"/>
          <w:szCs w:val="24"/>
        </w:rPr>
        <w:t xml:space="preserve"> i Komisji Europejskiej. </w:t>
      </w:r>
      <w:r w:rsidR="00D4307F" w:rsidRPr="009300D9">
        <w:rPr>
          <w:rFonts w:ascii="Times New Roman" w:hAnsi="Times New Roman" w:cs="Times New Roman"/>
          <w:szCs w:val="24"/>
        </w:rPr>
        <w:t>O</w:t>
      </w:r>
      <w:r w:rsidRPr="009300D9">
        <w:rPr>
          <w:rFonts w:ascii="Times New Roman" w:hAnsi="Times New Roman" w:cs="Times New Roman"/>
          <w:szCs w:val="24"/>
        </w:rPr>
        <w:t>perator Funduszu będzie zobowiązany do przekazania programu priorytetowego w obszarze priorytetowym zawierającego listę konkretnych inwestycji oraz informacji na ich temat zgodnie z wymogami rozporządzenia</w:t>
      </w:r>
      <w:r w:rsidR="00D4307F" w:rsidRPr="009300D9">
        <w:rPr>
          <w:rFonts w:ascii="Times New Roman" w:hAnsi="Times New Roman" w:cs="Times New Roman"/>
          <w:szCs w:val="24"/>
        </w:rPr>
        <w:t xml:space="preserve"> wydanego na podstawie art. 12d ust. 12 dyrektywy ETS</w:t>
      </w:r>
      <w:r w:rsidRPr="009300D9">
        <w:rPr>
          <w:rFonts w:ascii="Times New Roman" w:hAnsi="Times New Roman" w:cs="Times New Roman"/>
          <w:szCs w:val="24"/>
        </w:rPr>
        <w:t xml:space="preserve"> do EBI, w celu potwierdzenia zgodności tego programu z art. 10d tej </w:t>
      </w:r>
      <w:r w:rsidR="00D55BE8" w:rsidRPr="009300D9">
        <w:rPr>
          <w:rFonts w:ascii="Times New Roman" w:hAnsi="Times New Roman" w:cs="Times New Roman"/>
          <w:szCs w:val="24"/>
        </w:rPr>
        <w:t>D</w:t>
      </w:r>
      <w:r w:rsidRPr="009300D9">
        <w:rPr>
          <w:rFonts w:ascii="Times New Roman" w:hAnsi="Times New Roman" w:cs="Times New Roman"/>
          <w:szCs w:val="24"/>
        </w:rPr>
        <w:t xml:space="preserve">yrektywy 2018/410, która określa cele na jakie mogą być wydatkowane środki Funduszu. W przypadku gdy program priorytetowy przyjęty przez </w:t>
      </w:r>
      <w:proofErr w:type="spellStart"/>
      <w:r w:rsidRPr="009300D9">
        <w:rPr>
          <w:rFonts w:ascii="Times New Roman" w:hAnsi="Times New Roman" w:cs="Times New Roman"/>
          <w:szCs w:val="24"/>
        </w:rPr>
        <w:t>NFOŚiGW</w:t>
      </w:r>
      <w:proofErr w:type="spellEnd"/>
      <w:r w:rsidRPr="009300D9">
        <w:rPr>
          <w:rFonts w:ascii="Times New Roman" w:hAnsi="Times New Roman" w:cs="Times New Roman"/>
          <w:szCs w:val="24"/>
        </w:rPr>
        <w:t xml:space="preserve"> będzie dotyczył inwestycji w obszarach </w:t>
      </w:r>
      <w:proofErr w:type="spellStart"/>
      <w:r w:rsidRPr="009300D9">
        <w:rPr>
          <w:rFonts w:ascii="Times New Roman" w:hAnsi="Times New Roman" w:cs="Times New Roman"/>
          <w:szCs w:val="24"/>
        </w:rPr>
        <w:t>niepriorytetowych</w:t>
      </w:r>
      <w:proofErr w:type="spellEnd"/>
      <w:r w:rsidRPr="009300D9">
        <w:rPr>
          <w:rFonts w:ascii="Times New Roman" w:hAnsi="Times New Roman" w:cs="Times New Roman"/>
          <w:szCs w:val="24"/>
        </w:rPr>
        <w:t xml:space="preserve">, </w:t>
      </w:r>
      <w:r w:rsidR="006446D9" w:rsidRPr="009300D9">
        <w:rPr>
          <w:rFonts w:ascii="Times New Roman" w:hAnsi="Times New Roman" w:cs="Times New Roman"/>
          <w:szCs w:val="24"/>
        </w:rPr>
        <w:t xml:space="preserve">Krajowy operator Funduszu </w:t>
      </w:r>
      <w:r w:rsidRPr="009300D9">
        <w:rPr>
          <w:rFonts w:ascii="Times New Roman" w:hAnsi="Times New Roman" w:cs="Times New Roman"/>
          <w:szCs w:val="24"/>
        </w:rPr>
        <w:t xml:space="preserve">przekaże go także Komitetowi Inwestycyjnemu, celem wydania rekomendacji co do zgodności z celami Dyrektywy 2018/410. Warunkiem ogłoszenia przez </w:t>
      </w:r>
      <w:r w:rsidR="006446D9" w:rsidRPr="009300D9">
        <w:rPr>
          <w:rFonts w:ascii="Times New Roman" w:hAnsi="Times New Roman" w:cs="Times New Roman"/>
          <w:szCs w:val="24"/>
        </w:rPr>
        <w:t xml:space="preserve">Krajowego operatora Funduszu </w:t>
      </w:r>
      <w:r w:rsidRPr="009300D9">
        <w:rPr>
          <w:rFonts w:ascii="Times New Roman" w:hAnsi="Times New Roman" w:cs="Times New Roman"/>
          <w:szCs w:val="24"/>
        </w:rPr>
        <w:t xml:space="preserve">naboru wniosków </w:t>
      </w:r>
      <w:r w:rsidR="000F5448" w:rsidRPr="009300D9">
        <w:rPr>
          <w:rFonts w:ascii="Times New Roman" w:hAnsi="Times New Roman" w:cs="Times New Roman"/>
          <w:szCs w:val="24"/>
        </w:rPr>
        <w:br/>
      </w:r>
      <w:r w:rsidRPr="009300D9">
        <w:rPr>
          <w:rFonts w:ascii="Times New Roman" w:hAnsi="Times New Roman" w:cs="Times New Roman"/>
          <w:szCs w:val="24"/>
        </w:rPr>
        <w:t>o dofinansowanie ze środków Funduszu (w trybie konkursowym lub ciągłym), rozpoczęcia działań promocyjnych i udzielania potencjalnym beneficjentom wsparcia technicznego będzie:</w:t>
      </w:r>
    </w:p>
    <w:p w14:paraId="361E820E" w14:textId="77777777" w:rsidR="00AC4D89" w:rsidRPr="009300D9" w:rsidRDefault="00AC4D89" w:rsidP="009300D9">
      <w:pPr>
        <w:pStyle w:val="Akapitzlist"/>
        <w:numPr>
          <w:ilvl w:val="0"/>
          <w:numId w:val="4"/>
        </w:numPr>
        <w:spacing w:after="120" w:line="276" w:lineRule="auto"/>
        <w:ind w:left="567" w:firstLine="0"/>
        <w:jc w:val="both"/>
        <w:rPr>
          <w:rFonts w:ascii="Times New Roman" w:eastAsiaTheme="minorEastAsia" w:hAnsi="Times New Roman" w:cs="Times New Roman"/>
          <w:sz w:val="24"/>
          <w:szCs w:val="24"/>
        </w:rPr>
      </w:pPr>
      <w:r w:rsidRPr="009300D9">
        <w:rPr>
          <w:rFonts w:ascii="Times New Roman" w:eastAsiaTheme="minorEastAsia" w:hAnsi="Times New Roman" w:cs="Times New Roman"/>
          <w:sz w:val="24"/>
          <w:szCs w:val="24"/>
        </w:rPr>
        <w:t>w przypadku inwestycji należących do obszarów priorytetowych - potwierdzenie EBI, że przedsięwzięcia, które mogą zostać dofinansowane należą do tych obszarów;</w:t>
      </w:r>
    </w:p>
    <w:p w14:paraId="4B70323F" w14:textId="77777777" w:rsidR="00AC4D89" w:rsidRPr="009300D9" w:rsidRDefault="00AC4D89" w:rsidP="009300D9">
      <w:pPr>
        <w:pStyle w:val="Akapitzlist"/>
        <w:numPr>
          <w:ilvl w:val="0"/>
          <w:numId w:val="4"/>
        </w:numPr>
        <w:spacing w:after="120" w:line="276" w:lineRule="auto"/>
        <w:ind w:hanging="153"/>
        <w:jc w:val="both"/>
        <w:rPr>
          <w:rFonts w:ascii="Times New Roman" w:eastAsiaTheme="minorEastAsia" w:hAnsi="Times New Roman" w:cs="Times New Roman"/>
          <w:sz w:val="24"/>
          <w:szCs w:val="24"/>
        </w:rPr>
      </w:pPr>
      <w:r w:rsidRPr="009300D9">
        <w:rPr>
          <w:rFonts w:ascii="Times New Roman" w:eastAsiaTheme="minorEastAsia" w:hAnsi="Times New Roman" w:cs="Times New Roman"/>
          <w:sz w:val="24"/>
          <w:szCs w:val="24"/>
        </w:rPr>
        <w:lastRenderedPageBreak/>
        <w:t xml:space="preserve">w przypadku inwestycji należących do obszarów </w:t>
      </w:r>
      <w:proofErr w:type="spellStart"/>
      <w:r w:rsidRPr="009300D9">
        <w:rPr>
          <w:rFonts w:ascii="Times New Roman" w:eastAsiaTheme="minorEastAsia" w:hAnsi="Times New Roman" w:cs="Times New Roman"/>
          <w:sz w:val="24"/>
          <w:szCs w:val="24"/>
        </w:rPr>
        <w:t>niepriorytetowych</w:t>
      </w:r>
      <w:proofErr w:type="spellEnd"/>
      <w:r w:rsidRPr="009300D9">
        <w:rPr>
          <w:rFonts w:ascii="Times New Roman" w:eastAsiaTheme="minorEastAsia" w:hAnsi="Times New Roman" w:cs="Times New Roman"/>
          <w:sz w:val="24"/>
          <w:szCs w:val="24"/>
        </w:rPr>
        <w:t xml:space="preserve"> – uzyskanie zalecenia rekomendacji Komitetu Inwestycyjnego o możliwości jej finansowania inwestycji ze środków Funduszu.</w:t>
      </w:r>
      <w:r w:rsidRPr="009300D9">
        <w:rPr>
          <w:rStyle w:val="Odwoanieprzypisudolnego"/>
          <w:rFonts w:ascii="Times New Roman" w:eastAsiaTheme="minorEastAsia" w:hAnsi="Times New Roman" w:cs="Times New Roman"/>
          <w:sz w:val="24"/>
          <w:szCs w:val="24"/>
        </w:rPr>
        <w:footnoteReference w:id="2"/>
      </w:r>
    </w:p>
    <w:p w14:paraId="48858D4C" w14:textId="11C1EA3C" w:rsidR="00A71B1D" w:rsidRPr="009300D9" w:rsidRDefault="007F0625"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 xml:space="preserve">Podmiotem odpowiedzialnym za </w:t>
      </w:r>
      <w:r w:rsidR="00103CFF" w:rsidRPr="009300D9">
        <w:rPr>
          <w:rFonts w:ascii="Times New Roman" w:hAnsi="Times New Roman" w:cs="Times New Roman"/>
          <w:szCs w:val="24"/>
        </w:rPr>
        <w:t xml:space="preserve">wypłatę środków </w:t>
      </w:r>
      <w:r w:rsidR="00A61F06" w:rsidRPr="009300D9">
        <w:rPr>
          <w:rFonts w:ascii="Times New Roman" w:hAnsi="Times New Roman" w:cs="Times New Roman"/>
          <w:szCs w:val="24"/>
        </w:rPr>
        <w:t xml:space="preserve">państwom członkowskim będzie EBI. Jednakże EBI będzie przekazywał państwom członkowskim środki na finansowanie inwestycji tylko po wydaniu decyzji o </w:t>
      </w:r>
      <w:r w:rsidR="00C14A4E" w:rsidRPr="009300D9">
        <w:rPr>
          <w:rFonts w:ascii="Times New Roman" w:hAnsi="Times New Roman" w:cs="Times New Roman"/>
          <w:szCs w:val="24"/>
        </w:rPr>
        <w:t xml:space="preserve">wypłacie środków </w:t>
      </w:r>
      <w:r w:rsidR="00A61F06" w:rsidRPr="009300D9">
        <w:rPr>
          <w:rFonts w:ascii="Times New Roman" w:hAnsi="Times New Roman" w:cs="Times New Roman"/>
          <w:szCs w:val="24"/>
        </w:rPr>
        <w:t>przez Komisję Europejską.</w:t>
      </w:r>
      <w:r w:rsidR="00EA6C22" w:rsidRPr="009300D9">
        <w:rPr>
          <w:rFonts w:ascii="Times New Roman" w:hAnsi="Times New Roman" w:cs="Times New Roman"/>
          <w:szCs w:val="24"/>
        </w:rPr>
        <w:t xml:space="preserve"> Decyzja o wypłacie środków będzie warunkiem koniecznym do rozpoczęcia procesu zawierania umów </w:t>
      </w:r>
      <w:r w:rsidR="004B5CEB" w:rsidRPr="009300D9">
        <w:rPr>
          <w:rFonts w:ascii="Times New Roman" w:hAnsi="Times New Roman" w:cs="Times New Roman"/>
          <w:szCs w:val="24"/>
        </w:rPr>
        <w:br/>
      </w:r>
      <w:r w:rsidR="00EA6C22" w:rsidRPr="009300D9">
        <w:rPr>
          <w:rFonts w:ascii="Times New Roman" w:hAnsi="Times New Roman" w:cs="Times New Roman"/>
          <w:szCs w:val="24"/>
        </w:rPr>
        <w:t>z beneficjentami którzy zostali zakwalifikowani do uzyskania dofinasowania w ramach przyjętych programów</w:t>
      </w:r>
      <w:r w:rsidR="00A71B1D" w:rsidRPr="009300D9">
        <w:rPr>
          <w:rFonts w:ascii="Times New Roman" w:hAnsi="Times New Roman" w:cs="Times New Roman"/>
          <w:szCs w:val="24"/>
        </w:rPr>
        <w:t xml:space="preserve">. Umowa będzie określała w szczególności zakres i częstotliwość składania przez </w:t>
      </w:r>
      <w:r w:rsidR="00851C69" w:rsidRPr="009300D9">
        <w:rPr>
          <w:rFonts w:ascii="Times New Roman" w:hAnsi="Times New Roman" w:cs="Times New Roman"/>
          <w:szCs w:val="24"/>
        </w:rPr>
        <w:t xml:space="preserve">beneficjentów </w:t>
      </w:r>
      <w:r w:rsidR="00A71B1D" w:rsidRPr="009300D9">
        <w:rPr>
          <w:rFonts w:ascii="Times New Roman" w:hAnsi="Times New Roman" w:cs="Times New Roman"/>
          <w:szCs w:val="24"/>
        </w:rPr>
        <w:t>raportów zawierających dane i informacje dotyczące osiągniętych efektów związanych z uniknięciem lub redukcją emisji gazów cieplarnianych, wydatkowania środków uzyskanych z Rachunku Funduszu oraz postępów w realizacji inwestycji.</w:t>
      </w:r>
      <w:r w:rsidR="008D0164" w:rsidRPr="009300D9">
        <w:rPr>
          <w:rFonts w:ascii="Times New Roman" w:hAnsi="Times New Roman" w:cs="Times New Roman"/>
          <w:szCs w:val="24"/>
        </w:rPr>
        <w:t xml:space="preserve"> </w:t>
      </w:r>
    </w:p>
    <w:p w14:paraId="30654BAD" w14:textId="05C2A6D7" w:rsidR="00D53D4D" w:rsidRPr="009300D9" w:rsidRDefault="00315B57"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Środki na dofinansowanie inwestycji w ramach zatwierdzonych programów priorytetowych będą przekazywane bezpośrednio z EBI na </w:t>
      </w:r>
      <w:r w:rsidR="00943C4A" w:rsidRPr="009300D9">
        <w:rPr>
          <w:rFonts w:ascii="Times New Roman" w:hAnsi="Times New Roman" w:cs="Times New Roman"/>
          <w:sz w:val="24"/>
          <w:szCs w:val="24"/>
        </w:rPr>
        <w:t>wyodrębniony rachunek bankowy w</w:t>
      </w:r>
      <w:r w:rsidR="00407047" w:rsidRPr="009300D9">
        <w:rPr>
          <w:rFonts w:ascii="Times New Roman" w:hAnsi="Times New Roman" w:cs="Times New Roman"/>
          <w:sz w:val="24"/>
          <w:szCs w:val="24"/>
        </w:rPr>
        <w:t> </w:t>
      </w:r>
      <w:proofErr w:type="spellStart"/>
      <w:r w:rsidR="00943C4A" w:rsidRPr="009300D9">
        <w:rPr>
          <w:rFonts w:ascii="Times New Roman" w:hAnsi="Times New Roman" w:cs="Times New Roman"/>
          <w:sz w:val="24"/>
          <w:szCs w:val="24"/>
        </w:rPr>
        <w:t>NFOŚ</w:t>
      </w:r>
      <w:r w:rsidR="00407047" w:rsidRPr="009300D9">
        <w:rPr>
          <w:rFonts w:ascii="Times New Roman" w:hAnsi="Times New Roman" w:cs="Times New Roman"/>
          <w:sz w:val="24"/>
          <w:szCs w:val="24"/>
        </w:rPr>
        <w:t>i</w:t>
      </w:r>
      <w:r w:rsidR="00943C4A" w:rsidRPr="009300D9">
        <w:rPr>
          <w:rFonts w:ascii="Times New Roman" w:hAnsi="Times New Roman" w:cs="Times New Roman"/>
          <w:sz w:val="24"/>
          <w:szCs w:val="24"/>
        </w:rPr>
        <w:t>GW</w:t>
      </w:r>
      <w:proofErr w:type="spellEnd"/>
      <w:r w:rsidR="00F14FEF" w:rsidRPr="009300D9">
        <w:rPr>
          <w:rFonts w:ascii="Times New Roman" w:hAnsi="Times New Roman" w:cs="Times New Roman"/>
          <w:sz w:val="24"/>
          <w:szCs w:val="24"/>
        </w:rPr>
        <w:t xml:space="preserve"> (rachunek Funduszu)</w:t>
      </w:r>
      <w:r w:rsidR="00943C4A" w:rsidRPr="009300D9">
        <w:rPr>
          <w:rFonts w:ascii="Times New Roman" w:hAnsi="Times New Roman" w:cs="Times New Roman"/>
          <w:sz w:val="24"/>
          <w:szCs w:val="24"/>
        </w:rPr>
        <w:t>.</w:t>
      </w:r>
    </w:p>
    <w:p w14:paraId="68CAD838" w14:textId="064C0F7A" w:rsidR="00BA5D9C" w:rsidRPr="009300D9" w:rsidRDefault="00BA5D9C"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Przyjęto, zgodnie </w:t>
      </w:r>
      <w:r w:rsidR="00856A0B" w:rsidRPr="009300D9">
        <w:rPr>
          <w:rFonts w:ascii="Times New Roman" w:hAnsi="Times New Roman" w:cs="Times New Roman"/>
          <w:sz w:val="24"/>
          <w:szCs w:val="24"/>
        </w:rPr>
        <w:t xml:space="preserve">z </w:t>
      </w:r>
      <w:r w:rsidR="00D55BE8" w:rsidRPr="009300D9">
        <w:rPr>
          <w:rFonts w:ascii="Times New Roman" w:hAnsi="Times New Roman" w:cs="Times New Roman"/>
          <w:sz w:val="24"/>
          <w:szCs w:val="24"/>
        </w:rPr>
        <w:t>regulacjami D</w:t>
      </w:r>
      <w:r w:rsidRPr="009300D9">
        <w:rPr>
          <w:rFonts w:ascii="Times New Roman" w:hAnsi="Times New Roman" w:cs="Times New Roman"/>
          <w:sz w:val="24"/>
          <w:szCs w:val="24"/>
        </w:rPr>
        <w:t>yrektywy</w:t>
      </w:r>
      <w:r w:rsidR="00F226D1" w:rsidRPr="009300D9">
        <w:rPr>
          <w:rFonts w:ascii="Times New Roman" w:hAnsi="Times New Roman" w:cs="Times New Roman"/>
          <w:sz w:val="24"/>
          <w:szCs w:val="24"/>
        </w:rPr>
        <w:t xml:space="preserve"> </w:t>
      </w:r>
      <w:r w:rsidR="007F7452" w:rsidRPr="009300D9">
        <w:rPr>
          <w:rFonts w:ascii="Times New Roman" w:hAnsi="Times New Roman" w:cs="Times New Roman"/>
          <w:sz w:val="24"/>
          <w:szCs w:val="24"/>
        </w:rPr>
        <w:t>2018/410</w:t>
      </w:r>
      <w:r w:rsidRPr="009300D9">
        <w:rPr>
          <w:rFonts w:ascii="Times New Roman" w:hAnsi="Times New Roman" w:cs="Times New Roman"/>
          <w:sz w:val="24"/>
          <w:szCs w:val="24"/>
        </w:rPr>
        <w:t>, że co najmniej 70% środków</w:t>
      </w:r>
      <w:r w:rsidR="00856A0B" w:rsidRPr="009300D9">
        <w:rPr>
          <w:rFonts w:ascii="Times New Roman" w:hAnsi="Times New Roman" w:cs="Times New Roman"/>
          <w:sz w:val="24"/>
          <w:szCs w:val="24"/>
        </w:rPr>
        <w:t xml:space="preserve"> uzyskanych z puli </w:t>
      </w:r>
      <w:r w:rsidR="00D4307F" w:rsidRPr="009300D9">
        <w:rPr>
          <w:rFonts w:ascii="Times New Roman" w:hAnsi="Times New Roman" w:cs="Times New Roman"/>
          <w:sz w:val="24"/>
          <w:szCs w:val="24"/>
        </w:rPr>
        <w:t>Funduszu</w:t>
      </w:r>
      <w:r w:rsidR="00856A0B" w:rsidRPr="009300D9">
        <w:rPr>
          <w:rFonts w:ascii="Times New Roman" w:hAnsi="Times New Roman" w:cs="Times New Roman"/>
          <w:sz w:val="24"/>
          <w:szCs w:val="24"/>
        </w:rPr>
        <w:t xml:space="preserve"> przypadającej Polsce, zostanie przeznaczona na inwestycje </w:t>
      </w:r>
      <w:r w:rsidR="00EC1A26" w:rsidRPr="009300D9">
        <w:rPr>
          <w:rFonts w:ascii="Times New Roman" w:hAnsi="Times New Roman" w:cs="Times New Roman"/>
          <w:sz w:val="24"/>
          <w:szCs w:val="24"/>
        </w:rPr>
        <w:br/>
      </w:r>
      <w:r w:rsidR="00856A0B" w:rsidRPr="009300D9">
        <w:rPr>
          <w:rFonts w:ascii="Times New Roman" w:hAnsi="Times New Roman" w:cs="Times New Roman"/>
          <w:sz w:val="24"/>
          <w:szCs w:val="24"/>
        </w:rPr>
        <w:t>w obszarach priorytetowych</w:t>
      </w:r>
      <w:r w:rsidR="002414D7" w:rsidRPr="009300D9">
        <w:rPr>
          <w:rFonts w:ascii="Times New Roman" w:hAnsi="Times New Roman" w:cs="Times New Roman"/>
          <w:sz w:val="24"/>
          <w:szCs w:val="24"/>
        </w:rPr>
        <w:t>.</w:t>
      </w:r>
    </w:p>
    <w:p w14:paraId="35FB2C88" w14:textId="538760E7" w:rsidR="00655074" w:rsidRPr="009300D9" w:rsidRDefault="00A71B1D"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Wykorzystanie środkó</w:t>
      </w:r>
      <w:r w:rsidR="00315B57" w:rsidRPr="009300D9">
        <w:rPr>
          <w:rFonts w:ascii="Times New Roman" w:hAnsi="Times New Roman" w:cs="Times New Roman"/>
          <w:szCs w:val="24"/>
        </w:rPr>
        <w:t>w Funduszu będzie</w:t>
      </w:r>
      <w:r w:rsidRPr="009300D9">
        <w:rPr>
          <w:rFonts w:ascii="Times New Roman" w:hAnsi="Times New Roman" w:cs="Times New Roman"/>
          <w:szCs w:val="24"/>
        </w:rPr>
        <w:t xml:space="preserve"> również objęte obowiązkiem sprawozdawczym państwa członkowskiego. Minister właściwy do spraw klimatu corocznie będzie przekazywał Komisji Europejskiej sprawozdanie zawierające informacje o przedsięwzięciach,</w:t>
      </w:r>
      <w:r w:rsidR="00835857" w:rsidRPr="009300D9">
        <w:rPr>
          <w:rFonts w:ascii="Times New Roman" w:hAnsi="Times New Roman" w:cs="Times New Roman"/>
          <w:szCs w:val="24"/>
        </w:rPr>
        <w:t xml:space="preserve"> </w:t>
      </w:r>
      <w:r w:rsidRPr="009300D9">
        <w:rPr>
          <w:rFonts w:ascii="Times New Roman" w:hAnsi="Times New Roman" w:cs="Times New Roman"/>
          <w:szCs w:val="24"/>
        </w:rPr>
        <w:t xml:space="preserve">realizowanych przy pomocy wsparcia ze środków Funduszu, ich finansowaniu oraz ocenę efektów modernizacji systemów energetycznych i zwiększenia efektywności energetycznej osiągniętych dzięki tym przedsięwzięciom. Projekt </w:t>
      </w:r>
      <w:r w:rsidR="00AD3084" w:rsidRPr="009300D9">
        <w:rPr>
          <w:rFonts w:ascii="Times New Roman" w:hAnsi="Times New Roman" w:cs="Times New Roman"/>
          <w:szCs w:val="24"/>
        </w:rPr>
        <w:t>sprawozdania</w:t>
      </w:r>
      <w:r w:rsidRPr="009300D9">
        <w:rPr>
          <w:rFonts w:ascii="Times New Roman" w:hAnsi="Times New Roman" w:cs="Times New Roman"/>
          <w:szCs w:val="24"/>
        </w:rPr>
        <w:t xml:space="preserve"> będzie opracowywał </w:t>
      </w:r>
      <w:proofErr w:type="spellStart"/>
      <w:r w:rsidRPr="009300D9">
        <w:rPr>
          <w:rFonts w:ascii="Times New Roman" w:hAnsi="Times New Roman" w:cs="Times New Roman"/>
          <w:szCs w:val="24"/>
        </w:rPr>
        <w:t>NFOŚ</w:t>
      </w:r>
      <w:r w:rsidR="00407047" w:rsidRPr="009300D9">
        <w:rPr>
          <w:rFonts w:ascii="Times New Roman" w:hAnsi="Times New Roman" w:cs="Times New Roman"/>
          <w:szCs w:val="24"/>
        </w:rPr>
        <w:t>i</w:t>
      </w:r>
      <w:r w:rsidRPr="009300D9">
        <w:rPr>
          <w:rFonts w:ascii="Times New Roman" w:hAnsi="Times New Roman" w:cs="Times New Roman"/>
          <w:szCs w:val="24"/>
        </w:rPr>
        <w:t>GW</w:t>
      </w:r>
      <w:proofErr w:type="spellEnd"/>
      <w:r w:rsidRPr="009300D9">
        <w:rPr>
          <w:rFonts w:ascii="Times New Roman" w:hAnsi="Times New Roman" w:cs="Times New Roman"/>
          <w:szCs w:val="24"/>
        </w:rPr>
        <w:t>.</w:t>
      </w:r>
      <w:r w:rsidR="00AD5053" w:rsidRPr="009300D9">
        <w:rPr>
          <w:rFonts w:ascii="Times New Roman" w:hAnsi="Times New Roman" w:cs="Times New Roman"/>
          <w:szCs w:val="24"/>
        </w:rPr>
        <w:t xml:space="preserve"> W</w:t>
      </w:r>
      <w:r w:rsidR="00407047" w:rsidRPr="009300D9">
        <w:rPr>
          <w:rFonts w:ascii="Times New Roman" w:hAnsi="Times New Roman" w:cs="Times New Roman"/>
          <w:szCs w:val="24"/>
        </w:rPr>
        <w:t> </w:t>
      </w:r>
      <w:r w:rsidR="00AD5053" w:rsidRPr="009300D9">
        <w:rPr>
          <w:rFonts w:ascii="Times New Roman" w:hAnsi="Times New Roman" w:cs="Times New Roman"/>
          <w:szCs w:val="24"/>
        </w:rPr>
        <w:t>celu wykonania przepisów rozporządzenia wydanego</w:t>
      </w:r>
      <w:r w:rsidR="00D55BE8" w:rsidRPr="009300D9">
        <w:rPr>
          <w:rFonts w:ascii="Times New Roman" w:hAnsi="Times New Roman" w:cs="Times New Roman"/>
          <w:szCs w:val="24"/>
        </w:rPr>
        <w:t xml:space="preserve"> na podstawie art. 10d ust. 12 D</w:t>
      </w:r>
      <w:r w:rsidR="00AD5053" w:rsidRPr="009300D9">
        <w:rPr>
          <w:rFonts w:ascii="Times New Roman" w:hAnsi="Times New Roman" w:cs="Times New Roman"/>
          <w:szCs w:val="24"/>
        </w:rPr>
        <w:t xml:space="preserve">yrektywy </w:t>
      </w:r>
      <w:r w:rsidR="007F7452" w:rsidRPr="009300D9">
        <w:rPr>
          <w:rFonts w:ascii="Times New Roman" w:hAnsi="Times New Roman" w:cs="Times New Roman"/>
          <w:szCs w:val="24"/>
        </w:rPr>
        <w:t>2018/410</w:t>
      </w:r>
      <w:r w:rsidR="00655074" w:rsidRPr="009300D9">
        <w:rPr>
          <w:rFonts w:ascii="Times New Roman" w:hAnsi="Times New Roman" w:cs="Times New Roman"/>
          <w:szCs w:val="24"/>
        </w:rPr>
        <w:t xml:space="preserve">, na ministra właściwego do spraw klimatu nałożono obowiązek przekazywania corocznie </w:t>
      </w:r>
      <w:r w:rsidR="00CC33CB" w:rsidRPr="009300D9">
        <w:rPr>
          <w:rFonts w:ascii="Times New Roman" w:hAnsi="Times New Roman" w:cs="Times New Roman"/>
          <w:szCs w:val="24"/>
        </w:rPr>
        <w:t xml:space="preserve">do </w:t>
      </w:r>
      <w:r w:rsidR="00655074" w:rsidRPr="009300D9">
        <w:rPr>
          <w:rFonts w:ascii="Times New Roman" w:hAnsi="Times New Roman" w:cs="Times New Roman"/>
          <w:szCs w:val="24"/>
        </w:rPr>
        <w:t>EBI wykaz</w:t>
      </w:r>
      <w:r w:rsidR="00F45BDA" w:rsidRPr="009300D9">
        <w:rPr>
          <w:rFonts w:ascii="Times New Roman" w:hAnsi="Times New Roman" w:cs="Times New Roman"/>
          <w:szCs w:val="24"/>
        </w:rPr>
        <w:t>u</w:t>
      </w:r>
      <w:r w:rsidR="00655074" w:rsidRPr="009300D9">
        <w:rPr>
          <w:rFonts w:ascii="Times New Roman" w:hAnsi="Times New Roman" w:cs="Times New Roman"/>
          <w:szCs w:val="24"/>
        </w:rPr>
        <w:t xml:space="preserve"> planowanych programów priorytetowych</w:t>
      </w:r>
      <w:r w:rsidR="00F45BDA" w:rsidRPr="009300D9">
        <w:rPr>
          <w:rFonts w:ascii="Times New Roman" w:hAnsi="Times New Roman" w:cs="Times New Roman"/>
          <w:szCs w:val="24"/>
        </w:rPr>
        <w:t>,</w:t>
      </w:r>
      <w:r w:rsidR="00655074" w:rsidRPr="009300D9">
        <w:rPr>
          <w:rFonts w:ascii="Times New Roman" w:hAnsi="Times New Roman" w:cs="Times New Roman"/>
          <w:szCs w:val="24"/>
        </w:rPr>
        <w:t xml:space="preserve"> </w:t>
      </w:r>
      <w:r w:rsidR="00F45BDA" w:rsidRPr="009300D9">
        <w:rPr>
          <w:rFonts w:ascii="Times New Roman" w:hAnsi="Times New Roman" w:cs="Times New Roman"/>
          <w:szCs w:val="24"/>
        </w:rPr>
        <w:t>w ramach których będą inwestycje finansowane</w:t>
      </w:r>
      <w:r w:rsidR="00655074" w:rsidRPr="009300D9">
        <w:rPr>
          <w:rFonts w:ascii="Times New Roman" w:hAnsi="Times New Roman" w:cs="Times New Roman"/>
          <w:szCs w:val="24"/>
        </w:rPr>
        <w:t xml:space="preserve"> ze środków zgromadzonych na rachunku Funduszu, obejmując</w:t>
      </w:r>
      <w:r w:rsidR="00E82EF6" w:rsidRPr="009300D9">
        <w:rPr>
          <w:rFonts w:ascii="Times New Roman" w:hAnsi="Times New Roman" w:cs="Times New Roman"/>
          <w:szCs w:val="24"/>
        </w:rPr>
        <w:t>ego</w:t>
      </w:r>
      <w:r w:rsidR="00655074" w:rsidRPr="009300D9">
        <w:rPr>
          <w:rFonts w:ascii="Times New Roman" w:hAnsi="Times New Roman" w:cs="Times New Roman"/>
          <w:szCs w:val="24"/>
        </w:rPr>
        <w:t xml:space="preserve"> dwa następne lata kalendarzowe. Wykaz </w:t>
      </w:r>
      <w:r w:rsidR="008D0164" w:rsidRPr="009300D9">
        <w:rPr>
          <w:rFonts w:ascii="Times New Roman" w:hAnsi="Times New Roman" w:cs="Times New Roman"/>
          <w:szCs w:val="24"/>
        </w:rPr>
        <w:t>ten minister będzie przekazywał</w:t>
      </w:r>
      <w:r w:rsidR="00655074" w:rsidRPr="009300D9">
        <w:rPr>
          <w:rFonts w:ascii="Times New Roman" w:hAnsi="Times New Roman" w:cs="Times New Roman"/>
          <w:szCs w:val="24"/>
        </w:rPr>
        <w:t xml:space="preserve"> na podstawie danych przekazanych </w:t>
      </w:r>
      <w:r w:rsidR="00E82EF6" w:rsidRPr="009300D9">
        <w:rPr>
          <w:rFonts w:ascii="Times New Roman" w:hAnsi="Times New Roman" w:cs="Times New Roman"/>
          <w:szCs w:val="24"/>
        </w:rPr>
        <w:t xml:space="preserve">przez </w:t>
      </w:r>
      <w:r w:rsidR="00655074" w:rsidRPr="009300D9">
        <w:rPr>
          <w:rFonts w:ascii="Times New Roman" w:hAnsi="Times New Roman" w:cs="Times New Roman"/>
          <w:szCs w:val="24"/>
        </w:rPr>
        <w:t>Krajowego operatora</w:t>
      </w:r>
      <w:r w:rsidR="00835857" w:rsidRPr="009300D9">
        <w:rPr>
          <w:rFonts w:ascii="Times New Roman" w:hAnsi="Times New Roman" w:cs="Times New Roman"/>
          <w:szCs w:val="24"/>
        </w:rPr>
        <w:t xml:space="preserve"> Funduszu</w:t>
      </w:r>
      <w:r w:rsidR="00CC33CB" w:rsidRPr="009300D9">
        <w:rPr>
          <w:rFonts w:ascii="Times New Roman" w:hAnsi="Times New Roman" w:cs="Times New Roman"/>
          <w:szCs w:val="24"/>
        </w:rPr>
        <w:t>.</w:t>
      </w:r>
    </w:p>
    <w:p w14:paraId="3D296E49" w14:textId="2E9B5AE2" w:rsidR="00AD5053" w:rsidRPr="009300D9" w:rsidRDefault="008D0164"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Projektowana ustawa zawiera także regulacje nakładające zwrot środków na beneficjenta lub zawieszenie wypłat w przypadku wykorzystywania środków Funduszu niezgodnie z warunkami określonymi w umowie o</w:t>
      </w:r>
      <w:r w:rsidR="00407047" w:rsidRPr="009300D9">
        <w:rPr>
          <w:rFonts w:ascii="Times New Roman" w:hAnsi="Times New Roman" w:cs="Times New Roman"/>
          <w:szCs w:val="24"/>
        </w:rPr>
        <w:t> </w:t>
      </w:r>
      <w:r w:rsidRPr="009300D9">
        <w:rPr>
          <w:rFonts w:ascii="Times New Roman" w:hAnsi="Times New Roman" w:cs="Times New Roman"/>
          <w:szCs w:val="24"/>
        </w:rPr>
        <w:t xml:space="preserve">dofinansowaniu. </w:t>
      </w:r>
      <w:r w:rsidR="007F11EC" w:rsidRPr="009300D9">
        <w:rPr>
          <w:rFonts w:ascii="Times New Roman" w:hAnsi="Times New Roman" w:cs="Times New Roman"/>
          <w:szCs w:val="24"/>
        </w:rPr>
        <w:t>Mechanizmy zabezpieczające zwrot środków będą szczegółowo określone w</w:t>
      </w:r>
      <w:r w:rsidR="00407047" w:rsidRPr="009300D9">
        <w:rPr>
          <w:rFonts w:ascii="Times New Roman" w:hAnsi="Times New Roman" w:cs="Times New Roman"/>
          <w:szCs w:val="24"/>
        </w:rPr>
        <w:t> </w:t>
      </w:r>
      <w:r w:rsidR="007F11EC" w:rsidRPr="009300D9">
        <w:rPr>
          <w:rFonts w:ascii="Times New Roman" w:hAnsi="Times New Roman" w:cs="Times New Roman"/>
          <w:szCs w:val="24"/>
        </w:rPr>
        <w:t xml:space="preserve">umowie </w:t>
      </w:r>
      <w:r w:rsidR="00A24A6A" w:rsidRPr="009300D9">
        <w:rPr>
          <w:rFonts w:ascii="Times New Roman" w:hAnsi="Times New Roman" w:cs="Times New Roman"/>
          <w:szCs w:val="24"/>
        </w:rPr>
        <w:t xml:space="preserve">o </w:t>
      </w:r>
      <w:r w:rsidR="007F11EC" w:rsidRPr="009300D9">
        <w:rPr>
          <w:rFonts w:ascii="Times New Roman" w:hAnsi="Times New Roman" w:cs="Times New Roman"/>
          <w:szCs w:val="24"/>
        </w:rPr>
        <w:t xml:space="preserve">dofinansowanie inwestycji. </w:t>
      </w:r>
      <w:r w:rsidR="00732E04" w:rsidRPr="009300D9">
        <w:rPr>
          <w:rFonts w:ascii="Times New Roman" w:hAnsi="Times New Roman" w:cs="Times New Roman"/>
          <w:szCs w:val="24"/>
        </w:rPr>
        <w:t>Zwrot środków będzie następował na rachunek Funduszu.</w:t>
      </w:r>
    </w:p>
    <w:p w14:paraId="27EB1C09" w14:textId="568BD914" w:rsidR="00835857" w:rsidRPr="009300D9" w:rsidRDefault="00292BD5" w:rsidP="009300D9">
      <w:pPr>
        <w:spacing w:after="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lastRenderedPageBreak/>
        <w:t xml:space="preserve">Projektowana ustawa przewiduje finansowanie zadań </w:t>
      </w:r>
      <w:r w:rsidR="00835857" w:rsidRPr="009300D9">
        <w:rPr>
          <w:rFonts w:ascii="Times New Roman" w:eastAsia="Times New Roman" w:hAnsi="Times New Roman" w:cs="Times New Roman"/>
          <w:sz w:val="24"/>
          <w:szCs w:val="24"/>
          <w:lang w:eastAsia="pl-PL"/>
        </w:rPr>
        <w:t>Krajowego o</w:t>
      </w:r>
      <w:r w:rsidRPr="009300D9">
        <w:rPr>
          <w:rFonts w:ascii="Times New Roman" w:eastAsia="Times New Roman" w:hAnsi="Times New Roman" w:cs="Times New Roman"/>
          <w:sz w:val="24"/>
          <w:szCs w:val="24"/>
          <w:lang w:eastAsia="pl-PL"/>
        </w:rPr>
        <w:t xml:space="preserve">peratora </w:t>
      </w:r>
      <w:r w:rsidR="00835857" w:rsidRPr="009300D9">
        <w:rPr>
          <w:rFonts w:ascii="Times New Roman" w:eastAsia="Times New Roman" w:hAnsi="Times New Roman" w:cs="Times New Roman"/>
          <w:sz w:val="24"/>
          <w:szCs w:val="24"/>
          <w:lang w:eastAsia="pl-PL"/>
        </w:rPr>
        <w:t>F</w:t>
      </w:r>
      <w:r w:rsidRPr="009300D9">
        <w:rPr>
          <w:rFonts w:ascii="Times New Roman" w:eastAsia="Times New Roman" w:hAnsi="Times New Roman" w:cs="Times New Roman"/>
          <w:sz w:val="24"/>
          <w:szCs w:val="24"/>
          <w:lang w:eastAsia="pl-PL"/>
        </w:rPr>
        <w:t xml:space="preserve">unduszu z części z dochodów z aukcji uprawnień do emisji. W związku z powyższym przewiduje się przekazanie części  wpływów z dochodów aukcji na rzecz NFOŚIGW tj. </w:t>
      </w:r>
    </w:p>
    <w:p w14:paraId="2DC35074" w14:textId="4E13C542" w:rsidR="00835857" w:rsidRPr="009300D9" w:rsidRDefault="00835857" w:rsidP="009300D9">
      <w:pPr>
        <w:spacing w:after="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 xml:space="preserve">- </w:t>
      </w:r>
      <w:r w:rsidR="00292BD5" w:rsidRPr="009300D9">
        <w:rPr>
          <w:rFonts w:ascii="Times New Roman" w:eastAsia="Times New Roman" w:hAnsi="Times New Roman" w:cs="Times New Roman"/>
          <w:sz w:val="24"/>
          <w:szCs w:val="24"/>
          <w:lang w:eastAsia="pl-PL"/>
        </w:rPr>
        <w:t xml:space="preserve"> w 2020 r. - w wysokości 1 500 000 zł; </w:t>
      </w:r>
    </w:p>
    <w:p w14:paraId="532F851D" w14:textId="32F4FF4A" w:rsidR="00835857" w:rsidRPr="009300D9" w:rsidRDefault="00835857" w:rsidP="009300D9">
      <w:pPr>
        <w:spacing w:after="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 xml:space="preserve">- w latach </w:t>
      </w:r>
      <w:r w:rsidR="00292BD5" w:rsidRPr="009300D9">
        <w:rPr>
          <w:rFonts w:ascii="Times New Roman" w:eastAsia="Times New Roman" w:hAnsi="Times New Roman" w:cs="Times New Roman"/>
          <w:sz w:val="24"/>
          <w:szCs w:val="24"/>
          <w:lang w:eastAsia="pl-PL"/>
        </w:rPr>
        <w:t xml:space="preserve">od 2021 r. do 2030 r. - w wysokości  30 000 000 zł rocznie; </w:t>
      </w:r>
    </w:p>
    <w:p w14:paraId="56A3C046" w14:textId="585ACAB7" w:rsidR="00292BD5" w:rsidRPr="009300D9" w:rsidRDefault="00835857" w:rsidP="009300D9">
      <w:pPr>
        <w:spacing w:after="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 xml:space="preserve">- </w:t>
      </w:r>
      <w:r w:rsidR="00292BD5" w:rsidRPr="009300D9">
        <w:rPr>
          <w:rFonts w:ascii="Times New Roman" w:eastAsia="Times New Roman" w:hAnsi="Times New Roman" w:cs="Times New Roman"/>
          <w:sz w:val="24"/>
          <w:szCs w:val="24"/>
          <w:lang w:eastAsia="pl-PL"/>
        </w:rPr>
        <w:t>w latach 2031-2038 - w wysokości 15 000 000 zł rocznie.</w:t>
      </w:r>
    </w:p>
    <w:p w14:paraId="63142E32" w14:textId="7BF288C7" w:rsidR="00292BD5" w:rsidRPr="009300D9" w:rsidRDefault="00292BD5" w:rsidP="009300D9">
      <w:pPr>
        <w:spacing w:after="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 xml:space="preserve">Ze środków tych będą pokrywane koszty związane z wykonywaniem zadań </w:t>
      </w:r>
      <w:r w:rsidR="00835857" w:rsidRPr="009300D9">
        <w:rPr>
          <w:rFonts w:ascii="Times New Roman" w:eastAsia="Times New Roman" w:hAnsi="Times New Roman" w:cs="Times New Roman"/>
          <w:sz w:val="24"/>
          <w:szCs w:val="24"/>
          <w:lang w:eastAsia="pl-PL"/>
        </w:rPr>
        <w:t>Krajowego o</w:t>
      </w:r>
      <w:r w:rsidRPr="009300D9">
        <w:rPr>
          <w:rFonts w:ascii="Times New Roman" w:eastAsia="Times New Roman" w:hAnsi="Times New Roman" w:cs="Times New Roman"/>
          <w:sz w:val="24"/>
          <w:szCs w:val="24"/>
          <w:lang w:eastAsia="pl-PL"/>
        </w:rPr>
        <w:t xml:space="preserve">peratora Funduszu, w tym koszty ponoszone przez wojewódzkie fundusze na wykonywanie czynności powierzonych w drodze porozumień. Szczegółową kalkulację kosztów </w:t>
      </w:r>
      <w:r w:rsidR="00DD7647" w:rsidRPr="009300D9">
        <w:rPr>
          <w:rFonts w:ascii="Times New Roman" w:eastAsia="Times New Roman" w:hAnsi="Times New Roman" w:cs="Times New Roman"/>
          <w:sz w:val="24"/>
          <w:szCs w:val="24"/>
          <w:lang w:eastAsia="pl-PL"/>
        </w:rPr>
        <w:t xml:space="preserve">Krajowego </w:t>
      </w:r>
      <w:r w:rsidR="00783FCD" w:rsidRPr="009300D9">
        <w:rPr>
          <w:rFonts w:ascii="Times New Roman" w:eastAsia="Times New Roman" w:hAnsi="Times New Roman" w:cs="Times New Roman"/>
          <w:sz w:val="24"/>
          <w:szCs w:val="24"/>
          <w:lang w:eastAsia="pl-PL"/>
        </w:rPr>
        <w:t xml:space="preserve">operatora </w:t>
      </w:r>
      <w:r w:rsidR="00DD7647" w:rsidRPr="009300D9">
        <w:rPr>
          <w:rFonts w:ascii="Times New Roman" w:eastAsia="Times New Roman" w:hAnsi="Times New Roman" w:cs="Times New Roman"/>
          <w:sz w:val="24"/>
          <w:szCs w:val="24"/>
          <w:lang w:eastAsia="pl-PL"/>
        </w:rPr>
        <w:t xml:space="preserve">Funduszu </w:t>
      </w:r>
      <w:r w:rsidRPr="009300D9">
        <w:rPr>
          <w:rFonts w:ascii="Times New Roman" w:eastAsia="Times New Roman" w:hAnsi="Times New Roman" w:cs="Times New Roman"/>
          <w:sz w:val="24"/>
          <w:szCs w:val="24"/>
          <w:lang w:eastAsia="pl-PL"/>
        </w:rPr>
        <w:t>zawiera załącznik do OSR.</w:t>
      </w:r>
    </w:p>
    <w:p w14:paraId="0A55EE80" w14:textId="77777777" w:rsidR="00292BD5" w:rsidRPr="009300D9" w:rsidRDefault="00292BD5" w:rsidP="009300D9">
      <w:pPr>
        <w:pStyle w:val="ARTartustawynprozporzdzenia"/>
        <w:spacing w:before="0" w:after="120" w:line="276" w:lineRule="auto"/>
        <w:ind w:firstLine="0"/>
        <w:rPr>
          <w:rFonts w:ascii="Times New Roman" w:hAnsi="Times New Roman" w:cs="Times New Roman"/>
          <w:szCs w:val="24"/>
        </w:rPr>
      </w:pPr>
    </w:p>
    <w:p w14:paraId="54555DEE" w14:textId="2EFA61D6" w:rsidR="00412DB6" w:rsidRPr="009300D9" w:rsidRDefault="00412DB6"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Zgodnie z projektem</w:t>
      </w:r>
      <w:r w:rsidR="0023647C" w:rsidRPr="009300D9">
        <w:rPr>
          <w:rFonts w:ascii="Times New Roman" w:hAnsi="Times New Roman" w:cs="Times New Roman"/>
          <w:szCs w:val="24"/>
        </w:rPr>
        <w:t>,</w:t>
      </w:r>
      <w:r w:rsidRPr="009300D9">
        <w:rPr>
          <w:rFonts w:ascii="Times New Roman" w:hAnsi="Times New Roman" w:cs="Times New Roman"/>
          <w:szCs w:val="24"/>
        </w:rPr>
        <w:t xml:space="preserve"> przedstawiciela</w:t>
      </w:r>
      <w:r w:rsidR="0023647C" w:rsidRPr="009300D9">
        <w:rPr>
          <w:rFonts w:ascii="Times New Roman" w:hAnsi="Times New Roman" w:cs="Times New Roman"/>
          <w:szCs w:val="24"/>
        </w:rPr>
        <w:t xml:space="preserve"> R</w:t>
      </w:r>
      <w:r w:rsidR="00DD7647" w:rsidRPr="009300D9">
        <w:rPr>
          <w:rFonts w:ascii="Times New Roman" w:hAnsi="Times New Roman" w:cs="Times New Roman"/>
          <w:szCs w:val="24"/>
        </w:rPr>
        <w:t xml:space="preserve">zeczypospolitej </w:t>
      </w:r>
      <w:r w:rsidR="0023647C" w:rsidRPr="009300D9">
        <w:rPr>
          <w:rFonts w:ascii="Times New Roman" w:hAnsi="Times New Roman" w:cs="Times New Roman"/>
          <w:szCs w:val="24"/>
        </w:rPr>
        <w:t>P</w:t>
      </w:r>
      <w:r w:rsidR="00DD7647" w:rsidRPr="009300D9">
        <w:rPr>
          <w:rFonts w:ascii="Times New Roman" w:hAnsi="Times New Roman" w:cs="Times New Roman"/>
          <w:szCs w:val="24"/>
        </w:rPr>
        <w:t>olskiej</w:t>
      </w:r>
      <w:r w:rsidR="0023647C" w:rsidRPr="009300D9">
        <w:rPr>
          <w:rFonts w:ascii="Times New Roman" w:hAnsi="Times New Roman" w:cs="Times New Roman"/>
          <w:szCs w:val="24"/>
        </w:rPr>
        <w:t xml:space="preserve"> do udziału w pracach Komitetu</w:t>
      </w:r>
      <w:r w:rsidRPr="009300D9">
        <w:rPr>
          <w:rFonts w:ascii="Times New Roman" w:hAnsi="Times New Roman" w:cs="Times New Roman"/>
          <w:szCs w:val="24"/>
        </w:rPr>
        <w:t xml:space="preserve"> </w:t>
      </w:r>
      <w:r w:rsidR="0023647C" w:rsidRPr="009300D9">
        <w:rPr>
          <w:rFonts w:ascii="Times New Roman" w:hAnsi="Times New Roman" w:cs="Times New Roman"/>
          <w:szCs w:val="24"/>
        </w:rPr>
        <w:t>Inwestycyjnego</w:t>
      </w:r>
      <w:r w:rsidR="00407047" w:rsidRPr="009300D9">
        <w:rPr>
          <w:rFonts w:ascii="Times New Roman" w:hAnsi="Times New Roman" w:cs="Times New Roman"/>
          <w:szCs w:val="24"/>
        </w:rPr>
        <w:t>,</w:t>
      </w:r>
      <w:r w:rsidRPr="009300D9">
        <w:rPr>
          <w:rFonts w:ascii="Times New Roman" w:hAnsi="Times New Roman" w:cs="Times New Roman"/>
          <w:szCs w:val="24"/>
        </w:rPr>
        <w:t xml:space="preserve"> o którym mowa art. 10d ust. 5 </w:t>
      </w:r>
      <w:r w:rsidR="00DD7647" w:rsidRPr="009300D9">
        <w:rPr>
          <w:rFonts w:ascii="Times New Roman" w:hAnsi="Times New Roman" w:cs="Times New Roman"/>
          <w:szCs w:val="24"/>
        </w:rPr>
        <w:t>D</w:t>
      </w:r>
      <w:r w:rsidRPr="009300D9">
        <w:rPr>
          <w:rFonts w:ascii="Times New Roman" w:hAnsi="Times New Roman" w:cs="Times New Roman"/>
          <w:szCs w:val="24"/>
        </w:rPr>
        <w:t xml:space="preserve">yrektywy </w:t>
      </w:r>
      <w:r w:rsidR="007F7452" w:rsidRPr="009300D9">
        <w:rPr>
          <w:rFonts w:ascii="Times New Roman" w:hAnsi="Times New Roman" w:cs="Times New Roman"/>
          <w:szCs w:val="24"/>
        </w:rPr>
        <w:t>2018/410</w:t>
      </w:r>
      <w:r w:rsidR="0023647C" w:rsidRPr="009300D9">
        <w:rPr>
          <w:rFonts w:ascii="Times New Roman" w:hAnsi="Times New Roman" w:cs="Times New Roman"/>
          <w:szCs w:val="24"/>
        </w:rPr>
        <w:t>,</w:t>
      </w:r>
      <w:r w:rsidRPr="009300D9">
        <w:rPr>
          <w:rFonts w:ascii="Times New Roman" w:hAnsi="Times New Roman" w:cs="Times New Roman"/>
          <w:szCs w:val="24"/>
        </w:rPr>
        <w:t xml:space="preserve"> będzie wyznaczał minister właściwy do spraw klimatu. Jednocześnie zawarto </w:t>
      </w:r>
      <w:r w:rsidR="0023647C" w:rsidRPr="009300D9">
        <w:rPr>
          <w:rFonts w:ascii="Times New Roman" w:hAnsi="Times New Roman" w:cs="Times New Roman"/>
          <w:szCs w:val="24"/>
        </w:rPr>
        <w:t>przepis</w:t>
      </w:r>
      <w:r w:rsidRPr="009300D9">
        <w:rPr>
          <w:rFonts w:ascii="Times New Roman" w:hAnsi="Times New Roman" w:cs="Times New Roman"/>
          <w:szCs w:val="24"/>
        </w:rPr>
        <w:t xml:space="preserve"> </w:t>
      </w:r>
      <w:r w:rsidR="0023647C" w:rsidRPr="009300D9">
        <w:rPr>
          <w:rFonts w:ascii="Times New Roman" w:hAnsi="Times New Roman" w:cs="Times New Roman"/>
          <w:szCs w:val="24"/>
        </w:rPr>
        <w:t>przejściowy,</w:t>
      </w:r>
      <w:r w:rsidRPr="009300D9">
        <w:rPr>
          <w:rFonts w:ascii="Times New Roman" w:hAnsi="Times New Roman" w:cs="Times New Roman"/>
          <w:szCs w:val="24"/>
        </w:rPr>
        <w:t xml:space="preserve"> który </w:t>
      </w:r>
      <w:r w:rsidR="0023647C" w:rsidRPr="009300D9">
        <w:rPr>
          <w:rFonts w:ascii="Times New Roman" w:hAnsi="Times New Roman" w:cs="Times New Roman"/>
          <w:szCs w:val="24"/>
        </w:rPr>
        <w:t>zobowiązuje</w:t>
      </w:r>
      <w:r w:rsidRPr="009300D9">
        <w:rPr>
          <w:rFonts w:ascii="Times New Roman" w:hAnsi="Times New Roman" w:cs="Times New Roman"/>
          <w:szCs w:val="24"/>
        </w:rPr>
        <w:t xml:space="preserve"> właściwych </w:t>
      </w:r>
      <w:r w:rsidR="0023647C" w:rsidRPr="009300D9">
        <w:rPr>
          <w:rFonts w:ascii="Times New Roman" w:hAnsi="Times New Roman" w:cs="Times New Roman"/>
          <w:szCs w:val="24"/>
        </w:rPr>
        <w:t>ministrów</w:t>
      </w:r>
      <w:r w:rsidRPr="009300D9">
        <w:rPr>
          <w:rFonts w:ascii="Times New Roman" w:hAnsi="Times New Roman" w:cs="Times New Roman"/>
          <w:szCs w:val="24"/>
        </w:rPr>
        <w:t xml:space="preserve"> do wskazania swoich przedstawicieli do </w:t>
      </w:r>
      <w:r w:rsidR="0023647C" w:rsidRPr="009300D9">
        <w:rPr>
          <w:rFonts w:ascii="Times New Roman" w:hAnsi="Times New Roman" w:cs="Times New Roman"/>
          <w:szCs w:val="24"/>
        </w:rPr>
        <w:t xml:space="preserve">udziału </w:t>
      </w:r>
      <w:r w:rsidR="00EC1A26" w:rsidRPr="009300D9">
        <w:rPr>
          <w:rFonts w:ascii="Times New Roman" w:hAnsi="Times New Roman" w:cs="Times New Roman"/>
          <w:szCs w:val="24"/>
        </w:rPr>
        <w:br/>
      </w:r>
      <w:r w:rsidR="0023647C" w:rsidRPr="009300D9">
        <w:rPr>
          <w:rFonts w:ascii="Times New Roman" w:hAnsi="Times New Roman" w:cs="Times New Roman"/>
          <w:szCs w:val="24"/>
        </w:rPr>
        <w:t>w Radzie Konsultacyjnej, w terminie 30 dni od dnia wejścia w życie ustawy.</w:t>
      </w:r>
    </w:p>
    <w:p w14:paraId="5DB68125" w14:textId="429FB5B0" w:rsidR="00321313" w:rsidRPr="009300D9" w:rsidRDefault="00321313"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 xml:space="preserve">Projektowana ustawa wykonuje również pozostałe postanowienia Dyrektywy ETS, </w:t>
      </w:r>
      <w:r w:rsidR="00EC1A26" w:rsidRPr="009300D9">
        <w:rPr>
          <w:rFonts w:ascii="Times New Roman" w:hAnsi="Times New Roman" w:cs="Times New Roman"/>
          <w:szCs w:val="24"/>
        </w:rPr>
        <w:br/>
      </w:r>
      <w:r w:rsidRPr="009300D9">
        <w:rPr>
          <w:rFonts w:ascii="Times New Roman" w:hAnsi="Times New Roman" w:cs="Times New Roman"/>
          <w:szCs w:val="24"/>
        </w:rPr>
        <w:t>a mianowicie</w:t>
      </w:r>
      <w:r w:rsidR="00E02D6B" w:rsidRPr="009300D9">
        <w:rPr>
          <w:rFonts w:ascii="Times New Roman" w:hAnsi="Times New Roman" w:cs="Times New Roman"/>
          <w:szCs w:val="24"/>
        </w:rPr>
        <w:t xml:space="preserve"> </w:t>
      </w:r>
      <w:r w:rsidRPr="009300D9">
        <w:rPr>
          <w:rFonts w:ascii="Times New Roman" w:hAnsi="Times New Roman" w:cs="Times New Roman"/>
          <w:szCs w:val="24"/>
        </w:rPr>
        <w:t>wprowadza definicję „instalacji nowej” zgodn</w:t>
      </w:r>
      <w:r w:rsidR="00EC1A26" w:rsidRPr="009300D9">
        <w:rPr>
          <w:rFonts w:ascii="Times New Roman" w:hAnsi="Times New Roman" w:cs="Times New Roman"/>
          <w:szCs w:val="24"/>
        </w:rPr>
        <w:t>ą</w:t>
      </w:r>
      <w:r w:rsidRPr="009300D9">
        <w:rPr>
          <w:rFonts w:ascii="Times New Roman" w:hAnsi="Times New Roman" w:cs="Times New Roman"/>
          <w:szCs w:val="24"/>
        </w:rPr>
        <w:t xml:space="preserve"> z nowym art. 1 pkt 7 </w:t>
      </w:r>
      <w:r w:rsidR="00E02D6B" w:rsidRPr="009300D9">
        <w:rPr>
          <w:rFonts w:ascii="Times New Roman" w:hAnsi="Times New Roman" w:cs="Times New Roman"/>
          <w:szCs w:val="24"/>
        </w:rPr>
        <w:t xml:space="preserve">Dyrektywy </w:t>
      </w:r>
      <w:r w:rsidR="007F7452" w:rsidRPr="009300D9">
        <w:rPr>
          <w:rFonts w:ascii="Times New Roman" w:hAnsi="Times New Roman" w:cs="Times New Roman"/>
          <w:szCs w:val="24"/>
        </w:rPr>
        <w:t>2018/410</w:t>
      </w:r>
      <w:r w:rsidR="00E02D6B" w:rsidRPr="009300D9">
        <w:rPr>
          <w:rFonts w:ascii="Times New Roman" w:hAnsi="Times New Roman" w:cs="Times New Roman"/>
          <w:szCs w:val="24"/>
        </w:rPr>
        <w:t xml:space="preserve"> oraz </w:t>
      </w:r>
      <w:r w:rsidRPr="009300D9">
        <w:rPr>
          <w:rFonts w:ascii="Times New Roman" w:hAnsi="Times New Roman" w:cs="Times New Roman"/>
          <w:szCs w:val="24"/>
        </w:rPr>
        <w:t xml:space="preserve">zastępuje </w:t>
      </w:r>
      <w:r w:rsidR="00AC0FCC" w:rsidRPr="009300D9">
        <w:rPr>
          <w:rFonts w:ascii="Times New Roman" w:hAnsi="Times New Roman" w:cs="Times New Roman"/>
          <w:szCs w:val="24"/>
        </w:rPr>
        <w:t>obowiązek</w:t>
      </w:r>
      <w:r w:rsidRPr="009300D9">
        <w:rPr>
          <w:rFonts w:ascii="Times New Roman" w:hAnsi="Times New Roman" w:cs="Times New Roman"/>
          <w:szCs w:val="24"/>
        </w:rPr>
        <w:t xml:space="preserve"> przeprowadzania co pięć lat analiz wydanych zezwole</w:t>
      </w:r>
      <w:r w:rsidR="00E02D6B" w:rsidRPr="009300D9">
        <w:rPr>
          <w:rFonts w:ascii="Times New Roman" w:hAnsi="Times New Roman" w:cs="Times New Roman"/>
          <w:szCs w:val="24"/>
        </w:rPr>
        <w:t>ń</w:t>
      </w:r>
      <w:r w:rsidRPr="009300D9">
        <w:rPr>
          <w:rFonts w:ascii="Times New Roman" w:hAnsi="Times New Roman" w:cs="Times New Roman"/>
          <w:szCs w:val="24"/>
        </w:rPr>
        <w:t>, który spoczywa na organie właściwym do wydania zezwolenia</w:t>
      </w:r>
      <w:r w:rsidR="00AC0FCC" w:rsidRPr="009300D9">
        <w:rPr>
          <w:rFonts w:ascii="Times New Roman" w:hAnsi="Times New Roman" w:cs="Times New Roman"/>
          <w:szCs w:val="24"/>
        </w:rPr>
        <w:t xml:space="preserve"> (zniesiony przez art. 1 pkt 10 Dyrektywy </w:t>
      </w:r>
      <w:r w:rsidR="007F7452" w:rsidRPr="009300D9">
        <w:rPr>
          <w:rFonts w:ascii="Times New Roman" w:hAnsi="Times New Roman" w:cs="Times New Roman"/>
          <w:szCs w:val="24"/>
        </w:rPr>
        <w:t>2018/410</w:t>
      </w:r>
      <w:r w:rsidR="00AC0FCC" w:rsidRPr="009300D9">
        <w:rPr>
          <w:rFonts w:ascii="Times New Roman" w:hAnsi="Times New Roman" w:cs="Times New Roman"/>
          <w:szCs w:val="24"/>
        </w:rPr>
        <w:t>)</w:t>
      </w:r>
      <w:r w:rsidRPr="009300D9">
        <w:rPr>
          <w:rFonts w:ascii="Times New Roman" w:hAnsi="Times New Roman" w:cs="Times New Roman"/>
          <w:szCs w:val="24"/>
        </w:rPr>
        <w:t xml:space="preserve"> możliwością dokonania tego w wybranym </w:t>
      </w:r>
      <w:r w:rsidR="00E02D6B" w:rsidRPr="009300D9">
        <w:rPr>
          <w:rFonts w:ascii="Times New Roman" w:hAnsi="Times New Roman" w:cs="Times New Roman"/>
          <w:szCs w:val="24"/>
        </w:rPr>
        <w:t xml:space="preserve">przez organ </w:t>
      </w:r>
      <w:r w:rsidRPr="009300D9">
        <w:rPr>
          <w:rFonts w:ascii="Times New Roman" w:hAnsi="Times New Roman" w:cs="Times New Roman"/>
          <w:szCs w:val="24"/>
        </w:rPr>
        <w:t>momencie</w:t>
      </w:r>
      <w:r w:rsidR="00AC0FCC" w:rsidRPr="009300D9">
        <w:rPr>
          <w:rFonts w:ascii="Times New Roman" w:hAnsi="Times New Roman" w:cs="Times New Roman"/>
          <w:szCs w:val="24"/>
        </w:rPr>
        <w:t>.</w:t>
      </w:r>
      <w:r w:rsidR="00E02D6B" w:rsidRPr="009300D9">
        <w:rPr>
          <w:rFonts w:ascii="Times New Roman" w:hAnsi="Times New Roman" w:cs="Times New Roman"/>
          <w:szCs w:val="24"/>
        </w:rPr>
        <w:t xml:space="preserve"> </w:t>
      </w:r>
    </w:p>
    <w:p w14:paraId="7FD8C578" w14:textId="040A0739" w:rsidR="002E5826" w:rsidRPr="009300D9" w:rsidRDefault="00CF0922" w:rsidP="009300D9">
      <w:pPr>
        <w:pStyle w:val="Nagwek1"/>
        <w:spacing w:line="276" w:lineRule="auto"/>
        <w:jc w:val="both"/>
        <w:rPr>
          <w:sz w:val="24"/>
          <w:szCs w:val="24"/>
        </w:rPr>
      </w:pPr>
      <w:r w:rsidRPr="009300D9">
        <w:rPr>
          <w:b w:val="0"/>
          <w:sz w:val="24"/>
          <w:szCs w:val="24"/>
        </w:rPr>
        <w:t>Z pełną implementacją D</w:t>
      </w:r>
      <w:r w:rsidR="00E02D6B" w:rsidRPr="009300D9">
        <w:rPr>
          <w:b w:val="0"/>
          <w:sz w:val="24"/>
          <w:szCs w:val="24"/>
        </w:rPr>
        <w:t xml:space="preserve">yrektywy </w:t>
      </w:r>
      <w:r w:rsidR="007F7452" w:rsidRPr="009300D9">
        <w:rPr>
          <w:b w:val="0"/>
          <w:sz w:val="24"/>
          <w:szCs w:val="24"/>
        </w:rPr>
        <w:t>2018/410</w:t>
      </w:r>
      <w:r w:rsidR="00E02D6B" w:rsidRPr="009300D9">
        <w:rPr>
          <w:b w:val="0"/>
          <w:sz w:val="24"/>
          <w:szCs w:val="24"/>
        </w:rPr>
        <w:t xml:space="preserve"> wiąże się również wprowadzenie </w:t>
      </w:r>
      <w:r w:rsidR="00934A29" w:rsidRPr="009300D9">
        <w:rPr>
          <w:b w:val="0"/>
          <w:sz w:val="24"/>
          <w:szCs w:val="24"/>
        </w:rPr>
        <w:t xml:space="preserve">do ustawy ETS </w:t>
      </w:r>
      <w:r w:rsidR="00E02D6B" w:rsidRPr="009300D9">
        <w:rPr>
          <w:b w:val="0"/>
          <w:sz w:val="24"/>
          <w:szCs w:val="24"/>
        </w:rPr>
        <w:t xml:space="preserve">niewykonanych jeszcze przepisów </w:t>
      </w:r>
      <w:r w:rsidR="00E62544" w:rsidRPr="009300D9">
        <w:rPr>
          <w:b w:val="0"/>
          <w:sz w:val="24"/>
          <w:szCs w:val="24"/>
        </w:rPr>
        <w:t xml:space="preserve">rozporządzenia delegowanego Komisji (UE) </w:t>
      </w:r>
      <w:bookmarkStart w:id="0" w:name="highlightHit_1"/>
      <w:bookmarkEnd w:id="0"/>
      <w:r w:rsidR="00E62544" w:rsidRPr="009300D9">
        <w:rPr>
          <w:b w:val="0"/>
          <w:sz w:val="24"/>
          <w:szCs w:val="24"/>
        </w:rPr>
        <w:t>2019/</w:t>
      </w:r>
      <w:bookmarkStart w:id="1" w:name="highlightHit_2"/>
      <w:bookmarkEnd w:id="1"/>
      <w:r w:rsidR="00E62544" w:rsidRPr="009300D9">
        <w:rPr>
          <w:b w:val="0"/>
          <w:sz w:val="24"/>
          <w:szCs w:val="24"/>
        </w:rPr>
        <w:t xml:space="preserve">331 </w:t>
      </w:r>
      <w:r w:rsidR="00FF4F54" w:rsidRPr="009300D9">
        <w:rPr>
          <w:b w:val="0"/>
          <w:sz w:val="24"/>
          <w:szCs w:val="24"/>
        </w:rPr>
        <w:br/>
      </w:r>
      <w:r w:rsidR="00E62544" w:rsidRPr="009300D9">
        <w:rPr>
          <w:b w:val="0"/>
          <w:sz w:val="24"/>
          <w:szCs w:val="24"/>
        </w:rPr>
        <w:t xml:space="preserve">z dnia 19 grudnia 2018 r. w sprawie ustanowienia przejściowych zasad dotyczących zharmonizowanego przydziału bezpłatnych uprawnień do emisji w całej Unii na podstawie art. 10a dyrektywy 2003/87/WE Parlamentu Europejskiego i Rady </w:t>
      </w:r>
      <w:r w:rsidR="00E62544" w:rsidRPr="009300D9">
        <w:rPr>
          <w:b w:val="0"/>
          <w:color w:val="0000FF"/>
          <w:sz w:val="24"/>
          <w:szCs w:val="24"/>
          <w:u w:val="single"/>
        </w:rPr>
        <w:t>(Dz.</w:t>
      </w:r>
      <w:r w:rsidR="00FF4F54" w:rsidRPr="009300D9">
        <w:rPr>
          <w:b w:val="0"/>
          <w:color w:val="0000FF"/>
          <w:sz w:val="24"/>
          <w:szCs w:val="24"/>
          <w:u w:val="single"/>
        </w:rPr>
        <w:t xml:space="preserve"> </w:t>
      </w:r>
      <w:r w:rsidR="00E62544" w:rsidRPr="009300D9">
        <w:rPr>
          <w:b w:val="0"/>
          <w:color w:val="0000FF"/>
          <w:sz w:val="24"/>
          <w:szCs w:val="24"/>
          <w:u w:val="single"/>
        </w:rPr>
        <w:t>Urz.</w:t>
      </w:r>
      <w:r w:rsidR="00FF4F54" w:rsidRPr="009300D9">
        <w:rPr>
          <w:b w:val="0"/>
          <w:color w:val="0000FF"/>
          <w:sz w:val="24"/>
          <w:szCs w:val="24"/>
          <w:u w:val="single"/>
        </w:rPr>
        <w:t xml:space="preserve"> </w:t>
      </w:r>
      <w:r w:rsidR="00E62544" w:rsidRPr="009300D9">
        <w:rPr>
          <w:b w:val="0"/>
          <w:color w:val="0000FF"/>
          <w:sz w:val="24"/>
          <w:szCs w:val="24"/>
          <w:u w:val="single"/>
        </w:rPr>
        <w:t>UE.</w:t>
      </w:r>
      <w:r w:rsidR="00FF4F54" w:rsidRPr="009300D9">
        <w:rPr>
          <w:b w:val="0"/>
          <w:color w:val="0000FF"/>
          <w:sz w:val="24"/>
          <w:szCs w:val="24"/>
          <w:u w:val="single"/>
        </w:rPr>
        <w:t xml:space="preserve"> </w:t>
      </w:r>
      <w:r w:rsidR="00E62544" w:rsidRPr="009300D9">
        <w:rPr>
          <w:b w:val="0"/>
          <w:color w:val="0000FF"/>
          <w:sz w:val="24"/>
          <w:szCs w:val="24"/>
          <w:u w:val="single"/>
        </w:rPr>
        <w:t>L 2019 Nr 59, str. 8)</w:t>
      </w:r>
      <w:r w:rsidR="00E62544" w:rsidRPr="009300D9">
        <w:rPr>
          <w:b w:val="0"/>
          <w:sz w:val="24"/>
          <w:szCs w:val="24"/>
        </w:rPr>
        <w:t xml:space="preserve"> zwanym dalej </w:t>
      </w:r>
      <w:r w:rsidR="00FF4F54" w:rsidRPr="009300D9">
        <w:rPr>
          <w:b w:val="0"/>
          <w:sz w:val="24"/>
          <w:szCs w:val="24"/>
        </w:rPr>
        <w:t>„</w:t>
      </w:r>
      <w:r w:rsidR="00E02D6B" w:rsidRPr="009300D9">
        <w:rPr>
          <w:b w:val="0"/>
          <w:sz w:val="24"/>
          <w:szCs w:val="24"/>
        </w:rPr>
        <w:t>rozporządzeni</w:t>
      </w:r>
      <w:r w:rsidR="00E62544" w:rsidRPr="009300D9">
        <w:rPr>
          <w:b w:val="0"/>
          <w:sz w:val="24"/>
          <w:szCs w:val="24"/>
        </w:rPr>
        <w:t>em</w:t>
      </w:r>
      <w:r w:rsidR="00E02D6B" w:rsidRPr="009300D9">
        <w:rPr>
          <w:b w:val="0"/>
          <w:sz w:val="24"/>
          <w:szCs w:val="24"/>
        </w:rPr>
        <w:t xml:space="preserve"> Komisji (UE) 2019/3</w:t>
      </w:r>
      <w:r w:rsidR="00EC1A26" w:rsidRPr="009300D9">
        <w:rPr>
          <w:b w:val="0"/>
          <w:sz w:val="24"/>
          <w:szCs w:val="24"/>
        </w:rPr>
        <w:t>3</w:t>
      </w:r>
      <w:r w:rsidR="00E02D6B" w:rsidRPr="009300D9">
        <w:rPr>
          <w:b w:val="0"/>
          <w:sz w:val="24"/>
          <w:szCs w:val="24"/>
        </w:rPr>
        <w:t>1</w:t>
      </w:r>
      <w:r w:rsidR="00FF4F54" w:rsidRPr="009300D9">
        <w:rPr>
          <w:b w:val="0"/>
          <w:sz w:val="24"/>
          <w:szCs w:val="24"/>
        </w:rPr>
        <w:t>”</w:t>
      </w:r>
      <w:r w:rsidR="00802B24" w:rsidRPr="009300D9">
        <w:rPr>
          <w:b w:val="0"/>
          <w:sz w:val="24"/>
          <w:szCs w:val="24"/>
        </w:rPr>
        <w:t>, tj.</w:t>
      </w:r>
      <w:r w:rsidR="00407047" w:rsidRPr="009300D9">
        <w:rPr>
          <w:b w:val="0"/>
          <w:sz w:val="24"/>
          <w:szCs w:val="24"/>
        </w:rPr>
        <w:t> </w:t>
      </w:r>
      <w:r w:rsidR="00934A29" w:rsidRPr="009300D9">
        <w:rPr>
          <w:b w:val="0"/>
          <w:sz w:val="24"/>
          <w:szCs w:val="24"/>
        </w:rPr>
        <w:t>przepisów o zmianie ostatecznej rocznej liczby uprawnień do emisji ze względu na zmiany z</w:t>
      </w:r>
      <w:r w:rsidR="002E5826" w:rsidRPr="009300D9">
        <w:rPr>
          <w:b w:val="0"/>
          <w:sz w:val="24"/>
          <w:szCs w:val="24"/>
        </w:rPr>
        <w:t>wiązane z działaniem instalacji oraz</w:t>
      </w:r>
      <w:r w:rsidR="00934A29" w:rsidRPr="009300D9">
        <w:rPr>
          <w:b w:val="0"/>
          <w:sz w:val="24"/>
          <w:szCs w:val="24"/>
        </w:rPr>
        <w:t xml:space="preserve"> o zrzeczeniu się przydziału bezpłatnych uprawnień do emisji.</w:t>
      </w:r>
    </w:p>
    <w:p w14:paraId="0874BEF9" w14:textId="5147E89C" w:rsidR="006E28C7" w:rsidRPr="009300D9" w:rsidRDefault="00E66534"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Zaproponowane przepisy przewidują możliwość powiadamiania Krajowego ośrodka</w:t>
      </w:r>
      <w:r w:rsidR="006A6976" w:rsidRPr="009300D9">
        <w:rPr>
          <w:rFonts w:ascii="Times New Roman" w:hAnsi="Times New Roman" w:cs="Times New Roman"/>
          <w:szCs w:val="24"/>
        </w:rPr>
        <w:t xml:space="preserve"> bilansowania i zarządzania emisjami, zwanego dalej „Krajowym ośrodkiem”,</w:t>
      </w:r>
      <w:r w:rsidRPr="009300D9">
        <w:rPr>
          <w:rFonts w:ascii="Times New Roman" w:hAnsi="Times New Roman" w:cs="Times New Roman"/>
          <w:szCs w:val="24"/>
        </w:rPr>
        <w:t xml:space="preserve"> o zmianach w działaniu instalacji oraz o zrzeczeniu się uprawnień do emisji, </w:t>
      </w:r>
      <w:r w:rsidR="00F038BF" w:rsidRPr="009300D9">
        <w:rPr>
          <w:rFonts w:ascii="Times New Roman" w:hAnsi="Times New Roman" w:cs="Times New Roman"/>
          <w:szCs w:val="24"/>
        </w:rPr>
        <w:t xml:space="preserve">dokonania oceny przez Krajowy ośrodek przekazanych przez prowadzącego instalację informacji oraz kompetencję ministra właściwego do spraw klimatu do ogłoszenia zmienionej ostatecznej rocznej liczby uprawnień do emisji po wydaniu przez Komisję Europejską decyzji, o których mowa w </w:t>
      </w:r>
      <w:r w:rsidR="00F038BF" w:rsidRPr="009300D9">
        <w:rPr>
          <w:rFonts w:ascii="Times New Roman" w:hAnsi="Times New Roman" w:cs="Times New Roman"/>
          <w:szCs w:val="24"/>
          <w:lang w:eastAsia="en-US"/>
        </w:rPr>
        <w:t>art. 23 ust. 4 lub art. 24 ust. 3 rozporządzenia Komisji (UE) 2019/331</w:t>
      </w:r>
      <w:r w:rsidR="00F038BF" w:rsidRPr="009300D9">
        <w:rPr>
          <w:rFonts w:ascii="Times New Roman" w:hAnsi="Times New Roman" w:cs="Times New Roman"/>
          <w:szCs w:val="24"/>
        </w:rPr>
        <w:t>.</w:t>
      </w:r>
    </w:p>
    <w:p w14:paraId="52D9FAE7" w14:textId="61D51ECD" w:rsidR="00F038BF" w:rsidRPr="009300D9" w:rsidRDefault="002E5826"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Nowe przepisy przewidują również procedurę stwierdzania, na podstawie raportów o poziomie działalności, że instalacja zawiesiła działalność oraz o wstrzymaniu, w drodze decyzji ministra właściwego do spraw klimatu, wydawania uprawnień do emisji dla takich instalacji.</w:t>
      </w:r>
    </w:p>
    <w:p w14:paraId="7166EE2F" w14:textId="241DD89A" w:rsidR="00732513" w:rsidRPr="009300D9" w:rsidRDefault="00A31120"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lastRenderedPageBreak/>
        <w:t xml:space="preserve">Wejście w życie rozporządzenia Komisji (UE) 2019/331 </w:t>
      </w:r>
      <w:r w:rsidR="00BC6C27" w:rsidRPr="009300D9">
        <w:rPr>
          <w:rFonts w:ascii="Times New Roman" w:hAnsi="Times New Roman" w:cs="Times New Roman"/>
          <w:sz w:val="24"/>
          <w:szCs w:val="24"/>
        </w:rPr>
        <w:t>s</w:t>
      </w:r>
      <w:r w:rsidRPr="009300D9">
        <w:rPr>
          <w:rFonts w:ascii="Times New Roman" w:hAnsi="Times New Roman" w:cs="Times New Roman"/>
          <w:sz w:val="24"/>
          <w:szCs w:val="24"/>
        </w:rPr>
        <w:t>powodowało również konieczność uchylenia art. 68 – art. 70 oraz rozdziału 11 ustawy ETS, ze względu na przejęcie tej materii przez przepisy ww.</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rozporządzenia</w:t>
      </w:r>
      <w:r w:rsidR="00547691" w:rsidRPr="009300D9">
        <w:rPr>
          <w:rFonts w:ascii="Times New Roman" w:hAnsi="Times New Roman" w:cs="Times New Roman"/>
          <w:sz w:val="24"/>
          <w:szCs w:val="24"/>
        </w:rPr>
        <w:t>.</w:t>
      </w:r>
      <w:r w:rsidR="00CF189C" w:rsidRPr="009300D9">
        <w:rPr>
          <w:rFonts w:ascii="Times New Roman" w:hAnsi="Times New Roman" w:cs="Times New Roman"/>
          <w:sz w:val="24"/>
          <w:szCs w:val="24"/>
        </w:rPr>
        <w:t xml:space="preserve"> </w:t>
      </w:r>
      <w:r w:rsidR="00040B63" w:rsidRPr="009300D9">
        <w:rPr>
          <w:rFonts w:ascii="Times New Roman" w:hAnsi="Times New Roman" w:cs="Times New Roman"/>
          <w:color w:val="404040" w:themeColor="text1" w:themeTint="BF"/>
          <w:sz w:val="24"/>
          <w:szCs w:val="24"/>
        </w:rPr>
        <w:t xml:space="preserve">Kolejnym celem </w:t>
      </w:r>
      <w:r w:rsidR="00732513" w:rsidRPr="009300D9">
        <w:rPr>
          <w:rFonts w:ascii="Times New Roman" w:hAnsi="Times New Roman" w:cs="Times New Roman"/>
          <w:color w:val="404040" w:themeColor="text1" w:themeTint="BF"/>
          <w:sz w:val="24"/>
          <w:szCs w:val="24"/>
        </w:rPr>
        <w:t>przedmiotowej</w:t>
      </w:r>
      <w:r w:rsidR="00040B63" w:rsidRPr="009300D9">
        <w:rPr>
          <w:rFonts w:ascii="Times New Roman" w:hAnsi="Times New Roman" w:cs="Times New Roman"/>
          <w:color w:val="404040" w:themeColor="text1" w:themeTint="BF"/>
          <w:sz w:val="24"/>
          <w:szCs w:val="24"/>
        </w:rPr>
        <w:t xml:space="preserve"> </w:t>
      </w:r>
      <w:r w:rsidR="00CA64C2" w:rsidRPr="009300D9">
        <w:rPr>
          <w:rFonts w:ascii="Times New Roman" w:hAnsi="Times New Roman" w:cs="Times New Roman"/>
          <w:color w:val="404040" w:themeColor="text1" w:themeTint="BF"/>
          <w:sz w:val="24"/>
          <w:szCs w:val="24"/>
        </w:rPr>
        <w:t>nowelizacji</w:t>
      </w:r>
      <w:r w:rsidR="00040B63" w:rsidRPr="009300D9">
        <w:rPr>
          <w:rFonts w:ascii="Times New Roman" w:hAnsi="Times New Roman" w:cs="Times New Roman"/>
          <w:color w:val="404040" w:themeColor="text1" w:themeTint="BF"/>
          <w:sz w:val="24"/>
          <w:szCs w:val="24"/>
        </w:rPr>
        <w:t xml:space="preserve"> jest wykonanie </w:t>
      </w:r>
      <w:r w:rsidR="00CA64C2" w:rsidRPr="009300D9">
        <w:rPr>
          <w:rFonts w:ascii="Times New Roman" w:hAnsi="Times New Roman" w:cs="Times New Roman"/>
          <w:sz w:val="24"/>
          <w:szCs w:val="24"/>
        </w:rPr>
        <w:t>rozporządzenia</w:t>
      </w:r>
      <w:r w:rsidR="00040B63" w:rsidRPr="009300D9">
        <w:rPr>
          <w:rFonts w:ascii="Times New Roman" w:hAnsi="Times New Roman" w:cs="Times New Roman"/>
          <w:sz w:val="24"/>
          <w:szCs w:val="24"/>
        </w:rPr>
        <w:t xml:space="preserve"> </w:t>
      </w:r>
      <w:r w:rsidR="00CA64C2" w:rsidRPr="009300D9">
        <w:rPr>
          <w:rFonts w:ascii="Times New Roman" w:hAnsi="Times New Roman" w:cs="Times New Roman"/>
          <w:sz w:val="24"/>
          <w:szCs w:val="24"/>
        </w:rPr>
        <w:t xml:space="preserve">Komisji nr </w:t>
      </w:r>
      <w:r w:rsidR="00040B63" w:rsidRPr="009300D9">
        <w:rPr>
          <w:rFonts w:ascii="Times New Roman" w:hAnsi="Times New Roman" w:cs="Times New Roman"/>
          <w:sz w:val="24"/>
          <w:szCs w:val="24"/>
        </w:rPr>
        <w:t xml:space="preserve"> 2019/1842 </w:t>
      </w:r>
      <w:r w:rsidR="00040B63" w:rsidRPr="009300D9">
        <w:rPr>
          <w:rFonts w:ascii="Times New Roman" w:hAnsi="Times New Roman" w:cs="Times New Roman"/>
          <w:sz w:val="24"/>
          <w:szCs w:val="24"/>
          <w:shd w:val="clear" w:color="auto" w:fill="FFFFFF"/>
        </w:rPr>
        <w:t>z dnia 31 października 2019 r. ustanawiające zasady stosowania dyrektywy 2003/87/WE Parlamentu Europejskiego i Rady w odniesieniu do dalszych ustaleń dotyczących dostosowań przydziału bezpłatnych uprawnień do emisji ze względu na zmiany w poziomie działalności (Dz. Urz. UE L 282 z dnia 4.11.2019, str. 20)</w:t>
      </w:r>
      <w:r w:rsidR="00BC6C27" w:rsidRPr="009300D9">
        <w:rPr>
          <w:rFonts w:ascii="Times New Roman" w:hAnsi="Times New Roman" w:cs="Times New Roman"/>
          <w:sz w:val="24"/>
          <w:szCs w:val="24"/>
          <w:shd w:val="clear" w:color="auto" w:fill="FFFFFF"/>
        </w:rPr>
        <w:t xml:space="preserve">, zwanego </w:t>
      </w:r>
      <w:r w:rsidR="00040B63" w:rsidRPr="009300D9">
        <w:rPr>
          <w:rFonts w:ascii="Times New Roman" w:hAnsi="Times New Roman" w:cs="Times New Roman"/>
          <w:sz w:val="24"/>
          <w:szCs w:val="24"/>
          <w:shd w:val="clear" w:color="auto" w:fill="FFFFFF"/>
        </w:rPr>
        <w:t>dalej</w:t>
      </w:r>
      <w:r w:rsidR="00BC6C27" w:rsidRPr="009300D9">
        <w:rPr>
          <w:rFonts w:ascii="Times New Roman" w:hAnsi="Times New Roman" w:cs="Times New Roman"/>
          <w:sz w:val="24"/>
          <w:szCs w:val="24"/>
          <w:shd w:val="clear" w:color="auto" w:fill="FFFFFF"/>
        </w:rPr>
        <w:t xml:space="preserve"> </w:t>
      </w:r>
      <w:r w:rsidR="00040B63" w:rsidRPr="009300D9">
        <w:rPr>
          <w:rFonts w:ascii="Times New Roman" w:hAnsi="Times New Roman" w:cs="Times New Roman"/>
          <w:sz w:val="24"/>
          <w:szCs w:val="24"/>
          <w:shd w:val="clear" w:color="auto" w:fill="FFFFFF"/>
        </w:rPr>
        <w:t>„rozporządzenie</w:t>
      </w:r>
      <w:r w:rsidR="00BC6C27" w:rsidRPr="009300D9">
        <w:rPr>
          <w:rFonts w:ascii="Times New Roman" w:hAnsi="Times New Roman" w:cs="Times New Roman"/>
          <w:sz w:val="24"/>
          <w:szCs w:val="24"/>
          <w:shd w:val="clear" w:color="auto" w:fill="FFFFFF"/>
        </w:rPr>
        <w:t>m</w:t>
      </w:r>
      <w:r w:rsidR="00040B63" w:rsidRPr="009300D9">
        <w:rPr>
          <w:rFonts w:ascii="Times New Roman" w:hAnsi="Times New Roman" w:cs="Times New Roman"/>
          <w:sz w:val="24"/>
          <w:szCs w:val="24"/>
          <w:shd w:val="clear" w:color="auto" w:fill="FFFFFF"/>
        </w:rPr>
        <w:t xml:space="preserve"> 2019/1842”. Rozporządzenie </w:t>
      </w:r>
      <w:r w:rsidR="00BC6C27" w:rsidRPr="009300D9">
        <w:rPr>
          <w:rFonts w:ascii="Times New Roman" w:hAnsi="Times New Roman" w:cs="Times New Roman"/>
          <w:sz w:val="24"/>
          <w:szCs w:val="24"/>
          <w:shd w:val="clear" w:color="auto" w:fill="FFFFFF"/>
        </w:rPr>
        <w:t xml:space="preserve">2019/1842 </w:t>
      </w:r>
      <w:r w:rsidR="00040B63" w:rsidRPr="009300D9">
        <w:rPr>
          <w:rFonts w:ascii="Times New Roman" w:hAnsi="Times New Roman" w:cs="Times New Roman"/>
          <w:sz w:val="24"/>
          <w:szCs w:val="24"/>
          <w:shd w:val="clear" w:color="auto" w:fill="FFFFFF"/>
        </w:rPr>
        <w:t xml:space="preserve">to </w:t>
      </w:r>
      <w:r w:rsidR="00040B63" w:rsidRPr="009300D9">
        <w:rPr>
          <w:rFonts w:ascii="Times New Roman" w:hAnsi="Times New Roman" w:cs="Times New Roman"/>
          <w:sz w:val="24"/>
          <w:szCs w:val="24"/>
        </w:rPr>
        <w:t xml:space="preserve">ustanawia jednolite w całej Unii kryteria i zasady przeprowadzania dostosowania przydziałów uprawnień do emisji w okresie rozliczeniowym 2021-2030. Istotne znaczenie z perspektywy realizacji celów dyrektywy ma także postulat, aby przydział uprawnień był dostosowany do zmieniającej się sytuacji w poszczególnych instalacjach i aby odzwierciedlał rzeczywisty poziom eksploatacji instalacji. Zmiany te są następstwem zmian poziomów działalności w instalacji. </w:t>
      </w:r>
      <w:r w:rsidR="00C94EBE" w:rsidRPr="009300D9">
        <w:rPr>
          <w:rFonts w:ascii="Times New Roman" w:hAnsi="Times New Roman" w:cs="Times New Roman"/>
          <w:sz w:val="24"/>
          <w:szCs w:val="24"/>
        </w:rPr>
        <w:br/>
      </w:r>
      <w:r w:rsidR="00040B63" w:rsidRPr="009300D9">
        <w:rPr>
          <w:rFonts w:ascii="Times New Roman" w:hAnsi="Times New Roman" w:cs="Times New Roman"/>
          <w:sz w:val="24"/>
          <w:szCs w:val="24"/>
        </w:rPr>
        <w:t>Z tego powodu mechanizm przydziału uprawnień do emisji jest ściśle powiązany z bieżącym analizowaniem sytuacji w instalacjach, które zobligowane są do dostarczania szczegółowych danych podlegających niezależnej weryfikacji. Na podstawie tych danych organy państwa mają podejmować decyzje, czy zachodzi potrzeba dostosowania przydziału bezpłatnych uprawnień do emisji.</w:t>
      </w:r>
    </w:p>
    <w:p w14:paraId="45B923B3" w14:textId="35904F20"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Przepisy rozporządzenia 2019/1842 ustanawiają nie tylko szczegółowe wymagania dotyczące raportowania w zakresie poziomów działalności na poziomie każdej </w:t>
      </w:r>
      <w:proofErr w:type="spellStart"/>
      <w:r w:rsidRPr="009300D9">
        <w:rPr>
          <w:rFonts w:ascii="Times New Roman" w:hAnsi="Times New Roman" w:cs="Times New Roman"/>
          <w:sz w:val="24"/>
          <w:szCs w:val="24"/>
        </w:rPr>
        <w:t>podinstalacji</w:t>
      </w:r>
      <w:proofErr w:type="spellEnd"/>
      <w:r w:rsidRPr="009300D9">
        <w:rPr>
          <w:rFonts w:ascii="Times New Roman" w:hAnsi="Times New Roman" w:cs="Times New Roman"/>
          <w:sz w:val="24"/>
          <w:szCs w:val="24"/>
        </w:rPr>
        <w:t xml:space="preserve"> wyodrębnionej w</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ramach instalacji objętej systemem</w:t>
      </w:r>
      <w:r w:rsidR="00040B63" w:rsidRPr="009300D9">
        <w:rPr>
          <w:rFonts w:ascii="Times New Roman" w:hAnsi="Times New Roman" w:cs="Times New Roman"/>
          <w:sz w:val="24"/>
          <w:szCs w:val="24"/>
        </w:rPr>
        <w:t xml:space="preserve"> ETS</w:t>
      </w:r>
      <w:r w:rsidRPr="009300D9">
        <w:rPr>
          <w:rFonts w:ascii="Times New Roman" w:hAnsi="Times New Roman" w:cs="Times New Roman"/>
          <w:sz w:val="24"/>
          <w:szCs w:val="24"/>
        </w:rPr>
        <w:t>, ale także wskazują na możliwość nałożenia na prowadzących instalacje obowiązku posługiwania się szablonami elektronicznymi lub określonymi formatami plików, aby zapewnić jednolite i spójne zasady przekazywania tych informacji (art. 3 ust. 3 akapit 5). Podkreślenia wymaga, że obowiązki sprawozdawcze odnoszą się wyłącznie do prowadzących instalacje, które uzyskują przydział darmowych uprawnień do emisji, i mają one na celu, jak wspomniano, dostarczyć informacji niezbędnych do ustalenia jaki przydział uprawnień do emisji powinien uzyskać w danym roku prowadzący instalację.</w:t>
      </w:r>
    </w:p>
    <w:p w14:paraId="6A9B6044" w14:textId="280B506E"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Ustawa zakłada, że raporty o zmianach w poziomach działalności będą przedkładane do Krajow</w:t>
      </w:r>
      <w:r w:rsidR="00B12956" w:rsidRPr="009300D9">
        <w:rPr>
          <w:rFonts w:ascii="Times New Roman" w:hAnsi="Times New Roman" w:cs="Times New Roman"/>
          <w:sz w:val="24"/>
          <w:szCs w:val="24"/>
        </w:rPr>
        <w:t>ego</w:t>
      </w:r>
      <w:r w:rsidR="00732513" w:rsidRPr="009300D9">
        <w:rPr>
          <w:rFonts w:ascii="Times New Roman" w:hAnsi="Times New Roman" w:cs="Times New Roman"/>
          <w:sz w:val="24"/>
          <w:szCs w:val="24"/>
        </w:rPr>
        <w:t xml:space="preserve"> </w:t>
      </w:r>
      <w:r w:rsidR="00732E04" w:rsidRPr="009300D9">
        <w:rPr>
          <w:rFonts w:ascii="Times New Roman" w:hAnsi="Times New Roman" w:cs="Times New Roman"/>
          <w:sz w:val="24"/>
          <w:szCs w:val="24"/>
        </w:rPr>
        <w:t>ośrodk</w:t>
      </w:r>
      <w:r w:rsidR="00B12956" w:rsidRPr="009300D9">
        <w:rPr>
          <w:rFonts w:ascii="Times New Roman" w:hAnsi="Times New Roman" w:cs="Times New Roman"/>
          <w:sz w:val="24"/>
          <w:szCs w:val="24"/>
        </w:rPr>
        <w:t>a</w:t>
      </w:r>
      <w:r w:rsidRPr="009300D9">
        <w:rPr>
          <w:rFonts w:ascii="Times New Roman" w:hAnsi="Times New Roman" w:cs="Times New Roman"/>
          <w:sz w:val="24"/>
          <w:szCs w:val="24"/>
        </w:rPr>
        <w:t xml:space="preserve">, który już obecnie realizuje zadania związane z przyjmowaniem </w:t>
      </w:r>
      <w:r w:rsidR="00407047" w:rsidRPr="009300D9">
        <w:rPr>
          <w:rFonts w:ascii="Times New Roman" w:hAnsi="Times New Roman" w:cs="Times New Roman"/>
          <w:sz w:val="24"/>
          <w:szCs w:val="24"/>
        </w:rPr>
        <w:t xml:space="preserve"> </w:t>
      </w:r>
      <w:r w:rsidRPr="009300D9">
        <w:rPr>
          <w:rFonts w:ascii="Times New Roman" w:hAnsi="Times New Roman" w:cs="Times New Roman"/>
          <w:sz w:val="24"/>
          <w:szCs w:val="24"/>
        </w:rPr>
        <w:t xml:space="preserve">i oceną wniosków o przydział uprawnień do emisji, jak również opiniowaniem planów metodyki monitorowania danych, zasadniczo więc weryfikuje proces gromadzenia danych na potrzeby ustalenia przydziału uprawnień do emisji, na etapie zatwierdzania planów metodyki, a także gromadzi dane wynikowe z tego procesu. W konsekwencji zatem zasadne jest, aby </w:t>
      </w:r>
      <w:r w:rsidR="00D5601A" w:rsidRPr="009300D9">
        <w:rPr>
          <w:rFonts w:ascii="Times New Roman" w:hAnsi="Times New Roman" w:cs="Times New Roman"/>
          <w:sz w:val="24"/>
          <w:szCs w:val="24"/>
        </w:rPr>
        <w:t xml:space="preserve">Krajowy ośrodek </w:t>
      </w:r>
      <w:r w:rsidRPr="009300D9">
        <w:rPr>
          <w:rFonts w:ascii="Times New Roman" w:hAnsi="Times New Roman" w:cs="Times New Roman"/>
          <w:sz w:val="24"/>
          <w:szCs w:val="24"/>
        </w:rPr>
        <w:t>przyjmował raporty o</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 xml:space="preserve">zmianach w poziomach działalności, które realizowane są </w:t>
      </w:r>
      <w:r w:rsidR="00C94EBE" w:rsidRPr="009300D9">
        <w:rPr>
          <w:rFonts w:ascii="Times New Roman" w:hAnsi="Times New Roman" w:cs="Times New Roman"/>
          <w:sz w:val="24"/>
          <w:szCs w:val="24"/>
        </w:rPr>
        <w:br/>
      </w:r>
      <w:r w:rsidRPr="009300D9">
        <w:rPr>
          <w:rFonts w:ascii="Times New Roman" w:hAnsi="Times New Roman" w:cs="Times New Roman"/>
          <w:sz w:val="24"/>
          <w:szCs w:val="24"/>
        </w:rPr>
        <w:t>w oparciu o zatwierdzone plany metodyki monitorowania danych.</w:t>
      </w:r>
    </w:p>
    <w:p w14:paraId="65C91387" w14:textId="37951DED"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Proponuje się, aby raporty o zmianach w poziomie działalności były wprowadzane do Krajowej bazy o</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emisjach gazów cieplarnianych i innych substancji, o której mowa w przepisach ustawy z dnia 17</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lipca 2009 r. o systemie zarządzania emisjami gazów cieplarnianych i innych substancji</w:t>
      </w:r>
      <w:r w:rsidR="00732513" w:rsidRPr="009300D9">
        <w:rPr>
          <w:rFonts w:ascii="Times New Roman" w:hAnsi="Times New Roman" w:cs="Times New Roman"/>
          <w:sz w:val="24"/>
          <w:szCs w:val="24"/>
        </w:rPr>
        <w:t>, dalej zwanej „Krajową bazą”.</w:t>
      </w:r>
    </w:p>
    <w:p w14:paraId="6DFF016D" w14:textId="4A7FF9DA"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Już na gruncie obowiązujących przepisów dotychczasowe informacje o rzeczywistych lub planowanych zmianach zdolności produkcyjnej, zmianach w poziomie działalności oraz </w:t>
      </w:r>
      <w:r w:rsidR="00C94EBE" w:rsidRPr="009300D9">
        <w:rPr>
          <w:rFonts w:ascii="Times New Roman" w:hAnsi="Times New Roman" w:cs="Times New Roman"/>
          <w:sz w:val="24"/>
          <w:szCs w:val="24"/>
        </w:rPr>
        <w:br/>
      </w:r>
      <w:r w:rsidRPr="009300D9">
        <w:rPr>
          <w:rFonts w:ascii="Times New Roman" w:hAnsi="Times New Roman" w:cs="Times New Roman"/>
          <w:sz w:val="24"/>
          <w:szCs w:val="24"/>
        </w:rPr>
        <w:t xml:space="preserve">o zmianach w działaniach instalacji w danym roku w podziale na </w:t>
      </w:r>
      <w:proofErr w:type="spellStart"/>
      <w:r w:rsidRPr="009300D9">
        <w:rPr>
          <w:rFonts w:ascii="Times New Roman" w:hAnsi="Times New Roman" w:cs="Times New Roman"/>
          <w:sz w:val="24"/>
          <w:szCs w:val="24"/>
        </w:rPr>
        <w:t>podinstalacje</w:t>
      </w:r>
      <w:proofErr w:type="spellEnd"/>
      <w:r w:rsidRPr="009300D9">
        <w:rPr>
          <w:rFonts w:ascii="Times New Roman" w:hAnsi="Times New Roman" w:cs="Times New Roman"/>
          <w:sz w:val="24"/>
          <w:szCs w:val="24"/>
        </w:rPr>
        <w:t xml:space="preserve"> albo o braku </w:t>
      </w:r>
      <w:r w:rsidRPr="009300D9">
        <w:rPr>
          <w:rFonts w:ascii="Times New Roman" w:hAnsi="Times New Roman" w:cs="Times New Roman"/>
          <w:sz w:val="24"/>
          <w:szCs w:val="24"/>
        </w:rPr>
        <w:lastRenderedPageBreak/>
        <w:t xml:space="preserve">takich zmian, o których mowa w art. 64 ust. 1 ustawy </w:t>
      </w:r>
      <w:r w:rsidR="00732513" w:rsidRPr="009300D9">
        <w:rPr>
          <w:rFonts w:ascii="Times New Roman" w:hAnsi="Times New Roman" w:cs="Times New Roman"/>
          <w:sz w:val="24"/>
          <w:szCs w:val="24"/>
        </w:rPr>
        <w:t>ETS</w:t>
      </w:r>
      <w:r w:rsidRPr="009300D9">
        <w:rPr>
          <w:rFonts w:ascii="Times New Roman" w:hAnsi="Times New Roman" w:cs="Times New Roman"/>
          <w:sz w:val="24"/>
          <w:szCs w:val="24"/>
        </w:rPr>
        <w:t xml:space="preserve">, przedkładane są w taki sposób tj. za pośrednictwem Krajowej bazy, stąd proponuje się przyjęcie analogicznego rozwiązania </w:t>
      </w:r>
      <w:r w:rsidR="00C94EBE" w:rsidRPr="009300D9">
        <w:rPr>
          <w:rFonts w:ascii="Times New Roman" w:hAnsi="Times New Roman" w:cs="Times New Roman"/>
          <w:sz w:val="24"/>
          <w:szCs w:val="24"/>
        </w:rPr>
        <w:br/>
      </w:r>
      <w:r w:rsidRPr="009300D9">
        <w:rPr>
          <w:rFonts w:ascii="Times New Roman" w:hAnsi="Times New Roman" w:cs="Times New Roman"/>
          <w:sz w:val="24"/>
          <w:szCs w:val="24"/>
        </w:rPr>
        <w:t xml:space="preserve">w odniesieniu do raportów o zmianach w poziomach działalności. </w:t>
      </w:r>
    </w:p>
    <w:p w14:paraId="6AE69533" w14:textId="7C2682A1" w:rsidR="00657B6D" w:rsidRPr="009300D9" w:rsidRDefault="00657B6D" w:rsidP="009300D9">
      <w:pPr>
        <w:pStyle w:val="USTustnpkodeksu"/>
        <w:spacing w:after="120" w:line="276" w:lineRule="auto"/>
        <w:ind w:firstLine="0"/>
        <w:rPr>
          <w:rFonts w:ascii="Times New Roman" w:hAnsi="Times New Roman" w:cs="Times New Roman"/>
          <w:szCs w:val="24"/>
          <w:lang w:eastAsia="en-US"/>
        </w:rPr>
      </w:pPr>
      <w:r w:rsidRPr="009300D9">
        <w:rPr>
          <w:rFonts w:ascii="Times New Roman" w:hAnsi="Times New Roman" w:cs="Times New Roman"/>
          <w:szCs w:val="24"/>
        </w:rPr>
        <w:t>Raport będzie wprowadzany do Krajowej bazy na elektronicznych formularzach dostępnych</w:t>
      </w:r>
      <w:r w:rsidR="00732513" w:rsidRPr="009300D9">
        <w:rPr>
          <w:rFonts w:ascii="Times New Roman" w:hAnsi="Times New Roman" w:cs="Times New Roman"/>
          <w:szCs w:val="24"/>
        </w:rPr>
        <w:t xml:space="preserve"> </w:t>
      </w:r>
      <w:r w:rsidR="00C94EBE" w:rsidRPr="009300D9">
        <w:rPr>
          <w:rFonts w:ascii="Times New Roman" w:hAnsi="Times New Roman" w:cs="Times New Roman"/>
          <w:szCs w:val="24"/>
        </w:rPr>
        <w:br/>
      </w:r>
      <w:r w:rsidR="00732513" w:rsidRPr="009300D9">
        <w:rPr>
          <w:rFonts w:ascii="Times New Roman" w:hAnsi="Times New Roman" w:cs="Times New Roman"/>
          <w:szCs w:val="24"/>
        </w:rPr>
        <w:t>w systemie informatycznym tej b</w:t>
      </w:r>
      <w:r w:rsidRPr="009300D9">
        <w:rPr>
          <w:rFonts w:ascii="Times New Roman" w:hAnsi="Times New Roman" w:cs="Times New Roman"/>
          <w:szCs w:val="24"/>
        </w:rPr>
        <w:t>azy w trybie bezpośredniego połączenia z siecią. W tym zakresie proponuje się utrzymanie istniejącego rozwiązania, niemniej zakres i sposób realizacji tego obowiązku sprawozdawczego ulegnie zasadniczym zmianom. Proponuje się również, aby na wypadek braku dostępności w Krajowej bazie w pełni działającej infrastruktury informatycznej do wykonywania obowiązku raportowania, w roku kiedy po raz pierwszy obowiązek ten będzie realizowany tj. w</w:t>
      </w:r>
      <w:r w:rsidR="00407047" w:rsidRPr="009300D9">
        <w:rPr>
          <w:rFonts w:ascii="Times New Roman" w:hAnsi="Times New Roman" w:cs="Times New Roman"/>
          <w:szCs w:val="24"/>
        </w:rPr>
        <w:t> </w:t>
      </w:r>
      <w:r w:rsidRPr="009300D9">
        <w:rPr>
          <w:rFonts w:ascii="Times New Roman" w:hAnsi="Times New Roman" w:cs="Times New Roman"/>
          <w:szCs w:val="24"/>
        </w:rPr>
        <w:t xml:space="preserve">pierwszym kwartale 2021 r., możliwe było przedkładanie raportów w postaci </w:t>
      </w:r>
      <w:r w:rsidR="00732513" w:rsidRPr="009300D9">
        <w:rPr>
          <w:rFonts w:ascii="Times New Roman" w:hAnsi="Times New Roman" w:cs="Times New Roman"/>
          <w:szCs w:val="24"/>
          <w:lang w:eastAsia="en-US"/>
        </w:rPr>
        <w:t xml:space="preserve">elektronicznej umożliwiającej przetwarzanie zawartych </w:t>
      </w:r>
      <w:r w:rsidR="00C94EBE" w:rsidRPr="009300D9">
        <w:rPr>
          <w:rFonts w:ascii="Times New Roman" w:hAnsi="Times New Roman" w:cs="Times New Roman"/>
          <w:szCs w:val="24"/>
          <w:lang w:eastAsia="en-US"/>
        </w:rPr>
        <w:br/>
      </w:r>
      <w:r w:rsidR="00732513" w:rsidRPr="009300D9">
        <w:rPr>
          <w:rFonts w:ascii="Times New Roman" w:hAnsi="Times New Roman" w:cs="Times New Roman"/>
          <w:szCs w:val="24"/>
          <w:lang w:eastAsia="en-US"/>
        </w:rPr>
        <w:t>w nim danych i w postaci papierowej</w:t>
      </w:r>
      <w:r w:rsidR="00732513" w:rsidRPr="009300D9">
        <w:rPr>
          <w:rFonts w:ascii="Times New Roman" w:hAnsi="Times New Roman" w:cs="Times New Roman"/>
          <w:szCs w:val="24"/>
        </w:rPr>
        <w:t xml:space="preserve"> albo w</w:t>
      </w:r>
      <w:r w:rsidR="00732513" w:rsidRPr="009300D9">
        <w:rPr>
          <w:rFonts w:ascii="Times New Roman" w:hAnsi="Times New Roman" w:cs="Times New Roman"/>
          <w:szCs w:val="24"/>
          <w:lang w:eastAsia="en-US"/>
        </w:rPr>
        <w:t xml:space="preserve"> postaci elektronicznej umożliwiającej przetwarzanie zawartych w nim danych opatrzonej podpisem zaufanym lub kwalifikowanym podpisem elektronicznym.</w:t>
      </w:r>
      <w:r w:rsidRPr="009300D9">
        <w:rPr>
          <w:rFonts w:ascii="Times New Roman" w:hAnsi="Times New Roman" w:cs="Times New Roman"/>
          <w:szCs w:val="24"/>
        </w:rPr>
        <w:t xml:space="preserve"> Projekt zawiera propozycję przepisów przejściowych w tym zakresie</w:t>
      </w:r>
      <w:r w:rsidR="00732513" w:rsidRPr="009300D9">
        <w:rPr>
          <w:rFonts w:ascii="Times New Roman" w:hAnsi="Times New Roman" w:cs="Times New Roman"/>
          <w:szCs w:val="24"/>
        </w:rPr>
        <w:t>.</w:t>
      </w:r>
    </w:p>
    <w:p w14:paraId="2AF6C73B" w14:textId="6C6E4FC0"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Jednocześnie zakres informacji, przekazywanych w rocznych raportach będzie wzorował się na szablonach formularzy raportów, które opracuje Komisja Europejska. Obecnie trwają prace zmierzające do ustalenia wzoru formularza raportu, w których uczestniczą przedstawiciele państw członkowskich </w:t>
      </w:r>
      <w:r w:rsidR="00C94EBE" w:rsidRPr="009300D9">
        <w:rPr>
          <w:rFonts w:ascii="Times New Roman" w:hAnsi="Times New Roman" w:cs="Times New Roman"/>
          <w:sz w:val="24"/>
          <w:szCs w:val="24"/>
        </w:rPr>
        <w:t xml:space="preserve">UE </w:t>
      </w:r>
      <w:r w:rsidRPr="009300D9">
        <w:rPr>
          <w:rFonts w:ascii="Times New Roman" w:hAnsi="Times New Roman" w:cs="Times New Roman"/>
          <w:sz w:val="24"/>
          <w:szCs w:val="24"/>
        </w:rPr>
        <w:t>i</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K</w:t>
      </w:r>
      <w:r w:rsidR="00ED1FA8" w:rsidRPr="009300D9">
        <w:rPr>
          <w:rFonts w:ascii="Times New Roman" w:hAnsi="Times New Roman" w:cs="Times New Roman"/>
          <w:sz w:val="24"/>
          <w:szCs w:val="24"/>
        </w:rPr>
        <w:t xml:space="preserve">omisji </w:t>
      </w:r>
      <w:r w:rsidRPr="009300D9">
        <w:rPr>
          <w:rFonts w:ascii="Times New Roman" w:hAnsi="Times New Roman" w:cs="Times New Roman"/>
          <w:sz w:val="24"/>
          <w:szCs w:val="24"/>
        </w:rPr>
        <w:t>E</w:t>
      </w:r>
      <w:r w:rsidR="00ED1FA8" w:rsidRPr="009300D9">
        <w:rPr>
          <w:rFonts w:ascii="Times New Roman" w:hAnsi="Times New Roman" w:cs="Times New Roman"/>
          <w:sz w:val="24"/>
          <w:szCs w:val="24"/>
        </w:rPr>
        <w:t>uropejskiej</w:t>
      </w:r>
      <w:r w:rsidRPr="009300D9">
        <w:rPr>
          <w:rFonts w:ascii="Times New Roman" w:hAnsi="Times New Roman" w:cs="Times New Roman"/>
          <w:sz w:val="24"/>
          <w:szCs w:val="24"/>
        </w:rPr>
        <w:t>.</w:t>
      </w:r>
    </w:p>
    <w:p w14:paraId="5845E618" w14:textId="613484C1"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Zgodnie z rozporządzeniem 2019/1842 dane zebrane od prowadzących instalację powinny odzwierciedlać rzeczywiste informacje na temat eksploatacji instalacji. Kluczowe znaczenie ma tu kryterium rzetelności przekazywanych danych, które zapewnia nie tylko poddanie ich niezależnej weryfikacji, ale również mechanizmy kontroli, które mają zapewnić organy państwa członkowskiego</w:t>
      </w:r>
      <w:r w:rsidR="00ED1FA8" w:rsidRPr="009300D9">
        <w:rPr>
          <w:rFonts w:ascii="Times New Roman" w:hAnsi="Times New Roman" w:cs="Times New Roman"/>
          <w:sz w:val="24"/>
          <w:szCs w:val="24"/>
        </w:rPr>
        <w:t xml:space="preserve"> UE</w:t>
      </w:r>
      <w:r w:rsidRPr="009300D9">
        <w:rPr>
          <w:rFonts w:ascii="Times New Roman" w:hAnsi="Times New Roman" w:cs="Times New Roman"/>
          <w:sz w:val="24"/>
          <w:szCs w:val="24"/>
        </w:rPr>
        <w:t xml:space="preserve">. </w:t>
      </w:r>
    </w:p>
    <w:p w14:paraId="0C990163" w14:textId="0FC3B781"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W pierwszej kolejności podnieść należy, że rozporządzenie 2019/1842 wymaga poddania corocznie przekazywanych raportów o zmianach w poziomach działalności obowiązkowi weryfikacji na zasadach określonych w </w:t>
      </w:r>
      <w:r w:rsidR="00ED1FA8" w:rsidRPr="009300D9">
        <w:rPr>
          <w:rFonts w:ascii="Times New Roman" w:hAnsi="Times New Roman" w:cs="Times New Roman"/>
          <w:sz w:val="24"/>
          <w:szCs w:val="24"/>
        </w:rPr>
        <w:t>rozporządzeniu wykonawczym Komisji (UE) 2018/2067 z dnia 19 grudnia 2018 r. w sprawie weryfikacji danych oraz akredytacji weryfikatorów na podstawie dyrektywy 2003/87/WE Parlamentu Europejskiego i Rady (Dz. Urz. UE L 334 z 31.12.2018, str. 94), zwanym dalej „</w:t>
      </w:r>
      <w:r w:rsidRPr="009300D9">
        <w:rPr>
          <w:rFonts w:ascii="Times New Roman" w:hAnsi="Times New Roman" w:cs="Times New Roman"/>
          <w:sz w:val="24"/>
          <w:szCs w:val="24"/>
        </w:rPr>
        <w:t>rozporządzeniu wykonawczym Komisji 2018/2067</w:t>
      </w:r>
      <w:r w:rsidR="00ED1FA8" w:rsidRPr="009300D9">
        <w:rPr>
          <w:rFonts w:ascii="Times New Roman" w:hAnsi="Times New Roman" w:cs="Times New Roman"/>
          <w:sz w:val="24"/>
          <w:szCs w:val="24"/>
        </w:rPr>
        <w:t>”</w:t>
      </w:r>
      <w:r w:rsidRPr="009300D9">
        <w:rPr>
          <w:rFonts w:ascii="Times New Roman" w:hAnsi="Times New Roman" w:cs="Times New Roman"/>
          <w:sz w:val="24"/>
          <w:szCs w:val="24"/>
        </w:rPr>
        <w:t>. Oznacza to, że każdy raport będzie musiał zostać poddany ocenie weryfikatora, który w opracowywanym sprawozdaniu z weryfikacji musi ocenić, zgodność przedstawionych informacji z wymaganiami planu metodyki monitorowania, a także wymaganiami rozporządzenia delegowanego Komisji 2019/331 oraz rozporządzenia 2019/1842.</w:t>
      </w:r>
    </w:p>
    <w:p w14:paraId="64D6DE32" w14:textId="77777777"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Sprawozdania z weryfikacji raportów dotyczących zmian w poziomach działalności będą przedkładane w taki sam sposób jak raporty tj. poprzez dedykowany moduł sprawozdawczości utworzony w Krajowej bazie.</w:t>
      </w:r>
    </w:p>
    <w:p w14:paraId="22171CF3" w14:textId="4598E769"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Dodatkowo</w:t>
      </w:r>
      <w:r w:rsidR="00407047" w:rsidRPr="009300D9">
        <w:rPr>
          <w:rFonts w:ascii="Times New Roman" w:hAnsi="Times New Roman" w:cs="Times New Roman"/>
          <w:sz w:val="24"/>
          <w:szCs w:val="24"/>
        </w:rPr>
        <w:t>,</w:t>
      </w:r>
      <w:r w:rsidRPr="009300D9">
        <w:rPr>
          <w:rFonts w:ascii="Times New Roman" w:hAnsi="Times New Roman" w:cs="Times New Roman"/>
          <w:sz w:val="24"/>
          <w:szCs w:val="24"/>
        </w:rPr>
        <w:t xml:space="preserve"> w przypadkach wskazanych w art. 3 ust. 4 rozporządzenia 2019/1842 właściwy organ państwa członkowskiego zobowiązany jest do zachowawczego oszacowania wartości parametrów dotyczących danych podstawowych w odniesieniu do poszczególnych </w:t>
      </w:r>
      <w:proofErr w:type="spellStart"/>
      <w:r w:rsidRPr="009300D9">
        <w:rPr>
          <w:rFonts w:ascii="Times New Roman" w:hAnsi="Times New Roman" w:cs="Times New Roman"/>
          <w:sz w:val="24"/>
          <w:szCs w:val="24"/>
        </w:rPr>
        <w:t>podinstalacji</w:t>
      </w:r>
      <w:proofErr w:type="spellEnd"/>
      <w:r w:rsidRPr="009300D9">
        <w:rPr>
          <w:rFonts w:ascii="Times New Roman" w:hAnsi="Times New Roman" w:cs="Times New Roman"/>
          <w:sz w:val="24"/>
          <w:szCs w:val="24"/>
        </w:rPr>
        <w:t xml:space="preserve">, którym przydzielono uprawnienia. Projektowana ustawa przewiduje powierzenie </w:t>
      </w:r>
      <w:r w:rsidRPr="009300D9">
        <w:rPr>
          <w:rFonts w:ascii="Times New Roman" w:hAnsi="Times New Roman" w:cs="Times New Roman"/>
          <w:sz w:val="24"/>
          <w:szCs w:val="24"/>
        </w:rPr>
        <w:lastRenderedPageBreak/>
        <w:t xml:space="preserve">tego zadania Krajowemu ośrodkowi. W celu uzyskania informacji i danych niezbędnych do przeprowadzenia oszacowania parametrów dotyczących danych podstawowych, </w:t>
      </w:r>
      <w:r w:rsidR="004270C8" w:rsidRPr="009300D9">
        <w:rPr>
          <w:rFonts w:ascii="Times New Roman" w:hAnsi="Times New Roman" w:cs="Times New Roman"/>
          <w:sz w:val="24"/>
          <w:szCs w:val="24"/>
        </w:rPr>
        <w:t xml:space="preserve">Krajowy ośrodek </w:t>
      </w:r>
      <w:r w:rsidRPr="009300D9">
        <w:rPr>
          <w:rFonts w:ascii="Times New Roman" w:hAnsi="Times New Roman" w:cs="Times New Roman"/>
          <w:sz w:val="24"/>
          <w:szCs w:val="24"/>
        </w:rPr>
        <w:t>będzie mógł wystąpić do prowadzącego instalację o złożenie wyjaśnień lub przedstawienie informacji i danych potrzebnych do oszacowania parametru, który zgodnie z art. 3 ust. 2 rozporządzenia 201</w:t>
      </w:r>
      <w:r w:rsidR="00616347" w:rsidRPr="009300D9">
        <w:rPr>
          <w:rFonts w:ascii="Times New Roman" w:hAnsi="Times New Roman" w:cs="Times New Roman"/>
          <w:sz w:val="24"/>
          <w:szCs w:val="24"/>
        </w:rPr>
        <w:t>9</w:t>
      </w:r>
      <w:r w:rsidRPr="009300D9">
        <w:rPr>
          <w:rFonts w:ascii="Times New Roman" w:hAnsi="Times New Roman" w:cs="Times New Roman"/>
          <w:sz w:val="24"/>
          <w:szCs w:val="24"/>
        </w:rPr>
        <w:t xml:space="preserve">/1842 powinien zawierać raport o poziomach działalności. </w:t>
      </w:r>
    </w:p>
    <w:p w14:paraId="7C52EB2D" w14:textId="77777777" w:rsidR="00407933"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Dokonując oszacowania, wartości parametrów dotyczących danych podstawowych poszczególnych </w:t>
      </w:r>
      <w:proofErr w:type="spellStart"/>
      <w:r w:rsidRPr="009300D9">
        <w:rPr>
          <w:rFonts w:ascii="Times New Roman" w:hAnsi="Times New Roman" w:cs="Times New Roman"/>
          <w:sz w:val="24"/>
          <w:szCs w:val="24"/>
        </w:rPr>
        <w:t>podinstalacji</w:t>
      </w:r>
      <w:proofErr w:type="spellEnd"/>
      <w:r w:rsidRPr="009300D9">
        <w:rPr>
          <w:rFonts w:ascii="Times New Roman" w:hAnsi="Times New Roman" w:cs="Times New Roman"/>
          <w:sz w:val="24"/>
          <w:szCs w:val="24"/>
        </w:rPr>
        <w:t xml:space="preserve"> Krajowy ośrodek będzie mógł również wziąć pod uwagę informacje i dane będące w jego posiadaniu, w szczególności zawarte w: </w:t>
      </w:r>
    </w:p>
    <w:p w14:paraId="0A57ADBF" w14:textId="77777777" w:rsidR="00407933"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1) zezwoleniu na emisję gazów cieplarnianych; </w:t>
      </w:r>
    </w:p>
    <w:p w14:paraId="09F4D78D" w14:textId="77777777" w:rsidR="00407933"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2) raporcie na temat wielkości emisji i sprawozdaniu z weryfikacji tego raportu; </w:t>
      </w:r>
    </w:p>
    <w:p w14:paraId="6BBE689F" w14:textId="10FE049B"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3) raporcie, o którym mowa w art. 7 ustawy z dnia 17 lipca 2009 r. o systemie zarządzania emisjami gazów cieplarnianych i innych substancji</w:t>
      </w:r>
      <w:r w:rsidR="004270C8" w:rsidRPr="009300D9">
        <w:rPr>
          <w:rFonts w:ascii="Times New Roman" w:hAnsi="Times New Roman" w:cs="Times New Roman"/>
          <w:sz w:val="24"/>
          <w:szCs w:val="24"/>
        </w:rPr>
        <w:t xml:space="preserve"> (Dz. U. z 2019 r. poz. 1447 i 1505 oraz z 2020 r. poz. 284)</w:t>
      </w:r>
      <w:r w:rsidR="00F06FA3" w:rsidRPr="009300D9">
        <w:rPr>
          <w:rFonts w:ascii="Times New Roman" w:hAnsi="Times New Roman" w:cs="Times New Roman"/>
          <w:sz w:val="24"/>
          <w:szCs w:val="24"/>
        </w:rPr>
        <w:t>, zwanej dalej „ustawą SZE”.</w:t>
      </w:r>
    </w:p>
    <w:p w14:paraId="02C08D82" w14:textId="520E5690"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Dodatkowo, ponieważ czynności związane z oceną raportu prowadzącego instalację dotyczą również sprawozdania z weryfikacji, </w:t>
      </w:r>
      <w:r w:rsidR="004270C8" w:rsidRPr="009300D9">
        <w:rPr>
          <w:rFonts w:ascii="Times New Roman" w:hAnsi="Times New Roman" w:cs="Times New Roman"/>
          <w:sz w:val="24"/>
          <w:szCs w:val="24"/>
        </w:rPr>
        <w:t>Krajowy ośrodek</w:t>
      </w:r>
      <w:r w:rsidRPr="009300D9">
        <w:rPr>
          <w:rFonts w:ascii="Times New Roman" w:hAnsi="Times New Roman" w:cs="Times New Roman"/>
          <w:sz w:val="24"/>
          <w:szCs w:val="24"/>
        </w:rPr>
        <w:t xml:space="preserve"> będzie upoważniony do wystąpienia do weryfikatora, który sporządził sprawozdanie z weryfikacji raportu o zmianach w poziomie działalności, o przedłożenie wewnętrznej dokumentacji z weryfikacji, o której mowa w art. 26 rozporządzenia </w:t>
      </w:r>
      <w:r w:rsidR="004270C8" w:rsidRPr="009300D9">
        <w:rPr>
          <w:rFonts w:ascii="Times New Roman" w:hAnsi="Times New Roman" w:cs="Times New Roman"/>
          <w:sz w:val="24"/>
          <w:szCs w:val="24"/>
        </w:rPr>
        <w:t xml:space="preserve">wykonawczego </w:t>
      </w:r>
      <w:r w:rsidRPr="009300D9">
        <w:rPr>
          <w:rFonts w:ascii="Times New Roman" w:hAnsi="Times New Roman" w:cs="Times New Roman"/>
          <w:sz w:val="24"/>
          <w:szCs w:val="24"/>
        </w:rPr>
        <w:t>Komisji 2018/2067.</w:t>
      </w:r>
    </w:p>
    <w:p w14:paraId="30015D83" w14:textId="0B1BC362"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Oszacowane wartości parametrów dotyczące danych podstawowych w odniesieniu do każdej </w:t>
      </w:r>
      <w:proofErr w:type="spellStart"/>
      <w:r w:rsidRPr="009300D9">
        <w:rPr>
          <w:rFonts w:ascii="Times New Roman" w:hAnsi="Times New Roman" w:cs="Times New Roman"/>
          <w:sz w:val="24"/>
          <w:szCs w:val="24"/>
        </w:rPr>
        <w:t>podinstalacj</w:t>
      </w:r>
      <w:r w:rsidR="004270C8" w:rsidRPr="009300D9">
        <w:rPr>
          <w:rFonts w:ascii="Times New Roman" w:hAnsi="Times New Roman" w:cs="Times New Roman"/>
          <w:sz w:val="24"/>
          <w:szCs w:val="24"/>
        </w:rPr>
        <w:t>i</w:t>
      </w:r>
      <w:proofErr w:type="spellEnd"/>
      <w:r w:rsidR="004270C8" w:rsidRPr="009300D9">
        <w:rPr>
          <w:rFonts w:ascii="Times New Roman" w:hAnsi="Times New Roman" w:cs="Times New Roman"/>
          <w:sz w:val="24"/>
          <w:szCs w:val="24"/>
        </w:rPr>
        <w:t xml:space="preserve"> Krajowy ośrodek</w:t>
      </w:r>
      <w:r w:rsidRPr="009300D9">
        <w:rPr>
          <w:rFonts w:ascii="Times New Roman" w:hAnsi="Times New Roman" w:cs="Times New Roman"/>
          <w:sz w:val="24"/>
          <w:szCs w:val="24"/>
        </w:rPr>
        <w:t xml:space="preserve"> wprowadzi do Krajowej bazy.</w:t>
      </w:r>
      <w:r w:rsidR="00D53D4D" w:rsidRPr="009300D9">
        <w:rPr>
          <w:rFonts w:ascii="Times New Roman" w:hAnsi="Times New Roman" w:cs="Times New Roman"/>
          <w:sz w:val="24"/>
          <w:szCs w:val="24"/>
        </w:rPr>
        <w:t xml:space="preserve"> Jednakże, z uwagi na funkcjonalność Krajowej bazy, moduł wprowadzania danych w tym zakresie będzie obowiązywał dopiero od roku 2022 r.</w:t>
      </w:r>
    </w:p>
    <w:p w14:paraId="3F6D47A7" w14:textId="7C40BCC8" w:rsidR="00657B6D" w:rsidRPr="009300D9" w:rsidRDefault="00D55BE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Ponieważ zgodne z D</w:t>
      </w:r>
      <w:r w:rsidR="00657B6D" w:rsidRPr="009300D9">
        <w:rPr>
          <w:rFonts w:ascii="Times New Roman" w:hAnsi="Times New Roman" w:cs="Times New Roman"/>
          <w:sz w:val="24"/>
          <w:szCs w:val="24"/>
        </w:rPr>
        <w:t>yrektywą</w:t>
      </w:r>
      <w:r w:rsidR="00D53D4D" w:rsidRPr="009300D9">
        <w:rPr>
          <w:rFonts w:ascii="Times New Roman" w:hAnsi="Times New Roman" w:cs="Times New Roman"/>
          <w:sz w:val="24"/>
          <w:szCs w:val="24"/>
        </w:rPr>
        <w:t xml:space="preserve"> </w:t>
      </w:r>
      <w:r w:rsidR="007F7452" w:rsidRPr="009300D9">
        <w:rPr>
          <w:rFonts w:ascii="Times New Roman" w:hAnsi="Times New Roman" w:cs="Times New Roman"/>
          <w:sz w:val="24"/>
          <w:szCs w:val="24"/>
        </w:rPr>
        <w:t xml:space="preserve">2018/410 </w:t>
      </w:r>
      <w:r w:rsidR="00657B6D" w:rsidRPr="009300D9">
        <w:rPr>
          <w:rFonts w:ascii="Times New Roman" w:hAnsi="Times New Roman" w:cs="Times New Roman"/>
          <w:sz w:val="24"/>
          <w:szCs w:val="24"/>
        </w:rPr>
        <w:t xml:space="preserve">zmiany przydziałów do emisji mają być realizowane w sposób jednolity i niedyskryminujący, z uwzględnieniem odpowiednich wzrostów i spadków produkcji, dostosowanie przydziałów uprawnień w okresie 2021-2030 będzie następowało </w:t>
      </w:r>
      <w:r w:rsidR="00407933" w:rsidRPr="009300D9">
        <w:rPr>
          <w:rFonts w:ascii="Times New Roman" w:hAnsi="Times New Roman" w:cs="Times New Roman"/>
          <w:sz w:val="24"/>
          <w:szCs w:val="24"/>
        </w:rPr>
        <w:br/>
      </w:r>
      <w:r w:rsidR="00657B6D" w:rsidRPr="009300D9">
        <w:rPr>
          <w:rFonts w:ascii="Times New Roman" w:hAnsi="Times New Roman" w:cs="Times New Roman"/>
          <w:sz w:val="24"/>
          <w:szCs w:val="24"/>
        </w:rPr>
        <w:t xml:space="preserve">z zachowaniem określonych dyrektywą progów (+/- 15%), w oparciu o średnią kroczącą </w:t>
      </w:r>
      <w:r w:rsidR="00407933" w:rsidRPr="009300D9">
        <w:rPr>
          <w:rFonts w:ascii="Times New Roman" w:hAnsi="Times New Roman" w:cs="Times New Roman"/>
          <w:sz w:val="24"/>
          <w:szCs w:val="24"/>
        </w:rPr>
        <w:br/>
      </w:r>
      <w:r w:rsidR="00657B6D" w:rsidRPr="009300D9">
        <w:rPr>
          <w:rFonts w:ascii="Times New Roman" w:hAnsi="Times New Roman" w:cs="Times New Roman"/>
          <w:sz w:val="24"/>
          <w:szCs w:val="24"/>
        </w:rPr>
        <w:t xml:space="preserve">z okresu dwóch ostatnich lat. W konsekwencji, ocenę przesłanek przeprowadzenia dostosowań przydziałów uprawnień do emisji będzie corocznie rozpoczynało wyznaczenie średniego poziomu działalności w każdej </w:t>
      </w:r>
      <w:proofErr w:type="spellStart"/>
      <w:r w:rsidR="00657B6D" w:rsidRPr="009300D9">
        <w:rPr>
          <w:rFonts w:ascii="Times New Roman" w:hAnsi="Times New Roman" w:cs="Times New Roman"/>
          <w:sz w:val="24"/>
          <w:szCs w:val="24"/>
        </w:rPr>
        <w:t>podinstalacji</w:t>
      </w:r>
      <w:proofErr w:type="spellEnd"/>
      <w:r w:rsidR="00657B6D" w:rsidRPr="009300D9">
        <w:rPr>
          <w:rFonts w:ascii="Times New Roman" w:hAnsi="Times New Roman" w:cs="Times New Roman"/>
          <w:sz w:val="24"/>
          <w:szCs w:val="24"/>
        </w:rPr>
        <w:t xml:space="preserve"> w</w:t>
      </w:r>
      <w:r w:rsidR="00407047" w:rsidRPr="009300D9">
        <w:rPr>
          <w:rFonts w:ascii="Times New Roman" w:hAnsi="Times New Roman" w:cs="Times New Roman"/>
          <w:sz w:val="24"/>
          <w:szCs w:val="24"/>
        </w:rPr>
        <w:t> </w:t>
      </w:r>
      <w:r w:rsidR="00657B6D" w:rsidRPr="009300D9">
        <w:rPr>
          <w:rFonts w:ascii="Times New Roman" w:hAnsi="Times New Roman" w:cs="Times New Roman"/>
          <w:sz w:val="24"/>
          <w:szCs w:val="24"/>
        </w:rPr>
        <w:t xml:space="preserve">okresie ostatnich dwóch lat. Wyznaczenie średniej kroczącej nastąpi na podstawie informacji przekazywanych w raportach o zmianach </w:t>
      </w:r>
      <w:r w:rsidR="00407933" w:rsidRPr="009300D9">
        <w:rPr>
          <w:rFonts w:ascii="Times New Roman" w:hAnsi="Times New Roman" w:cs="Times New Roman"/>
          <w:sz w:val="24"/>
          <w:szCs w:val="24"/>
        </w:rPr>
        <w:br/>
      </w:r>
      <w:r w:rsidR="00657B6D" w:rsidRPr="009300D9">
        <w:rPr>
          <w:rFonts w:ascii="Times New Roman" w:hAnsi="Times New Roman" w:cs="Times New Roman"/>
          <w:sz w:val="24"/>
          <w:szCs w:val="24"/>
        </w:rPr>
        <w:t xml:space="preserve">w poziomach działalności. Średni poziom działalności każdej </w:t>
      </w:r>
      <w:proofErr w:type="spellStart"/>
      <w:r w:rsidR="00657B6D" w:rsidRPr="009300D9">
        <w:rPr>
          <w:rFonts w:ascii="Times New Roman" w:hAnsi="Times New Roman" w:cs="Times New Roman"/>
          <w:sz w:val="24"/>
          <w:szCs w:val="24"/>
        </w:rPr>
        <w:t>podinstalacji</w:t>
      </w:r>
      <w:proofErr w:type="spellEnd"/>
      <w:r w:rsidR="00657B6D" w:rsidRPr="009300D9">
        <w:rPr>
          <w:rFonts w:ascii="Times New Roman" w:hAnsi="Times New Roman" w:cs="Times New Roman"/>
          <w:sz w:val="24"/>
          <w:szCs w:val="24"/>
        </w:rPr>
        <w:t xml:space="preserve"> będzie wyznaczał K</w:t>
      </w:r>
      <w:r w:rsidR="004270C8" w:rsidRPr="009300D9">
        <w:rPr>
          <w:rFonts w:ascii="Times New Roman" w:hAnsi="Times New Roman" w:cs="Times New Roman"/>
          <w:sz w:val="24"/>
          <w:szCs w:val="24"/>
        </w:rPr>
        <w:t>rajowy ośrodek</w:t>
      </w:r>
      <w:r w:rsidR="00657B6D" w:rsidRPr="009300D9">
        <w:rPr>
          <w:rFonts w:ascii="Times New Roman" w:hAnsi="Times New Roman" w:cs="Times New Roman"/>
          <w:sz w:val="24"/>
          <w:szCs w:val="24"/>
        </w:rPr>
        <w:t>. Potrzeba uzyskania informacji na temat średniego poziomu działalności (średniej kroczącej) w odniesieniu do dwóch lat poprzedzających pierwsze wydanie uprawnień do emisji w nowym okresie rozliczeniowym tj. w 2021 r., uzasadnia potrzebę pozyskania informacji o zmianach w poziomie działalności w odniesieniu do roku 2019 i 2020. Z tego powodu w</w:t>
      </w:r>
      <w:r w:rsidR="00407047" w:rsidRPr="009300D9">
        <w:rPr>
          <w:rFonts w:ascii="Times New Roman" w:hAnsi="Times New Roman" w:cs="Times New Roman"/>
          <w:sz w:val="24"/>
          <w:szCs w:val="24"/>
        </w:rPr>
        <w:t> </w:t>
      </w:r>
      <w:r w:rsidR="00657B6D" w:rsidRPr="009300D9">
        <w:rPr>
          <w:rFonts w:ascii="Times New Roman" w:hAnsi="Times New Roman" w:cs="Times New Roman"/>
          <w:sz w:val="24"/>
          <w:szCs w:val="24"/>
        </w:rPr>
        <w:t xml:space="preserve">terminie do dnia </w:t>
      </w:r>
      <w:r w:rsidR="00F325F1" w:rsidRPr="009300D9">
        <w:rPr>
          <w:rFonts w:ascii="Times New Roman" w:hAnsi="Times New Roman" w:cs="Times New Roman"/>
          <w:sz w:val="24"/>
          <w:szCs w:val="24"/>
        </w:rPr>
        <w:t>28 lutego</w:t>
      </w:r>
      <w:r w:rsidR="004270C8" w:rsidRPr="009300D9">
        <w:rPr>
          <w:rFonts w:ascii="Times New Roman" w:hAnsi="Times New Roman" w:cs="Times New Roman"/>
          <w:sz w:val="24"/>
          <w:szCs w:val="24"/>
        </w:rPr>
        <w:t xml:space="preserve"> </w:t>
      </w:r>
      <w:r w:rsidR="00657B6D" w:rsidRPr="009300D9">
        <w:rPr>
          <w:rFonts w:ascii="Times New Roman" w:hAnsi="Times New Roman" w:cs="Times New Roman"/>
          <w:sz w:val="24"/>
          <w:szCs w:val="24"/>
        </w:rPr>
        <w:t xml:space="preserve">2021 r. prowadzący instalacje, którym przydzielono uprawnienia do emisji w kolejnym okresie 2021-2025, zobowiązani są przedłożyć raporty </w:t>
      </w:r>
      <w:r w:rsidR="004270C8" w:rsidRPr="009300D9">
        <w:rPr>
          <w:rFonts w:ascii="Times New Roman" w:hAnsi="Times New Roman" w:cs="Times New Roman"/>
          <w:sz w:val="24"/>
          <w:szCs w:val="24"/>
        </w:rPr>
        <w:br/>
      </w:r>
      <w:r w:rsidR="00657B6D" w:rsidRPr="009300D9">
        <w:rPr>
          <w:rFonts w:ascii="Times New Roman" w:hAnsi="Times New Roman" w:cs="Times New Roman"/>
          <w:sz w:val="24"/>
          <w:szCs w:val="24"/>
        </w:rPr>
        <w:t xml:space="preserve">o zmianach w poziomie działalności według wymagań przewidzianych w rozporządzeniu 2019/1842 za lata 2019-2020.  </w:t>
      </w:r>
    </w:p>
    <w:p w14:paraId="5E62B313" w14:textId="76FD4BE4"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W oparciu o informacje zawarte w raportach na temat zmian w poziomach działalności Krajowy ośrodek, każdego roku, będzie dokonywał porównania średniego poziomu </w:t>
      </w:r>
      <w:r w:rsidRPr="009300D9">
        <w:rPr>
          <w:rFonts w:ascii="Times New Roman" w:hAnsi="Times New Roman" w:cs="Times New Roman"/>
          <w:sz w:val="24"/>
          <w:szCs w:val="24"/>
        </w:rPr>
        <w:lastRenderedPageBreak/>
        <w:t xml:space="preserve">działalności w każdej </w:t>
      </w:r>
      <w:proofErr w:type="spellStart"/>
      <w:r w:rsidRPr="009300D9">
        <w:rPr>
          <w:rFonts w:ascii="Times New Roman" w:hAnsi="Times New Roman" w:cs="Times New Roman"/>
          <w:sz w:val="24"/>
          <w:szCs w:val="24"/>
        </w:rPr>
        <w:t>podinstalacji</w:t>
      </w:r>
      <w:proofErr w:type="spellEnd"/>
      <w:r w:rsidRPr="009300D9">
        <w:rPr>
          <w:rFonts w:ascii="Times New Roman" w:hAnsi="Times New Roman" w:cs="Times New Roman"/>
          <w:sz w:val="24"/>
          <w:szCs w:val="24"/>
        </w:rPr>
        <w:t xml:space="preserve">, z historycznym poziomem działalności przyjętym do określenia początkowego przydziału uprawnień do emisji na zasadach określonych </w:t>
      </w:r>
      <w:r w:rsidR="00407933" w:rsidRPr="009300D9">
        <w:rPr>
          <w:rFonts w:ascii="Times New Roman" w:hAnsi="Times New Roman" w:cs="Times New Roman"/>
          <w:sz w:val="24"/>
          <w:szCs w:val="24"/>
        </w:rPr>
        <w:br/>
      </w:r>
      <w:r w:rsidRPr="009300D9">
        <w:rPr>
          <w:rFonts w:ascii="Times New Roman" w:hAnsi="Times New Roman" w:cs="Times New Roman"/>
          <w:sz w:val="24"/>
          <w:szCs w:val="24"/>
        </w:rPr>
        <w:t xml:space="preserve">w rozporządzeniu delegowanym Komisji 2019/331. Jeżeli z porównania wyniknie uzasadnienie zastosowania </w:t>
      </w:r>
      <w:r w:rsidR="00035A3A" w:rsidRPr="009300D9">
        <w:rPr>
          <w:rFonts w:ascii="Times New Roman" w:hAnsi="Times New Roman" w:cs="Times New Roman"/>
          <w:sz w:val="24"/>
          <w:szCs w:val="24"/>
        </w:rPr>
        <w:t xml:space="preserve">dostosowania </w:t>
      </w:r>
      <w:r w:rsidRPr="009300D9">
        <w:rPr>
          <w:rFonts w:ascii="Times New Roman" w:hAnsi="Times New Roman" w:cs="Times New Roman"/>
          <w:sz w:val="24"/>
          <w:szCs w:val="24"/>
        </w:rPr>
        <w:t xml:space="preserve">przydziału uprawnień do emisji na zasadach określonych w art. 5 </w:t>
      </w:r>
      <w:r w:rsidR="00407933" w:rsidRPr="009300D9">
        <w:rPr>
          <w:rFonts w:ascii="Times New Roman" w:hAnsi="Times New Roman" w:cs="Times New Roman"/>
          <w:sz w:val="24"/>
          <w:szCs w:val="24"/>
        </w:rPr>
        <w:br/>
      </w:r>
      <w:r w:rsidRPr="009300D9">
        <w:rPr>
          <w:rFonts w:ascii="Times New Roman" w:hAnsi="Times New Roman" w:cs="Times New Roman"/>
          <w:sz w:val="24"/>
          <w:szCs w:val="24"/>
        </w:rPr>
        <w:t>i 6 rozporządzenia 2019/1842, K</w:t>
      </w:r>
      <w:r w:rsidR="003D0948" w:rsidRPr="009300D9">
        <w:rPr>
          <w:rFonts w:ascii="Times New Roman" w:hAnsi="Times New Roman" w:cs="Times New Roman"/>
          <w:sz w:val="24"/>
          <w:szCs w:val="24"/>
        </w:rPr>
        <w:t>rajowy ośrodek</w:t>
      </w:r>
      <w:r w:rsidRPr="009300D9">
        <w:rPr>
          <w:rFonts w:ascii="Times New Roman" w:hAnsi="Times New Roman" w:cs="Times New Roman"/>
          <w:sz w:val="24"/>
          <w:szCs w:val="24"/>
        </w:rPr>
        <w:t xml:space="preserve"> dokona dostosowania przydziału uprawnień do emisji w sposób wskazany w tych przepisach.</w:t>
      </w:r>
    </w:p>
    <w:p w14:paraId="384DB08B" w14:textId="6E556981"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Propozycja wyłączenia w stosunku do prowadzących instalacje możliwości składania skarg do sądów administracyjnych na czynność zachowawczego oszacowania wartości parametrów, </w:t>
      </w:r>
      <w:r w:rsidR="00407933" w:rsidRPr="009300D9">
        <w:rPr>
          <w:rFonts w:ascii="Times New Roman" w:hAnsi="Times New Roman" w:cs="Times New Roman"/>
          <w:sz w:val="24"/>
          <w:szCs w:val="24"/>
        </w:rPr>
        <w:br/>
      </w:r>
      <w:r w:rsidRPr="009300D9">
        <w:rPr>
          <w:rFonts w:ascii="Times New Roman" w:hAnsi="Times New Roman" w:cs="Times New Roman"/>
          <w:sz w:val="24"/>
          <w:szCs w:val="24"/>
        </w:rPr>
        <w:t xml:space="preserve">w wielu przypadkach konieczną do obliczania ostatecznej liczby uprawnień do emisji, jest konsekwencją przede wszystkim mechanizmów dotyczących przydziału uprawnień do emisji przyjętych w przepisach prawa </w:t>
      </w:r>
      <w:r w:rsidR="00264FFF" w:rsidRPr="009300D9">
        <w:rPr>
          <w:rFonts w:ascii="Times New Roman" w:hAnsi="Times New Roman" w:cs="Times New Roman"/>
          <w:sz w:val="24"/>
          <w:szCs w:val="24"/>
        </w:rPr>
        <w:t>UE</w:t>
      </w:r>
      <w:r w:rsidRPr="009300D9">
        <w:rPr>
          <w:rFonts w:ascii="Times New Roman" w:hAnsi="Times New Roman" w:cs="Times New Roman"/>
          <w:sz w:val="24"/>
          <w:szCs w:val="24"/>
        </w:rPr>
        <w:t>.</w:t>
      </w:r>
    </w:p>
    <w:p w14:paraId="177AA1B6" w14:textId="5DBD677B"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Gdyby doszło do zakwestionowania przez prowadzącego instalację przed sądem administracyjnym zachowawczego szacowania wartości parametrów, w wyniku którego została określona ostateczna roczna liczba uprawnień do emisji, należałoby zastosować jedną </w:t>
      </w:r>
      <w:r w:rsidR="00407933" w:rsidRPr="009300D9">
        <w:rPr>
          <w:rFonts w:ascii="Times New Roman" w:hAnsi="Times New Roman" w:cs="Times New Roman"/>
          <w:sz w:val="24"/>
          <w:szCs w:val="24"/>
        </w:rPr>
        <w:br/>
      </w:r>
      <w:r w:rsidRPr="009300D9">
        <w:rPr>
          <w:rFonts w:ascii="Times New Roman" w:hAnsi="Times New Roman" w:cs="Times New Roman"/>
          <w:sz w:val="24"/>
          <w:szCs w:val="24"/>
        </w:rPr>
        <w:t>z dwóch możliwych dróg dalszego postępowania: wydać prowadzącemu instalację liczbę uprawnień do emisji wynikającą z zachowawczego oszacowania i ewentualnie korygować tę  liczbę po uprawomocnieniu się wyroku (o ile wykonanie wyroku sądu administracyjnego pociągałoby za sobą taki skutek) albo wstrzymać procedurę wydawania uprawnień do emisji do czasu uprawomocnienia się wyroku w sprawie.</w:t>
      </w:r>
    </w:p>
    <w:p w14:paraId="569A7518" w14:textId="1E3C9795"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Pierwsza możliwość, która wydawałaby się najbardziej optymalna, nie ma odzwierciedlenia </w:t>
      </w:r>
      <w:r w:rsidR="00407933" w:rsidRPr="009300D9">
        <w:rPr>
          <w:rFonts w:ascii="Times New Roman" w:hAnsi="Times New Roman" w:cs="Times New Roman"/>
          <w:sz w:val="24"/>
          <w:szCs w:val="24"/>
        </w:rPr>
        <w:br/>
      </w:r>
      <w:r w:rsidRPr="009300D9">
        <w:rPr>
          <w:rFonts w:ascii="Times New Roman" w:hAnsi="Times New Roman" w:cs="Times New Roman"/>
          <w:sz w:val="24"/>
          <w:szCs w:val="24"/>
        </w:rPr>
        <w:t>w przepisach prawa U</w:t>
      </w:r>
      <w:r w:rsidR="00264FFF" w:rsidRPr="009300D9">
        <w:rPr>
          <w:rFonts w:ascii="Times New Roman" w:hAnsi="Times New Roman" w:cs="Times New Roman"/>
          <w:sz w:val="24"/>
          <w:szCs w:val="24"/>
        </w:rPr>
        <w:t>E</w:t>
      </w:r>
      <w:r w:rsidRPr="009300D9">
        <w:rPr>
          <w:rFonts w:ascii="Times New Roman" w:hAnsi="Times New Roman" w:cs="Times New Roman"/>
          <w:sz w:val="24"/>
          <w:szCs w:val="24"/>
        </w:rPr>
        <w:t>. Zgodnie z regulacją art. 48 ust. 1 i 2 rozporządzenia Komisji (UE) 2019/1122 centralny administrator (tj. Komisja Europejska) ma obowiązek dopilnować, aby rejestr U</w:t>
      </w:r>
      <w:r w:rsidR="00407933" w:rsidRPr="009300D9">
        <w:rPr>
          <w:rFonts w:ascii="Times New Roman" w:hAnsi="Times New Roman" w:cs="Times New Roman"/>
          <w:sz w:val="24"/>
          <w:szCs w:val="24"/>
        </w:rPr>
        <w:t>E</w:t>
      </w:r>
      <w:r w:rsidRPr="009300D9">
        <w:rPr>
          <w:rFonts w:ascii="Times New Roman" w:hAnsi="Times New Roman" w:cs="Times New Roman"/>
          <w:sz w:val="24"/>
          <w:szCs w:val="24"/>
        </w:rPr>
        <w:t xml:space="preserve"> automatycznie przekazywał uprawnienia do emisji z unijnego rachunku przydziału uprawnień do emisji na odpowiedni rachunek posiadania</w:t>
      </w:r>
      <w:r w:rsidR="00D67120" w:rsidRPr="009300D9">
        <w:rPr>
          <w:rFonts w:ascii="Times New Roman" w:hAnsi="Times New Roman" w:cs="Times New Roman"/>
          <w:sz w:val="24"/>
          <w:szCs w:val="24"/>
        </w:rPr>
        <w:t xml:space="preserve"> – </w:t>
      </w:r>
      <w:r w:rsidRPr="009300D9">
        <w:rPr>
          <w:rFonts w:ascii="Times New Roman" w:hAnsi="Times New Roman" w:cs="Times New Roman"/>
          <w:sz w:val="24"/>
          <w:szCs w:val="24"/>
        </w:rPr>
        <w:t>zgodnie z odpowiednią tabelą krajowego rozdziału uprawnień przedstawioną wcześniej przez krajowego administratora. Temu momentowi odpowiada etap, w którym minister właściwy do spraw klimatu przekazuje Komisji Europejskiej informację, o której mowa w projektowanym art. 64b ust. 7 ustawy</w:t>
      </w:r>
      <w:r w:rsidR="00CC4374" w:rsidRPr="009300D9">
        <w:rPr>
          <w:rFonts w:ascii="Times New Roman" w:hAnsi="Times New Roman" w:cs="Times New Roman"/>
          <w:sz w:val="24"/>
          <w:szCs w:val="24"/>
        </w:rPr>
        <w:t xml:space="preserve"> ETS</w:t>
      </w:r>
      <w:r w:rsidRPr="009300D9">
        <w:rPr>
          <w:rFonts w:ascii="Times New Roman" w:hAnsi="Times New Roman" w:cs="Times New Roman"/>
          <w:sz w:val="24"/>
          <w:szCs w:val="24"/>
        </w:rPr>
        <w:t xml:space="preserve">. System automatycznego wydawania uprawnień, określony w art. 48 rozporządzenia Komisji (UE) 2019/1122, nie przewiduje sytuacji, w której prowadzący instalację, w wyniku skutecznego zakwestionowania przez niego przed krajowym organem jakiejkolwiek czynności, mógłby doprowadzić do późniejszego wydania mu brakujących uprawnień do emisji, tj. po przekazaniu uprawnień przez centralnego administratora. Przepis art. 48 rozporządzenia Komisji (UE) 2019/1122 przewiduje jedynie sytuację odwrotną – zwrot nadwyżki wydanych uprawnień do emisji. </w:t>
      </w:r>
    </w:p>
    <w:p w14:paraId="7E8AF979" w14:textId="56C03647"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Należy również mieć na uwadze, że zgodnie z art. 146 § 1</w:t>
      </w:r>
      <w:r w:rsidR="00264FFF" w:rsidRPr="009300D9">
        <w:rPr>
          <w:rFonts w:ascii="Times New Roman" w:hAnsi="Times New Roman" w:cs="Times New Roman"/>
          <w:sz w:val="24"/>
          <w:szCs w:val="24"/>
        </w:rPr>
        <w:t xml:space="preserve"> ustawy z dnia 30 sierpnia 2002 r. - Prawo o postępowaniu przed sądami administracyjnymi (Dz. U. z 2019 r. poz. 2325,  2200 i  2294)</w:t>
      </w:r>
      <w:r w:rsidRPr="009300D9">
        <w:rPr>
          <w:rFonts w:ascii="Times New Roman" w:hAnsi="Times New Roman" w:cs="Times New Roman"/>
          <w:sz w:val="24"/>
          <w:szCs w:val="24"/>
        </w:rPr>
        <w:t>, sąd administracyjny uwzględniając skargę na czynność, jaką jest zachowawcze szacowanie, byłby zobowiązany stwierdzić bezskuteczność czynności, co samo w sobie powodowałoby znaczące trudności w określeniu skutków takiego wyroku w kontekście wydanej już liczby uprawnień (które w dużej liczbie zostałyby do tego czasu umorzone).</w:t>
      </w:r>
    </w:p>
    <w:p w14:paraId="34919C68" w14:textId="533B5A21"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Drugą rozpatrywaną drogę należy uznać za zdecydowanie niekorzystną dla prowadzących instalacje, bowiem nie wydaje się możliwe, aby mogli oni sobie pozwolić na to, aby wydawanie </w:t>
      </w:r>
      <w:r w:rsidRPr="009300D9">
        <w:rPr>
          <w:rFonts w:ascii="Times New Roman" w:hAnsi="Times New Roman" w:cs="Times New Roman"/>
          <w:sz w:val="24"/>
          <w:szCs w:val="24"/>
        </w:rPr>
        <w:lastRenderedPageBreak/>
        <w:t xml:space="preserve">uprawnień zostało wstrzymane na czas odpowiadający czasowi potrzebnemu do prawomocnego rozstrzygnięcia sprawy przez sąd administracyjny. Z kolei dopiero od tego momentu Krajowy ośrodek będzie mógł mieć pewność, że wydanie uprawnień w liczbie określonej na podstawie zaskarżonego szacowania jest zgodne z prawem i nie zostanie ona zmieniona (ten stan utrzymywałby się do czasu wydania prawomocnego wyroku, </w:t>
      </w:r>
      <w:r w:rsidR="00D67120" w:rsidRPr="009300D9">
        <w:rPr>
          <w:rFonts w:ascii="Times New Roman" w:hAnsi="Times New Roman" w:cs="Times New Roman"/>
          <w:sz w:val="24"/>
          <w:szCs w:val="24"/>
        </w:rPr>
        <w:t>czyli najprawdopodobniej</w:t>
      </w:r>
      <w:r w:rsidRPr="009300D9">
        <w:rPr>
          <w:rFonts w:ascii="Times New Roman" w:hAnsi="Times New Roman" w:cs="Times New Roman"/>
          <w:sz w:val="24"/>
          <w:szCs w:val="24"/>
        </w:rPr>
        <w:t xml:space="preserve"> kilka lat). </w:t>
      </w:r>
    </w:p>
    <w:p w14:paraId="512A0896" w14:textId="53C1DC21"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Ponadto zarówno w pierwszym przypadku, jak i drugim, doszłoby w kolejnych latach do poważnego problemu praktycznego, który będzie rzutował na możliwość ustalenia liczby uprawnień do emisji w odniesieniu do danej instalacji na kolejne lata okresu rozliczeniowego. Zaskarżane parametry byłby wykorzystywane do obliczenia uprawnień w kolejnym roku (wynika to z faktu, że poziom działalności z dwóch lat jest podstawą do określania średniego poziomu działalności, na podstawie którego oblicza się ostateczną roczną liczbę uprawnień do emisji), co podważałoby możliwości dalszego wydawania uprawnień do emisji.  </w:t>
      </w:r>
    </w:p>
    <w:p w14:paraId="345DDE8B" w14:textId="26EF2719" w:rsidR="00997ACD" w:rsidRPr="009300D9" w:rsidRDefault="00997AC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Z powyższego wynika, że na gruncie prawa unijnego nie ma żadnych podstaw proceduralnych, aby zrealizować ewentualne rozstrzygnięcia krajowych sądów skutkujące zwiększeniem przydziału uprawnień do emisji</w:t>
      </w:r>
      <w:r w:rsidR="00D67120" w:rsidRPr="009300D9">
        <w:rPr>
          <w:rFonts w:ascii="Times New Roman" w:hAnsi="Times New Roman" w:cs="Times New Roman"/>
          <w:sz w:val="24"/>
          <w:szCs w:val="24"/>
        </w:rPr>
        <w:t>,</w:t>
      </w:r>
      <w:r w:rsidRPr="009300D9">
        <w:rPr>
          <w:rFonts w:ascii="Times New Roman" w:hAnsi="Times New Roman" w:cs="Times New Roman"/>
          <w:sz w:val="24"/>
          <w:szCs w:val="24"/>
        </w:rPr>
        <w:t xml:space="preserve"> bowiem nie mogą mieć one wpływu na zachowania i rozstrzygnięcia w tej sprawie instytucji unijnych (</w:t>
      </w:r>
      <w:r w:rsidR="00DF57F0" w:rsidRPr="009300D9">
        <w:rPr>
          <w:rFonts w:ascii="Times New Roman" w:hAnsi="Times New Roman" w:cs="Times New Roman"/>
          <w:sz w:val="24"/>
          <w:szCs w:val="24"/>
        </w:rPr>
        <w:t xml:space="preserve">Komisji </w:t>
      </w:r>
      <w:r w:rsidRPr="009300D9">
        <w:rPr>
          <w:rFonts w:ascii="Times New Roman" w:hAnsi="Times New Roman" w:cs="Times New Roman"/>
          <w:sz w:val="24"/>
          <w:szCs w:val="24"/>
        </w:rPr>
        <w:t>E</w:t>
      </w:r>
      <w:r w:rsidR="00DF57F0" w:rsidRPr="009300D9">
        <w:rPr>
          <w:rFonts w:ascii="Times New Roman" w:hAnsi="Times New Roman" w:cs="Times New Roman"/>
          <w:sz w:val="24"/>
          <w:szCs w:val="24"/>
        </w:rPr>
        <w:t>uropejskiej</w:t>
      </w:r>
      <w:r w:rsidRPr="009300D9">
        <w:rPr>
          <w:rFonts w:ascii="Times New Roman" w:hAnsi="Times New Roman" w:cs="Times New Roman"/>
          <w:sz w:val="24"/>
          <w:szCs w:val="24"/>
        </w:rPr>
        <w:t>, Centralnego administratora), które nie są związane orzeczeniami polskich sądów.</w:t>
      </w:r>
    </w:p>
    <w:p w14:paraId="0B7CBED7" w14:textId="4343CD41"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Krajowy ośrodek uzys</w:t>
      </w:r>
      <w:r w:rsidR="007A5481" w:rsidRPr="009300D9">
        <w:rPr>
          <w:rFonts w:ascii="Times New Roman" w:hAnsi="Times New Roman" w:cs="Times New Roman"/>
          <w:sz w:val="24"/>
          <w:szCs w:val="24"/>
        </w:rPr>
        <w:t>ka</w:t>
      </w:r>
      <w:r w:rsidRPr="009300D9">
        <w:rPr>
          <w:rFonts w:ascii="Times New Roman" w:hAnsi="Times New Roman" w:cs="Times New Roman"/>
          <w:sz w:val="24"/>
          <w:szCs w:val="24"/>
        </w:rPr>
        <w:t xml:space="preserve"> dodatkowo upoważnienie do kierowania wystąpień do prowadzącego instalację dotyczących złożenia wyjaśnień lub przekazania informacji dotyczących przesłanek stosowania </w:t>
      </w:r>
      <w:r w:rsidR="00035A3A" w:rsidRPr="009300D9">
        <w:rPr>
          <w:rFonts w:ascii="Times New Roman" w:hAnsi="Times New Roman" w:cs="Times New Roman"/>
          <w:sz w:val="24"/>
          <w:szCs w:val="24"/>
        </w:rPr>
        <w:t>dostosowań</w:t>
      </w:r>
      <w:r w:rsidRPr="009300D9">
        <w:rPr>
          <w:rFonts w:ascii="Times New Roman" w:hAnsi="Times New Roman" w:cs="Times New Roman"/>
          <w:sz w:val="24"/>
          <w:szCs w:val="24"/>
        </w:rPr>
        <w:t xml:space="preserve">. Z rozporządzenia 2019/1842 wynika, że w trakcie oceny przesłanek stosowania </w:t>
      </w:r>
      <w:r w:rsidR="00035A3A" w:rsidRPr="009300D9">
        <w:rPr>
          <w:rFonts w:ascii="Times New Roman" w:hAnsi="Times New Roman" w:cs="Times New Roman"/>
          <w:sz w:val="24"/>
          <w:szCs w:val="24"/>
        </w:rPr>
        <w:t xml:space="preserve">dostosowań </w:t>
      </w:r>
      <w:r w:rsidRPr="009300D9">
        <w:rPr>
          <w:rFonts w:ascii="Times New Roman" w:hAnsi="Times New Roman" w:cs="Times New Roman"/>
          <w:sz w:val="24"/>
          <w:szCs w:val="24"/>
        </w:rPr>
        <w:t xml:space="preserve">należy wziąć pod uwagę zmiany w poziomie działalności, które są następstwem stosowania energooszczędnych technologii, zmiany w zakresie dostaw ciepła, odzyskiwania energii gazów odlotowych itd. Dlatego też na gruncie tego rozporządzenia właściwy organ został upoważniony do wykorzystywania w trakcie oceny przesłanek stosowania </w:t>
      </w:r>
      <w:r w:rsidR="00035A3A" w:rsidRPr="009300D9">
        <w:rPr>
          <w:rFonts w:ascii="Times New Roman" w:hAnsi="Times New Roman" w:cs="Times New Roman"/>
          <w:sz w:val="24"/>
          <w:szCs w:val="24"/>
        </w:rPr>
        <w:t xml:space="preserve">dostosowań </w:t>
      </w:r>
      <w:r w:rsidRPr="009300D9">
        <w:rPr>
          <w:rFonts w:ascii="Times New Roman" w:hAnsi="Times New Roman" w:cs="Times New Roman"/>
          <w:sz w:val="24"/>
          <w:szCs w:val="24"/>
        </w:rPr>
        <w:t>również innych informacji, o</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których przedłożenie zwrócił się do prowadzącego instalację. W konsekwencji upoważnienie to zostało przypisane Krajowemu ośrodkowi.</w:t>
      </w:r>
    </w:p>
    <w:p w14:paraId="4BB1F6E7" w14:textId="202CD248"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Projekt przewiduje przy tym, że wezwania Krajowego ośrodka oraz czynności prowadzącego instalację w toku procedury oceny rocznych raportów na temat zmian w poziomach działalności, a także wyjaśnień i informacji przedstawianych w trakcie badania przesłanek stosowania </w:t>
      </w:r>
      <w:r w:rsidR="00C21DEA" w:rsidRPr="009300D9">
        <w:rPr>
          <w:rFonts w:ascii="Times New Roman" w:hAnsi="Times New Roman" w:cs="Times New Roman"/>
          <w:sz w:val="24"/>
          <w:szCs w:val="24"/>
        </w:rPr>
        <w:t xml:space="preserve">dostosowań </w:t>
      </w:r>
      <w:r w:rsidRPr="009300D9">
        <w:rPr>
          <w:rFonts w:ascii="Times New Roman" w:hAnsi="Times New Roman" w:cs="Times New Roman"/>
          <w:sz w:val="24"/>
          <w:szCs w:val="24"/>
        </w:rPr>
        <w:t>przydziałów uprawnień do emisji, będą realizowane za pośrednictwem</w:t>
      </w:r>
      <w:r w:rsidRPr="009300D9">
        <w:rPr>
          <w:rFonts w:ascii="Times New Roman" w:hAnsi="Times New Roman" w:cs="Times New Roman"/>
          <w:color w:val="333333"/>
          <w:sz w:val="24"/>
          <w:szCs w:val="24"/>
          <w:shd w:val="clear" w:color="auto" w:fill="FFFFFF"/>
        </w:rPr>
        <w:t xml:space="preserve"> </w:t>
      </w:r>
      <w:r w:rsidRPr="009300D9">
        <w:rPr>
          <w:rFonts w:ascii="Times New Roman" w:hAnsi="Times New Roman" w:cs="Times New Roman"/>
          <w:sz w:val="24"/>
          <w:szCs w:val="24"/>
        </w:rPr>
        <w:t>Krajowej bazy o emisjach gazów cieplarnianych i innych substancji. Przyjęcie takiego rozwiązania jest podyktowane potrzebą zapewnienia szybkiej komunikacji z prowadzącym instalację przy wyjaśnianiu wątpliwości i</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 xml:space="preserve">pozyskiwaniu niezbędnych informacji. Zgodnie bowiem z rozporządzeniem 2019/1842 dopóki właściwy organ nie ustali, że nie ma wymogu dostosowania przydziału uprawnień do emisji (co może nastąpić dopiero po przedłożeniu zweryfikowanego raportu rocznego na temat zmian w poziomach działalności, ustaleniu, że nie występują przesłanki do oszacowania wartości parametrów dotyczących danych podstawowych i nie zachodzi podstawa dostosowania początkowego przydziału uprawnień do emisji na zasadach określonych w art. 5 i 6 rozporządzenia 2019/1842), organ państwa członkowskiego </w:t>
      </w:r>
      <w:r w:rsidR="00DF57F0" w:rsidRPr="009300D9">
        <w:rPr>
          <w:rFonts w:ascii="Times New Roman" w:hAnsi="Times New Roman" w:cs="Times New Roman"/>
          <w:sz w:val="24"/>
          <w:szCs w:val="24"/>
        </w:rPr>
        <w:t xml:space="preserve">UE </w:t>
      </w:r>
      <w:r w:rsidR="00C21DEA" w:rsidRPr="009300D9">
        <w:rPr>
          <w:rFonts w:ascii="Times New Roman" w:hAnsi="Times New Roman" w:cs="Times New Roman"/>
          <w:sz w:val="24"/>
          <w:szCs w:val="24"/>
        </w:rPr>
        <w:t>wstrzymuje</w:t>
      </w:r>
      <w:r w:rsidRPr="009300D9">
        <w:rPr>
          <w:rFonts w:ascii="Times New Roman" w:hAnsi="Times New Roman" w:cs="Times New Roman"/>
          <w:sz w:val="24"/>
          <w:szCs w:val="24"/>
        </w:rPr>
        <w:t xml:space="preserve"> wydanie uprawnień do emisji.</w:t>
      </w:r>
      <w:r w:rsidR="00C21DEA" w:rsidRPr="009300D9">
        <w:rPr>
          <w:rFonts w:ascii="Times New Roman" w:hAnsi="Times New Roman" w:cs="Times New Roman"/>
          <w:sz w:val="24"/>
          <w:szCs w:val="24"/>
        </w:rPr>
        <w:t xml:space="preserve"> W związku z tym ustawa </w:t>
      </w:r>
      <w:r w:rsidR="00C21DEA" w:rsidRPr="009300D9">
        <w:rPr>
          <w:rFonts w:ascii="Times New Roman" w:hAnsi="Times New Roman" w:cs="Times New Roman"/>
          <w:sz w:val="24"/>
          <w:szCs w:val="24"/>
        </w:rPr>
        <w:lastRenderedPageBreak/>
        <w:t>przewiduje mechanizm wstrzymania przez ministra właściwego do spraw klimatu wydania całkowitej albo dostoswanej całkowitej rocznej liczbie uprawnień do emisji dla instalacji, wobec których nie zakończono czynności szacowania parametrów.</w:t>
      </w:r>
    </w:p>
    <w:p w14:paraId="0559C99F" w14:textId="1EEB2258"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Aby zatem skrócić czas potrzebny do przeprowadzenia ww. czynności wyjaśniających i</w:t>
      </w:r>
      <w:r w:rsidR="00407047" w:rsidRPr="009300D9">
        <w:rPr>
          <w:rFonts w:ascii="Times New Roman" w:hAnsi="Times New Roman" w:cs="Times New Roman"/>
          <w:sz w:val="24"/>
          <w:szCs w:val="24"/>
        </w:rPr>
        <w:t> </w:t>
      </w:r>
      <w:r w:rsidRPr="009300D9">
        <w:rPr>
          <w:rFonts w:ascii="Times New Roman" w:hAnsi="Times New Roman" w:cs="Times New Roman"/>
          <w:sz w:val="24"/>
          <w:szCs w:val="24"/>
        </w:rPr>
        <w:t>sprawdzających, przed ustaleniem, jaki przydział uprawnień do emisji powinien w danym roku otrzymać prowadzący instalację, projekt ustawy zakłada wykorzystanie infrastruktury modułu sprawozdawczego Krajowej bazy również jako platformy komunikacji z prowadzącym instalację.</w:t>
      </w:r>
      <w:r w:rsidR="00D53D4D" w:rsidRPr="009300D9">
        <w:rPr>
          <w:rFonts w:ascii="Times New Roman" w:hAnsi="Times New Roman" w:cs="Times New Roman"/>
          <w:sz w:val="24"/>
          <w:szCs w:val="24"/>
        </w:rPr>
        <w:t xml:space="preserve"> Moduł w tym zakresie zostanie uruchomiony od 1 stycznia 2022. W roku 2021, wezwania Krajowego ośrodka, przekazywanie wyjaśnień przez prowadzącego instalację będą odbywały się w</w:t>
      </w:r>
      <w:r w:rsidR="00407047" w:rsidRPr="009300D9">
        <w:rPr>
          <w:rFonts w:ascii="Times New Roman" w:hAnsi="Times New Roman" w:cs="Times New Roman"/>
          <w:sz w:val="24"/>
          <w:szCs w:val="24"/>
        </w:rPr>
        <w:t> </w:t>
      </w:r>
      <w:r w:rsidR="00D53D4D" w:rsidRPr="009300D9">
        <w:rPr>
          <w:rFonts w:ascii="Times New Roman" w:hAnsi="Times New Roman" w:cs="Times New Roman"/>
          <w:sz w:val="24"/>
          <w:szCs w:val="24"/>
        </w:rPr>
        <w:t>formie tradycyjnej.</w:t>
      </w:r>
    </w:p>
    <w:p w14:paraId="60989A19" w14:textId="691B0EB7"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W wyniku porównania średniego poziomu działalności w </w:t>
      </w:r>
      <w:proofErr w:type="spellStart"/>
      <w:r w:rsidRPr="009300D9">
        <w:rPr>
          <w:rFonts w:ascii="Times New Roman" w:hAnsi="Times New Roman" w:cs="Times New Roman"/>
          <w:sz w:val="24"/>
          <w:szCs w:val="24"/>
        </w:rPr>
        <w:t>podinstalacji</w:t>
      </w:r>
      <w:proofErr w:type="spellEnd"/>
      <w:r w:rsidRPr="009300D9">
        <w:rPr>
          <w:rFonts w:ascii="Times New Roman" w:hAnsi="Times New Roman" w:cs="Times New Roman"/>
          <w:sz w:val="24"/>
          <w:szCs w:val="24"/>
        </w:rPr>
        <w:t xml:space="preserve"> z historycznym poziomem działalności przyjętym do określenia początkowego przydziału uprawnień do emisji oraz dokonanych w jego następstwie </w:t>
      </w:r>
      <w:r w:rsidR="00035A3A" w:rsidRPr="009300D9">
        <w:rPr>
          <w:rFonts w:ascii="Times New Roman" w:hAnsi="Times New Roman" w:cs="Times New Roman"/>
          <w:sz w:val="24"/>
          <w:szCs w:val="24"/>
        </w:rPr>
        <w:t xml:space="preserve">dostosowania </w:t>
      </w:r>
      <w:r w:rsidRPr="009300D9">
        <w:rPr>
          <w:rFonts w:ascii="Times New Roman" w:hAnsi="Times New Roman" w:cs="Times New Roman"/>
          <w:sz w:val="24"/>
          <w:szCs w:val="24"/>
        </w:rPr>
        <w:t>przydziału uprawnień do emisji na zasadach określonych w art. 5 i 6 rozporządzenia 2019/1842, zostanie opracowana informacja o całkowitej rocznej liczbie uprawnień do emisji przydzielonej instalacji lub dostosowanej liczbie uprawnień do emisji, którą minister właściwy do spraw klimat</w:t>
      </w:r>
      <w:r w:rsidR="00D53D4D" w:rsidRPr="009300D9">
        <w:rPr>
          <w:rFonts w:ascii="Times New Roman" w:hAnsi="Times New Roman" w:cs="Times New Roman"/>
          <w:sz w:val="24"/>
          <w:szCs w:val="24"/>
        </w:rPr>
        <w:t xml:space="preserve">u przekaże Komisji Europejskiej. </w:t>
      </w:r>
    </w:p>
    <w:p w14:paraId="595C99E8" w14:textId="3D9144CA"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Minister właściwy do spraw klimatu zostanie upoważniony do ogłoszenia w Biuletynie Informacji Publicznej na stronie podmiotowej urzędu obsługującego tego ministra informacji o </w:t>
      </w:r>
      <w:r w:rsidR="002B4834" w:rsidRPr="009300D9">
        <w:rPr>
          <w:rFonts w:ascii="Times New Roman" w:hAnsi="Times New Roman" w:cs="Times New Roman"/>
          <w:sz w:val="24"/>
          <w:szCs w:val="24"/>
        </w:rPr>
        <w:t>ostateczne</w:t>
      </w:r>
      <w:r w:rsidRPr="009300D9">
        <w:rPr>
          <w:rFonts w:ascii="Times New Roman" w:hAnsi="Times New Roman" w:cs="Times New Roman"/>
          <w:sz w:val="24"/>
          <w:szCs w:val="24"/>
        </w:rPr>
        <w:t>j rocznej liczbie uprawnień do emisji przydzielonej instalacji i dostosowanej rocznej liczbie uprawnień do emisji dla instalacji.</w:t>
      </w:r>
    </w:p>
    <w:p w14:paraId="5089378A" w14:textId="0908C36A" w:rsidR="00657B6D" w:rsidRPr="009300D9" w:rsidRDefault="00657B6D"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Rozporządzenie 2019/1842 obliguje również państwa członkowskie do wyegzekwowania zwrotu uprawnień do emisji, jeżeli w danym roku prowadzącemu instalację wydano na rachunek w rejestrze Unii uprawnienia do emisji w liczbie większej niż jest to wskazane w informacji zamieszczonej w </w:t>
      </w:r>
      <w:r w:rsidR="002B4834" w:rsidRPr="009300D9">
        <w:rPr>
          <w:rFonts w:ascii="Times New Roman" w:hAnsi="Times New Roman" w:cs="Times New Roman"/>
          <w:sz w:val="24"/>
          <w:szCs w:val="24"/>
        </w:rPr>
        <w:t xml:space="preserve">Biuletynie </w:t>
      </w:r>
      <w:r w:rsidRPr="009300D9">
        <w:rPr>
          <w:rFonts w:ascii="Times New Roman" w:hAnsi="Times New Roman" w:cs="Times New Roman"/>
          <w:sz w:val="24"/>
          <w:szCs w:val="24"/>
        </w:rPr>
        <w:t>I</w:t>
      </w:r>
      <w:r w:rsidR="002B4834" w:rsidRPr="009300D9">
        <w:rPr>
          <w:rFonts w:ascii="Times New Roman" w:hAnsi="Times New Roman" w:cs="Times New Roman"/>
          <w:sz w:val="24"/>
          <w:szCs w:val="24"/>
        </w:rPr>
        <w:t xml:space="preserve">nformacji </w:t>
      </w:r>
      <w:r w:rsidRPr="009300D9">
        <w:rPr>
          <w:rFonts w:ascii="Times New Roman" w:hAnsi="Times New Roman" w:cs="Times New Roman"/>
          <w:sz w:val="24"/>
          <w:szCs w:val="24"/>
        </w:rPr>
        <w:t>P</w:t>
      </w:r>
      <w:r w:rsidR="002B4834" w:rsidRPr="009300D9">
        <w:rPr>
          <w:rFonts w:ascii="Times New Roman" w:hAnsi="Times New Roman" w:cs="Times New Roman"/>
          <w:sz w:val="24"/>
          <w:szCs w:val="24"/>
        </w:rPr>
        <w:t>ublicznej</w:t>
      </w:r>
      <w:r w:rsidRPr="009300D9">
        <w:rPr>
          <w:rFonts w:ascii="Times New Roman" w:hAnsi="Times New Roman" w:cs="Times New Roman"/>
          <w:sz w:val="24"/>
          <w:szCs w:val="24"/>
        </w:rPr>
        <w:t>. Zwrot nadmiarowo wydanych uprawnień do emisji będzie zasadniczo realizowany na podstawie procedury uregulowanej art. 18 i art. 19 ustawy.</w:t>
      </w:r>
      <w:r w:rsidR="00D53D4D" w:rsidRPr="009300D9">
        <w:rPr>
          <w:rFonts w:ascii="Times New Roman" w:hAnsi="Times New Roman" w:cs="Times New Roman"/>
          <w:sz w:val="24"/>
          <w:szCs w:val="24"/>
        </w:rPr>
        <w:t xml:space="preserve"> Stosowne zmiany w tym zakresie</w:t>
      </w:r>
      <w:r w:rsidR="00B971E3" w:rsidRPr="009300D9">
        <w:rPr>
          <w:rFonts w:ascii="Times New Roman" w:hAnsi="Times New Roman" w:cs="Times New Roman"/>
          <w:sz w:val="24"/>
          <w:szCs w:val="24"/>
        </w:rPr>
        <w:t>, w szczególności w art. 17 (ogólne zasady przydziału uprawnień instalacjom) oraz w art. 18 ust. 1 (definicja nadmiarowo wydanych uprawnień),</w:t>
      </w:r>
      <w:r w:rsidR="00D53D4D" w:rsidRPr="009300D9">
        <w:rPr>
          <w:rFonts w:ascii="Times New Roman" w:hAnsi="Times New Roman" w:cs="Times New Roman"/>
          <w:sz w:val="24"/>
          <w:szCs w:val="24"/>
        </w:rPr>
        <w:t xml:space="preserve"> zawarto w projekcie ustawy</w:t>
      </w:r>
      <w:r w:rsidR="00AF7200" w:rsidRPr="009300D9">
        <w:rPr>
          <w:rFonts w:ascii="Times New Roman" w:hAnsi="Times New Roman" w:cs="Times New Roman"/>
          <w:sz w:val="24"/>
          <w:szCs w:val="24"/>
        </w:rPr>
        <w:t>, natomiast przepisy przejściowe przewidują dotychczasowe zasady dla uprawnień do emisji wydanych na rachunek posiadania operatora w rejestrze Unii w okresie od dnia 1 stycznia 2013 r. do dnia 31 grudnia 2020 r.</w:t>
      </w:r>
    </w:p>
    <w:p w14:paraId="6A1F7847" w14:textId="303D7EAB"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Powyższe zmiany pociągają za sobą również konieczność dokonania zmiany w ustawie z dnia 17 lipca 2009 r. o systemie zarządzania emisjami gazów cieplarnianych oraz innych substancji w zakresie dodania do katalogu informacji objętej Krajowym system bilansowania </w:t>
      </w:r>
      <w:r w:rsidR="00AD12A4" w:rsidRPr="009300D9">
        <w:rPr>
          <w:rFonts w:ascii="Times New Roman" w:hAnsi="Times New Roman" w:cs="Times New Roman"/>
          <w:bCs/>
          <w:sz w:val="24"/>
          <w:szCs w:val="24"/>
        </w:rPr>
        <w:br/>
      </w:r>
      <w:r w:rsidRPr="009300D9">
        <w:rPr>
          <w:rFonts w:ascii="Times New Roman" w:hAnsi="Times New Roman" w:cs="Times New Roman"/>
          <w:bCs/>
          <w:sz w:val="24"/>
          <w:szCs w:val="24"/>
        </w:rPr>
        <w:t xml:space="preserve">i prognozowania emisji (zawartym w Krajowej bazie), informacji o poziomach działalności na poziomie </w:t>
      </w:r>
      <w:proofErr w:type="spellStart"/>
      <w:r w:rsidRPr="009300D9">
        <w:rPr>
          <w:rFonts w:ascii="Times New Roman" w:hAnsi="Times New Roman" w:cs="Times New Roman"/>
          <w:bCs/>
          <w:sz w:val="24"/>
          <w:szCs w:val="24"/>
        </w:rPr>
        <w:t>podinstalacji</w:t>
      </w:r>
      <w:proofErr w:type="spellEnd"/>
      <w:r w:rsidRPr="009300D9">
        <w:rPr>
          <w:rFonts w:ascii="Times New Roman" w:hAnsi="Times New Roman" w:cs="Times New Roman"/>
          <w:bCs/>
          <w:sz w:val="24"/>
          <w:szCs w:val="24"/>
        </w:rPr>
        <w:t xml:space="preserve"> oraz innych danych zawartych w raportach dotyczących poziomów działalności, o których mowa w art. 3 ust. 2 rozporządzenia 2019/1842.</w:t>
      </w:r>
    </w:p>
    <w:p w14:paraId="4C137B87" w14:textId="4E36EBFC" w:rsidR="005E5906" w:rsidRPr="009300D9" w:rsidRDefault="005E5906"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Zmiana w art. 26d ust. 3 ustawy ETS ma na celu doprecyzowanie rozróżnienia między projektem wykazu instalacji, dla których planowany jest przydział uprawnień do emisji (przygotowywanego przez K</w:t>
      </w:r>
      <w:r w:rsidR="002B4834" w:rsidRPr="009300D9">
        <w:rPr>
          <w:rFonts w:ascii="Times New Roman" w:hAnsi="Times New Roman" w:cs="Times New Roman"/>
          <w:bCs/>
          <w:sz w:val="24"/>
          <w:szCs w:val="24"/>
        </w:rPr>
        <w:t>rajowy ośrodek</w:t>
      </w:r>
      <w:r w:rsidRPr="009300D9">
        <w:rPr>
          <w:rFonts w:ascii="Times New Roman" w:hAnsi="Times New Roman" w:cs="Times New Roman"/>
          <w:bCs/>
          <w:sz w:val="24"/>
          <w:szCs w:val="24"/>
        </w:rPr>
        <w:t xml:space="preserve"> na podstawie ust. 1 od wykazu instalacji, dla których planowany jest przydział uprawnień do emisji (przekazywanego Komisji Europejskiej przez ministra właściwego do spraw klimatu na podstawie ust. 3 oraz precyzuje termin, w </w:t>
      </w:r>
      <w:r w:rsidRPr="009300D9">
        <w:rPr>
          <w:rFonts w:ascii="Times New Roman" w:hAnsi="Times New Roman" w:cs="Times New Roman"/>
          <w:bCs/>
          <w:sz w:val="24"/>
          <w:szCs w:val="24"/>
        </w:rPr>
        <w:lastRenderedPageBreak/>
        <w:t xml:space="preserve">którym minister ma przekazać ten wykaz – zgodnie z art. 11 ust. 1 akapit 2 dyrektywy </w:t>
      </w:r>
      <w:r w:rsidR="00C65F66" w:rsidRPr="009300D9">
        <w:rPr>
          <w:rFonts w:ascii="Times New Roman" w:hAnsi="Times New Roman" w:cs="Times New Roman"/>
          <w:bCs/>
          <w:sz w:val="24"/>
          <w:szCs w:val="24"/>
        </w:rPr>
        <w:t>2003/87/WE</w:t>
      </w:r>
      <w:r w:rsidR="00AE2898" w:rsidRPr="009300D9">
        <w:rPr>
          <w:rFonts w:ascii="Times New Roman" w:hAnsi="Times New Roman" w:cs="Times New Roman"/>
          <w:bCs/>
          <w:sz w:val="24"/>
          <w:szCs w:val="24"/>
        </w:rPr>
        <w:t>.</w:t>
      </w:r>
    </w:p>
    <w:p w14:paraId="1241C4F9" w14:textId="2C080B99" w:rsidR="003464D2" w:rsidRPr="009300D9" w:rsidRDefault="003464D2"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Ze względu na różnorodną praktykę organów wprowadzono przepisy określające zawartość decyzji zatwierdzającej plan metodyki monitorowania (art. 26f ust. 11a ustawy ETS) oraz </w:t>
      </w:r>
      <w:r w:rsidR="00932CB3" w:rsidRPr="009300D9">
        <w:rPr>
          <w:rFonts w:ascii="Times New Roman" w:hAnsi="Times New Roman" w:cs="Times New Roman"/>
          <w:bCs/>
          <w:sz w:val="24"/>
          <w:szCs w:val="24"/>
        </w:rPr>
        <w:t>określono decyzję jako formę prawną zatwierdzania istotnych zmian planu metodyki monitorowania (art.</w:t>
      </w:r>
      <w:r w:rsidR="00CA6EDC" w:rsidRPr="009300D9">
        <w:rPr>
          <w:rFonts w:ascii="Times New Roman" w:hAnsi="Times New Roman" w:cs="Times New Roman"/>
          <w:bCs/>
          <w:sz w:val="24"/>
          <w:szCs w:val="24"/>
        </w:rPr>
        <w:t xml:space="preserve"> 26g ust. 4 ustawy  ETS). Zmiany te mają na celu ujednolicenie praktyki organów w tym zakresie.</w:t>
      </w:r>
    </w:p>
    <w:p w14:paraId="1F7EBA75" w14:textId="72932C5F" w:rsidR="00CC4374" w:rsidRPr="009300D9" w:rsidRDefault="0003764D"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Zaproponowano również zmiany w art. 95 ust.</w:t>
      </w:r>
      <w:r w:rsidR="00CC4374" w:rsidRPr="009300D9">
        <w:rPr>
          <w:rFonts w:ascii="Times New Roman" w:hAnsi="Times New Roman" w:cs="Times New Roman"/>
          <w:bCs/>
          <w:sz w:val="24"/>
          <w:szCs w:val="24"/>
        </w:rPr>
        <w:t xml:space="preserve"> 1 i 2 ustawy ETS</w:t>
      </w:r>
      <w:r w:rsidRPr="009300D9">
        <w:rPr>
          <w:rFonts w:ascii="Times New Roman" w:hAnsi="Times New Roman" w:cs="Times New Roman"/>
          <w:bCs/>
          <w:sz w:val="24"/>
          <w:szCs w:val="24"/>
        </w:rPr>
        <w:t xml:space="preserve">, które </w:t>
      </w:r>
      <w:r w:rsidR="00CC4374" w:rsidRPr="009300D9">
        <w:rPr>
          <w:rFonts w:ascii="Times New Roman" w:hAnsi="Times New Roman" w:cs="Times New Roman"/>
          <w:bCs/>
          <w:sz w:val="24"/>
          <w:szCs w:val="24"/>
        </w:rPr>
        <w:t xml:space="preserve">dotyczą obowiązku przekazywania </w:t>
      </w:r>
      <w:r w:rsidRPr="009300D9">
        <w:rPr>
          <w:rFonts w:ascii="Times New Roman" w:hAnsi="Times New Roman" w:cs="Times New Roman"/>
          <w:bCs/>
          <w:sz w:val="24"/>
          <w:szCs w:val="24"/>
        </w:rPr>
        <w:t>organom Inspekcji wykazów operatorów statków pow</w:t>
      </w:r>
      <w:r w:rsidR="00CC4374" w:rsidRPr="009300D9">
        <w:rPr>
          <w:rFonts w:ascii="Times New Roman" w:hAnsi="Times New Roman" w:cs="Times New Roman"/>
          <w:bCs/>
          <w:sz w:val="24"/>
          <w:szCs w:val="24"/>
        </w:rPr>
        <w:t xml:space="preserve">ietrznych, którzy nie posiadają </w:t>
      </w:r>
      <w:r w:rsidRPr="009300D9">
        <w:rPr>
          <w:rFonts w:ascii="Times New Roman" w:hAnsi="Times New Roman" w:cs="Times New Roman"/>
          <w:bCs/>
          <w:sz w:val="24"/>
          <w:szCs w:val="24"/>
        </w:rPr>
        <w:t>zatwierdzonego planu monitorowania emisji z operacji lotn</w:t>
      </w:r>
      <w:r w:rsidR="00CC4374" w:rsidRPr="009300D9">
        <w:rPr>
          <w:rFonts w:ascii="Times New Roman" w:hAnsi="Times New Roman" w:cs="Times New Roman"/>
          <w:bCs/>
          <w:sz w:val="24"/>
          <w:szCs w:val="24"/>
        </w:rPr>
        <w:t xml:space="preserve">iczych albo uproszczonego planu </w:t>
      </w:r>
      <w:r w:rsidRPr="009300D9">
        <w:rPr>
          <w:rFonts w:ascii="Times New Roman" w:hAnsi="Times New Roman" w:cs="Times New Roman"/>
          <w:bCs/>
          <w:sz w:val="24"/>
          <w:szCs w:val="24"/>
        </w:rPr>
        <w:t>monitorowania emisji z operacji lotniczych. Nowa reg</w:t>
      </w:r>
      <w:r w:rsidR="00CC4374" w:rsidRPr="009300D9">
        <w:rPr>
          <w:rFonts w:ascii="Times New Roman" w:hAnsi="Times New Roman" w:cs="Times New Roman"/>
          <w:bCs/>
          <w:sz w:val="24"/>
          <w:szCs w:val="24"/>
        </w:rPr>
        <w:t xml:space="preserve">ulacja przenosi ten obowiązek z </w:t>
      </w:r>
      <w:r w:rsidRPr="009300D9">
        <w:rPr>
          <w:rFonts w:ascii="Times New Roman" w:hAnsi="Times New Roman" w:cs="Times New Roman"/>
          <w:bCs/>
          <w:sz w:val="24"/>
          <w:szCs w:val="24"/>
        </w:rPr>
        <w:t>Krajowego ośrodka na ministra właściwego do spraw k</w:t>
      </w:r>
      <w:r w:rsidR="00CC4374" w:rsidRPr="009300D9">
        <w:rPr>
          <w:rFonts w:ascii="Times New Roman" w:hAnsi="Times New Roman" w:cs="Times New Roman"/>
          <w:bCs/>
          <w:sz w:val="24"/>
          <w:szCs w:val="24"/>
        </w:rPr>
        <w:t xml:space="preserve">limatu oraz wydłuża termin jego </w:t>
      </w:r>
      <w:r w:rsidRPr="009300D9">
        <w:rPr>
          <w:rFonts w:ascii="Times New Roman" w:hAnsi="Times New Roman" w:cs="Times New Roman"/>
          <w:bCs/>
          <w:sz w:val="24"/>
          <w:szCs w:val="24"/>
        </w:rPr>
        <w:t>realizacji do dnia 15 kwietnia każdego roku. Min</w:t>
      </w:r>
      <w:r w:rsidR="00CC4374" w:rsidRPr="009300D9">
        <w:rPr>
          <w:rFonts w:ascii="Times New Roman" w:hAnsi="Times New Roman" w:cs="Times New Roman"/>
          <w:bCs/>
          <w:sz w:val="24"/>
          <w:szCs w:val="24"/>
        </w:rPr>
        <w:t xml:space="preserve">ister właściwy do spraw klimatu </w:t>
      </w:r>
      <w:r w:rsidRPr="009300D9">
        <w:rPr>
          <w:rFonts w:ascii="Times New Roman" w:hAnsi="Times New Roman" w:cs="Times New Roman"/>
          <w:bCs/>
          <w:sz w:val="24"/>
          <w:szCs w:val="24"/>
        </w:rPr>
        <w:t>przekazywałby ten wyk</w:t>
      </w:r>
      <w:r w:rsidR="00CC4374" w:rsidRPr="009300D9">
        <w:rPr>
          <w:rFonts w:ascii="Times New Roman" w:hAnsi="Times New Roman" w:cs="Times New Roman"/>
          <w:bCs/>
          <w:sz w:val="24"/>
          <w:szCs w:val="24"/>
        </w:rPr>
        <w:t>az również Krajowemu ośrodkowi.</w:t>
      </w:r>
    </w:p>
    <w:p w14:paraId="5BDCBFD9" w14:textId="77777777" w:rsidR="00CC4374" w:rsidRPr="009300D9" w:rsidRDefault="0003764D"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Niniejsza propozycja wynika z tego, że Krajowy ośrodek</w:t>
      </w:r>
      <w:r w:rsidR="00CC4374" w:rsidRPr="009300D9">
        <w:rPr>
          <w:rFonts w:ascii="Times New Roman" w:hAnsi="Times New Roman" w:cs="Times New Roman"/>
          <w:bCs/>
          <w:sz w:val="24"/>
          <w:szCs w:val="24"/>
        </w:rPr>
        <w:t>, na którym aktualnie spoczywa obowiązek sporządzania wykazu,</w:t>
      </w:r>
      <w:r w:rsidRPr="009300D9">
        <w:rPr>
          <w:rFonts w:ascii="Times New Roman" w:hAnsi="Times New Roman" w:cs="Times New Roman"/>
          <w:bCs/>
          <w:sz w:val="24"/>
          <w:szCs w:val="24"/>
        </w:rPr>
        <w:t xml:space="preserve"> nie</w:t>
      </w:r>
      <w:r w:rsidR="00CC4374" w:rsidRPr="009300D9">
        <w:rPr>
          <w:rFonts w:ascii="Times New Roman" w:hAnsi="Times New Roman" w:cs="Times New Roman"/>
          <w:bCs/>
          <w:sz w:val="24"/>
          <w:szCs w:val="24"/>
        </w:rPr>
        <w:t xml:space="preserve"> dysponuje pełnymi informacjami </w:t>
      </w:r>
      <w:r w:rsidRPr="009300D9">
        <w:rPr>
          <w:rFonts w:ascii="Times New Roman" w:hAnsi="Times New Roman" w:cs="Times New Roman"/>
          <w:bCs/>
          <w:sz w:val="24"/>
          <w:szCs w:val="24"/>
        </w:rPr>
        <w:t>o operatorach, którzy nie posiadają</w:t>
      </w:r>
      <w:r w:rsidR="00CC4374" w:rsidRPr="009300D9">
        <w:rPr>
          <w:rFonts w:ascii="Times New Roman" w:hAnsi="Times New Roman" w:cs="Times New Roman"/>
          <w:bCs/>
          <w:sz w:val="24"/>
          <w:szCs w:val="24"/>
        </w:rPr>
        <w:t xml:space="preserve"> </w:t>
      </w:r>
      <w:r w:rsidRPr="009300D9">
        <w:rPr>
          <w:rFonts w:ascii="Times New Roman" w:hAnsi="Times New Roman" w:cs="Times New Roman"/>
          <w:bCs/>
          <w:sz w:val="24"/>
          <w:szCs w:val="24"/>
        </w:rPr>
        <w:t xml:space="preserve">zatwierdzanego planu </w:t>
      </w:r>
      <w:r w:rsidR="00CC4374" w:rsidRPr="009300D9">
        <w:rPr>
          <w:rFonts w:ascii="Times New Roman" w:hAnsi="Times New Roman" w:cs="Times New Roman"/>
          <w:bCs/>
          <w:sz w:val="24"/>
          <w:szCs w:val="24"/>
        </w:rPr>
        <w:t xml:space="preserve">monitorowania emisji z operacji </w:t>
      </w:r>
      <w:r w:rsidRPr="009300D9">
        <w:rPr>
          <w:rFonts w:ascii="Times New Roman" w:hAnsi="Times New Roman" w:cs="Times New Roman"/>
          <w:bCs/>
          <w:sz w:val="24"/>
          <w:szCs w:val="24"/>
        </w:rPr>
        <w:t>lotniczych, ponieważ operator sam zgłasza do ministra właściwego ds. klimatu np.</w:t>
      </w:r>
      <w:r w:rsidR="00CC4374" w:rsidRPr="009300D9">
        <w:rPr>
          <w:rFonts w:ascii="Times New Roman" w:hAnsi="Times New Roman" w:cs="Times New Roman"/>
          <w:bCs/>
          <w:sz w:val="24"/>
          <w:szCs w:val="24"/>
        </w:rPr>
        <w:t xml:space="preserve"> wniosek o </w:t>
      </w:r>
      <w:r w:rsidRPr="009300D9">
        <w:rPr>
          <w:rFonts w:ascii="Times New Roman" w:hAnsi="Times New Roman" w:cs="Times New Roman"/>
          <w:bCs/>
          <w:sz w:val="24"/>
          <w:szCs w:val="24"/>
        </w:rPr>
        <w:t>zatwierdzenie planu tonokilometrów lub planu monitoro</w:t>
      </w:r>
      <w:r w:rsidR="00CC4374" w:rsidRPr="009300D9">
        <w:rPr>
          <w:rFonts w:ascii="Times New Roman" w:hAnsi="Times New Roman" w:cs="Times New Roman"/>
          <w:bCs/>
          <w:sz w:val="24"/>
          <w:szCs w:val="24"/>
        </w:rPr>
        <w:t xml:space="preserve">wania emisji, a Krajowy ośrodek </w:t>
      </w:r>
      <w:r w:rsidRPr="009300D9">
        <w:rPr>
          <w:rFonts w:ascii="Times New Roman" w:hAnsi="Times New Roman" w:cs="Times New Roman"/>
          <w:bCs/>
          <w:sz w:val="24"/>
          <w:szCs w:val="24"/>
        </w:rPr>
        <w:t>otrzymuje taki plan do zaopiniowania. W związku z tym to minister właściwy do spraw klimatu posiada odpowiednie informacje, aby stworzyć taką list</w:t>
      </w:r>
      <w:r w:rsidR="00CC4374" w:rsidRPr="009300D9">
        <w:rPr>
          <w:rFonts w:ascii="Times New Roman" w:hAnsi="Times New Roman" w:cs="Times New Roman"/>
          <w:bCs/>
          <w:sz w:val="24"/>
          <w:szCs w:val="24"/>
        </w:rPr>
        <w:t xml:space="preserve">ę. Lista operatorów statków powietrznych przypisanych poszczególnym administrującym państwom </w:t>
      </w:r>
      <w:r w:rsidRPr="009300D9">
        <w:rPr>
          <w:rFonts w:ascii="Times New Roman" w:hAnsi="Times New Roman" w:cs="Times New Roman"/>
          <w:bCs/>
          <w:sz w:val="24"/>
          <w:szCs w:val="24"/>
        </w:rPr>
        <w:t>członkowskim tworzona przez Komisję Europejską sporządza</w:t>
      </w:r>
      <w:r w:rsidR="00CC4374" w:rsidRPr="009300D9">
        <w:rPr>
          <w:rFonts w:ascii="Times New Roman" w:hAnsi="Times New Roman" w:cs="Times New Roman"/>
          <w:bCs/>
          <w:sz w:val="24"/>
          <w:szCs w:val="24"/>
        </w:rPr>
        <w:t xml:space="preserve">na jest na przełomie stycznia i </w:t>
      </w:r>
      <w:r w:rsidRPr="009300D9">
        <w:rPr>
          <w:rFonts w:ascii="Times New Roman" w:hAnsi="Times New Roman" w:cs="Times New Roman"/>
          <w:bCs/>
          <w:sz w:val="24"/>
          <w:szCs w:val="24"/>
        </w:rPr>
        <w:t>lutego, więc konieczne jest wydłużenie terminu sporządzenia wykazu, o który</w:t>
      </w:r>
      <w:r w:rsidR="00CC4374" w:rsidRPr="009300D9">
        <w:rPr>
          <w:rFonts w:ascii="Times New Roman" w:hAnsi="Times New Roman" w:cs="Times New Roman"/>
          <w:bCs/>
          <w:sz w:val="24"/>
          <w:szCs w:val="24"/>
        </w:rPr>
        <w:t xml:space="preserve">m mowa w art. 95, żeby jego podstawą były aktualne dane </w:t>
      </w:r>
      <w:r w:rsidRPr="009300D9">
        <w:rPr>
          <w:rFonts w:ascii="Times New Roman" w:hAnsi="Times New Roman" w:cs="Times New Roman"/>
          <w:bCs/>
          <w:sz w:val="24"/>
          <w:szCs w:val="24"/>
        </w:rPr>
        <w:t>o operator</w:t>
      </w:r>
      <w:r w:rsidR="00CC4374" w:rsidRPr="009300D9">
        <w:rPr>
          <w:rFonts w:ascii="Times New Roman" w:hAnsi="Times New Roman" w:cs="Times New Roman"/>
          <w:bCs/>
          <w:sz w:val="24"/>
          <w:szCs w:val="24"/>
        </w:rPr>
        <w:t xml:space="preserve">ach przypisanych do Polski jako państwa administrującego. </w:t>
      </w:r>
    </w:p>
    <w:p w14:paraId="542AEEA0" w14:textId="5FE15490" w:rsidR="003E7E31" w:rsidRPr="009300D9" w:rsidRDefault="006E28C7"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Ustawa aktualizuje również odesłania do </w:t>
      </w:r>
      <w:r w:rsidR="00435AF5" w:rsidRPr="009300D9">
        <w:rPr>
          <w:rFonts w:ascii="Times New Roman" w:hAnsi="Times New Roman" w:cs="Times New Roman"/>
          <w:sz w:val="24"/>
          <w:szCs w:val="24"/>
        </w:rPr>
        <w:t>rozporządzeń europejskich poprzez zastąpienie odesłań do rozporządzenia Komisji (UE) 601/2013 oraz rozporządzenia Komisji (UE) 389/2013 odesłaniami odpowiednio do rozporządzenia Komisji (UE) 2018/2066 oraz do rozporządzenia Komisji (UE) 2019/1122, które są ich odpowiednikami.</w:t>
      </w:r>
      <w:r w:rsidR="00E91081" w:rsidRPr="009300D9">
        <w:rPr>
          <w:rFonts w:ascii="Times New Roman" w:hAnsi="Times New Roman" w:cs="Times New Roman"/>
          <w:sz w:val="24"/>
          <w:szCs w:val="24"/>
        </w:rPr>
        <w:t xml:space="preserve"> Wprowadzono również drobne korekty wynikające z nowego brzmienia przepisów unijnych (</w:t>
      </w:r>
      <w:r w:rsidR="00EE2B8B" w:rsidRPr="009300D9">
        <w:rPr>
          <w:rFonts w:ascii="Times New Roman" w:hAnsi="Times New Roman" w:cs="Times New Roman"/>
          <w:sz w:val="24"/>
          <w:szCs w:val="24"/>
        </w:rPr>
        <w:t>w szczególności</w:t>
      </w:r>
      <w:r w:rsidR="00E91081" w:rsidRPr="009300D9">
        <w:rPr>
          <w:rFonts w:ascii="Times New Roman" w:hAnsi="Times New Roman" w:cs="Times New Roman"/>
          <w:sz w:val="24"/>
          <w:szCs w:val="24"/>
        </w:rPr>
        <w:t xml:space="preserve"> skreślono wszystkie odwołania do dodatkowych upoważnionych przedstawicieli w rejestrze Unii ze względu na niewystępowanie ich w rozporządzeniu 2019/1122).</w:t>
      </w:r>
    </w:p>
    <w:p w14:paraId="40F9081B" w14:textId="4845BBEA" w:rsidR="001913FE" w:rsidRPr="009300D9" w:rsidRDefault="001913FE"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Projekt ustawy przewiduje również uchylenie rozdziału 13 ustawy ETS z uwagi na fakt, że uregulowany tam mechanizm wymiany jednostek redukcji emisji i jednostek poświadczonej redukcji emisji na uprawnienia do emisji, wynikający z rozporządzenia Komisji (UE) 1123/2013 w sprawie określania uprawnień do międzynarodowych jednostek emisji zgodnie z dyrektywą 2003/87/WE Parlamentu Europejskiego i Rady, nie będzie obowiązywał po okresie rozliczeniowym 2013-2020.</w:t>
      </w:r>
    </w:p>
    <w:p w14:paraId="18E13BCF" w14:textId="36E0F1AD" w:rsidR="001F0AC2" w:rsidRPr="009300D9" w:rsidRDefault="001F0AC2"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t>Ponadto dodano dodatkowy ust. do art. 67 ustawy ETS, który zawiera wytyczną dla prowadzących instalację nową w zakresie  składania wniosku o przydział uprawnień dla instalacji nowych na zasadach określonych w rozporządzeniu 331/2019.</w:t>
      </w:r>
    </w:p>
    <w:p w14:paraId="3646D2BB" w14:textId="1C52EAEB" w:rsidR="00352A98" w:rsidRPr="009300D9" w:rsidRDefault="00352A98" w:rsidP="009300D9">
      <w:pPr>
        <w:pStyle w:val="ARTartustawynprozporzdzenia"/>
        <w:spacing w:before="0" w:after="120" w:line="276" w:lineRule="auto"/>
        <w:ind w:firstLine="0"/>
        <w:rPr>
          <w:rFonts w:ascii="Times New Roman" w:hAnsi="Times New Roman" w:cs="Times New Roman"/>
          <w:szCs w:val="24"/>
        </w:rPr>
      </w:pPr>
      <w:r w:rsidRPr="009300D9">
        <w:rPr>
          <w:rFonts w:ascii="Times New Roman" w:hAnsi="Times New Roman" w:cs="Times New Roman"/>
          <w:szCs w:val="24"/>
        </w:rPr>
        <w:lastRenderedPageBreak/>
        <w:t xml:space="preserve">Projekt ustawy zawiera również </w:t>
      </w:r>
      <w:r w:rsidR="00216C8A" w:rsidRPr="009300D9">
        <w:rPr>
          <w:rFonts w:ascii="Times New Roman" w:hAnsi="Times New Roman" w:cs="Times New Roman"/>
          <w:szCs w:val="24"/>
        </w:rPr>
        <w:t xml:space="preserve">niewspomniane wyżej </w:t>
      </w:r>
      <w:r w:rsidRPr="009300D9">
        <w:rPr>
          <w:rFonts w:ascii="Times New Roman" w:hAnsi="Times New Roman" w:cs="Times New Roman"/>
          <w:szCs w:val="24"/>
        </w:rPr>
        <w:t xml:space="preserve">pomniejsze korekty redakcyjno-legislacyjne, w szczególności w </w:t>
      </w:r>
      <w:r w:rsidR="00216C8A" w:rsidRPr="009300D9">
        <w:rPr>
          <w:rFonts w:ascii="Times New Roman" w:hAnsi="Times New Roman" w:cs="Times New Roman"/>
          <w:szCs w:val="24"/>
        </w:rPr>
        <w:t>art. 26c ust. 1 i 2</w:t>
      </w:r>
      <w:r w:rsidR="00A0779D" w:rsidRPr="009300D9">
        <w:rPr>
          <w:rFonts w:ascii="Times New Roman" w:hAnsi="Times New Roman" w:cs="Times New Roman"/>
          <w:szCs w:val="24"/>
        </w:rPr>
        <w:t xml:space="preserve"> oraz w</w:t>
      </w:r>
      <w:r w:rsidR="00216C8A" w:rsidRPr="009300D9">
        <w:rPr>
          <w:rFonts w:ascii="Times New Roman" w:hAnsi="Times New Roman" w:cs="Times New Roman"/>
          <w:szCs w:val="24"/>
        </w:rPr>
        <w:t xml:space="preserve"> </w:t>
      </w:r>
      <w:r w:rsidRPr="009300D9">
        <w:rPr>
          <w:rFonts w:ascii="Times New Roman" w:hAnsi="Times New Roman" w:cs="Times New Roman"/>
          <w:szCs w:val="24"/>
        </w:rPr>
        <w:t xml:space="preserve">art. 56 ust. 5. </w:t>
      </w:r>
    </w:p>
    <w:p w14:paraId="2AEB9C1B" w14:textId="7C84797D"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W związku z wejściem w życie w dniu 9 lipca 2018 r. Rozporządzenia Parlamentu Europejskiego i Rady (UE) 2018/842 z dnia 30 maja 2018 r. w sprawie wiążących rocznych redukcji emisji gazów cieplarnianych przez państwa członkowskie od 2021 r. do 2030 r. przyczyniających się do działań na rzecz klimatu w celu wywiązania się z zobowiązań wynikających z Porozumienia paryskiego oraz zmieniające rozporządzenie (UE) nr 525/2013 (Dz. Urz. UE L 156 z 19.06.2018, str. 26</w:t>
      </w:r>
      <w:r w:rsidR="00F06FA3" w:rsidRPr="009300D9">
        <w:rPr>
          <w:rFonts w:ascii="Times New Roman" w:hAnsi="Times New Roman" w:cs="Times New Roman"/>
          <w:bCs/>
          <w:sz w:val="24"/>
          <w:szCs w:val="24"/>
        </w:rPr>
        <w:t>) zwanego dalej</w:t>
      </w:r>
      <w:r w:rsidRPr="009300D9">
        <w:rPr>
          <w:rFonts w:ascii="Times New Roman" w:hAnsi="Times New Roman" w:cs="Times New Roman"/>
          <w:bCs/>
          <w:sz w:val="24"/>
          <w:szCs w:val="24"/>
        </w:rPr>
        <w:t xml:space="preserve"> „rozporządzenie</w:t>
      </w:r>
      <w:r w:rsidR="00F06FA3" w:rsidRPr="009300D9">
        <w:rPr>
          <w:rFonts w:ascii="Times New Roman" w:hAnsi="Times New Roman" w:cs="Times New Roman"/>
          <w:bCs/>
          <w:sz w:val="24"/>
          <w:szCs w:val="24"/>
        </w:rPr>
        <w:t>m</w:t>
      </w:r>
      <w:r w:rsidRPr="009300D9">
        <w:rPr>
          <w:rFonts w:ascii="Times New Roman" w:hAnsi="Times New Roman" w:cs="Times New Roman"/>
          <w:bCs/>
          <w:sz w:val="24"/>
          <w:szCs w:val="24"/>
        </w:rPr>
        <w:t xml:space="preserve"> ESR” dostosowaniu do tego aktu powinny ulec przepisy ustawy z dnia 17 lipca 2009 r</w:t>
      </w:r>
      <w:r w:rsidR="00F06FA3" w:rsidRPr="009300D9">
        <w:rPr>
          <w:rFonts w:ascii="Times New Roman" w:hAnsi="Times New Roman" w:cs="Times New Roman"/>
          <w:bCs/>
          <w:sz w:val="24"/>
          <w:szCs w:val="24"/>
        </w:rPr>
        <w:t>. ustawy SZE</w:t>
      </w:r>
      <w:r w:rsidRPr="009300D9">
        <w:rPr>
          <w:rFonts w:ascii="Times New Roman" w:hAnsi="Times New Roman" w:cs="Times New Roman"/>
          <w:bCs/>
          <w:sz w:val="24"/>
          <w:szCs w:val="24"/>
        </w:rPr>
        <w:t xml:space="preserve">. </w:t>
      </w:r>
    </w:p>
    <w:p w14:paraId="2BD0903A" w14:textId="67C04F55"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Rozporządzenie ESR dotyczy okresu 2021-2030 i zastąpi dotychczas obowiązującą decyzję Parlamentu Europejskiego i Rady nr 406/2009/WE z dnia 23 kwietnia 2009 r. w sprawie wysiłków podjętych przez państwa członkowskie, zmierzających do zmniejszenia emisji gazów cieplarnianych w celu realizacji do roku 2020 zobowiązań Wspólnoty dotyczących redukcji emisji gazów cieplarnianych (Dz. Urz. UE L 140 z 5.6.2009, s. 136</w:t>
      </w:r>
      <w:r w:rsidR="00F06FA3" w:rsidRPr="009300D9">
        <w:rPr>
          <w:rFonts w:ascii="Times New Roman" w:hAnsi="Times New Roman" w:cs="Times New Roman"/>
          <w:bCs/>
          <w:sz w:val="24"/>
          <w:szCs w:val="24"/>
        </w:rPr>
        <w:t xml:space="preserve">), zwanej dalej </w:t>
      </w:r>
      <w:r w:rsidRPr="009300D9">
        <w:rPr>
          <w:rFonts w:ascii="Times New Roman" w:hAnsi="Times New Roman" w:cs="Times New Roman"/>
          <w:bCs/>
          <w:sz w:val="24"/>
          <w:szCs w:val="24"/>
        </w:rPr>
        <w:t>„decyzj</w:t>
      </w:r>
      <w:r w:rsidR="00F06FA3" w:rsidRPr="009300D9">
        <w:rPr>
          <w:rFonts w:ascii="Times New Roman" w:hAnsi="Times New Roman" w:cs="Times New Roman"/>
          <w:bCs/>
          <w:sz w:val="24"/>
          <w:szCs w:val="24"/>
        </w:rPr>
        <w:t>ą</w:t>
      </w:r>
      <w:r w:rsidRPr="009300D9">
        <w:rPr>
          <w:rFonts w:ascii="Times New Roman" w:hAnsi="Times New Roman" w:cs="Times New Roman"/>
          <w:bCs/>
          <w:sz w:val="24"/>
          <w:szCs w:val="24"/>
        </w:rPr>
        <w:t xml:space="preserve"> ESD”. W związku z powyższym, zmianie bądź uchyleniu ulegną przepisy ustawy </w:t>
      </w:r>
      <w:r w:rsidR="00F06FA3" w:rsidRPr="009300D9">
        <w:rPr>
          <w:rFonts w:ascii="Times New Roman" w:hAnsi="Times New Roman" w:cs="Times New Roman"/>
          <w:bCs/>
          <w:sz w:val="24"/>
          <w:szCs w:val="24"/>
        </w:rPr>
        <w:t xml:space="preserve">SZE </w:t>
      </w:r>
      <w:r w:rsidRPr="009300D9">
        <w:rPr>
          <w:rFonts w:ascii="Times New Roman" w:hAnsi="Times New Roman" w:cs="Times New Roman"/>
          <w:bCs/>
          <w:sz w:val="24"/>
          <w:szCs w:val="24"/>
        </w:rPr>
        <w:t xml:space="preserve">dotyczące tej decyzji. Przy czym z uwagi na fakt, że – w przeciwieństwie do decyzji ESD – rozporządzenie ESR jest aktem wiążącym w całości i bezpośrednio stosowalnym, zakres zagadnień z tego obszaru regulowanych w ustawie SZE ulegnie zmniejszeniu, stąd uchylenie wielu przepisów dotyczących decyzji ESD. </w:t>
      </w:r>
    </w:p>
    <w:p w14:paraId="7B39C16E" w14:textId="647EDF5D"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Odnosząc powyższe uwagi do konkretnych przepisów</w:t>
      </w:r>
      <w:r w:rsidR="00BC557A" w:rsidRPr="009300D9">
        <w:rPr>
          <w:rFonts w:ascii="Times New Roman" w:hAnsi="Times New Roman" w:cs="Times New Roman"/>
          <w:bCs/>
          <w:sz w:val="24"/>
          <w:szCs w:val="24"/>
        </w:rPr>
        <w:t>,</w:t>
      </w:r>
      <w:r w:rsidRPr="009300D9">
        <w:rPr>
          <w:rFonts w:ascii="Times New Roman" w:hAnsi="Times New Roman" w:cs="Times New Roman"/>
          <w:bCs/>
          <w:sz w:val="24"/>
          <w:szCs w:val="24"/>
        </w:rPr>
        <w:t xml:space="preserve"> należy wskazać na następujące zmiany. </w:t>
      </w:r>
    </w:p>
    <w:p w14:paraId="71BE9A49" w14:textId="57B06A76"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W związku ze zmianami w prawie U</w:t>
      </w:r>
      <w:r w:rsidR="00F06FA3" w:rsidRPr="009300D9">
        <w:rPr>
          <w:rFonts w:ascii="Times New Roman" w:hAnsi="Times New Roman" w:cs="Times New Roman"/>
          <w:bCs/>
          <w:sz w:val="24"/>
          <w:szCs w:val="24"/>
        </w:rPr>
        <w:t>E</w:t>
      </w:r>
      <w:r w:rsidRPr="009300D9">
        <w:rPr>
          <w:rFonts w:ascii="Times New Roman" w:hAnsi="Times New Roman" w:cs="Times New Roman"/>
          <w:bCs/>
          <w:sz w:val="24"/>
          <w:szCs w:val="24"/>
        </w:rPr>
        <w:t xml:space="preserve"> dotyczącym ograniczania emisji gazów cieplarnianych pochodzących z kategorii źródeł IPCC obejmujących energię, procesy przemysłowe i</w:t>
      </w:r>
      <w:r w:rsidR="00407047" w:rsidRPr="009300D9">
        <w:rPr>
          <w:rFonts w:ascii="Times New Roman" w:hAnsi="Times New Roman" w:cs="Times New Roman"/>
          <w:bCs/>
          <w:sz w:val="24"/>
          <w:szCs w:val="24"/>
        </w:rPr>
        <w:t> </w:t>
      </w:r>
      <w:r w:rsidRPr="009300D9">
        <w:rPr>
          <w:rFonts w:ascii="Times New Roman" w:hAnsi="Times New Roman" w:cs="Times New Roman"/>
          <w:bCs/>
          <w:sz w:val="24"/>
          <w:szCs w:val="24"/>
        </w:rPr>
        <w:t xml:space="preserve">użytkowanie produktów, rolnictwo oraz odpady (z wyłączeniem emisji gazów cieplarnianych pochodzących z działań objętych systemem ETS) w nowym okresie 2021-2030,  uaktualniono definicję jednostek rocznych limitów emisji, służącą do rozliczania przez państwa członkowskie dozwolonego limitu emisji z obszarów objętych rozporządzeniem ESR. </w:t>
      </w:r>
    </w:p>
    <w:p w14:paraId="3831D024" w14:textId="2EE0500A"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Uchylono art. 11a obecnie obowiązującej ustawy </w:t>
      </w:r>
      <w:r w:rsidR="00F06FA3" w:rsidRPr="009300D9">
        <w:rPr>
          <w:rFonts w:ascii="Times New Roman" w:hAnsi="Times New Roman" w:cs="Times New Roman"/>
          <w:bCs/>
          <w:sz w:val="24"/>
          <w:szCs w:val="24"/>
        </w:rPr>
        <w:t xml:space="preserve">SZE </w:t>
      </w:r>
      <w:r w:rsidRPr="009300D9">
        <w:rPr>
          <w:rFonts w:ascii="Times New Roman" w:hAnsi="Times New Roman" w:cs="Times New Roman"/>
          <w:bCs/>
          <w:sz w:val="24"/>
          <w:szCs w:val="24"/>
        </w:rPr>
        <w:t>z uwagi na fakt, że w kolejnym okresie będą obowiązywały odmienne reguły dotyczące sprawozdawczości z ww. sektorów. Będzie ona zintegrowana ze sprawozdawczością z innych obszarów unijnej polityki energetyczno-klimatycznej w ramach Rozporządzenia Parlamentu i Rady (UE) 2018/1999 z dnia 11 grudnia 2018 r. w sprawie zarządzania unią energetyczną i działaniami w dziedzinie klimatu, zmiany rozporządzeń Parlamentu Europejskiego i Rady (WE) nr 663/2009 i (WE) nr 715/2009, dyrektyw Parlamentu Europejskiego i</w:t>
      </w:r>
      <w:r w:rsidR="00407047" w:rsidRPr="009300D9">
        <w:rPr>
          <w:rFonts w:ascii="Times New Roman" w:hAnsi="Times New Roman" w:cs="Times New Roman"/>
          <w:bCs/>
          <w:sz w:val="24"/>
          <w:szCs w:val="24"/>
        </w:rPr>
        <w:t> </w:t>
      </w:r>
      <w:r w:rsidRPr="009300D9">
        <w:rPr>
          <w:rFonts w:ascii="Times New Roman" w:hAnsi="Times New Roman" w:cs="Times New Roman"/>
          <w:bCs/>
          <w:sz w:val="24"/>
          <w:szCs w:val="24"/>
        </w:rPr>
        <w:t>Rady 94/22/WE, 98/70/WE, 2009/31/WE, 2009/73/WE, 2010/31/UE, 2012/27/UE i 2013/30/UE, dyrektyw Rady 2009/119/WE i (EU) 2015/652 oraz uchylenia rozporządzenia Parlamentu Europejskiego i Rady (UE) nr 525/2013 (Dz. Urz. UE L 328 z 21.12.2018, str. 1).</w:t>
      </w:r>
    </w:p>
    <w:p w14:paraId="6A0AC506" w14:textId="19B72692"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Nowe brzmienie zostało nadane przepisom artykułów 21a-21c ustawy SZE. W art. 21a został wskazany minister właściwy do spraw klimatu jako organ realizujący uprawnienia i obowiązki Polski jako państwa członkowskiego, określone w art. 5, art. 7, art. 8 i art. 11 rozporządzenia ESR. Utrzymano zasadę, że minister właściwy do spraw klimatu przy wykonywaniu tych zadań będzie się kierować strategią zarządzania krajowym limitem, jako krajowym dokumentem </w:t>
      </w:r>
      <w:r w:rsidRPr="009300D9">
        <w:rPr>
          <w:rFonts w:ascii="Times New Roman" w:hAnsi="Times New Roman" w:cs="Times New Roman"/>
          <w:bCs/>
          <w:sz w:val="24"/>
          <w:szCs w:val="24"/>
        </w:rPr>
        <w:lastRenderedPageBreak/>
        <w:t>określającym założenia i wytyczne metodyki rozliczania i prognozowania emisji gazów cieplarnianych nieobjętych systemem handlu uprawnieniami do emisji. Regulacja dotycząca formy strategii oraz jej zawartości została przeniesiona z art. 21d do art. 21a w nowym brzmieniu, przy czym uległa ona zmianom wynikającym z ewolucji prawa unijnego. Zmiana w art. 21b, dotyczącego nabywania jednostek rocznych limitów emisji od innego państwa członkowskiego UE, polega na zmianie odwołania zamieszczonego w tym przepisie z odwołania do odpowiedniego przepisu decyzji ESD na odwołanie do odpowiedniego przepisu</w:t>
      </w:r>
      <w:r w:rsidR="00407047" w:rsidRPr="009300D9">
        <w:rPr>
          <w:rFonts w:ascii="Times New Roman" w:hAnsi="Times New Roman" w:cs="Times New Roman"/>
          <w:bCs/>
          <w:sz w:val="24"/>
          <w:szCs w:val="24"/>
        </w:rPr>
        <w:t> </w:t>
      </w:r>
      <w:r w:rsidRPr="009300D9">
        <w:rPr>
          <w:rFonts w:ascii="Times New Roman" w:hAnsi="Times New Roman" w:cs="Times New Roman"/>
          <w:bCs/>
          <w:sz w:val="24"/>
          <w:szCs w:val="24"/>
        </w:rPr>
        <w:t>rozporządzenia ESR, przy utrzymaniu zasady, że właściwy minister może nabyć jednostki rocznych limitów emisji (w celu rozliczenia ewentualnej nadwyżki emisji ponad poziomy wynikające z</w:t>
      </w:r>
      <w:r w:rsidR="00407047" w:rsidRPr="009300D9">
        <w:rPr>
          <w:rFonts w:ascii="Times New Roman" w:hAnsi="Times New Roman" w:cs="Times New Roman"/>
          <w:bCs/>
          <w:sz w:val="24"/>
          <w:szCs w:val="24"/>
        </w:rPr>
        <w:t> </w:t>
      </w:r>
      <w:r w:rsidRPr="009300D9">
        <w:rPr>
          <w:rFonts w:ascii="Times New Roman" w:hAnsi="Times New Roman" w:cs="Times New Roman"/>
          <w:bCs/>
          <w:sz w:val="24"/>
          <w:szCs w:val="24"/>
        </w:rPr>
        <w:t>rozporządzenia ESR) kierując się ważnym interesem państwa. Kolejną zmianą wynikającą wprost z</w:t>
      </w:r>
      <w:r w:rsidR="00407047" w:rsidRPr="009300D9">
        <w:rPr>
          <w:rFonts w:ascii="Times New Roman" w:hAnsi="Times New Roman" w:cs="Times New Roman"/>
          <w:bCs/>
          <w:sz w:val="24"/>
          <w:szCs w:val="24"/>
        </w:rPr>
        <w:t> </w:t>
      </w:r>
      <w:r w:rsidRPr="009300D9">
        <w:rPr>
          <w:rFonts w:ascii="Times New Roman" w:hAnsi="Times New Roman" w:cs="Times New Roman"/>
          <w:bCs/>
          <w:sz w:val="24"/>
          <w:szCs w:val="24"/>
        </w:rPr>
        <w:t xml:space="preserve">nowych zasad obowiązujących w rozporządzeniu ESR jest zmiana art. 21c, określającego jakie jednostki mogą być wykorzystywane do rozliczenia emisji gazów cieplarnianych objętych tych rozporządzeniem. </w:t>
      </w:r>
    </w:p>
    <w:p w14:paraId="3A35701D" w14:textId="25F11101" w:rsidR="003E7E31"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Wprowadzono także nieliczne zmiany w art. 21f określającym procedurę przygotowania planu działań korygujących, którego konieczność przygotowania może wystąpić w okolicznościach określonych w</w:t>
      </w:r>
      <w:r w:rsidR="00407047" w:rsidRPr="009300D9">
        <w:rPr>
          <w:rFonts w:ascii="Times New Roman" w:hAnsi="Times New Roman" w:cs="Times New Roman"/>
          <w:bCs/>
          <w:sz w:val="24"/>
          <w:szCs w:val="24"/>
        </w:rPr>
        <w:t> </w:t>
      </w:r>
      <w:r w:rsidRPr="009300D9">
        <w:rPr>
          <w:rFonts w:ascii="Times New Roman" w:hAnsi="Times New Roman" w:cs="Times New Roman"/>
          <w:bCs/>
          <w:sz w:val="24"/>
          <w:szCs w:val="24"/>
        </w:rPr>
        <w:t>art. 8 ust. 1 rozporządzenia ESR. Tutaj również utrzymano zasady obowiązujące na gruncie decyzji ESD, to jest że przygotowanie planu działań korygujących jest zadaniem K</w:t>
      </w:r>
      <w:r w:rsidR="00F06FA3" w:rsidRPr="009300D9">
        <w:rPr>
          <w:rFonts w:ascii="Times New Roman" w:hAnsi="Times New Roman" w:cs="Times New Roman"/>
          <w:bCs/>
          <w:sz w:val="24"/>
          <w:szCs w:val="24"/>
        </w:rPr>
        <w:t>rajowego ośrodka</w:t>
      </w:r>
      <w:r w:rsidRPr="009300D9">
        <w:rPr>
          <w:rFonts w:ascii="Times New Roman" w:hAnsi="Times New Roman" w:cs="Times New Roman"/>
          <w:bCs/>
          <w:sz w:val="24"/>
          <w:szCs w:val="24"/>
        </w:rPr>
        <w:t xml:space="preserve"> wykonywanym na polecenie Ministra właściwego ds. klimatu (ust. 1). Plan działań korygujących podlega akceptacji przez Radę Ministrów i po uzyskaniu tej akceptacji jest przekazywany Komisji Europejskiej (ust. 9).   </w:t>
      </w:r>
    </w:p>
    <w:p w14:paraId="205574FF" w14:textId="723D29A5" w:rsidR="00005A3B" w:rsidRPr="009300D9" w:rsidRDefault="003E7E31"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Z uwagi na fakt, że rozporządzenie ESR dotyczy emisji gazów cieplarnianych w sektorach nieobjętych systemem ETS w okresie 2021-2030, natomiast w odniesieniu do emisji za rok 2020 stosuje się regulacje wynikające z decyzji ESD, projekt ustawy zawiera odpowiednie przepisy przejściowe</w:t>
      </w:r>
      <w:r w:rsidR="0087735B" w:rsidRPr="009300D9">
        <w:rPr>
          <w:rFonts w:ascii="Times New Roman" w:hAnsi="Times New Roman" w:cs="Times New Roman"/>
          <w:bCs/>
          <w:sz w:val="24"/>
          <w:szCs w:val="24"/>
        </w:rPr>
        <w:t xml:space="preserve"> (umożliwiające rozliczenie emisji za okres 2013-2020 na dotychczasowych zasadach)</w:t>
      </w:r>
      <w:r w:rsidR="00005A3B" w:rsidRPr="009300D9">
        <w:rPr>
          <w:rFonts w:ascii="Times New Roman" w:hAnsi="Times New Roman" w:cs="Times New Roman"/>
          <w:bCs/>
          <w:sz w:val="24"/>
          <w:szCs w:val="24"/>
        </w:rPr>
        <w:t xml:space="preserve">. </w:t>
      </w:r>
    </w:p>
    <w:p w14:paraId="3D97255F" w14:textId="2C260890" w:rsidR="005A7F7B" w:rsidRPr="009300D9" w:rsidRDefault="002D2916"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W </w:t>
      </w:r>
      <w:r w:rsidR="00F06FA3" w:rsidRPr="009300D9">
        <w:rPr>
          <w:rFonts w:ascii="Times New Roman" w:hAnsi="Times New Roman" w:cs="Times New Roman"/>
          <w:bCs/>
          <w:sz w:val="24"/>
          <w:szCs w:val="24"/>
        </w:rPr>
        <w:t xml:space="preserve">ustawie </w:t>
      </w:r>
      <w:r w:rsidRPr="009300D9">
        <w:rPr>
          <w:rFonts w:ascii="Times New Roman" w:hAnsi="Times New Roman" w:cs="Times New Roman"/>
          <w:bCs/>
          <w:sz w:val="24"/>
          <w:szCs w:val="24"/>
        </w:rPr>
        <w:t>SZE zaproponowano również zmiany w art. 9 i art. 11b.</w:t>
      </w:r>
      <w:r w:rsidR="00FE4658" w:rsidRPr="009300D9">
        <w:rPr>
          <w:rFonts w:ascii="Times New Roman" w:hAnsi="Times New Roman" w:cs="Times New Roman"/>
          <w:bCs/>
          <w:sz w:val="24"/>
          <w:szCs w:val="24"/>
        </w:rPr>
        <w:t xml:space="preserve"> </w:t>
      </w:r>
      <w:r w:rsidRPr="009300D9">
        <w:rPr>
          <w:rFonts w:ascii="Times New Roman" w:hAnsi="Times New Roman" w:cs="Times New Roman"/>
          <w:bCs/>
          <w:sz w:val="24"/>
          <w:szCs w:val="24"/>
        </w:rPr>
        <w:t>Zaproponowane zamiany w art. 9 wynikają z potrzeby dopre</w:t>
      </w:r>
      <w:r w:rsidR="00FE4658" w:rsidRPr="009300D9">
        <w:rPr>
          <w:rFonts w:ascii="Times New Roman" w:hAnsi="Times New Roman" w:cs="Times New Roman"/>
          <w:bCs/>
          <w:sz w:val="24"/>
          <w:szCs w:val="24"/>
        </w:rPr>
        <w:t xml:space="preserve">cyzowania zakresu prognoz zmian </w:t>
      </w:r>
      <w:r w:rsidRPr="009300D9">
        <w:rPr>
          <w:rFonts w:ascii="Times New Roman" w:hAnsi="Times New Roman" w:cs="Times New Roman"/>
          <w:bCs/>
          <w:sz w:val="24"/>
          <w:szCs w:val="24"/>
        </w:rPr>
        <w:t>aktywności zgodnie z obowiązującymi wytycznymi IPCC tj. d</w:t>
      </w:r>
      <w:r w:rsidR="00C22128" w:rsidRPr="009300D9">
        <w:rPr>
          <w:rFonts w:ascii="Times New Roman" w:hAnsi="Times New Roman" w:cs="Times New Roman"/>
          <w:bCs/>
          <w:sz w:val="24"/>
          <w:szCs w:val="24"/>
        </w:rPr>
        <w:t xml:space="preserve">opisanie sektora „Waste”, który </w:t>
      </w:r>
      <w:r w:rsidRPr="009300D9">
        <w:rPr>
          <w:rFonts w:ascii="Times New Roman" w:hAnsi="Times New Roman" w:cs="Times New Roman"/>
          <w:bCs/>
          <w:sz w:val="24"/>
          <w:szCs w:val="24"/>
        </w:rPr>
        <w:t>obejmuje gospodarkę odpadami i ściekami. Dla</w:t>
      </w:r>
      <w:r w:rsidR="00C22128" w:rsidRPr="009300D9">
        <w:rPr>
          <w:rFonts w:ascii="Times New Roman" w:hAnsi="Times New Roman" w:cs="Times New Roman"/>
          <w:bCs/>
          <w:sz w:val="24"/>
          <w:szCs w:val="24"/>
        </w:rPr>
        <w:t xml:space="preserve">tego wymagane są prognozy zmian </w:t>
      </w:r>
      <w:r w:rsidRPr="009300D9">
        <w:rPr>
          <w:rFonts w:ascii="Times New Roman" w:hAnsi="Times New Roman" w:cs="Times New Roman"/>
          <w:bCs/>
          <w:sz w:val="24"/>
          <w:szCs w:val="24"/>
        </w:rPr>
        <w:t>aktywności, które opracowuje Krajowy ośrodek</w:t>
      </w:r>
      <w:r w:rsidR="00C22128" w:rsidRPr="009300D9">
        <w:rPr>
          <w:rFonts w:ascii="Times New Roman" w:hAnsi="Times New Roman" w:cs="Times New Roman"/>
          <w:bCs/>
          <w:sz w:val="24"/>
          <w:szCs w:val="24"/>
        </w:rPr>
        <w:t>, również dla gospodarki odpadami i dla gospodarki wodno-ściekowej</w:t>
      </w:r>
      <w:r w:rsidR="005A7F7B" w:rsidRPr="009300D9">
        <w:rPr>
          <w:rFonts w:ascii="Times New Roman" w:hAnsi="Times New Roman" w:cs="Times New Roman"/>
          <w:bCs/>
          <w:sz w:val="24"/>
          <w:szCs w:val="24"/>
        </w:rPr>
        <w:t>.</w:t>
      </w:r>
    </w:p>
    <w:p w14:paraId="43E3FE6F" w14:textId="4A2354CD" w:rsidR="00427688" w:rsidRPr="009300D9" w:rsidRDefault="002D2916"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Druga zmiana w art. 9 </w:t>
      </w:r>
      <w:r w:rsidR="00F06FA3" w:rsidRPr="009300D9">
        <w:rPr>
          <w:rFonts w:ascii="Times New Roman" w:hAnsi="Times New Roman" w:cs="Times New Roman"/>
          <w:bCs/>
          <w:sz w:val="24"/>
          <w:szCs w:val="24"/>
        </w:rPr>
        <w:t xml:space="preserve">ustawy </w:t>
      </w:r>
      <w:r w:rsidRPr="009300D9">
        <w:rPr>
          <w:rFonts w:ascii="Times New Roman" w:hAnsi="Times New Roman" w:cs="Times New Roman"/>
          <w:bCs/>
          <w:sz w:val="24"/>
          <w:szCs w:val="24"/>
        </w:rPr>
        <w:t xml:space="preserve">SZE polega na </w:t>
      </w:r>
      <w:r w:rsidR="00427688" w:rsidRPr="009300D9">
        <w:rPr>
          <w:rFonts w:ascii="Times New Roman" w:hAnsi="Times New Roman" w:cs="Times New Roman"/>
          <w:bCs/>
          <w:sz w:val="24"/>
          <w:szCs w:val="24"/>
        </w:rPr>
        <w:t>modyfikacji</w:t>
      </w:r>
      <w:r w:rsidRPr="009300D9">
        <w:rPr>
          <w:rFonts w:ascii="Times New Roman" w:hAnsi="Times New Roman" w:cs="Times New Roman"/>
          <w:bCs/>
          <w:sz w:val="24"/>
          <w:szCs w:val="24"/>
        </w:rPr>
        <w:t xml:space="preserve"> ust. 5</w:t>
      </w:r>
      <w:r w:rsidR="005A7F7B" w:rsidRPr="009300D9">
        <w:rPr>
          <w:rFonts w:ascii="Times New Roman" w:hAnsi="Times New Roman" w:cs="Times New Roman"/>
          <w:bCs/>
          <w:sz w:val="24"/>
          <w:szCs w:val="24"/>
        </w:rPr>
        <w:t xml:space="preserve"> pkt 4, która ma umożliwić </w:t>
      </w:r>
      <w:r w:rsidRPr="009300D9">
        <w:rPr>
          <w:rFonts w:ascii="Times New Roman" w:hAnsi="Times New Roman" w:cs="Times New Roman"/>
          <w:bCs/>
          <w:sz w:val="24"/>
          <w:szCs w:val="24"/>
        </w:rPr>
        <w:t>wykorzystanie innych wiarygodnych danych niż dla roku popr</w:t>
      </w:r>
      <w:r w:rsidR="005A7F7B" w:rsidRPr="009300D9">
        <w:rPr>
          <w:rFonts w:ascii="Times New Roman" w:hAnsi="Times New Roman" w:cs="Times New Roman"/>
          <w:bCs/>
          <w:sz w:val="24"/>
          <w:szCs w:val="24"/>
        </w:rPr>
        <w:t xml:space="preserve">zedzającego rok odniesienia, co </w:t>
      </w:r>
      <w:r w:rsidRPr="009300D9">
        <w:rPr>
          <w:rFonts w:ascii="Times New Roman" w:hAnsi="Times New Roman" w:cs="Times New Roman"/>
          <w:bCs/>
          <w:sz w:val="24"/>
          <w:szCs w:val="24"/>
        </w:rPr>
        <w:t>zapewni możliwość wykorzystania najbardziej wiarygodnych</w:t>
      </w:r>
      <w:r w:rsidR="005A7F7B" w:rsidRPr="009300D9">
        <w:rPr>
          <w:rFonts w:ascii="Times New Roman" w:hAnsi="Times New Roman" w:cs="Times New Roman"/>
          <w:bCs/>
          <w:sz w:val="24"/>
          <w:szCs w:val="24"/>
        </w:rPr>
        <w:t xml:space="preserve"> dostępnych danych, w przypadku </w:t>
      </w:r>
      <w:r w:rsidR="00427688" w:rsidRPr="009300D9">
        <w:rPr>
          <w:rFonts w:ascii="Times New Roman" w:hAnsi="Times New Roman" w:cs="Times New Roman"/>
          <w:bCs/>
          <w:sz w:val="24"/>
          <w:szCs w:val="24"/>
        </w:rPr>
        <w:t xml:space="preserve">gdy w okresie opracowywania prognoz zmian </w:t>
      </w:r>
      <w:r w:rsidRPr="009300D9">
        <w:rPr>
          <w:rFonts w:ascii="Times New Roman" w:hAnsi="Times New Roman" w:cs="Times New Roman"/>
          <w:bCs/>
          <w:sz w:val="24"/>
          <w:szCs w:val="24"/>
        </w:rPr>
        <w:t>aktywnośc</w:t>
      </w:r>
      <w:r w:rsidR="00427688" w:rsidRPr="009300D9">
        <w:rPr>
          <w:rFonts w:ascii="Times New Roman" w:hAnsi="Times New Roman" w:cs="Times New Roman"/>
          <w:bCs/>
          <w:sz w:val="24"/>
          <w:szCs w:val="24"/>
        </w:rPr>
        <w:t xml:space="preserve">i oficjalne dane z roku </w:t>
      </w:r>
      <w:r w:rsidRPr="009300D9">
        <w:rPr>
          <w:rFonts w:ascii="Times New Roman" w:hAnsi="Times New Roman" w:cs="Times New Roman"/>
          <w:bCs/>
          <w:sz w:val="24"/>
          <w:szCs w:val="24"/>
        </w:rPr>
        <w:t>poprzedzającego rok odniesienia nie będą jeszcze dostępne</w:t>
      </w:r>
      <w:r w:rsidR="00427688" w:rsidRPr="009300D9">
        <w:rPr>
          <w:rFonts w:ascii="Times New Roman" w:hAnsi="Times New Roman" w:cs="Times New Roman"/>
          <w:bCs/>
          <w:sz w:val="24"/>
          <w:szCs w:val="24"/>
        </w:rPr>
        <w:t xml:space="preserve">. Tak może się zdarzyć np. przy </w:t>
      </w:r>
      <w:r w:rsidRPr="009300D9">
        <w:rPr>
          <w:rFonts w:ascii="Times New Roman" w:hAnsi="Times New Roman" w:cs="Times New Roman"/>
          <w:bCs/>
          <w:sz w:val="24"/>
          <w:szCs w:val="24"/>
        </w:rPr>
        <w:t>opracowywaniu pierwszej serii prognoz zmian aktywn</w:t>
      </w:r>
      <w:r w:rsidR="00427688" w:rsidRPr="009300D9">
        <w:rPr>
          <w:rFonts w:ascii="Times New Roman" w:hAnsi="Times New Roman" w:cs="Times New Roman"/>
          <w:bCs/>
          <w:sz w:val="24"/>
          <w:szCs w:val="24"/>
        </w:rPr>
        <w:t xml:space="preserve">ości w 2021 r., kiedy to rokiem </w:t>
      </w:r>
      <w:r w:rsidRPr="009300D9">
        <w:rPr>
          <w:rFonts w:ascii="Times New Roman" w:hAnsi="Times New Roman" w:cs="Times New Roman"/>
          <w:bCs/>
          <w:sz w:val="24"/>
          <w:szCs w:val="24"/>
        </w:rPr>
        <w:t>odniesienia powinien być 2020, ale dane dla niego będą jesz</w:t>
      </w:r>
      <w:r w:rsidR="00427688" w:rsidRPr="009300D9">
        <w:rPr>
          <w:rFonts w:ascii="Times New Roman" w:hAnsi="Times New Roman" w:cs="Times New Roman"/>
          <w:bCs/>
          <w:sz w:val="24"/>
          <w:szCs w:val="24"/>
        </w:rPr>
        <w:t xml:space="preserve">cze niedostępna, a część danych </w:t>
      </w:r>
      <w:r w:rsidRPr="009300D9">
        <w:rPr>
          <w:rFonts w:ascii="Times New Roman" w:hAnsi="Times New Roman" w:cs="Times New Roman"/>
          <w:bCs/>
          <w:sz w:val="24"/>
          <w:szCs w:val="24"/>
        </w:rPr>
        <w:t>dla 2019 też może jeszcze nie być ostateczna lub oficjalna i w</w:t>
      </w:r>
      <w:r w:rsidR="00427688" w:rsidRPr="009300D9">
        <w:rPr>
          <w:rFonts w:ascii="Times New Roman" w:hAnsi="Times New Roman" w:cs="Times New Roman"/>
          <w:bCs/>
          <w:sz w:val="24"/>
          <w:szCs w:val="24"/>
        </w:rPr>
        <w:t>tedy trzeba będzie skorzystać z danych dla 2018 r.</w:t>
      </w:r>
    </w:p>
    <w:p w14:paraId="3ECAF000" w14:textId="5492DAB8" w:rsidR="00513B44" w:rsidRPr="009300D9" w:rsidRDefault="002D2916"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Zmiany w art. 11b dotyczą przede wszystkim wykonania roz</w:t>
      </w:r>
      <w:r w:rsidR="00427688" w:rsidRPr="009300D9">
        <w:rPr>
          <w:rFonts w:ascii="Times New Roman" w:hAnsi="Times New Roman" w:cs="Times New Roman"/>
          <w:bCs/>
          <w:sz w:val="24"/>
          <w:szCs w:val="24"/>
        </w:rPr>
        <w:t xml:space="preserve">porządzenia 2018/1999. W ust. 1 </w:t>
      </w:r>
      <w:r w:rsidRPr="009300D9">
        <w:rPr>
          <w:rFonts w:ascii="Times New Roman" w:hAnsi="Times New Roman" w:cs="Times New Roman"/>
          <w:bCs/>
          <w:sz w:val="24"/>
          <w:szCs w:val="24"/>
        </w:rPr>
        <w:t>wprowadzono doprecyzowanie wyjaśniające na grunci</w:t>
      </w:r>
      <w:r w:rsidR="00427688" w:rsidRPr="009300D9">
        <w:rPr>
          <w:rFonts w:ascii="Times New Roman" w:hAnsi="Times New Roman" w:cs="Times New Roman"/>
          <w:bCs/>
          <w:sz w:val="24"/>
          <w:szCs w:val="24"/>
        </w:rPr>
        <w:t xml:space="preserve">e jakiego prawa opracowywane są </w:t>
      </w:r>
      <w:r w:rsidRPr="009300D9">
        <w:rPr>
          <w:rFonts w:ascii="Times New Roman" w:hAnsi="Times New Roman" w:cs="Times New Roman"/>
          <w:bCs/>
          <w:sz w:val="24"/>
          <w:szCs w:val="24"/>
        </w:rPr>
        <w:t>projekty przedmiotowych raportów</w:t>
      </w:r>
      <w:r w:rsidR="00427688" w:rsidRPr="009300D9">
        <w:rPr>
          <w:rFonts w:ascii="Times New Roman" w:hAnsi="Times New Roman" w:cs="Times New Roman"/>
          <w:bCs/>
          <w:sz w:val="24"/>
          <w:szCs w:val="24"/>
        </w:rPr>
        <w:t>,</w:t>
      </w:r>
      <w:r w:rsidRPr="009300D9">
        <w:rPr>
          <w:rFonts w:ascii="Times New Roman" w:hAnsi="Times New Roman" w:cs="Times New Roman"/>
          <w:bCs/>
          <w:sz w:val="24"/>
          <w:szCs w:val="24"/>
        </w:rPr>
        <w:t xml:space="preserve"> tj. prawo UE lub umowy międzynarodowe. Dodatkowo</w:t>
      </w:r>
      <w:r w:rsidR="00513B44" w:rsidRPr="009300D9">
        <w:rPr>
          <w:rFonts w:ascii="Times New Roman" w:hAnsi="Times New Roman" w:cs="Times New Roman"/>
          <w:bCs/>
          <w:sz w:val="24"/>
          <w:szCs w:val="24"/>
        </w:rPr>
        <w:t xml:space="preserve"> </w:t>
      </w:r>
      <w:r w:rsidR="00513B44" w:rsidRPr="009300D9">
        <w:rPr>
          <w:rFonts w:ascii="Times New Roman" w:hAnsi="Times New Roman" w:cs="Times New Roman"/>
          <w:bCs/>
          <w:sz w:val="24"/>
          <w:szCs w:val="24"/>
        </w:rPr>
        <w:lastRenderedPageBreak/>
        <w:t>doprecyzowano, że chodzi o przepisy w obszarze ochrony kli</w:t>
      </w:r>
      <w:r w:rsidR="00427688" w:rsidRPr="009300D9">
        <w:rPr>
          <w:rFonts w:ascii="Times New Roman" w:hAnsi="Times New Roman" w:cs="Times New Roman"/>
          <w:bCs/>
          <w:sz w:val="24"/>
          <w:szCs w:val="24"/>
        </w:rPr>
        <w:t xml:space="preserve">matu i powietrza, ponieważ </w:t>
      </w:r>
      <w:r w:rsidR="00513B44" w:rsidRPr="009300D9">
        <w:rPr>
          <w:rFonts w:ascii="Times New Roman" w:hAnsi="Times New Roman" w:cs="Times New Roman"/>
          <w:bCs/>
          <w:sz w:val="24"/>
          <w:szCs w:val="24"/>
        </w:rPr>
        <w:t>dotychczasowe brzmien</w:t>
      </w:r>
      <w:r w:rsidR="00427688" w:rsidRPr="009300D9">
        <w:rPr>
          <w:rFonts w:ascii="Times New Roman" w:hAnsi="Times New Roman" w:cs="Times New Roman"/>
          <w:bCs/>
          <w:sz w:val="24"/>
          <w:szCs w:val="24"/>
        </w:rPr>
        <w:t xml:space="preserve">ie miało bardzo szeroki zakres. </w:t>
      </w:r>
      <w:r w:rsidR="00513B44" w:rsidRPr="009300D9">
        <w:rPr>
          <w:rFonts w:ascii="Times New Roman" w:hAnsi="Times New Roman" w:cs="Times New Roman"/>
          <w:bCs/>
          <w:sz w:val="24"/>
          <w:szCs w:val="24"/>
        </w:rPr>
        <w:t>W ust. 1a wprowadzono doprecyzowanie mające na c</w:t>
      </w:r>
      <w:r w:rsidR="00427688" w:rsidRPr="009300D9">
        <w:rPr>
          <w:rFonts w:ascii="Times New Roman" w:hAnsi="Times New Roman" w:cs="Times New Roman"/>
          <w:bCs/>
          <w:sz w:val="24"/>
          <w:szCs w:val="24"/>
        </w:rPr>
        <w:t xml:space="preserve">elu wskazanie, </w:t>
      </w:r>
      <w:r w:rsidR="00E12F80" w:rsidRPr="009300D9">
        <w:rPr>
          <w:rFonts w:ascii="Times New Roman" w:hAnsi="Times New Roman" w:cs="Times New Roman"/>
          <w:bCs/>
          <w:sz w:val="24"/>
          <w:szCs w:val="24"/>
        </w:rPr>
        <w:t>projekty jakich raportów</w:t>
      </w:r>
      <w:r w:rsidR="00427688" w:rsidRPr="009300D9">
        <w:rPr>
          <w:rFonts w:ascii="Times New Roman" w:hAnsi="Times New Roman" w:cs="Times New Roman"/>
          <w:bCs/>
          <w:sz w:val="24"/>
          <w:szCs w:val="24"/>
        </w:rPr>
        <w:t xml:space="preserve"> są </w:t>
      </w:r>
      <w:r w:rsidR="00513B44" w:rsidRPr="009300D9">
        <w:rPr>
          <w:rFonts w:ascii="Times New Roman" w:hAnsi="Times New Roman" w:cs="Times New Roman"/>
          <w:bCs/>
          <w:sz w:val="24"/>
          <w:szCs w:val="24"/>
        </w:rPr>
        <w:t>opracowywane przez Krajowy ośrodek w obszarze ochrony kl</w:t>
      </w:r>
      <w:r w:rsidR="00E12F80" w:rsidRPr="009300D9">
        <w:rPr>
          <w:rFonts w:ascii="Times New Roman" w:hAnsi="Times New Roman" w:cs="Times New Roman"/>
          <w:bCs/>
          <w:sz w:val="24"/>
          <w:szCs w:val="24"/>
        </w:rPr>
        <w:t xml:space="preserve">imatu. Na gruncie prawa UE jest </w:t>
      </w:r>
      <w:r w:rsidR="00513B44" w:rsidRPr="009300D9">
        <w:rPr>
          <w:rFonts w:ascii="Times New Roman" w:hAnsi="Times New Roman" w:cs="Times New Roman"/>
          <w:bCs/>
          <w:sz w:val="24"/>
          <w:szCs w:val="24"/>
        </w:rPr>
        <w:t>to raport dotyczący polityk i środków wynikający z art. 13 Roz</w:t>
      </w:r>
      <w:r w:rsidR="00E12F80" w:rsidRPr="009300D9">
        <w:rPr>
          <w:rFonts w:ascii="Times New Roman" w:hAnsi="Times New Roman" w:cs="Times New Roman"/>
          <w:bCs/>
          <w:sz w:val="24"/>
          <w:szCs w:val="24"/>
        </w:rPr>
        <w:t xml:space="preserve">porządzenia 525/2013, a od 2021 </w:t>
      </w:r>
      <w:r w:rsidR="00513B44" w:rsidRPr="009300D9">
        <w:rPr>
          <w:rFonts w:ascii="Times New Roman" w:hAnsi="Times New Roman" w:cs="Times New Roman"/>
          <w:bCs/>
          <w:sz w:val="24"/>
          <w:szCs w:val="24"/>
        </w:rPr>
        <w:t>r. z art. 18 ust. 1 lit. a Rozporządzenia 2018/</w:t>
      </w:r>
      <w:r w:rsidR="00E12F80" w:rsidRPr="009300D9">
        <w:rPr>
          <w:rFonts w:ascii="Times New Roman" w:hAnsi="Times New Roman" w:cs="Times New Roman"/>
          <w:bCs/>
          <w:sz w:val="24"/>
          <w:szCs w:val="24"/>
        </w:rPr>
        <w:t xml:space="preserve">1999. Natomiast w zakresie umów </w:t>
      </w:r>
      <w:r w:rsidR="00513B44" w:rsidRPr="009300D9">
        <w:rPr>
          <w:rFonts w:ascii="Times New Roman" w:hAnsi="Times New Roman" w:cs="Times New Roman"/>
          <w:bCs/>
          <w:sz w:val="24"/>
          <w:szCs w:val="24"/>
        </w:rPr>
        <w:t>międzynarodowych w tym obszarze są to raporty</w:t>
      </w:r>
      <w:r w:rsidR="00E12F80" w:rsidRPr="009300D9">
        <w:rPr>
          <w:rFonts w:ascii="Times New Roman" w:hAnsi="Times New Roman" w:cs="Times New Roman"/>
          <w:bCs/>
          <w:sz w:val="24"/>
          <w:szCs w:val="24"/>
        </w:rPr>
        <w:t xml:space="preserve"> opracowywane na mocy Konwencji </w:t>
      </w:r>
      <w:r w:rsidR="00513B44" w:rsidRPr="009300D9">
        <w:rPr>
          <w:rFonts w:ascii="Times New Roman" w:hAnsi="Times New Roman" w:cs="Times New Roman"/>
          <w:bCs/>
          <w:sz w:val="24"/>
          <w:szCs w:val="24"/>
        </w:rPr>
        <w:t>klimatycznej, Protokołu z Kioto i Porozumienia paryskiego or</w:t>
      </w:r>
      <w:r w:rsidR="00E12F80" w:rsidRPr="009300D9">
        <w:rPr>
          <w:rFonts w:ascii="Times New Roman" w:hAnsi="Times New Roman" w:cs="Times New Roman"/>
          <w:bCs/>
          <w:sz w:val="24"/>
          <w:szCs w:val="24"/>
        </w:rPr>
        <w:t xml:space="preserve">az decyzji przyjętych przez ich </w:t>
      </w:r>
      <w:r w:rsidR="00513B44" w:rsidRPr="009300D9">
        <w:rPr>
          <w:rFonts w:ascii="Times New Roman" w:hAnsi="Times New Roman" w:cs="Times New Roman"/>
          <w:bCs/>
          <w:sz w:val="24"/>
          <w:szCs w:val="24"/>
        </w:rPr>
        <w:t>strony:</w:t>
      </w:r>
    </w:p>
    <w:p w14:paraId="03122DE8" w14:textId="0798D21C" w:rsidR="00513B44" w:rsidRPr="009300D9" w:rsidRDefault="00E12F80"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 </w:t>
      </w:r>
      <w:r w:rsidR="00513B44" w:rsidRPr="009300D9">
        <w:rPr>
          <w:rFonts w:ascii="Times New Roman" w:hAnsi="Times New Roman" w:cs="Times New Roman"/>
          <w:bCs/>
          <w:sz w:val="24"/>
          <w:szCs w:val="24"/>
        </w:rPr>
        <w:t>raporty rządowe (na mocy Konwencji klimatycznej i dec</w:t>
      </w:r>
      <w:r w:rsidRPr="009300D9">
        <w:rPr>
          <w:rFonts w:ascii="Times New Roman" w:hAnsi="Times New Roman" w:cs="Times New Roman"/>
          <w:bCs/>
          <w:sz w:val="24"/>
          <w:szCs w:val="24"/>
        </w:rPr>
        <w:t xml:space="preserve">yzji m.in. 4/CP.5, 9/CP.16 oraz </w:t>
      </w:r>
      <w:r w:rsidR="00513B44" w:rsidRPr="009300D9">
        <w:rPr>
          <w:rFonts w:ascii="Times New Roman" w:hAnsi="Times New Roman" w:cs="Times New Roman"/>
          <w:bCs/>
          <w:sz w:val="24"/>
          <w:szCs w:val="24"/>
        </w:rPr>
        <w:t>Protokołu z Kioto i decyzji 15/CMP.1),</w:t>
      </w:r>
    </w:p>
    <w:p w14:paraId="2362863D" w14:textId="495F3AA7" w:rsidR="00513B44" w:rsidRPr="009300D9" w:rsidRDefault="00E12F80"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 </w:t>
      </w:r>
      <w:r w:rsidR="00513B44" w:rsidRPr="009300D9">
        <w:rPr>
          <w:rFonts w:ascii="Times New Roman" w:hAnsi="Times New Roman" w:cs="Times New Roman"/>
          <w:bCs/>
          <w:sz w:val="24"/>
          <w:szCs w:val="24"/>
        </w:rPr>
        <w:t>raporty dwuletnie (na mocy Konwencji klimatyczn</w:t>
      </w:r>
      <w:r w:rsidRPr="009300D9">
        <w:rPr>
          <w:rFonts w:ascii="Times New Roman" w:hAnsi="Times New Roman" w:cs="Times New Roman"/>
          <w:bCs/>
          <w:sz w:val="24"/>
          <w:szCs w:val="24"/>
        </w:rPr>
        <w:t xml:space="preserve">ej i decyzji 2/CP.17, 19/CP.18, </w:t>
      </w:r>
      <w:r w:rsidR="00513B44" w:rsidRPr="009300D9">
        <w:rPr>
          <w:rFonts w:ascii="Times New Roman" w:hAnsi="Times New Roman" w:cs="Times New Roman"/>
          <w:bCs/>
          <w:sz w:val="24"/>
          <w:szCs w:val="24"/>
        </w:rPr>
        <w:t>9/CP.21 oraz Porozumienia paryskiego i decyzji 18/CMA.1).</w:t>
      </w:r>
    </w:p>
    <w:p w14:paraId="7FE6490E" w14:textId="1AEC5B73" w:rsidR="003408CB" w:rsidRPr="009300D9" w:rsidRDefault="00513B44"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W ust. 1b</w:t>
      </w:r>
      <w:r w:rsidR="003408CB" w:rsidRPr="009300D9">
        <w:rPr>
          <w:rFonts w:ascii="Times New Roman" w:hAnsi="Times New Roman" w:cs="Times New Roman"/>
          <w:bCs/>
          <w:sz w:val="24"/>
          <w:szCs w:val="24"/>
        </w:rPr>
        <w:t>,</w:t>
      </w:r>
      <w:r w:rsidRPr="009300D9">
        <w:rPr>
          <w:rFonts w:ascii="Times New Roman" w:hAnsi="Times New Roman" w:cs="Times New Roman"/>
          <w:bCs/>
          <w:sz w:val="24"/>
          <w:szCs w:val="24"/>
        </w:rPr>
        <w:t xml:space="preserve"> dla spójności z nowym brzmieniem ust. 1</w:t>
      </w:r>
      <w:r w:rsidR="003408CB" w:rsidRPr="009300D9">
        <w:rPr>
          <w:rFonts w:ascii="Times New Roman" w:hAnsi="Times New Roman" w:cs="Times New Roman"/>
          <w:bCs/>
          <w:sz w:val="24"/>
          <w:szCs w:val="24"/>
        </w:rPr>
        <w:t>,</w:t>
      </w:r>
      <w:r w:rsidRPr="009300D9">
        <w:rPr>
          <w:rFonts w:ascii="Times New Roman" w:hAnsi="Times New Roman" w:cs="Times New Roman"/>
          <w:bCs/>
          <w:sz w:val="24"/>
          <w:szCs w:val="24"/>
        </w:rPr>
        <w:t xml:space="preserve"> doda</w:t>
      </w:r>
      <w:r w:rsidR="003408CB" w:rsidRPr="009300D9">
        <w:rPr>
          <w:rFonts w:ascii="Times New Roman" w:hAnsi="Times New Roman" w:cs="Times New Roman"/>
          <w:bCs/>
          <w:sz w:val="24"/>
          <w:szCs w:val="24"/>
        </w:rPr>
        <w:t xml:space="preserve">no doprecyzowanie, że mowa tu </w:t>
      </w:r>
      <w:r w:rsidR="00407933" w:rsidRPr="009300D9">
        <w:rPr>
          <w:rFonts w:ascii="Times New Roman" w:hAnsi="Times New Roman" w:cs="Times New Roman"/>
          <w:bCs/>
          <w:sz w:val="24"/>
          <w:szCs w:val="24"/>
        </w:rPr>
        <w:br/>
      </w:r>
      <w:r w:rsidR="003408CB" w:rsidRPr="009300D9">
        <w:rPr>
          <w:rFonts w:ascii="Times New Roman" w:hAnsi="Times New Roman" w:cs="Times New Roman"/>
          <w:bCs/>
          <w:sz w:val="24"/>
          <w:szCs w:val="24"/>
        </w:rPr>
        <w:t xml:space="preserve">o </w:t>
      </w:r>
      <w:r w:rsidRPr="009300D9">
        <w:rPr>
          <w:rFonts w:ascii="Times New Roman" w:hAnsi="Times New Roman" w:cs="Times New Roman"/>
          <w:bCs/>
          <w:sz w:val="24"/>
          <w:szCs w:val="24"/>
        </w:rPr>
        <w:t>obszarze ochrony powietrza (w przeciwieństwie do ww. ust. 1a dotyczącego ochrony klimatu).</w:t>
      </w:r>
      <w:r w:rsidR="00D46313" w:rsidRPr="009300D9">
        <w:rPr>
          <w:rFonts w:ascii="Times New Roman" w:hAnsi="Times New Roman" w:cs="Times New Roman"/>
          <w:bCs/>
          <w:sz w:val="24"/>
          <w:szCs w:val="24"/>
        </w:rPr>
        <w:t xml:space="preserve"> Do powyższych zmian dostosowano ust. 4 dotyczą</w:t>
      </w:r>
      <w:r w:rsidR="003408CB" w:rsidRPr="009300D9">
        <w:rPr>
          <w:rFonts w:ascii="Times New Roman" w:hAnsi="Times New Roman" w:cs="Times New Roman"/>
          <w:bCs/>
          <w:sz w:val="24"/>
          <w:szCs w:val="24"/>
        </w:rPr>
        <w:t>cy współpracy K</w:t>
      </w:r>
      <w:r w:rsidR="00F06FA3" w:rsidRPr="009300D9">
        <w:rPr>
          <w:rFonts w:ascii="Times New Roman" w:hAnsi="Times New Roman" w:cs="Times New Roman"/>
          <w:bCs/>
          <w:sz w:val="24"/>
          <w:szCs w:val="24"/>
        </w:rPr>
        <w:t>rajowego ośrodka</w:t>
      </w:r>
      <w:r w:rsidR="003408CB" w:rsidRPr="009300D9">
        <w:rPr>
          <w:rFonts w:ascii="Times New Roman" w:hAnsi="Times New Roman" w:cs="Times New Roman"/>
          <w:bCs/>
          <w:sz w:val="24"/>
          <w:szCs w:val="24"/>
        </w:rPr>
        <w:t xml:space="preserve"> z organami </w:t>
      </w:r>
      <w:r w:rsidR="00D46313" w:rsidRPr="009300D9">
        <w:rPr>
          <w:rFonts w:ascii="Times New Roman" w:hAnsi="Times New Roman" w:cs="Times New Roman"/>
          <w:bCs/>
          <w:sz w:val="24"/>
          <w:szCs w:val="24"/>
        </w:rPr>
        <w:t>administracji publicznej przy s</w:t>
      </w:r>
      <w:r w:rsidR="003408CB" w:rsidRPr="009300D9">
        <w:rPr>
          <w:rFonts w:ascii="Times New Roman" w:hAnsi="Times New Roman" w:cs="Times New Roman"/>
          <w:bCs/>
          <w:sz w:val="24"/>
          <w:szCs w:val="24"/>
        </w:rPr>
        <w:t>porządzaniu projektów raportów.</w:t>
      </w:r>
    </w:p>
    <w:p w14:paraId="07156164" w14:textId="77777777" w:rsidR="003408CB" w:rsidRPr="009300D9" w:rsidRDefault="003408CB"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Zaproponowano również</w:t>
      </w:r>
      <w:r w:rsidR="00D46313" w:rsidRPr="009300D9">
        <w:rPr>
          <w:rFonts w:ascii="Times New Roman" w:hAnsi="Times New Roman" w:cs="Times New Roman"/>
          <w:bCs/>
          <w:sz w:val="24"/>
          <w:szCs w:val="24"/>
        </w:rPr>
        <w:t xml:space="preserve"> dodani</w:t>
      </w:r>
      <w:r w:rsidRPr="009300D9">
        <w:rPr>
          <w:rFonts w:ascii="Times New Roman" w:hAnsi="Times New Roman" w:cs="Times New Roman"/>
          <w:bCs/>
          <w:sz w:val="24"/>
          <w:szCs w:val="24"/>
        </w:rPr>
        <w:t>e</w:t>
      </w:r>
      <w:r w:rsidR="00D46313" w:rsidRPr="009300D9">
        <w:rPr>
          <w:rFonts w:ascii="Times New Roman" w:hAnsi="Times New Roman" w:cs="Times New Roman"/>
          <w:bCs/>
          <w:sz w:val="24"/>
          <w:szCs w:val="24"/>
        </w:rPr>
        <w:t xml:space="preserve"> ust</w:t>
      </w:r>
      <w:r w:rsidRPr="009300D9">
        <w:rPr>
          <w:rFonts w:ascii="Times New Roman" w:hAnsi="Times New Roman" w:cs="Times New Roman"/>
          <w:bCs/>
          <w:sz w:val="24"/>
          <w:szCs w:val="24"/>
        </w:rPr>
        <w:t xml:space="preserve">. 6, który jasno wskazuje organ </w:t>
      </w:r>
      <w:r w:rsidR="00D46313" w:rsidRPr="009300D9">
        <w:rPr>
          <w:rFonts w:ascii="Times New Roman" w:hAnsi="Times New Roman" w:cs="Times New Roman"/>
          <w:bCs/>
          <w:sz w:val="24"/>
          <w:szCs w:val="24"/>
        </w:rPr>
        <w:t xml:space="preserve">odpowiedzialny za przekazywanie ww. raportów </w:t>
      </w:r>
      <w:r w:rsidRPr="009300D9">
        <w:rPr>
          <w:rFonts w:ascii="Times New Roman" w:hAnsi="Times New Roman" w:cs="Times New Roman"/>
          <w:bCs/>
          <w:sz w:val="24"/>
          <w:szCs w:val="24"/>
        </w:rPr>
        <w:t xml:space="preserve">do właściwych organów UE, jak i </w:t>
      </w:r>
      <w:r w:rsidR="00D46313" w:rsidRPr="009300D9">
        <w:rPr>
          <w:rFonts w:ascii="Times New Roman" w:hAnsi="Times New Roman" w:cs="Times New Roman"/>
          <w:bCs/>
          <w:sz w:val="24"/>
          <w:szCs w:val="24"/>
        </w:rPr>
        <w:t>międzynarodowych. Przepis ten jest zgodny z aktualnie stosowaną praktyką</w:t>
      </w:r>
      <w:r w:rsidRPr="009300D9">
        <w:rPr>
          <w:rFonts w:ascii="Times New Roman" w:hAnsi="Times New Roman" w:cs="Times New Roman"/>
          <w:bCs/>
          <w:sz w:val="24"/>
          <w:szCs w:val="24"/>
        </w:rPr>
        <w:t xml:space="preserve">. </w:t>
      </w:r>
    </w:p>
    <w:p w14:paraId="5C521E43" w14:textId="6B538A76" w:rsidR="002D2916" w:rsidRPr="009300D9" w:rsidRDefault="00D46313"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Powyższe zmiany w art. 11b nie zmieniają dotychczaso</w:t>
      </w:r>
      <w:r w:rsidR="003408CB" w:rsidRPr="009300D9">
        <w:rPr>
          <w:rFonts w:ascii="Times New Roman" w:hAnsi="Times New Roman" w:cs="Times New Roman"/>
          <w:bCs/>
          <w:sz w:val="24"/>
          <w:szCs w:val="24"/>
        </w:rPr>
        <w:t xml:space="preserve">wego zakresu zadań wykonywanych </w:t>
      </w:r>
      <w:r w:rsidRPr="009300D9">
        <w:rPr>
          <w:rFonts w:ascii="Times New Roman" w:hAnsi="Times New Roman" w:cs="Times New Roman"/>
          <w:bCs/>
          <w:sz w:val="24"/>
          <w:szCs w:val="24"/>
        </w:rPr>
        <w:t>przez Krajowy ośrodek (i ministra właściwego do spraw</w:t>
      </w:r>
      <w:r w:rsidR="003408CB" w:rsidRPr="009300D9">
        <w:rPr>
          <w:rFonts w:ascii="Times New Roman" w:hAnsi="Times New Roman" w:cs="Times New Roman"/>
          <w:bCs/>
          <w:sz w:val="24"/>
          <w:szCs w:val="24"/>
        </w:rPr>
        <w:t xml:space="preserve"> klimatu), a jedynie zwiększają </w:t>
      </w:r>
      <w:r w:rsidRPr="009300D9">
        <w:rPr>
          <w:rFonts w:ascii="Times New Roman" w:hAnsi="Times New Roman" w:cs="Times New Roman"/>
          <w:bCs/>
          <w:sz w:val="24"/>
          <w:szCs w:val="24"/>
        </w:rPr>
        <w:t>przejrzystość dotychczasowych przepisów ustawy opisujących zadania K</w:t>
      </w:r>
      <w:r w:rsidR="00F06FA3" w:rsidRPr="009300D9">
        <w:rPr>
          <w:rFonts w:ascii="Times New Roman" w:hAnsi="Times New Roman" w:cs="Times New Roman"/>
          <w:bCs/>
          <w:sz w:val="24"/>
          <w:szCs w:val="24"/>
        </w:rPr>
        <w:t>rajowego ośrodka</w:t>
      </w:r>
      <w:r w:rsidRPr="009300D9">
        <w:rPr>
          <w:rFonts w:ascii="Times New Roman" w:hAnsi="Times New Roman" w:cs="Times New Roman"/>
          <w:bCs/>
          <w:sz w:val="24"/>
          <w:szCs w:val="24"/>
        </w:rPr>
        <w:t>.</w:t>
      </w:r>
    </w:p>
    <w:p w14:paraId="225C765D" w14:textId="6589B188" w:rsidR="00232183" w:rsidRPr="009300D9" w:rsidRDefault="003408CB"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Zmiana w</w:t>
      </w:r>
      <w:r w:rsidR="00CC4374" w:rsidRPr="009300D9">
        <w:rPr>
          <w:rFonts w:ascii="Times New Roman" w:hAnsi="Times New Roman" w:cs="Times New Roman"/>
          <w:bCs/>
          <w:sz w:val="24"/>
          <w:szCs w:val="24"/>
        </w:rPr>
        <w:t xml:space="preserve"> art. 12 ust. 1 </w:t>
      </w:r>
      <w:r w:rsidR="00F06FA3" w:rsidRPr="009300D9">
        <w:rPr>
          <w:rFonts w:ascii="Times New Roman" w:hAnsi="Times New Roman" w:cs="Times New Roman"/>
          <w:bCs/>
          <w:sz w:val="24"/>
          <w:szCs w:val="24"/>
        </w:rPr>
        <w:t xml:space="preserve">ustawy </w:t>
      </w:r>
      <w:r w:rsidRPr="009300D9">
        <w:rPr>
          <w:rFonts w:ascii="Times New Roman" w:hAnsi="Times New Roman" w:cs="Times New Roman"/>
          <w:bCs/>
          <w:sz w:val="24"/>
          <w:szCs w:val="24"/>
        </w:rPr>
        <w:t>SZE</w:t>
      </w:r>
      <w:r w:rsidR="00CC4374" w:rsidRPr="009300D9">
        <w:rPr>
          <w:rFonts w:ascii="Times New Roman" w:hAnsi="Times New Roman" w:cs="Times New Roman"/>
          <w:bCs/>
          <w:sz w:val="24"/>
          <w:szCs w:val="24"/>
        </w:rPr>
        <w:t xml:space="preserve"> </w:t>
      </w:r>
      <w:r w:rsidRPr="009300D9">
        <w:rPr>
          <w:rFonts w:ascii="Times New Roman" w:hAnsi="Times New Roman" w:cs="Times New Roman"/>
          <w:bCs/>
          <w:sz w:val="24"/>
          <w:szCs w:val="24"/>
        </w:rPr>
        <w:t xml:space="preserve">wynika z faktu, że </w:t>
      </w:r>
      <w:r w:rsidR="0007638B" w:rsidRPr="009300D9">
        <w:rPr>
          <w:rFonts w:ascii="Times New Roman" w:hAnsi="Times New Roman" w:cs="Times New Roman"/>
          <w:bCs/>
          <w:sz w:val="24"/>
          <w:szCs w:val="24"/>
        </w:rPr>
        <w:t>obecne, literalne brzmienie tego przepisu</w:t>
      </w:r>
      <w:r w:rsidRPr="009300D9">
        <w:rPr>
          <w:rFonts w:ascii="Times New Roman" w:hAnsi="Times New Roman" w:cs="Times New Roman"/>
          <w:bCs/>
          <w:sz w:val="24"/>
          <w:szCs w:val="24"/>
        </w:rPr>
        <w:t xml:space="preserve"> </w:t>
      </w:r>
      <w:r w:rsidR="00CC4374" w:rsidRPr="009300D9">
        <w:rPr>
          <w:rFonts w:ascii="Times New Roman" w:hAnsi="Times New Roman" w:cs="Times New Roman"/>
          <w:bCs/>
          <w:sz w:val="24"/>
          <w:szCs w:val="24"/>
        </w:rPr>
        <w:t>uwzględni</w:t>
      </w:r>
      <w:r w:rsidR="0007638B" w:rsidRPr="009300D9">
        <w:rPr>
          <w:rFonts w:ascii="Times New Roman" w:hAnsi="Times New Roman" w:cs="Times New Roman"/>
          <w:bCs/>
          <w:sz w:val="24"/>
          <w:szCs w:val="24"/>
        </w:rPr>
        <w:t>a</w:t>
      </w:r>
      <w:r w:rsidR="00CC4374" w:rsidRPr="009300D9">
        <w:rPr>
          <w:rFonts w:ascii="Times New Roman" w:hAnsi="Times New Roman" w:cs="Times New Roman"/>
          <w:bCs/>
          <w:sz w:val="24"/>
          <w:szCs w:val="24"/>
        </w:rPr>
        <w:t xml:space="preserve"> jedynie prognozy emisji, mimo że K</w:t>
      </w:r>
      <w:r w:rsidR="00F06FA3" w:rsidRPr="009300D9">
        <w:rPr>
          <w:rFonts w:ascii="Times New Roman" w:hAnsi="Times New Roman" w:cs="Times New Roman"/>
          <w:bCs/>
          <w:sz w:val="24"/>
          <w:szCs w:val="24"/>
        </w:rPr>
        <w:t>rajowy ośrodek</w:t>
      </w:r>
      <w:r w:rsidR="00CC4374" w:rsidRPr="009300D9">
        <w:rPr>
          <w:rFonts w:ascii="Times New Roman" w:hAnsi="Times New Roman" w:cs="Times New Roman"/>
          <w:bCs/>
          <w:sz w:val="24"/>
          <w:szCs w:val="24"/>
        </w:rPr>
        <w:t xml:space="preserve"> przeprowadza również prognozy pochłaniania w sektorze związanym z użytkowaniem gruntów, zmianą użytkowania gruntów i leśnictwem (LULUCF). Obowiązek przeprowadzania prognoz pochłaniania wynika z UNFCCC, art. 14 rozporządzenia 525/2013, a od 1 stycznia 2021 r. z art. 18 ust. 1 rozporządzenia 2018/1999. Ponadto należy zwrócić uwagę, że w aktualnym brzmieniu art. 9 ust. 1 ustawy o systemie zarządzania sektor leśnictwa jest uwzględniony w przygotowaniu prognoz aktywności. Prognozy pochłaniania dotyczą wyłącznie CO</w:t>
      </w:r>
      <w:r w:rsidR="00CC4374" w:rsidRPr="009300D9">
        <w:rPr>
          <w:rFonts w:ascii="Times New Roman" w:hAnsi="Times New Roman" w:cs="Times New Roman"/>
          <w:bCs/>
          <w:sz w:val="24"/>
          <w:szCs w:val="24"/>
          <w:vertAlign w:val="subscript"/>
        </w:rPr>
        <w:t>2</w:t>
      </w:r>
      <w:r w:rsidR="0015626F" w:rsidRPr="009300D9">
        <w:rPr>
          <w:rFonts w:ascii="Times New Roman" w:hAnsi="Times New Roman" w:cs="Times New Roman"/>
          <w:bCs/>
          <w:sz w:val="24"/>
          <w:szCs w:val="24"/>
        </w:rPr>
        <w:t>.</w:t>
      </w:r>
      <w:r w:rsidR="0007638B" w:rsidRPr="009300D9">
        <w:rPr>
          <w:rFonts w:ascii="Times New Roman" w:hAnsi="Times New Roman" w:cs="Times New Roman"/>
          <w:bCs/>
          <w:sz w:val="24"/>
          <w:szCs w:val="24"/>
        </w:rPr>
        <w:t xml:space="preserve"> </w:t>
      </w:r>
    </w:p>
    <w:p w14:paraId="7D899FFD" w14:textId="7012DFAF" w:rsidR="00005A3B" w:rsidRPr="009300D9" w:rsidRDefault="00005A3B"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Projektowane zmiany do </w:t>
      </w:r>
      <w:r w:rsidR="00F06FA3" w:rsidRPr="009300D9">
        <w:rPr>
          <w:rFonts w:ascii="Times New Roman" w:hAnsi="Times New Roman" w:cs="Times New Roman"/>
          <w:bCs/>
          <w:sz w:val="24"/>
          <w:szCs w:val="24"/>
        </w:rPr>
        <w:t xml:space="preserve">ustawy </w:t>
      </w:r>
      <w:r w:rsidRPr="009300D9">
        <w:rPr>
          <w:rFonts w:ascii="Times New Roman" w:hAnsi="Times New Roman" w:cs="Times New Roman"/>
          <w:bCs/>
          <w:sz w:val="24"/>
          <w:szCs w:val="24"/>
        </w:rPr>
        <w:t xml:space="preserve">SZE obejmują także kwestie dotyczące raportowania przez podmioty korzystające ze środowiska do Krajowej bazy. </w:t>
      </w:r>
      <w:r w:rsidRPr="009300D9">
        <w:rPr>
          <w:rFonts w:ascii="Times New Roman" w:eastAsia="Times New Roman" w:hAnsi="Times New Roman" w:cs="Times New Roman"/>
          <w:sz w:val="24"/>
          <w:szCs w:val="24"/>
          <w:lang w:eastAsia="pl-PL"/>
        </w:rPr>
        <w:t>Zgodnie z art. 2 ust. 2 pkt 2 ustawy POŚ, przepisów ustawy nie stosuje się w zakresie ponoszenia opłat w razie prowadzenia działań ratowniczych. W związku z powyższym zwolnione z opłat za korzystanie ze środowiska będzie np. wprowadzanie gazów lub pyłów do powietrza powstałe w trakcie prowadzenia działań ratowniczych. Wyłączenie, o</w:t>
      </w:r>
      <w:r w:rsidR="00407047" w:rsidRPr="009300D9">
        <w:rPr>
          <w:rFonts w:ascii="Times New Roman" w:eastAsia="Times New Roman" w:hAnsi="Times New Roman" w:cs="Times New Roman"/>
          <w:sz w:val="24"/>
          <w:szCs w:val="24"/>
          <w:lang w:eastAsia="pl-PL"/>
        </w:rPr>
        <w:t> </w:t>
      </w:r>
      <w:r w:rsidRPr="009300D9">
        <w:rPr>
          <w:rFonts w:ascii="Times New Roman" w:eastAsia="Times New Roman" w:hAnsi="Times New Roman" w:cs="Times New Roman"/>
          <w:sz w:val="24"/>
          <w:szCs w:val="24"/>
          <w:lang w:eastAsia="pl-PL"/>
        </w:rPr>
        <w:t>którym mowa w ww. przepisie powoduje, że w wykazach za korzystanie ze środowiska nie będą ujęte emisje powstające w trakcie takich działań. Ponieważ zgodnie z art. 285 ust. 3 ustawy POŚ opłatę za wprowadzanie gazów lub pyłów do powietrza ustala się na podstawie wielkości rocznej rzeczywistej emisji, określonej w raporcie, o którym mowa w art. 7 ust. 1 ustawy</w:t>
      </w:r>
      <w:r w:rsidR="00F06FA3" w:rsidRPr="009300D9">
        <w:rPr>
          <w:rFonts w:ascii="Times New Roman" w:eastAsia="Times New Roman" w:hAnsi="Times New Roman" w:cs="Times New Roman"/>
          <w:sz w:val="24"/>
          <w:szCs w:val="24"/>
          <w:lang w:eastAsia="pl-PL"/>
        </w:rPr>
        <w:t xml:space="preserve"> SZE</w:t>
      </w:r>
      <w:r w:rsidRPr="009300D9">
        <w:rPr>
          <w:rFonts w:ascii="Times New Roman" w:eastAsia="Times New Roman" w:hAnsi="Times New Roman" w:cs="Times New Roman"/>
          <w:sz w:val="24"/>
          <w:szCs w:val="24"/>
          <w:lang w:eastAsia="pl-PL"/>
        </w:rPr>
        <w:t xml:space="preserve">, niezbędne jest zapewnienie spójności w podejściu do działań ratowniczych w systemie opłat (wykazach </w:t>
      </w:r>
      <w:proofErr w:type="spellStart"/>
      <w:r w:rsidRPr="009300D9">
        <w:rPr>
          <w:rFonts w:ascii="Times New Roman" w:eastAsia="Times New Roman" w:hAnsi="Times New Roman" w:cs="Times New Roman"/>
          <w:sz w:val="24"/>
          <w:szCs w:val="24"/>
          <w:lang w:eastAsia="pl-PL"/>
        </w:rPr>
        <w:t>opłatowych</w:t>
      </w:r>
      <w:proofErr w:type="spellEnd"/>
      <w:r w:rsidRPr="009300D9">
        <w:rPr>
          <w:rFonts w:ascii="Times New Roman" w:eastAsia="Times New Roman" w:hAnsi="Times New Roman" w:cs="Times New Roman"/>
          <w:sz w:val="24"/>
          <w:szCs w:val="24"/>
          <w:lang w:eastAsia="pl-PL"/>
        </w:rPr>
        <w:t>) i raportowaniu do Krajowej bazy</w:t>
      </w:r>
      <w:r w:rsidR="00F06FA3" w:rsidRPr="009300D9">
        <w:rPr>
          <w:rFonts w:ascii="Times New Roman" w:eastAsia="Times New Roman" w:hAnsi="Times New Roman" w:cs="Times New Roman"/>
          <w:sz w:val="24"/>
          <w:szCs w:val="24"/>
          <w:lang w:eastAsia="pl-PL"/>
        </w:rPr>
        <w:t xml:space="preserve"> </w:t>
      </w:r>
      <w:r w:rsidR="00F06FA3" w:rsidRPr="009300D9">
        <w:rPr>
          <w:rFonts w:ascii="Times New Roman" w:eastAsia="Times New Roman" w:hAnsi="Times New Roman" w:cs="Times New Roman"/>
          <w:sz w:val="24"/>
          <w:szCs w:val="24"/>
          <w:lang w:eastAsia="pl-PL"/>
        </w:rPr>
        <w:br/>
      </w:r>
      <w:r w:rsidR="00F06FA3" w:rsidRPr="009300D9">
        <w:rPr>
          <w:rFonts w:ascii="Times New Roman" w:eastAsia="Times New Roman" w:hAnsi="Times New Roman" w:cs="Times New Roman"/>
          <w:sz w:val="24"/>
          <w:szCs w:val="24"/>
          <w:lang w:eastAsia="pl-PL"/>
        </w:rPr>
        <w:lastRenderedPageBreak/>
        <w:t xml:space="preserve">i </w:t>
      </w:r>
      <w:r w:rsidRPr="009300D9">
        <w:rPr>
          <w:rFonts w:ascii="Times New Roman" w:eastAsia="Times New Roman" w:hAnsi="Times New Roman" w:cs="Times New Roman"/>
          <w:sz w:val="24"/>
          <w:szCs w:val="24"/>
          <w:lang w:eastAsia="pl-PL"/>
        </w:rPr>
        <w:t xml:space="preserve">zapewnienie marszałkowi województwa dostępu do informacji zawartych w tych raportach </w:t>
      </w:r>
      <w:r w:rsidR="00407933"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 xml:space="preserve">w celu weryfikacji prawidłowości naliczonej przez podmiot opłaty za wprowadzanie gazów lub pyłów do powietrza. Ze względu na konieczność wykonania prac technicznych związanych </w:t>
      </w:r>
      <w:r w:rsidR="00407933"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 xml:space="preserve">z udostępnieniem zasobów Krajowej bazy dodatkowym użytkownikom przyjęto, że dostęp dla </w:t>
      </w:r>
      <w:r w:rsidR="00F06FA3" w:rsidRPr="009300D9">
        <w:rPr>
          <w:rFonts w:ascii="Times New Roman" w:eastAsia="Times New Roman" w:hAnsi="Times New Roman" w:cs="Times New Roman"/>
          <w:sz w:val="24"/>
          <w:szCs w:val="24"/>
          <w:lang w:eastAsia="pl-PL"/>
        </w:rPr>
        <w:t>urzędów marszałkowskich</w:t>
      </w:r>
      <w:r w:rsidRPr="009300D9">
        <w:rPr>
          <w:rFonts w:ascii="Times New Roman" w:eastAsia="Times New Roman" w:hAnsi="Times New Roman" w:cs="Times New Roman"/>
          <w:sz w:val="24"/>
          <w:szCs w:val="24"/>
          <w:lang w:eastAsia="pl-PL"/>
        </w:rPr>
        <w:t xml:space="preserve"> ma być zapewniony od 1 stycznia 2022 r. </w:t>
      </w:r>
    </w:p>
    <w:p w14:paraId="420D89E2" w14:textId="0A81D127" w:rsidR="00892FED" w:rsidRPr="009300D9" w:rsidRDefault="00005A3B" w:rsidP="009300D9">
      <w:pPr>
        <w:spacing w:after="12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 xml:space="preserve">W projektowanych przepisach wprowadzono ograniczenia dostępu do Krajowej bazy </w:t>
      </w:r>
      <w:r w:rsidR="00407933"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 xml:space="preserve">w zakresie składanych raportów. Konieczność ograniczenia obowiązku dostępu do danych </w:t>
      </w:r>
      <w:r w:rsidR="00407933"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w Krajowej bazie do 5</w:t>
      </w:r>
      <w:r w:rsidR="00407047" w:rsidRPr="009300D9">
        <w:rPr>
          <w:rFonts w:ascii="Times New Roman" w:eastAsia="Times New Roman" w:hAnsi="Times New Roman" w:cs="Times New Roman"/>
          <w:sz w:val="24"/>
          <w:szCs w:val="24"/>
          <w:lang w:eastAsia="pl-PL"/>
        </w:rPr>
        <w:t> </w:t>
      </w:r>
      <w:r w:rsidRPr="009300D9">
        <w:rPr>
          <w:rFonts w:ascii="Times New Roman" w:eastAsia="Times New Roman" w:hAnsi="Times New Roman" w:cs="Times New Roman"/>
          <w:sz w:val="24"/>
          <w:szCs w:val="24"/>
          <w:lang w:eastAsia="pl-PL"/>
        </w:rPr>
        <w:t xml:space="preserve">lat wynika ze starzenia się technologii, w których wytworzone były aplikacje  umożliwiające zbieranie danych dla poszczególnych lat. Utrzymanie poszczególnych bibliotek programistycznych, aktualizacja starzejących się środowisk powoduje czasochłonny i </w:t>
      </w:r>
      <w:proofErr w:type="spellStart"/>
      <w:r w:rsidRPr="009300D9">
        <w:rPr>
          <w:rFonts w:ascii="Times New Roman" w:eastAsia="Times New Roman" w:hAnsi="Times New Roman" w:cs="Times New Roman"/>
          <w:sz w:val="24"/>
          <w:szCs w:val="24"/>
          <w:lang w:eastAsia="pl-PL"/>
        </w:rPr>
        <w:t>kosztotwórczy</w:t>
      </w:r>
      <w:proofErr w:type="spellEnd"/>
      <w:r w:rsidRPr="009300D9">
        <w:rPr>
          <w:rFonts w:ascii="Times New Roman" w:eastAsia="Times New Roman" w:hAnsi="Times New Roman" w:cs="Times New Roman"/>
          <w:sz w:val="24"/>
          <w:szCs w:val="24"/>
          <w:lang w:eastAsia="pl-PL"/>
        </w:rPr>
        <w:t xml:space="preserve"> nakład pracy programistów oraz administratorów systemów. Część zastosowanych blisko 10 lat temu (pierwszy raport był sporządzany za rok 2010) rozwiązań nie jest dalej rozwijana co finalnie może prowadzić w niedalekiej przyszłości do narażenia ciągłości działania starszych aplikacji lub incydentów bezpieczeństwa danych zawartych </w:t>
      </w:r>
      <w:r w:rsidR="00407933"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w K</w:t>
      </w:r>
      <w:r w:rsidR="00AC1605" w:rsidRPr="009300D9">
        <w:rPr>
          <w:rFonts w:ascii="Times New Roman" w:eastAsia="Times New Roman" w:hAnsi="Times New Roman" w:cs="Times New Roman"/>
          <w:sz w:val="24"/>
          <w:szCs w:val="24"/>
          <w:lang w:eastAsia="pl-PL"/>
        </w:rPr>
        <w:t>rajowej bazie</w:t>
      </w:r>
      <w:r w:rsidRPr="009300D9">
        <w:rPr>
          <w:rFonts w:ascii="Times New Roman" w:eastAsia="Times New Roman" w:hAnsi="Times New Roman" w:cs="Times New Roman"/>
          <w:sz w:val="24"/>
          <w:szCs w:val="24"/>
          <w:lang w:eastAsia="pl-PL"/>
        </w:rPr>
        <w:t xml:space="preserve">. </w:t>
      </w:r>
    </w:p>
    <w:p w14:paraId="33B3B91B" w14:textId="502054DC" w:rsidR="00C403A8" w:rsidRPr="009300D9" w:rsidRDefault="00C403A8" w:rsidP="009300D9">
      <w:pPr>
        <w:spacing w:line="276" w:lineRule="auto"/>
        <w:jc w:val="both"/>
        <w:rPr>
          <w:rFonts w:ascii="Times New Roman" w:eastAsia="Times New Roman" w:hAnsi="Times New Roman" w:cs="Times New Roman"/>
          <w:sz w:val="24"/>
          <w:szCs w:val="24"/>
          <w:lang w:eastAsia="pl-PL"/>
        </w:rPr>
      </w:pPr>
      <w:r w:rsidRPr="009300D9">
        <w:rPr>
          <w:rFonts w:ascii="Times New Roman" w:hAnsi="Times New Roman" w:cs="Times New Roman"/>
          <w:sz w:val="24"/>
          <w:szCs w:val="24"/>
        </w:rPr>
        <w:t xml:space="preserve">Zmiany zaproponowane  w art. 16e ust. 1 ustawy </w:t>
      </w:r>
      <w:r w:rsidR="00AC1605" w:rsidRPr="009300D9">
        <w:rPr>
          <w:rFonts w:ascii="Times New Roman" w:hAnsi="Times New Roman" w:cs="Times New Roman"/>
          <w:sz w:val="24"/>
          <w:szCs w:val="24"/>
        </w:rPr>
        <w:t>SZE</w:t>
      </w:r>
      <w:r w:rsidRPr="009300D9">
        <w:rPr>
          <w:rFonts w:ascii="Times New Roman" w:hAnsi="Times New Roman" w:cs="Times New Roman"/>
          <w:sz w:val="24"/>
          <w:szCs w:val="24"/>
        </w:rPr>
        <w:t xml:space="preserve"> polegają </w:t>
      </w:r>
      <w:r w:rsidR="00056C42" w:rsidRPr="009300D9">
        <w:rPr>
          <w:rFonts w:ascii="Times New Roman" w:hAnsi="Times New Roman" w:cs="Times New Roman"/>
          <w:sz w:val="24"/>
          <w:szCs w:val="24"/>
        </w:rPr>
        <w:t>także</w:t>
      </w:r>
      <w:r w:rsidRPr="009300D9">
        <w:rPr>
          <w:rFonts w:ascii="Times New Roman" w:hAnsi="Times New Roman" w:cs="Times New Roman"/>
          <w:sz w:val="24"/>
          <w:szCs w:val="24"/>
        </w:rPr>
        <w:t xml:space="preserve"> na dodaniu do wykazu ministrów zobligowanych do przekazywania ministrowi właściwemu ds. klimatu niezbędnych informacji, ministra właściwego do spraw gospodarki złożami kopalin oraz minister właściwego do spraw środowiska. Konieczność zmiany brzmienia przepisu wynika ze zmian w ustawie o działach administracji rządowej wprowadzonych ustawą z dnia 23 stycznia 2020 r. o zmianie ustawy o działach administracji rządowej oraz niektórych innych ustaw (Dz. U. poz. 284) i wydzieleniu odrębnego działu gospodarki złożami kopalin oraz działu klimat.</w:t>
      </w:r>
    </w:p>
    <w:p w14:paraId="2923D0E6" w14:textId="359229EC" w:rsidR="00BE0FD4" w:rsidRPr="009300D9" w:rsidRDefault="00BE0FD4" w:rsidP="009300D9">
      <w:pPr>
        <w:spacing w:after="12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Kolejnym celem przedmiotowej nowelizacji jest zabezpieczenie umów sprzedaży jednostek przyznanej emisji przed wglądem osób nieuprawnionych. Możliwość udostępniania ww. umów w trybie ustawy z</w:t>
      </w:r>
      <w:r w:rsidR="00407047" w:rsidRPr="009300D9">
        <w:rPr>
          <w:rFonts w:ascii="Times New Roman" w:eastAsia="Times New Roman" w:hAnsi="Times New Roman" w:cs="Times New Roman"/>
          <w:sz w:val="24"/>
          <w:szCs w:val="24"/>
          <w:lang w:eastAsia="pl-PL"/>
        </w:rPr>
        <w:t> </w:t>
      </w:r>
      <w:r w:rsidRPr="009300D9">
        <w:rPr>
          <w:rFonts w:ascii="Times New Roman" w:eastAsia="Times New Roman" w:hAnsi="Times New Roman" w:cs="Times New Roman"/>
          <w:sz w:val="24"/>
          <w:szCs w:val="24"/>
          <w:lang w:eastAsia="pl-PL"/>
        </w:rPr>
        <w:t>dnia 6 września 2001 r. o dostępie do informacji publicznej (</w:t>
      </w:r>
      <w:proofErr w:type="spellStart"/>
      <w:r w:rsidRPr="009300D9">
        <w:rPr>
          <w:rFonts w:ascii="Times New Roman" w:eastAsia="Times New Roman" w:hAnsi="Times New Roman" w:cs="Times New Roman"/>
          <w:sz w:val="24"/>
          <w:szCs w:val="24"/>
          <w:lang w:eastAsia="pl-PL"/>
        </w:rPr>
        <w:t>Dz.U</w:t>
      </w:r>
      <w:proofErr w:type="spellEnd"/>
      <w:r w:rsidRPr="009300D9">
        <w:rPr>
          <w:rFonts w:ascii="Times New Roman" w:eastAsia="Times New Roman" w:hAnsi="Times New Roman" w:cs="Times New Roman"/>
          <w:sz w:val="24"/>
          <w:szCs w:val="24"/>
          <w:lang w:eastAsia="pl-PL"/>
        </w:rPr>
        <w:t xml:space="preserve">. Nr 112, poz. 1198 z </w:t>
      </w:r>
      <w:proofErr w:type="spellStart"/>
      <w:r w:rsidRPr="009300D9">
        <w:rPr>
          <w:rFonts w:ascii="Times New Roman" w:eastAsia="Times New Roman" w:hAnsi="Times New Roman" w:cs="Times New Roman"/>
          <w:sz w:val="24"/>
          <w:szCs w:val="24"/>
          <w:lang w:eastAsia="pl-PL"/>
        </w:rPr>
        <w:t>późn</w:t>
      </w:r>
      <w:proofErr w:type="spellEnd"/>
      <w:r w:rsidRPr="009300D9">
        <w:rPr>
          <w:rFonts w:ascii="Times New Roman" w:eastAsia="Times New Roman" w:hAnsi="Times New Roman" w:cs="Times New Roman"/>
          <w:sz w:val="24"/>
          <w:szCs w:val="24"/>
          <w:lang w:eastAsia="pl-PL"/>
        </w:rPr>
        <w:t>. zm.) i</w:t>
      </w:r>
      <w:r w:rsidR="00407047" w:rsidRPr="009300D9">
        <w:rPr>
          <w:rFonts w:ascii="Times New Roman" w:eastAsia="Times New Roman" w:hAnsi="Times New Roman" w:cs="Times New Roman"/>
          <w:sz w:val="24"/>
          <w:szCs w:val="24"/>
          <w:lang w:eastAsia="pl-PL"/>
        </w:rPr>
        <w:t> </w:t>
      </w:r>
      <w:r w:rsidRPr="009300D9">
        <w:rPr>
          <w:rFonts w:ascii="Times New Roman" w:eastAsia="Times New Roman" w:hAnsi="Times New Roman" w:cs="Times New Roman"/>
          <w:sz w:val="24"/>
          <w:szCs w:val="24"/>
          <w:lang w:eastAsia="pl-PL"/>
        </w:rPr>
        <w:t xml:space="preserve">w trybie ustawy z dnia 3 października 2008 r. o udostępnianiu informacji o środowisku i jego ochronie, udziale społeczeństwa w ochronie środowiska oraz </w:t>
      </w:r>
      <w:r w:rsidR="003F1D27"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o ocenach oddziaływania na środowisko (</w:t>
      </w:r>
      <w:proofErr w:type="spellStart"/>
      <w:r w:rsidRPr="009300D9">
        <w:rPr>
          <w:rFonts w:ascii="Times New Roman" w:eastAsia="Times New Roman" w:hAnsi="Times New Roman" w:cs="Times New Roman"/>
          <w:sz w:val="24"/>
          <w:szCs w:val="24"/>
          <w:lang w:eastAsia="pl-PL"/>
        </w:rPr>
        <w:t>Dz.U</w:t>
      </w:r>
      <w:proofErr w:type="spellEnd"/>
      <w:r w:rsidRPr="009300D9">
        <w:rPr>
          <w:rFonts w:ascii="Times New Roman" w:eastAsia="Times New Roman" w:hAnsi="Times New Roman" w:cs="Times New Roman"/>
          <w:sz w:val="24"/>
          <w:szCs w:val="24"/>
          <w:lang w:eastAsia="pl-PL"/>
        </w:rPr>
        <w:t xml:space="preserve">. Nr 199, poz. 1227 z </w:t>
      </w:r>
      <w:proofErr w:type="spellStart"/>
      <w:r w:rsidRPr="009300D9">
        <w:rPr>
          <w:rFonts w:ascii="Times New Roman" w:eastAsia="Times New Roman" w:hAnsi="Times New Roman" w:cs="Times New Roman"/>
          <w:sz w:val="24"/>
          <w:szCs w:val="24"/>
          <w:lang w:eastAsia="pl-PL"/>
        </w:rPr>
        <w:t>późn</w:t>
      </w:r>
      <w:proofErr w:type="spellEnd"/>
      <w:r w:rsidRPr="009300D9">
        <w:rPr>
          <w:rFonts w:ascii="Times New Roman" w:eastAsia="Times New Roman" w:hAnsi="Times New Roman" w:cs="Times New Roman"/>
          <w:sz w:val="24"/>
          <w:szCs w:val="24"/>
          <w:lang w:eastAsia="pl-PL"/>
        </w:rPr>
        <w:t xml:space="preserve">. zm.) spowoduje, że Skarb Państwa straci kontrolę nad tym kto, w jakim sposób i w jakim celu wykorzystuje informacje w nich zawarte. Może to doprowadzić do niewłaściwego ich wykorzystania, </w:t>
      </w:r>
      <w:r w:rsidR="003F1D27"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co narazi Skarb Państwa na potencjalne kary i utratę wiarygodności na arenie międzynarodowej. Konsekwencją mogą być trudności w prowadzeniu negocjacji oraz zawieraniu innych umów o charakterze międzynarodowym.</w:t>
      </w:r>
    </w:p>
    <w:p w14:paraId="6CD28083" w14:textId="2EDFC3A1" w:rsidR="00C403A8" w:rsidRPr="009300D9" w:rsidRDefault="00C403A8" w:rsidP="009300D9">
      <w:pPr>
        <w:spacing w:after="120" w:line="276" w:lineRule="auto"/>
        <w:jc w:val="both"/>
        <w:rPr>
          <w:rFonts w:ascii="Times New Roman" w:hAnsi="Times New Roman" w:cs="Times New Roman"/>
          <w:bCs/>
          <w:sz w:val="24"/>
          <w:szCs w:val="24"/>
        </w:rPr>
      </w:pPr>
      <w:r w:rsidRPr="009300D9">
        <w:rPr>
          <w:rFonts w:ascii="Times New Roman" w:hAnsi="Times New Roman" w:cs="Times New Roman"/>
          <w:bCs/>
          <w:sz w:val="24"/>
          <w:szCs w:val="24"/>
        </w:rPr>
        <w:t xml:space="preserve">Konsekwencją wprowadzenia do projektowanej ustawy przepisów dotyczących Funduszu jest konieczność wprowadzenia zmian w ustawie POŚ. Wprowadzone zmiany dotyczą powierzenia </w:t>
      </w:r>
      <w:proofErr w:type="spellStart"/>
      <w:r w:rsidRPr="009300D9">
        <w:rPr>
          <w:rFonts w:ascii="Times New Roman" w:hAnsi="Times New Roman" w:cs="Times New Roman"/>
          <w:bCs/>
          <w:sz w:val="24"/>
          <w:szCs w:val="24"/>
        </w:rPr>
        <w:t>NFOŚiGW</w:t>
      </w:r>
      <w:proofErr w:type="spellEnd"/>
      <w:r w:rsidRPr="009300D9">
        <w:rPr>
          <w:rFonts w:ascii="Times New Roman" w:hAnsi="Times New Roman" w:cs="Times New Roman"/>
          <w:bCs/>
          <w:sz w:val="24"/>
          <w:szCs w:val="24"/>
        </w:rPr>
        <w:t xml:space="preserve"> zadań Krajowego operatora Funduszu, możliwości powierzenia przez Krajowego operatora części zadań wojewódzkim funduszom ochrony środowiska i gospodarki wodnej na podstawie porozumienia. Dodatkowo wskazano, że przychodami </w:t>
      </w:r>
      <w:proofErr w:type="spellStart"/>
      <w:r w:rsidR="00AC1605" w:rsidRPr="009300D9">
        <w:rPr>
          <w:rFonts w:ascii="Times New Roman" w:hAnsi="Times New Roman" w:cs="Times New Roman"/>
          <w:bCs/>
          <w:sz w:val="24"/>
          <w:szCs w:val="24"/>
        </w:rPr>
        <w:t>NFOŚiGW</w:t>
      </w:r>
      <w:proofErr w:type="spellEnd"/>
      <w:r w:rsidR="00AC1605" w:rsidRPr="009300D9">
        <w:rPr>
          <w:rFonts w:ascii="Times New Roman" w:hAnsi="Times New Roman" w:cs="Times New Roman"/>
          <w:bCs/>
          <w:sz w:val="24"/>
          <w:szCs w:val="24"/>
        </w:rPr>
        <w:t xml:space="preserve"> </w:t>
      </w:r>
      <w:r w:rsidRPr="009300D9">
        <w:rPr>
          <w:rFonts w:ascii="Times New Roman" w:hAnsi="Times New Roman" w:cs="Times New Roman"/>
          <w:bCs/>
          <w:sz w:val="24"/>
          <w:szCs w:val="24"/>
        </w:rPr>
        <w:t>są środki uzyskane z Funduszu, o których mowa w art. 50a ust. 1 ustawy</w:t>
      </w:r>
      <w:r w:rsidR="00AC1605" w:rsidRPr="009300D9">
        <w:rPr>
          <w:rFonts w:ascii="Times New Roman" w:hAnsi="Times New Roman" w:cs="Times New Roman"/>
          <w:bCs/>
          <w:sz w:val="24"/>
          <w:szCs w:val="24"/>
        </w:rPr>
        <w:t xml:space="preserve"> ETS</w:t>
      </w:r>
      <w:r w:rsidRPr="009300D9">
        <w:rPr>
          <w:rFonts w:ascii="Times New Roman" w:hAnsi="Times New Roman" w:cs="Times New Roman"/>
          <w:bCs/>
          <w:sz w:val="24"/>
          <w:szCs w:val="24"/>
        </w:rPr>
        <w:t xml:space="preserve">. </w:t>
      </w:r>
    </w:p>
    <w:p w14:paraId="62990F0F" w14:textId="6F181A0B"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Poza zmianami dotyczącymi utworzenia i zasad funkcjonowania Krajowego systemu wdrażania Funduszu wprowadza się dwie zmiany w ustawie POŚ, umożliwiające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00AC1605" w:rsidRPr="009300D9">
        <w:rPr>
          <w:rFonts w:ascii="Times New Roman" w:hAnsi="Times New Roman" w:cs="Times New Roman"/>
          <w:sz w:val="24"/>
          <w:szCs w:val="24"/>
        </w:rPr>
        <w:t xml:space="preserve"> </w:t>
      </w:r>
      <w:r w:rsidRPr="009300D9">
        <w:rPr>
          <w:rFonts w:ascii="Times New Roman" w:hAnsi="Times New Roman" w:cs="Times New Roman"/>
          <w:sz w:val="24"/>
          <w:szCs w:val="24"/>
        </w:rPr>
        <w:t>pełnienie:</w:t>
      </w:r>
    </w:p>
    <w:p w14:paraId="24E39AD4" w14:textId="77777777" w:rsidR="00C403A8" w:rsidRPr="009300D9" w:rsidRDefault="00C403A8" w:rsidP="009300D9">
      <w:pPr>
        <w:numPr>
          <w:ilvl w:val="0"/>
          <w:numId w:val="8"/>
        </w:num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lastRenderedPageBreak/>
        <w:t xml:space="preserve">roli podmiotu wdrażającego środki finansowe Unii Europejskiej metodą zarządzania pośredniego, </w:t>
      </w:r>
    </w:p>
    <w:p w14:paraId="4AB76B77" w14:textId="77777777" w:rsidR="00C403A8" w:rsidRPr="009300D9" w:rsidRDefault="00C403A8" w:rsidP="009300D9">
      <w:pPr>
        <w:numPr>
          <w:ilvl w:val="0"/>
          <w:numId w:val="8"/>
        </w:num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funkcji wykonawczej, zarządzającej lub wspomagającej przy międzynarodowej organizacji, instytucji, programie lub funduszu, zapewniających funkcjonowanie mechanizmów finansowych służących realizacji celów Konwencji Klimatycznej.</w:t>
      </w:r>
    </w:p>
    <w:p w14:paraId="79A293C3" w14:textId="04E1A875" w:rsidR="00C403A8" w:rsidRPr="009300D9" w:rsidRDefault="00C403A8" w:rsidP="009300D9">
      <w:pPr>
        <w:spacing w:after="120" w:line="276" w:lineRule="auto"/>
        <w:jc w:val="both"/>
        <w:rPr>
          <w:rFonts w:ascii="Times New Roman" w:hAnsi="Times New Roman" w:cs="Times New Roman"/>
          <w:sz w:val="24"/>
          <w:szCs w:val="24"/>
        </w:rPr>
      </w:pP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jest państwową osobą prawną zaliczoną do jednostek sektora finansów publicznych, która pełni rolę instytucji ochrony środowiska. Zadania ustawowe </w:t>
      </w:r>
      <w:proofErr w:type="spellStart"/>
      <w:r w:rsidR="00AC1605" w:rsidRPr="009300D9">
        <w:rPr>
          <w:rFonts w:ascii="Times New Roman" w:hAnsi="Times New Roman" w:cs="Times New Roman"/>
          <w:sz w:val="24"/>
          <w:szCs w:val="24"/>
        </w:rPr>
        <w:t>NFOŚiGW</w:t>
      </w:r>
      <w:proofErr w:type="spellEnd"/>
      <w:r w:rsidR="00AC1605" w:rsidRPr="009300D9">
        <w:rPr>
          <w:rFonts w:ascii="Times New Roman" w:hAnsi="Times New Roman" w:cs="Times New Roman"/>
          <w:sz w:val="24"/>
          <w:szCs w:val="24"/>
        </w:rPr>
        <w:t xml:space="preserve"> </w:t>
      </w:r>
      <w:r w:rsidRPr="009300D9">
        <w:rPr>
          <w:rFonts w:ascii="Times New Roman" w:hAnsi="Times New Roman" w:cs="Times New Roman"/>
          <w:sz w:val="24"/>
          <w:szCs w:val="24"/>
        </w:rPr>
        <w:t>obejmują udzielanie dofinansowania na działania proekologiczne w jednej z form wskazanych w art. 411 ust. 1 ustawy Prawo ochrony środowiska oraz tworzenie warunków do wdrażania finansowania ochrony środowiska i gospodarki wodnej, w szczególności poprzez zapewnienie wsparcia działaniom służącym temu wdrażaniu oraz jego promocję, a także poprzez współpracę z innymi podmiotami, w tym z jednostkami samorządu terytorialnego, przedsiębiorcami oraz podmiotami mającymi siedzibę poza granicami Rzeczypospolitej Polskiej.</w:t>
      </w:r>
    </w:p>
    <w:p w14:paraId="6D0B9061" w14:textId="77777777"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Ustawa POŚ w obecnym brzmieniu wskazuje </w:t>
      </w:r>
      <w:proofErr w:type="spellStart"/>
      <w:r w:rsidRPr="009300D9">
        <w:rPr>
          <w:rFonts w:ascii="Times New Roman" w:hAnsi="Times New Roman" w:cs="Times New Roman"/>
          <w:sz w:val="24"/>
          <w:szCs w:val="24"/>
        </w:rPr>
        <w:t>NFOŚiGW</w:t>
      </w:r>
      <w:proofErr w:type="spellEnd"/>
      <w:r w:rsidRPr="009300D9">
        <w:rPr>
          <w:rFonts w:ascii="Times New Roman" w:hAnsi="Times New Roman" w:cs="Times New Roman"/>
          <w:sz w:val="24"/>
          <w:szCs w:val="24"/>
        </w:rPr>
        <w:t xml:space="preserve"> jako instytucję finansową, o której mowa w art. 38 ust. 4 lit. b pkt (ii)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oraz umożliwia pełnienie roli podmiotu wdrażającego instrument finansowy lub fundusz funduszy.</w:t>
      </w:r>
    </w:p>
    <w:p w14:paraId="6FAED2D8" w14:textId="3014E4E4"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Przepisem umożliwiającym obecnie działanie </w:t>
      </w:r>
      <w:proofErr w:type="spellStart"/>
      <w:r w:rsidRPr="009300D9">
        <w:rPr>
          <w:rFonts w:ascii="Times New Roman" w:hAnsi="Times New Roman" w:cs="Times New Roman"/>
          <w:sz w:val="24"/>
          <w:szCs w:val="24"/>
        </w:rPr>
        <w:t>NFOŚiGW</w:t>
      </w:r>
      <w:proofErr w:type="spellEnd"/>
      <w:r w:rsidRPr="009300D9">
        <w:rPr>
          <w:rFonts w:ascii="Times New Roman" w:hAnsi="Times New Roman" w:cs="Times New Roman"/>
          <w:sz w:val="24"/>
          <w:szCs w:val="24"/>
        </w:rPr>
        <w:t xml:space="preserve"> poza granicami R</w:t>
      </w:r>
      <w:r w:rsidR="003F1D27" w:rsidRPr="009300D9">
        <w:rPr>
          <w:rFonts w:ascii="Times New Roman" w:hAnsi="Times New Roman" w:cs="Times New Roman"/>
          <w:sz w:val="24"/>
          <w:szCs w:val="24"/>
        </w:rPr>
        <w:t xml:space="preserve">zeczypospolitej </w:t>
      </w:r>
      <w:r w:rsidRPr="009300D9">
        <w:rPr>
          <w:rFonts w:ascii="Times New Roman" w:hAnsi="Times New Roman" w:cs="Times New Roman"/>
          <w:sz w:val="24"/>
          <w:szCs w:val="24"/>
        </w:rPr>
        <w:t>P</w:t>
      </w:r>
      <w:r w:rsidR="003F1D27" w:rsidRPr="009300D9">
        <w:rPr>
          <w:rFonts w:ascii="Times New Roman" w:hAnsi="Times New Roman" w:cs="Times New Roman"/>
          <w:sz w:val="24"/>
          <w:szCs w:val="24"/>
        </w:rPr>
        <w:t>olskiej</w:t>
      </w:r>
      <w:r w:rsidRPr="009300D9">
        <w:rPr>
          <w:rFonts w:ascii="Times New Roman" w:hAnsi="Times New Roman" w:cs="Times New Roman"/>
          <w:sz w:val="24"/>
          <w:szCs w:val="24"/>
        </w:rPr>
        <w:t xml:space="preserve"> jest art. 410d ustawy POŚ, zgodnie z którym środki </w:t>
      </w:r>
      <w:proofErr w:type="spellStart"/>
      <w:r w:rsidR="00AC1605" w:rsidRPr="009300D9">
        <w:rPr>
          <w:rFonts w:ascii="Times New Roman" w:hAnsi="Times New Roman" w:cs="Times New Roman"/>
          <w:sz w:val="24"/>
          <w:szCs w:val="24"/>
        </w:rPr>
        <w:t>NFOŚiGW</w:t>
      </w:r>
      <w:proofErr w:type="spellEnd"/>
      <w:r w:rsidR="00AC1605" w:rsidRPr="009300D9">
        <w:rPr>
          <w:rFonts w:ascii="Times New Roman" w:hAnsi="Times New Roman" w:cs="Times New Roman"/>
          <w:sz w:val="24"/>
          <w:szCs w:val="24"/>
        </w:rPr>
        <w:t xml:space="preserve"> </w:t>
      </w:r>
      <w:r w:rsidRPr="009300D9">
        <w:rPr>
          <w:rFonts w:ascii="Times New Roman" w:hAnsi="Times New Roman" w:cs="Times New Roman"/>
          <w:sz w:val="24"/>
          <w:szCs w:val="24"/>
        </w:rPr>
        <w:t>można przeznaczać za zgodą ministra właściwego do spraw klimatu na wspieranie projektów i inwestycji z zakresu ochrony środowiska i gospodarki wodnej poza granicami kraju, jeżeli ma to związek z bezpieczeństwem ekologicznym Rzeczypospolitej Polskiej, z zastrzeżeniem art. 410e ustawy POŚ.</w:t>
      </w:r>
    </w:p>
    <w:p w14:paraId="20DBA12E" w14:textId="1D06C237"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Mając na uwadze postawione przed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zadania w zakresie finansowania ochrony środowiska i gospodarki wodnej, jak również doświadczenie związane z wdrażaniem przez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funduszy strukturalnych oraz wykonywanie funkcji instytucji wdrażającej Program Operacyjny Infrastruktura i Środowiska, zasadne jest rozszerzenie ustawowych kompetencji Narodowego Funduszu poprzez wskazanie, iż może on pełnić rolę podmiotu wdrażającego budżet Unii Europejskiej metodą zarządzania pośredniego. Metoda ta, określona jest obecnie w art. 62 ust. 1 akapit pierwszy lit. c rozporządzenia Parlamentu Europejskiego i Rady (UE, </w:t>
      </w:r>
      <w:proofErr w:type="spellStart"/>
      <w:r w:rsidRPr="009300D9">
        <w:rPr>
          <w:rFonts w:ascii="Times New Roman" w:hAnsi="Times New Roman" w:cs="Times New Roman"/>
          <w:sz w:val="24"/>
          <w:szCs w:val="24"/>
        </w:rPr>
        <w:t>Euratom</w:t>
      </w:r>
      <w:proofErr w:type="spellEnd"/>
      <w:r w:rsidRPr="009300D9">
        <w:rPr>
          <w:rFonts w:ascii="Times New Roman" w:hAnsi="Times New Roman" w:cs="Times New Roman"/>
          <w:sz w:val="24"/>
          <w:szCs w:val="24"/>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9300D9">
        <w:rPr>
          <w:rFonts w:ascii="Times New Roman" w:hAnsi="Times New Roman" w:cs="Times New Roman"/>
          <w:sz w:val="24"/>
          <w:szCs w:val="24"/>
        </w:rPr>
        <w:t>Euratom</w:t>
      </w:r>
      <w:proofErr w:type="spellEnd"/>
      <w:r w:rsidRPr="009300D9">
        <w:rPr>
          <w:rFonts w:ascii="Times New Roman" w:hAnsi="Times New Roman" w:cs="Times New Roman"/>
          <w:sz w:val="24"/>
          <w:szCs w:val="24"/>
        </w:rPr>
        <w:t xml:space="preserve">) nr 966/2012 (Ogólne rozporządzenie finansowe). </w:t>
      </w:r>
      <w:proofErr w:type="spellStart"/>
      <w:r w:rsidRPr="009300D9">
        <w:rPr>
          <w:rFonts w:ascii="Times New Roman" w:hAnsi="Times New Roman" w:cs="Times New Roman"/>
          <w:sz w:val="24"/>
          <w:szCs w:val="24"/>
        </w:rPr>
        <w:lastRenderedPageBreak/>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w razie uzyskania pozytywnej oceny w ramach procesu </w:t>
      </w:r>
      <w:proofErr w:type="spellStart"/>
      <w:r w:rsidRPr="009300D9">
        <w:rPr>
          <w:rFonts w:ascii="Times New Roman" w:hAnsi="Times New Roman" w:cs="Times New Roman"/>
          <w:sz w:val="24"/>
          <w:szCs w:val="24"/>
        </w:rPr>
        <w:t>pillar</w:t>
      </w:r>
      <w:proofErr w:type="spellEnd"/>
      <w:r w:rsidRPr="009300D9">
        <w:rPr>
          <w:rFonts w:ascii="Times New Roman" w:hAnsi="Times New Roman" w:cs="Times New Roman"/>
          <w:sz w:val="24"/>
          <w:szCs w:val="24"/>
        </w:rPr>
        <w:t xml:space="preserve"> </w:t>
      </w:r>
      <w:proofErr w:type="spellStart"/>
      <w:r w:rsidRPr="009300D9">
        <w:rPr>
          <w:rFonts w:ascii="Times New Roman" w:hAnsi="Times New Roman" w:cs="Times New Roman"/>
          <w:sz w:val="24"/>
          <w:szCs w:val="24"/>
        </w:rPr>
        <w:t>assessment</w:t>
      </w:r>
      <w:proofErr w:type="spellEnd"/>
      <w:r w:rsidRPr="009300D9">
        <w:rPr>
          <w:rFonts w:ascii="Times New Roman" w:hAnsi="Times New Roman" w:cs="Times New Roman"/>
          <w:sz w:val="24"/>
          <w:szCs w:val="24"/>
        </w:rPr>
        <w:t xml:space="preserve"> byłby uprawniony do zawarcia umowy z Komisją Europejską celem wdrażania środków finansowych Unii Europejskiej, w tym poza granicami RP, realizując cele proekologiczne dla całej Unii Europejskiej.</w:t>
      </w:r>
    </w:p>
    <w:p w14:paraId="24C32D2A" w14:textId="2C9DC231"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Ustawa umożliwia również przekazywanie środków</w:t>
      </w:r>
      <w:r w:rsidR="00AC1605" w:rsidRPr="009300D9">
        <w:rPr>
          <w:rFonts w:ascii="Times New Roman" w:hAnsi="Times New Roman" w:cs="Times New Roman"/>
          <w:sz w:val="24"/>
          <w:szCs w:val="24"/>
        </w:rPr>
        <w:t xml:space="preserve"> </w:t>
      </w:r>
      <w:proofErr w:type="spellStart"/>
      <w:r w:rsidR="00AC1605" w:rsidRPr="009300D9">
        <w:rPr>
          <w:rFonts w:ascii="Times New Roman" w:hAnsi="Times New Roman" w:cs="Times New Roman"/>
          <w:sz w:val="24"/>
          <w:szCs w:val="24"/>
        </w:rPr>
        <w:t>NFOŚiGW</w:t>
      </w:r>
      <w:proofErr w:type="spellEnd"/>
      <w:r w:rsidRPr="009300D9">
        <w:rPr>
          <w:rFonts w:ascii="Times New Roman" w:hAnsi="Times New Roman" w:cs="Times New Roman"/>
          <w:sz w:val="24"/>
          <w:szCs w:val="24"/>
        </w:rPr>
        <w:t>, z wyłączeniem środków wskazanych w art. 401 ust. 7 oraz niebędących wpływami pochodzącymi ze sprzedaży jednostek przyznanej emisji gromadzonymi na Rachunku klimatycznym, o którym mowa w art. 23 ust. 1 ustawy</w:t>
      </w:r>
      <w:r w:rsidR="00AC1605" w:rsidRPr="009300D9">
        <w:rPr>
          <w:rFonts w:ascii="Times New Roman" w:hAnsi="Times New Roman" w:cs="Times New Roman"/>
          <w:sz w:val="24"/>
          <w:szCs w:val="24"/>
        </w:rPr>
        <w:t xml:space="preserve"> SZE</w:t>
      </w:r>
      <w:r w:rsidRPr="009300D9">
        <w:rPr>
          <w:rFonts w:ascii="Times New Roman" w:hAnsi="Times New Roman" w:cs="Times New Roman"/>
          <w:sz w:val="24"/>
          <w:szCs w:val="24"/>
        </w:rPr>
        <w:t xml:space="preserve">, na udzielanie pomocy w ramach międzynarodowej współpracy na rzecz rozwoju państwom niewymienionym w załączniku I do Konwencji Klimatycznej, jak również na dokonywanie wpłat na rzecz międzynarodowych organizacji, instytucji, programów </w:t>
      </w:r>
      <w:r w:rsidR="003F1D27" w:rsidRPr="009300D9">
        <w:rPr>
          <w:rFonts w:ascii="Times New Roman" w:hAnsi="Times New Roman" w:cs="Times New Roman"/>
          <w:sz w:val="24"/>
          <w:szCs w:val="24"/>
        </w:rPr>
        <w:br/>
      </w:r>
      <w:r w:rsidRPr="009300D9">
        <w:rPr>
          <w:rFonts w:ascii="Times New Roman" w:hAnsi="Times New Roman" w:cs="Times New Roman"/>
          <w:sz w:val="24"/>
          <w:szCs w:val="24"/>
        </w:rPr>
        <w:t>i funduszy, celem wsparcia projektów i inwestycji z zakresu:</w:t>
      </w:r>
    </w:p>
    <w:p w14:paraId="6EA87AB9" w14:textId="77777777"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1) ograniczania lub unikania emisji gazów cieplarnianych;</w:t>
      </w:r>
    </w:p>
    <w:p w14:paraId="5078FC93" w14:textId="77777777"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2) pochłaniania lub sekwestracji dwutlenku węgla (CO</w:t>
      </w:r>
      <w:r w:rsidRPr="009300D9">
        <w:rPr>
          <w:rFonts w:ascii="Times New Roman" w:hAnsi="Times New Roman" w:cs="Times New Roman"/>
          <w:sz w:val="24"/>
          <w:szCs w:val="24"/>
          <w:vertAlign w:val="subscript"/>
        </w:rPr>
        <w:t>2</w:t>
      </w:r>
      <w:r w:rsidRPr="009300D9">
        <w:rPr>
          <w:rFonts w:ascii="Times New Roman" w:hAnsi="Times New Roman" w:cs="Times New Roman"/>
          <w:sz w:val="24"/>
          <w:szCs w:val="24"/>
        </w:rPr>
        <w:t>);</w:t>
      </w:r>
    </w:p>
    <w:p w14:paraId="4C7E667F" w14:textId="77777777"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3) adaptacji do zmian klimatu;</w:t>
      </w:r>
    </w:p>
    <w:p w14:paraId="282F00D6" w14:textId="77777777" w:rsidR="00C403A8"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4) wzmocnienia instytucjonalnego.</w:t>
      </w:r>
    </w:p>
    <w:p w14:paraId="43AA7E9C" w14:textId="369F1AB2" w:rsidR="00D37276" w:rsidRPr="009300D9" w:rsidRDefault="00C403A8"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Celem uzupełnienia powyższych zadań, ustawa wprowadza przepis kompetencyjny, który umożliwi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pełnienie funkcji wdrażających lub wspomagających funkcjonowanie mechanizmów finansowych służących realizacji celów Konwencji Klimatycznej, w tym funkcji podmiotu akredytowanego przy Zielonym Funduszu Klimatycznym. Realizacja przez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celów klimatycznych i międzynarodowych Rzeczpospolitej Polskiej w ramach wskazanych funkcji gwarantowana będzie zgodą ministra właściwego do spraw klimatu, którego działanie w tym zakresie podlegać będzie ocenie przez ministra właściwego do spraw zagranicznych w ramach opiniowania rocznych i wieloletnich planów współpracy zagranicznej. Podstawą wykonywania przez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zadań </w:t>
      </w:r>
      <w:proofErr w:type="spellStart"/>
      <w:r w:rsidRPr="009300D9">
        <w:rPr>
          <w:rFonts w:ascii="Times New Roman" w:hAnsi="Times New Roman" w:cs="Times New Roman"/>
          <w:sz w:val="24"/>
          <w:szCs w:val="24"/>
        </w:rPr>
        <w:t>zapewniającychfunkcjonowanie</w:t>
      </w:r>
      <w:proofErr w:type="spellEnd"/>
      <w:r w:rsidRPr="009300D9">
        <w:rPr>
          <w:rFonts w:ascii="Times New Roman" w:hAnsi="Times New Roman" w:cs="Times New Roman"/>
          <w:sz w:val="24"/>
          <w:szCs w:val="24"/>
        </w:rPr>
        <w:t xml:space="preserve"> mechanizmów finansowych służących realizacji celów Konwencji Klimatycznej będą umowy, porozumienia lub inne właściwe dla danego mechanizmu akty prawne, a także właściwe dla danego mechanizmu procedury, które określać będą zakres zadań i obowiązków </w:t>
      </w:r>
      <w:proofErr w:type="spellStart"/>
      <w:r w:rsidRPr="009300D9">
        <w:rPr>
          <w:rFonts w:ascii="Times New Roman" w:hAnsi="Times New Roman" w:cs="Times New Roman"/>
          <w:sz w:val="24"/>
          <w:szCs w:val="24"/>
        </w:rPr>
        <w:t>NFOŚiGW</w:t>
      </w:r>
      <w:proofErr w:type="spellEnd"/>
      <w:r w:rsidRPr="009300D9">
        <w:rPr>
          <w:rFonts w:ascii="Times New Roman" w:hAnsi="Times New Roman" w:cs="Times New Roman"/>
          <w:sz w:val="24"/>
          <w:szCs w:val="24"/>
        </w:rPr>
        <w:t xml:space="preserve">, w tym sposób pokrywania ze środków tego mechanizmu wyłącznie tych kosztów, które okażą się niezbędne do wykonania powierzonych zadań wdrożeniowych. Nie będą to zatem działania służące osiągnięciu zysku. Realizacja przez </w:t>
      </w:r>
      <w:proofErr w:type="spellStart"/>
      <w:r w:rsidRPr="009300D9">
        <w:rPr>
          <w:rFonts w:ascii="Times New Roman" w:hAnsi="Times New Roman" w:cs="Times New Roman"/>
          <w:sz w:val="24"/>
          <w:szCs w:val="24"/>
        </w:rPr>
        <w:t>N</w:t>
      </w:r>
      <w:r w:rsidR="00AC1605" w:rsidRPr="009300D9">
        <w:rPr>
          <w:rFonts w:ascii="Times New Roman" w:hAnsi="Times New Roman" w:cs="Times New Roman"/>
          <w:sz w:val="24"/>
          <w:szCs w:val="24"/>
        </w:rPr>
        <w:t>FOŚiGW</w:t>
      </w:r>
      <w:proofErr w:type="spellEnd"/>
      <w:r w:rsidRPr="009300D9">
        <w:rPr>
          <w:rFonts w:ascii="Times New Roman" w:hAnsi="Times New Roman" w:cs="Times New Roman"/>
          <w:sz w:val="24"/>
          <w:szCs w:val="24"/>
        </w:rPr>
        <w:t xml:space="preserve"> zadań służących realizacji celów Konwencji Klimatycznej odbywać się będzie w ramach ustawowej działalności </w:t>
      </w:r>
      <w:proofErr w:type="spellStart"/>
      <w:r w:rsidRPr="009300D9">
        <w:rPr>
          <w:rFonts w:ascii="Times New Roman" w:hAnsi="Times New Roman" w:cs="Times New Roman"/>
          <w:sz w:val="24"/>
          <w:szCs w:val="24"/>
        </w:rPr>
        <w:t>NFOŚiGW</w:t>
      </w:r>
      <w:proofErr w:type="spellEnd"/>
      <w:r w:rsidRPr="009300D9">
        <w:rPr>
          <w:rFonts w:ascii="Times New Roman" w:hAnsi="Times New Roman" w:cs="Times New Roman"/>
          <w:sz w:val="24"/>
          <w:szCs w:val="24"/>
        </w:rPr>
        <w:t xml:space="preserve"> jako państwowej instytucji ochrony środowiska i służyć będzie wykonywaniu istotnych dla Rzeczpospolitej Polskiej zadań publicznych na rzecz klimatu poza jej granicami.</w:t>
      </w:r>
    </w:p>
    <w:p w14:paraId="71FE45B0" w14:textId="3CE34E18" w:rsidR="00D37276" w:rsidRPr="009300D9" w:rsidRDefault="00D37276"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sz w:val="24"/>
          <w:szCs w:val="24"/>
        </w:rPr>
        <w:t>Projektowana ustawa zawiera regułę wydatkową związaną z koniecznością utworzenia jednego etatu w Ministerstwie  Klimatu</w:t>
      </w:r>
      <w:r w:rsidR="0062613C" w:rsidRPr="009300D9">
        <w:rPr>
          <w:rFonts w:ascii="Times New Roman" w:hAnsi="Times New Roman" w:cs="Times New Roman"/>
          <w:sz w:val="24"/>
          <w:szCs w:val="24"/>
        </w:rPr>
        <w:t>, z uwagi  na sprawowanie nadzoru nad Krajowym systemem wdrażania Funduszu, obsługą Rady Konsultacyjnej oraz z koniecznością prowadzenia sprawozdawczości na potrzeby K</w:t>
      </w:r>
      <w:r w:rsidR="00606DC7" w:rsidRPr="009300D9">
        <w:rPr>
          <w:rFonts w:ascii="Times New Roman" w:hAnsi="Times New Roman" w:cs="Times New Roman"/>
          <w:sz w:val="24"/>
          <w:szCs w:val="24"/>
        </w:rPr>
        <w:t xml:space="preserve">omisji </w:t>
      </w:r>
      <w:r w:rsidR="0062613C" w:rsidRPr="009300D9">
        <w:rPr>
          <w:rFonts w:ascii="Times New Roman" w:hAnsi="Times New Roman" w:cs="Times New Roman"/>
          <w:sz w:val="24"/>
          <w:szCs w:val="24"/>
        </w:rPr>
        <w:t>E</w:t>
      </w:r>
      <w:r w:rsidR="00606DC7" w:rsidRPr="009300D9">
        <w:rPr>
          <w:rFonts w:ascii="Times New Roman" w:hAnsi="Times New Roman" w:cs="Times New Roman"/>
          <w:sz w:val="24"/>
          <w:szCs w:val="24"/>
        </w:rPr>
        <w:t>uropejskiej</w:t>
      </w:r>
      <w:r w:rsidR="0062613C" w:rsidRPr="009300D9">
        <w:rPr>
          <w:rFonts w:ascii="Times New Roman" w:hAnsi="Times New Roman" w:cs="Times New Roman"/>
          <w:sz w:val="24"/>
          <w:szCs w:val="24"/>
        </w:rPr>
        <w:t xml:space="preserve"> wydatkowania środków z funduszu</w:t>
      </w:r>
      <w:r w:rsidR="00E62544" w:rsidRPr="009300D9">
        <w:rPr>
          <w:rFonts w:ascii="Times New Roman" w:hAnsi="Times New Roman" w:cs="Times New Roman"/>
          <w:sz w:val="24"/>
          <w:szCs w:val="24"/>
        </w:rPr>
        <w:t xml:space="preserve"> oraz regułę wydatkową związaną z konieczności poniesienia kosztów zadań operatora</w:t>
      </w:r>
      <w:r w:rsidR="009A47FB" w:rsidRPr="009300D9">
        <w:rPr>
          <w:rFonts w:ascii="Times New Roman" w:hAnsi="Times New Roman" w:cs="Times New Roman"/>
          <w:sz w:val="24"/>
          <w:szCs w:val="24"/>
        </w:rPr>
        <w:t xml:space="preserve"> Funduszu</w:t>
      </w:r>
      <w:r w:rsidR="00E62544" w:rsidRPr="009300D9">
        <w:rPr>
          <w:rFonts w:ascii="Times New Roman" w:hAnsi="Times New Roman" w:cs="Times New Roman"/>
          <w:sz w:val="24"/>
          <w:szCs w:val="24"/>
        </w:rPr>
        <w:t>.</w:t>
      </w:r>
    </w:p>
    <w:p w14:paraId="32DC3EB3" w14:textId="10CFF882" w:rsidR="00BF7067" w:rsidRPr="009300D9" w:rsidRDefault="00BF7067" w:rsidP="009300D9">
      <w:p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Nowe zadania </w:t>
      </w:r>
      <w:r w:rsidR="003F1D27" w:rsidRPr="009300D9">
        <w:rPr>
          <w:rFonts w:ascii="Times New Roman" w:hAnsi="Times New Roman" w:cs="Times New Roman"/>
          <w:sz w:val="24"/>
          <w:szCs w:val="24"/>
        </w:rPr>
        <w:t>Krajowego Ośrodka Zarządzania i Bilansowania Emisji, zwanego dalej „</w:t>
      </w:r>
      <w:proofErr w:type="spellStart"/>
      <w:r w:rsidRPr="009300D9">
        <w:rPr>
          <w:rFonts w:ascii="Times New Roman" w:hAnsi="Times New Roman" w:cs="Times New Roman"/>
          <w:sz w:val="24"/>
          <w:szCs w:val="24"/>
        </w:rPr>
        <w:t>KOBiZE</w:t>
      </w:r>
      <w:proofErr w:type="spellEnd"/>
      <w:r w:rsidR="003F1D27" w:rsidRPr="009300D9">
        <w:rPr>
          <w:rFonts w:ascii="Times New Roman" w:hAnsi="Times New Roman" w:cs="Times New Roman"/>
          <w:sz w:val="24"/>
          <w:szCs w:val="24"/>
        </w:rPr>
        <w:t>”</w:t>
      </w:r>
      <w:r w:rsidRPr="009300D9">
        <w:rPr>
          <w:rFonts w:ascii="Times New Roman" w:hAnsi="Times New Roman" w:cs="Times New Roman"/>
          <w:sz w:val="24"/>
          <w:szCs w:val="24"/>
        </w:rPr>
        <w:t xml:space="preserve"> przewidziane projektowaną ustawą dotyczą:</w:t>
      </w:r>
    </w:p>
    <w:p w14:paraId="465E22AF" w14:textId="157D3E8A" w:rsidR="00BF7067" w:rsidRPr="009300D9" w:rsidRDefault="00BF7067" w:rsidP="009300D9">
      <w:pPr>
        <w:numPr>
          <w:ilvl w:val="0"/>
          <w:numId w:val="9"/>
        </w:num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lastRenderedPageBreak/>
        <w:t xml:space="preserve">oceny  raportu dotyczącego poziomu działalności w każdej </w:t>
      </w:r>
      <w:proofErr w:type="spellStart"/>
      <w:r w:rsidRPr="009300D9">
        <w:rPr>
          <w:rFonts w:ascii="Times New Roman" w:hAnsi="Times New Roman" w:cs="Times New Roman"/>
          <w:sz w:val="24"/>
          <w:szCs w:val="24"/>
        </w:rPr>
        <w:t>podinstalacji</w:t>
      </w:r>
      <w:proofErr w:type="spellEnd"/>
      <w:r w:rsidRPr="009300D9">
        <w:rPr>
          <w:rFonts w:ascii="Times New Roman" w:hAnsi="Times New Roman" w:cs="Times New Roman"/>
          <w:sz w:val="24"/>
          <w:szCs w:val="24"/>
        </w:rPr>
        <w:t>, o którym mowa w rozporządzeniu Komisji (UE) 2019/1842, zgodnie z zasadami wskazanymi w art. 7-12 rozporządzenia Komisji (UE) 2019/331</w:t>
      </w:r>
      <w:r w:rsidR="00A03685" w:rsidRPr="009300D9">
        <w:rPr>
          <w:rFonts w:ascii="Times New Roman" w:hAnsi="Times New Roman" w:cs="Times New Roman"/>
          <w:sz w:val="24"/>
          <w:szCs w:val="24"/>
        </w:rPr>
        <w:t>;</w:t>
      </w:r>
    </w:p>
    <w:p w14:paraId="24655C42" w14:textId="00D4E72A" w:rsidR="00BF7067" w:rsidRPr="009300D9" w:rsidRDefault="00BF7067" w:rsidP="009300D9">
      <w:pPr>
        <w:numPr>
          <w:ilvl w:val="0"/>
          <w:numId w:val="9"/>
        </w:num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dokonywania zachowawczego oszacowania wartości parametrów, o których mowa w art. 3 ust. 4 rozporządzenia Komisji (UE) 2019/1842, w przypadkach wskazanych w tym przepisie</w:t>
      </w:r>
      <w:r w:rsidR="00A03685" w:rsidRPr="009300D9">
        <w:rPr>
          <w:rFonts w:ascii="Times New Roman" w:hAnsi="Times New Roman" w:cs="Times New Roman"/>
          <w:sz w:val="24"/>
          <w:szCs w:val="24"/>
        </w:rPr>
        <w:t>;</w:t>
      </w:r>
    </w:p>
    <w:p w14:paraId="5F910ACB" w14:textId="6FBA1703" w:rsidR="00BF7067" w:rsidRPr="009300D9" w:rsidRDefault="00A03685" w:rsidP="009300D9">
      <w:pPr>
        <w:numPr>
          <w:ilvl w:val="0"/>
          <w:numId w:val="9"/>
        </w:num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o</w:t>
      </w:r>
      <w:r w:rsidR="00BF7067" w:rsidRPr="009300D9">
        <w:rPr>
          <w:rFonts w:ascii="Times New Roman" w:hAnsi="Times New Roman" w:cs="Times New Roman"/>
          <w:sz w:val="24"/>
          <w:szCs w:val="24"/>
        </w:rPr>
        <w:t xml:space="preserve">kreślenia  średniego poziomu działalności </w:t>
      </w:r>
      <w:proofErr w:type="spellStart"/>
      <w:r w:rsidR="00BF7067" w:rsidRPr="009300D9">
        <w:rPr>
          <w:rFonts w:ascii="Times New Roman" w:hAnsi="Times New Roman" w:cs="Times New Roman"/>
          <w:sz w:val="24"/>
          <w:szCs w:val="24"/>
        </w:rPr>
        <w:t>podinstalacji</w:t>
      </w:r>
      <w:proofErr w:type="spellEnd"/>
      <w:r w:rsidR="00BF7067" w:rsidRPr="009300D9">
        <w:rPr>
          <w:rFonts w:ascii="Times New Roman" w:hAnsi="Times New Roman" w:cs="Times New Roman"/>
          <w:sz w:val="24"/>
          <w:szCs w:val="24"/>
        </w:rPr>
        <w:t xml:space="preserve"> zgodnie z art. 4 rozporządzenia Komisji (UE) 2019/1842. Ponadto Krajowy ośrodek każdego roku dokona porównania średniego poziomu działalności w każdej </w:t>
      </w:r>
      <w:proofErr w:type="spellStart"/>
      <w:r w:rsidR="00BF7067" w:rsidRPr="009300D9">
        <w:rPr>
          <w:rFonts w:ascii="Times New Roman" w:hAnsi="Times New Roman" w:cs="Times New Roman"/>
          <w:sz w:val="24"/>
          <w:szCs w:val="24"/>
        </w:rPr>
        <w:t>podinstalacji</w:t>
      </w:r>
      <w:proofErr w:type="spellEnd"/>
      <w:r w:rsidR="00BF7067" w:rsidRPr="009300D9">
        <w:rPr>
          <w:rFonts w:ascii="Times New Roman" w:hAnsi="Times New Roman" w:cs="Times New Roman"/>
          <w:sz w:val="24"/>
          <w:szCs w:val="24"/>
        </w:rPr>
        <w:t xml:space="preserve"> z historycznym poziomem działalności i w określonych w tym rozporządzeniu przypadkach dokona dostosowania przydziału uprawnień do emisji w sposób tam wskazany</w:t>
      </w:r>
      <w:r w:rsidRPr="009300D9">
        <w:rPr>
          <w:rFonts w:ascii="Times New Roman" w:hAnsi="Times New Roman" w:cs="Times New Roman"/>
          <w:sz w:val="24"/>
          <w:szCs w:val="24"/>
        </w:rPr>
        <w:t>;</w:t>
      </w:r>
    </w:p>
    <w:p w14:paraId="5A57FE23" w14:textId="5111CBEE" w:rsidR="00BF7067" w:rsidRPr="009300D9" w:rsidRDefault="00BF7067" w:rsidP="009300D9">
      <w:pPr>
        <w:numPr>
          <w:ilvl w:val="0"/>
          <w:numId w:val="9"/>
        </w:num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przekazywania ministrowi właściwemu do spraw klimatu w odniesieniu do każdej instalacji informacji o liczbie uprawnień do emisji, które będą podlegały wydaniu</w:t>
      </w:r>
      <w:r w:rsidR="00A03685" w:rsidRPr="009300D9">
        <w:rPr>
          <w:rFonts w:ascii="Times New Roman" w:hAnsi="Times New Roman" w:cs="Times New Roman"/>
          <w:sz w:val="24"/>
          <w:szCs w:val="24"/>
        </w:rPr>
        <w:t>;</w:t>
      </w:r>
    </w:p>
    <w:p w14:paraId="7CBD703C" w14:textId="32C9421A" w:rsidR="00BF7067" w:rsidRPr="009300D9" w:rsidRDefault="00BF7067" w:rsidP="009300D9">
      <w:pPr>
        <w:numPr>
          <w:ilvl w:val="0"/>
          <w:numId w:val="9"/>
        </w:num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dokonywanie oceny informacji o zmianach instalacji mających wpływ na przydział uprawnień do emisji oraz informacji o zrzeczeniu się przez prowadzącego instalację przydziału uprawnień do emisji, Krajowy ośrodek będzie przekazywał ministrowi właściwemu do spraw klimatu informację o wynikającej z tego zmienionej ostatecznej liczbie uprawnień do emisji</w:t>
      </w:r>
      <w:r w:rsidR="00A03685" w:rsidRPr="009300D9">
        <w:rPr>
          <w:rFonts w:ascii="Times New Roman" w:hAnsi="Times New Roman" w:cs="Times New Roman"/>
          <w:sz w:val="24"/>
          <w:szCs w:val="24"/>
        </w:rPr>
        <w:t>;</w:t>
      </w:r>
    </w:p>
    <w:p w14:paraId="0A87A0BE" w14:textId="77777777" w:rsidR="00BF7067" w:rsidRPr="009300D9" w:rsidRDefault="00BF7067" w:rsidP="009300D9">
      <w:pPr>
        <w:numPr>
          <w:ilvl w:val="0"/>
          <w:numId w:val="9"/>
        </w:num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zawiadamiania ministra właściwego do spraw klimatu o instalacjach, w których zawieszono działalność.</w:t>
      </w:r>
    </w:p>
    <w:p w14:paraId="102E3EB7" w14:textId="6DF9B4B6" w:rsidR="00BF7067" w:rsidRPr="009300D9" w:rsidRDefault="00BF7067" w:rsidP="009300D9">
      <w:p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Powyższe zadania nie spowodują wzrostu kosztów funkcjonowania </w:t>
      </w:r>
      <w:proofErr w:type="spellStart"/>
      <w:r w:rsidRPr="009300D9">
        <w:rPr>
          <w:rFonts w:ascii="Times New Roman" w:hAnsi="Times New Roman" w:cs="Times New Roman"/>
          <w:sz w:val="24"/>
          <w:szCs w:val="24"/>
        </w:rPr>
        <w:t>KOBiZE</w:t>
      </w:r>
      <w:proofErr w:type="spellEnd"/>
      <w:r w:rsidRPr="009300D9">
        <w:rPr>
          <w:rFonts w:ascii="Times New Roman" w:hAnsi="Times New Roman" w:cs="Times New Roman"/>
          <w:sz w:val="24"/>
          <w:szCs w:val="24"/>
        </w:rPr>
        <w:t xml:space="preserve"> ani nie wygenerują innych dodatkowych kosztów. Powyższe zadania będą realizowane ze środków </w:t>
      </w:r>
      <w:proofErr w:type="spellStart"/>
      <w:r w:rsidRPr="009300D9">
        <w:rPr>
          <w:rFonts w:ascii="Times New Roman" w:hAnsi="Times New Roman" w:cs="Times New Roman"/>
          <w:sz w:val="24"/>
          <w:szCs w:val="24"/>
        </w:rPr>
        <w:t>N</w:t>
      </w:r>
      <w:r w:rsidR="00A03685" w:rsidRPr="009300D9">
        <w:rPr>
          <w:rFonts w:ascii="Times New Roman" w:hAnsi="Times New Roman" w:cs="Times New Roman"/>
          <w:sz w:val="24"/>
          <w:szCs w:val="24"/>
        </w:rPr>
        <w:t>FOŚiGW</w:t>
      </w:r>
      <w:proofErr w:type="spellEnd"/>
      <w:r w:rsidR="00A03685" w:rsidRPr="009300D9">
        <w:rPr>
          <w:rFonts w:ascii="Times New Roman" w:hAnsi="Times New Roman" w:cs="Times New Roman"/>
          <w:sz w:val="24"/>
          <w:szCs w:val="24"/>
        </w:rPr>
        <w:t xml:space="preserve"> </w:t>
      </w:r>
      <w:r w:rsidRPr="009300D9">
        <w:rPr>
          <w:rFonts w:ascii="Times New Roman" w:hAnsi="Times New Roman" w:cs="Times New Roman"/>
          <w:sz w:val="24"/>
          <w:szCs w:val="24"/>
        </w:rPr>
        <w:t xml:space="preserve">przeznaczonych na realizację zadań </w:t>
      </w:r>
      <w:proofErr w:type="spellStart"/>
      <w:r w:rsidRPr="009300D9">
        <w:rPr>
          <w:rFonts w:ascii="Times New Roman" w:hAnsi="Times New Roman" w:cs="Times New Roman"/>
          <w:sz w:val="24"/>
          <w:szCs w:val="24"/>
        </w:rPr>
        <w:t>KOBiZE</w:t>
      </w:r>
      <w:proofErr w:type="spellEnd"/>
      <w:r w:rsidRPr="009300D9">
        <w:rPr>
          <w:rFonts w:ascii="Times New Roman" w:hAnsi="Times New Roman" w:cs="Times New Roman"/>
          <w:sz w:val="24"/>
          <w:szCs w:val="24"/>
        </w:rPr>
        <w:t xml:space="preserve"> – w ramach reguły wydatkowej przewidzianej w art. 150 ustawy o systemie handlu uprawnieniami do emisji gazów cieplarnianych.</w:t>
      </w:r>
    </w:p>
    <w:p w14:paraId="5928B3F7" w14:textId="5301F20D" w:rsidR="00BF7067" w:rsidRPr="009300D9" w:rsidRDefault="00BF7067" w:rsidP="009300D9">
      <w:pPr>
        <w:spacing w:before="100" w:beforeAutospacing="1" w:after="100" w:afterAutospacing="1" w:line="276" w:lineRule="auto"/>
        <w:jc w:val="both"/>
        <w:rPr>
          <w:rFonts w:ascii="Times New Roman" w:hAnsi="Times New Roman" w:cs="Times New Roman"/>
          <w:sz w:val="24"/>
          <w:szCs w:val="24"/>
        </w:rPr>
      </w:pPr>
      <w:r w:rsidRPr="009300D9">
        <w:rPr>
          <w:rFonts w:ascii="Times New Roman" w:hAnsi="Times New Roman" w:cs="Times New Roman"/>
          <w:sz w:val="24"/>
          <w:szCs w:val="24"/>
        </w:rPr>
        <w:t xml:space="preserve">Należy mieć na uwadze, że projekt przewiduje dla </w:t>
      </w:r>
      <w:proofErr w:type="spellStart"/>
      <w:r w:rsidRPr="009300D9">
        <w:rPr>
          <w:rFonts w:ascii="Times New Roman" w:hAnsi="Times New Roman" w:cs="Times New Roman"/>
          <w:sz w:val="24"/>
          <w:szCs w:val="24"/>
        </w:rPr>
        <w:t>KOBiZE</w:t>
      </w:r>
      <w:proofErr w:type="spellEnd"/>
      <w:r w:rsidRPr="009300D9">
        <w:rPr>
          <w:rFonts w:ascii="Times New Roman" w:hAnsi="Times New Roman" w:cs="Times New Roman"/>
          <w:sz w:val="24"/>
          <w:szCs w:val="24"/>
        </w:rPr>
        <w:t xml:space="preserve"> nowe zadania, niektóre dotychczasowe przestaną być wykonywane – tak będzie w przypadku procedury przydziału uprawnień do emisji dla instalacji wytwarzających energię elektryczną (i przewidzianymi w niej zadaniami np. oceny sprawozdania rzeczowo-finansowego z realizacji zadania inwestycyjnego lub opiniowania wniosku o zatwierdzenie odpowiedniego dla realizacji danego zadania inwestycyjnego wskaźnika lub wskaźników zgodności), która wyekspiruje z końcem roku 2020. Ponadto nowy moduł sprawozdawczości Krajowej bazy o emisjach gazów cieplarnianych i innych substancji (tworzony głównie na potrzeby umożliwienia wprowadzania do niej raportów o poziomie działalności oraz sprawozdań z ich weryfikacji) zostanie w całości opracowany i wdrożony przez Krajowy ośrodek, bez konieczności zapewnienia dodatkowych środków na ten cel.</w:t>
      </w:r>
    </w:p>
    <w:p w14:paraId="50D08695" w14:textId="1F969F15" w:rsidR="00362849" w:rsidRPr="009300D9" w:rsidRDefault="00BF7067" w:rsidP="009300D9">
      <w:pPr>
        <w:spacing w:before="100" w:beforeAutospacing="1" w:after="100" w:afterAutospacing="1" w:line="276" w:lineRule="auto"/>
        <w:jc w:val="both"/>
        <w:rPr>
          <w:rFonts w:ascii="Times New Roman" w:eastAsia="Times New Roman" w:hAnsi="Times New Roman" w:cs="Times New Roman"/>
          <w:sz w:val="24"/>
          <w:szCs w:val="24"/>
          <w:lang w:eastAsia="pl-PL"/>
        </w:rPr>
      </w:pPr>
      <w:r w:rsidRPr="009300D9">
        <w:rPr>
          <w:rFonts w:ascii="Times New Roman" w:hAnsi="Times New Roman" w:cs="Times New Roman"/>
          <w:sz w:val="24"/>
          <w:szCs w:val="24"/>
        </w:rPr>
        <w:t>Projektowana ustawa nie wprowadza dodatkowych obciążeń regulacyjnych, ponad obowiązki wynikające z prawa</w:t>
      </w:r>
      <w:r w:rsidR="003165CD" w:rsidRPr="009300D9">
        <w:rPr>
          <w:rFonts w:ascii="Times New Roman" w:hAnsi="Times New Roman" w:cs="Times New Roman"/>
          <w:sz w:val="24"/>
          <w:szCs w:val="24"/>
        </w:rPr>
        <w:t xml:space="preserve"> UE</w:t>
      </w:r>
      <w:r w:rsidRPr="009300D9">
        <w:rPr>
          <w:rFonts w:ascii="Times New Roman" w:hAnsi="Times New Roman" w:cs="Times New Roman"/>
          <w:sz w:val="24"/>
          <w:szCs w:val="24"/>
        </w:rPr>
        <w:t xml:space="preserve">. Nowym obowiązkiem dla prowadzących instalację objętych systemem handlu będzie obowiązek składania raportów o poziomach działalności, zgodnie </w:t>
      </w:r>
      <w:r w:rsidR="003165CD" w:rsidRPr="009300D9">
        <w:rPr>
          <w:rFonts w:ascii="Times New Roman" w:hAnsi="Times New Roman" w:cs="Times New Roman"/>
          <w:sz w:val="24"/>
          <w:szCs w:val="24"/>
        </w:rPr>
        <w:br/>
      </w:r>
      <w:r w:rsidRPr="009300D9">
        <w:rPr>
          <w:rFonts w:ascii="Times New Roman" w:hAnsi="Times New Roman" w:cs="Times New Roman"/>
          <w:sz w:val="24"/>
          <w:szCs w:val="24"/>
        </w:rPr>
        <w:t xml:space="preserve">z zasadami określonymi w rozporządzeniu Komisji (UE) 2019/1842 z dnia 31 października 2019 r. ustanawiającego zasady stosowania dyrektywy 2003/87/WE Parlamentu Europejskiego </w:t>
      </w:r>
      <w:r w:rsidRPr="009300D9">
        <w:rPr>
          <w:rFonts w:ascii="Times New Roman" w:hAnsi="Times New Roman" w:cs="Times New Roman"/>
          <w:sz w:val="24"/>
          <w:szCs w:val="24"/>
        </w:rPr>
        <w:lastRenderedPageBreak/>
        <w:t>i Rady w odniesieniu do dalszych ustaleń dotyczących dostosowań przydziału bezpłatnych uprawnień do emisji ze względu na zmiany w poziomie działalności. Raport ten zastąpi dotychczas obowiązujący obowiązek sprawozdawczy tj. informację rzeczywistych lub planowanych zmianach zdolności produkcyjnej, zmianach poziomu działalności oraz zmianach w działaniach w instalacji w danym roku składanej na podstawie obecnie obowiązującej ustawy (art.64). Ponadto projektowana ustawa przewiduje, że od 2022 r. przedmiotowe raporty będą składane za pośrednictwem modułu w Krajowej bazie bazy o emisjach gazów cieplarnianych i innych substancji, co znacznie ułatwi prowadzącym instalację sprawozdawczość w tym zakresie. Z uwagi na fakt, iż podmioty objęte systemem ETS objęte są obowiązkiem rejestracji w Krajowej bazie (mają status podmiotu korzystającego ze środowiska), nie będzie ciążył na nich dodatkowy obowiązek rejestracyjny.</w:t>
      </w:r>
    </w:p>
    <w:p w14:paraId="1EFEF4C7" w14:textId="66296BC1" w:rsidR="003916F4" w:rsidRPr="009300D9" w:rsidRDefault="003916F4" w:rsidP="009300D9">
      <w:pPr>
        <w:pStyle w:val="PKTpunkt"/>
        <w:spacing w:after="120" w:line="276" w:lineRule="auto"/>
        <w:ind w:left="0" w:firstLine="0"/>
        <w:rPr>
          <w:rFonts w:ascii="Times New Roman" w:hAnsi="Times New Roman" w:cs="Times New Roman"/>
          <w:szCs w:val="24"/>
        </w:rPr>
      </w:pPr>
      <w:r w:rsidRPr="009300D9">
        <w:rPr>
          <w:rFonts w:ascii="Times New Roman" w:hAnsi="Times New Roman" w:cs="Times New Roman"/>
          <w:color w:val="000000"/>
          <w:szCs w:val="24"/>
        </w:rPr>
        <w:t xml:space="preserve">Ustawa przewiduje zmiany które mają charakter uniwersalny i nie są adresowane konkretnie do grupy mikro-, małych i średnich przedsiębiorców. Systemem </w:t>
      </w:r>
      <w:r w:rsidR="000423F4" w:rsidRPr="009300D9">
        <w:rPr>
          <w:rFonts w:ascii="Times New Roman" w:hAnsi="Times New Roman" w:cs="Times New Roman"/>
          <w:color w:val="000000"/>
          <w:szCs w:val="24"/>
        </w:rPr>
        <w:t xml:space="preserve">ETS </w:t>
      </w:r>
      <w:r w:rsidRPr="009300D9">
        <w:rPr>
          <w:rFonts w:ascii="Times New Roman" w:hAnsi="Times New Roman" w:cs="Times New Roman"/>
          <w:color w:val="000000"/>
          <w:szCs w:val="24"/>
        </w:rPr>
        <w:t>objęte są zasadniczo duże przedsiębiorstwa niemniej może się zdarzyć, iż jakaś ich część może stanowić średnie przedsiębiorstwa</w:t>
      </w:r>
      <w:r w:rsidR="000423F4" w:rsidRPr="009300D9">
        <w:rPr>
          <w:rFonts w:ascii="Times New Roman" w:hAnsi="Times New Roman" w:cs="Times New Roman"/>
          <w:color w:val="000000"/>
          <w:szCs w:val="24"/>
        </w:rPr>
        <w:t>.</w:t>
      </w:r>
      <w:r w:rsidR="002F3484" w:rsidRPr="009300D9">
        <w:rPr>
          <w:rFonts w:ascii="Times New Roman" w:hAnsi="Times New Roman" w:cs="Times New Roman"/>
          <w:color w:val="000000"/>
          <w:szCs w:val="24"/>
        </w:rPr>
        <w:t xml:space="preserve"> Ustawa wykonuje </w:t>
      </w:r>
      <w:r w:rsidR="00CF189C" w:rsidRPr="009300D9">
        <w:rPr>
          <w:rFonts w:ascii="Times New Roman" w:hAnsi="Times New Roman" w:cs="Times New Roman"/>
          <w:color w:val="000000"/>
          <w:szCs w:val="24"/>
        </w:rPr>
        <w:t>przepisy</w:t>
      </w:r>
      <w:r w:rsidR="002F3484" w:rsidRPr="009300D9">
        <w:rPr>
          <w:rFonts w:ascii="Times New Roman" w:hAnsi="Times New Roman" w:cs="Times New Roman"/>
          <w:color w:val="000000"/>
          <w:szCs w:val="24"/>
        </w:rPr>
        <w:t xml:space="preserve">  rozporządzania </w:t>
      </w:r>
      <w:r w:rsidR="002F3484" w:rsidRPr="009300D9">
        <w:rPr>
          <w:rFonts w:ascii="Times New Roman" w:hAnsi="Times New Roman" w:cs="Times New Roman"/>
          <w:szCs w:val="24"/>
          <w:shd w:val="clear" w:color="auto" w:fill="FFFFFF"/>
        </w:rPr>
        <w:t>2019/1842, które</w:t>
      </w:r>
      <w:r w:rsidR="002F3484" w:rsidRPr="009300D9">
        <w:rPr>
          <w:rFonts w:ascii="Times New Roman" w:hAnsi="Times New Roman" w:cs="Times New Roman"/>
          <w:color w:val="000000"/>
          <w:szCs w:val="24"/>
        </w:rPr>
        <w:t xml:space="preserve"> wprowadza nowy rodzaj sprawozdań dla prowadzących instalację objętych system</w:t>
      </w:r>
      <w:r w:rsidR="000423F4" w:rsidRPr="009300D9">
        <w:rPr>
          <w:rFonts w:ascii="Times New Roman" w:hAnsi="Times New Roman" w:cs="Times New Roman"/>
          <w:color w:val="000000"/>
          <w:szCs w:val="24"/>
        </w:rPr>
        <w:t>em</w:t>
      </w:r>
      <w:r w:rsidR="002F3484" w:rsidRPr="009300D9">
        <w:rPr>
          <w:rFonts w:ascii="Times New Roman" w:hAnsi="Times New Roman" w:cs="Times New Roman"/>
          <w:color w:val="000000"/>
          <w:szCs w:val="24"/>
        </w:rPr>
        <w:t xml:space="preserve"> ETS tj. raportów o poziomach działalności. Niemniej jednak ustawa wprowadzając obowiązek składania tych raportów przez moduł Krajowej bazy, wprowadza pewne ułatwienia w tym zakresi</w:t>
      </w:r>
      <w:r w:rsidR="00AC7FD7" w:rsidRPr="009300D9">
        <w:rPr>
          <w:rFonts w:ascii="Times New Roman" w:hAnsi="Times New Roman" w:cs="Times New Roman"/>
          <w:color w:val="000000"/>
          <w:szCs w:val="24"/>
        </w:rPr>
        <w:t>e.</w:t>
      </w:r>
      <w:r w:rsidRPr="009300D9">
        <w:rPr>
          <w:rFonts w:ascii="Times New Roman" w:hAnsi="Times New Roman" w:cs="Times New Roman"/>
          <w:color w:val="000000"/>
          <w:szCs w:val="24"/>
        </w:rPr>
        <w:t xml:space="preserve"> Ustawa </w:t>
      </w:r>
      <w:r w:rsidR="00AF5F70" w:rsidRPr="009300D9">
        <w:rPr>
          <w:rFonts w:ascii="Times New Roman" w:hAnsi="Times New Roman" w:cs="Times New Roman"/>
          <w:color w:val="000000"/>
          <w:szCs w:val="24"/>
        </w:rPr>
        <w:t xml:space="preserve"> stworzy możliwość skorzystania przez wszystkich przedsiębiorców z dodatkowego wsparcia finansowego na realizacje inwestycji </w:t>
      </w:r>
      <w:r w:rsidR="00AF5F70" w:rsidRPr="009300D9">
        <w:rPr>
          <w:rFonts w:ascii="Times New Roman" w:hAnsi="Times New Roman" w:cs="Times New Roman"/>
          <w:szCs w:val="24"/>
        </w:rPr>
        <w:t xml:space="preserve">mających na celu modernizację systemów energetycznych oraz poprawę efektywności energetycznej. Pomimo, że mechanizm ten jest przewidziany </w:t>
      </w:r>
      <w:r w:rsidR="00D55BE8" w:rsidRPr="009300D9">
        <w:rPr>
          <w:rFonts w:ascii="Times New Roman" w:hAnsi="Times New Roman" w:cs="Times New Roman"/>
          <w:szCs w:val="24"/>
        </w:rPr>
        <w:t>Dyr</w:t>
      </w:r>
      <w:r w:rsidR="00AF5F70" w:rsidRPr="009300D9">
        <w:rPr>
          <w:rFonts w:ascii="Times New Roman" w:hAnsi="Times New Roman" w:cs="Times New Roman"/>
          <w:szCs w:val="24"/>
        </w:rPr>
        <w:t xml:space="preserve">ektywą </w:t>
      </w:r>
      <w:r w:rsidR="007F7452" w:rsidRPr="009300D9">
        <w:rPr>
          <w:rFonts w:ascii="Times New Roman" w:hAnsi="Times New Roman" w:cs="Times New Roman"/>
          <w:szCs w:val="24"/>
        </w:rPr>
        <w:t>2018/410</w:t>
      </w:r>
      <w:r w:rsidR="00AF5F70" w:rsidRPr="009300D9">
        <w:rPr>
          <w:rFonts w:ascii="Times New Roman" w:hAnsi="Times New Roman" w:cs="Times New Roman"/>
          <w:szCs w:val="24"/>
        </w:rPr>
        <w:t>, ustawa nie zawęża kręgu potencjalnych beneficjentów do określonej grupy wsparcia. Wszyscy</w:t>
      </w:r>
      <w:r w:rsidR="009812B8" w:rsidRPr="009300D9">
        <w:rPr>
          <w:rFonts w:ascii="Times New Roman" w:hAnsi="Times New Roman" w:cs="Times New Roman"/>
          <w:szCs w:val="24"/>
        </w:rPr>
        <w:t xml:space="preserve"> przedsiębiorcy,</w:t>
      </w:r>
      <w:r w:rsidR="00AF5F70" w:rsidRPr="009300D9">
        <w:rPr>
          <w:rFonts w:ascii="Times New Roman" w:hAnsi="Times New Roman" w:cs="Times New Roman"/>
          <w:szCs w:val="24"/>
        </w:rPr>
        <w:t xml:space="preserve"> którzy planu</w:t>
      </w:r>
      <w:r w:rsidR="00D55BE8" w:rsidRPr="009300D9">
        <w:rPr>
          <w:rFonts w:ascii="Times New Roman" w:hAnsi="Times New Roman" w:cs="Times New Roman"/>
          <w:szCs w:val="24"/>
        </w:rPr>
        <w:t>ją inwestycje spełniające cele D</w:t>
      </w:r>
      <w:r w:rsidR="00AF5F70" w:rsidRPr="009300D9">
        <w:rPr>
          <w:rFonts w:ascii="Times New Roman" w:hAnsi="Times New Roman" w:cs="Times New Roman"/>
          <w:szCs w:val="24"/>
        </w:rPr>
        <w:t xml:space="preserve">yrektywy </w:t>
      </w:r>
      <w:r w:rsidR="007F7452" w:rsidRPr="009300D9">
        <w:rPr>
          <w:rFonts w:ascii="Times New Roman" w:hAnsi="Times New Roman" w:cs="Times New Roman"/>
          <w:szCs w:val="24"/>
        </w:rPr>
        <w:t xml:space="preserve">2018/410 </w:t>
      </w:r>
      <w:r w:rsidR="00AF5F70" w:rsidRPr="009300D9">
        <w:rPr>
          <w:rFonts w:ascii="Times New Roman" w:hAnsi="Times New Roman" w:cs="Times New Roman"/>
          <w:szCs w:val="24"/>
        </w:rPr>
        <w:t>będą mogli ubiegać się o wsparcie w postaci pożyczki czy dotacji na realizację inwestycji, w zależności czy dana inwestycja będzie realizowana w</w:t>
      </w:r>
      <w:r w:rsidR="00407047" w:rsidRPr="009300D9">
        <w:rPr>
          <w:rFonts w:ascii="Times New Roman" w:hAnsi="Times New Roman" w:cs="Times New Roman"/>
          <w:szCs w:val="24"/>
        </w:rPr>
        <w:t> </w:t>
      </w:r>
      <w:r w:rsidR="00AF5F70" w:rsidRPr="009300D9">
        <w:rPr>
          <w:rFonts w:ascii="Times New Roman" w:hAnsi="Times New Roman" w:cs="Times New Roman"/>
          <w:szCs w:val="24"/>
        </w:rPr>
        <w:t xml:space="preserve">obszarze priorytetowym lub nie priorytetowym, </w:t>
      </w:r>
      <w:r w:rsidR="00943C4A" w:rsidRPr="009300D9">
        <w:rPr>
          <w:rFonts w:ascii="Times New Roman" w:hAnsi="Times New Roman" w:cs="Times New Roman"/>
          <w:szCs w:val="24"/>
        </w:rPr>
        <w:t xml:space="preserve">odpowiednio </w:t>
      </w:r>
      <w:r w:rsidR="00AF5F70" w:rsidRPr="009300D9">
        <w:rPr>
          <w:rFonts w:ascii="Times New Roman" w:hAnsi="Times New Roman" w:cs="Times New Roman"/>
          <w:szCs w:val="24"/>
        </w:rPr>
        <w:t>do 100 %  lub 70% kosztów realizacji inwestycji.</w:t>
      </w:r>
    </w:p>
    <w:p w14:paraId="65811E2D" w14:textId="77777777" w:rsidR="003916F4" w:rsidRPr="009300D9" w:rsidRDefault="003916F4" w:rsidP="009300D9">
      <w:pPr>
        <w:spacing w:after="120" w:line="276" w:lineRule="auto"/>
        <w:jc w:val="both"/>
        <w:rPr>
          <w:rFonts w:ascii="Times New Roman" w:hAnsi="Times New Roman" w:cs="Times New Roman"/>
          <w:sz w:val="24"/>
          <w:szCs w:val="24"/>
        </w:rPr>
      </w:pPr>
      <w:r w:rsidRPr="009300D9">
        <w:rPr>
          <w:rFonts w:ascii="Times New Roman" w:hAnsi="Times New Roman" w:cs="Times New Roman"/>
          <w:color w:val="000000"/>
          <w:sz w:val="24"/>
          <w:szCs w:val="24"/>
        </w:rPr>
        <w:t xml:space="preserve">Projektowana ustawa nie zawiera przepisów technicznych, w związku z tym nie podlega notyfikacji w rozumieniu przepisów rozporządzenia Rady Ministrów z dnia 23 grudnia 2002 r. w sprawie sposobu funkcjonowania krajowego systemu notyfikacji norm i aktów prawnych (Dz. U. poz. 2039, z </w:t>
      </w:r>
      <w:proofErr w:type="spellStart"/>
      <w:r w:rsidRPr="009300D9">
        <w:rPr>
          <w:rFonts w:ascii="Times New Roman" w:hAnsi="Times New Roman" w:cs="Times New Roman"/>
          <w:color w:val="000000"/>
          <w:sz w:val="24"/>
          <w:szCs w:val="24"/>
        </w:rPr>
        <w:t>późn</w:t>
      </w:r>
      <w:proofErr w:type="spellEnd"/>
      <w:r w:rsidRPr="009300D9">
        <w:rPr>
          <w:rFonts w:ascii="Times New Roman" w:hAnsi="Times New Roman" w:cs="Times New Roman"/>
          <w:color w:val="000000"/>
          <w:sz w:val="24"/>
          <w:szCs w:val="24"/>
        </w:rPr>
        <w:t>. zm.).</w:t>
      </w:r>
    </w:p>
    <w:p w14:paraId="256F9531" w14:textId="190FEACD" w:rsidR="003916F4" w:rsidRPr="009300D9" w:rsidRDefault="003916F4" w:rsidP="009300D9">
      <w:pPr>
        <w:pStyle w:val="doc-ti"/>
        <w:spacing w:before="0" w:beforeAutospacing="0" w:after="120" w:afterAutospacing="0" w:line="276" w:lineRule="auto"/>
        <w:jc w:val="both"/>
        <w:rPr>
          <w:rFonts w:eastAsia="Calibri"/>
          <w:lang w:eastAsia="en-US"/>
        </w:rPr>
      </w:pPr>
      <w:r w:rsidRPr="009300D9">
        <w:rPr>
          <w:rFonts w:eastAsia="Calibri"/>
          <w:lang w:eastAsia="en-US"/>
        </w:rPr>
        <w:t xml:space="preserve">Projekt zostanie podany do publicznej wiadomości przez zamieszczenie, zgodnie z art. 5 ustawy z dnia 7 lipca 2005 r. o działalności lobbingowej w procesie stanowienia prawa (Dz. U. z 2017 r. poz. 248).  Projekt zostanie opublikowany na stronach Rządowego Centrum Legislacji oraz skonsultowany z organizacjami branżowymi i zainteresowanymi podmiotami. Wyniki przeprowadzonych konsultacji publicznych i opiniowania zostaną omówione w raporcie </w:t>
      </w:r>
      <w:r w:rsidR="003165CD" w:rsidRPr="009300D9">
        <w:rPr>
          <w:rFonts w:eastAsia="Calibri"/>
          <w:lang w:eastAsia="en-US"/>
        </w:rPr>
        <w:br/>
      </w:r>
      <w:r w:rsidRPr="009300D9">
        <w:rPr>
          <w:rFonts w:eastAsia="Calibri"/>
          <w:lang w:eastAsia="en-US"/>
        </w:rPr>
        <w:t>z konsultacji publicznych.</w:t>
      </w:r>
    </w:p>
    <w:p w14:paraId="5EC90CFE" w14:textId="190A5FE2" w:rsidR="003916F4" w:rsidRPr="009300D9" w:rsidRDefault="003916F4" w:rsidP="009300D9">
      <w:pPr>
        <w:pStyle w:val="doc-ti"/>
        <w:spacing w:before="0" w:beforeAutospacing="0" w:after="120" w:afterAutospacing="0" w:line="276" w:lineRule="auto"/>
        <w:jc w:val="both"/>
        <w:rPr>
          <w:rFonts w:eastAsia="Calibri"/>
          <w:color w:val="000000"/>
          <w:lang w:eastAsia="en-US"/>
        </w:rPr>
      </w:pPr>
      <w:r w:rsidRPr="009300D9">
        <w:rPr>
          <w:rFonts w:eastAsia="Calibri"/>
          <w:color w:val="000000"/>
          <w:lang w:eastAsia="en-US"/>
        </w:rPr>
        <w:t xml:space="preserve">Projektowana regulacja jest </w:t>
      </w:r>
      <w:r w:rsidR="003165CD" w:rsidRPr="009300D9">
        <w:rPr>
          <w:rFonts w:eastAsia="Calibri"/>
          <w:color w:val="000000"/>
          <w:lang w:eastAsia="en-US"/>
        </w:rPr>
        <w:t>zgodna</w:t>
      </w:r>
      <w:r w:rsidRPr="009300D9">
        <w:rPr>
          <w:rFonts w:eastAsia="Calibri"/>
          <w:color w:val="000000"/>
          <w:lang w:eastAsia="en-US"/>
        </w:rPr>
        <w:t xml:space="preserve"> z prawem UE.</w:t>
      </w:r>
    </w:p>
    <w:p w14:paraId="620460C9" w14:textId="3E0D3219" w:rsidR="003916F4" w:rsidRPr="009300D9" w:rsidRDefault="003916F4" w:rsidP="009300D9">
      <w:pPr>
        <w:spacing w:after="12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t>Projekt nie wymaga przedstawienia właściwym organom i instytucjom U</w:t>
      </w:r>
      <w:r w:rsidR="003165CD" w:rsidRPr="009300D9">
        <w:rPr>
          <w:rFonts w:ascii="Times New Roman" w:eastAsia="Times New Roman" w:hAnsi="Times New Roman" w:cs="Times New Roman"/>
          <w:sz w:val="24"/>
          <w:szCs w:val="24"/>
          <w:lang w:eastAsia="pl-PL"/>
        </w:rPr>
        <w:t>E</w:t>
      </w:r>
      <w:r w:rsidRPr="009300D9">
        <w:rPr>
          <w:rFonts w:ascii="Times New Roman" w:eastAsia="Times New Roman" w:hAnsi="Times New Roman" w:cs="Times New Roman"/>
          <w:sz w:val="24"/>
          <w:szCs w:val="24"/>
          <w:lang w:eastAsia="pl-PL"/>
        </w:rPr>
        <w:t xml:space="preserve">, </w:t>
      </w:r>
      <w:r w:rsidR="003165CD" w:rsidRPr="009300D9">
        <w:rPr>
          <w:rFonts w:ascii="Times New Roman" w:eastAsia="Times New Roman" w:hAnsi="Times New Roman" w:cs="Times New Roman"/>
          <w:sz w:val="24"/>
          <w:szCs w:val="24"/>
          <w:lang w:eastAsia="pl-PL"/>
        </w:rPr>
        <w:br/>
      </w:r>
      <w:r w:rsidRPr="009300D9">
        <w:rPr>
          <w:rFonts w:ascii="Times New Roman" w:eastAsia="Times New Roman" w:hAnsi="Times New Roman" w:cs="Times New Roman"/>
          <w:sz w:val="24"/>
          <w:szCs w:val="24"/>
          <w:lang w:eastAsia="pl-PL"/>
        </w:rPr>
        <w:t>w tym Europejskiemu Bankowi Centralnemu, w celu uzyskania opinii, dokonania powiadomienia, konsultacji albo uzgodnienia.</w:t>
      </w:r>
    </w:p>
    <w:p w14:paraId="5D01EA2A" w14:textId="0A190F54" w:rsidR="003916F4" w:rsidRPr="009300D9" w:rsidRDefault="003916F4" w:rsidP="009300D9">
      <w:pPr>
        <w:spacing w:after="120" w:line="276" w:lineRule="auto"/>
        <w:jc w:val="both"/>
        <w:rPr>
          <w:rFonts w:ascii="Times New Roman" w:eastAsia="Times New Roman" w:hAnsi="Times New Roman" w:cs="Times New Roman"/>
          <w:sz w:val="24"/>
          <w:szCs w:val="24"/>
          <w:lang w:eastAsia="pl-PL"/>
        </w:rPr>
      </w:pPr>
      <w:r w:rsidRPr="009300D9">
        <w:rPr>
          <w:rFonts w:ascii="Times New Roman" w:eastAsia="Times New Roman" w:hAnsi="Times New Roman" w:cs="Times New Roman"/>
          <w:sz w:val="24"/>
          <w:szCs w:val="24"/>
          <w:lang w:eastAsia="pl-PL"/>
        </w:rPr>
        <w:lastRenderedPageBreak/>
        <w:t xml:space="preserve">Projekt przewiduje </w:t>
      </w:r>
      <w:r w:rsidRPr="009300D9">
        <w:rPr>
          <w:rFonts w:ascii="Times New Roman" w:hAnsi="Times New Roman" w:cs="Times New Roman"/>
          <w:color w:val="000000"/>
          <w:sz w:val="24"/>
          <w:szCs w:val="24"/>
        </w:rPr>
        <w:t>wejście w życie ustawy</w:t>
      </w:r>
      <w:r w:rsidR="00693022" w:rsidRPr="009300D9">
        <w:rPr>
          <w:rFonts w:ascii="Times New Roman" w:hAnsi="Times New Roman" w:cs="Times New Roman"/>
          <w:color w:val="000000"/>
          <w:sz w:val="24"/>
          <w:szCs w:val="24"/>
        </w:rPr>
        <w:t xml:space="preserve"> 1 stycznia 2021 r.</w:t>
      </w:r>
      <w:r w:rsidR="00E51895" w:rsidRPr="009300D9">
        <w:rPr>
          <w:rFonts w:ascii="Times New Roman" w:hAnsi="Times New Roman" w:cs="Times New Roman"/>
          <w:color w:val="000000"/>
          <w:sz w:val="24"/>
          <w:szCs w:val="24"/>
        </w:rPr>
        <w:t>, z wyjątkiem p</w:t>
      </w:r>
      <w:r w:rsidR="00693022" w:rsidRPr="009300D9">
        <w:rPr>
          <w:rFonts w:ascii="Times New Roman" w:hAnsi="Times New Roman" w:cs="Times New Roman"/>
          <w:color w:val="000000"/>
          <w:sz w:val="24"/>
          <w:szCs w:val="24"/>
        </w:rPr>
        <w:t>rzepis</w:t>
      </w:r>
      <w:r w:rsidR="00E51895" w:rsidRPr="009300D9">
        <w:rPr>
          <w:rFonts w:ascii="Times New Roman" w:hAnsi="Times New Roman" w:cs="Times New Roman"/>
          <w:color w:val="000000"/>
          <w:sz w:val="24"/>
          <w:szCs w:val="24"/>
        </w:rPr>
        <w:t>ów</w:t>
      </w:r>
      <w:r w:rsidR="00693022" w:rsidRPr="009300D9">
        <w:rPr>
          <w:rFonts w:ascii="Times New Roman" w:hAnsi="Times New Roman" w:cs="Times New Roman"/>
          <w:color w:val="000000"/>
          <w:sz w:val="24"/>
          <w:szCs w:val="24"/>
        </w:rPr>
        <w:t xml:space="preserve"> dotycząc</w:t>
      </w:r>
      <w:r w:rsidR="00E51895" w:rsidRPr="009300D9">
        <w:rPr>
          <w:rFonts w:ascii="Times New Roman" w:hAnsi="Times New Roman" w:cs="Times New Roman"/>
          <w:color w:val="000000"/>
          <w:sz w:val="24"/>
          <w:szCs w:val="24"/>
        </w:rPr>
        <w:t>ych</w:t>
      </w:r>
      <w:r w:rsidR="00693022" w:rsidRPr="009300D9">
        <w:rPr>
          <w:rFonts w:ascii="Times New Roman" w:hAnsi="Times New Roman" w:cs="Times New Roman"/>
          <w:color w:val="000000"/>
          <w:sz w:val="24"/>
          <w:szCs w:val="24"/>
        </w:rPr>
        <w:t xml:space="preserve"> Krajowego systemu wdrażania Funduszu</w:t>
      </w:r>
      <w:r w:rsidR="00E51895" w:rsidRPr="009300D9">
        <w:rPr>
          <w:rFonts w:ascii="Times New Roman" w:hAnsi="Times New Roman" w:cs="Times New Roman"/>
          <w:color w:val="000000"/>
          <w:sz w:val="24"/>
          <w:szCs w:val="24"/>
        </w:rPr>
        <w:t xml:space="preserve">, które </w:t>
      </w:r>
      <w:r w:rsidR="00693022" w:rsidRPr="009300D9">
        <w:rPr>
          <w:rFonts w:ascii="Times New Roman" w:hAnsi="Times New Roman" w:cs="Times New Roman"/>
          <w:color w:val="000000"/>
          <w:sz w:val="24"/>
          <w:szCs w:val="24"/>
        </w:rPr>
        <w:t xml:space="preserve"> wejdą w życie </w:t>
      </w:r>
      <w:r w:rsidRPr="009300D9">
        <w:rPr>
          <w:rFonts w:ascii="Times New Roman" w:hAnsi="Times New Roman" w:cs="Times New Roman"/>
          <w:color w:val="000000"/>
          <w:sz w:val="24"/>
          <w:szCs w:val="24"/>
        </w:rPr>
        <w:t xml:space="preserve"> po upływie 14 dni od dnia ogłoszenia</w:t>
      </w:r>
      <w:r w:rsidR="000423F4" w:rsidRPr="009300D9">
        <w:rPr>
          <w:rFonts w:ascii="Times New Roman" w:hAnsi="Times New Roman" w:cs="Times New Roman"/>
          <w:color w:val="000000"/>
          <w:sz w:val="24"/>
          <w:szCs w:val="24"/>
        </w:rPr>
        <w:t>,</w:t>
      </w:r>
      <w:r w:rsidR="007F7452" w:rsidRPr="009300D9">
        <w:rPr>
          <w:rFonts w:ascii="Times New Roman" w:eastAsia="Times New Roman" w:hAnsi="Times New Roman" w:cs="Times New Roman"/>
          <w:sz w:val="24"/>
          <w:szCs w:val="24"/>
          <w:lang w:eastAsia="pl-PL"/>
        </w:rPr>
        <w:t xml:space="preserve"> </w:t>
      </w:r>
      <w:r w:rsidR="00E51895" w:rsidRPr="009300D9">
        <w:rPr>
          <w:rFonts w:ascii="Times New Roman" w:eastAsia="Times New Roman" w:hAnsi="Times New Roman" w:cs="Times New Roman"/>
          <w:sz w:val="24"/>
          <w:szCs w:val="24"/>
          <w:lang w:eastAsia="pl-PL"/>
        </w:rPr>
        <w:t xml:space="preserve">oraz przepisów w zakresie </w:t>
      </w:r>
      <w:r w:rsidR="007F7452" w:rsidRPr="009300D9">
        <w:rPr>
          <w:rFonts w:ascii="Times New Roman" w:eastAsia="Times New Roman" w:hAnsi="Times New Roman" w:cs="Times New Roman"/>
          <w:sz w:val="24"/>
          <w:szCs w:val="24"/>
          <w:lang w:eastAsia="pl-PL"/>
        </w:rPr>
        <w:t>dostosowania modułu Krajowej bazy do nowych wymogów (system raportowania przez prowadzących instalację w zakresie poziomów działalności i przedkładania sprawozdań z weryfikacji</w:t>
      </w:r>
      <w:r w:rsidR="00E51895" w:rsidRPr="009300D9">
        <w:rPr>
          <w:rFonts w:ascii="Times New Roman" w:eastAsia="Times New Roman" w:hAnsi="Times New Roman" w:cs="Times New Roman"/>
          <w:sz w:val="24"/>
          <w:szCs w:val="24"/>
          <w:lang w:eastAsia="pl-PL"/>
        </w:rPr>
        <w:t xml:space="preserve">), które częściowo </w:t>
      </w:r>
      <w:r w:rsidR="007F7452" w:rsidRPr="009300D9">
        <w:rPr>
          <w:rFonts w:ascii="Times New Roman" w:eastAsia="Times New Roman" w:hAnsi="Times New Roman" w:cs="Times New Roman"/>
          <w:sz w:val="24"/>
          <w:szCs w:val="24"/>
          <w:lang w:eastAsia="pl-PL"/>
        </w:rPr>
        <w:t>wej</w:t>
      </w:r>
      <w:r w:rsidR="00E51895" w:rsidRPr="009300D9">
        <w:rPr>
          <w:rFonts w:ascii="Times New Roman" w:eastAsia="Times New Roman" w:hAnsi="Times New Roman" w:cs="Times New Roman"/>
          <w:sz w:val="24"/>
          <w:szCs w:val="24"/>
          <w:lang w:eastAsia="pl-PL"/>
        </w:rPr>
        <w:t xml:space="preserve">dą </w:t>
      </w:r>
      <w:r w:rsidR="00AE7D73" w:rsidRPr="009300D9">
        <w:rPr>
          <w:rFonts w:ascii="Times New Roman" w:eastAsia="Times New Roman" w:hAnsi="Times New Roman" w:cs="Times New Roman"/>
          <w:sz w:val="24"/>
          <w:szCs w:val="24"/>
          <w:lang w:eastAsia="pl-PL"/>
        </w:rPr>
        <w:t xml:space="preserve">w życie </w:t>
      </w:r>
      <w:r w:rsidR="00E51895" w:rsidRPr="009300D9">
        <w:rPr>
          <w:rFonts w:ascii="Times New Roman" w:eastAsia="Times New Roman" w:hAnsi="Times New Roman" w:cs="Times New Roman"/>
          <w:sz w:val="24"/>
          <w:szCs w:val="24"/>
          <w:lang w:eastAsia="pl-PL"/>
        </w:rPr>
        <w:t xml:space="preserve">z dniem </w:t>
      </w:r>
      <w:r w:rsidR="00007258">
        <w:rPr>
          <w:rFonts w:ascii="Times New Roman" w:eastAsia="Times New Roman" w:hAnsi="Times New Roman" w:cs="Times New Roman"/>
          <w:sz w:val="24"/>
          <w:szCs w:val="24"/>
          <w:lang w:eastAsia="pl-PL"/>
        </w:rPr>
        <w:t>1 stycznia 2022 r oraz przepisów dotyczących prognoz zmian aktywności, które wejdą w życie z dniem 1 stycznia 2023 r.</w:t>
      </w:r>
      <w:bookmarkStart w:id="2" w:name="_GoBack"/>
      <w:bookmarkEnd w:id="2"/>
    </w:p>
    <w:p w14:paraId="374CF0BC" w14:textId="77777777" w:rsidR="00DA0051" w:rsidRPr="009300D9" w:rsidRDefault="00DA0051" w:rsidP="009300D9">
      <w:pPr>
        <w:pStyle w:val="p3"/>
        <w:spacing w:before="0" w:beforeAutospacing="0" w:after="120" w:afterAutospacing="0" w:line="276" w:lineRule="auto"/>
        <w:jc w:val="both"/>
      </w:pPr>
    </w:p>
    <w:sectPr w:rsidR="00DA0051" w:rsidRPr="009300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F0360" w14:textId="77777777" w:rsidR="00C40E7F" w:rsidRDefault="00C40E7F" w:rsidP="006F1249">
      <w:pPr>
        <w:spacing w:after="0" w:line="240" w:lineRule="auto"/>
      </w:pPr>
      <w:r>
        <w:separator/>
      </w:r>
    </w:p>
  </w:endnote>
  <w:endnote w:type="continuationSeparator" w:id="0">
    <w:p w14:paraId="51C76138" w14:textId="77777777" w:rsidR="00C40E7F" w:rsidRDefault="00C40E7F" w:rsidP="006F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953B1" w14:textId="77777777" w:rsidR="00C40E7F" w:rsidRDefault="00C40E7F" w:rsidP="006F1249">
      <w:pPr>
        <w:spacing w:after="0" w:line="240" w:lineRule="auto"/>
      </w:pPr>
      <w:r>
        <w:separator/>
      </w:r>
    </w:p>
  </w:footnote>
  <w:footnote w:type="continuationSeparator" w:id="0">
    <w:p w14:paraId="2F55D4F3" w14:textId="77777777" w:rsidR="00C40E7F" w:rsidRDefault="00C40E7F" w:rsidP="006F1249">
      <w:pPr>
        <w:spacing w:after="0" w:line="240" w:lineRule="auto"/>
      </w:pPr>
      <w:r>
        <w:continuationSeparator/>
      </w:r>
    </w:p>
  </w:footnote>
  <w:footnote w:id="1">
    <w:p w14:paraId="553C3061" w14:textId="77777777" w:rsidR="006F1249" w:rsidRPr="006B6470" w:rsidRDefault="006F1249" w:rsidP="006F1249">
      <w:pPr>
        <w:pStyle w:val="Default"/>
        <w:jc w:val="both"/>
        <w:rPr>
          <w:rFonts w:asciiTheme="minorHAnsi" w:hAnsiTheme="minorHAnsi" w:cstheme="minorHAnsi"/>
          <w:color w:val="auto"/>
          <w:sz w:val="16"/>
          <w:szCs w:val="16"/>
        </w:rPr>
      </w:pPr>
      <w:r w:rsidRPr="006B6470">
        <w:rPr>
          <w:rStyle w:val="Odwoanieprzypisudolnego"/>
          <w:rFonts w:asciiTheme="minorHAnsi" w:hAnsiTheme="minorHAnsi" w:cstheme="minorHAnsi"/>
          <w:color w:val="auto"/>
          <w:sz w:val="16"/>
          <w:szCs w:val="16"/>
        </w:rPr>
        <w:footnoteRef/>
      </w:r>
      <w:r w:rsidRPr="006B6470">
        <w:rPr>
          <w:rFonts w:asciiTheme="minorHAnsi" w:hAnsiTheme="minorHAnsi" w:cstheme="minorHAnsi"/>
          <w:color w:val="auto"/>
          <w:sz w:val="16"/>
          <w:szCs w:val="16"/>
        </w:rPr>
        <w:t xml:space="preserve"> Udział przypadający Polsce wynosi 43,41%, z kolei udziały innych państw beneficjantów Funduszu przedstawiają się następująco: Republiki Czeskiej – 15,59%, Rumunii – 11,98%, Węgier – 7,12%, Słowacji – 6,13%, Bułgarii – 5,84%, Chorwacji – 3,14%, Estonii – 2,78%, Litwy – 2,57%, a Łotwy – 1,44%. </w:t>
      </w:r>
    </w:p>
  </w:footnote>
  <w:footnote w:id="2">
    <w:p w14:paraId="1D6D2A32" w14:textId="5CF24339" w:rsidR="00AC4D89" w:rsidRPr="006B6470" w:rsidRDefault="00AC4D89" w:rsidP="00AC4D89">
      <w:pPr>
        <w:pStyle w:val="Tekstprzypisudolnego"/>
        <w:jc w:val="both"/>
        <w:rPr>
          <w:sz w:val="16"/>
          <w:szCs w:val="16"/>
        </w:rPr>
      </w:pPr>
      <w:r w:rsidRPr="006B6470">
        <w:rPr>
          <w:rStyle w:val="Odwoanieprzypisudolnego"/>
          <w:sz w:val="16"/>
          <w:szCs w:val="16"/>
        </w:rPr>
        <w:footnoteRef/>
      </w:r>
      <w:r>
        <w:rPr>
          <w:sz w:val="16"/>
          <w:szCs w:val="16"/>
        </w:rPr>
        <w:t xml:space="preserve"> Komitet I</w:t>
      </w:r>
      <w:r w:rsidRPr="006B6470">
        <w:rPr>
          <w:sz w:val="16"/>
          <w:szCs w:val="16"/>
        </w:rPr>
        <w:t>nwestycyjny wydaje rekomendację po dokonaniu oceny opłacalności technicznej i finansowej takiej inwestycji, która to ocena obejmuje także redukcję emisji gazów cieplarnianych możliw</w:t>
      </w:r>
      <w:r>
        <w:rPr>
          <w:sz w:val="16"/>
          <w:szCs w:val="16"/>
        </w:rPr>
        <w:t>ą</w:t>
      </w:r>
      <w:r w:rsidRPr="006B6470">
        <w:rPr>
          <w:sz w:val="16"/>
          <w:szCs w:val="16"/>
        </w:rPr>
        <w:t xml:space="preserve"> do osiągnięcia w wyniku realizacji inwestycji. W przypadku inwestycji dotyczących sieci ciepłowniczych warunkiem wydania rekomendacji jest istotna poprawa efektywności energetycznej i przyczynianie się do redukcji emisji</w:t>
      </w:r>
      <w:r w:rsidR="00EC1261">
        <w:rPr>
          <w:sz w:val="16"/>
          <w:szCs w:val="16"/>
        </w:rPr>
        <w:t xml:space="preserve">, </w:t>
      </w:r>
      <w:r w:rsidRPr="006B6470">
        <w:rPr>
          <w:sz w:val="16"/>
          <w:szCs w:val="16"/>
        </w:rPr>
        <w:t xml:space="preserve">osiągnięcie na koniec realizacji projektu statusu efektywnego systemu ciepłowniczego. W ramach rekomendacji Komitet może formułować sugestie dotyczące odpowiednich instrumentów finansowania.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71EA"/>
    <w:multiLevelType w:val="hybridMultilevel"/>
    <w:tmpl w:val="0588A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EB7B73"/>
    <w:multiLevelType w:val="hybridMultilevel"/>
    <w:tmpl w:val="1672665A"/>
    <w:lvl w:ilvl="0" w:tplc="0166F02A">
      <w:start w:val="1"/>
      <w:numFmt w:val="decimal"/>
      <w:lvlText w:val="%1)"/>
      <w:lvlJc w:val="left"/>
      <w:pPr>
        <w:ind w:left="72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1026FF"/>
    <w:multiLevelType w:val="hybridMultilevel"/>
    <w:tmpl w:val="ED322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6C36C6"/>
    <w:multiLevelType w:val="hybridMultilevel"/>
    <w:tmpl w:val="1076F730"/>
    <w:lvl w:ilvl="0" w:tplc="B9C68F02">
      <w:numFmt w:val="bullet"/>
      <w:lvlText w:val="­"/>
      <w:lvlJc w:val="left"/>
      <w:pPr>
        <w:ind w:left="1080" w:hanging="72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AD550F"/>
    <w:multiLevelType w:val="multilevel"/>
    <w:tmpl w:val="6EA2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D0E03"/>
    <w:multiLevelType w:val="hybridMultilevel"/>
    <w:tmpl w:val="699E4B0C"/>
    <w:lvl w:ilvl="0" w:tplc="90EC53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2645441"/>
    <w:multiLevelType w:val="hybridMultilevel"/>
    <w:tmpl w:val="0A40BAA0"/>
    <w:lvl w:ilvl="0" w:tplc="138C39FE">
      <w:start w:val="1"/>
      <w:numFmt w:val="bullet"/>
      <w:lvlText w:val=""/>
      <w:lvlJc w:val="left"/>
      <w:pPr>
        <w:ind w:left="720" w:hanging="360"/>
      </w:pPr>
      <w:rPr>
        <w:rFonts w:ascii="Symbol" w:hAnsi="Symbol" w:hint="default"/>
      </w:rPr>
    </w:lvl>
    <w:lvl w:ilvl="1" w:tplc="320078E8">
      <w:start w:val="1"/>
      <w:numFmt w:val="bullet"/>
      <w:lvlText w:val="o"/>
      <w:lvlJc w:val="left"/>
      <w:pPr>
        <w:ind w:left="1440" w:hanging="360"/>
      </w:pPr>
      <w:rPr>
        <w:rFonts w:ascii="Courier New" w:hAnsi="Courier New" w:hint="default"/>
      </w:rPr>
    </w:lvl>
    <w:lvl w:ilvl="2" w:tplc="FD704B18">
      <w:start w:val="1"/>
      <w:numFmt w:val="bullet"/>
      <w:lvlText w:val=""/>
      <w:lvlJc w:val="left"/>
      <w:pPr>
        <w:ind w:left="2160" w:hanging="360"/>
      </w:pPr>
      <w:rPr>
        <w:rFonts w:ascii="Wingdings" w:hAnsi="Wingdings" w:hint="default"/>
      </w:rPr>
    </w:lvl>
    <w:lvl w:ilvl="3" w:tplc="25FEF618">
      <w:start w:val="1"/>
      <w:numFmt w:val="bullet"/>
      <w:lvlText w:val=""/>
      <w:lvlJc w:val="left"/>
      <w:pPr>
        <w:ind w:left="2880" w:hanging="360"/>
      </w:pPr>
      <w:rPr>
        <w:rFonts w:ascii="Symbol" w:hAnsi="Symbol" w:hint="default"/>
      </w:rPr>
    </w:lvl>
    <w:lvl w:ilvl="4" w:tplc="776AB4FC">
      <w:start w:val="1"/>
      <w:numFmt w:val="bullet"/>
      <w:lvlText w:val="o"/>
      <w:lvlJc w:val="left"/>
      <w:pPr>
        <w:ind w:left="3600" w:hanging="360"/>
      </w:pPr>
      <w:rPr>
        <w:rFonts w:ascii="Courier New" w:hAnsi="Courier New" w:hint="default"/>
      </w:rPr>
    </w:lvl>
    <w:lvl w:ilvl="5" w:tplc="C6B00604">
      <w:start w:val="1"/>
      <w:numFmt w:val="bullet"/>
      <w:lvlText w:val=""/>
      <w:lvlJc w:val="left"/>
      <w:pPr>
        <w:ind w:left="4320" w:hanging="360"/>
      </w:pPr>
      <w:rPr>
        <w:rFonts w:ascii="Wingdings" w:hAnsi="Wingdings" w:hint="default"/>
      </w:rPr>
    </w:lvl>
    <w:lvl w:ilvl="6" w:tplc="28489CC8">
      <w:start w:val="1"/>
      <w:numFmt w:val="bullet"/>
      <w:lvlText w:val=""/>
      <w:lvlJc w:val="left"/>
      <w:pPr>
        <w:ind w:left="5040" w:hanging="360"/>
      </w:pPr>
      <w:rPr>
        <w:rFonts w:ascii="Symbol" w:hAnsi="Symbol" w:hint="default"/>
      </w:rPr>
    </w:lvl>
    <w:lvl w:ilvl="7" w:tplc="3F14658E">
      <w:start w:val="1"/>
      <w:numFmt w:val="bullet"/>
      <w:lvlText w:val="o"/>
      <w:lvlJc w:val="left"/>
      <w:pPr>
        <w:ind w:left="5760" w:hanging="360"/>
      </w:pPr>
      <w:rPr>
        <w:rFonts w:ascii="Courier New" w:hAnsi="Courier New" w:hint="default"/>
      </w:rPr>
    </w:lvl>
    <w:lvl w:ilvl="8" w:tplc="97D425D0">
      <w:start w:val="1"/>
      <w:numFmt w:val="bullet"/>
      <w:lvlText w:val=""/>
      <w:lvlJc w:val="left"/>
      <w:pPr>
        <w:ind w:left="6480" w:hanging="360"/>
      </w:pPr>
      <w:rPr>
        <w:rFonts w:ascii="Wingdings" w:hAnsi="Wingdings" w:hint="default"/>
      </w:rPr>
    </w:lvl>
  </w:abstractNum>
  <w:abstractNum w:abstractNumId="7">
    <w:nsid w:val="64F022DF"/>
    <w:multiLevelType w:val="hybridMultilevel"/>
    <w:tmpl w:val="5896E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98728B"/>
    <w:multiLevelType w:val="hybridMultilevel"/>
    <w:tmpl w:val="0FC8E050"/>
    <w:lvl w:ilvl="0" w:tplc="B9C68F02">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9"/>
    <w:rsid w:val="00005A3B"/>
    <w:rsid w:val="00007258"/>
    <w:rsid w:val="00035A3A"/>
    <w:rsid w:val="0003764D"/>
    <w:rsid w:val="000402BA"/>
    <w:rsid w:val="00040B63"/>
    <w:rsid w:val="000423F4"/>
    <w:rsid w:val="000431BF"/>
    <w:rsid w:val="00056C42"/>
    <w:rsid w:val="00061222"/>
    <w:rsid w:val="0007638B"/>
    <w:rsid w:val="000B547D"/>
    <w:rsid w:val="000C1C8F"/>
    <w:rsid w:val="000D0505"/>
    <w:rsid w:val="000D1DD4"/>
    <w:rsid w:val="000D4C52"/>
    <w:rsid w:val="000D7F84"/>
    <w:rsid w:val="000F0104"/>
    <w:rsid w:val="000F23DF"/>
    <w:rsid w:val="000F5448"/>
    <w:rsid w:val="00103CFF"/>
    <w:rsid w:val="00115335"/>
    <w:rsid w:val="001156E4"/>
    <w:rsid w:val="0011751A"/>
    <w:rsid w:val="00122BB5"/>
    <w:rsid w:val="00151851"/>
    <w:rsid w:val="0015626F"/>
    <w:rsid w:val="00162E6E"/>
    <w:rsid w:val="00164080"/>
    <w:rsid w:val="00175B1C"/>
    <w:rsid w:val="00185110"/>
    <w:rsid w:val="001913FE"/>
    <w:rsid w:val="0019329C"/>
    <w:rsid w:val="00196C0D"/>
    <w:rsid w:val="001B1DDC"/>
    <w:rsid w:val="001B774A"/>
    <w:rsid w:val="001C6215"/>
    <w:rsid w:val="001D56F4"/>
    <w:rsid w:val="001E1A4F"/>
    <w:rsid w:val="001F0AC2"/>
    <w:rsid w:val="00216C8A"/>
    <w:rsid w:val="00217C17"/>
    <w:rsid w:val="002304D6"/>
    <w:rsid w:val="00232183"/>
    <w:rsid w:val="0023647C"/>
    <w:rsid w:val="002414D7"/>
    <w:rsid w:val="00245BE8"/>
    <w:rsid w:val="00264FFF"/>
    <w:rsid w:val="002837E9"/>
    <w:rsid w:val="00292BD5"/>
    <w:rsid w:val="002A55B5"/>
    <w:rsid w:val="002B4834"/>
    <w:rsid w:val="002B55FF"/>
    <w:rsid w:val="002D2916"/>
    <w:rsid w:val="002D3448"/>
    <w:rsid w:val="002D6B63"/>
    <w:rsid w:val="002E5826"/>
    <w:rsid w:val="002F3484"/>
    <w:rsid w:val="00304D5A"/>
    <w:rsid w:val="00315B57"/>
    <w:rsid w:val="003165CD"/>
    <w:rsid w:val="00321313"/>
    <w:rsid w:val="003304BA"/>
    <w:rsid w:val="00332342"/>
    <w:rsid w:val="003408CB"/>
    <w:rsid w:val="003464D2"/>
    <w:rsid w:val="00352A98"/>
    <w:rsid w:val="0036079B"/>
    <w:rsid w:val="00362849"/>
    <w:rsid w:val="003916F4"/>
    <w:rsid w:val="003A724C"/>
    <w:rsid w:val="003D0948"/>
    <w:rsid w:val="003E7E31"/>
    <w:rsid w:val="003F161B"/>
    <w:rsid w:val="003F1D27"/>
    <w:rsid w:val="003F7E9E"/>
    <w:rsid w:val="00407047"/>
    <w:rsid w:val="00407933"/>
    <w:rsid w:val="00412DB6"/>
    <w:rsid w:val="004130A3"/>
    <w:rsid w:val="004207F4"/>
    <w:rsid w:val="00422006"/>
    <w:rsid w:val="004270C8"/>
    <w:rsid w:val="00427688"/>
    <w:rsid w:val="00435AF5"/>
    <w:rsid w:val="004637F9"/>
    <w:rsid w:val="00482A10"/>
    <w:rsid w:val="00484EC2"/>
    <w:rsid w:val="004A36F0"/>
    <w:rsid w:val="004A76F7"/>
    <w:rsid w:val="004B24DE"/>
    <w:rsid w:val="004B3497"/>
    <w:rsid w:val="004B5CEB"/>
    <w:rsid w:val="004C6EFD"/>
    <w:rsid w:val="004D6540"/>
    <w:rsid w:val="004F10C4"/>
    <w:rsid w:val="00503493"/>
    <w:rsid w:val="00504603"/>
    <w:rsid w:val="00513B44"/>
    <w:rsid w:val="0054442F"/>
    <w:rsid w:val="00547691"/>
    <w:rsid w:val="00581CA7"/>
    <w:rsid w:val="00590C1F"/>
    <w:rsid w:val="00597597"/>
    <w:rsid w:val="005A4F8D"/>
    <w:rsid w:val="005A7F7B"/>
    <w:rsid w:val="005B4D9A"/>
    <w:rsid w:val="005C74E2"/>
    <w:rsid w:val="005E5906"/>
    <w:rsid w:val="005F0427"/>
    <w:rsid w:val="00606DC7"/>
    <w:rsid w:val="00607246"/>
    <w:rsid w:val="00616347"/>
    <w:rsid w:val="0062613C"/>
    <w:rsid w:val="006446D9"/>
    <w:rsid w:val="0065250F"/>
    <w:rsid w:val="00655074"/>
    <w:rsid w:val="0065522E"/>
    <w:rsid w:val="00657B6D"/>
    <w:rsid w:val="00666727"/>
    <w:rsid w:val="00674CC2"/>
    <w:rsid w:val="00675D90"/>
    <w:rsid w:val="006838DE"/>
    <w:rsid w:val="00693022"/>
    <w:rsid w:val="006A6976"/>
    <w:rsid w:val="006C595F"/>
    <w:rsid w:val="006E28C7"/>
    <w:rsid w:val="006F0E6D"/>
    <w:rsid w:val="006F1249"/>
    <w:rsid w:val="006F6E76"/>
    <w:rsid w:val="006F7BEC"/>
    <w:rsid w:val="0072116D"/>
    <w:rsid w:val="00722F96"/>
    <w:rsid w:val="00732513"/>
    <w:rsid w:val="00732E04"/>
    <w:rsid w:val="00766574"/>
    <w:rsid w:val="00783460"/>
    <w:rsid w:val="00783FCD"/>
    <w:rsid w:val="00794669"/>
    <w:rsid w:val="007A5481"/>
    <w:rsid w:val="007B657C"/>
    <w:rsid w:val="007E51B3"/>
    <w:rsid w:val="007E7D41"/>
    <w:rsid w:val="007F0625"/>
    <w:rsid w:val="007F0687"/>
    <w:rsid w:val="007F11EC"/>
    <w:rsid w:val="007F5A5C"/>
    <w:rsid w:val="007F7452"/>
    <w:rsid w:val="00802B24"/>
    <w:rsid w:val="00805918"/>
    <w:rsid w:val="00833260"/>
    <w:rsid w:val="00835857"/>
    <w:rsid w:val="00841ED9"/>
    <w:rsid w:val="00851C69"/>
    <w:rsid w:val="00853B85"/>
    <w:rsid w:val="00856A0B"/>
    <w:rsid w:val="0087476C"/>
    <w:rsid w:val="0087735B"/>
    <w:rsid w:val="00892FED"/>
    <w:rsid w:val="008934E7"/>
    <w:rsid w:val="0089654F"/>
    <w:rsid w:val="0089789A"/>
    <w:rsid w:val="008A0EDD"/>
    <w:rsid w:val="008C49AE"/>
    <w:rsid w:val="008D0164"/>
    <w:rsid w:val="008D2893"/>
    <w:rsid w:val="008D671A"/>
    <w:rsid w:val="008D76F4"/>
    <w:rsid w:val="008D7FF0"/>
    <w:rsid w:val="009258C1"/>
    <w:rsid w:val="009300D9"/>
    <w:rsid w:val="00931F57"/>
    <w:rsid w:val="00932CB3"/>
    <w:rsid w:val="00934A29"/>
    <w:rsid w:val="00943C4A"/>
    <w:rsid w:val="009812B8"/>
    <w:rsid w:val="00986C90"/>
    <w:rsid w:val="009952DD"/>
    <w:rsid w:val="00997ACD"/>
    <w:rsid w:val="009A47FB"/>
    <w:rsid w:val="009C757D"/>
    <w:rsid w:val="009D0033"/>
    <w:rsid w:val="009E7FA3"/>
    <w:rsid w:val="00A02C45"/>
    <w:rsid w:val="00A03685"/>
    <w:rsid w:val="00A067EF"/>
    <w:rsid w:val="00A0779D"/>
    <w:rsid w:val="00A16997"/>
    <w:rsid w:val="00A24A6A"/>
    <w:rsid w:val="00A31120"/>
    <w:rsid w:val="00A3350F"/>
    <w:rsid w:val="00A61F06"/>
    <w:rsid w:val="00A71B1D"/>
    <w:rsid w:val="00AA779B"/>
    <w:rsid w:val="00AB3A0A"/>
    <w:rsid w:val="00AC0FCC"/>
    <w:rsid w:val="00AC1605"/>
    <w:rsid w:val="00AC4D89"/>
    <w:rsid w:val="00AC65D9"/>
    <w:rsid w:val="00AC7FD7"/>
    <w:rsid w:val="00AD08BF"/>
    <w:rsid w:val="00AD12A4"/>
    <w:rsid w:val="00AD3084"/>
    <w:rsid w:val="00AD5053"/>
    <w:rsid w:val="00AE2898"/>
    <w:rsid w:val="00AE3716"/>
    <w:rsid w:val="00AE7D73"/>
    <w:rsid w:val="00AF5F70"/>
    <w:rsid w:val="00AF7200"/>
    <w:rsid w:val="00B01594"/>
    <w:rsid w:val="00B0212B"/>
    <w:rsid w:val="00B07F81"/>
    <w:rsid w:val="00B12956"/>
    <w:rsid w:val="00B129CE"/>
    <w:rsid w:val="00B2271E"/>
    <w:rsid w:val="00B23DB6"/>
    <w:rsid w:val="00B41972"/>
    <w:rsid w:val="00B472D1"/>
    <w:rsid w:val="00B74072"/>
    <w:rsid w:val="00B74DD4"/>
    <w:rsid w:val="00B819C9"/>
    <w:rsid w:val="00B82C12"/>
    <w:rsid w:val="00B84D0E"/>
    <w:rsid w:val="00B93915"/>
    <w:rsid w:val="00B971E3"/>
    <w:rsid w:val="00BA0C45"/>
    <w:rsid w:val="00BA5D9C"/>
    <w:rsid w:val="00BB6C39"/>
    <w:rsid w:val="00BC557A"/>
    <w:rsid w:val="00BC59BD"/>
    <w:rsid w:val="00BC62F4"/>
    <w:rsid w:val="00BC6C27"/>
    <w:rsid w:val="00BE0FD4"/>
    <w:rsid w:val="00BF1099"/>
    <w:rsid w:val="00BF7067"/>
    <w:rsid w:val="00C14A4E"/>
    <w:rsid w:val="00C201B3"/>
    <w:rsid w:val="00C21DEA"/>
    <w:rsid w:val="00C22128"/>
    <w:rsid w:val="00C2290D"/>
    <w:rsid w:val="00C30ADB"/>
    <w:rsid w:val="00C403A8"/>
    <w:rsid w:val="00C40E7F"/>
    <w:rsid w:val="00C5024D"/>
    <w:rsid w:val="00C60EA3"/>
    <w:rsid w:val="00C63A62"/>
    <w:rsid w:val="00C6553C"/>
    <w:rsid w:val="00C65F66"/>
    <w:rsid w:val="00C71329"/>
    <w:rsid w:val="00C764E2"/>
    <w:rsid w:val="00C90D1C"/>
    <w:rsid w:val="00C94EBE"/>
    <w:rsid w:val="00CA1BD5"/>
    <w:rsid w:val="00CA64C2"/>
    <w:rsid w:val="00CA6EDC"/>
    <w:rsid w:val="00CC33CB"/>
    <w:rsid w:val="00CC4374"/>
    <w:rsid w:val="00CC525A"/>
    <w:rsid w:val="00CE07D6"/>
    <w:rsid w:val="00CF0922"/>
    <w:rsid w:val="00CF11D4"/>
    <w:rsid w:val="00CF189C"/>
    <w:rsid w:val="00D073CA"/>
    <w:rsid w:val="00D15545"/>
    <w:rsid w:val="00D35732"/>
    <w:rsid w:val="00D37276"/>
    <w:rsid w:val="00D405CA"/>
    <w:rsid w:val="00D4307F"/>
    <w:rsid w:val="00D46313"/>
    <w:rsid w:val="00D51E4E"/>
    <w:rsid w:val="00D53D4D"/>
    <w:rsid w:val="00D55BE8"/>
    <w:rsid w:val="00D5601A"/>
    <w:rsid w:val="00D57329"/>
    <w:rsid w:val="00D67120"/>
    <w:rsid w:val="00D76C45"/>
    <w:rsid w:val="00D76E9B"/>
    <w:rsid w:val="00D83A5A"/>
    <w:rsid w:val="00D93DFC"/>
    <w:rsid w:val="00DA0051"/>
    <w:rsid w:val="00DA1CF7"/>
    <w:rsid w:val="00DA71D4"/>
    <w:rsid w:val="00DC70D3"/>
    <w:rsid w:val="00DD7647"/>
    <w:rsid w:val="00DF55C1"/>
    <w:rsid w:val="00DF57F0"/>
    <w:rsid w:val="00E02D6B"/>
    <w:rsid w:val="00E11C6A"/>
    <w:rsid w:val="00E12F80"/>
    <w:rsid w:val="00E30B12"/>
    <w:rsid w:val="00E40851"/>
    <w:rsid w:val="00E40FDA"/>
    <w:rsid w:val="00E45D3D"/>
    <w:rsid w:val="00E51895"/>
    <w:rsid w:val="00E619D4"/>
    <w:rsid w:val="00E62544"/>
    <w:rsid w:val="00E65622"/>
    <w:rsid w:val="00E66534"/>
    <w:rsid w:val="00E74655"/>
    <w:rsid w:val="00E823B3"/>
    <w:rsid w:val="00E82EF6"/>
    <w:rsid w:val="00E8645E"/>
    <w:rsid w:val="00E91081"/>
    <w:rsid w:val="00EA6C22"/>
    <w:rsid w:val="00EB3B74"/>
    <w:rsid w:val="00EC1261"/>
    <w:rsid w:val="00EC1A26"/>
    <w:rsid w:val="00ED1FA8"/>
    <w:rsid w:val="00ED269A"/>
    <w:rsid w:val="00EE2B8B"/>
    <w:rsid w:val="00EF24A7"/>
    <w:rsid w:val="00EF4942"/>
    <w:rsid w:val="00F038BF"/>
    <w:rsid w:val="00F06FA3"/>
    <w:rsid w:val="00F11370"/>
    <w:rsid w:val="00F14D47"/>
    <w:rsid w:val="00F14FEF"/>
    <w:rsid w:val="00F15D83"/>
    <w:rsid w:val="00F16700"/>
    <w:rsid w:val="00F226D1"/>
    <w:rsid w:val="00F325F1"/>
    <w:rsid w:val="00F4167B"/>
    <w:rsid w:val="00F45BDA"/>
    <w:rsid w:val="00F52C46"/>
    <w:rsid w:val="00F56ABF"/>
    <w:rsid w:val="00F60A3E"/>
    <w:rsid w:val="00F6206D"/>
    <w:rsid w:val="00F723D0"/>
    <w:rsid w:val="00F913E3"/>
    <w:rsid w:val="00FA359F"/>
    <w:rsid w:val="00FB1164"/>
    <w:rsid w:val="00FE4658"/>
    <w:rsid w:val="00FF18BE"/>
    <w:rsid w:val="00FF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E1FD"/>
  <w15:chartTrackingRefBased/>
  <w15:docId w15:val="{DF0C2382-FE6D-4B4A-8A15-6CC39020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62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12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6F12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6F1249"/>
  </w:style>
  <w:style w:type="paragraph" w:styleId="Tekstprzypisudolnego">
    <w:name w:val="footnote text"/>
    <w:basedOn w:val="Normalny"/>
    <w:link w:val="TekstprzypisudolnegoZnak"/>
    <w:uiPriority w:val="99"/>
    <w:semiHidden/>
    <w:unhideWhenUsed/>
    <w:rsid w:val="006F1249"/>
    <w:pPr>
      <w:spacing w:after="0" w:line="240" w:lineRule="auto"/>
    </w:pPr>
    <w:rPr>
      <w:rFonts w:ascii="Calibri" w:hAnsi="Calibri" w:cstheme="minorHAnsi"/>
      <w:sz w:val="20"/>
      <w:szCs w:val="20"/>
    </w:rPr>
  </w:style>
  <w:style w:type="character" w:customStyle="1" w:styleId="TekstprzypisudolnegoZnak">
    <w:name w:val="Tekst przypisu dolnego Znak"/>
    <w:basedOn w:val="Domylnaczcionkaakapitu"/>
    <w:link w:val="Tekstprzypisudolnego"/>
    <w:uiPriority w:val="99"/>
    <w:semiHidden/>
    <w:rsid w:val="006F1249"/>
    <w:rPr>
      <w:rFonts w:ascii="Calibri" w:hAnsi="Calibri" w:cstheme="minorHAnsi"/>
      <w:sz w:val="20"/>
      <w:szCs w:val="20"/>
    </w:rPr>
  </w:style>
  <w:style w:type="character" w:styleId="Odwoanieprzypisudolnego">
    <w:name w:val="footnote reference"/>
    <w:basedOn w:val="Domylnaczcionkaakapitu"/>
    <w:uiPriority w:val="99"/>
    <w:semiHidden/>
    <w:unhideWhenUsed/>
    <w:rsid w:val="006F1249"/>
    <w:rPr>
      <w:vertAlign w:val="superscript"/>
    </w:rPr>
  </w:style>
  <w:style w:type="paragraph" w:customStyle="1" w:styleId="Default">
    <w:name w:val="Default"/>
    <w:rsid w:val="006F124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F1249"/>
    <w:pPr>
      <w:ind w:left="720"/>
      <w:contextualSpacing/>
    </w:pPr>
  </w:style>
  <w:style w:type="character" w:styleId="Odwoaniedokomentarza">
    <w:name w:val="annotation reference"/>
    <w:basedOn w:val="Domylnaczcionkaakapitu"/>
    <w:uiPriority w:val="99"/>
    <w:semiHidden/>
    <w:unhideWhenUsed/>
    <w:rsid w:val="006F1249"/>
    <w:rPr>
      <w:sz w:val="16"/>
      <w:szCs w:val="16"/>
    </w:rPr>
  </w:style>
  <w:style w:type="paragraph" w:styleId="Tekstkomentarza">
    <w:name w:val="annotation text"/>
    <w:basedOn w:val="Normalny"/>
    <w:link w:val="TekstkomentarzaZnak"/>
    <w:uiPriority w:val="99"/>
    <w:unhideWhenUsed/>
    <w:rsid w:val="006F1249"/>
    <w:pPr>
      <w:spacing w:line="240" w:lineRule="auto"/>
    </w:pPr>
    <w:rPr>
      <w:sz w:val="20"/>
      <w:szCs w:val="20"/>
    </w:rPr>
  </w:style>
  <w:style w:type="character" w:customStyle="1" w:styleId="TekstkomentarzaZnak">
    <w:name w:val="Tekst komentarza Znak"/>
    <w:basedOn w:val="Domylnaczcionkaakapitu"/>
    <w:link w:val="Tekstkomentarza"/>
    <w:uiPriority w:val="99"/>
    <w:rsid w:val="006F1249"/>
    <w:rPr>
      <w:sz w:val="20"/>
      <w:szCs w:val="20"/>
    </w:rPr>
  </w:style>
  <w:style w:type="paragraph" w:styleId="Tekstdymka">
    <w:name w:val="Balloon Text"/>
    <w:basedOn w:val="Normalny"/>
    <w:link w:val="TekstdymkaZnak"/>
    <w:uiPriority w:val="99"/>
    <w:semiHidden/>
    <w:unhideWhenUsed/>
    <w:rsid w:val="006F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249"/>
    <w:rPr>
      <w:rFonts w:ascii="Segoe UI" w:hAnsi="Segoe UI" w:cs="Segoe UI"/>
      <w:sz w:val="18"/>
      <w:szCs w:val="18"/>
    </w:rPr>
  </w:style>
  <w:style w:type="paragraph" w:customStyle="1" w:styleId="ODNONIKtreodnonika">
    <w:name w:val="ODNOŚNIK – treść odnośnika"/>
    <w:uiPriority w:val="19"/>
    <w:qFormat/>
    <w:rsid w:val="00B41972"/>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USTustnpkodeksu">
    <w:name w:val="UST(§) – ust. (§ np. kodeksu)"/>
    <w:basedOn w:val="Normalny"/>
    <w:uiPriority w:val="12"/>
    <w:qFormat/>
    <w:rsid w:val="00185110"/>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185110"/>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D003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matkomentarza">
    <w:name w:val="annotation subject"/>
    <w:basedOn w:val="Tekstkomentarza"/>
    <w:next w:val="Tekstkomentarza"/>
    <w:link w:val="TematkomentarzaZnak"/>
    <w:uiPriority w:val="99"/>
    <w:semiHidden/>
    <w:unhideWhenUsed/>
    <w:rsid w:val="00115335"/>
    <w:rPr>
      <w:b/>
      <w:bCs/>
    </w:rPr>
  </w:style>
  <w:style w:type="character" w:customStyle="1" w:styleId="TematkomentarzaZnak">
    <w:name w:val="Temat komentarza Znak"/>
    <w:basedOn w:val="TekstkomentarzaZnak"/>
    <w:link w:val="Tematkomentarza"/>
    <w:uiPriority w:val="99"/>
    <w:semiHidden/>
    <w:rsid w:val="00115335"/>
    <w:rPr>
      <w:b/>
      <w:bCs/>
      <w:sz w:val="20"/>
      <w:szCs w:val="20"/>
    </w:rPr>
  </w:style>
  <w:style w:type="paragraph" w:customStyle="1" w:styleId="LITlitera">
    <w:name w:val="LIT – litera"/>
    <w:basedOn w:val="PKTpunkt"/>
    <w:uiPriority w:val="14"/>
    <w:qFormat/>
    <w:rsid w:val="006F0E6D"/>
    <w:pPr>
      <w:ind w:left="986" w:hanging="476"/>
    </w:pPr>
  </w:style>
  <w:style w:type="paragraph" w:customStyle="1" w:styleId="doc-ti">
    <w:name w:val="doc-ti"/>
    <w:basedOn w:val="Normalny"/>
    <w:rsid w:val="003916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F7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7BEC"/>
    <w:rPr>
      <w:sz w:val="20"/>
      <w:szCs w:val="20"/>
    </w:rPr>
  </w:style>
  <w:style w:type="character" w:styleId="Odwoanieprzypisukocowego">
    <w:name w:val="endnote reference"/>
    <w:basedOn w:val="Domylnaczcionkaakapitu"/>
    <w:uiPriority w:val="99"/>
    <w:semiHidden/>
    <w:unhideWhenUsed/>
    <w:rsid w:val="006F7BEC"/>
    <w:rPr>
      <w:vertAlign w:val="superscript"/>
    </w:rPr>
  </w:style>
  <w:style w:type="character" w:customStyle="1" w:styleId="object">
    <w:name w:val="object"/>
    <w:basedOn w:val="Domylnaczcionkaakapitu"/>
    <w:rsid w:val="00005A3B"/>
  </w:style>
  <w:style w:type="character" w:customStyle="1" w:styleId="Nagwek1Znak">
    <w:name w:val="Nagłówek 1 Znak"/>
    <w:basedOn w:val="Domylnaczcionkaakapitu"/>
    <w:link w:val="Nagwek1"/>
    <w:uiPriority w:val="9"/>
    <w:rsid w:val="00E6254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E62544"/>
  </w:style>
  <w:style w:type="paragraph" w:customStyle="1" w:styleId="mainpub">
    <w:name w:val="mainpub"/>
    <w:basedOn w:val="Normalny"/>
    <w:rsid w:val="00E625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62544"/>
    <w:rPr>
      <w:color w:val="0000FF"/>
      <w:u w:val="single"/>
    </w:rPr>
  </w:style>
  <w:style w:type="paragraph" w:styleId="Poprawka">
    <w:name w:val="Revision"/>
    <w:hidden/>
    <w:uiPriority w:val="99"/>
    <w:semiHidden/>
    <w:rsid w:val="008D7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4785">
      <w:bodyDiv w:val="1"/>
      <w:marLeft w:val="0"/>
      <w:marRight w:val="0"/>
      <w:marTop w:val="0"/>
      <w:marBottom w:val="0"/>
      <w:divBdr>
        <w:top w:val="none" w:sz="0" w:space="0" w:color="auto"/>
        <w:left w:val="none" w:sz="0" w:space="0" w:color="auto"/>
        <w:bottom w:val="none" w:sz="0" w:space="0" w:color="auto"/>
        <w:right w:val="none" w:sz="0" w:space="0" w:color="auto"/>
      </w:divBdr>
    </w:div>
    <w:div w:id="390419676">
      <w:bodyDiv w:val="1"/>
      <w:marLeft w:val="0"/>
      <w:marRight w:val="0"/>
      <w:marTop w:val="0"/>
      <w:marBottom w:val="0"/>
      <w:divBdr>
        <w:top w:val="none" w:sz="0" w:space="0" w:color="auto"/>
        <w:left w:val="none" w:sz="0" w:space="0" w:color="auto"/>
        <w:bottom w:val="none" w:sz="0" w:space="0" w:color="auto"/>
        <w:right w:val="none" w:sz="0" w:space="0" w:color="auto"/>
      </w:divBdr>
    </w:div>
    <w:div w:id="541946281">
      <w:bodyDiv w:val="1"/>
      <w:marLeft w:val="0"/>
      <w:marRight w:val="0"/>
      <w:marTop w:val="0"/>
      <w:marBottom w:val="0"/>
      <w:divBdr>
        <w:top w:val="none" w:sz="0" w:space="0" w:color="auto"/>
        <w:left w:val="none" w:sz="0" w:space="0" w:color="auto"/>
        <w:bottom w:val="none" w:sz="0" w:space="0" w:color="auto"/>
        <w:right w:val="none" w:sz="0" w:space="0" w:color="auto"/>
      </w:divBdr>
      <w:divsChild>
        <w:div w:id="1143735928">
          <w:marLeft w:val="0"/>
          <w:marRight w:val="0"/>
          <w:marTop w:val="0"/>
          <w:marBottom w:val="0"/>
          <w:divBdr>
            <w:top w:val="none" w:sz="0" w:space="0" w:color="auto"/>
            <w:left w:val="none" w:sz="0" w:space="0" w:color="auto"/>
            <w:bottom w:val="none" w:sz="0" w:space="0" w:color="auto"/>
            <w:right w:val="none" w:sz="0" w:space="0" w:color="auto"/>
          </w:divBdr>
        </w:div>
      </w:divsChild>
    </w:div>
    <w:div w:id="1179848468">
      <w:bodyDiv w:val="1"/>
      <w:marLeft w:val="0"/>
      <w:marRight w:val="0"/>
      <w:marTop w:val="0"/>
      <w:marBottom w:val="0"/>
      <w:divBdr>
        <w:top w:val="none" w:sz="0" w:space="0" w:color="auto"/>
        <w:left w:val="none" w:sz="0" w:space="0" w:color="auto"/>
        <w:bottom w:val="none" w:sz="0" w:space="0" w:color="auto"/>
        <w:right w:val="none" w:sz="0" w:space="0" w:color="auto"/>
      </w:divBdr>
      <w:divsChild>
        <w:div w:id="134600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7274-C0B6-4F56-8401-329926A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10132</Words>
  <Characters>60795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ZADROŻNA Małgorzata</dc:creator>
  <cp:keywords/>
  <dc:description/>
  <cp:lastModifiedBy>PIĄTEK Magdalena</cp:lastModifiedBy>
  <cp:revision>8</cp:revision>
  <dcterms:created xsi:type="dcterms:W3CDTF">2020-07-10T05:35:00Z</dcterms:created>
  <dcterms:modified xsi:type="dcterms:W3CDTF">2020-07-10T14:26:00Z</dcterms:modified>
</cp:coreProperties>
</file>