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056E6" w14:textId="77777777" w:rsidR="006418D5" w:rsidRPr="006418D5" w:rsidRDefault="006418D5" w:rsidP="006418D5">
      <w:pPr>
        <w:rPr>
          <w:lang w:eastAsia="pl-PL"/>
        </w:rPr>
      </w:pPr>
      <w:bookmarkStart w:id="0" w:name="_GoBack"/>
      <w:bookmarkEnd w:id="0"/>
    </w:p>
    <w:p w14:paraId="6A175AC3" w14:textId="55C541D4" w:rsidR="006C5F23" w:rsidRPr="002F0C53" w:rsidRDefault="00537DF4" w:rsidP="00211DE6">
      <w:pPr>
        <w:pStyle w:val="OZNRODZAKTUtznustawalubrozporzdzenieiorganwydajcy"/>
        <w:spacing w:after="0" w:line="240" w:lineRule="auto"/>
        <w:rPr>
          <w:rFonts w:ascii="Times New Roman" w:hAnsi="Times New Roman"/>
        </w:rPr>
      </w:pPr>
      <w:r w:rsidRPr="002F0C53">
        <w:rPr>
          <w:rFonts w:ascii="Times New Roman" w:hAnsi="Times New Roman"/>
        </w:rPr>
        <w:t>uzasadnienie</w:t>
      </w:r>
    </w:p>
    <w:p w14:paraId="13E7A70F" w14:textId="77777777" w:rsidR="00F94820" w:rsidRDefault="00F94820" w:rsidP="004853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D919D6" w14:textId="77777777" w:rsidR="00A072A3" w:rsidRPr="002F0C53" w:rsidRDefault="00A072A3" w:rsidP="004853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1DED29D" w14:textId="7A3A8155" w:rsidR="00E2306D" w:rsidRPr="002F0C53" w:rsidRDefault="00E2306D" w:rsidP="00485307">
      <w:pPr>
        <w:pStyle w:val="NIEARTTEKSTtekstnieartykuowanynppodstprawnarozplubpreambua"/>
        <w:spacing w:before="0" w:after="120" w:line="240" w:lineRule="auto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 w:rsidRPr="002F0C53">
        <w:rPr>
          <w:rFonts w:ascii="Times New Roman" w:hAnsi="Times New Roman" w:cs="Times New Roman"/>
          <w:color w:val="000000" w:themeColor="text1"/>
          <w:szCs w:val="24"/>
        </w:rPr>
        <w:t>Celem projektu jest dokonanie zmian w krajowym porządku prawnym w związku z wejściem w życie regulacji Unii Europejskiej stanowiących wynik przeglądu przepisów d</w:t>
      </w:r>
      <w:r w:rsidR="00EB4207">
        <w:rPr>
          <w:rFonts w:ascii="Times New Roman" w:hAnsi="Times New Roman" w:cs="Times New Roman"/>
          <w:color w:val="000000" w:themeColor="text1"/>
          <w:szCs w:val="24"/>
        </w:rPr>
        <w:t xml:space="preserve">otyczących </w:t>
      </w:r>
      <w:r w:rsidRPr="002F0C53">
        <w:rPr>
          <w:rFonts w:ascii="Times New Roman" w:hAnsi="Times New Roman" w:cs="Times New Roman"/>
          <w:color w:val="000000" w:themeColor="text1"/>
          <w:szCs w:val="24"/>
        </w:rPr>
        <w:t xml:space="preserve">  Europejskich Urzędów Nadzoru (</w:t>
      </w:r>
      <w:proofErr w:type="spellStart"/>
      <w:r w:rsidRPr="002F0C53">
        <w:rPr>
          <w:rFonts w:ascii="Times New Roman" w:hAnsi="Times New Roman" w:cs="Times New Roman"/>
          <w:color w:val="000000" w:themeColor="text1"/>
          <w:szCs w:val="24"/>
        </w:rPr>
        <w:t>ESAs</w:t>
      </w:r>
      <w:proofErr w:type="spellEnd"/>
      <w:r w:rsidRPr="002F0C53">
        <w:rPr>
          <w:rFonts w:ascii="Times New Roman" w:hAnsi="Times New Roman" w:cs="Times New Roman"/>
          <w:color w:val="000000" w:themeColor="text1"/>
          <w:szCs w:val="24"/>
        </w:rPr>
        <w:t>).</w:t>
      </w:r>
    </w:p>
    <w:p w14:paraId="3C42C2A1" w14:textId="3D9F98CB" w:rsidR="00E2306D" w:rsidRPr="002F0C53" w:rsidRDefault="00E2306D" w:rsidP="00485307">
      <w:pPr>
        <w:pStyle w:val="NIEARTTEKSTtekstnieartykuowanynppodstprawnarozplubpreambua"/>
        <w:spacing w:before="0" w:after="120" w:line="240" w:lineRule="auto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 w:rsidRPr="002F0C53">
        <w:rPr>
          <w:rFonts w:ascii="Times New Roman" w:hAnsi="Times New Roman" w:cs="Times New Roman"/>
          <w:color w:val="000000" w:themeColor="text1"/>
          <w:szCs w:val="24"/>
        </w:rPr>
        <w:t xml:space="preserve">Na </w:t>
      </w:r>
      <w:proofErr w:type="spellStart"/>
      <w:r w:rsidRPr="002F0C53">
        <w:rPr>
          <w:rFonts w:ascii="Times New Roman" w:hAnsi="Times New Roman" w:cs="Times New Roman"/>
          <w:color w:val="000000" w:themeColor="text1"/>
          <w:szCs w:val="24"/>
        </w:rPr>
        <w:t>ESAs</w:t>
      </w:r>
      <w:proofErr w:type="spellEnd"/>
      <w:r w:rsidRPr="002F0C53">
        <w:rPr>
          <w:rFonts w:ascii="Times New Roman" w:hAnsi="Times New Roman" w:cs="Times New Roman"/>
          <w:color w:val="000000" w:themeColor="text1"/>
          <w:szCs w:val="24"/>
        </w:rPr>
        <w:t xml:space="preserve"> składają się Europejski Urząd Nadzoru Bankowego (EBA), Europejski Urząd Nadzoru Giełd i Papierów Wartościowych </w:t>
      </w:r>
      <w:r w:rsidR="00EB4207">
        <w:rPr>
          <w:rFonts w:ascii="Times New Roman" w:hAnsi="Times New Roman" w:cs="Times New Roman"/>
          <w:color w:val="000000" w:themeColor="text1"/>
          <w:szCs w:val="24"/>
        </w:rPr>
        <w:t>(</w:t>
      </w:r>
      <w:r w:rsidRPr="002F0C53">
        <w:rPr>
          <w:rFonts w:ascii="Times New Roman" w:hAnsi="Times New Roman" w:cs="Times New Roman"/>
          <w:color w:val="000000" w:themeColor="text1"/>
          <w:szCs w:val="24"/>
        </w:rPr>
        <w:t>ESMA) oraz Europejski Urząd Ubezpieczeń i</w:t>
      </w:r>
      <w:r w:rsidR="001B2F8B" w:rsidRPr="002F0C53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2F0C53">
        <w:rPr>
          <w:rFonts w:ascii="Times New Roman" w:hAnsi="Times New Roman" w:cs="Times New Roman"/>
          <w:color w:val="000000" w:themeColor="text1"/>
          <w:szCs w:val="24"/>
        </w:rPr>
        <w:t>Pracowniczych Programów Emerytalnych (EIOPA). Urzędy powstały jako odpowiedź na kryzys finansowy lat 2007</w:t>
      </w:r>
      <w:r w:rsidRPr="002F0C53">
        <w:rPr>
          <w:rFonts w:ascii="Times New Roman" w:hAnsi="Times New Roman" w:cs="Times New Roman"/>
          <w:szCs w:val="24"/>
        </w:rPr>
        <w:t>–</w:t>
      </w:r>
      <w:r w:rsidRPr="002F0C53">
        <w:rPr>
          <w:rFonts w:ascii="Times New Roman" w:hAnsi="Times New Roman" w:cs="Times New Roman"/>
          <w:color w:val="000000" w:themeColor="text1"/>
          <w:szCs w:val="24"/>
        </w:rPr>
        <w:t>2008, a ich celem jest zrównoważone wzmocnienie stabilności i</w:t>
      </w:r>
      <w:r w:rsidR="001B2F8B" w:rsidRPr="002F0C53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2F0C53">
        <w:rPr>
          <w:rFonts w:ascii="Times New Roman" w:hAnsi="Times New Roman" w:cs="Times New Roman"/>
          <w:color w:val="000000" w:themeColor="text1"/>
          <w:szCs w:val="24"/>
        </w:rPr>
        <w:t>efektywności systemu finansowego w całej Unii oraz poprawa ochrony konsumentów i</w:t>
      </w:r>
      <w:r w:rsidR="001B2F8B" w:rsidRPr="002F0C53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2F0C53">
        <w:rPr>
          <w:rFonts w:ascii="Times New Roman" w:hAnsi="Times New Roman" w:cs="Times New Roman"/>
          <w:color w:val="000000" w:themeColor="text1"/>
          <w:szCs w:val="24"/>
        </w:rPr>
        <w:t xml:space="preserve">inwestorów. </w:t>
      </w:r>
    </w:p>
    <w:p w14:paraId="68315C0C" w14:textId="77777777" w:rsidR="00E2306D" w:rsidRPr="002F0C53" w:rsidRDefault="00E2306D" w:rsidP="00485307">
      <w:pPr>
        <w:pStyle w:val="NIEARTTEKSTtekstnieartykuowanynppodstprawnarozplubpreambua"/>
        <w:spacing w:before="0" w:after="120" w:line="240" w:lineRule="auto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 w:rsidRPr="002F0C53">
        <w:rPr>
          <w:rFonts w:ascii="Times New Roman" w:hAnsi="Times New Roman" w:cs="Times New Roman"/>
          <w:color w:val="000000" w:themeColor="text1"/>
          <w:szCs w:val="24"/>
        </w:rPr>
        <w:t>Regulacje unijne obejmują:</w:t>
      </w:r>
    </w:p>
    <w:p w14:paraId="48A53617" w14:textId="1690D0C8" w:rsidR="00E2306D" w:rsidRPr="00211DE6" w:rsidRDefault="00E2306D" w:rsidP="00211DE6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11D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211DE6">
        <w:rPr>
          <w:rFonts w:ascii="Times New Roman" w:hAnsi="Times New Roman" w:cs="Times New Roman"/>
          <w:sz w:val="24"/>
          <w:szCs w:val="24"/>
        </w:rPr>
        <w:t>yrektywę Parlamentu Europejskiego i Rady (UE) 2019/2177 z dnia 18 grudnia 2019 r. zmieniającą dyrektywę 2009/138/WE w sprawie podejmowania i prowadzenia działalności ubezpieczeniowej i reasekuracyjnej (Wypłacalność II), dyrektywę  2014/65/UE w sprawie rynków instrumentów finansowych oraz dyrektywę (UE) 2015/849 w sprawie zapobiegania wykorzystywaniu systemu finansowego do prania pieniędzy lub finansowania terroryzmu (Dz. Urz. UE L 334 z 27.12.2019, str. 155), dalej „dyrektywa 2019/2177”</w:t>
      </w:r>
      <w:r w:rsidR="001B2F8B" w:rsidRPr="00211DE6">
        <w:rPr>
          <w:rFonts w:ascii="Times New Roman" w:hAnsi="Times New Roman" w:cs="Times New Roman"/>
          <w:sz w:val="24"/>
          <w:szCs w:val="24"/>
        </w:rPr>
        <w:t>,</w:t>
      </w:r>
    </w:p>
    <w:p w14:paraId="0518E242" w14:textId="11C6F0DC" w:rsidR="00E2306D" w:rsidRPr="002F0C53" w:rsidRDefault="00E2306D" w:rsidP="00211DE6">
      <w:pPr>
        <w:pStyle w:val="PKTODNONIKApunktodnonika"/>
        <w:numPr>
          <w:ilvl w:val="0"/>
          <w:numId w:val="5"/>
        </w:numPr>
        <w:rPr>
          <w:rFonts w:cs="Times New Roman"/>
          <w:sz w:val="24"/>
          <w:szCs w:val="24"/>
        </w:rPr>
      </w:pPr>
      <w:r w:rsidRPr="002F0C53">
        <w:rPr>
          <w:rFonts w:cs="Times New Roman"/>
          <w:sz w:val="24"/>
          <w:szCs w:val="24"/>
        </w:rPr>
        <w:t>rozporządzenie Parlamentu Europejskiego i Rady (UE) nr 2019/2175 z dnia 18 grudnia 2019 r. zmieniające rozporządzenie (UE) nr 1093/2010 w sprawie ustanowienia Europejskiego Urzędu Nadzoru (Europejskiego Urzędu Nadzoru Bankowego), rozporządzenie (UE) nr 1094/2010 w sprawie ustanowienia Europejskiego Urzędu Nadzoru (Europejskiego Urzędu Nadzoru Ubezpieczeń i Pracowniczych Planów Emerytalnych), rozporządzenie (UE) nr 1095/2010 w sprawie ustanowienia Europejskiego Urzędu Nadzoru (Europejskiego Urzędu Nadzoru Giełd i Papierów Wartościowych), rozporządzenie (UE) nr 600/2014 w sprawie rynków instrumentów finansowych, rozporządzenie (UE) 2016/1011 w sprawie indeksów stosowanych jako wskaźniki referencyjne w instrumentach finansowych i umowach finansowych lub do pomiaru wyników funduszy inwestycyjnych oraz rozporządzenie (UE) 2015/847 w sprawie informacji towarzyszących transferom środków pieniężnych (Dz. Urz. UE L 334 z 27.12.2019, str. 1).</w:t>
      </w:r>
    </w:p>
    <w:p w14:paraId="26AC9F8C" w14:textId="77777777" w:rsidR="00E2306D" w:rsidRPr="002F0C53" w:rsidRDefault="00E2306D" w:rsidP="00485307">
      <w:pPr>
        <w:pStyle w:val="PKTODNONIKApunktodnonika"/>
        <w:rPr>
          <w:rFonts w:cs="Times New Roman"/>
          <w:sz w:val="24"/>
          <w:szCs w:val="24"/>
        </w:rPr>
      </w:pPr>
    </w:p>
    <w:p w14:paraId="19A1B35A" w14:textId="77777777" w:rsidR="001B2F8B" w:rsidRPr="00DA104D" w:rsidRDefault="001B2F8B" w:rsidP="001B2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 xml:space="preserve">Zmianie ulegają przepisy dotyczące działalności dostawców usług w zakresie udostępniania informacji, którzy świadczą usługi jako zatwierdzony podmiot publikujący, zatwierdzony mechanizm sprawozdawczy lub dostawca informacji skonsolidowanych. </w:t>
      </w:r>
    </w:p>
    <w:p w14:paraId="50F15FE5" w14:textId="77777777" w:rsidR="001B2F8B" w:rsidRPr="00DA104D" w:rsidRDefault="001B2F8B" w:rsidP="001B2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 xml:space="preserve">Dotychczas dostawcy usług w zakresie udostępniania informacji uzyskiwali zezwolenia oraz byli nadzorowani przez krajowe organy nadzoru. Transgraniczny wymiar przetwarzania danych w Unii Europejskiej oraz negatywny wpływ ewentualnych rozbieżności w praktykach nadzorczych różnych państw członkowskich wpływał jednak negatywnie na jakość danych transakcyjnych i zadania dostawców usług w zakresie udostępniania informacji. </w:t>
      </w:r>
    </w:p>
    <w:p w14:paraId="1D309AF8" w14:textId="2897AC71" w:rsidR="001B2F8B" w:rsidRPr="00DA104D" w:rsidRDefault="001B2F8B" w:rsidP="001B2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 xml:space="preserve">Dlatego wprowadzone zostały rozwiązania polegające na przeniesieniu uprawnień do udzielania zezwoleń dostawcom usług w zakresie udostępniania informacji oraz nadzoru nad nimi z poziomu właściwych organów krajowych do ESMA. Wyjątkiem będą zatwierdzone </w:t>
      </w:r>
      <w:r w:rsidRPr="00DA104D">
        <w:rPr>
          <w:rFonts w:ascii="Times New Roman" w:hAnsi="Times New Roman" w:cs="Times New Roman"/>
          <w:sz w:val="24"/>
          <w:szCs w:val="24"/>
        </w:rPr>
        <w:lastRenderedPageBreak/>
        <w:t>podmioty publikujące lub zatwierdzone mechanizmy sprawozdawcze, które z racji ich ograniczonego znaczenia dla rynku wewnętrznego zostały wyłączone spod bezpośredniego nadzoru ESMA</w:t>
      </w:r>
      <w:r w:rsidR="00F36990">
        <w:rPr>
          <w:rFonts w:ascii="Times New Roman" w:hAnsi="Times New Roman" w:cs="Times New Roman"/>
          <w:sz w:val="24"/>
          <w:szCs w:val="24"/>
        </w:rPr>
        <w:t>,</w:t>
      </w:r>
      <w:r w:rsidRPr="00DA104D">
        <w:rPr>
          <w:rFonts w:ascii="Times New Roman" w:hAnsi="Times New Roman" w:cs="Times New Roman"/>
          <w:sz w:val="24"/>
          <w:szCs w:val="24"/>
        </w:rPr>
        <w:t xml:space="preserve"> i nie podlegają wymogowi uzyskania zezwolenia od tego Urzędu. Możliwość korzystania z odstępstwa</w:t>
      </w:r>
      <w:r w:rsidR="00D9509F">
        <w:rPr>
          <w:rFonts w:ascii="Times New Roman" w:hAnsi="Times New Roman" w:cs="Times New Roman"/>
          <w:sz w:val="24"/>
          <w:szCs w:val="24"/>
        </w:rPr>
        <w:t xml:space="preserve"> polegającego na pozostaniu danego podmiotu pod nadzorem krajowego organu nadzoru (nadzór nie przejdzie na poziom ESMA) </w:t>
      </w:r>
      <w:r w:rsidRPr="00DA104D">
        <w:rPr>
          <w:rFonts w:ascii="Times New Roman" w:hAnsi="Times New Roman" w:cs="Times New Roman"/>
          <w:sz w:val="24"/>
          <w:szCs w:val="24"/>
        </w:rPr>
        <w:t xml:space="preserve"> będzie uzależniona od spełnienia kryteriów służących identyfikacji tych podmiotów w akcie delegowanym wydanym przez Komisję Europejską.</w:t>
      </w:r>
    </w:p>
    <w:p w14:paraId="6CB5DB7B" w14:textId="22987E34" w:rsidR="001B2F8B" w:rsidRPr="00DA104D" w:rsidRDefault="001B2F8B" w:rsidP="001B2F8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4D">
        <w:rPr>
          <w:rFonts w:ascii="Times New Roman" w:hAnsi="Times New Roman" w:cs="Times New Roman"/>
          <w:color w:val="000000"/>
          <w:sz w:val="24"/>
          <w:szCs w:val="24"/>
        </w:rPr>
        <w:t>Z uwagi na rosnący udział transgranicznej działalności ubezpieczeniowej i reasekuracyjnej wykonywanej przez zakłady ubezpieczeń i zakłady reasekuracji na zasadzie swobody świadczenia usług lub przez oddział</w:t>
      </w:r>
      <w:r w:rsidR="00F71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104D">
        <w:rPr>
          <w:rFonts w:ascii="Times New Roman" w:hAnsi="Times New Roman" w:cs="Times New Roman"/>
          <w:color w:val="000000"/>
          <w:sz w:val="24"/>
          <w:szCs w:val="24"/>
        </w:rPr>
        <w:t xml:space="preserve"> oraz przypadki niewypłacalności i upadłości europejskich zakładów ubezpieczeń wykonujących znaczącą działalność transgraniczną,   konieczne jest także wzmocnienie nadzoru nad tego typu działalnością i zapewnienie bardziej efektywnej ochrony klientów takich zakładów. </w:t>
      </w:r>
    </w:p>
    <w:p w14:paraId="66E44C73" w14:textId="4E68FB9D" w:rsidR="00B12BB1" w:rsidRPr="00211DE6" w:rsidRDefault="00A570C6" w:rsidP="00211DE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104D">
        <w:rPr>
          <w:rFonts w:ascii="Times New Roman" w:hAnsi="Times New Roman"/>
          <w:color w:val="000000"/>
          <w:sz w:val="24"/>
          <w:szCs w:val="24"/>
        </w:rPr>
        <w:t xml:space="preserve">Występujące na rynku europejskim nieprawidłowości powodują konieczność zapewnienia koordynacji działań  organów nadzorczych, na terytorium których dany zakład ubezpieczeń lub  zakład  reasekuracji wykonuje działalność transgraniczną,  i usprawnienia komunikacji pomiędzy tymi organami. Dlatego konieczne jest wprowadzenie mechanizmów wzajemnego przekazywania informacji pomiędzy organami nadzorczymi poszczególnych państwa członkowskich i EIOPA. Pozwoli to na podjęcie odpowiednich działań prewencyjnych i interwencji. Ważnym narzędziem poprawiającym skuteczność nadzoru nad działalnością transgraniczną podmiotów rynku ubezpieczeniowego będą platformy współpracy  ustanawiane przez właściwe organy nadzorcze albo EIOPA. </w:t>
      </w:r>
    </w:p>
    <w:p w14:paraId="36EF547F" w14:textId="7D182A11" w:rsidR="008E2312" w:rsidRPr="00A570C6" w:rsidRDefault="00677021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53">
        <w:rPr>
          <w:rFonts w:ascii="Times New Roman" w:hAnsi="Times New Roman" w:cs="Times New Roman"/>
          <w:sz w:val="24"/>
          <w:szCs w:val="24"/>
        </w:rPr>
        <w:t>W projek</w:t>
      </w:r>
      <w:r w:rsidR="008E2312" w:rsidRPr="00A570C6">
        <w:rPr>
          <w:rFonts w:ascii="Times New Roman" w:hAnsi="Times New Roman" w:cs="Times New Roman"/>
          <w:sz w:val="24"/>
          <w:szCs w:val="24"/>
        </w:rPr>
        <w:t xml:space="preserve">cie </w:t>
      </w:r>
      <w:r w:rsidRPr="00A570C6">
        <w:rPr>
          <w:rFonts w:ascii="Times New Roman" w:hAnsi="Times New Roman" w:cs="Times New Roman"/>
          <w:sz w:val="24"/>
          <w:szCs w:val="24"/>
        </w:rPr>
        <w:t xml:space="preserve">ustawy </w:t>
      </w:r>
      <w:r w:rsidR="001B2F8B" w:rsidRPr="00A570C6">
        <w:rPr>
          <w:rFonts w:ascii="Times New Roman" w:hAnsi="Times New Roman" w:cs="Times New Roman"/>
          <w:sz w:val="24"/>
          <w:szCs w:val="24"/>
        </w:rPr>
        <w:t>zmieniane są następujące akty prawne</w:t>
      </w:r>
      <w:r w:rsidR="008E2312" w:rsidRPr="00A570C6">
        <w:rPr>
          <w:rFonts w:ascii="Times New Roman" w:hAnsi="Times New Roman" w:cs="Times New Roman"/>
          <w:sz w:val="24"/>
          <w:szCs w:val="24"/>
        </w:rPr>
        <w:t>:</w:t>
      </w:r>
    </w:p>
    <w:p w14:paraId="4390795C" w14:textId="5DBF29C4" w:rsidR="008E2312" w:rsidRPr="00211DE6" w:rsidRDefault="00677021" w:rsidP="00211D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E6">
        <w:rPr>
          <w:rFonts w:ascii="Times New Roman" w:hAnsi="Times New Roman" w:cs="Times New Roman"/>
          <w:sz w:val="24"/>
          <w:szCs w:val="24"/>
        </w:rPr>
        <w:t>ustaw</w:t>
      </w:r>
      <w:r w:rsidR="001B2F8B" w:rsidRPr="00211DE6">
        <w:rPr>
          <w:rFonts w:ascii="Times New Roman" w:hAnsi="Times New Roman" w:cs="Times New Roman"/>
          <w:sz w:val="24"/>
          <w:szCs w:val="24"/>
        </w:rPr>
        <w:t>a</w:t>
      </w:r>
      <w:r w:rsidR="00900770" w:rsidRPr="00211DE6">
        <w:rPr>
          <w:rFonts w:ascii="Times New Roman" w:hAnsi="Times New Roman" w:cs="Times New Roman"/>
          <w:sz w:val="24"/>
          <w:szCs w:val="24"/>
        </w:rPr>
        <w:t xml:space="preserve"> z dnia 29 lipca 2005 r. o obrocie instrumentami finansowymi</w:t>
      </w:r>
      <w:r w:rsidR="00CA17B7" w:rsidRPr="00211DE6">
        <w:rPr>
          <w:rFonts w:ascii="Times New Roman" w:hAnsi="Times New Roman" w:cs="Times New Roman"/>
          <w:sz w:val="24"/>
          <w:szCs w:val="24"/>
        </w:rPr>
        <w:t xml:space="preserve"> </w:t>
      </w:r>
      <w:r w:rsidR="006B4E07" w:rsidRPr="00211DE6">
        <w:rPr>
          <w:rFonts w:ascii="Times New Roman" w:hAnsi="Times New Roman" w:cs="Times New Roman"/>
          <w:sz w:val="24"/>
          <w:szCs w:val="24"/>
        </w:rPr>
        <w:t xml:space="preserve">(Dz. U. z 2020 r. poz. 89, </w:t>
      </w:r>
      <w:r w:rsidR="008E2312" w:rsidRPr="00211DE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E2312" w:rsidRPr="00211D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E2312" w:rsidRPr="00211DE6">
        <w:rPr>
          <w:rFonts w:ascii="Times New Roman" w:hAnsi="Times New Roman" w:cs="Times New Roman"/>
          <w:sz w:val="24"/>
          <w:szCs w:val="24"/>
        </w:rPr>
        <w:t>. zm.</w:t>
      </w:r>
      <w:r w:rsidR="00CA17B7" w:rsidRPr="00211DE6">
        <w:rPr>
          <w:rFonts w:ascii="Times New Roman" w:hAnsi="Times New Roman" w:cs="Times New Roman"/>
          <w:sz w:val="24"/>
          <w:szCs w:val="24"/>
        </w:rPr>
        <w:t>)</w:t>
      </w:r>
      <w:r w:rsidR="008E2312" w:rsidRPr="00211DE6">
        <w:rPr>
          <w:rFonts w:ascii="Times New Roman" w:hAnsi="Times New Roman" w:cs="Times New Roman"/>
          <w:sz w:val="24"/>
          <w:szCs w:val="24"/>
        </w:rPr>
        <w:t xml:space="preserve"> </w:t>
      </w:r>
      <w:r w:rsidR="00211DE6" w:rsidRPr="00211DE6">
        <w:rPr>
          <w:rFonts w:ascii="Times New Roman" w:hAnsi="Times New Roman" w:cs="Times New Roman"/>
          <w:sz w:val="24"/>
          <w:szCs w:val="24"/>
        </w:rPr>
        <w:t>–</w:t>
      </w:r>
      <w:r w:rsidR="008E2312" w:rsidRPr="00211DE6">
        <w:rPr>
          <w:rFonts w:ascii="Times New Roman" w:hAnsi="Times New Roman" w:cs="Times New Roman"/>
          <w:sz w:val="24"/>
          <w:szCs w:val="24"/>
        </w:rPr>
        <w:t xml:space="preserve"> </w:t>
      </w:r>
      <w:r w:rsidR="008E2312" w:rsidRPr="00211DE6">
        <w:rPr>
          <w:rFonts w:ascii="Times New Roman" w:hAnsi="Times New Roman" w:cs="Times New Roman"/>
          <w:b/>
          <w:sz w:val="24"/>
          <w:szCs w:val="24"/>
        </w:rPr>
        <w:t>art. 1</w:t>
      </w:r>
      <w:r w:rsidR="001B2F8B" w:rsidRPr="00211DE6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8E2312" w:rsidRPr="00211DE6">
        <w:rPr>
          <w:rFonts w:ascii="Times New Roman" w:hAnsi="Times New Roman" w:cs="Times New Roman"/>
          <w:sz w:val="24"/>
          <w:szCs w:val="24"/>
        </w:rPr>
        <w:t>,</w:t>
      </w:r>
    </w:p>
    <w:p w14:paraId="2A2B0BC5" w14:textId="13DB0A08" w:rsidR="008E2312" w:rsidRPr="00211DE6" w:rsidRDefault="00900770" w:rsidP="00211D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E6">
        <w:rPr>
          <w:rFonts w:ascii="Times New Roman" w:hAnsi="Times New Roman" w:cs="Times New Roman"/>
          <w:sz w:val="24"/>
          <w:szCs w:val="24"/>
        </w:rPr>
        <w:t>ustaw</w:t>
      </w:r>
      <w:r w:rsidR="001B2F8B" w:rsidRPr="00211DE6">
        <w:rPr>
          <w:rFonts w:ascii="Times New Roman" w:hAnsi="Times New Roman" w:cs="Times New Roman"/>
          <w:sz w:val="24"/>
          <w:szCs w:val="24"/>
        </w:rPr>
        <w:t>a</w:t>
      </w:r>
      <w:r w:rsidRPr="00211DE6">
        <w:rPr>
          <w:rFonts w:ascii="Times New Roman" w:hAnsi="Times New Roman" w:cs="Times New Roman"/>
          <w:sz w:val="24"/>
          <w:szCs w:val="24"/>
        </w:rPr>
        <w:t xml:space="preserve"> z dnia 29 lipca 2005 r. o nadzorze nad rynkiem kapitałowym</w:t>
      </w:r>
      <w:r w:rsidR="00CA17B7" w:rsidRPr="00211DE6">
        <w:rPr>
          <w:rFonts w:ascii="Times New Roman" w:hAnsi="Times New Roman" w:cs="Times New Roman"/>
          <w:sz w:val="24"/>
          <w:szCs w:val="24"/>
        </w:rPr>
        <w:t xml:space="preserve"> </w:t>
      </w:r>
      <w:r w:rsidR="006B4E07" w:rsidRPr="00211DE6">
        <w:rPr>
          <w:rFonts w:ascii="Times New Roman" w:hAnsi="Times New Roman" w:cs="Times New Roman"/>
          <w:sz w:val="24"/>
          <w:szCs w:val="24"/>
        </w:rPr>
        <w:t>(Dz. U. z 2019 r. poz. 1871</w:t>
      </w:r>
      <w:r w:rsidR="008E2312" w:rsidRPr="00211DE6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8E2312" w:rsidRPr="00211D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E2312" w:rsidRPr="00211DE6">
        <w:rPr>
          <w:rFonts w:ascii="Times New Roman" w:hAnsi="Times New Roman" w:cs="Times New Roman"/>
          <w:sz w:val="24"/>
          <w:szCs w:val="24"/>
        </w:rPr>
        <w:t xml:space="preserve">. zm.) – </w:t>
      </w:r>
      <w:r w:rsidR="008E2312" w:rsidRPr="00211DE6">
        <w:rPr>
          <w:rFonts w:ascii="Times New Roman" w:hAnsi="Times New Roman" w:cs="Times New Roman"/>
          <w:b/>
          <w:sz w:val="24"/>
          <w:szCs w:val="24"/>
        </w:rPr>
        <w:t>art. 2</w:t>
      </w:r>
      <w:r w:rsidR="001B2F8B" w:rsidRPr="00211DE6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8E2312" w:rsidRPr="00211DE6">
        <w:rPr>
          <w:rFonts w:ascii="Times New Roman" w:hAnsi="Times New Roman" w:cs="Times New Roman"/>
          <w:b/>
          <w:sz w:val="24"/>
          <w:szCs w:val="24"/>
        </w:rPr>
        <w:t>,</w:t>
      </w:r>
    </w:p>
    <w:p w14:paraId="12C20499" w14:textId="5B16BFDF" w:rsidR="008E2312" w:rsidRPr="00211DE6" w:rsidRDefault="006B4E07" w:rsidP="00211D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E6">
        <w:rPr>
          <w:rFonts w:ascii="Times New Roman" w:hAnsi="Times New Roman" w:cs="Times New Roman"/>
          <w:sz w:val="24"/>
          <w:szCs w:val="24"/>
        </w:rPr>
        <w:t xml:space="preserve"> </w:t>
      </w:r>
      <w:r w:rsidR="003D057D" w:rsidRPr="00211DE6">
        <w:rPr>
          <w:rFonts w:ascii="Times New Roman" w:hAnsi="Times New Roman" w:cs="Times New Roman"/>
          <w:sz w:val="24"/>
          <w:szCs w:val="24"/>
        </w:rPr>
        <w:t>ustaw</w:t>
      </w:r>
      <w:r w:rsidR="001B2F8B" w:rsidRPr="00211DE6">
        <w:rPr>
          <w:rFonts w:ascii="Times New Roman" w:hAnsi="Times New Roman" w:cs="Times New Roman"/>
          <w:sz w:val="24"/>
          <w:szCs w:val="24"/>
        </w:rPr>
        <w:t>a</w:t>
      </w:r>
      <w:r w:rsidR="003D057D" w:rsidRPr="00211DE6">
        <w:rPr>
          <w:rFonts w:ascii="Times New Roman" w:hAnsi="Times New Roman" w:cs="Times New Roman"/>
          <w:sz w:val="24"/>
          <w:szCs w:val="24"/>
        </w:rPr>
        <w:t xml:space="preserve"> z dnia 11 września 2015 r.</w:t>
      </w:r>
      <w:r w:rsidR="0017681F" w:rsidRPr="00211DE6">
        <w:rPr>
          <w:rFonts w:ascii="Times New Roman" w:hAnsi="Times New Roman" w:cs="Times New Roman"/>
          <w:sz w:val="24"/>
          <w:szCs w:val="24"/>
        </w:rPr>
        <w:t xml:space="preserve"> </w:t>
      </w:r>
      <w:r w:rsidR="003D057D" w:rsidRPr="00211DE6">
        <w:rPr>
          <w:rFonts w:ascii="Times New Roman" w:hAnsi="Times New Roman" w:cs="Times New Roman"/>
          <w:sz w:val="24"/>
          <w:szCs w:val="24"/>
        </w:rPr>
        <w:t>o działalności ubezpieczeniowej i reasekuracyjnej</w:t>
      </w:r>
      <w:r w:rsidR="00CA17B7" w:rsidRPr="00211DE6">
        <w:rPr>
          <w:rFonts w:ascii="Times New Roman" w:hAnsi="Times New Roman" w:cs="Times New Roman"/>
          <w:sz w:val="24"/>
          <w:szCs w:val="24"/>
        </w:rPr>
        <w:t xml:space="preserve"> (Dz. U. z</w:t>
      </w:r>
      <w:r w:rsidR="00DD4AC9" w:rsidRPr="00211DE6">
        <w:rPr>
          <w:rFonts w:ascii="Times New Roman" w:hAnsi="Times New Roman" w:cs="Times New Roman"/>
          <w:sz w:val="24"/>
          <w:szCs w:val="24"/>
        </w:rPr>
        <w:t xml:space="preserve"> 2020 r. poz. 895</w:t>
      </w:r>
      <w:r w:rsidR="00431325">
        <w:rPr>
          <w:rFonts w:ascii="Times New Roman" w:hAnsi="Times New Roman" w:cs="Times New Roman"/>
          <w:sz w:val="24"/>
          <w:szCs w:val="24"/>
        </w:rPr>
        <w:t xml:space="preserve">) </w:t>
      </w:r>
      <w:r w:rsidR="008E2312" w:rsidRPr="00211DE6">
        <w:rPr>
          <w:rFonts w:ascii="Times New Roman" w:hAnsi="Times New Roman" w:cs="Times New Roman"/>
          <w:sz w:val="24"/>
          <w:szCs w:val="24"/>
        </w:rPr>
        <w:t xml:space="preserve">– </w:t>
      </w:r>
      <w:r w:rsidR="008E2312" w:rsidRPr="00211DE6">
        <w:rPr>
          <w:rFonts w:ascii="Times New Roman" w:hAnsi="Times New Roman" w:cs="Times New Roman"/>
          <w:b/>
          <w:sz w:val="24"/>
          <w:szCs w:val="24"/>
        </w:rPr>
        <w:t>art. 3</w:t>
      </w:r>
      <w:r w:rsidR="002F0C53" w:rsidRPr="00211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F8B" w:rsidRPr="00211DE6">
        <w:rPr>
          <w:rFonts w:ascii="Times New Roman" w:hAnsi="Times New Roman" w:cs="Times New Roman"/>
          <w:b/>
          <w:sz w:val="24"/>
          <w:szCs w:val="24"/>
        </w:rPr>
        <w:t>projektu</w:t>
      </w:r>
      <w:r w:rsidR="008E2312" w:rsidRPr="00211DE6">
        <w:rPr>
          <w:rFonts w:ascii="Times New Roman" w:hAnsi="Times New Roman" w:cs="Times New Roman"/>
          <w:b/>
          <w:sz w:val="24"/>
          <w:szCs w:val="24"/>
        </w:rPr>
        <w:t>.</w:t>
      </w:r>
    </w:p>
    <w:p w14:paraId="5D9081CF" w14:textId="77777777" w:rsidR="006C5F23" w:rsidRPr="00DA104D" w:rsidRDefault="006C5F23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41437" w14:textId="37F0234E" w:rsidR="0030748D" w:rsidRDefault="00C3219B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 xml:space="preserve">W </w:t>
      </w:r>
      <w:r w:rsidR="00677021" w:rsidRPr="00DA104D">
        <w:rPr>
          <w:rFonts w:ascii="Times New Roman" w:hAnsi="Times New Roman" w:cs="Times New Roman"/>
          <w:b/>
          <w:sz w:val="24"/>
          <w:szCs w:val="24"/>
        </w:rPr>
        <w:t>art. 1 pkt 1</w:t>
      </w:r>
      <w:r w:rsidR="00677021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6B4E07" w:rsidRPr="00DA104D">
        <w:rPr>
          <w:rFonts w:ascii="Times New Roman" w:hAnsi="Times New Roman" w:cs="Times New Roman"/>
          <w:b/>
          <w:sz w:val="24"/>
          <w:szCs w:val="24"/>
        </w:rPr>
        <w:t>projektu</w:t>
      </w:r>
      <w:r w:rsidR="006B4E07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30748D" w:rsidRPr="00DA104D">
        <w:rPr>
          <w:rFonts w:ascii="Times New Roman" w:hAnsi="Times New Roman" w:cs="Times New Roman"/>
          <w:sz w:val="24"/>
          <w:szCs w:val="24"/>
        </w:rPr>
        <w:t xml:space="preserve">dostosowano słowniczek pojęć zamieszczony w art. 3 </w:t>
      </w:r>
      <w:r w:rsidR="00001E14">
        <w:rPr>
          <w:rFonts w:ascii="Times New Roman" w:hAnsi="Times New Roman" w:cs="Times New Roman"/>
          <w:sz w:val="24"/>
          <w:szCs w:val="24"/>
        </w:rPr>
        <w:t>ustawy o </w:t>
      </w:r>
      <w:r w:rsidR="008268EF" w:rsidRPr="00DA104D">
        <w:rPr>
          <w:rFonts w:ascii="Times New Roman" w:hAnsi="Times New Roman" w:cs="Times New Roman"/>
          <w:sz w:val="24"/>
          <w:szCs w:val="24"/>
        </w:rPr>
        <w:t xml:space="preserve">obrocie </w:t>
      </w:r>
      <w:r w:rsidR="00B05D0C" w:rsidRPr="00DA104D">
        <w:rPr>
          <w:rFonts w:ascii="Times New Roman" w:hAnsi="Times New Roman" w:cs="Times New Roman"/>
          <w:sz w:val="24"/>
          <w:szCs w:val="24"/>
        </w:rPr>
        <w:t xml:space="preserve">instrumentami finansowymi („ustawa o obrocie”) </w:t>
      </w:r>
      <w:r w:rsidR="0030748D" w:rsidRPr="00DA104D">
        <w:rPr>
          <w:rFonts w:ascii="Times New Roman" w:hAnsi="Times New Roman" w:cs="Times New Roman"/>
          <w:sz w:val="24"/>
          <w:szCs w:val="24"/>
        </w:rPr>
        <w:t>do definicji zawartych w art. 2 ust. 1 pkt 34</w:t>
      </w:r>
      <w:r w:rsidR="00F347F6" w:rsidRPr="00DA104D">
        <w:rPr>
          <w:rFonts w:ascii="Times New Roman" w:hAnsi="Times New Roman" w:cs="Times New Roman"/>
          <w:sz w:val="24"/>
          <w:szCs w:val="24"/>
        </w:rPr>
        <w:t>–</w:t>
      </w:r>
      <w:r w:rsidR="0030748D" w:rsidRPr="00DA104D">
        <w:rPr>
          <w:rFonts w:ascii="Times New Roman" w:hAnsi="Times New Roman" w:cs="Times New Roman"/>
          <w:sz w:val="24"/>
          <w:szCs w:val="24"/>
        </w:rPr>
        <w:t>36</w:t>
      </w:r>
      <w:r w:rsidR="007F03CB" w:rsidRPr="00DA104D">
        <w:rPr>
          <w:rFonts w:ascii="Times New Roman" w:hAnsi="Times New Roman" w:cs="Times New Roman"/>
          <w:sz w:val="24"/>
          <w:szCs w:val="24"/>
        </w:rPr>
        <w:t>a</w:t>
      </w:r>
      <w:r w:rsidR="0030748D" w:rsidRPr="00DA104D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E3455A">
        <w:rPr>
          <w:rFonts w:ascii="Times New Roman" w:hAnsi="Times New Roman" w:cs="Times New Roman"/>
          <w:sz w:val="24"/>
          <w:szCs w:val="24"/>
        </w:rPr>
        <w:t>a</w:t>
      </w:r>
      <w:r w:rsidR="0030748D" w:rsidRPr="00DA104D">
        <w:rPr>
          <w:rFonts w:ascii="Times New Roman" w:hAnsi="Times New Roman" w:cs="Times New Roman"/>
          <w:sz w:val="24"/>
          <w:szCs w:val="24"/>
        </w:rPr>
        <w:t xml:space="preserve"> 600/2014</w:t>
      </w:r>
      <w:r w:rsidR="00A570C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0748D" w:rsidRPr="00A570C6">
        <w:rPr>
          <w:rFonts w:ascii="Times New Roman" w:hAnsi="Times New Roman" w:cs="Times New Roman"/>
          <w:sz w:val="24"/>
          <w:szCs w:val="24"/>
        </w:rPr>
        <w:t>. Słowniczek</w:t>
      </w:r>
      <w:r w:rsidR="0030748D" w:rsidRPr="002F0C53">
        <w:rPr>
          <w:rFonts w:ascii="Times New Roman" w:hAnsi="Times New Roman" w:cs="Times New Roman"/>
          <w:sz w:val="24"/>
          <w:szCs w:val="24"/>
        </w:rPr>
        <w:t xml:space="preserve"> wprowadza </w:t>
      </w:r>
      <w:r w:rsidR="00BB715F" w:rsidRPr="002F0C53">
        <w:rPr>
          <w:rFonts w:ascii="Times New Roman" w:hAnsi="Times New Roman" w:cs="Times New Roman"/>
          <w:sz w:val="24"/>
          <w:szCs w:val="24"/>
        </w:rPr>
        <w:t>now</w:t>
      </w:r>
      <w:r w:rsidR="00B05D0C" w:rsidRPr="00A570C6">
        <w:rPr>
          <w:rFonts w:ascii="Times New Roman" w:hAnsi="Times New Roman" w:cs="Times New Roman"/>
          <w:sz w:val="24"/>
          <w:szCs w:val="24"/>
        </w:rPr>
        <w:t>ą</w:t>
      </w:r>
      <w:r w:rsidR="00BB715F" w:rsidRPr="00A570C6">
        <w:rPr>
          <w:rFonts w:ascii="Times New Roman" w:hAnsi="Times New Roman" w:cs="Times New Roman"/>
          <w:sz w:val="24"/>
          <w:szCs w:val="24"/>
        </w:rPr>
        <w:t xml:space="preserve"> </w:t>
      </w:r>
      <w:r w:rsidR="00B05D0C" w:rsidRPr="00A570C6">
        <w:rPr>
          <w:rFonts w:ascii="Times New Roman" w:hAnsi="Times New Roman" w:cs="Times New Roman"/>
          <w:sz w:val="24"/>
          <w:szCs w:val="24"/>
        </w:rPr>
        <w:t xml:space="preserve">definicję </w:t>
      </w:r>
      <w:r w:rsidR="0030748D" w:rsidRPr="00A570C6">
        <w:rPr>
          <w:rFonts w:ascii="Times New Roman" w:hAnsi="Times New Roman" w:cs="Times New Roman"/>
          <w:sz w:val="24"/>
          <w:szCs w:val="24"/>
        </w:rPr>
        <w:t>zatwierdzon</w:t>
      </w:r>
      <w:r w:rsidR="00BB715F" w:rsidRPr="00A570C6">
        <w:rPr>
          <w:rFonts w:ascii="Times New Roman" w:hAnsi="Times New Roman" w:cs="Times New Roman"/>
          <w:sz w:val="24"/>
          <w:szCs w:val="24"/>
        </w:rPr>
        <w:t>ego</w:t>
      </w:r>
      <w:r w:rsidR="0030748D" w:rsidRPr="00A570C6">
        <w:rPr>
          <w:rFonts w:ascii="Times New Roman" w:hAnsi="Times New Roman" w:cs="Times New Roman"/>
          <w:sz w:val="24"/>
          <w:szCs w:val="24"/>
        </w:rPr>
        <w:t xml:space="preserve"> podmiot</w:t>
      </w:r>
      <w:r w:rsidR="00BB715F" w:rsidRPr="005E428B">
        <w:rPr>
          <w:rFonts w:ascii="Times New Roman" w:hAnsi="Times New Roman" w:cs="Times New Roman"/>
          <w:sz w:val="24"/>
          <w:szCs w:val="24"/>
        </w:rPr>
        <w:t>u publikującego</w:t>
      </w:r>
      <w:r w:rsidR="007F03CB" w:rsidRPr="005E428B">
        <w:rPr>
          <w:rFonts w:ascii="Times New Roman" w:hAnsi="Times New Roman" w:cs="Times New Roman"/>
          <w:sz w:val="24"/>
          <w:szCs w:val="24"/>
        </w:rPr>
        <w:t xml:space="preserve">, </w:t>
      </w:r>
      <w:r w:rsidR="0030748D" w:rsidRPr="005E428B">
        <w:rPr>
          <w:rFonts w:ascii="Times New Roman" w:hAnsi="Times New Roman" w:cs="Times New Roman"/>
          <w:sz w:val="24"/>
          <w:szCs w:val="24"/>
        </w:rPr>
        <w:t>zatwierdzon</w:t>
      </w:r>
      <w:r w:rsidR="00BB715F" w:rsidRPr="005E428B">
        <w:rPr>
          <w:rFonts w:ascii="Times New Roman" w:hAnsi="Times New Roman" w:cs="Times New Roman"/>
          <w:sz w:val="24"/>
          <w:szCs w:val="24"/>
        </w:rPr>
        <w:t>ego</w:t>
      </w:r>
      <w:r w:rsidR="0030748D" w:rsidRPr="005E428B">
        <w:rPr>
          <w:rFonts w:ascii="Times New Roman" w:hAnsi="Times New Roman" w:cs="Times New Roman"/>
          <w:sz w:val="24"/>
          <w:szCs w:val="24"/>
        </w:rPr>
        <w:t xml:space="preserve"> mechanizm</w:t>
      </w:r>
      <w:r w:rsidR="00BB715F" w:rsidRPr="005E428B">
        <w:rPr>
          <w:rFonts w:ascii="Times New Roman" w:hAnsi="Times New Roman" w:cs="Times New Roman"/>
          <w:sz w:val="24"/>
          <w:szCs w:val="24"/>
        </w:rPr>
        <w:t>u</w:t>
      </w:r>
      <w:r w:rsidR="0030748D" w:rsidRPr="005E428B">
        <w:rPr>
          <w:rFonts w:ascii="Times New Roman" w:hAnsi="Times New Roman" w:cs="Times New Roman"/>
          <w:sz w:val="24"/>
          <w:szCs w:val="24"/>
        </w:rPr>
        <w:t xml:space="preserve"> sprawozdawcz</w:t>
      </w:r>
      <w:r w:rsidR="00BB715F" w:rsidRPr="005E428B">
        <w:rPr>
          <w:rFonts w:ascii="Times New Roman" w:hAnsi="Times New Roman" w:cs="Times New Roman"/>
          <w:sz w:val="24"/>
          <w:szCs w:val="24"/>
        </w:rPr>
        <w:t>ego</w:t>
      </w:r>
      <w:r w:rsidR="007F03CB" w:rsidRPr="005E428B">
        <w:rPr>
          <w:rFonts w:ascii="Times New Roman" w:hAnsi="Times New Roman" w:cs="Times New Roman"/>
          <w:sz w:val="24"/>
          <w:szCs w:val="24"/>
        </w:rPr>
        <w:t xml:space="preserve"> oraz dostawcy usług w zakresie udostępniania informacji</w:t>
      </w:r>
      <w:r w:rsidR="0030748D" w:rsidRPr="005E42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ADF0B" w14:textId="77777777" w:rsidR="00001E14" w:rsidRPr="005E428B" w:rsidRDefault="00001E14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A9FF6" w14:textId="28ED142F" w:rsidR="007F03CB" w:rsidRDefault="007F03CB" w:rsidP="00485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28B">
        <w:rPr>
          <w:rFonts w:ascii="Times New Roman" w:hAnsi="Times New Roman" w:cs="Times New Roman"/>
          <w:b/>
          <w:sz w:val="24"/>
          <w:szCs w:val="24"/>
        </w:rPr>
        <w:t xml:space="preserve">Art. 1 pkt 2 </w:t>
      </w:r>
      <w:r w:rsidRPr="005E428B">
        <w:rPr>
          <w:rFonts w:ascii="Times New Roman" w:hAnsi="Times New Roman" w:cs="Times New Roman"/>
          <w:sz w:val="24"/>
          <w:szCs w:val="24"/>
        </w:rPr>
        <w:t>zawiera zmianę w</w:t>
      </w:r>
      <w:r w:rsidR="0072228B" w:rsidRPr="004C07EB">
        <w:rPr>
          <w:rFonts w:ascii="Times New Roman" w:hAnsi="Times New Roman" w:cs="Times New Roman"/>
          <w:sz w:val="24"/>
          <w:szCs w:val="24"/>
        </w:rPr>
        <w:t xml:space="preserve"> art. 21 ust 2 ustawy o obrocie w</w:t>
      </w:r>
      <w:r w:rsidRPr="004C07EB">
        <w:rPr>
          <w:rFonts w:ascii="Times New Roman" w:hAnsi="Times New Roman" w:cs="Times New Roman"/>
          <w:sz w:val="24"/>
          <w:szCs w:val="24"/>
        </w:rPr>
        <w:t xml:space="preserve"> zakresie </w:t>
      </w:r>
      <w:r w:rsidR="007C1C73" w:rsidRPr="004C07EB">
        <w:rPr>
          <w:rFonts w:ascii="Times New Roman" w:hAnsi="Times New Roman" w:cs="Times New Roman"/>
          <w:sz w:val="24"/>
          <w:szCs w:val="24"/>
        </w:rPr>
        <w:t xml:space="preserve">określenia </w:t>
      </w:r>
      <w:r w:rsidRPr="00DA104D">
        <w:rPr>
          <w:rFonts w:ascii="Times New Roman" w:hAnsi="Times New Roman" w:cs="Times New Roman"/>
          <w:sz w:val="24"/>
          <w:szCs w:val="24"/>
        </w:rPr>
        <w:t>przedmiotu działalności spółki prowadzącej rynek regulowany</w:t>
      </w:r>
      <w:r w:rsidR="007C1C73" w:rsidRPr="00DA104D">
        <w:rPr>
          <w:rFonts w:ascii="Times New Roman" w:hAnsi="Times New Roman" w:cs="Times New Roman"/>
          <w:sz w:val="24"/>
          <w:szCs w:val="24"/>
        </w:rPr>
        <w:t xml:space="preserve"> – przepis będzie się odnosił </w:t>
      </w:r>
      <w:r w:rsidR="00D04491" w:rsidRPr="00DA104D">
        <w:rPr>
          <w:rFonts w:ascii="Times New Roman" w:hAnsi="Times New Roman" w:cs="Times New Roman"/>
          <w:sz w:val="24"/>
          <w:szCs w:val="24"/>
        </w:rPr>
        <w:t>do ,,prowadzenia</w:t>
      </w:r>
      <w:r w:rsidRPr="00DA104D">
        <w:rPr>
          <w:rFonts w:ascii="Times New Roman" w:hAnsi="Times New Roman" w:cs="Times New Roman"/>
          <w:sz w:val="24"/>
          <w:szCs w:val="24"/>
        </w:rPr>
        <w:t xml:space="preserve"> działalności jako dostawca usług w zakresie udostępniania informacji” </w:t>
      </w:r>
      <w:r w:rsidR="007C1C73" w:rsidRPr="00DA104D">
        <w:rPr>
          <w:rFonts w:ascii="Times New Roman" w:hAnsi="Times New Roman" w:cs="Times New Roman"/>
          <w:sz w:val="24"/>
          <w:szCs w:val="24"/>
        </w:rPr>
        <w:t xml:space="preserve"> (obecnie:</w:t>
      </w:r>
      <w:r w:rsidR="006319CD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D04491" w:rsidRPr="00DA104D">
        <w:rPr>
          <w:rFonts w:ascii="Times New Roman" w:hAnsi="Times New Roman" w:cs="Times New Roman"/>
          <w:sz w:val="24"/>
          <w:szCs w:val="24"/>
        </w:rPr>
        <w:t>,,prowadzeni</w:t>
      </w:r>
      <w:r w:rsidR="007C1C73" w:rsidRPr="00DA104D">
        <w:rPr>
          <w:rFonts w:ascii="Times New Roman" w:hAnsi="Times New Roman" w:cs="Times New Roman"/>
          <w:sz w:val="24"/>
          <w:szCs w:val="24"/>
        </w:rPr>
        <w:t>e</w:t>
      </w:r>
      <w:r w:rsidR="00D04491" w:rsidRPr="00DA104D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Pr="00DA104D">
        <w:rPr>
          <w:rFonts w:ascii="Times New Roman" w:hAnsi="Times New Roman" w:cs="Times New Roman"/>
          <w:sz w:val="24"/>
          <w:szCs w:val="24"/>
        </w:rPr>
        <w:t xml:space="preserve"> polegającej na świadczeniu usług w zakresie udostępniania informacji o transakcjach”</w:t>
      </w:r>
      <w:r w:rsidR="007C1C73" w:rsidRPr="00DA104D">
        <w:rPr>
          <w:rFonts w:ascii="Times New Roman" w:hAnsi="Times New Roman" w:cs="Times New Roman"/>
          <w:sz w:val="24"/>
          <w:szCs w:val="24"/>
        </w:rPr>
        <w:t>)</w:t>
      </w:r>
      <w:r w:rsidRPr="00DA104D">
        <w:rPr>
          <w:rFonts w:ascii="Times New Roman" w:hAnsi="Times New Roman" w:cs="Times New Roman"/>
          <w:sz w:val="24"/>
          <w:szCs w:val="24"/>
        </w:rPr>
        <w:t>.</w:t>
      </w:r>
      <w:r w:rsidR="00D530DC"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874047" w14:textId="77777777" w:rsidR="00001E14" w:rsidRPr="00DA104D" w:rsidRDefault="00001E14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1B16D" w14:textId="136AFB85" w:rsidR="00D530DC" w:rsidRDefault="00D530DC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b/>
          <w:sz w:val="24"/>
          <w:szCs w:val="24"/>
        </w:rPr>
        <w:lastRenderedPageBreak/>
        <w:t>Art. 1 pkt 3</w:t>
      </w:r>
      <w:r w:rsidR="0017681F"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820" w:rsidRPr="00DA104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A104D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DA104D">
        <w:rPr>
          <w:rFonts w:ascii="Times New Roman" w:hAnsi="Times New Roman" w:cs="Times New Roman"/>
          <w:sz w:val="24"/>
          <w:szCs w:val="24"/>
        </w:rPr>
        <w:t>dotyczą odpowiednio art. 29c</w:t>
      </w:r>
      <w:r w:rsidR="007C1C73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Pr="00DA104D">
        <w:rPr>
          <w:rFonts w:ascii="Times New Roman" w:hAnsi="Times New Roman" w:cs="Times New Roman"/>
          <w:sz w:val="24"/>
          <w:szCs w:val="24"/>
        </w:rPr>
        <w:t xml:space="preserve">oraz </w:t>
      </w:r>
      <w:r w:rsidR="007C1C73" w:rsidRPr="00DA104D">
        <w:rPr>
          <w:rFonts w:ascii="Times New Roman" w:hAnsi="Times New Roman" w:cs="Times New Roman"/>
          <w:sz w:val="24"/>
          <w:szCs w:val="24"/>
        </w:rPr>
        <w:t xml:space="preserve">art. </w:t>
      </w:r>
      <w:r w:rsidRPr="00DA104D">
        <w:rPr>
          <w:rFonts w:ascii="Times New Roman" w:hAnsi="Times New Roman" w:cs="Times New Roman"/>
          <w:sz w:val="24"/>
          <w:szCs w:val="24"/>
        </w:rPr>
        <w:t>69</w:t>
      </w:r>
      <w:r w:rsidR="00001E14">
        <w:rPr>
          <w:rFonts w:ascii="Times New Roman" w:hAnsi="Times New Roman" w:cs="Times New Roman"/>
          <w:sz w:val="24"/>
          <w:szCs w:val="24"/>
        </w:rPr>
        <w:t>f ustawy o obrocie. W związku z </w:t>
      </w:r>
      <w:r w:rsidRPr="00DA104D">
        <w:rPr>
          <w:rFonts w:ascii="Times New Roman" w:hAnsi="Times New Roman" w:cs="Times New Roman"/>
          <w:sz w:val="24"/>
          <w:szCs w:val="24"/>
        </w:rPr>
        <w:t>uchyleniem art. 131a</w:t>
      </w:r>
      <w:r w:rsidR="00434A63" w:rsidRPr="00DA104D">
        <w:rPr>
          <w:rFonts w:ascii="Times New Roman" w:hAnsi="Times New Roman" w:cs="Times New Roman"/>
          <w:sz w:val="24"/>
          <w:szCs w:val="24"/>
        </w:rPr>
        <w:t>–</w:t>
      </w:r>
      <w:r w:rsidRPr="00DA104D">
        <w:rPr>
          <w:rFonts w:ascii="Times New Roman" w:hAnsi="Times New Roman" w:cs="Times New Roman"/>
          <w:sz w:val="24"/>
          <w:szCs w:val="24"/>
        </w:rPr>
        <w:t xml:space="preserve">131j ustawy o obrocie oraz nowym brzmieniem rozporządzenia 600/2014 zmiany te mają charakter dostosowujący. </w:t>
      </w:r>
    </w:p>
    <w:p w14:paraId="0A3FE70D" w14:textId="77777777" w:rsidR="00001E14" w:rsidRPr="00DA104D" w:rsidRDefault="00001E14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91D52" w14:textId="4F2E5D3E" w:rsidR="00574B92" w:rsidRDefault="00D530DC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b/>
          <w:sz w:val="24"/>
          <w:szCs w:val="24"/>
        </w:rPr>
        <w:t xml:space="preserve">Art. 1 </w:t>
      </w:r>
      <w:r w:rsidR="002A61FC" w:rsidRPr="00DA104D">
        <w:rPr>
          <w:rFonts w:ascii="Times New Roman" w:hAnsi="Times New Roman" w:cs="Times New Roman"/>
          <w:b/>
          <w:sz w:val="24"/>
          <w:szCs w:val="24"/>
        </w:rPr>
        <w:t>pkt</w:t>
      </w:r>
      <w:r w:rsidR="0017681F" w:rsidRPr="00DA104D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F94820" w:rsidRPr="00DA104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A104D">
        <w:rPr>
          <w:rFonts w:ascii="Times New Roman" w:hAnsi="Times New Roman" w:cs="Times New Roman"/>
          <w:b/>
          <w:sz w:val="24"/>
          <w:szCs w:val="24"/>
        </w:rPr>
        <w:t>7</w:t>
      </w:r>
      <w:r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2A61FC" w:rsidRPr="00DA104D">
        <w:rPr>
          <w:rFonts w:ascii="Times New Roman" w:hAnsi="Times New Roman" w:cs="Times New Roman"/>
          <w:sz w:val="24"/>
          <w:szCs w:val="24"/>
        </w:rPr>
        <w:t>umożliwią</w:t>
      </w:r>
      <w:r w:rsidR="00574B92" w:rsidRPr="00DA104D">
        <w:rPr>
          <w:rFonts w:ascii="Times New Roman" w:hAnsi="Times New Roman" w:cs="Times New Roman"/>
          <w:sz w:val="24"/>
          <w:szCs w:val="24"/>
        </w:rPr>
        <w:t xml:space="preserve"> przekazywani</w:t>
      </w:r>
      <w:r w:rsidR="002A61FC" w:rsidRPr="00DA104D">
        <w:rPr>
          <w:rFonts w:ascii="Times New Roman" w:hAnsi="Times New Roman" w:cs="Times New Roman"/>
          <w:sz w:val="24"/>
          <w:szCs w:val="24"/>
        </w:rPr>
        <w:t>e przez spółkę prowadzącą rynek regulowany oraz firmę inwestycyjną prowadzącą ASO lub OTF</w:t>
      </w:r>
      <w:r w:rsidR="0017681F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574B92" w:rsidRPr="00DA104D">
        <w:rPr>
          <w:rFonts w:ascii="Times New Roman" w:hAnsi="Times New Roman" w:cs="Times New Roman"/>
          <w:sz w:val="24"/>
          <w:szCs w:val="24"/>
        </w:rPr>
        <w:t xml:space="preserve">informacji wymaganych na podstawie art. 26 ust. 5 rozporządzenia 600/2014 za pośrednictwem zatwierdzonego mechanizmu </w:t>
      </w:r>
      <w:r w:rsidR="00EA553F" w:rsidRPr="00DA104D">
        <w:rPr>
          <w:rFonts w:ascii="Times New Roman" w:hAnsi="Times New Roman" w:cs="Times New Roman"/>
          <w:sz w:val="24"/>
          <w:szCs w:val="24"/>
        </w:rPr>
        <w:t>sprawozdawczego.</w:t>
      </w:r>
      <w:r w:rsidR="00EA553F" w:rsidRPr="00DA104D">
        <w:rPr>
          <w:rFonts w:ascii="Times New Roman" w:hAnsi="Times New Roman" w:cs="Times New Roman"/>
          <w:iCs/>
          <w:sz w:val="24"/>
          <w:szCs w:val="24"/>
        </w:rPr>
        <w:t xml:space="preserve"> Zgodnie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 xml:space="preserve"> z 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 xml:space="preserve">tym przepisem, 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 xml:space="preserve">w przypadku transakcji zawieranych w systemie obrotu przez podmioty niebędące firmami inwestycyjnymi lub instytucjami kredytowymi, obowiązek przekazywania organowi nadzoru raportów o transakcjach spoczywa nie na członku czy uczestniku rynku będącym stroną transakcji giełdowej, lecz bezpośrednio na organizatorze danego systemu obrotu. 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>D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>opu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 xml:space="preserve">szczenie 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>do działania podmiot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>u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 xml:space="preserve"> z kraju trzeciego 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 xml:space="preserve">wymagałoby, przy braku proponowanych regulacji, 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>tworz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 xml:space="preserve">enia 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>od podstaw rozwiąza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 xml:space="preserve">ń 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>niezbędn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 xml:space="preserve">ych 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 xml:space="preserve">do samodzielnego raportowania transakcji do Komisji Nadzoru Finansowego. Regulacje unijne nie zabraniają 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 xml:space="preserve">co prawda 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 xml:space="preserve">wykorzystania </w:t>
      </w:r>
      <w:r w:rsidR="00574B92" w:rsidRPr="00DA104D">
        <w:rPr>
          <w:rFonts w:ascii="Times New Roman" w:hAnsi="Times New Roman" w:cs="Times New Roman"/>
          <w:sz w:val="24"/>
          <w:szCs w:val="24"/>
        </w:rPr>
        <w:t>zatwierdzonego mechanizmu sprawozdawczego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 xml:space="preserve"> w tym celu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>, n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 xml:space="preserve">atomiast 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 xml:space="preserve">obowiązujące 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 xml:space="preserve">przepisy krajowe, w szczególności definicja </w:t>
      </w:r>
      <w:r w:rsidR="00574B92" w:rsidRPr="00DA104D">
        <w:rPr>
          <w:rFonts w:ascii="Times New Roman" w:hAnsi="Times New Roman" w:cs="Times New Roman"/>
          <w:sz w:val="24"/>
          <w:szCs w:val="24"/>
        </w:rPr>
        <w:t>zatwierdzonego mechanizmu sprawozdawczego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>(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>art. 3 pkt 33c ustawy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 xml:space="preserve"> o obrocie) stoi na przeszkodzie 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>skorzystani</w:t>
      </w:r>
      <w:r w:rsidR="00DD74E8" w:rsidRPr="00DA104D">
        <w:rPr>
          <w:rFonts w:ascii="Times New Roman" w:hAnsi="Times New Roman" w:cs="Times New Roman"/>
          <w:iCs/>
          <w:sz w:val="24"/>
          <w:szCs w:val="24"/>
        </w:rPr>
        <w:t>u</w:t>
      </w:r>
      <w:r w:rsidR="00574B92" w:rsidRPr="00DA104D">
        <w:rPr>
          <w:rFonts w:ascii="Times New Roman" w:hAnsi="Times New Roman" w:cs="Times New Roman"/>
          <w:iCs/>
          <w:sz w:val="24"/>
          <w:szCs w:val="24"/>
        </w:rPr>
        <w:t xml:space="preserve"> z takiego rozwiązania</w:t>
      </w:r>
      <w:r w:rsidR="00574B92" w:rsidRPr="00DA104D">
        <w:rPr>
          <w:rFonts w:ascii="Times New Roman" w:hAnsi="Times New Roman" w:cs="Times New Roman"/>
          <w:sz w:val="24"/>
          <w:szCs w:val="24"/>
        </w:rPr>
        <w:t>.</w:t>
      </w:r>
    </w:p>
    <w:p w14:paraId="508F8702" w14:textId="77777777" w:rsidR="00001E14" w:rsidRPr="00DA104D" w:rsidRDefault="00001E14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191B8" w14:textId="5364F3C9" w:rsidR="00ED58F9" w:rsidRDefault="00ED58F9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b/>
          <w:sz w:val="24"/>
          <w:szCs w:val="24"/>
        </w:rPr>
        <w:t xml:space="preserve">Art. 1 pkt 5 </w:t>
      </w:r>
      <w:r w:rsidR="00D0003F" w:rsidRPr="00DA104D">
        <w:rPr>
          <w:rFonts w:ascii="Times New Roman" w:hAnsi="Times New Roman" w:cs="Times New Roman"/>
          <w:sz w:val="24"/>
          <w:szCs w:val="24"/>
        </w:rPr>
        <w:t>zawiera rozwiązania będące konsekwencją uchylenia art. 131a</w:t>
      </w:r>
      <w:r w:rsidR="00DD74E8" w:rsidRPr="00DA104D">
        <w:rPr>
          <w:rFonts w:ascii="Times New Roman" w:hAnsi="Times New Roman" w:cs="Times New Roman"/>
          <w:sz w:val="24"/>
          <w:szCs w:val="24"/>
        </w:rPr>
        <w:t>–</w:t>
      </w:r>
      <w:r w:rsidR="008F52DE" w:rsidRPr="00DA104D">
        <w:rPr>
          <w:rFonts w:ascii="Times New Roman" w:hAnsi="Times New Roman" w:cs="Times New Roman"/>
          <w:sz w:val="24"/>
          <w:szCs w:val="24"/>
        </w:rPr>
        <w:t>131j oraz art. 131l</w:t>
      </w:r>
      <w:r w:rsidR="00001E14">
        <w:rPr>
          <w:rFonts w:ascii="Times New Roman" w:hAnsi="Times New Roman" w:cs="Times New Roman"/>
          <w:sz w:val="24"/>
          <w:szCs w:val="24"/>
        </w:rPr>
        <w:t xml:space="preserve"> </w:t>
      </w:r>
      <w:r w:rsidR="00D0003F" w:rsidRPr="00DA104D">
        <w:rPr>
          <w:rFonts w:ascii="Times New Roman" w:hAnsi="Times New Roman" w:cs="Times New Roman"/>
          <w:sz w:val="24"/>
          <w:szCs w:val="24"/>
        </w:rPr>
        <w:t>ustawy o obrocie</w:t>
      </w:r>
      <w:r w:rsidR="00DD74E8" w:rsidRPr="00DA104D">
        <w:rPr>
          <w:rFonts w:ascii="Times New Roman" w:hAnsi="Times New Roman" w:cs="Times New Roman"/>
          <w:sz w:val="24"/>
          <w:szCs w:val="24"/>
        </w:rPr>
        <w:t>; zmiany te mają charakter dostosowujący.</w:t>
      </w:r>
      <w:r w:rsidR="00A21C15" w:rsidRPr="00DA1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B34CA" w14:textId="77777777" w:rsidR="00001E14" w:rsidRPr="00DA104D" w:rsidRDefault="00001E14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A1323" w14:textId="4D193BAF" w:rsidR="008810E9" w:rsidRDefault="00CD277C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b/>
          <w:sz w:val="24"/>
          <w:szCs w:val="24"/>
        </w:rPr>
        <w:t xml:space="preserve">Art. 1 pkt </w:t>
      </w:r>
      <w:r w:rsidR="00ED58F9" w:rsidRPr="00DA104D">
        <w:rPr>
          <w:rFonts w:ascii="Times New Roman" w:hAnsi="Times New Roman" w:cs="Times New Roman"/>
          <w:b/>
          <w:sz w:val="24"/>
          <w:szCs w:val="24"/>
        </w:rPr>
        <w:t>8</w:t>
      </w:r>
      <w:r w:rsidR="00677021"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820" w:rsidRPr="00DA104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D58F9" w:rsidRPr="00DA104D">
        <w:rPr>
          <w:rFonts w:ascii="Times New Roman" w:hAnsi="Times New Roman" w:cs="Times New Roman"/>
          <w:b/>
          <w:sz w:val="24"/>
          <w:szCs w:val="24"/>
        </w:rPr>
        <w:t>10</w:t>
      </w:r>
      <w:r w:rsidR="00630205"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4E8" w:rsidRPr="00DA104D">
        <w:rPr>
          <w:rFonts w:ascii="Times New Roman" w:hAnsi="Times New Roman" w:cs="Times New Roman"/>
          <w:sz w:val="24"/>
          <w:szCs w:val="24"/>
        </w:rPr>
        <w:t>przewiduje</w:t>
      </w:r>
      <w:r w:rsidR="00DD74E8"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04D">
        <w:rPr>
          <w:rFonts w:ascii="Times New Roman" w:hAnsi="Times New Roman" w:cs="Times New Roman"/>
          <w:sz w:val="24"/>
          <w:szCs w:val="24"/>
        </w:rPr>
        <w:t>uchyl</w:t>
      </w:r>
      <w:r w:rsidR="00DD74E8" w:rsidRPr="00DA104D">
        <w:rPr>
          <w:rFonts w:ascii="Times New Roman" w:hAnsi="Times New Roman" w:cs="Times New Roman"/>
          <w:sz w:val="24"/>
          <w:szCs w:val="24"/>
        </w:rPr>
        <w:t>enie</w:t>
      </w:r>
      <w:r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DD74E8" w:rsidRPr="00DA104D">
        <w:rPr>
          <w:rFonts w:ascii="Times New Roman" w:hAnsi="Times New Roman" w:cs="Times New Roman"/>
          <w:sz w:val="24"/>
          <w:szCs w:val="24"/>
        </w:rPr>
        <w:t xml:space="preserve">art. </w:t>
      </w:r>
      <w:r w:rsidRPr="00DA104D">
        <w:rPr>
          <w:rFonts w:ascii="Times New Roman" w:hAnsi="Times New Roman" w:cs="Times New Roman"/>
          <w:sz w:val="24"/>
          <w:szCs w:val="24"/>
        </w:rPr>
        <w:t>131a</w:t>
      </w:r>
      <w:r w:rsidR="009122E1" w:rsidRPr="00DA104D">
        <w:rPr>
          <w:rFonts w:ascii="Times New Roman" w:hAnsi="Times New Roman" w:cs="Times New Roman"/>
          <w:sz w:val="24"/>
          <w:szCs w:val="24"/>
        </w:rPr>
        <w:t>–</w:t>
      </w:r>
      <w:r w:rsidRPr="00DA104D">
        <w:rPr>
          <w:rFonts w:ascii="Times New Roman" w:hAnsi="Times New Roman" w:cs="Times New Roman"/>
          <w:sz w:val="24"/>
          <w:szCs w:val="24"/>
        </w:rPr>
        <w:t xml:space="preserve">131j </w:t>
      </w:r>
      <w:r w:rsidR="00630205" w:rsidRPr="00DA104D">
        <w:rPr>
          <w:rFonts w:ascii="Times New Roman" w:hAnsi="Times New Roman" w:cs="Times New Roman"/>
          <w:sz w:val="24"/>
          <w:szCs w:val="24"/>
        </w:rPr>
        <w:t xml:space="preserve">i </w:t>
      </w:r>
      <w:r w:rsidR="00DD74E8" w:rsidRPr="00DA104D">
        <w:rPr>
          <w:rFonts w:ascii="Times New Roman" w:hAnsi="Times New Roman" w:cs="Times New Roman"/>
          <w:sz w:val="24"/>
          <w:szCs w:val="24"/>
        </w:rPr>
        <w:t xml:space="preserve">art. </w:t>
      </w:r>
      <w:r w:rsidR="00630205" w:rsidRPr="00DA104D">
        <w:rPr>
          <w:rFonts w:ascii="Times New Roman" w:hAnsi="Times New Roman" w:cs="Times New Roman"/>
          <w:sz w:val="24"/>
          <w:szCs w:val="24"/>
        </w:rPr>
        <w:t>131l</w:t>
      </w:r>
      <w:r w:rsidR="00001E14">
        <w:rPr>
          <w:rFonts w:ascii="Times New Roman" w:hAnsi="Times New Roman" w:cs="Times New Roman"/>
          <w:sz w:val="24"/>
          <w:szCs w:val="24"/>
        </w:rPr>
        <w:t xml:space="preserve"> </w:t>
      </w:r>
      <w:r w:rsidRPr="00DA104D">
        <w:rPr>
          <w:rFonts w:ascii="Times New Roman" w:hAnsi="Times New Roman" w:cs="Times New Roman"/>
          <w:sz w:val="24"/>
          <w:szCs w:val="24"/>
        </w:rPr>
        <w:t>ustawy</w:t>
      </w:r>
      <w:r w:rsidR="00734D0D" w:rsidRPr="00DA104D">
        <w:rPr>
          <w:rFonts w:ascii="Times New Roman" w:hAnsi="Times New Roman" w:cs="Times New Roman"/>
          <w:sz w:val="24"/>
          <w:szCs w:val="24"/>
        </w:rPr>
        <w:t xml:space="preserve"> o obrocie</w:t>
      </w:r>
      <w:r w:rsidRPr="00DA104D">
        <w:rPr>
          <w:rFonts w:ascii="Times New Roman" w:hAnsi="Times New Roman" w:cs="Times New Roman"/>
          <w:sz w:val="24"/>
          <w:szCs w:val="24"/>
        </w:rPr>
        <w:t>, co jest konsekwencją</w:t>
      </w:r>
      <w:r w:rsidR="00A21C15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Pr="00DA104D">
        <w:rPr>
          <w:rFonts w:ascii="Times New Roman" w:hAnsi="Times New Roman" w:cs="Times New Roman"/>
          <w:sz w:val="24"/>
          <w:szCs w:val="24"/>
        </w:rPr>
        <w:t xml:space="preserve">uchylenia przepisów dotyczących wymogów operacyjnych dla dostawców usług w zakresie udostępniania informacji oraz </w:t>
      </w:r>
      <w:r w:rsidR="00DD74E8" w:rsidRPr="00DA104D">
        <w:rPr>
          <w:rFonts w:ascii="Times New Roman" w:hAnsi="Times New Roman" w:cs="Times New Roman"/>
          <w:sz w:val="24"/>
          <w:szCs w:val="24"/>
        </w:rPr>
        <w:t xml:space="preserve">przepisów dotyczących </w:t>
      </w:r>
      <w:r w:rsidRPr="00DA104D">
        <w:rPr>
          <w:rFonts w:ascii="Times New Roman" w:hAnsi="Times New Roman" w:cs="Times New Roman"/>
          <w:sz w:val="24"/>
          <w:szCs w:val="24"/>
        </w:rPr>
        <w:t>uprawnień Komisji Nadzoru Finansowego.</w:t>
      </w:r>
    </w:p>
    <w:p w14:paraId="62E94E05" w14:textId="77777777" w:rsidR="00001E14" w:rsidRPr="00DA104D" w:rsidRDefault="00001E14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DF133" w14:textId="27B1F60D" w:rsidR="00DD74E8" w:rsidRDefault="00677021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 xml:space="preserve">W </w:t>
      </w:r>
      <w:r w:rsidRPr="00DA104D">
        <w:rPr>
          <w:rFonts w:ascii="Times New Roman" w:hAnsi="Times New Roman" w:cs="Times New Roman"/>
          <w:b/>
          <w:sz w:val="24"/>
          <w:szCs w:val="24"/>
        </w:rPr>
        <w:t>art.</w:t>
      </w:r>
      <w:r w:rsidR="008810E9" w:rsidRPr="00DA104D">
        <w:rPr>
          <w:rFonts w:ascii="Times New Roman" w:hAnsi="Times New Roman" w:cs="Times New Roman"/>
          <w:b/>
          <w:sz w:val="24"/>
          <w:szCs w:val="24"/>
        </w:rPr>
        <w:t xml:space="preserve"> 1 pkt </w:t>
      </w:r>
      <w:r w:rsidR="00A21C15" w:rsidRPr="00DA104D">
        <w:rPr>
          <w:rFonts w:ascii="Times New Roman" w:hAnsi="Times New Roman" w:cs="Times New Roman"/>
          <w:b/>
          <w:sz w:val="24"/>
          <w:szCs w:val="24"/>
        </w:rPr>
        <w:t>9</w:t>
      </w:r>
      <w:r w:rsidR="008810E9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D14723" w:rsidRPr="00DA104D">
        <w:rPr>
          <w:rFonts w:ascii="Times New Roman" w:hAnsi="Times New Roman" w:cs="Times New Roman"/>
          <w:sz w:val="24"/>
          <w:szCs w:val="24"/>
        </w:rPr>
        <w:t>zapewniono</w:t>
      </w:r>
      <w:r w:rsidR="005D3B2B" w:rsidRPr="00DA104D">
        <w:rPr>
          <w:rFonts w:ascii="Times New Roman" w:hAnsi="Times New Roman" w:cs="Times New Roman"/>
          <w:sz w:val="24"/>
          <w:szCs w:val="24"/>
        </w:rPr>
        <w:t xml:space="preserve"> implementacj</w:t>
      </w:r>
      <w:r w:rsidR="00D14723" w:rsidRPr="00DA104D">
        <w:rPr>
          <w:rFonts w:ascii="Times New Roman" w:hAnsi="Times New Roman" w:cs="Times New Roman"/>
          <w:sz w:val="24"/>
          <w:szCs w:val="24"/>
        </w:rPr>
        <w:t>ę</w:t>
      </w:r>
      <w:r w:rsidR="008810E9" w:rsidRPr="00DA104D">
        <w:rPr>
          <w:rFonts w:ascii="Times New Roman" w:hAnsi="Times New Roman" w:cs="Times New Roman"/>
          <w:sz w:val="24"/>
          <w:szCs w:val="24"/>
        </w:rPr>
        <w:t xml:space="preserve"> dyrektywy 2014/65/UE</w:t>
      </w:r>
      <w:r w:rsidR="005E428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8810E9" w:rsidRPr="002F0C53">
        <w:rPr>
          <w:rFonts w:ascii="Times New Roman" w:hAnsi="Times New Roman" w:cs="Times New Roman"/>
          <w:sz w:val="24"/>
          <w:szCs w:val="24"/>
        </w:rPr>
        <w:t xml:space="preserve"> </w:t>
      </w:r>
      <w:r w:rsidR="00001E14">
        <w:rPr>
          <w:rFonts w:ascii="Times New Roman" w:hAnsi="Times New Roman" w:cs="Times New Roman"/>
          <w:sz w:val="24"/>
          <w:szCs w:val="24"/>
        </w:rPr>
        <w:t>(art. 131k ustawy o </w:t>
      </w:r>
      <w:r w:rsidR="00DD74E8" w:rsidRPr="00A570C6">
        <w:rPr>
          <w:rFonts w:ascii="Times New Roman" w:hAnsi="Times New Roman" w:cs="Times New Roman"/>
          <w:sz w:val="24"/>
          <w:szCs w:val="24"/>
        </w:rPr>
        <w:t xml:space="preserve">obrocie) </w:t>
      </w:r>
      <w:r w:rsidR="008810E9" w:rsidRPr="00A570C6">
        <w:rPr>
          <w:rFonts w:ascii="Times New Roman" w:hAnsi="Times New Roman" w:cs="Times New Roman"/>
          <w:sz w:val="24"/>
          <w:szCs w:val="24"/>
        </w:rPr>
        <w:t xml:space="preserve">przez zapewnienie, aby każda osoba uprawniona miała obowiązek niezwłocznego zgłaszania właściwym organom wszelkich faktów lub decyzji dotyczących </w:t>
      </w:r>
      <w:r w:rsidR="00DD74E8" w:rsidRPr="00A570C6">
        <w:rPr>
          <w:rFonts w:ascii="Times New Roman" w:hAnsi="Times New Roman" w:cs="Times New Roman"/>
          <w:sz w:val="24"/>
          <w:szCs w:val="24"/>
        </w:rPr>
        <w:t xml:space="preserve">danego podmiotu </w:t>
      </w:r>
      <w:r w:rsidR="008810E9" w:rsidRPr="005E428B">
        <w:rPr>
          <w:rFonts w:ascii="Times New Roman" w:hAnsi="Times New Roman" w:cs="Times New Roman"/>
          <w:sz w:val="24"/>
          <w:szCs w:val="24"/>
        </w:rPr>
        <w:t>przedsiębiorstwa, które mogą wywołać niepożądane skutki</w:t>
      </w:r>
      <w:r w:rsidRPr="005E428B">
        <w:rPr>
          <w:rFonts w:ascii="Times New Roman" w:hAnsi="Times New Roman" w:cs="Times New Roman"/>
          <w:sz w:val="24"/>
          <w:szCs w:val="24"/>
        </w:rPr>
        <w:t xml:space="preserve">. </w:t>
      </w:r>
      <w:r w:rsidR="00A21C15" w:rsidRPr="005E428B">
        <w:rPr>
          <w:rFonts w:ascii="Times New Roman" w:hAnsi="Times New Roman" w:cs="Times New Roman"/>
          <w:sz w:val="24"/>
          <w:szCs w:val="24"/>
        </w:rPr>
        <w:t xml:space="preserve">Na mocy obowiązującego art. 13b ustawy o obrocie </w:t>
      </w:r>
      <w:r w:rsidR="00BF1784" w:rsidRPr="005E428B">
        <w:rPr>
          <w:rFonts w:ascii="Times New Roman" w:hAnsi="Times New Roman" w:cs="Times New Roman"/>
          <w:sz w:val="24"/>
          <w:szCs w:val="24"/>
        </w:rPr>
        <w:t>Komisja Nadzoru Finansowego jest uprawniona do przyjmowania zgłoszeń naruszeń lub potencjalnych naruszeń rozporządzenia</w:t>
      </w:r>
      <w:r w:rsidR="00215EAB" w:rsidRPr="005E428B">
        <w:rPr>
          <w:rFonts w:ascii="Times New Roman" w:hAnsi="Times New Roman" w:cs="Times New Roman"/>
          <w:sz w:val="24"/>
          <w:szCs w:val="24"/>
        </w:rPr>
        <w:t xml:space="preserve"> </w:t>
      </w:r>
      <w:r w:rsidR="00BF1784" w:rsidRPr="005E428B">
        <w:rPr>
          <w:rFonts w:ascii="Times New Roman" w:hAnsi="Times New Roman" w:cs="Times New Roman"/>
          <w:sz w:val="24"/>
          <w:szCs w:val="24"/>
        </w:rPr>
        <w:t xml:space="preserve">600/2014. </w:t>
      </w:r>
    </w:p>
    <w:p w14:paraId="604A9138" w14:textId="77777777" w:rsidR="00001E14" w:rsidRPr="005E428B" w:rsidRDefault="00001E14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CDDB" w14:textId="07EA9315" w:rsidR="00BF1784" w:rsidRDefault="00A21C15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8B">
        <w:rPr>
          <w:rFonts w:ascii="Times New Roman" w:hAnsi="Times New Roman" w:cs="Times New Roman"/>
          <w:sz w:val="24"/>
          <w:szCs w:val="24"/>
        </w:rPr>
        <w:t xml:space="preserve">W </w:t>
      </w:r>
      <w:r w:rsidRPr="00DD7489">
        <w:rPr>
          <w:rFonts w:ascii="Times New Roman" w:hAnsi="Times New Roman" w:cs="Times New Roman"/>
          <w:b/>
          <w:sz w:val="24"/>
          <w:szCs w:val="24"/>
        </w:rPr>
        <w:t xml:space="preserve">art. 1 pkt </w:t>
      </w:r>
      <w:r w:rsidR="00001E14">
        <w:rPr>
          <w:rFonts w:ascii="Times New Roman" w:hAnsi="Times New Roman" w:cs="Times New Roman"/>
          <w:b/>
          <w:sz w:val="24"/>
          <w:szCs w:val="24"/>
        </w:rPr>
        <w:t>11</w:t>
      </w:r>
      <w:r w:rsidRPr="005E428B">
        <w:rPr>
          <w:rFonts w:ascii="Times New Roman" w:hAnsi="Times New Roman" w:cs="Times New Roman"/>
          <w:sz w:val="24"/>
          <w:szCs w:val="24"/>
        </w:rPr>
        <w:t xml:space="preserve"> z</w:t>
      </w:r>
      <w:r w:rsidR="00BF1784" w:rsidRPr="005E428B">
        <w:rPr>
          <w:rFonts w:ascii="Times New Roman" w:hAnsi="Times New Roman" w:cs="Times New Roman"/>
          <w:sz w:val="24"/>
          <w:szCs w:val="24"/>
        </w:rPr>
        <w:t xml:space="preserve">awarto także </w:t>
      </w:r>
      <w:r w:rsidR="00DD74E8" w:rsidRPr="005E428B">
        <w:rPr>
          <w:rFonts w:ascii="Times New Roman" w:hAnsi="Times New Roman" w:cs="Times New Roman"/>
          <w:sz w:val="24"/>
          <w:szCs w:val="24"/>
        </w:rPr>
        <w:t xml:space="preserve">rozwiązania zapewaniające </w:t>
      </w:r>
      <w:r w:rsidR="00BF1784" w:rsidRPr="005E428B">
        <w:rPr>
          <w:rFonts w:ascii="Times New Roman" w:hAnsi="Times New Roman" w:cs="Times New Roman"/>
          <w:sz w:val="24"/>
          <w:szCs w:val="24"/>
        </w:rPr>
        <w:t xml:space="preserve">ochronę </w:t>
      </w:r>
      <w:r w:rsidR="00DD74E8" w:rsidRPr="005E428B">
        <w:rPr>
          <w:rFonts w:ascii="Times New Roman" w:hAnsi="Times New Roman" w:cs="Times New Roman"/>
          <w:sz w:val="24"/>
          <w:szCs w:val="24"/>
        </w:rPr>
        <w:t xml:space="preserve">tzw. </w:t>
      </w:r>
      <w:r w:rsidR="00BF1784" w:rsidRPr="004C07EB">
        <w:rPr>
          <w:rFonts w:ascii="Times New Roman" w:hAnsi="Times New Roman" w:cs="Times New Roman"/>
          <w:sz w:val="24"/>
          <w:szCs w:val="24"/>
        </w:rPr>
        <w:t>sygnalistów przez wskazanie, że zgłoszenie n</w:t>
      </w:r>
      <w:r w:rsidR="00BF1784" w:rsidRPr="00DA104D">
        <w:rPr>
          <w:rFonts w:ascii="Times New Roman" w:hAnsi="Times New Roman" w:cs="Times New Roman"/>
          <w:sz w:val="24"/>
          <w:szCs w:val="24"/>
        </w:rPr>
        <w:t xml:space="preserve">ie narusza tajemnicy zawodowej ani obowiązków zachowania poufności informacji, a przekazanie Komisji </w:t>
      </w:r>
      <w:r w:rsidR="00D14723" w:rsidRPr="00DA104D">
        <w:rPr>
          <w:rFonts w:ascii="Times New Roman" w:hAnsi="Times New Roman" w:cs="Times New Roman"/>
          <w:sz w:val="24"/>
          <w:szCs w:val="24"/>
        </w:rPr>
        <w:t xml:space="preserve">Nadzoru Finansowego </w:t>
      </w:r>
      <w:r w:rsidR="00BF1784" w:rsidRPr="00DA104D">
        <w:rPr>
          <w:rFonts w:ascii="Times New Roman" w:hAnsi="Times New Roman" w:cs="Times New Roman"/>
          <w:sz w:val="24"/>
          <w:szCs w:val="24"/>
        </w:rPr>
        <w:t>zgłoszenia naruszeń lub potencjalnych naruszeń nie może stanowić przyczyny rozwiązania z osobą zgłaszającą um</w:t>
      </w:r>
      <w:r w:rsidR="006C5F23" w:rsidRPr="00DA104D">
        <w:rPr>
          <w:rFonts w:ascii="Times New Roman" w:hAnsi="Times New Roman" w:cs="Times New Roman"/>
          <w:sz w:val="24"/>
          <w:szCs w:val="24"/>
        </w:rPr>
        <w:t>o</w:t>
      </w:r>
      <w:r w:rsidR="00BF1784" w:rsidRPr="00DA104D">
        <w:rPr>
          <w:rFonts w:ascii="Times New Roman" w:hAnsi="Times New Roman" w:cs="Times New Roman"/>
          <w:sz w:val="24"/>
          <w:szCs w:val="24"/>
        </w:rPr>
        <w:t>w</w:t>
      </w:r>
      <w:r w:rsidR="00DD74E8" w:rsidRPr="00DA104D">
        <w:rPr>
          <w:rFonts w:ascii="Times New Roman" w:hAnsi="Times New Roman" w:cs="Times New Roman"/>
          <w:sz w:val="24"/>
          <w:szCs w:val="24"/>
        </w:rPr>
        <w:t>y</w:t>
      </w:r>
      <w:r w:rsidR="00BF1784" w:rsidRPr="00DA104D">
        <w:rPr>
          <w:rFonts w:ascii="Times New Roman" w:hAnsi="Times New Roman" w:cs="Times New Roman"/>
          <w:sz w:val="24"/>
          <w:szCs w:val="24"/>
        </w:rPr>
        <w:t xml:space="preserve"> o pracę, umowy zlecenia, umowy o dzieło lub innej umowy o podobnym charakterze.</w:t>
      </w:r>
    </w:p>
    <w:p w14:paraId="713908FE" w14:textId="77777777" w:rsidR="00001E14" w:rsidRPr="00DA104D" w:rsidRDefault="00001E14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34457" w14:textId="0659F913" w:rsidR="0043773F" w:rsidRPr="00DA104D" w:rsidRDefault="00677021" w:rsidP="00485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04D">
        <w:rPr>
          <w:rFonts w:ascii="Times New Roman" w:hAnsi="Times New Roman" w:cs="Times New Roman"/>
          <w:b/>
          <w:sz w:val="24"/>
          <w:szCs w:val="24"/>
        </w:rPr>
        <w:t xml:space="preserve">Art. 1 pkt </w:t>
      </w:r>
      <w:r w:rsidR="00A21C15" w:rsidRPr="00DA104D">
        <w:rPr>
          <w:rFonts w:ascii="Times New Roman" w:hAnsi="Times New Roman" w:cs="Times New Roman"/>
          <w:b/>
          <w:sz w:val="24"/>
          <w:szCs w:val="24"/>
        </w:rPr>
        <w:t>12</w:t>
      </w:r>
      <w:r w:rsidR="0067386E">
        <w:rPr>
          <w:rFonts w:ascii="Times New Roman" w:hAnsi="Times New Roman" w:cs="Times New Roman"/>
          <w:b/>
          <w:sz w:val="24"/>
          <w:szCs w:val="24"/>
        </w:rPr>
        <w:t xml:space="preserve"> i 13</w:t>
      </w:r>
      <w:r w:rsidR="008C2D24"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D24" w:rsidRPr="00DA104D">
        <w:rPr>
          <w:rFonts w:ascii="Times New Roman" w:hAnsi="Times New Roman" w:cs="Times New Roman"/>
          <w:sz w:val="24"/>
          <w:szCs w:val="24"/>
        </w:rPr>
        <w:t>dotycząc</w:t>
      </w:r>
      <w:r w:rsidR="006C5F23" w:rsidRPr="00DA104D">
        <w:rPr>
          <w:rFonts w:ascii="Times New Roman" w:hAnsi="Times New Roman" w:cs="Times New Roman"/>
          <w:sz w:val="24"/>
          <w:szCs w:val="24"/>
        </w:rPr>
        <w:t>e</w:t>
      </w:r>
      <w:r w:rsidR="008C2D24" w:rsidRPr="00DA104D">
        <w:rPr>
          <w:rFonts w:ascii="Times New Roman" w:hAnsi="Times New Roman" w:cs="Times New Roman"/>
          <w:sz w:val="24"/>
          <w:szCs w:val="24"/>
        </w:rPr>
        <w:t xml:space="preserve"> art. 162 oraz 163 ustawy o obrocie</w:t>
      </w:r>
      <w:r w:rsidR="00864B0F"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73F" w:rsidRPr="00DA104D">
        <w:rPr>
          <w:rFonts w:ascii="Times New Roman" w:hAnsi="Times New Roman" w:cs="Times New Roman"/>
          <w:sz w:val="24"/>
          <w:szCs w:val="24"/>
        </w:rPr>
        <w:t>wprowadza</w:t>
      </w:r>
      <w:r w:rsidR="000C4322">
        <w:rPr>
          <w:rFonts w:ascii="Times New Roman" w:hAnsi="Times New Roman" w:cs="Times New Roman"/>
          <w:sz w:val="24"/>
          <w:szCs w:val="24"/>
        </w:rPr>
        <w:t>ją</w:t>
      </w:r>
      <w:r w:rsidR="0043773F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215EAB" w:rsidRPr="00DA104D">
        <w:rPr>
          <w:rFonts w:ascii="Times New Roman" w:hAnsi="Times New Roman" w:cs="Times New Roman"/>
          <w:sz w:val="24"/>
          <w:szCs w:val="24"/>
        </w:rPr>
        <w:t xml:space="preserve">zmiany </w:t>
      </w:r>
      <w:r w:rsidR="00D54096" w:rsidRPr="00DA104D">
        <w:rPr>
          <w:rFonts w:ascii="Times New Roman" w:hAnsi="Times New Roman" w:cs="Times New Roman"/>
          <w:sz w:val="24"/>
          <w:szCs w:val="24"/>
        </w:rPr>
        <w:t xml:space="preserve">opłat za prowadzenie działalności 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lub </w:t>
      </w:r>
      <w:r w:rsidR="00D54096" w:rsidRPr="00DA104D">
        <w:rPr>
          <w:rFonts w:ascii="Times New Roman" w:hAnsi="Times New Roman" w:cs="Times New Roman"/>
          <w:sz w:val="24"/>
          <w:szCs w:val="24"/>
        </w:rPr>
        <w:t>uzyskanie wymaganego zezwolenia przez zatwierdzony mechanizm</w:t>
      </w:r>
      <w:r w:rsidR="00215EAB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D54096" w:rsidRPr="00DA104D">
        <w:rPr>
          <w:rFonts w:ascii="Times New Roman" w:hAnsi="Times New Roman" w:cs="Times New Roman"/>
          <w:sz w:val="24"/>
          <w:szCs w:val="24"/>
        </w:rPr>
        <w:t>publikujący</w:t>
      </w:r>
      <w:r w:rsidR="00215EAB" w:rsidRPr="00DA104D">
        <w:rPr>
          <w:rFonts w:ascii="Times New Roman" w:hAnsi="Times New Roman" w:cs="Times New Roman"/>
          <w:sz w:val="24"/>
          <w:szCs w:val="24"/>
        </w:rPr>
        <w:t xml:space="preserve"> lub </w:t>
      </w:r>
      <w:r w:rsidR="00D54096" w:rsidRPr="00DA104D">
        <w:rPr>
          <w:rFonts w:ascii="Times New Roman" w:hAnsi="Times New Roman" w:cs="Times New Roman"/>
          <w:sz w:val="24"/>
          <w:szCs w:val="24"/>
        </w:rPr>
        <w:t>zatwierdzony</w:t>
      </w:r>
      <w:r w:rsidR="00215EAB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D54096" w:rsidRPr="00DA104D">
        <w:rPr>
          <w:rFonts w:ascii="Times New Roman" w:hAnsi="Times New Roman" w:cs="Times New Roman"/>
          <w:sz w:val="24"/>
          <w:szCs w:val="24"/>
        </w:rPr>
        <w:t>mechanizm sprawozdawczy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9C1039" w:rsidRPr="00DA104D">
        <w:rPr>
          <w:rFonts w:ascii="Times New Roman" w:hAnsi="Times New Roman" w:cs="Times New Roman"/>
          <w:sz w:val="24"/>
          <w:szCs w:val="24"/>
        </w:rPr>
        <w:t>korzysta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jące </w:t>
      </w:r>
      <w:r w:rsidR="00001E14">
        <w:rPr>
          <w:rFonts w:ascii="Times New Roman" w:hAnsi="Times New Roman" w:cs="Times New Roman"/>
          <w:sz w:val="24"/>
          <w:szCs w:val="24"/>
        </w:rPr>
        <w:t>z </w:t>
      </w:r>
      <w:r w:rsidR="00ED3C09" w:rsidRPr="00DA104D">
        <w:rPr>
          <w:rFonts w:ascii="Times New Roman" w:hAnsi="Times New Roman" w:cs="Times New Roman"/>
          <w:sz w:val="24"/>
          <w:szCs w:val="24"/>
        </w:rPr>
        <w:t>odstępstwa wynikającego z art. 2 ust. 3 rozporządzenia 600/2014.</w:t>
      </w:r>
    </w:p>
    <w:p w14:paraId="33569239" w14:textId="44B4F551" w:rsidR="00864B0F" w:rsidRDefault="00761ADB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677021" w:rsidRPr="00DA104D">
        <w:rPr>
          <w:rFonts w:ascii="Times New Roman" w:hAnsi="Times New Roman" w:cs="Times New Roman"/>
          <w:b/>
          <w:sz w:val="24"/>
          <w:szCs w:val="24"/>
        </w:rPr>
        <w:t xml:space="preserve">rt. 1 pkt </w:t>
      </w:r>
      <w:r w:rsidR="00A21C15" w:rsidRPr="00DA104D">
        <w:rPr>
          <w:rFonts w:ascii="Times New Roman" w:hAnsi="Times New Roman" w:cs="Times New Roman"/>
          <w:b/>
          <w:sz w:val="24"/>
          <w:szCs w:val="24"/>
        </w:rPr>
        <w:t>1</w:t>
      </w:r>
      <w:r w:rsidR="0067386E">
        <w:rPr>
          <w:rFonts w:ascii="Times New Roman" w:hAnsi="Times New Roman" w:cs="Times New Roman"/>
          <w:b/>
          <w:sz w:val="24"/>
          <w:szCs w:val="24"/>
        </w:rPr>
        <w:t>4</w:t>
      </w:r>
      <w:r w:rsidR="00864B0F"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820" w:rsidRPr="00DA104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A104D">
        <w:rPr>
          <w:rFonts w:ascii="Times New Roman" w:hAnsi="Times New Roman" w:cs="Times New Roman"/>
          <w:b/>
          <w:sz w:val="24"/>
          <w:szCs w:val="24"/>
        </w:rPr>
        <w:t xml:space="preserve">art. 2 pkt </w:t>
      </w:r>
      <w:r w:rsidR="00A21C15" w:rsidRPr="00DA104D">
        <w:rPr>
          <w:rFonts w:ascii="Times New Roman" w:hAnsi="Times New Roman" w:cs="Times New Roman"/>
          <w:b/>
          <w:sz w:val="24"/>
          <w:szCs w:val="24"/>
        </w:rPr>
        <w:t>6</w:t>
      </w:r>
      <w:r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E74" w:rsidRPr="00DA104D">
        <w:rPr>
          <w:rFonts w:ascii="Times New Roman" w:hAnsi="Times New Roman" w:cs="Times New Roman"/>
          <w:sz w:val="24"/>
          <w:szCs w:val="24"/>
        </w:rPr>
        <w:t>dotycząc</w:t>
      </w:r>
      <w:r w:rsidR="00D14723" w:rsidRPr="00DA104D">
        <w:rPr>
          <w:rFonts w:ascii="Times New Roman" w:hAnsi="Times New Roman" w:cs="Times New Roman"/>
          <w:sz w:val="24"/>
          <w:szCs w:val="24"/>
        </w:rPr>
        <w:t>e</w:t>
      </w:r>
      <w:r w:rsidR="008C2D24" w:rsidRPr="00DA104D">
        <w:rPr>
          <w:rFonts w:ascii="Times New Roman" w:hAnsi="Times New Roman" w:cs="Times New Roman"/>
          <w:sz w:val="24"/>
          <w:szCs w:val="24"/>
        </w:rPr>
        <w:t xml:space="preserve"> art. 167</w:t>
      </w:r>
      <w:r w:rsidR="0067386E">
        <w:rPr>
          <w:rFonts w:ascii="Times New Roman" w:hAnsi="Times New Roman" w:cs="Times New Roman"/>
          <w:sz w:val="24"/>
          <w:szCs w:val="24"/>
        </w:rPr>
        <w:t>ba</w:t>
      </w:r>
      <w:r w:rsidR="008C2D24" w:rsidRPr="00DA104D">
        <w:rPr>
          <w:rFonts w:ascii="Times New Roman" w:hAnsi="Times New Roman" w:cs="Times New Roman"/>
          <w:sz w:val="24"/>
          <w:szCs w:val="24"/>
        </w:rPr>
        <w:t xml:space="preserve"> ustawy o obrocie oraz art. 25 ustawy o nadzorze nad rynkiem kapitałowym</w:t>
      </w:r>
      <w:r w:rsidR="008C2D24"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F09" w:rsidRPr="00DA104D">
        <w:rPr>
          <w:rFonts w:ascii="Times New Roman" w:hAnsi="Times New Roman" w:cs="Times New Roman"/>
          <w:sz w:val="24"/>
          <w:szCs w:val="24"/>
        </w:rPr>
        <w:t>rozszerzają</w:t>
      </w:r>
      <w:r w:rsidR="005E2624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216117" w:rsidRPr="00DA104D">
        <w:rPr>
          <w:rFonts w:ascii="Times New Roman" w:hAnsi="Times New Roman" w:cs="Times New Roman"/>
          <w:sz w:val="24"/>
          <w:szCs w:val="24"/>
        </w:rPr>
        <w:t>sankcjonowanie naruszenia wymogów rozporządzenia 600/2014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, z </w:t>
      </w:r>
      <w:r w:rsidR="005348A1" w:rsidRPr="00DA104D">
        <w:rPr>
          <w:rFonts w:ascii="Times New Roman" w:hAnsi="Times New Roman" w:cs="Times New Roman"/>
          <w:sz w:val="24"/>
          <w:szCs w:val="24"/>
        </w:rPr>
        <w:t>uwzględni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eniem </w:t>
      </w:r>
      <w:r w:rsidR="005348A1" w:rsidRPr="00DA104D">
        <w:rPr>
          <w:rFonts w:ascii="Times New Roman" w:hAnsi="Times New Roman" w:cs="Times New Roman"/>
          <w:sz w:val="24"/>
          <w:szCs w:val="24"/>
        </w:rPr>
        <w:t>odstępstw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a wynikającego </w:t>
      </w:r>
      <w:r w:rsidR="005348A1" w:rsidRPr="00DA104D">
        <w:rPr>
          <w:rFonts w:ascii="Times New Roman" w:hAnsi="Times New Roman" w:cs="Times New Roman"/>
          <w:sz w:val="24"/>
          <w:szCs w:val="24"/>
        </w:rPr>
        <w:t>z art. 2 ust. 3</w:t>
      </w:r>
      <w:r w:rsidR="002B3E1E" w:rsidRPr="00DA104D">
        <w:rPr>
          <w:rFonts w:ascii="Times New Roman" w:hAnsi="Times New Roman" w:cs="Times New Roman"/>
          <w:sz w:val="24"/>
          <w:szCs w:val="24"/>
        </w:rPr>
        <w:t xml:space="preserve"> tego rozporządzenia.</w:t>
      </w:r>
      <w:r w:rsidR="00F82D38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DD7489" w:rsidRPr="00025C3D">
        <w:rPr>
          <w:rFonts w:ascii="Times New Roman" w:hAnsi="Times New Roman" w:cs="Times New Roman"/>
          <w:sz w:val="24"/>
          <w:szCs w:val="24"/>
        </w:rPr>
        <w:t>Komisja Nadzoru Finansowego</w:t>
      </w:r>
      <w:r w:rsidR="00DD7489">
        <w:rPr>
          <w:rFonts w:ascii="Times New Roman" w:hAnsi="Times New Roman" w:cs="Times New Roman"/>
          <w:sz w:val="24"/>
          <w:szCs w:val="24"/>
        </w:rPr>
        <w:t>, w</w:t>
      </w:r>
      <w:r w:rsidR="00CD6DD3" w:rsidRPr="00F322A5">
        <w:rPr>
          <w:rFonts w:ascii="Times New Roman" w:hAnsi="Times New Roman" w:cs="Times New Roman"/>
          <w:sz w:val="24"/>
          <w:szCs w:val="24"/>
        </w:rPr>
        <w:t xml:space="preserve"> celu skutecznego wyko</w:t>
      </w:r>
      <w:r w:rsidR="00001E14">
        <w:rPr>
          <w:rFonts w:ascii="Times New Roman" w:hAnsi="Times New Roman" w:cs="Times New Roman"/>
          <w:sz w:val="24"/>
          <w:szCs w:val="24"/>
        </w:rPr>
        <w:t>nywania uprawnień nadzorczych w </w:t>
      </w:r>
      <w:r w:rsidR="00CD6DD3" w:rsidRPr="00F322A5">
        <w:rPr>
          <w:rFonts w:ascii="Times New Roman" w:hAnsi="Times New Roman" w:cs="Times New Roman"/>
          <w:sz w:val="24"/>
          <w:szCs w:val="24"/>
        </w:rPr>
        <w:t xml:space="preserve">obszarze przetwarzania i </w:t>
      </w:r>
      <w:r w:rsidR="00BA0085" w:rsidRPr="00025C3D">
        <w:rPr>
          <w:rFonts w:ascii="Times New Roman" w:hAnsi="Times New Roman" w:cs="Times New Roman"/>
          <w:sz w:val="24"/>
          <w:szCs w:val="24"/>
        </w:rPr>
        <w:t>udostępniania</w:t>
      </w:r>
      <w:r w:rsidR="00CD6DD3" w:rsidRPr="00025C3D">
        <w:rPr>
          <w:rFonts w:ascii="Times New Roman" w:hAnsi="Times New Roman" w:cs="Times New Roman"/>
          <w:sz w:val="24"/>
          <w:szCs w:val="24"/>
        </w:rPr>
        <w:t xml:space="preserve"> danych</w:t>
      </w:r>
      <w:r w:rsidR="00DD7489">
        <w:rPr>
          <w:rFonts w:ascii="Times New Roman" w:hAnsi="Times New Roman" w:cs="Times New Roman"/>
          <w:sz w:val="24"/>
          <w:szCs w:val="24"/>
        </w:rPr>
        <w:t>,</w:t>
      </w:r>
      <w:r w:rsidR="00CD6DD3" w:rsidRPr="00025C3D">
        <w:rPr>
          <w:rFonts w:ascii="Times New Roman" w:hAnsi="Times New Roman" w:cs="Times New Roman"/>
          <w:sz w:val="24"/>
          <w:szCs w:val="24"/>
        </w:rPr>
        <w:t xml:space="preserve"> </w:t>
      </w:r>
      <w:r w:rsidR="00DD7489">
        <w:rPr>
          <w:rFonts w:ascii="Times New Roman" w:hAnsi="Times New Roman" w:cs="Times New Roman"/>
          <w:sz w:val="24"/>
          <w:szCs w:val="24"/>
        </w:rPr>
        <w:t>po</w:t>
      </w:r>
      <w:r w:rsidR="00BA0085" w:rsidRPr="00025C3D">
        <w:rPr>
          <w:rFonts w:ascii="Times New Roman" w:hAnsi="Times New Roman" w:cs="Times New Roman"/>
          <w:sz w:val="24"/>
          <w:szCs w:val="24"/>
        </w:rPr>
        <w:t>winna</w:t>
      </w:r>
      <w:r w:rsidR="00CD6DD3" w:rsidRPr="00025C3D">
        <w:rPr>
          <w:rFonts w:ascii="Times New Roman" w:hAnsi="Times New Roman" w:cs="Times New Roman"/>
          <w:sz w:val="24"/>
          <w:szCs w:val="24"/>
        </w:rPr>
        <w:t xml:space="preserve"> mieć </w:t>
      </w:r>
      <w:r w:rsidR="00CD6DD3" w:rsidRPr="004B5EA9">
        <w:rPr>
          <w:rFonts w:ascii="Times New Roman" w:hAnsi="Times New Roman" w:cs="Times New Roman"/>
          <w:sz w:val="24"/>
          <w:szCs w:val="24"/>
        </w:rPr>
        <w:t>możliwość nakładania kar lub okresowych sankcji, aby skłonić podmioty do zaprzestania naruszenia</w:t>
      </w:r>
      <w:r w:rsidR="00DD7489">
        <w:rPr>
          <w:rFonts w:ascii="Times New Roman" w:hAnsi="Times New Roman" w:cs="Times New Roman"/>
          <w:sz w:val="24"/>
          <w:szCs w:val="24"/>
        </w:rPr>
        <w:t xml:space="preserve"> oraz </w:t>
      </w:r>
      <w:r w:rsidR="00CD6DD3" w:rsidRPr="004B5EA9">
        <w:rPr>
          <w:rFonts w:ascii="Times New Roman" w:hAnsi="Times New Roman" w:cs="Times New Roman"/>
          <w:sz w:val="24"/>
          <w:szCs w:val="24"/>
        </w:rPr>
        <w:t xml:space="preserve">dostarczenia pełnych i </w:t>
      </w:r>
      <w:r w:rsidR="00CD6DD3" w:rsidRPr="00EF7999">
        <w:rPr>
          <w:rFonts w:ascii="Times New Roman" w:hAnsi="Times New Roman" w:cs="Times New Roman"/>
          <w:sz w:val="24"/>
          <w:szCs w:val="24"/>
        </w:rPr>
        <w:t>prawidłowych informacji, o które wystąpiła Komisja</w:t>
      </w:r>
      <w:r w:rsidR="00DD7489">
        <w:rPr>
          <w:rFonts w:ascii="Times New Roman" w:hAnsi="Times New Roman" w:cs="Times New Roman"/>
          <w:sz w:val="24"/>
          <w:szCs w:val="24"/>
        </w:rPr>
        <w:t xml:space="preserve">. Powinna mieć </w:t>
      </w:r>
      <w:r w:rsidR="00CD6DD3" w:rsidRPr="00EF7999">
        <w:rPr>
          <w:rFonts w:ascii="Times New Roman" w:hAnsi="Times New Roman" w:cs="Times New Roman"/>
          <w:sz w:val="24"/>
          <w:szCs w:val="24"/>
        </w:rPr>
        <w:t xml:space="preserve">także możliwość nakładania kar administracyjnych lub innych </w:t>
      </w:r>
      <w:r w:rsidR="00BA0085" w:rsidRPr="00EF7999">
        <w:rPr>
          <w:rFonts w:ascii="Times New Roman" w:hAnsi="Times New Roman" w:cs="Times New Roman"/>
          <w:sz w:val="24"/>
          <w:szCs w:val="24"/>
        </w:rPr>
        <w:t>środków</w:t>
      </w:r>
      <w:r w:rsidR="00CD6DD3" w:rsidRPr="00EF7999">
        <w:rPr>
          <w:rFonts w:ascii="Times New Roman" w:hAnsi="Times New Roman" w:cs="Times New Roman"/>
          <w:sz w:val="24"/>
          <w:szCs w:val="24"/>
        </w:rPr>
        <w:t xml:space="preserve"> administracyjnych, jeżeli </w:t>
      </w:r>
      <w:r w:rsidR="00BA0085" w:rsidRPr="00EF7999">
        <w:rPr>
          <w:rFonts w:ascii="Times New Roman" w:hAnsi="Times New Roman" w:cs="Times New Roman"/>
          <w:sz w:val="24"/>
          <w:szCs w:val="24"/>
        </w:rPr>
        <w:t>stwierdzi</w:t>
      </w:r>
      <w:r w:rsidR="00CD6DD3" w:rsidRPr="00EF7999">
        <w:rPr>
          <w:rFonts w:ascii="Times New Roman" w:hAnsi="Times New Roman" w:cs="Times New Roman"/>
          <w:sz w:val="24"/>
          <w:szCs w:val="24"/>
        </w:rPr>
        <w:t xml:space="preserve">, że </w:t>
      </w:r>
      <w:r w:rsidR="00DD7489">
        <w:rPr>
          <w:rFonts w:ascii="Times New Roman" w:hAnsi="Times New Roman" w:cs="Times New Roman"/>
          <w:sz w:val="24"/>
          <w:szCs w:val="24"/>
        </w:rPr>
        <w:t xml:space="preserve">dany podmiot </w:t>
      </w:r>
      <w:r w:rsidR="00CD6DD3" w:rsidRPr="00EF7999">
        <w:rPr>
          <w:rFonts w:ascii="Times New Roman" w:hAnsi="Times New Roman" w:cs="Times New Roman"/>
          <w:sz w:val="24"/>
          <w:szCs w:val="24"/>
        </w:rPr>
        <w:t xml:space="preserve">dopuścił się naruszenia </w:t>
      </w:r>
      <w:r w:rsidR="00BA0085" w:rsidRPr="00EF7999">
        <w:rPr>
          <w:rFonts w:ascii="Times New Roman" w:hAnsi="Times New Roman" w:cs="Times New Roman"/>
          <w:sz w:val="24"/>
          <w:szCs w:val="24"/>
        </w:rPr>
        <w:t>przepisów</w:t>
      </w:r>
      <w:r w:rsidR="00CD6DD3" w:rsidRPr="00F322A5">
        <w:rPr>
          <w:rFonts w:ascii="Times New Roman" w:hAnsi="Times New Roman" w:cs="Times New Roman"/>
          <w:sz w:val="24"/>
          <w:szCs w:val="24"/>
        </w:rPr>
        <w:t xml:space="preserve"> rozporządzenia nr 600/2014.</w:t>
      </w:r>
      <w:r w:rsidR="00F322A5">
        <w:rPr>
          <w:rFonts w:ascii="Times New Roman" w:hAnsi="Times New Roman" w:cs="Times New Roman"/>
          <w:sz w:val="24"/>
          <w:szCs w:val="24"/>
        </w:rPr>
        <w:t xml:space="preserve"> Wobec powyższego </w:t>
      </w:r>
      <w:r w:rsidR="00DD7489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BA0085" w:rsidRPr="00F322A5">
        <w:rPr>
          <w:rFonts w:ascii="Times New Roman" w:hAnsi="Times New Roman" w:cs="Times New Roman"/>
          <w:sz w:val="24"/>
          <w:szCs w:val="24"/>
        </w:rPr>
        <w:t xml:space="preserve">katalog sankcji, jakimi </w:t>
      </w:r>
      <w:r w:rsidR="00DD7489">
        <w:rPr>
          <w:rFonts w:ascii="Times New Roman" w:hAnsi="Times New Roman" w:cs="Times New Roman"/>
          <w:sz w:val="24"/>
          <w:szCs w:val="24"/>
        </w:rPr>
        <w:t xml:space="preserve">będzie dysponować </w:t>
      </w:r>
      <w:r w:rsidR="00BA0085" w:rsidRPr="00F322A5">
        <w:rPr>
          <w:rFonts w:ascii="Times New Roman" w:hAnsi="Times New Roman" w:cs="Times New Roman"/>
          <w:sz w:val="24"/>
          <w:szCs w:val="24"/>
        </w:rPr>
        <w:t xml:space="preserve">Komisja, do których należy: podanie do publicznej wiadomości informacji o </w:t>
      </w:r>
      <w:r w:rsidR="00BA0085" w:rsidRPr="00DD7489">
        <w:rPr>
          <w:rFonts w:ascii="Times New Roman" w:hAnsi="Times New Roman" w:cs="Times New Roman"/>
          <w:sz w:val="24"/>
          <w:szCs w:val="24"/>
        </w:rPr>
        <w:t xml:space="preserve">podmiocie dokonującym naruszeń oraz o charakterze tych naruszeń, nakazanie temu podmiotowi </w:t>
      </w:r>
      <w:r w:rsidR="00DD7489">
        <w:rPr>
          <w:rFonts w:ascii="Times New Roman" w:hAnsi="Times New Roman" w:cs="Times New Roman"/>
          <w:sz w:val="24"/>
          <w:szCs w:val="24"/>
        </w:rPr>
        <w:t>zaprzestania</w:t>
      </w:r>
      <w:r w:rsidR="00BA0085" w:rsidRPr="00DD7489">
        <w:rPr>
          <w:rFonts w:ascii="Times New Roman" w:hAnsi="Times New Roman" w:cs="Times New Roman"/>
          <w:sz w:val="24"/>
          <w:szCs w:val="24"/>
        </w:rPr>
        <w:t xml:space="preserve"> działań skutkujących powstaniem naruszeń i niepodejmowanie tych działań w przyszłości lub </w:t>
      </w:r>
      <w:r w:rsidR="00F322A5" w:rsidRPr="00DD7489">
        <w:rPr>
          <w:rFonts w:ascii="Times New Roman" w:hAnsi="Times New Roman" w:cs="Times New Roman"/>
          <w:sz w:val="24"/>
          <w:szCs w:val="24"/>
        </w:rPr>
        <w:t>nałożenie kary pienięż</w:t>
      </w:r>
      <w:r w:rsidR="00BA0085" w:rsidRPr="00DD7489">
        <w:rPr>
          <w:rFonts w:ascii="Times New Roman" w:hAnsi="Times New Roman" w:cs="Times New Roman"/>
          <w:sz w:val="24"/>
          <w:szCs w:val="24"/>
        </w:rPr>
        <w:t xml:space="preserve">nej w wysokości do 20 750 000 </w:t>
      </w:r>
      <w:r w:rsidR="00F322A5" w:rsidRPr="00DD7489">
        <w:rPr>
          <w:rFonts w:ascii="Times New Roman" w:hAnsi="Times New Roman" w:cs="Times New Roman"/>
          <w:sz w:val="24"/>
          <w:szCs w:val="24"/>
        </w:rPr>
        <w:t>albo do wysokości kwoty stanowiącej równowartość 10% całkowitego rocznego przychodu wykazanego w ostatnim zbadanym sprawozdaniu finansowym, jeżeli przekracza ona 20 750 000 zł.</w:t>
      </w:r>
    </w:p>
    <w:p w14:paraId="696B1829" w14:textId="77777777" w:rsidR="00001E14" w:rsidRPr="00DA104D" w:rsidRDefault="00001E14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A4914" w14:textId="7A50C065" w:rsidR="004926DA" w:rsidRPr="00DA104D" w:rsidRDefault="005E2624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b/>
          <w:sz w:val="24"/>
          <w:szCs w:val="24"/>
        </w:rPr>
        <w:t xml:space="preserve">Art. 1 pkt </w:t>
      </w:r>
      <w:r w:rsidR="00A21C15" w:rsidRPr="00DA104D">
        <w:rPr>
          <w:rFonts w:ascii="Times New Roman" w:hAnsi="Times New Roman" w:cs="Times New Roman"/>
          <w:b/>
          <w:sz w:val="24"/>
          <w:szCs w:val="24"/>
        </w:rPr>
        <w:t>1</w:t>
      </w:r>
      <w:r w:rsidR="0067386E">
        <w:rPr>
          <w:rFonts w:ascii="Times New Roman" w:hAnsi="Times New Roman" w:cs="Times New Roman"/>
          <w:b/>
          <w:sz w:val="24"/>
          <w:szCs w:val="24"/>
        </w:rPr>
        <w:t>5</w:t>
      </w:r>
      <w:r w:rsidR="00677021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D14723" w:rsidRPr="00DA104D">
        <w:rPr>
          <w:rFonts w:ascii="Times New Roman" w:hAnsi="Times New Roman" w:cs="Times New Roman"/>
          <w:sz w:val="24"/>
          <w:szCs w:val="24"/>
        </w:rPr>
        <w:t>dotycząc</w:t>
      </w:r>
      <w:r w:rsidR="00F94820" w:rsidRPr="00DA104D">
        <w:rPr>
          <w:rFonts w:ascii="Times New Roman" w:hAnsi="Times New Roman" w:cs="Times New Roman"/>
          <w:sz w:val="24"/>
          <w:szCs w:val="24"/>
        </w:rPr>
        <w:t>y</w:t>
      </w:r>
      <w:r w:rsidR="008C2D24" w:rsidRPr="00DA104D">
        <w:rPr>
          <w:rFonts w:ascii="Times New Roman" w:hAnsi="Times New Roman" w:cs="Times New Roman"/>
          <w:sz w:val="24"/>
          <w:szCs w:val="24"/>
        </w:rPr>
        <w:t xml:space="preserve"> art. 167c ustawy o obrocie</w:t>
      </w:r>
      <w:r w:rsidRPr="00DA104D">
        <w:rPr>
          <w:rFonts w:ascii="Times New Roman" w:hAnsi="Times New Roman" w:cs="Times New Roman"/>
          <w:sz w:val="24"/>
          <w:szCs w:val="24"/>
        </w:rPr>
        <w:t xml:space="preserve"> wprowadza</w:t>
      </w:r>
      <w:r w:rsidR="004926DA" w:rsidRPr="00DA104D">
        <w:rPr>
          <w:rFonts w:ascii="Times New Roman" w:hAnsi="Times New Roman" w:cs="Times New Roman"/>
          <w:sz w:val="24"/>
          <w:szCs w:val="24"/>
        </w:rPr>
        <w:t xml:space="preserve"> możliwoś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ć </w:t>
      </w:r>
      <w:r w:rsidR="004926DA" w:rsidRPr="00DA104D">
        <w:rPr>
          <w:rFonts w:ascii="Times New Roman" w:hAnsi="Times New Roman" w:cs="Times New Roman"/>
          <w:sz w:val="24"/>
          <w:szCs w:val="24"/>
        </w:rPr>
        <w:t>cofnięcia lub zawieszenia zezwolenia udzielone</w:t>
      </w:r>
      <w:r w:rsidR="006C5F23" w:rsidRPr="00DA104D">
        <w:rPr>
          <w:rFonts w:ascii="Times New Roman" w:hAnsi="Times New Roman" w:cs="Times New Roman"/>
          <w:sz w:val="24"/>
          <w:szCs w:val="24"/>
        </w:rPr>
        <w:t>go przez Komisję Nadzoru Finansowego,</w:t>
      </w:r>
      <w:r w:rsidR="008D7FF3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D14723" w:rsidRPr="00DA104D">
        <w:rPr>
          <w:rFonts w:ascii="Times New Roman" w:hAnsi="Times New Roman" w:cs="Times New Roman"/>
          <w:sz w:val="24"/>
          <w:szCs w:val="24"/>
        </w:rPr>
        <w:t xml:space="preserve">zatwierdzonemu mechanizmowi publikującemu lub zatwierdzonemu mechanizmowi sprawozdawczemu </w:t>
      </w:r>
      <w:r w:rsidR="004926DA" w:rsidRPr="00DA104D">
        <w:rPr>
          <w:rFonts w:ascii="Times New Roman" w:hAnsi="Times New Roman" w:cs="Times New Roman"/>
          <w:sz w:val="24"/>
          <w:szCs w:val="24"/>
        </w:rPr>
        <w:t>objęt</w:t>
      </w:r>
      <w:r w:rsidR="006C5F23" w:rsidRPr="00DA104D">
        <w:rPr>
          <w:rFonts w:ascii="Times New Roman" w:hAnsi="Times New Roman" w:cs="Times New Roman"/>
          <w:sz w:val="24"/>
          <w:szCs w:val="24"/>
        </w:rPr>
        <w:t>ym</w:t>
      </w:r>
      <w:r w:rsidR="004926DA" w:rsidRPr="00DA104D">
        <w:rPr>
          <w:rFonts w:ascii="Times New Roman" w:hAnsi="Times New Roman" w:cs="Times New Roman"/>
          <w:sz w:val="24"/>
          <w:szCs w:val="24"/>
        </w:rPr>
        <w:t xml:space="preserve"> odstępstwem</w:t>
      </w:r>
      <w:r w:rsidR="00BA76CB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wynikającym </w:t>
      </w:r>
      <w:r w:rsidR="00BA76CB" w:rsidRPr="00DA104D">
        <w:rPr>
          <w:rFonts w:ascii="Times New Roman" w:hAnsi="Times New Roman" w:cs="Times New Roman"/>
          <w:sz w:val="24"/>
          <w:szCs w:val="24"/>
        </w:rPr>
        <w:t>z art. 2 ust. 3 rozporządzenia 600/2014</w:t>
      </w:r>
      <w:r w:rsidR="004926DA" w:rsidRPr="00DA104D">
        <w:rPr>
          <w:rFonts w:ascii="Times New Roman" w:hAnsi="Times New Roman" w:cs="Times New Roman"/>
          <w:sz w:val="24"/>
          <w:szCs w:val="24"/>
        </w:rPr>
        <w:t>.</w:t>
      </w:r>
      <w:r w:rsidR="006B1165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6C5F23" w:rsidRPr="00DA104D">
        <w:rPr>
          <w:rFonts w:ascii="Times New Roman" w:hAnsi="Times New Roman" w:cs="Times New Roman"/>
          <w:sz w:val="24"/>
          <w:szCs w:val="24"/>
        </w:rPr>
        <w:t>D</w:t>
      </w:r>
      <w:r w:rsidR="006B1165" w:rsidRPr="00DA104D">
        <w:rPr>
          <w:rFonts w:ascii="Times New Roman" w:hAnsi="Times New Roman" w:cs="Times New Roman"/>
          <w:sz w:val="24"/>
          <w:szCs w:val="24"/>
        </w:rPr>
        <w:t xml:space="preserve">ecyzja 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taka </w:t>
      </w:r>
      <w:r w:rsidR="006B1165" w:rsidRPr="00DA104D">
        <w:rPr>
          <w:rFonts w:ascii="Times New Roman" w:hAnsi="Times New Roman" w:cs="Times New Roman"/>
          <w:sz w:val="24"/>
          <w:szCs w:val="24"/>
        </w:rPr>
        <w:t>podlega ogłoszeniu w Dzienniku Urzędowym Komisji Nadzoru Finansowego.</w:t>
      </w:r>
    </w:p>
    <w:p w14:paraId="4FB062CF" w14:textId="77777777" w:rsidR="008E2312" w:rsidRPr="00DA104D" w:rsidRDefault="008E2312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5222F" w14:textId="32BE99DA" w:rsidR="00677021" w:rsidRDefault="00DD7489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432D8" w:rsidRPr="00DA104D">
        <w:rPr>
          <w:rFonts w:ascii="Times New Roman" w:hAnsi="Times New Roman" w:cs="Times New Roman"/>
          <w:b/>
          <w:sz w:val="24"/>
          <w:szCs w:val="24"/>
        </w:rPr>
        <w:t xml:space="preserve">rt. 2 pkt </w:t>
      </w:r>
      <w:r w:rsidR="00272008" w:rsidRPr="00DA104D">
        <w:rPr>
          <w:rFonts w:ascii="Times New Roman" w:hAnsi="Times New Roman" w:cs="Times New Roman"/>
          <w:b/>
          <w:sz w:val="24"/>
          <w:szCs w:val="24"/>
        </w:rPr>
        <w:t>1</w:t>
      </w:r>
      <w:r w:rsidR="00677021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677021" w:rsidRPr="00DA104D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8C2D24" w:rsidRPr="00DA104D">
        <w:rPr>
          <w:rFonts w:ascii="Times New Roman" w:hAnsi="Times New Roman" w:cs="Times New Roman"/>
          <w:sz w:val="24"/>
          <w:szCs w:val="24"/>
        </w:rPr>
        <w:t>dotycz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ący </w:t>
      </w:r>
      <w:r w:rsidR="008C2D24" w:rsidRPr="00DA104D">
        <w:rPr>
          <w:rFonts w:ascii="Times New Roman" w:hAnsi="Times New Roman" w:cs="Times New Roman"/>
          <w:sz w:val="24"/>
          <w:szCs w:val="24"/>
        </w:rPr>
        <w:t>art. 5 ustawy o nadzorze nad rynkiem kapitałowym</w:t>
      </w:r>
      <w:r w:rsidR="00D14723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8C2D24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D14723" w:rsidRPr="00DA104D">
        <w:rPr>
          <w:rFonts w:ascii="Times New Roman" w:hAnsi="Times New Roman" w:cs="Times New Roman"/>
          <w:sz w:val="24"/>
          <w:szCs w:val="24"/>
        </w:rPr>
        <w:t>dostosowuje listę</w:t>
      </w:r>
      <w:r w:rsidR="00780952" w:rsidRPr="00DA104D">
        <w:rPr>
          <w:rFonts w:ascii="Times New Roman" w:hAnsi="Times New Roman" w:cs="Times New Roman"/>
          <w:sz w:val="24"/>
          <w:szCs w:val="24"/>
        </w:rPr>
        <w:t xml:space="preserve"> podmiotów podlegających nadzorowi Komisji Nadzoru Finansowego</w:t>
      </w:r>
      <w:r w:rsidR="00AF63D6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– </w:t>
      </w:r>
      <w:r w:rsidR="00AF63D6" w:rsidRPr="00DA104D">
        <w:rPr>
          <w:rFonts w:ascii="Times New Roman" w:hAnsi="Times New Roman" w:cs="Times New Roman"/>
          <w:sz w:val="24"/>
          <w:szCs w:val="24"/>
        </w:rPr>
        <w:t xml:space="preserve">dostawców usług w zakresie </w:t>
      </w:r>
      <w:r w:rsidR="001F5AD3" w:rsidRPr="00DA104D">
        <w:rPr>
          <w:rFonts w:ascii="Times New Roman" w:hAnsi="Times New Roman" w:cs="Times New Roman"/>
          <w:sz w:val="24"/>
          <w:szCs w:val="24"/>
        </w:rPr>
        <w:t>udostępniania</w:t>
      </w:r>
      <w:r w:rsidR="00AF63D6" w:rsidRPr="00DA104D">
        <w:rPr>
          <w:rFonts w:ascii="Times New Roman" w:hAnsi="Times New Roman" w:cs="Times New Roman"/>
          <w:sz w:val="24"/>
          <w:szCs w:val="24"/>
        </w:rPr>
        <w:t xml:space="preserve"> informacji</w:t>
      </w:r>
      <w:r w:rsidR="00AC6968" w:rsidRPr="00DA104D">
        <w:rPr>
          <w:rFonts w:ascii="Times New Roman" w:hAnsi="Times New Roman" w:cs="Times New Roman"/>
          <w:sz w:val="24"/>
          <w:szCs w:val="24"/>
        </w:rPr>
        <w:t xml:space="preserve"> –</w:t>
      </w:r>
      <w:r w:rsidR="008D7FF3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do zmian będących skutkiem </w:t>
      </w:r>
      <w:r w:rsidR="00D23F3F" w:rsidRPr="00DA104D">
        <w:rPr>
          <w:rFonts w:ascii="Times New Roman" w:hAnsi="Times New Roman" w:cs="Times New Roman"/>
          <w:sz w:val="24"/>
          <w:szCs w:val="24"/>
        </w:rPr>
        <w:t>odstępstwa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 wynikającego z </w:t>
      </w:r>
      <w:r w:rsidR="00D23F3F" w:rsidRPr="00DA104D">
        <w:rPr>
          <w:rFonts w:ascii="Times New Roman" w:hAnsi="Times New Roman" w:cs="Times New Roman"/>
          <w:sz w:val="24"/>
          <w:szCs w:val="24"/>
        </w:rPr>
        <w:t>art. 2 ust. 3 rozporządzenia 600/2014.</w:t>
      </w:r>
      <w:r w:rsidR="00F322A5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F322A5">
        <w:rPr>
          <w:rFonts w:ascii="Times New Roman" w:hAnsi="Times New Roman" w:cs="Times New Roman"/>
          <w:sz w:val="24"/>
          <w:szCs w:val="24"/>
        </w:rPr>
        <w:t xml:space="preserve">1 stycznia 2022 r. </w:t>
      </w:r>
      <w:r w:rsidR="00EF7999">
        <w:rPr>
          <w:rFonts w:ascii="Times New Roman" w:hAnsi="Times New Roman" w:cs="Times New Roman"/>
          <w:sz w:val="24"/>
          <w:szCs w:val="24"/>
        </w:rPr>
        <w:t>dostawcy usług w zakresie udostępniana informacji będą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5C3D">
        <w:rPr>
          <w:rFonts w:ascii="Times New Roman" w:hAnsi="Times New Roman" w:cs="Times New Roman"/>
          <w:sz w:val="24"/>
          <w:szCs w:val="24"/>
        </w:rPr>
        <w:t>co do zasady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C3D">
        <w:rPr>
          <w:rFonts w:ascii="Times New Roman" w:hAnsi="Times New Roman" w:cs="Times New Roman"/>
          <w:sz w:val="24"/>
          <w:szCs w:val="24"/>
        </w:rPr>
        <w:t xml:space="preserve"> </w:t>
      </w:r>
      <w:r w:rsidR="00EF7999">
        <w:rPr>
          <w:rFonts w:ascii="Times New Roman" w:hAnsi="Times New Roman" w:cs="Times New Roman"/>
          <w:sz w:val="24"/>
          <w:szCs w:val="24"/>
        </w:rPr>
        <w:t>nadzorowani przez Europejski Urząd Giełd i Papierów Wartościowych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7999">
        <w:rPr>
          <w:rFonts w:ascii="Times New Roman" w:hAnsi="Times New Roman" w:cs="Times New Roman"/>
          <w:sz w:val="24"/>
          <w:szCs w:val="24"/>
        </w:rPr>
        <w:t>za wyjątkiem zatwierdzonych mechanizmów sprawozdawczych i zatwierdzonych podmiotów publikujących, które ze względu na ograniczone znaczenie dla rynku wewnętrznego będą na mocy aktu delegowanego Komisji Europejskiej podlegać wymogowi uzyskania zezwolenia Komisji Nadzoru Finansowego i podlegać pod jej nadzór.</w:t>
      </w:r>
      <w:r w:rsidR="004B5EA9">
        <w:rPr>
          <w:rFonts w:ascii="Times New Roman" w:hAnsi="Times New Roman" w:cs="Times New Roman"/>
          <w:sz w:val="24"/>
          <w:szCs w:val="24"/>
        </w:rPr>
        <w:t xml:space="preserve"> W związku z powyższym konieczn</w:t>
      </w:r>
      <w:r>
        <w:rPr>
          <w:rFonts w:ascii="Times New Roman" w:hAnsi="Times New Roman" w:cs="Times New Roman"/>
          <w:sz w:val="24"/>
          <w:szCs w:val="24"/>
        </w:rPr>
        <w:t xml:space="preserve">e jest  </w:t>
      </w:r>
      <w:r w:rsidR="004B5EA9">
        <w:rPr>
          <w:rFonts w:ascii="Times New Roman" w:hAnsi="Times New Roman" w:cs="Times New Roman"/>
          <w:sz w:val="24"/>
          <w:szCs w:val="24"/>
        </w:rPr>
        <w:t>zaktualizowanie wykazu podmiotów nadzorowanych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4B5EA9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B5EA9">
        <w:rPr>
          <w:rFonts w:ascii="Times New Roman" w:hAnsi="Times New Roman" w:cs="Times New Roman"/>
          <w:sz w:val="24"/>
          <w:szCs w:val="24"/>
        </w:rPr>
        <w:t xml:space="preserve"> Nadzoru Finansowego, </w:t>
      </w:r>
      <w:r>
        <w:rPr>
          <w:rFonts w:ascii="Times New Roman" w:hAnsi="Times New Roman" w:cs="Times New Roman"/>
          <w:sz w:val="24"/>
          <w:szCs w:val="24"/>
        </w:rPr>
        <w:t xml:space="preserve">które zostały </w:t>
      </w:r>
      <w:r w:rsidR="004B5EA9">
        <w:rPr>
          <w:rFonts w:ascii="Times New Roman" w:hAnsi="Times New Roman" w:cs="Times New Roman"/>
          <w:sz w:val="24"/>
          <w:szCs w:val="24"/>
        </w:rPr>
        <w:t>wymienione enumeratywnie w art. 5 ustawy o nadzorze nad rynkiem kapitałowym.</w:t>
      </w:r>
      <w:r w:rsidR="00EF7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1038E" w14:textId="77777777" w:rsidR="00001E14" w:rsidRPr="00DA104D" w:rsidRDefault="00001E14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51A6" w14:textId="693377E0" w:rsidR="00677021" w:rsidRDefault="00677021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 xml:space="preserve">W </w:t>
      </w:r>
      <w:r w:rsidR="00286336" w:rsidRPr="00DA104D">
        <w:rPr>
          <w:rFonts w:ascii="Times New Roman" w:hAnsi="Times New Roman" w:cs="Times New Roman"/>
          <w:b/>
          <w:sz w:val="24"/>
          <w:szCs w:val="24"/>
        </w:rPr>
        <w:t xml:space="preserve">art. 2 pkt </w:t>
      </w:r>
      <w:r w:rsidR="00272008" w:rsidRPr="00DA104D">
        <w:rPr>
          <w:rFonts w:ascii="Times New Roman" w:hAnsi="Times New Roman" w:cs="Times New Roman"/>
          <w:b/>
          <w:sz w:val="24"/>
          <w:szCs w:val="24"/>
        </w:rPr>
        <w:t>2</w:t>
      </w:r>
      <w:r w:rsidR="00286336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B12E74" w:rsidRPr="00DA104D">
        <w:rPr>
          <w:rFonts w:ascii="Times New Roman" w:hAnsi="Times New Roman" w:cs="Times New Roman"/>
          <w:sz w:val="24"/>
          <w:szCs w:val="24"/>
        </w:rPr>
        <w:t xml:space="preserve">dotyczącym art. 7a ustawy o nadzorze nad rynkiem kapitałowym </w:t>
      </w:r>
      <w:r w:rsidR="00286336" w:rsidRPr="00DA104D">
        <w:rPr>
          <w:rFonts w:ascii="Times New Roman" w:hAnsi="Times New Roman" w:cs="Times New Roman"/>
          <w:sz w:val="24"/>
          <w:szCs w:val="24"/>
        </w:rPr>
        <w:t xml:space="preserve">została uregulowana możliwość przekazania 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przez ESMA </w:t>
      </w:r>
      <w:r w:rsidR="00286336" w:rsidRPr="00DA104D">
        <w:rPr>
          <w:rFonts w:ascii="Times New Roman" w:hAnsi="Times New Roman" w:cs="Times New Roman"/>
          <w:sz w:val="24"/>
          <w:szCs w:val="24"/>
        </w:rPr>
        <w:t>zadań w zakresie nadzoru do Komisji Nadzoru Finansowego</w:t>
      </w:r>
      <w:r w:rsidR="00D14723" w:rsidRPr="00DA104D">
        <w:rPr>
          <w:rFonts w:ascii="Times New Roman" w:hAnsi="Times New Roman" w:cs="Times New Roman"/>
          <w:sz w:val="24"/>
          <w:szCs w:val="24"/>
        </w:rPr>
        <w:t xml:space="preserve">, </w:t>
      </w:r>
      <w:r w:rsidR="00AC6968" w:rsidRPr="00DA104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14723" w:rsidRPr="00DA104D">
        <w:rPr>
          <w:rFonts w:ascii="Times New Roman" w:hAnsi="Times New Roman" w:cs="Times New Roman"/>
          <w:sz w:val="24"/>
          <w:szCs w:val="24"/>
        </w:rPr>
        <w:t>art.</w:t>
      </w:r>
      <w:r w:rsidR="004F1E43" w:rsidRPr="00DA104D">
        <w:rPr>
          <w:rFonts w:ascii="Times New Roman" w:hAnsi="Times New Roman" w:cs="Times New Roman"/>
          <w:sz w:val="24"/>
          <w:szCs w:val="24"/>
        </w:rPr>
        <w:t xml:space="preserve"> 38o </w:t>
      </w:r>
      <w:r w:rsidR="00D14723" w:rsidRPr="00DA104D">
        <w:rPr>
          <w:rFonts w:ascii="Times New Roman" w:hAnsi="Times New Roman" w:cs="Times New Roman"/>
          <w:sz w:val="24"/>
          <w:szCs w:val="24"/>
        </w:rPr>
        <w:t>rozporządzenia 600/2014</w:t>
      </w:r>
      <w:r w:rsidR="00286336" w:rsidRPr="00DA104D">
        <w:rPr>
          <w:rFonts w:ascii="Times New Roman" w:hAnsi="Times New Roman" w:cs="Times New Roman"/>
          <w:sz w:val="24"/>
          <w:szCs w:val="24"/>
        </w:rPr>
        <w:t>.</w:t>
      </w:r>
    </w:p>
    <w:p w14:paraId="6E9243BD" w14:textId="77777777" w:rsidR="00001E14" w:rsidRPr="00DA104D" w:rsidRDefault="00001E14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66A0A" w14:textId="0FF004C2" w:rsidR="008710DE" w:rsidRDefault="008710DE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 xml:space="preserve">W </w:t>
      </w:r>
      <w:r w:rsidR="009B4D1B" w:rsidRPr="00DA104D">
        <w:rPr>
          <w:rFonts w:ascii="Times New Roman" w:hAnsi="Times New Roman" w:cs="Times New Roman"/>
          <w:b/>
          <w:sz w:val="24"/>
          <w:szCs w:val="24"/>
        </w:rPr>
        <w:t xml:space="preserve">art. 2 pkt </w:t>
      </w:r>
      <w:r w:rsidR="00272008" w:rsidRPr="00DA104D">
        <w:rPr>
          <w:rFonts w:ascii="Times New Roman" w:hAnsi="Times New Roman" w:cs="Times New Roman"/>
          <w:b/>
          <w:sz w:val="24"/>
          <w:szCs w:val="24"/>
        </w:rPr>
        <w:t>3</w:t>
      </w:r>
      <w:r w:rsidR="00CF3F3F"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820" w:rsidRPr="00DA104D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272008" w:rsidRPr="00DA104D">
        <w:rPr>
          <w:rFonts w:ascii="Times New Roman" w:hAnsi="Times New Roman" w:cs="Times New Roman"/>
          <w:b/>
          <w:sz w:val="24"/>
          <w:szCs w:val="24"/>
        </w:rPr>
        <w:t>4</w:t>
      </w:r>
      <w:r w:rsidR="00CF3F3F"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E74" w:rsidRPr="00DA104D">
        <w:rPr>
          <w:rFonts w:ascii="Times New Roman" w:hAnsi="Times New Roman" w:cs="Times New Roman"/>
          <w:sz w:val="24"/>
          <w:szCs w:val="24"/>
        </w:rPr>
        <w:t>dotyczących</w:t>
      </w:r>
      <w:r w:rsidR="002C7375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2B771A" w:rsidRPr="00DA104D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2C7375" w:rsidRPr="00DA104D">
        <w:rPr>
          <w:rFonts w:ascii="Times New Roman" w:hAnsi="Times New Roman" w:cs="Times New Roman"/>
          <w:sz w:val="24"/>
          <w:szCs w:val="24"/>
        </w:rPr>
        <w:t xml:space="preserve">art. 19 oraz art. 21 ustawy o nadzorze nad rynkiem </w:t>
      </w:r>
      <w:r w:rsidR="00976793" w:rsidRPr="00DA104D">
        <w:rPr>
          <w:rFonts w:ascii="Times New Roman" w:hAnsi="Times New Roman" w:cs="Times New Roman"/>
          <w:sz w:val="24"/>
          <w:szCs w:val="24"/>
        </w:rPr>
        <w:t>kapitałowym</w:t>
      </w:r>
      <w:r w:rsidR="00B12E74"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F3F" w:rsidRPr="00DA104D">
        <w:rPr>
          <w:rFonts w:ascii="Times New Roman" w:hAnsi="Times New Roman" w:cs="Times New Roman"/>
          <w:sz w:val="24"/>
          <w:szCs w:val="24"/>
        </w:rPr>
        <w:t>zaw</w:t>
      </w:r>
      <w:r w:rsidR="00D14723" w:rsidRPr="00DA104D">
        <w:rPr>
          <w:rFonts w:ascii="Times New Roman" w:hAnsi="Times New Roman" w:cs="Times New Roman"/>
          <w:sz w:val="24"/>
          <w:szCs w:val="24"/>
        </w:rPr>
        <w:t>arto</w:t>
      </w:r>
      <w:r w:rsidR="00CF3F3F" w:rsidRPr="00DA104D">
        <w:rPr>
          <w:rFonts w:ascii="Times New Roman" w:hAnsi="Times New Roman" w:cs="Times New Roman"/>
          <w:sz w:val="24"/>
          <w:szCs w:val="24"/>
        </w:rPr>
        <w:t xml:space="preserve"> odniesienia do zmienionych pr</w:t>
      </w:r>
      <w:r w:rsidR="00D14723" w:rsidRPr="00DA104D">
        <w:rPr>
          <w:rFonts w:ascii="Times New Roman" w:hAnsi="Times New Roman" w:cs="Times New Roman"/>
          <w:sz w:val="24"/>
          <w:szCs w:val="24"/>
        </w:rPr>
        <w:t>zepisów rozporządzenia 600/2014</w:t>
      </w:r>
      <w:r w:rsidR="00AC6968" w:rsidRPr="00DA104D">
        <w:rPr>
          <w:rFonts w:ascii="Times New Roman" w:hAnsi="Times New Roman" w:cs="Times New Roman"/>
          <w:sz w:val="24"/>
          <w:szCs w:val="24"/>
        </w:rPr>
        <w:t xml:space="preserve">. Ponadto </w:t>
      </w:r>
      <w:r w:rsidRPr="00DA104D">
        <w:rPr>
          <w:rFonts w:ascii="Times New Roman" w:hAnsi="Times New Roman" w:cs="Times New Roman"/>
          <w:sz w:val="24"/>
          <w:szCs w:val="24"/>
        </w:rPr>
        <w:t>dodan</w:t>
      </w:r>
      <w:r w:rsidR="00AC6968" w:rsidRPr="00DA104D">
        <w:rPr>
          <w:rFonts w:ascii="Times New Roman" w:hAnsi="Times New Roman" w:cs="Times New Roman"/>
          <w:sz w:val="24"/>
          <w:szCs w:val="24"/>
        </w:rPr>
        <w:t>o</w:t>
      </w:r>
      <w:r w:rsidRPr="00DA104D">
        <w:rPr>
          <w:rFonts w:ascii="Times New Roman" w:hAnsi="Times New Roman" w:cs="Times New Roman"/>
          <w:sz w:val="24"/>
          <w:szCs w:val="24"/>
        </w:rPr>
        <w:t xml:space="preserve"> odniesienie </w:t>
      </w:r>
      <w:r w:rsidR="00D14723" w:rsidRPr="00DA104D">
        <w:rPr>
          <w:rFonts w:ascii="Times New Roman" w:hAnsi="Times New Roman" w:cs="Times New Roman"/>
          <w:sz w:val="24"/>
          <w:szCs w:val="24"/>
        </w:rPr>
        <w:t>d</w:t>
      </w:r>
      <w:r w:rsidR="00F7138D">
        <w:rPr>
          <w:rFonts w:ascii="Times New Roman" w:hAnsi="Times New Roman" w:cs="Times New Roman"/>
          <w:sz w:val="24"/>
          <w:szCs w:val="24"/>
        </w:rPr>
        <w:t>o tajemnicy służbowej</w:t>
      </w:r>
      <w:r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AC6968" w:rsidRPr="00DA104D">
        <w:rPr>
          <w:rFonts w:ascii="Times New Roman" w:hAnsi="Times New Roman" w:cs="Times New Roman"/>
          <w:sz w:val="24"/>
          <w:szCs w:val="24"/>
        </w:rPr>
        <w:t>(</w:t>
      </w:r>
      <w:r w:rsidRPr="00DA104D">
        <w:rPr>
          <w:rFonts w:ascii="Times New Roman" w:hAnsi="Times New Roman" w:cs="Times New Roman"/>
          <w:sz w:val="24"/>
          <w:szCs w:val="24"/>
        </w:rPr>
        <w:t>art.</w:t>
      </w:r>
      <w:r w:rsidR="00CF3F3F" w:rsidRPr="00DA104D">
        <w:rPr>
          <w:rFonts w:ascii="Times New Roman" w:hAnsi="Times New Roman" w:cs="Times New Roman"/>
          <w:sz w:val="24"/>
          <w:szCs w:val="24"/>
        </w:rPr>
        <w:t xml:space="preserve"> 38f rozporządzenia 600/2014</w:t>
      </w:r>
      <w:r w:rsidR="00AC6968" w:rsidRPr="00DA104D">
        <w:rPr>
          <w:rFonts w:ascii="Times New Roman" w:hAnsi="Times New Roman" w:cs="Times New Roman"/>
          <w:sz w:val="24"/>
          <w:szCs w:val="24"/>
        </w:rPr>
        <w:t xml:space="preserve">) oraz </w:t>
      </w:r>
      <w:r w:rsidR="00CF3F3F" w:rsidRPr="00DA104D">
        <w:rPr>
          <w:rFonts w:ascii="Times New Roman" w:hAnsi="Times New Roman" w:cs="Times New Roman"/>
          <w:sz w:val="24"/>
          <w:szCs w:val="24"/>
        </w:rPr>
        <w:t xml:space="preserve">zasad wymiany informacji dla celów realizacji </w:t>
      </w:r>
      <w:r w:rsidR="00AC6968" w:rsidRPr="00DA104D">
        <w:rPr>
          <w:rFonts w:ascii="Times New Roman" w:hAnsi="Times New Roman" w:cs="Times New Roman"/>
          <w:sz w:val="24"/>
          <w:szCs w:val="24"/>
        </w:rPr>
        <w:t xml:space="preserve">tego </w:t>
      </w:r>
      <w:r w:rsidR="00CF3F3F" w:rsidRPr="00DA104D">
        <w:rPr>
          <w:rFonts w:ascii="Times New Roman" w:hAnsi="Times New Roman" w:cs="Times New Roman"/>
          <w:sz w:val="24"/>
          <w:szCs w:val="24"/>
        </w:rPr>
        <w:t>rozporządzenia.</w:t>
      </w:r>
    </w:p>
    <w:p w14:paraId="7C3D8BBD" w14:textId="77777777" w:rsidR="00001E14" w:rsidRPr="00DA104D" w:rsidRDefault="00001E14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6626" w14:textId="0028CBBB" w:rsidR="009B4D1B" w:rsidRPr="00DA104D" w:rsidRDefault="009B4D1B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 xml:space="preserve">W </w:t>
      </w:r>
      <w:r w:rsidR="009A0172" w:rsidRPr="00DA104D">
        <w:rPr>
          <w:rFonts w:ascii="Times New Roman" w:hAnsi="Times New Roman" w:cs="Times New Roman"/>
          <w:b/>
          <w:sz w:val="24"/>
          <w:szCs w:val="24"/>
        </w:rPr>
        <w:t xml:space="preserve">art. 2 pkt </w:t>
      </w:r>
      <w:r w:rsidR="00272008" w:rsidRPr="00DA104D">
        <w:rPr>
          <w:rFonts w:ascii="Times New Roman" w:hAnsi="Times New Roman" w:cs="Times New Roman"/>
          <w:b/>
          <w:sz w:val="24"/>
          <w:szCs w:val="24"/>
        </w:rPr>
        <w:t>5</w:t>
      </w:r>
      <w:r w:rsidR="00CF3F3F" w:rsidRPr="00DA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4F5" w:rsidRPr="00DA104D">
        <w:rPr>
          <w:rFonts w:ascii="Times New Roman" w:hAnsi="Times New Roman" w:cs="Times New Roman"/>
          <w:sz w:val="24"/>
          <w:szCs w:val="24"/>
        </w:rPr>
        <w:t>dodan</w:t>
      </w:r>
      <w:r w:rsidR="00D14723" w:rsidRPr="00DA104D">
        <w:rPr>
          <w:rFonts w:ascii="Times New Roman" w:hAnsi="Times New Roman" w:cs="Times New Roman"/>
          <w:sz w:val="24"/>
          <w:szCs w:val="24"/>
        </w:rPr>
        <w:t>o</w:t>
      </w:r>
      <w:r w:rsidR="005B74F5" w:rsidRPr="00DA104D">
        <w:rPr>
          <w:rFonts w:ascii="Times New Roman" w:hAnsi="Times New Roman" w:cs="Times New Roman"/>
          <w:sz w:val="24"/>
          <w:szCs w:val="24"/>
        </w:rPr>
        <w:t xml:space="preserve"> przepis </w:t>
      </w:r>
      <w:r w:rsidR="002B771A" w:rsidRPr="00DA104D">
        <w:rPr>
          <w:rFonts w:ascii="Times New Roman" w:hAnsi="Times New Roman" w:cs="Times New Roman"/>
          <w:sz w:val="24"/>
          <w:szCs w:val="24"/>
        </w:rPr>
        <w:t xml:space="preserve">art. 23ha </w:t>
      </w:r>
      <w:r w:rsidR="00AC6968" w:rsidRPr="00DA104D">
        <w:rPr>
          <w:rFonts w:ascii="Times New Roman" w:hAnsi="Times New Roman" w:cs="Times New Roman"/>
          <w:sz w:val="24"/>
          <w:szCs w:val="24"/>
        </w:rPr>
        <w:t xml:space="preserve">w </w:t>
      </w:r>
      <w:r w:rsidR="002B771A" w:rsidRPr="00DA104D">
        <w:rPr>
          <w:rFonts w:ascii="Times New Roman" w:hAnsi="Times New Roman" w:cs="Times New Roman"/>
          <w:sz w:val="24"/>
          <w:szCs w:val="24"/>
        </w:rPr>
        <w:t>ustaw</w:t>
      </w:r>
      <w:r w:rsidR="00AC6968" w:rsidRPr="00DA104D">
        <w:rPr>
          <w:rFonts w:ascii="Times New Roman" w:hAnsi="Times New Roman" w:cs="Times New Roman"/>
          <w:sz w:val="24"/>
          <w:szCs w:val="24"/>
        </w:rPr>
        <w:t>ie</w:t>
      </w:r>
      <w:r w:rsidR="002B771A" w:rsidRPr="00DA104D">
        <w:rPr>
          <w:rFonts w:ascii="Times New Roman" w:hAnsi="Times New Roman" w:cs="Times New Roman"/>
          <w:sz w:val="24"/>
          <w:szCs w:val="24"/>
        </w:rPr>
        <w:t xml:space="preserve"> o nadzorze nad rynkiem kapitałowym</w:t>
      </w:r>
      <w:r w:rsidR="00AC6968" w:rsidRPr="00DA104D">
        <w:rPr>
          <w:rFonts w:ascii="Times New Roman" w:hAnsi="Times New Roman" w:cs="Times New Roman"/>
          <w:sz w:val="24"/>
          <w:szCs w:val="24"/>
        </w:rPr>
        <w:t xml:space="preserve"> – dotyczy on </w:t>
      </w:r>
      <w:r w:rsidR="005B74F5" w:rsidRPr="00DA104D">
        <w:rPr>
          <w:rFonts w:ascii="Times New Roman" w:hAnsi="Times New Roman" w:cs="Times New Roman"/>
          <w:sz w:val="24"/>
          <w:szCs w:val="24"/>
        </w:rPr>
        <w:t xml:space="preserve">możliwości udzielenia przez Komisję Nadzoru Finansowego zezwolenia na działanie dostawców usług w zakresie udostępniania informacji w przypadkach i na zasadach określonych </w:t>
      </w:r>
      <w:r w:rsidR="005F3CEF" w:rsidRPr="00DA104D">
        <w:rPr>
          <w:rFonts w:ascii="Times New Roman" w:hAnsi="Times New Roman" w:cs="Times New Roman"/>
          <w:sz w:val="24"/>
          <w:szCs w:val="24"/>
        </w:rPr>
        <w:t>w rozporządzeniu</w:t>
      </w:r>
      <w:r w:rsidR="005B74F5" w:rsidRPr="00DA104D">
        <w:rPr>
          <w:rFonts w:ascii="Times New Roman" w:hAnsi="Times New Roman" w:cs="Times New Roman"/>
          <w:sz w:val="24"/>
          <w:szCs w:val="24"/>
        </w:rPr>
        <w:t xml:space="preserve"> 600/2014.</w:t>
      </w:r>
    </w:p>
    <w:p w14:paraId="3CCB80D5" w14:textId="77777777" w:rsidR="008E2312" w:rsidRPr="00DA104D" w:rsidRDefault="008E2312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EA392" w14:textId="6026C905" w:rsidR="00515F88" w:rsidRPr="005E428B" w:rsidRDefault="00515F88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b/>
          <w:sz w:val="24"/>
          <w:szCs w:val="24"/>
        </w:rPr>
        <w:t>Art. 3</w:t>
      </w:r>
      <w:r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Pr="00DA104D">
        <w:rPr>
          <w:rFonts w:ascii="Times New Roman" w:hAnsi="Times New Roman" w:cs="Times New Roman"/>
          <w:b/>
          <w:sz w:val="24"/>
          <w:szCs w:val="24"/>
        </w:rPr>
        <w:t>pkt 1</w:t>
      </w:r>
      <w:r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Pr="00DA104D">
        <w:rPr>
          <w:rFonts w:ascii="Times New Roman" w:hAnsi="Times New Roman" w:cs="Times New Roman"/>
          <w:b/>
          <w:sz w:val="24"/>
          <w:szCs w:val="24"/>
        </w:rPr>
        <w:t>projektu</w:t>
      </w:r>
      <w:r w:rsidRPr="00DA104D">
        <w:rPr>
          <w:rFonts w:ascii="Times New Roman" w:hAnsi="Times New Roman" w:cs="Times New Roman"/>
          <w:sz w:val="24"/>
          <w:szCs w:val="24"/>
        </w:rPr>
        <w:t xml:space="preserve"> implementuje art. 152a ust. 1 dyrektywy Parlamentu Europejskiego i Rady (UE) 2009/138/WE z dnia 25 listopada 2009 r. w sprawie podejmowania i prowadzenia działalności ubezpieczeniowej i reasekuracyjnej  (dyrektywa Wypłacalność II</w:t>
      </w:r>
      <w:r w:rsidRPr="002F0C53">
        <w:rPr>
          <w:rFonts w:ascii="Times New Roman" w:hAnsi="Times New Roman" w:cs="Times New Roman"/>
          <w:sz w:val="24"/>
          <w:szCs w:val="24"/>
        </w:rPr>
        <w:t xml:space="preserve">). </w:t>
      </w:r>
      <w:r w:rsidRPr="00A570C6">
        <w:rPr>
          <w:rFonts w:ascii="Times New Roman" w:hAnsi="Times New Roman" w:cs="Times New Roman"/>
          <w:sz w:val="24"/>
          <w:szCs w:val="24"/>
        </w:rPr>
        <w:t>Dodawany  przepis art. 174 ust. 2 ustawy o działalności ube</w:t>
      </w:r>
      <w:r w:rsidR="00F7138D">
        <w:rPr>
          <w:rFonts w:ascii="Times New Roman" w:hAnsi="Times New Roman" w:cs="Times New Roman"/>
          <w:sz w:val="24"/>
          <w:szCs w:val="24"/>
        </w:rPr>
        <w:t>zpieczeniowej i reasekuracyjnej</w:t>
      </w:r>
      <w:r w:rsidRPr="00A570C6">
        <w:rPr>
          <w:rFonts w:ascii="Times New Roman" w:hAnsi="Times New Roman" w:cs="Times New Roman"/>
          <w:sz w:val="24"/>
          <w:szCs w:val="24"/>
        </w:rPr>
        <w:t xml:space="preserve"> przewiduje, że organ nadzoru będzie obowiązany do powiadamiania EIOPA oraz organu nadzorczego przyjmującego państwa członkowskiego Unii</w:t>
      </w:r>
      <w:r w:rsidRPr="005E428B">
        <w:rPr>
          <w:rFonts w:ascii="Times New Roman" w:hAnsi="Times New Roman" w:cs="Times New Roman"/>
          <w:sz w:val="24"/>
          <w:szCs w:val="24"/>
        </w:rPr>
        <w:t xml:space="preserve"> Europejskiej o zamiarze wydania zezwolenia na wykonywanie działalności ubezpieczeniowej dla krajowego zakładu ubezpieczeń lub na wykonywanie działalności reasekuracyjnej dla krajowego zakładu reasekuracji</w:t>
      </w:r>
      <w:r w:rsidR="00F7138D">
        <w:rPr>
          <w:rFonts w:ascii="Times New Roman" w:hAnsi="Times New Roman" w:cs="Times New Roman"/>
          <w:sz w:val="24"/>
          <w:szCs w:val="24"/>
        </w:rPr>
        <w:t>,</w:t>
      </w:r>
      <w:r w:rsidRPr="005E428B">
        <w:rPr>
          <w:rFonts w:ascii="Times New Roman" w:hAnsi="Times New Roman" w:cs="Times New Roman"/>
          <w:sz w:val="24"/>
          <w:szCs w:val="24"/>
        </w:rPr>
        <w:t xml:space="preserve"> w przypadku gdy zgodnie z planem działalności część działalności będzie wykonywana w ramach swobody świadczenia usług lub przez oddział</w:t>
      </w:r>
      <w:r w:rsidR="00F7138D">
        <w:rPr>
          <w:rFonts w:ascii="Times New Roman" w:hAnsi="Times New Roman" w:cs="Times New Roman"/>
          <w:sz w:val="24"/>
          <w:szCs w:val="24"/>
        </w:rPr>
        <w:t>,</w:t>
      </w:r>
      <w:r w:rsidRPr="005E428B">
        <w:rPr>
          <w:rFonts w:ascii="Times New Roman" w:hAnsi="Times New Roman" w:cs="Times New Roman"/>
          <w:sz w:val="24"/>
          <w:szCs w:val="24"/>
        </w:rPr>
        <w:t xml:space="preserve"> </w:t>
      </w:r>
      <w:r w:rsidR="00F7138D">
        <w:rPr>
          <w:rFonts w:ascii="Times New Roman" w:hAnsi="Times New Roman" w:cs="Times New Roman"/>
          <w:sz w:val="24"/>
          <w:szCs w:val="24"/>
        </w:rPr>
        <w:t>a</w:t>
      </w:r>
      <w:r w:rsidRPr="005E428B">
        <w:rPr>
          <w:rFonts w:ascii="Times New Roman" w:hAnsi="Times New Roman" w:cs="Times New Roman"/>
          <w:sz w:val="24"/>
          <w:szCs w:val="24"/>
        </w:rPr>
        <w:t xml:space="preserve"> działalność ta mogłaby być istotna dla rynku przyjmującego państwa członkowskiego. </w:t>
      </w:r>
    </w:p>
    <w:p w14:paraId="36A613E5" w14:textId="77777777" w:rsidR="00515F88" w:rsidRPr="005E428B" w:rsidRDefault="00515F88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5EA54" w14:textId="77777777" w:rsidR="001C0B6A" w:rsidRDefault="00515F88" w:rsidP="0048530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E428B">
        <w:rPr>
          <w:rFonts w:ascii="Times New Roman" w:hAnsi="Times New Roman" w:cs="Times New Roman"/>
          <w:b/>
          <w:szCs w:val="24"/>
        </w:rPr>
        <w:t>Art. 3 pkt 2</w:t>
      </w:r>
      <w:r w:rsidRPr="005E428B">
        <w:rPr>
          <w:rFonts w:ascii="Times New Roman" w:hAnsi="Times New Roman" w:cs="Times New Roman"/>
          <w:szCs w:val="24"/>
        </w:rPr>
        <w:t xml:space="preserve"> wdraża art. 152a ust. 2 oraz art. 152b   dyrektywy Wypłacalność II – przez dodanie art. 213a, art.  213b oraz art. 213c do ustawy o działalności ubezpieczeniowej i reasekuracyjnej.  </w:t>
      </w:r>
    </w:p>
    <w:p w14:paraId="2E743DC4" w14:textId="6BF0DB5D" w:rsidR="00515F88" w:rsidRDefault="00515F88" w:rsidP="0048530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E428B">
        <w:rPr>
          <w:rFonts w:ascii="Times New Roman" w:hAnsi="Times New Roman" w:cs="Times New Roman"/>
          <w:szCs w:val="24"/>
        </w:rPr>
        <w:t xml:space="preserve">Zgodnie z dodanym art. 213a organ nadzoru będzie miał możliwość zwrócenia się do zainteresowanych organów nadzorczych (organ nadzorczy państwa siedziby danego zakładu oraz organy nadzorcze przyjmujących państw członkowskich Unii Europejskiej) z wnioskiem o ustanowienie platformy współpracy w zakresie sprawowania nadzoru nad działalnością zakładów ubezpieczeń i zakładów reasekuracji wykonujących działalność transgraniczną w ramach swobody świadczenia usług lub przez oddział.  Organ nadzoru będzie miał również możliwość wyrażenia zgody na ustanowienie takiej platformy współpracy, na wniosek zainteresowanego organu nadzorczego i uczestniczenia w takiej platformie. W przypadku ustanowienia platformy, organ nadzoru będzie obowiązany przekazywać zainteresowanym organom nadzorczym niezwłocznie informacje niezbędne dla właściwego funkcjonowania platformy. </w:t>
      </w:r>
    </w:p>
    <w:p w14:paraId="4AFAAC4B" w14:textId="77777777" w:rsidR="00001E14" w:rsidRPr="00DA104D" w:rsidRDefault="00001E14" w:rsidP="0048530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6879D33" w14:textId="4C1E8B03" w:rsidR="00515F88" w:rsidRPr="00DA104D" w:rsidRDefault="00515F88" w:rsidP="0048530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DA104D">
        <w:rPr>
          <w:rFonts w:ascii="Times New Roman" w:hAnsi="Times New Roman" w:cs="Times New Roman"/>
          <w:szCs w:val="24"/>
        </w:rPr>
        <w:t xml:space="preserve">Przepis art. 213b określa uprawnienia i obowiązki organu nadzoru w związku z działalnością krajowego zakładu ubezpieczeń wykonującego działalność na terytorium państwa członkowskiego Unii Europejskiej innego niż Rzeczpospolita Polska  w ramach swobody świadczenia usług lub przez oddział. W przypadku gdy organ nadzoru stwierdzi pogorszenie sytuacji finansowej takiego podmiotu lub wystąpienie innych </w:t>
      </w:r>
      <w:proofErr w:type="spellStart"/>
      <w:r w:rsidRPr="00DA104D">
        <w:rPr>
          <w:rFonts w:ascii="Times New Roman" w:hAnsi="Times New Roman" w:cs="Times New Roman"/>
          <w:szCs w:val="24"/>
        </w:rPr>
        <w:t>ryzyk</w:t>
      </w:r>
      <w:proofErr w:type="spellEnd"/>
      <w:r w:rsidRPr="00DA104D">
        <w:rPr>
          <w:rFonts w:ascii="Times New Roman" w:hAnsi="Times New Roman" w:cs="Times New Roman"/>
          <w:szCs w:val="24"/>
        </w:rPr>
        <w:t xml:space="preserve"> wynikających z jego działalności transgranicznej, które mogą mieć skutki dla rynku przyjmującego państwa członkowskiego Unii Europejskiej,  organ nadzoru będzie obowiązany powiadomić </w:t>
      </w:r>
      <w:r w:rsidR="00F7138D">
        <w:rPr>
          <w:rFonts w:ascii="Times New Roman" w:hAnsi="Times New Roman" w:cs="Times New Roman"/>
          <w:szCs w:val="24"/>
        </w:rPr>
        <w:t xml:space="preserve">o tym </w:t>
      </w:r>
      <w:r w:rsidRPr="00DA104D">
        <w:rPr>
          <w:rFonts w:ascii="Times New Roman" w:hAnsi="Times New Roman" w:cs="Times New Roman"/>
          <w:szCs w:val="24"/>
        </w:rPr>
        <w:t>EIOPA oraz organ nadzorczy przyjmującego państwa członkowskiego Unii Europejskiej. Jeżeli działalność takiego zakładu jest istotna</w:t>
      </w:r>
      <w:r w:rsidR="00BE45D9">
        <w:rPr>
          <w:rFonts w:ascii="Times New Roman" w:hAnsi="Times New Roman" w:cs="Times New Roman"/>
          <w:szCs w:val="24"/>
        </w:rPr>
        <w:t xml:space="preserve"> z punktu widzenia</w:t>
      </w:r>
      <w:r w:rsidRPr="00DA104D">
        <w:rPr>
          <w:rFonts w:ascii="Times New Roman" w:hAnsi="Times New Roman" w:cs="Times New Roman"/>
          <w:szCs w:val="24"/>
        </w:rPr>
        <w:t xml:space="preserve"> rynku przyjmującego państwa członkowskiego Unii Europejskiej, organ nadzoru będzie miał możliwość wystąpić do tego organu nadzorczego w celu osiągnięcia wspólnego stanowiska i wypracowania rozwiązania problemów wynikających z działalności tego zakładu. Jeżeli nie zostanie osiągnięte wspólne stanowisko, organ nadzoru będzie uprawniony do zwróc</w:t>
      </w:r>
      <w:r w:rsidR="00001E14">
        <w:rPr>
          <w:rFonts w:ascii="Times New Roman" w:hAnsi="Times New Roman" w:cs="Times New Roman"/>
          <w:szCs w:val="24"/>
        </w:rPr>
        <w:t>enia się z wnioskiem do EIOPA o </w:t>
      </w:r>
      <w:r w:rsidRPr="00DA104D">
        <w:rPr>
          <w:rFonts w:ascii="Times New Roman" w:hAnsi="Times New Roman" w:cs="Times New Roman"/>
          <w:szCs w:val="24"/>
        </w:rPr>
        <w:t>pomoc lub o ustanowienie platformy współpracy.  W przypadku ustanowienia przez EIOPA platformy współpracy, organ nadzoru będzie obow</w:t>
      </w:r>
      <w:r w:rsidR="00001E14">
        <w:rPr>
          <w:rFonts w:ascii="Times New Roman" w:hAnsi="Times New Roman" w:cs="Times New Roman"/>
          <w:szCs w:val="24"/>
        </w:rPr>
        <w:t>iązany do przekazywania EIOPA i </w:t>
      </w:r>
      <w:r w:rsidRPr="00DA104D">
        <w:rPr>
          <w:rFonts w:ascii="Times New Roman" w:hAnsi="Times New Roman" w:cs="Times New Roman"/>
          <w:szCs w:val="24"/>
        </w:rPr>
        <w:t>zainteresowanym organom nadzorczym (organy nadzorcze przyjmujących państw członkowskich UE) informacji niezbędnych do zapewnienia właściwego funkcjonowania platformy.</w:t>
      </w:r>
    </w:p>
    <w:p w14:paraId="08D8D084" w14:textId="77777777" w:rsidR="00001E14" w:rsidRDefault="00001E14" w:rsidP="00485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6803F" w14:textId="0286B206" w:rsidR="00515F88" w:rsidRPr="00DA104D" w:rsidRDefault="00515F88" w:rsidP="00485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>W art. 213c zostały określone uprawnienia i obowią</w:t>
      </w:r>
      <w:r w:rsidR="00001E14">
        <w:rPr>
          <w:rFonts w:ascii="Times New Roman" w:hAnsi="Times New Roman" w:cs="Times New Roman"/>
          <w:sz w:val="24"/>
          <w:szCs w:val="24"/>
        </w:rPr>
        <w:t>zki organu nadzoru, w związku z </w:t>
      </w:r>
      <w:r w:rsidRPr="00DA104D">
        <w:rPr>
          <w:rFonts w:ascii="Times New Roman" w:hAnsi="Times New Roman" w:cs="Times New Roman"/>
          <w:sz w:val="24"/>
          <w:szCs w:val="24"/>
        </w:rPr>
        <w:t xml:space="preserve">działalnością zagranicznego zakładu ubezpieczeń wykonującego działalność na terytorium Rzeczypospolitej Polskiej  w ramach swobody świadczenia usług lub przez oddział. Organ nadzoru będzie miał możliwość powiadamiania organu nadzorczego państwa członkowskiego </w:t>
      </w:r>
      <w:r w:rsidRPr="00DA104D">
        <w:rPr>
          <w:rFonts w:ascii="Times New Roman" w:hAnsi="Times New Roman" w:cs="Times New Roman"/>
          <w:sz w:val="24"/>
          <w:szCs w:val="24"/>
        </w:rPr>
        <w:lastRenderedPageBreak/>
        <w:t>Unii Europejskiej, w którym dany zakład ma siedzibę w przypadku stwierdzenia możliwości naruszenia przez ten zakład interesów klientów i upraw</w:t>
      </w:r>
      <w:r w:rsidR="00001E14">
        <w:rPr>
          <w:rFonts w:ascii="Times New Roman" w:hAnsi="Times New Roman" w:cs="Times New Roman"/>
          <w:sz w:val="24"/>
          <w:szCs w:val="24"/>
        </w:rPr>
        <w:t>nionych z umów ubezpieczenia. W </w:t>
      </w:r>
      <w:r w:rsidRPr="00DA104D">
        <w:rPr>
          <w:rFonts w:ascii="Times New Roman" w:hAnsi="Times New Roman" w:cs="Times New Roman"/>
          <w:sz w:val="24"/>
          <w:szCs w:val="24"/>
        </w:rPr>
        <w:t xml:space="preserve">przypadku gdy działalność takiego zagranicznego zakładu ubezpieczeń będzie istotna dla rynku polskiego, organ nadzoru będzie miał możliwość zwrócenia się do organu nadzoru państwa członkowskiego siedziby zakładu </w:t>
      </w:r>
      <w:r w:rsidR="0053533A">
        <w:rPr>
          <w:rFonts w:ascii="Times New Roman" w:hAnsi="Times New Roman" w:cs="Times New Roman"/>
          <w:sz w:val="24"/>
          <w:szCs w:val="24"/>
        </w:rPr>
        <w:t xml:space="preserve">o podjęcie współpracy </w:t>
      </w:r>
      <w:r w:rsidRPr="00DA104D">
        <w:rPr>
          <w:rFonts w:ascii="Times New Roman" w:hAnsi="Times New Roman" w:cs="Times New Roman"/>
          <w:sz w:val="24"/>
          <w:szCs w:val="24"/>
        </w:rPr>
        <w:t>w celu osiągnięcia wspólnego stanowiska i rozwiązania problemów wynikających z działalności takiego zakładu. W przypadku gdy organ nadzoru i organ nadzorczy państwa członkowskiego siedziby zakładu nie osiągną wspólnego stanowiska</w:t>
      </w:r>
      <w:r w:rsidR="00F7138D">
        <w:rPr>
          <w:rFonts w:ascii="Times New Roman" w:hAnsi="Times New Roman" w:cs="Times New Roman"/>
          <w:sz w:val="24"/>
          <w:szCs w:val="24"/>
        </w:rPr>
        <w:t>,</w:t>
      </w:r>
      <w:r w:rsidRPr="00DA104D">
        <w:rPr>
          <w:rFonts w:ascii="Times New Roman" w:hAnsi="Times New Roman" w:cs="Times New Roman"/>
          <w:sz w:val="24"/>
          <w:szCs w:val="24"/>
        </w:rPr>
        <w:t xml:space="preserve"> organ nadzoru będzie uprawniony do zwrócenia się do EIOPA o  pomoc lub  o ustanowienie platformy współpracy. W przypadku ustanowienia przez EIOPA platformy współpracy, organ nadzoru będzie obow</w:t>
      </w:r>
      <w:r w:rsidR="00001E14">
        <w:rPr>
          <w:rFonts w:ascii="Times New Roman" w:hAnsi="Times New Roman" w:cs="Times New Roman"/>
          <w:sz w:val="24"/>
          <w:szCs w:val="24"/>
        </w:rPr>
        <w:t>iązany do przekazywania EIOPA i </w:t>
      </w:r>
      <w:r w:rsidRPr="00DA104D">
        <w:rPr>
          <w:rFonts w:ascii="Times New Roman" w:hAnsi="Times New Roman" w:cs="Times New Roman"/>
          <w:sz w:val="24"/>
          <w:szCs w:val="24"/>
        </w:rPr>
        <w:t xml:space="preserve">zainteresowanym organom nadzorczym (organ nadzorczy państwa siedziby zakładu, organy nadzorcze innych przyjmujących państw członkowskich Unii Europejskiej) informacji niezbędnych dla właściwego funkcjonowania platformy. </w:t>
      </w:r>
    </w:p>
    <w:p w14:paraId="1D92DF1C" w14:textId="30B021EB" w:rsidR="00515F88" w:rsidRPr="00A570C6" w:rsidRDefault="00515F88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b/>
          <w:sz w:val="24"/>
          <w:szCs w:val="24"/>
        </w:rPr>
        <w:t xml:space="preserve">Art. 3 pkt 3 i 4 </w:t>
      </w:r>
      <w:r w:rsidRPr="00DA104D">
        <w:rPr>
          <w:rFonts w:ascii="Times New Roman" w:hAnsi="Times New Roman" w:cs="Times New Roman"/>
          <w:sz w:val="24"/>
          <w:szCs w:val="24"/>
        </w:rPr>
        <w:t xml:space="preserve"> stanowią implementację art. 112 ust. 3a dyrektywy Wypłacalność II, dokonaną  przez zmianę brzmienia  art. 258 i art. 260 ustawy o </w:t>
      </w:r>
      <w:r w:rsidR="00001E14">
        <w:rPr>
          <w:rFonts w:ascii="Times New Roman" w:hAnsi="Times New Roman" w:cs="Times New Roman"/>
          <w:sz w:val="24"/>
          <w:szCs w:val="24"/>
        </w:rPr>
        <w:t>działalności ubezpieczeniowej i </w:t>
      </w:r>
      <w:r w:rsidRPr="00DA104D">
        <w:rPr>
          <w:rFonts w:ascii="Times New Roman" w:hAnsi="Times New Roman" w:cs="Times New Roman"/>
          <w:sz w:val="24"/>
          <w:szCs w:val="24"/>
        </w:rPr>
        <w:t>reasekuracyjnej. Zgodnie z dodanym przepisem ust. 5a, organ nadzoru będzie powiadamiał EIOPA,  zgodnie z art. 35 ust. 1 rozporządzenia nr 1094/2010</w:t>
      </w:r>
      <w:r w:rsidR="005E428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2F0C53">
        <w:rPr>
          <w:rFonts w:ascii="Times New Roman" w:hAnsi="Times New Roman" w:cs="Times New Roman"/>
          <w:sz w:val="24"/>
          <w:szCs w:val="24"/>
        </w:rPr>
        <w:t>, o otrzymaniu kompletnego wniosku zakładu ubezpieczeń lub zakładu reasekuracji o zatwierdzenie pełnego albo częściowego modelu wewnętrznego. Dodany przepis ust. 6a tego artykułu umożliwi organowi nadzoru zwróc</w:t>
      </w:r>
      <w:r w:rsidRPr="00A570C6">
        <w:rPr>
          <w:rFonts w:ascii="Times New Roman" w:hAnsi="Times New Roman" w:cs="Times New Roman"/>
          <w:sz w:val="24"/>
          <w:szCs w:val="24"/>
        </w:rPr>
        <w:t xml:space="preserve">enie się do EIOPA o pomoc techniczną w sprawie zatwierdzenia pełnego lub częściowego modelu wewnętrznego, zgodnie z art. 8 ust. 1 lit. b rozporządzenia nr 1094/2010. </w:t>
      </w:r>
    </w:p>
    <w:p w14:paraId="2685F011" w14:textId="17930493" w:rsidR="00515F88" w:rsidRPr="005E428B" w:rsidRDefault="00515F88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8B">
        <w:rPr>
          <w:rFonts w:ascii="Times New Roman" w:hAnsi="Times New Roman" w:cs="Times New Roman"/>
          <w:sz w:val="24"/>
          <w:szCs w:val="24"/>
        </w:rPr>
        <w:t xml:space="preserve">Zgodnie z dodanym art. 260 ust. 2a organ nadzoru będzie powiadamiał EIOPA o otrzymaniu  kompletnego wniosku o zatwierdzenie głównych zmian modelu wewnętrznego oraz zmian zasad wprowadzania zmian w stosowanym modelu wewnętrznym, zgodnie z  art. 35 ust. 1 rozporządzenia nr 1094/2010. Dodany przepis ust. 5a umożliwi organowi  nadzoru zwrócenie się do EIOPA o pomoc techniczną w sprawie zatwierdzenia głównych zmian modelu wewnętrznego oraz zmian zasad wprowadzania zmian w stosowanym modelu wewnętrznym, zgodnie z art. 8 ust. 1 lit. b rozporządzenia nr 1094/2010. </w:t>
      </w:r>
    </w:p>
    <w:p w14:paraId="7B578D2C" w14:textId="77777777" w:rsidR="00515F88" w:rsidRPr="005E428B" w:rsidRDefault="00515F88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17AEC" w14:textId="5C75659A" w:rsidR="00515F88" w:rsidRPr="00DA104D" w:rsidRDefault="00515F88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8B">
        <w:rPr>
          <w:rFonts w:ascii="Times New Roman" w:hAnsi="Times New Roman" w:cs="Times New Roman"/>
          <w:b/>
          <w:sz w:val="24"/>
          <w:szCs w:val="24"/>
        </w:rPr>
        <w:t>Art. 3 pkt 5</w:t>
      </w:r>
      <w:r w:rsidRPr="005E428B">
        <w:rPr>
          <w:rFonts w:ascii="Times New Roman" w:hAnsi="Times New Roman" w:cs="Times New Roman"/>
          <w:sz w:val="24"/>
          <w:szCs w:val="24"/>
        </w:rPr>
        <w:t xml:space="preserve"> wdraża zmieniony art. 231 ust. 1 akapit trzeci dyrektywy Wypłacalność II poprzez zmianę brzmienia art. 391 ustawy o działalności ubezpieczeniowej i reasekuracyjnej. Dodawany art. 391 ust. 5a przewiduje, że organ nadzoru, będący organem sprawującym nadzór nad grupą będzie miał możliwość zwrócić się do EIOPA  o pomoc techniczną przy wydaniu zgody albo odmowy wydania zgody na stosowanie modelu wewnętrznego na poziomie grupy, zgodnie z art. 8 ust. 1 lit. </w:t>
      </w:r>
      <w:r w:rsidR="00001E14">
        <w:rPr>
          <w:rFonts w:ascii="Times New Roman" w:hAnsi="Times New Roman" w:cs="Times New Roman"/>
          <w:sz w:val="24"/>
          <w:szCs w:val="24"/>
        </w:rPr>
        <w:t xml:space="preserve">b rozporządzenia nr 1094/2010. </w:t>
      </w:r>
      <w:r w:rsidRPr="00DA104D">
        <w:rPr>
          <w:rFonts w:ascii="Times New Roman" w:hAnsi="Times New Roman" w:cs="Times New Roman"/>
          <w:sz w:val="24"/>
          <w:szCs w:val="24"/>
        </w:rPr>
        <w:t>Dodany art. 391 ust. 9a dotyczy sytuacji, gdy organ nadzoru nie jest organem sprawującym nadzór nad grupą. W takiej sytuacji organ nadzoru będzie mógł zwrócić się do EIOPA o</w:t>
      </w:r>
      <w:r w:rsidR="00F7138D">
        <w:rPr>
          <w:rFonts w:ascii="Times New Roman" w:hAnsi="Times New Roman" w:cs="Times New Roman"/>
          <w:sz w:val="24"/>
          <w:szCs w:val="24"/>
        </w:rPr>
        <w:t> </w:t>
      </w:r>
      <w:r w:rsidRPr="00DA104D">
        <w:rPr>
          <w:rFonts w:ascii="Times New Roman" w:hAnsi="Times New Roman" w:cs="Times New Roman"/>
          <w:sz w:val="24"/>
          <w:szCs w:val="24"/>
        </w:rPr>
        <w:t xml:space="preserve">pomoc techniczną przy wydaniu rozstrzygnięcia w sprawie stosowania modelu wewnętrznego na poziomie grupy przez kolegium organów nadzoru lub przez organ nadzorczy z innego państwa członkowskiego Unii Europejskiej będący organem sprawującym nadzór nad grupą, zgodnie z art. 8 ust. 1 lit. b rozporządzenia nr 1094/2010. </w:t>
      </w:r>
    </w:p>
    <w:p w14:paraId="7C3551C0" w14:textId="77777777" w:rsidR="00515F88" w:rsidRPr="00DA104D" w:rsidRDefault="00515F88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E1E6D" w14:textId="3E374614" w:rsidR="00515F88" w:rsidRPr="00DA104D" w:rsidRDefault="00515F88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6A">
        <w:rPr>
          <w:rFonts w:ascii="Times New Roman" w:hAnsi="Times New Roman" w:cs="Times New Roman"/>
          <w:b/>
          <w:sz w:val="24"/>
          <w:szCs w:val="24"/>
        </w:rPr>
        <w:t>Art. 3 pkt 6</w:t>
      </w:r>
      <w:r w:rsidRPr="00DA104D">
        <w:rPr>
          <w:rFonts w:ascii="Times New Roman" w:hAnsi="Times New Roman" w:cs="Times New Roman"/>
          <w:sz w:val="24"/>
          <w:szCs w:val="24"/>
        </w:rPr>
        <w:t xml:space="preserve"> wdraża zmieniony art. 237 ust. 3 akapit trzeci zdanie pierwsze dyrektywy Wypłacalność II. Dodany przepis art. 396 ust. 13 ustawy o działalności ubezpieczeniowej i  reasekuracyjnej stanowi, że organ nadzoru będący organem sprawującym nadzór nad grupą </w:t>
      </w:r>
      <w:r w:rsidRPr="00DA104D">
        <w:rPr>
          <w:rFonts w:ascii="Times New Roman" w:hAnsi="Times New Roman" w:cs="Times New Roman"/>
          <w:sz w:val="24"/>
          <w:szCs w:val="24"/>
        </w:rPr>
        <w:lastRenderedPageBreak/>
        <w:t xml:space="preserve">będzie obowiązany do wydania, w drodze decyzji, zgody na objęcie </w:t>
      </w:r>
      <w:r w:rsidR="001C0B6A" w:rsidRPr="00DA104D">
        <w:rPr>
          <w:rFonts w:ascii="Times New Roman" w:hAnsi="Times New Roman" w:cs="Times New Roman"/>
          <w:sz w:val="24"/>
          <w:szCs w:val="24"/>
        </w:rPr>
        <w:t xml:space="preserve">przepisami art. 397 i art. 398 ustawy </w:t>
      </w:r>
      <w:r w:rsidRPr="00DA104D">
        <w:rPr>
          <w:rFonts w:ascii="Times New Roman" w:hAnsi="Times New Roman" w:cs="Times New Roman"/>
          <w:sz w:val="24"/>
          <w:szCs w:val="24"/>
        </w:rPr>
        <w:t>krajowego zakładu ubezpieczeń lub krajowego zakładu reasekuracji będącego jednostką zależną innego zakładu</w:t>
      </w:r>
      <w:r w:rsidR="00F7138D">
        <w:rPr>
          <w:rFonts w:ascii="Times New Roman" w:hAnsi="Times New Roman" w:cs="Times New Roman"/>
          <w:sz w:val="24"/>
          <w:szCs w:val="24"/>
        </w:rPr>
        <w:t>,</w:t>
      </w:r>
      <w:r w:rsidRPr="00DA104D">
        <w:rPr>
          <w:rFonts w:ascii="Times New Roman" w:hAnsi="Times New Roman" w:cs="Times New Roman"/>
          <w:sz w:val="24"/>
          <w:szCs w:val="24"/>
        </w:rPr>
        <w:t xml:space="preserve"> w przypadku gdy EIOPA nie wyda rozstrzygnięcia zgodnie z art. 19 ust. 3 rozporządzenia nr 1094/2010.  </w:t>
      </w:r>
    </w:p>
    <w:p w14:paraId="67BCA43C" w14:textId="77777777" w:rsidR="008E2312" w:rsidRPr="00DA104D" w:rsidRDefault="008E2312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35964" w14:textId="03D0B98B" w:rsidR="00066084" w:rsidRPr="00DA104D" w:rsidRDefault="00272008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4D28FE" w:rsidRPr="00DA104D">
        <w:rPr>
          <w:rFonts w:ascii="Times New Roman" w:hAnsi="Times New Roman" w:cs="Times New Roman"/>
          <w:b/>
          <w:sz w:val="24"/>
          <w:szCs w:val="24"/>
        </w:rPr>
        <w:t>4</w:t>
      </w:r>
      <w:r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="008E2312" w:rsidRPr="00DA104D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F65E93" w:rsidRPr="00DA104D">
        <w:rPr>
          <w:rFonts w:ascii="Times New Roman" w:hAnsi="Times New Roman" w:cs="Times New Roman"/>
          <w:sz w:val="24"/>
          <w:szCs w:val="24"/>
        </w:rPr>
        <w:t xml:space="preserve">określa </w:t>
      </w:r>
      <w:r w:rsidR="00211DE6">
        <w:rPr>
          <w:rFonts w:ascii="Times New Roman" w:hAnsi="Times New Roman" w:cs="Times New Roman"/>
          <w:sz w:val="24"/>
          <w:szCs w:val="24"/>
        </w:rPr>
        <w:t xml:space="preserve">dzień </w:t>
      </w:r>
      <w:r w:rsidR="00F65E93" w:rsidRPr="00DA104D">
        <w:rPr>
          <w:rFonts w:ascii="Times New Roman" w:hAnsi="Times New Roman" w:cs="Times New Roman"/>
          <w:sz w:val="24"/>
          <w:szCs w:val="24"/>
        </w:rPr>
        <w:t>wejści</w:t>
      </w:r>
      <w:r w:rsidR="00211DE6">
        <w:rPr>
          <w:rFonts w:ascii="Times New Roman" w:hAnsi="Times New Roman" w:cs="Times New Roman"/>
          <w:sz w:val="24"/>
          <w:szCs w:val="24"/>
        </w:rPr>
        <w:t xml:space="preserve">a </w:t>
      </w:r>
      <w:r w:rsidR="00F65E93" w:rsidRPr="00DA104D">
        <w:rPr>
          <w:rFonts w:ascii="Times New Roman" w:hAnsi="Times New Roman" w:cs="Times New Roman"/>
          <w:sz w:val="24"/>
          <w:szCs w:val="24"/>
        </w:rPr>
        <w:t xml:space="preserve">w życie ustawy </w:t>
      </w:r>
      <w:r w:rsidR="00211DE6">
        <w:rPr>
          <w:rFonts w:ascii="Times New Roman" w:hAnsi="Times New Roman" w:cs="Times New Roman"/>
          <w:sz w:val="24"/>
          <w:szCs w:val="24"/>
        </w:rPr>
        <w:t xml:space="preserve">na </w:t>
      </w:r>
      <w:r w:rsidRPr="00DA104D">
        <w:rPr>
          <w:rFonts w:ascii="Times New Roman" w:hAnsi="Times New Roman" w:cs="Times New Roman"/>
          <w:sz w:val="24"/>
          <w:szCs w:val="24"/>
        </w:rPr>
        <w:t>1 stycznia 2022 r.</w:t>
      </w:r>
      <w:r w:rsidR="00FC3E27" w:rsidRPr="00DA104D">
        <w:rPr>
          <w:rFonts w:ascii="Times New Roman" w:hAnsi="Times New Roman" w:cs="Times New Roman"/>
          <w:sz w:val="24"/>
          <w:szCs w:val="24"/>
        </w:rPr>
        <w:t xml:space="preserve"> Wyjątek stanowi </w:t>
      </w:r>
      <w:r w:rsidRPr="00DA104D">
        <w:rPr>
          <w:rFonts w:ascii="Times New Roman" w:hAnsi="Times New Roman" w:cs="Times New Roman"/>
          <w:sz w:val="24"/>
          <w:szCs w:val="24"/>
        </w:rPr>
        <w:t>art. 3, który w</w:t>
      </w:r>
      <w:r w:rsidR="00FC3E27" w:rsidRPr="00DA104D">
        <w:rPr>
          <w:rFonts w:ascii="Times New Roman" w:hAnsi="Times New Roman" w:cs="Times New Roman"/>
          <w:sz w:val="24"/>
          <w:szCs w:val="24"/>
        </w:rPr>
        <w:t xml:space="preserve">ejdzie </w:t>
      </w:r>
      <w:r w:rsidR="006B4E07" w:rsidRPr="00DA104D">
        <w:rPr>
          <w:rFonts w:ascii="Times New Roman" w:hAnsi="Times New Roman" w:cs="Times New Roman"/>
          <w:sz w:val="24"/>
          <w:szCs w:val="24"/>
        </w:rPr>
        <w:t xml:space="preserve">w życie </w:t>
      </w:r>
      <w:r w:rsidR="00211DE6">
        <w:rPr>
          <w:rFonts w:ascii="Times New Roman" w:hAnsi="Times New Roman" w:cs="Times New Roman"/>
          <w:sz w:val="24"/>
          <w:szCs w:val="24"/>
        </w:rPr>
        <w:t xml:space="preserve">z dniem </w:t>
      </w:r>
      <w:r w:rsidR="006B4E07" w:rsidRPr="00DA104D">
        <w:rPr>
          <w:rFonts w:ascii="Times New Roman" w:hAnsi="Times New Roman" w:cs="Times New Roman"/>
          <w:sz w:val="24"/>
          <w:szCs w:val="24"/>
        </w:rPr>
        <w:t>30 czerwca 2021 r.</w:t>
      </w:r>
      <w:r w:rsidR="00FC3E27" w:rsidRPr="00DA104D">
        <w:rPr>
          <w:rFonts w:ascii="Times New Roman" w:hAnsi="Times New Roman" w:cs="Times New Roman"/>
          <w:sz w:val="24"/>
          <w:szCs w:val="24"/>
        </w:rPr>
        <w:t xml:space="preserve">, co wynika </w:t>
      </w:r>
      <w:r w:rsidR="00D46C4E">
        <w:rPr>
          <w:rFonts w:ascii="Times New Roman" w:hAnsi="Times New Roman" w:cs="Times New Roman"/>
          <w:sz w:val="24"/>
          <w:szCs w:val="24"/>
        </w:rPr>
        <w:t xml:space="preserve">z </w:t>
      </w:r>
      <w:r w:rsidR="00F65E93" w:rsidRPr="00DA104D">
        <w:rPr>
          <w:rFonts w:ascii="Times New Roman" w:hAnsi="Times New Roman" w:cs="Times New Roman"/>
          <w:sz w:val="24"/>
          <w:szCs w:val="24"/>
        </w:rPr>
        <w:t>obowiązku implementacji dyrektywy</w:t>
      </w:r>
      <w:r w:rsidR="009B4D1B" w:rsidRPr="00DA104D">
        <w:rPr>
          <w:rFonts w:ascii="Times New Roman" w:hAnsi="Times New Roman" w:cs="Times New Roman"/>
          <w:sz w:val="24"/>
          <w:szCs w:val="24"/>
        </w:rPr>
        <w:t xml:space="preserve"> 2014</w:t>
      </w:r>
      <w:r w:rsidR="0093768E" w:rsidRPr="00DA104D">
        <w:rPr>
          <w:rFonts w:ascii="Times New Roman" w:hAnsi="Times New Roman" w:cs="Times New Roman"/>
          <w:sz w:val="24"/>
          <w:szCs w:val="24"/>
        </w:rPr>
        <w:t>/65/UE</w:t>
      </w:r>
      <w:r w:rsidR="008F52DE" w:rsidRPr="00DA104D">
        <w:rPr>
          <w:rFonts w:ascii="Times New Roman" w:hAnsi="Times New Roman" w:cs="Times New Roman"/>
          <w:sz w:val="24"/>
          <w:szCs w:val="24"/>
        </w:rPr>
        <w:t>, zgodn</w:t>
      </w:r>
      <w:r w:rsidR="006B4E07" w:rsidRPr="00DA104D">
        <w:rPr>
          <w:rFonts w:ascii="Times New Roman" w:hAnsi="Times New Roman" w:cs="Times New Roman"/>
          <w:sz w:val="24"/>
          <w:szCs w:val="24"/>
        </w:rPr>
        <w:t>ie z art. 4 dyrektywy 2019/2177</w:t>
      </w:r>
      <w:r w:rsidR="00D9509F">
        <w:rPr>
          <w:rFonts w:ascii="Times New Roman" w:hAnsi="Times New Roman" w:cs="Times New Roman"/>
          <w:sz w:val="24"/>
          <w:szCs w:val="24"/>
        </w:rPr>
        <w:t xml:space="preserve">, do </w:t>
      </w:r>
      <w:r w:rsidR="00D46C4E">
        <w:rPr>
          <w:rFonts w:ascii="Times New Roman" w:hAnsi="Times New Roman" w:cs="Times New Roman"/>
          <w:sz w:val="24"/>
          <w:szCs w:val="24"/>
        </w:rPr>
        <w:t>tego dnia</w:t>
      </w:r>
      <w:r w:rsidR="00F65E93" w:rsidRPr="00DA10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07DE4A" w14:textId="77777777" w:rsidR="00F94820" w:rsidRPr="00DA104D" w:rsidRDefault="00F94820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911FD" w14:textId="77777777" w:rsidR="00DA1E66" w:rsidRPr="00DA104D" w:rsidRDefault="00DA1E66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 xml:space="preserve">Zawarte w projekcie regulacje nie stanowią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DA10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A104D">
        <w:rPr>
          <w:rFonts w:ascii="Times New Roman" w:hAnsi="Times New Roman" w:cs="Times New Roman"/>
          <w:sz w:val="24"/>
          <w:szCs w:val="24"/>
        </w:rPr>
        <w:t>. zm.), dlatego też projekt ustawy nie podlega procedurze notyfikacji.</w:t>
      </w:r>
    </w:p>
    <w:p w14:paraId="65748CC0" w14:textId="77777777" w:rsidR="006C5F23" w:rsidRPr="00DA104D" w:rsidRDefault="006C5F23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40DBF" w14:textId="7DDE89F4" w:rsidR="00DA1E66" w:rsidRPr="00DA104D" w:rsidRDefault="00DA1E66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>Projekt</w:t>
      </w:r>
      <w:r w:rsidR="006C5F23" w:rsidRPr="00DA104D">
        <w:rPr>
          <w:rFonts w:ascii="Times New Roman" w:hAnsi="Times New Roman" w:cs="Times New Roman"/>
          <w:sz w:val="24"/>
          <w:szCs w:val="24"/>
        </w:rPr>
        <w:t xml:space="preserve"> </w:t>
      </w:r>
      <w:r w:rsidRPr="00DA104D">
        <w:rPr>
          <w:rFonts w:ascii="Times New Roman" w:hAnsi="Times New Roman" w:cs="Times New Roman"/>
          <w:sz w:val="24"/>
          <w:szCs w:val="24"/>
        </w:rPr>
        <w:t>nie wymaga przedstawiania organom i instytucjom Unii Europejskiej w</w:t>
      </w:r>
      <w:r w:rsidR="00130B9B" w:rsidRPr="00DA104D">
        <w:rPr>
          <w:rFonts w:ascii="Times New Roman" w:hAnsi="Times New Roman" w:cs="Times New Roman"/>
          <w:sz w:val="24"/>
          <w:szCs w:val="24"/>
        </w:rPr>
        <w:t> </w:t>
      </w:r>
      <w:r w:rsidRPr="00DA104D">
        <w:rPr>
          <w:rFonts w:ascii="Times New Roman" w:hAnsi="Times New Roman" w:cs="Times New Roman"/>
          <w:sz w:val="24"/>
          <w:szCs w:val="24"/>
        </w:rPr>
        <w:t>celu uzyskania opinii, dokonania powiadomienia, konsultacji albo uzgodnienia. W</w:t>
      </w:r>
      <w:r w:rsidR="00130B9B" w:rsidRPr="00DA104D">
        <w:rPr>
          <w:rFonts w:ascii="Times New Roman" w:hAnsi="Times New Roman" w:cs="Times New Roman"/>
          <w:sz w:val="24"/>
          <w:szCs w:val="24"/>
        </w:rPr>
        <w:t> </w:t>
      </w:r>
      <w:r w:rsidR="001D2AD3">
        <w:rPr>
          <w:rFonts w:ascii="Times New Roman" w:hAnsi="Times New Roman" w:cs="Times New Roman"/>
          <w:sz w:val="24"/>
          <w:szCs w:val="24"/>
        </w:rPr>
        <w:t>szczególności, zgodnie z </w:t>
      </w:r>
      <w:r w:rsidRPr="00DA104D">
        <w:rPr>
          <w:rFonts w:ascii="Times New Roman" w:hAnsi="Times New Roman" w:cs="Times New Roman"/>
          <w:sz w:val="24"/>
          <w:szCs w:val="24"/>
        </w:rPr>
        <w:t>art. 2 ust. 1 decyzji Rady 98/415/WE z dnia 29 czerwca 1998 r. w</w:t>
      </w:r>
      <w:r w:rsidR="00130B9B" w:rsidRPr="00DA104D">
        <w:rPr>
          <w:rFonts w:ascii="Times New Roman" w:hAnsi="Times New Roman" w:cs="Times New Roman"/>
          <w:sz w:val="24"/>
          <w:szCs w:val="24"/>
        </w:rPr>
        <w:t> </w:t>
      </w:r>
      <w:r w:rsidRPr="00DA104D">
        <w:rPr>
          <w:rFonts w:ascii="Times New Roman" w:hAnsi="Times New Roman" w:cs="Times New Roman"/>
          <w:sz w:val="24"/>
          <w:szCs w:val="24"/>
        </w:rPr>
        <w:t>sprawie konsultacji Europejskiego Banku Centralnego udzielanych władzom krajowym w</w:t>
      </w:r>
      <w:r w:rsidR="00130B9B" w:rsidRPr="00DA104D">
        <w:rPr>
          <w:rFonts w:ascii="Times New Roman" w:hAnsi="Times New Roman" w:cs="Times New Roman"/>
          <w:sz w:val="24"/>
          <w:szCs w:val="24"/>
        </w:rPr>
        <w:t> </w:t>
      </w:r>
      <w:r w:rsidRPr="00DA104D">
        <w:rPr>
          <w:rFonts w:ascii="Times New Roman" w:hAnsi="Times New Roman" w:cs="Times New Roman"/>
          <w:sz w:val="24"/>
          <w:szCs w:val="24"/>
        </w:rPr>
        <w:t>sprawie projektów przepisów prawnych (Dz. Urz. WE L 189 z 03.07.1998, str. 42), projekt nie podlega konsultacji z Europejskim Bankiem Centralnym.</w:t>
      </w:r>
    </w:p>
    <w:p w14:paraId="3C23CC36" w14:textId="77777777" w:rsidR="006C5F23" w:rsidRPr="00DA104D" w:rsidRDefault="006C5F23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03586" w14:textId="62EC561C" w:rsidR="00DA1E66" w:rsidRPr="00DA104D" w:rsidRDefault="00DA1E66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 xml:space="preserve">Stosownie do art. 4 ustawy z dnia 7 lipca 2005 r. o działalności lobbingowej w procesie stanowienia prawa (Dz. U. z </w:t>
      </w:r>
      <w:r w:rsidR="00D14723" w:rsidRPr="00DA104D">
        <w:rPr>
          <w:rFonts w:ascii="Times New Roman" w:hAnsi="Times New Roman" w:cs="Times New Roman"/>
          <w:sz w:val="24"/>
          <w:szCs w:val="24"/>
        </w:rPr>
        <w:t>2017 r. poz. 248) projekt zosta</w:t>
      </w:r>
      <w:r w:rsidR="00211DE6">
        <w:rPr>
          <w:rFonts w:ascii="Times New Roman" w:hAnsi="Times New Roman" w:cs="Times New Roman"/>
          <w:sz w:val="24"/>
          <w:szCs w:val="24"/>
        </w:rPr>
        <w:t>ł</w:t>
      </w:r>
      <w:r w:rsidRPr="00DA104D">
        <w:rPr>
          <w:rFonts w:ascii="Times New Roman" w:hAnsi="Times New Roman" w:cs="Times New Roman"/>
          <w:sz w:val="24"/>
          <w:szCs w:val="24"/>
        </w:rPr>
        <w:t xml:space="preserve"> zamieszczony w wykazie prac legislacyjnych i programowych Rady Ministrów.</w:t>
      </w:r>
    </w:p>
    <w:p w14:paraId="445E06E6" w14:textId="77777777" w:rsidR="006C5F23" w:rsidRPr="00DA104D" w:rsidRDefault="006C5F23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2270D" w14:textId="4C446B20" w:rsidR="00DA1E66" w:rsidRPr="00DA104D" w:rsidRDefault="00DA1E66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 xml:space="preserve">Zgodnie z art. 5 ustawy z dnia 7 lipca 2005 r. o działalności lobbingowej w procesie stanowienia prawa oraz § 52 uchwały nr 190 Rady Ministrów z dnia 29 października 2013 r. </w:t>
      </w:r>
      <w:r w:rsidR="006C5F23" w:rsidRPr="00DA104D">
        <w:rPr>
          <w:rFonts w:ascii="Times New Roman" w:hAnsi="Times New Roman" w:cs="Times New Roman"/>
          <w:sz w:val="24"/>
          <w:szCs w:val="24"/>
        </w:rPr>
        <w:t>–</w:t>
      </w:r>
      <w:r w:rsidRPr="00DA104D">
        <w:rPr>
          <w:rFonts w:ascii="Times New Roman" w:hAnsi="Times New Roman" w:cs="Times New Roman"/>
          <w:sz w:val="24"/>
          <w:szCs w:val="24"/>
        </w:rPr>
        <w:t xml:space="preserve"> Regulamin pracy Rady Ministrów (M.P. z 2016 r. poz. 1006, z </w:t>
      </w:r>
      <w:proofErr w:type="spellStart"/>
      <w:r w:rsidRPr="00DA10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A104D">
        <w:rPr>
          <w:rFonts w:ascii="Times New Roman" w:hAnsi="Times New Roman" w:cs="Times New Roman"/>
          <w:sz w:val="24"/>
          <w:szCs w:val="24"/>
        </w:rPr>
        <w:t>. zm.) projekt ustawy zostanie udostępniony w Biuletynie Informacji Publicznej na stronie podmiotowej Rządowego Centrum Legislacji, w serwisie Rządowy Proces Legislacyjny.</w:t>
      </w:r>
    </w:p>
    <w:p w14:paraId="663B8E74" w14:textId="77777777" w:rsidR="006C5F23" w:rsidRPr="00DA104D" w:rsidRDefault="006C5F23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1019A" w14:textId="60FD267F" w:rsidR="00DA1E66" w:rsidRPr="00DA104D" w:rsidRDefault="00DA1E66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 xml:space="preserve">Zawarte w projekcie regulacje nie będą miały wpływu na działalność </w:t>
      </w:r>
      <w:proofErr w:type="spellStart"/>
      <w:r w:rsidRPr="00DA104D">
        <w:rPr>
          <w:rFonts w:ascii="Times New Roman" w:hAnsi="Times New Roman" w:cs="Times New Roman"/>
          <w:sz w:val="24"/>
          <w:szCs w:val="24"/>
        </w:rPr>
        <w:t>mikroprzedsiębiorców</w:t>
      </w:r>
      <w:proofErr w:type="spellEnd"/>
      <w:r w:rsidRPr="00DA104D">
        <w:rPr>
          <w:rFonts w:ascii="Times New Roman" w:hAnsi="Times New Roman" w:cs="Times New Roman"/>
          <w:sz w:val="24"/>
          <w:szCs w:val="24"/>
        </w:rPr>
        <w:t xml:space="preserve">, małych i średnich przedsiębiorców zgodnie z ustawą z dnia 6 marca 2018 r. </w:t>
      </w:r>
      <w:r w:rsidR="001C0B6A">
        <w:rPr>
          <w:rFonts w:ascii="Times New Roman" w:hAnsi="Times New Roman" w:cs="Times New Roman"/>
          <w:sz w:val="24"/>
          <w:szCs w:val="24"/>
        </w:rPr>
        <w:t xml:space="preserve">– </w:t>
      </w:r>
      <w:r w:rsidRPr="00DA104D">
        <w:rPr>
          <w:rFonts w:ascii="Times New Roman" w:hAnsi="Times New Roman" w:cs="Times New Roman"/>
          <w:sz w:val="24"/>
          <w:szCs w:val="24"/>
        </w:rPr>
        <w:t>Prawo przedsiębiorców (Dz. U. z 2019 r. poz. 1292</w:t>
      </w:r>
      <w:r w:rsidR="008E2312" w:rsidRPr="00DA104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8E2312" w:rsidRPr="00DA10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E2312" w:rsidRPr="00DA104D">
        <w:rPr>
          <w:rFonts w:ascii="Times New Roman" w:hAnsi="Times New Roman" w:cs="Times New Roman"/>
          <w:sz w:val="24"/>
          <w:szCs w:val="24"/>
        </w:rPr>
        <w:t>. zm.</w:t>
      </w:r>
      <w:r w:rsidRPr="00DA104D">
        <w:rPr>
          <w:rFonts w:ascii="Times New Roman" w:hAnsi="Times New Roman" w:cs="Times New Roman"/>
          <w:sz w:val="24"/>
          <w:szCs w:val="24"/>
        </w:rPr>
        <w:t>).</w:t>
      </w:r>
    </w:p>
    <w:p w14:paraId="15D4DD5F" w14:textId="77777777" w:rsidR="006C5F23" w:rsidRPr="00DA104D" w:rsidRDefault="006C5F23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74FA7" w14:textId="4F2B9378" w:rsidR="00066084" w:rsidRPr="00DA104D" w:rsidRDefault="00DA1E66" w:rsidP="0048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4D">
        <w:rPr>
          <w:rFonts w:ascii="Times New Roman" w:hAnsi="Times New Roman" w:cs="Times New Roman"/>
          <w:sz w:val="24"/>
          <w:szCs w:val="24"/>
        </w:rPr>
        <w:t xml:space="preserve">Projekt </w:t>
      </w:r>
      <w:r w:rsidR="00211DE6">
        <w:rPr>
          <w:rFonts w:ascii="Times New Roman" w:hAnsi="Times New Roman" w:cs="Times New Roman"/>
          <w:sz w:val="24"/>
          <w:szCs w:val="24"/>
        </w:rPr>
        <w:t xml:space="preserve">ustawy </w:t>
      </w:r>
      <w:r w:rsidRPr="00DA104D">
        <w:rPr>
          <w:rFonts w:ascii="Times New Roman" w:hAnsi="Times New Roman" w:cs="Times New Roman"/>
          <w:sz w:val="24"/>
          <w:szCs w:val="24"/>
        </w:rPr>
        <w:t xml:space="preserve">jest </w:t>
      </w:r>
      <w:r w:rsidR="0030364E" w:rsidRPr="00DA104D">
        <w:rPr>
          <w:rFonts w:ascii="Times New Roman" w:hAnsi="Times New Roman" w:cs="Times New Roman"/>
          <w:sz w:val="24"/>
          <w:szCs w:val="24"/>
        </w:rPr>
        <w:t xml:space="preserve">zgodny </w:t>
      </w:r>
      <w:r w:rsidRPr="00DA104D">
        <w:rPr>
          <w:rFonts w:ascii="Times New Roman" w:hAnsi="Times New Roman" w:cs="Times New Roman"/>
          <w:sz w:val="24"/>
          <w:szCs w:val="24"/>
        </w:rPr>
        <w:t>z prawem Unii Europejskiej.</w:t>
      </w:r>
    </w:p>
    <w:sectPr w:rsidR="00066084" w:rsidRPr="00DA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9BE90" w14:textId="77777777" w:rsidR="00BD0E18" w:rsidRDefault="00BD0E18" w:rsidP="00DD1228">
      <w:pPr>
        <w:spacing w:after="0" w:line="240" w:lineRule="auto"/>
      </w:pPr>
      <w:r>
        <w:separator/>
      </w:r>
    </w:p>
  </w:endnote>
  <w:endnote w:type="continuationSeparator" w:id="0">
    <w:p w14:paraId="3AC9CABD" w14:textId="77777777" w:rsidR="00BD0E18" w:rsidRDefault="00BD0E18" w:rsidP="00DD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030F1" w14:textId="77777777" w:rsidR="00BD0E18" w:rsidRDefault="00BD0E18" w:rsidP="00DD1228">
      <w:pPr>
        <w:spacing w:after="0" w:line="240" w:lineRule="auto"/>
      </w:pPr>
      <w:r>
        <w:separator/>
      </w:r>
    </w:p>
  </w:footnote>
  <w:footnote w:type="continuationSeparator" w:id="0">
    <w:p w14:paraId="241EA5DD" w14:textId="77777777" w:rsidR="00BD0E18" w:rsidRDefault="00BD0E18" w:rsidP="00DD1228">
      <w:pPr>
        <w:spacing w:after="0" w:line="240" w:lineRule="auto"/>
      </w:pPr>
      <w:r>
        <w:continuationSeparator/>
      </w:r>
    </w:p>
  </w:footnote>
  <w:footnote w:id="1">
    <w:p w14:paraId="45B97FAB" w14:textId="3180A493" w:rsidR="005E428B" w:rsidRPr="00211DE6" w:rsidRDefault="00A570C6" w:rsidP="005E428B">
      <w:pPr>
        <w:pStyle w:val="doc-ti"/>
        <w:shd w:val="clear" w:color="auto" w:fill="FFFFFF"/>
        <w:spacing w:before="240" w:beforeAutospacing="0" w:after="120" w:afterAutospacing="0"/>
        <w:jc w:val="both"/>
        <w:rPr>
          <w:bCs/>
          <w:color w:val="000000"/>
          <w:sz w:val="18"/>
          <w:szCs w:val="18"/>
        </w:rPr>
      </w:pPr>
      <w:r w:rsidRPr="00DA104D">
        <w:rPr>
          <w:rStyle w:val="Odwoanieprzypisudolnego"/>
          <w:sz w:val="18"/>
          <w:szCs w:val="18"/>
        </w:rPr>
        <w:footnoteRef/>
      </w:r>
      <w:r w:rsidRPr="00DA104D">
        <w:rPr>
          <w:sz w:val="18"/>
          <w:szCs w:val="18"/>
        </w:rPr>
        <w:t xml:space="preserve"> </w:t>
      </w:r>
      <w:r w:rsidR="00EB4207">
        <w:rPr>
          <w:sz w:val="18"/>
          <w:szCs w:val="18"/>
        </w:rPr>
        <w:t>R</w:t>
      </w:r>
      <w:r w:rsidR="005E428B" w:rsidRPr="00DA104D">
        <w:rPr>
          <w:bCs/>
          <w:color w:val="000000"/>
          <w:sz w:val="18"/>
          <w:szCs w:val="18"/>
        </w:rPr>
        <w:t xml:space="preserve">ozporządzenie Parlamentu Europejskiego i Rady (UE) </w:t>
      </w:r>
      <w:r w:rsidR="001C0B6A">
        <w:rPr>
          <w:bCs/>
          <w:color w:val="000000"/>
          <w:sz w:val="18"/>
          <w:szCs w:val="18"/>
        </w:rPr>
        <w:t>nr</w:t>
      </w:r>
      <w:r w:rsidR="005E428B" w:rsidRPr="00DA104D">
        <w:rPr>
          <w:bCs/>
          <w:color w:val="000000"/>
          <w:sz w:val="18"/>
          <w:szCs w:val="18"/>
        </w:rPr>
        <w:t xml:space="preserve"> 600</w:t>
      </w:r>
      <w:r w:rsidR="005E428B" w:rsidRPr="00211DE6">
        <w:rPr>
          <w:bCs/>
          <w:color w:val="000000"/>
          <w:sz w:val="18"/>
          <w:szCs w:val="18"/>
        </w:rPr>
        <w:t>/2014 z dnia 15 maja 2014 r. w sprawie rynków instrumentów finansowych oraz zmieniające rozporządzenie (EU) nr 648/2012</w:t>
      </w:r>
      <w:r w:rsidR="00211DE6" w:rsidRPr="00211DE6">
        <w:rPr>
          <w:bCs/>
          <w:color w:val="000000"/>
          <w:sz w:val="18"/>
          <w:szCs w:val="18"/>
        </w:rPr>
        <w:t xml:space="preserve"> </w:t>
      </w:r>
      <w:r w:rsidR="00211DE6" w:rsidRPr="00211DE6">
        <w:rPr>
          <w:color w:val="000000"/>
          <w:sz w:val="18"/>
          <w:szCs w:val="18"/>
          <w:shd w:val="clear" w:color="auto" w:fill="FFFFFF"/>
        </w:rPr>
        <w:t xml:space="preserve">(Dz.U. L 173 z 12.6.2014, str. 84, z </w:t>
      </w:r>
      <w:proofErr w:type="spellStart"/>
      <w:r w:rsidR="00211DE6" w:rsidRPr="00211DE6">
        <w:rPr>
          <w:color w:val="000000"/>
          <w:sz w:val="18"/>
          <w:szCs w:val="18"/>
          <w:shd w:val="clear" w:color="auto" w:fill="FFFFFF"/>
        </w:rPr>
        <w:t>późn</w:t>
      </w:r>
      <w:proofErr w:type="spellEnd"/>
      <w:r w:rsidR="00211DE6" w:rsidRPr="00211DE6">
        <w:rPr>
          <w:color w:val="000000"/>
          <w:sz w:val="18"/>
          <w:szCs w:val="18"/>
          <w:shd w:val="clear" w:color="auto" w:fill="FFFFFF"/>
        </w:rPr>
        <w:t>. zm.)</w:t>
      </w:r>
    </w:p>
    <w:p w14:paraId="13E19B49" w14:textId="47479E64" w:rsidR="00A570C6" w:rsidRPr="00211DE6" w:rsidRDefault="00A570C6">
      <w:pPr>
        <w:pStyle w:val="Tekstprzypisudolnego"/>
        <w:rPr>
          <w:sz w:val="18"/>
          <w:szCs w:val="18"/>
        </w:rPr>
      </w:pPr>
    </w:p>
  </w:footnote>
  <w:footnote w:id="2">
    <w:p w14:paraId="59EBF806" w14:textId="06F1E6B8" w:rsidR="005E428B" w:rsidRPr="00211DE6" w:rsidRDefault="005E428B" w:rsidP="005E428B">
      <w:pPr>
        <w:pStyle w:val="doc-ti"/>
        <w:shd w:val="clear" w:color="auto" w:fill="FFFFFF"/>
        <w:spacing w:before="240" w:beforeAutospacing="0" w:after="120" w:afterAutospacing="0"/>
        <w:jc w:val="both"/>
        <w:rPr>
          <w:bCs/>
          <w:color w:val="000000"/>
          <w:sz w:val="18"/>
          <w:szCs w:val="18"/>
        </w:rPr>
      </w:pPr>
      <w:r w:rsidRPr="00211DE6">
        <w:rPr>
          <w:rStyle w:val="Odwoanieprzypisudolnego"/>
          <w:sz w:val="18"/>
          <w:szCs w:val="18"/>
        </w:rPr>
        <w:footnoteRef/>
      </w:r>
      <w:r w:rsidRPr="00211DE6">
        <w:rPr>
          <w:sz w:val="18"/>
          <w:szCs w:val="18"/>
        </w:rPr>
        <w:t xml:space="preserve"> </w:t>
      </w:r>
      <w:r w:rsidR="0067386E">
        <w:rPr>
          <w:sz w:val="18"/>
          <w:szCs w:val="18"/>
        </w:rPr>
        <w:t>D</w:t>
      </w:r>
      <w:r w:rsidRPr="00211DE6">
        <w:rPr>
          <w:bCs/>
          <w:color w:val="000000"/>
          <w:sz w:val="18"/>
          <w:szCs w:val="18"/>
        </w:rPr>
        <w:t xml:space="preserve">yrektywa Parlamentu Europejskiego i Rady </w:t>
      </w:r>
      <w:r w:rsidR="001C0B6A" w:rsidRPr="00211DE6">
        <w:rPr>
          <w:bCs/>
          <w:color w:val="000000"/>
          <w:sz w:val="18"/>
          <w:szCs w:val="18"/>
        </w:rPr>
        <w:t xml:space="preserve">2014/65/UE </w:t>
      </w:r>
      <w:r w:rsidRPr="00211DE6">
        <w:rPr>
          <w:bCs/>
          <w:color w:val="000000"/>
          <w:sz w:val="18"/>
          <w:szCs w:val="18"/>
        </w:rPr>
        <w:t>z dnia 15 maja 2014 r. w sprawie rynków instrumentów finansowych oraz zmieniająca dyrektywę 2002/92/WE i dyrektywę 2011/61/UE</w:t>
      </w:r>
      <w:r w:rsidR="00211DE6" w:rsidRPr="00211DE6">
        <w:rPr>
          <w:color w:val="000000"/>
          <w:sz w:val="18"/>
          <w:szCs w:val="18"/>
          <w:shd w:val="clear" w:color="auto" w:fill="FFFFFF"/>
        </w:rPr>
        <w:t xml:space="preserve"> (Dz.U. L 173 z 12.6.2014, str. 349, z </w:t>
      </w:r>
      <w:proofErr w:type="spellStart"/>
      <w:r w:rsidR="00211DE6" w:rsidRPr="00211DE6">
        <w:rPr>
          <w:color w:val="000000"/>
          <w:sz w:val="18"/>
          <w:szCs w:val="18"/>
          <w:shd w:val="clear" w:color="auto" w:fill="FFFFFF"/>
        </w:rPr>
        <w:t>późn</w:t>
      </w:r>
      <w:proofErr w:type="spellEnd"/>
      <w:r w:rsidR="00211DE6" w:rsidRPr="00211DE6">
        <w:rPr>
          <w:color w:val="000000"/>
          <w:sz w:val="18"/>
          <w:szCs w:val="18"/>
          <w:shd w:val="clear" w:color="auto" w:fill="FFFFFF"/>
        </w:rPr>
        <w:t>. zm.)</w:t>
      </w:r>
    </w:p>
    <w:p w14:paraId="68611ED3" w14:textId="1FB41FF8" w:rsidR="005E428B" w:rsidRDefault="005E428B">
      <w:pPr>
        <w:pStyle w:val="Tekstprzypisudolnego"/>
      </w:pPr>
    </w:p>
  </w:footnote>
  <w:footnote w:id="3">
    <w:p w14:paraId="0A974586" w14:textId="4F38EC4F" w:rsidR="005E428B" w:rsidRPr="00096CAE" w:rsidRDefault="005E428B" w:rsidP="00211DE6">
      <w:pPr>
        <w:pStyle w:val="Default"/>
        <w:jc w:val="both"/>
        <w:rPr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DD7489" w:rsidRPr="00DD7489">
        <w:rPr>
          <w:sz w:val="18"/>
          <w:szCs w:val="18"/>
        </w:rPr>
        <w:t>R</w:t>
      </w:r>
      <w:r w:rsidRPr="00DD7489">
        <w:rPr>
          <w:bCs/>
          <w:sz w:val="18"/>
          <w:szCs w:val="18"/>
        </w:rPr>
        <w:t>o</w:t>
      </w:r>
      <w:r w:rsidRPr="00096CAE">
        <w:rPr>
          <w:bCs/>
          <w:sz w:val="18"/>
          <w:szCs w:val="18"/>
        </w:rPr>
        <w:t>zporządzenie Parlamentu Europejskiego i Rady (UE) NR 1094/2010 z dnia 24 listopada 2010 r. w sprawie ustanowienia Europejskiego Urzędu Nadzoru (Europejskiego Urzędu Nadzoru Ubezpieczeń i Pracowniczych Programów Emerytalnych), zmiany decyzji nr 716/2009/WE i uchylenia decyzji Komisji 2009/79/WE</w:t>
      </w:r>
      <w:r w:rsidR="00A40D95" w:rsidRPr="00A40D95">
        <w:rPr>
          <w:bCs/>
        </w:rPr>
        <w:t xml:space="preserve"> </w:t>
      </w:r>
      <w:r w:rsidR="00A40D95" w:rsidRPr="00A40D95">
        <w:rPr>
          <w:sz w:val="19"/>
          <w:szCs w:val="19"/>
        </w:rPr>
        <w:t>(Dz.U. L 331 z 15.12.2010, s</w:t>
      </w:r>
      <w:r w:rsidR="00A40D95">
        <w:rPr>
          <w:sz w:val="19"/>
          <w:szCs w:val="19"/>
        </w:rPr>
        <w:t>tr</w:t>
      </w:r>
      <w:r w:rsidR="00A40D95" w:rsidRPr="00A40D95">
        <w:rPr>
          <w:sz w:val="19"/>
          <w:szCs w:val="19"/>
        </w:rPr>
        <w:t>. 48</w:t>
      </w:r>
      <w:r w:rsidR="00A40D95">
        <w:rPr>
          <w:sz w:val="19"/>
          <w:szCs w:val="19"/>
        </w:rPr>
        <w:t xml:space="preserve">, z </w:t>
      </w:r>
      <w:proofErr w:type="spellStart"/>
      <w:r w:rsidR="00A40D95">
        <w:rPr>
          <w:sz w:val="19"/>
          <w:szCs w:val="19"/>
        </w:rPr>
        <w:t>późn</w:t>
      </w:r>
      <w:proofErr w:type="spellEnd"/>
      <w:r w:rsidR="00A40D95">
        <w:rPr>
          <w:sz w:val="19"/>
          <w:szCs w:val="19"/>
        </w:rPr>
        <w:t>. zm.</w:t>
      </w:r>
      <w:r w:rsidR="00A40D95" w:rsidRPr="00A40D95">
        <w:rPr>
          <w:sz w:val="19"/>
          <w:szCs w:val="19"/>
        </w:rPr>
        <w:t>)</w:t>
      </w:r>
    </w:p>
    <w:p w14:paraId="5B3AEC86" w14:textId="0F9CB9F9" w:rsidR="005E428B" w:rsidRDefault="005E428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6EB"/>
    <w:multiLevelType w:val="hybridMultilevel"/>
    <w:tmpl w:val="6E68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2F5"/>
    <w:multiLevelType w:val="hybridMultilevel"/>
    <w:tmpl w:val="7AF46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25456"/>
    <w:multiLevelType w:val="hybridMultilevel"/>
    <w:tmpl w:val="635C3986"/>
    <w:lvl w:ilvl="0" w:tplc="25CE9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056CC"/>
    <w:multiLevelType w:val="hybridMultilevel"/>
    <w:tmpl w:val="17765F0A"/>
    <w:lvl w:ilvl="0" w:tplc="25CE9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6BB2"/>
    <w:multiLevelType w:val="hybridMultilevel"/>
    <w:tmpl w:val="65FCDCAE"/>
    <w:lvl w:ilvl="0" w:tplc="25CE9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69D5"/>
    <w:multiLevelType w:val="hybridMultilevel"/>
    <w:tmpl w:val="CFB855F8"/>
    <w:lvl w:ilvl="0" w:tplc="0415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F4"/>
    <w:rsid w:val="00001E14"/>
    <w:rsid w:val="000042A8"/>
    <w:rsid w:val="00007BBA"/>
    <w:rsid w:val="000146C2"/>
    <w:rsid w:val="00022224"/>
    <w:rsid w:val="00024785"/>
    <w:rsid w:val="00025622"/>
    <w:rsid w:val="00025C3D"/>
    <w:rsid w:val="000371F2"/>
    <w:rsid w:val="00047AA4"/>
    <w:rsid w:val="00057B64"/>
    <w:rsid w:val="00060245"/>
    <w:rsid w:val="0006213B"/>
    <w:rsid w:val="00066084"/>
    <w:rsid w:val="000729DA"/>
    <w:rsid w:val="00077E3B"/>
    <w:rsid w:val="00081887"/>
    <w:rsid w:val="00084629"/>
    <w:rsid w:val="00095980"/>
    <w:rsid w:val="00095B11"/>
    <w:rsid w:val="00097902"/>
    <w:rsid w:val="000A50F9"/>
    <w:rsid w:val="000B0F09"/>
    <w:rsid w:val="000C4322"/>
    <w:rsid w:val="000D0F87"/>
    <w:rsid w:val="000D22D6"/>
    <w:rsid w:val="000D5A28"/>
    <w:rsid w:val="000D5C00"/>
    <w:rsid w:val="000E53EE"/>
    <w:rsid w:val="000E60CC"/>
    <w:rsid w:val="000F7B4C"/>
    <w:rsid w:val="0011203F"/>
    <w:rsid w:val="00113CF8"/>
    <w:rsid w:val="001248E0"/>
    <w:rsid w:val="00126D91"/>
    <w:rsid w:val="00130B9B"/>
    <w:rsid w:val="001320AD"/>
    <w:rsid w:val="00132461"/>
    <w:rsid w:val="00136DE3"/>
    <w:rsid w:val="00143334"/>
    <w:rsid w:val="0015430E"/>
    <w:rsid w:val="0017681F"/>
    <w:rsid w:val="00182C87"/>
    <w:rsid w:val="00191D39"/>
    <w:rsid w:val="00197C5F"/>
    <w:rsid w:val="00197D02"/>
    <w:rsid w:val="001A1D4C"/>
    <w:rsid w:val="001A695D"/>
    <w:rsid w:val="001B2F8B"/>
    <w:rsid w:val="001B44F3"/>
    <w:rsid w:val="001B7DC2"/>
    <w:rsid w:val="001C0B6A"/>
    <w:rsid w:val="001C5C4B"/>
    <w:rsid w:val="001D2AD3"/>
    <w:rsid w:val="001E0D05"/>
    <w:rsid w:val="001E1C24"/>
    <w:rsid w:val="001E6956"/>
    <w:rsid w:val="001F5AD3"/>
    <w:rsid w:val="00201F41"/>
    <w:rsid w:val="00203FD6"/>
    <w:rsid w:val="00206F34"/>
    <w:rsid w:val="00211DE6"/>
    <w:rsid w:val="00215EAB"/>
    <w:rsid w:val="00216117"/>
    <w:rsid w:val="002223AA"/>
    <w:rsid w:val="00241EA0"/>
    <w:rsid w:val="00243F10"/>
    <w:rsid w:val="00264CDF"/>
    <w:rsid w:val="00265900"/>
    <w:rsid w:val="00272008"/>
    <w:rsid w:val="0028623B"/>
    <w:rsid w:val="00286336"/>
    <w:rsid w:val="002962DB"/>
    <w:rsid w:val="0029666B"/>
    <w:rsid w:val="002A4549"/>
    <w:rsid w:val="002A61FC"/>
    <w:rsid w:val="002B1786"/>
    <w:rsid w:val="002B3E1E"/>
    <w:rsid w:val="002B771A"/>
    <w:rsid w:val="002C180F"/>
    <w:rsid w:val="002C7375"/>
    <w:rsid w:val="002D1866"/>
    <w:rsid w:val="002E027C"/>
    <w:rsid w:val="002F0C53"/>
    <w:rsid w:val="00300980"/>
    <w:rsid w:val="0030364E"/>
    <w:rsid w:val="00304FC4"/>
    <w:rsid w:val="00306977"/>
    <w:rsid w:val="0030748D"/>
    <w:rsid w:val="00320D94"/>
    <w:rsid w:val="00343249"/>
    <w:rsid w:val="00347C09"/>
    <w:rsid w:val="0035080B"/>
    <w:rsid w:val="00350FD1"/>
    <w:rsid w:val="00351F60"/>
    <w:rsid w:val="00375C52"/>
    <w:rsid w:val="00385677"/>
    <w:rsid w:val="00396FF4"/>
    <w:rsid w:val="003A77DE"/>
    <w:rsid w:val="003D057D"/>
    <w:rsid w:val="003E20FB"/>
    <w:rsid w:val="003E378E"/>
    <w:rsid w:val="003E5734"/>
    <w:rsid w:val="003E5D2B"/>
    <w:rsid w:val="0040433C"/>
    <w:rsid w:val="00410DFA"/>
    <w:rsid w:val="004312C0"/>
    <w:rsid w:val="00431325"/>
    <w:rsid w:val="00434A63"/>
    <w:rsid w:val="00435122"/>
    <w:rsid w:val="004373B4"/>
    <w:rsid w:val="0043773F"/>
    <w:rsid w:val="004379BE"/>
    <w:rsid w:val="004643E9"/>
    <w:rsid w:val="00466DCA"/>
    <w:rsid w:val="0047106A"/>
    <w:rsid w:val="00485307"/>
    <w:rsid w:val="00487C3A"/>
    <w:rsid w:val="00491A7C"/>
    <w:rsid w:val="004926DA"/>
    <w:rsid w:val="004B402F"/>
    <w:rsid w:val="004B5CFE"/>
    <w:rsid w:val="004B5EA9"/>
    <w:rsid w:val="004C07EB"/>
    <w:rsid w:val="004C7597"/>
    <w:rsid w:val="004D28FE"/>
    <w:rsid w:val="004D290D"/>
    <w:rsid w:val="004D68CA"/>
    <w:rsid w:val="004E1DDE"/>
    <w:rsid w:val="004F1E43"/>
    <w:rsid w:val="004F5419"/>
    <w:rsid w:val="00503B2A"/>
    <w:rsid w:val="00504E24"/>
    <w:rsid w:val="00510086"/>
    <w:rsid w:val="00514D75"/>
    <w:rsid w:val="00515F88"/>
    <w:rsid w:val="005348A1"/>
    <w:rsid w:val="0053533A"/>
    <w:rsid w:val="00537DF4"/>
    <w:rsid w:val="005415D9"/>
    <w:rsid w:val="005417F5"/>
    <w:rsid w:val="00541891"/>
    <w:rsid w:val="00544B18"/>
    <w:rsid w:val="00546BC9"/>
    <w:rsid w:val="0055350C"/>
    <w:rsid w:val="0055387A"/>
    <w:rsid w:val="005552D7"/>
    <w:rsid w:val="00567231"/>
    <w:rsid w:val="00571B70"/>
    <w:rsid w:val="00574B92"/>
    <w:rsid w:val="0059228C"/>
    <w:rsid w:val="005A3C8A"/>
    <w:rsid w:val="005B62BD"/>
    <w:rsid w:val="005B74F5"/>
    <w:rsid w:val="005B7B4E"/>
    <w:rsid w:val="005C1892"/>
    <w:rsid w:val="005D3B2B"/>
    <w:rsid w:val="005D64CD"/>
    <w:rsid w:val="005E2624"/>
    <w:rsid w:val="005E428B"/>
    <w:rsid w:val="005E4BD2"/>
    <w:rsid w:val="005F1687"/>
    <w:rsid w:val="005F3CEF"/>
    <w:rsid w:val="00602C44"/>
    <w:rsid w:val="0060446D"/>
    <w:rsid w:val="00626CF9"/>
    <w:rsid w:val="00630205"/>
    <w:rsid w:val="006319CD"/>
    <w:rsid w:val="006418D5"/>
    <w:rsid w:val="00642271"/>
    <w:rsid w:val="006534D4"/>
    <w:rsid w:val="0066106F"/>
    <w:rsid w:val="006660A0"/>
    <w:rsid w:val="0066645B"/>
    <w:rsid w:val="0067386E"/>
    <w:rsid w:val="00677021"/>
    <w:rsid w:val="00682874"/>
    <w:rsid w:val="006842DC"/>
    <w:rsid w:val="00684A89"/>
    <w:rsid w:val="0068633F"/>
    <w:rsid w:val="00692899"/>
    <w:rsid w:val="006A2EDF"/>
    <w:rsid w:val="006A36E0"/>
    <w:rsid w:val="006A5156"/>
    <w:rsid w:val="006B1165"/>
    <w:rsid w:val="006B4E07"/>
    <w:rsid w:val="006C0D69"/>
    <w:rsid w:val="006C5F23"/>
    <w:rsid w:val="006D2CE9"/>
    <w:rsid w:val="006E0886"/>
    <w:rsid w:val="006E4626"/>
    <w:rsid w:val="006F786A"/>
    <w:rsid w:val="00704293"/>
    <w:rsid w:val="0071327D"/>
    <w:rsid w:val="0071621E"/>
    <w:rsid w:val="00721944"/>
    <w:rsid w:val="0072228B"/>
    <w:rsid w:val="00725DD3"/>
    <w:rsid w:val="00734D0D"/>
    <w:rsid w:val="00737521"/>
    <w:rsid w:val="00737DB6"/>
    <w:rsid w:val="00745493"/>
    <w:rsid w:val="00745B61"/>
    <w:rsid w:val="0075099C"/>
    <w:rsid w:val="00761ADB"/>
    <w:rsid w:val="00761B68"/>
    <w:rsid w:val="00776286"/>
    <w:rsid w:val="00780952"/>
    <w:rsid w:val="007811E1"/>
    <w:rsid w:val="007847E7"/>
    <w:rsid w:val="007904E4"/>
    <w:rsid w:val="00790C9D"/>
    <w:rsid w:val="00796EA6"/>
    <w:rsid w:val="007A1AF2"/>
    <w:rsid w:val="007A2E56"/>
    <w:rsid w:val="007C1B61"/>
    <w:rsid w:val="007C1C73"/>
    <w:rsid w:val="007C2805"/>
    <w:rsid w:val="007C63C7"/>
    <w:rsid w:val="007D4ABC"/>
    <w:rsid w:val="007D5131"/>
    <w:rsid w:val="007D628C"/>
    <w:rsid w:val="007D63B6"/>
    <w:rsid w:val="007E1127"/>
    <w:rsid w:val="007E555F"/>
    <w:rsid w:val="007E779E"/>
    <w:rsid w:val="007F03CB"/>
    <w:rsid w:val="007F34A9"/>
    <w:rsid w:val="007F5B4D"/>
    <w:rsid w:val="0081410A"/>
    <w:rsid w:val="00821495"/>
    <w:rsid w:val="0082185C"/>
    <w:rsid w:val="008268EF"/>
    <w:rsid w:val="00832866"/>
    <w:rsid w:val="008341C4"/>
    <w:rsid w:val="008367EC"/>
    <w:rsid w:val="0084271E"/>
    <w:rsid w:val="00847030"/>
    <w:rsid w:val="0084709C"/>
    <w:rsid w:val="008607F7"/>
    <w:rsid w:val="00864B0F"/>
    <w:rsid w:val="00865AEB"/>
    <w:rsid w:val="008710DE"/>
    <w:rsid w:val="00877875"/>
    <w:rsid w:val="008806F5"/>
    <w:rsid w:val="008810E9"/>
    <w:rsid w:val="00893153"/>
    <w:rsid w:val="00893A3A"/>
    <w:rsid w:val="008979FA"/>
    <w:rsid w:val="008A2EE2"/>
    <w:rsid w:val="008B6251"/>
    <w:rsid w:val="008C2D24"/>
    <w:rsid w:val="008D0FA3"/>
    <w:rsid w:val="008D6D36"/>
    <w:rsid w:val="008D7FF3"/>
    <w:rsid w:val="008E2312"/>
    <w:rsid w:val="008F0CE1"/>
    <w:rsid w:val="008F52DE"/>
    <w:rsid w:val="00900770"/>
    <w:rsid w:val="00911A36"/>
    <w:rsid w:val="009122E1"/>
    <w:rsid w:val="00914F56"/>
    <w:rsid w:val="0091616B"/>
    <w:rsid w:val="00922927"/>
    <w:rsid w:val="009240A8"/>
    <w:rsid w:val="0092426C"/>
    <w:rsid w:val="00930A63"/>
    <w:rsid w:val="00931A87"/>
    <w:rsid w:val="0093768E"/>
    <w:rsid w:val="00940342"/>
    <w:rsid w:val="009421D3"/>
    <w:rsid w:val="009432D8"/>
    <w:rsid w:val="0095799C"/>
    <w:rsid w:val="00957E0D"/>
    <w:rsid w:val="00962386"/>
    <w:rsid w:val="009679F6"/>
    <w:rsid w:val="009701B5"/>
    <w:rsid w:val="0097552F"/>
    <w:rsid w:val="00976793"/>
    <w:rsid w:val="0097763F"/>
    <w:rsid w:val="009832B1"/>
    <w:rsid w:val="00986FC9"/>
    <w:rsid w:val="009A0172"/>
    <w:rsid w:val="009A45A5"/>
    <w:rsid w:val="009B3863"/>
    <w:rsid w:val="009B3954"/>
    <w:rsid w:val="009B4D1B"/>
    <w:rsid w:val="009B588C"/>
    <w:rsid w:val="009C1039"/>
    <w:rsid w:val="009C7279"/>
    <w:rsid w:val="009D05D8"/>
    <w:rsid w:val="009E78D3"/>
    <w:rsid w:val="009F3C0D"/>
    <w:rsid w:val="009F4E49"/>
    <w:rsid w:val="00A00070"/>
    <w:rsid w:val="00A072A3"/>
    <w:rsid w:val="00A170A2"/>
    <w:rsid w:val="00A21C15"/>
    <w:rsid w:val="00A231A8"/>
    <w:rsid w:val="00A2492C"/>
    <w:rsid w:val="00A364A3"/>
    <w:rsid w:val="00A36A69"/>
    <w:rsid w:val="00A40D95"/>
    <w:rsid w:val="00A44410"/>
    <w:rsid w:val="00A474F2"/>
    <w:rsid w:val="00A55FF0"/>
    <w:rsid w:val="00A570C6"/>
    <w:rsid w:val="00A61E70"/>
    <w:rsid w:val="00A66984"/>
    <w:rsid w:val="00A72537"/>
    <w:rsid w:val="00A72BB2"/>
    <w:rsid w:val="00A75E40"/>
    <w:rsid w:val="00A77F8D"/>
    <w:rsid w:val="00A86051"/>
    <w:rsid w:val="00A8765F"/>
    <w:rsid w:val="00A93382"/>
    <w:rsid w:val="00AC11A5"/>
    <w:rsid w:val="00AC6968"/>
    <w:rsid w:val="00AD0293"/>
    <w:rsid w:val="00AF63D6"/>
    <w:rsid w:val="00AF7BD6"/>
    <w:rsid w:val="00B05C4C"/>
    <w:rsid w:val="00B05D0C"/>
    <w:rsid w:val="00B12BB1"/>
    <w:rsid w:val="00B12E74"/>
    <w:rsid w:val="00B13AE7"/>
    <w:rsid w:val="00B16D93"/>
    <w:rsid w:val="00B202C2"/>
    <w:rsid w:val="00B24711"/>
    <w:rsid w:val="00B35B1F"/>
    <w:rsid w:val="00B41BE1"/>
    <w:rsid w:val="00B505E0"/>
    <w:rsid w:val="00B50AB6"/>
    <w:rsid w:val="00B61184"/>
    <w:rsid w:val="00B9736C"/>
    <w:rsid w:val="00B97D95"/>
    <w:rsid w:val="00BA0085"/>
    <w:rsid w:val="00BA1B11"/>
    <w:rsid w:val="00BA5F30"/>
    <w:rsid w:val="00BA76CB"/>
    <w:rsid w:val="00BB63E3"/>
    <w:rsid w:val="00BB715F"/>
    <w:rsid w:val="00BC14CD"/>
    <w:rsid w:val="00BC560A"/>
    <w:rsid w:val="00BC7E00"/>
    <w:rsid w:val="00BD0CA9"/>
    <w:rsid w:val="00BD0E18"/>
    <w:rsid w:val="00BD5E7B"/>
    <w:rsid w:val="00BD66B1"/>
    <w:rsid w:val="00BD7F75"/>
    <w:rsid w:val="00BE20D7"/>
    <w:rsid w:val="00BE45D9"/>
    <w:rsid w:val="00BF1784"/>
    <w:rsid w:val="00BF20FB"/>
    <w:rsid w:val="00BF35DB"/>
    <w:rsid w:val="00C00EE5"/>
    <w:rsid w:val="00C024AC"/>
    <w:rsid w:val="00C04D8D"/>
    <w:rsid w:val="00C06A9F"/>
    <w:rsid w:val="00C24957"/>
    <w:rsid w:val="00C26586"/>
    <w:rsid w:val="00C27ECA"/>
    <w:rsid w:val="00C3219B"/>
    <w:rsid w:val="00C34FD4"/>
    <w:rsid w:val="00C37871"/>
    <w:rsid w:val="00C5357A"/>
    <w:rsid w:val="00C65C95"/>
    <w:rsid w:val="00C74433"/>
    <w:rsid w:val="00C85DAE"/>
    <w:rsid w:val="00C871D2"/>
    <w:rsid w:val="00C93EF3"/>
    <w:rsid w:val="00CA17B7"/>
    <w:rsid w:val="00CA7E05"/>
    <w:rsid w:val="00CB0218"/>
    <w:rsid w:val="00CB3662"/>
    <w:rsid w:val="00CB374E"/>
    <w:rsid w:val="00CC2731"/>
    <w:rsid w:val="00CC2E43"/>
    <w:rsid w:val="00CD0FA6"/>
    <w:rsid w:val="00CD277C"/>
    <w:rsid w:val="00CD40B5"/>
    <w:rsid w:val="00CD6DD3"/>
    <w:rsid w:val="00CE3E2C"/>
    <w:rsid w:val="00CF1B59"/>
    <w:rsid w:val="00CF3F3F"/>
    <w:rsid w:val="00D0003F"/>
    <w:rsid w:val="00D04491"/>
    <w:rsid w:val="00D05240"/>
    <w:rsid w:val="00D14723"/>
    <w:rsid w:val="00D23F3F"/>
    <w:rsid w:val="00D269F2"/>
    <w:rsid w:val="00D27451"/>
    <w:rsid w:val="00D30215"/>
    <w:rsid w:val="00D30C17"/>
    <w:rsid w:val="00D32197"/>
    <w:rsid w:val="00D33D5A"/>
    <w:rsid w:val="00D41620"/>
    <w:rsid w:val="00D436B4"/>
    <w:rsid w:val="00D45D08"/>
    <w:rsid w:val="00D46C4E"/>
    <w:rsid w:val="00D47BF4"/>
    <w:rsid w:val="00D530DC"/>
    <w:rsid w:val="00D54096"/>
    <w:rsid w:val="00D5673C"/>
    <w:rsid w:val="00D6315A"/>
    <w:rsid w:val="00D71BC1"/>
    <w:rsid w:val="00D7240A"/>
    <w:rsid w:val="00D741EB"/>
    <w:rsid w:val="00D8588A"/>
    <w:rsid w:val="00D86DFA"/>
    <w:rsid w:val="00D9509F"/>
    <w:rsid w:val="00DA104D"/>
    <w:rsid w:val="00DA1DB5"/>
    <w:rsid w:val="00DA1E66"/>
    <w:rsid w:val="00DA252C"/>
    <w:rsid w:val="00DB1CA0"/>
    <w:rsid w:val="00DC0547"/>
    <w:rsid w:val="00DC6048"/>
    <w:rsid w:val="00DC73FE"/>
    <w:rsid w:val="00DD1228"/>
    <w:rsid w:val="00DD384A"/>
    <w:rsid w:val="00DD4AC9"/>
    <w:rsid w:val="00DD6DE7"/>
    <w:rsid w:val="00DD7489"/>
    <w:rsid w:val="00DD74E8"/>
    <w:rsid w:val="00DE0B7D"/>
    <w:rsid w:val="00DE3E35"/>
    <w:rsid w:val="00DF296B"/>
    <w:rsid w:val="00E10847"/>
    <w:rsid w:val="00E2306D"/>
    <w:rsid w:val="00E26684"/>
    <w:rsid w:val="00E3455A"/>
    <w:rsid w:val="00E36A71"/>
    <w:rsid w:val="00E510D4"/>
    <w:rsid w:val="00E56C20"/>
    <w:rsid w:val="00E63305"/>
    <w:rsid w:val="00E65B3F"/>
    <w:rsid w:val="00E710A8"/>
    <w:rsid w:val="00E71E1A"/>
    <w:rsid w:val="00E7378D"/>
    <w:rsid w:val="00E769FF"/>
    <w:rsid w:val="00E82A8E"/>
    <w:rsid w:val="00E82C45"/>
    <w:rsid w:val="00E86B27"/>
    <w:rsid w:val="00EA2189"/>
    <w:rsid w:val="00EA553F"/>
    <w:rsid w:val="00EB4207"/>
    <w:rsid w:val="00EB428E"/>
    <w:rsid w:val="00ED3C09"/>
    <w:rsid w:val="00ED58F9"/>
    <w:rsid w:val="00EE6749"/>
    <w:rsid w:val="00EF13C8"/>
    <w:rsid w:val="00EF2152"/>
    <w:rsid w:val="00EF4D33"/>
    <w:rsid w:val="00EF6B9B"/>
    <w:rsid w:val="00EF7999"/>
    <w:rsid w:val="00F05BD1"/>
    <w:rsid w:val="00F062BF"/>
    <w:rsid w:val="00F06EA6"/>
    <w:rsid w:val="00F13A90"/>
    <w:rsid w:val="00F23C1B"/>
    <w:rsid w:val="00F23D31"/>
    <w:rsid w:val="00F31F72"/>
    <w:rsid w:val="00F322A5"/>
    <w:rsid w:val="00F347F6"/>
    <w:rsid w:val="00F36990"/>
    <w:rsid w:val="00F50081"/>
    <w:rsid w:val="00F5237B"/>
    <w:rsid w:val="00F55176"/>
    <w:rsid w:val="00F56A20"/>
    <w:rsid w:val="00F65E93"/>
    <w:rsid w:val="00F67528"/>
    <w:rsid w:val="00F7138D"/>
    <w:rsid w:val="00F75F06"/>
    <w:rsid w:val="00F7732B"/>
    <w:rsid w:val="00F816BF"/>
    <w:rsid w:val="00F82D38"/>
    <w:rsid w:val="00F92A54"/>
    <w:rsid w:val="00F93EA2"/>
    <w:rsid w:val="00F94820"/>
    <w:rsid w:val="00FA3EF7"/>
    <w:rsid w:val="00FC3E27"/>
    <w:rsid w:val="00FC51C6"/>
    <w:rsid w:val="00FD1C07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85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37DF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537DF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658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20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621E"/>
    <w:rPr>
      <w:color w:val="954F72" w:themeColor="followedHyperlink"/>
      <w:u w:val="single"/>
    </w:rPr>
  </w:style>
  <w:style w:type="character" w:customStyle="1" w:styleId="Ppogrubienie">
    <w:name w:val="_P_ – pogrubienie"/>
    <w:basedOn w:val="Domylnaczcionkaakapitu"/>
    <w:uiPriority w:val="1"/>
    <w:qFormat/>
    <w:rsid w:val="0071621E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8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7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2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2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2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228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DD1228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D1228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D1228"/>
    <w:rPr>
      <w:rFonts w:ascii="EUAlbertina" w:hAnsi="EUAlbertina" w:cstheme="minorBidi"/>
      <w:color w:val="auto"/>
    </w:rPr>
  </w:style>
  <w:style w:type="paragraph" w:customStyle="1" w:styleId="PKTODNONIKApunktodnonika">
    <w:name w:val="PKT_ODNOŚNIKA – punkt odnośnika"/>
    <w:basedOn w:val="Normalny"/>
    <w:uiPriority w:val="24"/>
    <w:qFormat/>
    <w:rsid w:val="003E5734"/>
    <w:pPr>
      <w:spacing w:after="0"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A18">
    <w:name w:val="A18"/>
    <w:uiPriority w:val="99"/>
    <w:rsid w:val="00197D02"/>
    <w:rPr>
      <w:rFonts w:cs="EUAlbertina"/>
      <w:color w:val="00000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BD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E7B"/>
  </w:style>
  <w:style w:type="paragraph" w:styleId="Stopka">
    <w:name w:val="footer"/>
    <w:basedOn w:val="Normalny"/>
    <w:link w:val="StopkaZnak"/>
    <w:uiPriority w:val="99"/>
    <w:unhideWhenUsed/>
    <w:rsid w:val="00BD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E7B"/>
  </w:style>
  <w:style w:type="paragraph" w:customStyle="1" w:styleId="ZUSTzmustartykuempunktem">
    <w:name w:val="Z/UST(§) – zm. ust. (§) artykułem (punktem)"/>
    <w:basedOn w:val="Normalny"/>
    <w:uiPriority w:val="30"/>
    <w:qFormat/>
    <w:rsid w:val="0082149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oc-ti">
    <w:name w:val="doc-ti"/>
    <w:basedOn w:val="Normalny"/>
    <w:rsid w:val="005E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F3E7-16F7-480D-8688-1E051708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3188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2020-07-10T13:49:00Z</dcterms:created>
  <dcterms:modified xsi:type="dcterms:W3CDTF">2020-07-10T13:49:00Z</dcterms:modified>
</cp:coreProperties>
</file>