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41983D" w14:textId="77777777" w:rsidR="00F837EE" w:rsidRPr="003158EE" w:rsidRDefault="00F837EE" w:rsidP="00F837EE">
      <w:pPr>
        <w:pStyle w:val="Default"/>
        <w:jc w:val="center"/>
        <w:rPr>
          <w:b/>
        </w:rPr>
      </w:pPr>
      <w:bookmarkStart w:id="0" w:name="_GoBack"/>
      <w:bookmarkEnd w:id="0"/>
      <w:r w:rsidRPr="003158EE">
        <w:rPr>
          <w:b/>
        </w:rPr>
        <w:t>TABELA ZGODNOŚCI</w:t>
      </w:r>
    </w:p>
    <w:p w14:paraId="617A2271" w14:textId="77777777" w:rsidR="00F837EE" w:rsidRPr="003158EE" w:rsidRDefault="00F837EE" w:rsidP="00F837EE">
      <w:pPr>
        <w:pStyle w:val="Default"/>
        <w:jc w:val="cente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2"/>
        <w:gridCol w:w="8930"/>
      </w:tblGrid>
      <w:tr w:rsidR="00F837EE" w:rsidRPr="003158EE" w14:paraId="0BF19EAF" w14:textId="77777777" w:rsidTr="000672D3">
        <w:trPr>
          <w:trHeight w:val="1094"/>
        </w:trPr>
        <w:tc>
          <w:tcPr>
            <w:tcW w:w="4962" w:type="dxa"/>
            <w:shd w:val="clear" w:color="auto" w:fill="E6E6E6"/>
            <w:vAlign w:val="center"/>
          </w:tcPr>
          <w:p w14:paraId="3EE89C4B" w14:textId="77777777" w:rsidR="00F837EE" w:rsidRPr="003158EE" w:rsidRDefault="00F837EE" w:rsidP="000672D3">
            <w:pPr>
              <w:pStyle w:val="Default"/>
              <w:jc w:val="center"/>
            </w:pPr>
            <w:r w:rsidRPr="003158EE">
              <w:t>TYTUŁ WDRAŻANEGO PROJEKTU AKTU PRAWNEGO</w:t>
            </w:r>
          </w:p>
        </w:tc>
        <w:tc>
          <w:tcPr>
            <w:tcW w:w="8930" w:type="dxa"/>
            <w:shd w:val="clear" w:color="auto" w:fill="E6E6E6"/>
            <w:vAlign w:val="center"/>
          </w:tcPr>
          <w:p w14:paraId="7CC0CFD2" w14:textId="77777777" w:rsidR="00F837EE" w:rsidRPr="003158EE" w:rsidRDefault="00F837EE" w:rsidP="000672D3">
            <w:pPr>
              <w:pStyle w:val="doc-ti"/>
              <w:spacing w:before="0" w:beforeAutospacing="0" w:after="0" w:afterAutospacing="0"/>
              <w:jc w:val="both"/>
            </w:pPr>
            <w:r w:rsidRPr="003158EE">
              <w:rPr>
                <w:b/>
              </w:rPr>
              <w:t>Dyrektywa Parlamentu Europejskiego i Rady (UE) 2018/410 z dnia 14 marca 2018 r. zmieniającej dyrektywę 2003/87/WE w celu wzmocnienia efektywnych pod względem kosztów redukcji emisji oraz inwestycji niskoemisyjnych oraz decyzji (UE) 2015/1814 (Dz. Urz. UE L 76 z 19.03.2018 , s. 3)</w:t>
            </w:r>
          </w:p>
        </w:tc>
      </w:tr>
    </w:tbl>
    <w:p w14:paraId="4F61488F" w14:textId="77777777" w:rsidR="00F837EE" w:rsidRPr="003158EE" w:rsidRDefault="00F837EE" w:rsidP="00F837EE">
      <w:pPr>
        <w:pStyle w:val="Default"/>
        <w:jc w:val="right"/>
      </w:pPr>
    </w:p>
    <w:tbl>
      <w:tblPr>
        <w:tblW w:w="1396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2"/>
        <w:gridCol w:w="5074"/>
        <w:gridCol w:w="596"/>
        <w:gridCol w:w="7342"/>
      </w:tblGrid>
      <w:tr w:rsidR="00E93415" w:rsidRPr="003158EE" w14:paraId="180D2BC7" w14:textId="77777777" w:rsidTr="00E93415">
        <w:trPr>
          <w:trHeight w:val="1066"/>
        </w:trPr>
        <w:tc>
          <w:tcPr>
            <w:tcW w:w="952" w:type="dxa"/>
            <w:vAlign w:val="center"/>
          </w:tcPr>
          <w:p w14:paraId="62297D80" w14:textId="77777777" w:rsidR="00E93415" w:rsidRPr="003158EE" w:rsidRDefault="00E93415" w:rsidP="000672D3">
            <w:pPr>
              <w:pStyle w:val="Default"/>
              <w:jc w:val="center"/>
              <w:rPr>
                <w:b/>
                <w:bCs/>
              </w:rPr>
            </w:pPr>
            <w:r w:rsidRPr="003158EE">
              <w:rPr>
                <w:b/>
                <w:bCs/>
              </w:rPr>
              <w:t>Jedn.</w:t>
            </w:r>
          </w:p>
          <w:p w14:paraId="6CC07263" w14:textId="77777777" w:rsidR="00E93415" w:rsidRPr="003158EE" w:rsidRDefault="00E93415" w:rsidP="000672D3">
            <w:pPr>
              <w:pStyle w:val="Default"/>
              <w:jc w:val="center"/>
              <w:rPr>
                <w:b/>
                <w:bCs/>
              </w:rPr>
            </w:pPr>
            <w:r w:rsidRPr="003158EE">
              <w:rPr>
                <w:b/>
                <w:bCs/>
              </w:rPr>
              <w:t>red. dyre-ktywy</w:t>
            </w:r>
          </w:p>
        </w:tc>
        <w:tc>
          <w:tcPr>
            <w:tcW w:w="5074" w:type="dxa"/>
            <w:vAlign w:val="center"/>
          </w:tcPr>
          <w:p w14:paraId="2DF12678" w14:textId="69A4D909" w:rsidR="00E93415" w:rsidRPr="003158EE" w:rsidRDefault="00E93415" w:rsidP="000672D3">
            <w:pPr>
              <w:pStyle w:val="Default"/>
              <w:jc w:val="center"/>
              <w:rPr>
                <w:b/>
                <w:bCs/>
              </w:rPr>
            </w:pPr>
            <w:r w:rsidRPr="003158EE">
              <w:rPr>
                <w:b/>
                <w:bCs/>
              </w:rPr>
              <w:t xml:space="preserve">Treść przepisu </w:t>
            </w:r>
            <w:r w:rsidR="001C3BF0" w:rsidRPr="003158EE">
              <w:rPr>
                <w:b/>
                <w:bCs/>
              </w:rPr>
              <w:t>UE</w:t>
            </w:r>
          </w:p>
        </w:tc>
        <w:tc>
          <w:tcPr>
            <w:tcW w:w="596" w:type="dxa"/>
            <w:vAlign w:val="center"/>
          </w:tcPr>
          <w:p w14:paraId="175D8FA8" w14:textId="77777777" w:rsidR="00E93415" w:rsidRPr="003158EE" w:rsidRDefault="00E93415" w:rsidP="000672D3">
            <w:pPr>
              <w:pStyle w:val="Default"/>
              <w:jc w:val="center"/>
              <w:rPr>
                <w:b/>
                <w:bCs/>
              </w:rPr>
            </w:pPr>
            <w:r w:rsidRPr="003158EE">
              <w:rPr>
                <w:b/>
                <w:bCs/>
              </w:rPr>
              <w:t>Konieczność</w:t>
            </w:r>
          </w:p>
          <w:p w14:paraId="7B5CCD23" w14:textId="77777777" w:rsidR="00E93415" w:rsidRPr="003158EE" w:rsidRDefault="00E93415" w:rsidP="000672D3">
            <w:pPr>
              <w:pStyle w:val="Default"/>
              <w:jc w:val="center"/>
              <w:rPr>
                <w:b/>
                <w:bCs/>
              </w:rPr>
            </w:pPr>
            <w:r w:rsidRPr="003158EE">
              <w:rPr>
                <w:b/>
                <w:bCs/>
              </w:rPr>
              <w:t>wdro</w:t>
            </w:r>
          </w:p>
          <w:p w14:paraId="32369EE4" w14:textId="77777777" w:rsidR="00E93415" w:rsidRPr="003158EE" w:rsidRDefault="00E93415" w:rsidP="000672D3">
            <w:pPr>
              <w:pStyle w:val="Default"/>
              <w:jc w:val="center"/>
              <w:rPr>
                <w:b/>
                <w:bCs/>
              </w:rPr>
            </w:pPr>
            <w:r w:rsidRPr="003158EE">
              <w:rPr>
                <w:b/>
                <w:bCs/>
              </w:rPr>
              <w:t>żenia (T/N)</w:t>
            </w:r>
          </w:p>
        </w:tc>
        <w:tc>
          <w:tcPr>
            <w:tcW w:w="7342" w:type="dxa"/>
            <w:vAlign w:val="center"/>
          </w:tcPr>
          <w:p w14:paraId="747A6F4F" w14:textId="017F5184" w:rsidR="00E93415" w:rsidRPr="003158EE" w:rsidRDefault="00E93415" w:rsidP="000672D3">
            <w:pPr>
              <w:pStyle w:val="Default"/>
              <w:jc w:val="center"/>
              <w:rPr>
                <w:b/>
                <w:bCs/>
              </w:rPr>
            </w:pPr>
            <w:r w:rsidRPr="003158EE">
              <w:rPr>
                <w:b/>
                <w:bCs/>
              </w:rPr>
              <w:t xml:space="preserve">Treść </w:t>
            </w:r>
            <w:r w:rsidR="00FC4BB6" w:rsidRPr="003158EE">
              <w:rPr>
                <w:b/>
                <w:bCs/>
              </w:rPr>
              <w:t>przepisu/ów aktu krajowego spełniających wymogi dyrektywy</w:t>
            </w:r>
            <w:r w:rsidR="00CA55BD">
              <w:rPr>
                <w:b/>
                <w:bCs/>
              </w:rPr>
              <w:t xml:space="preserve"> oraz uwagi i wyjaśnienia</w:t>
            </w:r>
          </w:p>
        </w:tc>
      </w:tr>
      <w:tr w:rsidR="00541529" w:rsidRPr="003158EE" w14:paraId="1A78EDFD" w14:textId="77777777" w:rsidTr="00E93415">
        <w:trPr>
          <w:trHeight w:val="1066"/>
        </w:trPr>
        <w:tc>
          <w:tcPr>
            <w:tcW w:w="952" w:type="dxa"/>
            <w:vAlign w:val="center"/>
          </w:tcPr>
          <w:p w14:paraId="231D3B8B" w14:textId="7B209236" w:rsidR="00541529" w:rsidRPr="003158EE" w:rsidRDefault="00541529" w:rsidP="000672D3">
            <w:pPr>
              <w:pStyle w:val="Default"/>
              <w:jc w:val="center"/>
            </w:pPr>
            <w:r w:rsidRPr="003158EE">
              <w:t>Art. 1 pkt 1</w:t>
            </w:r>
          </w:p>
        </w:tc>
        <w:tc>
          <w:tcPr>
            <w:tcW w:w="5074" w:type="dxa"/>
            <w:vAlign w:val="center"/>
          </w:tcPr>
          <w:p w14:paraId="072958C0" w14:textId="25BDC040" w:rsidR="00541529" w:rsidRPr="003158EE" w:rsidRDefault="00541529" w:rsidP="00541529">
            <w:pPr>
              <w:pStyle w:val="ti-art"/>
              <w:spacing w:before="360" w:beforeAutospacing="0" w:after="120" w:afterAutospacing="0" w:line="312" w:lineRule="atLeast"/>
              <w:jc w:val="center"/>
              <w:rPr>
                <w:i/>
                <w:iCs/>
                <w:color w:val="444444"/>
              </w:rPr>
            </w:pPr>
            <w:r w:rsidRPr="003158EE">
              <w:rPr>
                <w:i/>
                <w:iCs/>
                <w:color w:val="444444"/>
              </w:rPr>
              <w:t>Artykuł 1</w:t>
            </w:r>
          </w:p>
          <w:p w14:paraId="583E6F20" w14:textId="77777777" w:rsidR="00541529" w:rsidRPr="003158EE" w:rsidRDefault="00541529" w:rsidP="00541529">
            <w:pPr>
              <w:pStyle w:val="sti-art"/>
              <w:spacing w:before="60" w:beforeAutospacing="0" w:after="120" w:afterAutospacing="0" w:line="312" w:lineRule="atLeast"/>
              <w:jc w:val="center"/>
              <w:rPr>
                <w:b/>
                <w:bCs/>
                <w:color w:val="444444"/>
              </w:rPr>
            </w:pPr>
            <w:r w:rsidRPr="003158EE">
              <w:rPr>
                <w:b/>
                <w:bCs/>
                <w:color w:val="444444"/>
              </w:rPr>
              <w:t>Zmiany w dyrektywie 2003/87/WE</w:t>
            </w:r>
          </w:p>
          <w:p w14:paraId="6E3A135C" w14:textId="77777777" w:rsidR="00541529" w:rsidRPr="003158EE" w:rsidRDefault="00541529" w:rsidP="00541529">
            <w:pPr>
              <w:pStyle w:val="Normalny6"/>
              <w:spacing w:before="120" w:beforeAutospacing="0" w:after="0" w:afterAutospacing="0" w:line="312" w:lineRule="atLeast"/>
              <w:jc w:val="both"/>
              <w:rPr>
                <w:color w:val="444444"/>
              </w:rPr>
            </w:pPr>
            <w:r w:rsidRPr="003158EE">
              <w:rPr>
                <w:color w:val="444444"/>
              </w:rPr>
              <w:t>W dyrektywie 2003/87/WE wprowadza się następujące zmiany:</w:t>
            </w:r>
          </w:p>
          <w:tbl>
            <w:tblPr>
              <w:tblW w:w="5000" w:type="pct"/>
              <w:tblLayout w:type="fixed"/>
              <w:tblCellMar>
                <w:left w:w="0" w:type="dxa"/>
                <w:right w:w="0" w:type="dxa"/>
              </w:tblCellMar>
              <w:tblLook w:val="04A0" w:firstRow="1" w:lastRow="0" w:firstColumn="1" w:lastColumn="0" w:noHBand="0" w:noVBand="1"/>
            </w:tblPr>
            <w:tblGrid>
              <w:gridCol w:w="129"/>
              <w:gridCol w:w="4729"/>
            </w:tblGrid>
            <w:tr w:rsidR="00541529" w:rsidRPr="003158EE" w14:paraId="45886697" w14:textId="77777777" w:rsidTr="00541529">
              <w:tc>
                <w:tcPr>
                  <w:tcW w:w="225" w:type="dxa"/>
                  <w:shd w:val="clear" w:color="auto" w:fill="auto"/>
                  <w:hideMark/>
                </w:tcPr>
                <w:p w14:paraId="4505B079" w14:textId="510A41E6" w:rsidR="00541529" w:rsidRPr="003158EE" w:rsidRDefault="00541529" w:rsidP="00541529">
                  <w:pPr>
                    <w:pStyle w:val="Normalny6"/>
                    <w:spacing w:before="120" w:beforeAutospacing="0" w:after="0" w:afterAutospacing="0" w:line="312" w:lineRule="atLeast"/>
                    <w:jc w:val="both"/>
                    <w:rPr>
                      <w:color w:val="444444"/>
                    </w:rPr>
                  </w:pPr>
                </w:p>
              </w:tc>
              <w:tc>
                <w:tcPr>
                  <w:tcW w:w="8847" w:type="dxa"/>
                  <w:shd w:val="clear" w:color="auto" w:fill="auto"/>
                  <w:hideMark/>
                </w:tcPr>
                <w:p w14:paraId="064FFC22" w14:textId="1315C7B1" w:rsidR="00541529" w:rsidRPr="003158EE" w:rsidRDefault="000A1432" w:rsidP="00541529">
                  <w:pPr>
                    <w:pStyle w:val="Normalny6"/>
                    <w:spacing w:before="120" w:beforeAutospacing="0" w:after="0" w:afterAutospacing="0" w:line="312" w:lineRule="atLeast"/>
                    <w:jc w:val="both"/>
                    <w:rPr>
                      <w:color w:val="444444"/>
                    </w:rPr>
                  </w:pPr>
                  <w:r w:rsidRPr="003158EE">
                    <w:rPr>
                      <w:color w:val="444444"/>
                    </w:rPr>
                    <w:t xml:space="preserve">1) </w:t>
                  </w:r>
                  <w:r w:rsidR="00541529" w:rsidRPr="003158EE">
                    <w:rPr>
                      <w:color w:val="444444"/>
                    </w:rPr>
                    <w:t>w całej dyrektywie termin „system wspólnotowy” zastępuje się terminem „EU ETS” i wprowadza się konieczne zmiany gramatyczne;</w:t>
                  </w:r>
                </w:p>
              </w:tc>
            </w:tr>
          </w:tbl>
          <w:p w14:paraId="1CD47836" w14:textId="77777777" w:rsidR="00541529" w:rsidRPr="003158EE" w:rsidRDefault="00541529" w:rsidP="00541529">
            <w:pPr>
              <w:rPr>
                <w:vanish/>
              </w:rPr>
            </w:pPr>
          </w:p>
          <w:p w14:paraId="3381FFAA" w14:textId="77777777" w:rsidR="00541529" w:rsidRPr="003158EE" w:rsidRDefault="00541529" w:rsidP="001C5BA5">
            <w:pPr>
              <w:pStyle w:val="Default"/>
              <w:rPr>
                <w:b/>
                <w:bCs/>
              </w:rPr>
            </w:pPr>
          </w:p>
        </w:tc>
        <w:tc>
          <w:tcPr>
            <w:tcW w:w="596" w:type="dxa"/>
            <w:vAlign w:val="center"/>
          </w:tcPr>
          <w:p w14:paraId="1D39F121" w14:textId="64ECA8AF" w:rsidR="00541529" w:rsidRPr="003158EE" w:rsidRDefault="00541529" w:rsidP="000672D3">
            <w:pPr>
              <w:pStyle w:val="Default"/>
              <w:jc w:val="center"/>
              <w:rPr>
                <w:b/>
                <w:bCs/>
              </w:rPr>
            </w:pPr>
            <w:r w:rsidRPr="003158EE">
              <w:rPr>
                <w:b/>
                <w:bCs/>
              </w:rPr>
              <w:t>N</w:t>
            </w:r>
          </w:p>
        </w:tc>
        <w:tc>
          <w:tcPr>
            <w:tcW w:w="7342" w:type="dxa"/>
            <w:vAlign w:val="center"/>
          </w:tcPr>
          <w:p w14:paraId="52E446B2" w14:textId="77777777" w:rsidR="00541529" w:rsidRPr="003158EE" w:rsidRDefault="00541529" w:rsidP="000672D3">
            <w:pPr>
              <w:pStyle w:val="Default"/>
              <w:jc w:val="center"/>
              <w:rPr>
                <w:b/>
                <w:bCs/>
              </w:rPr>
            </w:pPr>
          </w:p>
        </w:tc>
      </w:tr>
      <w:tr w:rsidR="000A1432" w:rsidRPr="003158EE" w14:paraId="4CA8654B" w14:textId="77777777" w:rsidTr="00E93415">
        <w:trPr>
          <w:trHeight w:val="1066"/>
        </w:trPr>
        <w:tc>
          <w:tcPr>
            <w:tcW w:w="952" w:type="dxa"/>
            <w:vAlign w:val="center"/>
          </w:tcPr>
          <w:p w14:paraId="13A87DD7" w14:textId="6B95C8D8" w:rsidR="000A1432" w:rsidRPr="003158EE" w:rsidRDefault="001C5BA5" w:rsidP="000672D3">
            <w:pPr>
              <w:pStyle w:val="Default"/>
              <w:jc w:val="center"/>
            </w:pPr>
            <w:r w:rsidRPr="003158EE">
              <w:lastRenderedPageBreak/>
              <w:t>Art. 1 pkt 2</w:t>
            </w:r>
          </w:p>
        </w:tc>
        <w:tc>
          <w:tcPr>
            <w:tcW w:w="5074" w:type="dxa"/>
            <w:vAlign w:val="center"/>
          </w:tcPr>
          <w:p w14:paraId="41F06464" w14:textId="6F658330" w:rsidR="000A1432" w:rsidRPr="003158EE" w:rsidRDefault="00256CFE" w:rsidP="00256CFE">
            <w:pPr>
              <w:pStyle w:val="ti-art"/>
              <w:spacing w:before="360" w:after="120" w:line="312" w:lineRule="atLeast"/>
              <w:jc w:val="both"/>
              <w:rPr>
                <w:color w:val="444444"/>
              </w:rPr>
            </w:pPr>
            <w:r w:rsidRPr="003158EE">
              <w:rPr>
                <w:color w:val="444444"/>
              </w:rPr>
              <w:t>2) [nie dotyczy polskiej wersji językowej];</w:t>
            </w:r>
          </w:p>
        </w:tc>
        <w:tc>
          <w:tcPr>
            <w:tcW w:w="596" w:type="dxa"/>
            <w:vAlign w:val="center"/>
          </w:tcPr>
          <w:p w14:paraId="3E482E83" w14:textId="2466B28A" w:rsidR="000A1432" w:rsidRPr="003158EE" w:rsidRDefault="00256CFE" w:rsidP="000672D3">
            <w:pPr>
              <w:pStyle w:val="Default"/>
              <w:jc w:val="center"/>
              <w:rPr>
                <w:b/>
                <w:bCs/>
              </w:rPr>
            </w:pPr>
            <w:r w:rsidRPr="003158EE">
              <w:rPr>
                <w:b/>
                <w:bCs/>
              </w:rPr>
              <w:t>N</w:t>
            </w:r>
          </w:p>
        </w:tc>
        <w:tc>
          <w:tcPr>
            <w:tcW w:w="7342" w:type="dxa"/>
            <w:vAlign w:val="center"/>
          </w:tcPr>
          <w:p w14:paraId="722D3DCA" w14:textId="77777777" w:rsidR="000A1432" w:rsidRPr="003158EE" w:rsidRDefault="000A1432" w:rsidP="000672D3">
            <w:pPr>
              <w:pStyle w:val="Default"/>
              <w:jc w:val="center"/>
              <w:rPr>
                <w:b/>
                <w:bCs/>
              </w:rPr>
            </w:pPr>
          </w:p>
        </w:tc>
      </w:tr>
      <w:tr w:rsidR="00256CFE" w:rsidRPr="003158EE" w14:paraId="47330C82" w14:textId="77777777" w:rsidTr="00E93415">
        <w:trPr>
          <w:trHeight w:val="1066"/>
        </w:trPr>
        <w:tc>
          <w:tcPr>
            <w:tcW w:w="952" w:type="dxa"/>
            <w:vAlign w:val="center"/>
          </w:tcPr>
          <w:p w14:paraId="217D0B6F" w14:textId="3302779C" w:rsidR="00256CFE" w:rsidRPr="003158EE" w:rsidRDefault="00256CFE" w:rsidP="000672D3">
            <w:pPr>
              <w:pStyle w:val="Default"/>
              <w:jc w:val="center"/>
            </w:pPr>
            <w:r w:rsidRPr="003158EE">
              <w:t>Art. 1 pkt 3</w:t>
            </w:r>
          </w:p>
        </w:tc>
        <w:tc>
          <w:tcPr>
            <w:tcW w:w="5074" w:type="dxa"/>
            <w:vAlign w:val="center"/>
          </w:tcPr>
          <w:p w14:paraId="552C72B2" w14:textId="0749831D" w:rsidR="00256CFE" w:rsidRPr="003158EE" w:rsidRDefault="00A831A5" w:rsidP="00A831A5">
            <w:pPr>
              <w:pStyle w:val="ti-art"/>
              <w:spacing w:before="360" w:after="120" w:line="312" w:lineRule="atLeast"/>
              <w:jc w:val="both"/>
              <w:rPr>
                <w:color w:val="444444"/>
              </w:rPr>
            </w:pPr>
            <w:r w:rsidRPr="003158EE">
              <w:rPr>
                <w:color w:val="444444"/>
              </w:rPr>
              <w:t>3) w całej dyrektywie, z wyjątkiem przypadków, o których mowa w pkt 1 niniejszego artykułu i w art. 26 niniejszej dyrektywy, wyraz „Wspólnota” zastępuje się wyrazem „Unia” i wprowadza się konieczne zmiany gramatyczne;</w:t>
            </w:r>
          </w:p>
        </w:tc>
        <w:tc>
          <w:tcPr>
            <w:tcW w:w="596" w:type="dxa"/>
            <w:vAlign w:val="center"/>
          </w:tcPr>
          <w:p w14:paraId="2538FA8C" w14:textId="2A37B54C" w:rsidR="00256CFE" w:rsidRPr="003158EE" w:rsidRDefault="00A831A5" w:rsidP="000672D3">
            <w:pPr>
              <w:pStyle w:val="Default"/>
              <w:jc w:val="center"/>
              <w:rPr>
                <w:b/>
                <w:bCs/>
              </w:rPr>
            </w:pPr>
            <w:r w:rsidRPr="003158EE">
              <w:rPr>
                <w:b/>
                <w:bCs/>
              </w:rPr>
              <w:t>N</w:t>
            </w:r>
          </w:p>
        </w:tc>
        <w:tc>
          <w:tcPr>
            <w:tcW w:w="7342" w:type="dxa"/>
            <w:vAlign w:val="center"/>
          </w:tcPr>
          <w:p w14:paraId="15F08535" w14:textId="77777777" w:rsidR="00256CFE" w:rsidRPr="003158EE" w:rsidRDefault="00256CFE" w:rsidP="000672D3">
            <w:pPr>
              <w:pStyle w:val="Default"/>
              <w:jc w:val="center"/>
              <w:rPr>
                <w:b/>
                <w:bCs/>
              </w:rPr>
            </w:pPr>
          </w:p>
        </w:tc>
      </w:tr>
      <w:tr w:rsidR="00A831A5" w:rsidRPr="003158EE" w14:paraId="768B398C" w14:textId="77777777" w:rsidTr="00E93415">
        <w:trPr>
          <w:trHeight w:val="1066"/>
        </w:trPr>
        <w:tc>
          <w:tcPr>
            <w:tcW w:w="952" w:type="dxa"/>
            <w:vAlign w:val="center"/>
          </w:tcPr>
          <w:p w14:paraId="5F15D7F4" w14:textId="2D94C2C7" w:rsidR="00A831A5" w:rsidRPr="003158EE" w:rsidRDefault="00A831A5" w:rsidP="000672D3">
            <w:pPr>
              <w:pStyle w:val="Default"/>
              <w:jc w:val="center"/>
            </w:pPr>
            <w:r w:rsidRPr="003158EE">
              <w:t>Art. 1 pkt 4</w:t>
            </w:r>
          </w:p>
        </w:tc>
        <w:tc>
          <w:tcPr>
            <w:tcW w:w="5074" w:type="dxa"/>
            <w:vAlign w:val="center"/>
          </w:tcPr>
          <w:p w14:paraId="640A8960" w14:textId="0147E5C8" w:rsidR="00A831A5" w:rsidRPr="003158EE" w:rsidRDefault="00036E36" w:rsidP="00036E36">
            <w:pPr>
              <w:pStyle w:val="ti-art"/>
              <w:spacing w:before="360" w:after="120" w:line="312" w:lineRule="atLeast"/>
              <w:jc w:val="both"/>
              <w:rPr>
                <w:color w:val="444444"/>
              </w:rPr>
            </w:pPr>
            <w:r w:rsidRPr="003158EE">
              <w:rPr>
                <w:color w:val="444444"/>
              </w:rPr>
              <w:t>4) w całej dyrektywie wyrazy „procedura regulacyjna, o której mowa w art. 23 ust. 2” zastępuje się wyrazami „procedura sprawdzająca, o której mowa w art. 22a ust. 2”;</w:t>
            </w:r>
          </w:p>
        </w:tc>
        <w:tc>
          <w:tcPr>
            <w:tcW w:w="596" w:type="dxa"/>
            <w:vAlign w:val="center"/>
          </w:tcPr>
          <w:p w14:paraId="03450AA2" w14:textId="3E46E706" w:rsidR="00A831A5" w:rsidRPr="003158EE" w:rsidRDefault="00036E36" w:rsidP="000672D3">
            <w:pPr>
              <w:pStyle w:val="Default"/>
              <w:jc w:val="center"/>
              <w:rPr>
                <w:b/>
                <w:bCs/>
              </w:rPr>
            </w:pPr>
            <w:r w:rsidRPr="003158EE">
              <w:rPr>
                <w:b/>
                <w:bCs/>
              </w:rPr>
              <w:t>N</w:t>
            </w:r>
          </w:p>
        </w:tc>
        <w:tc>
          <w:tcPr>
            <w:tcW w:w="7342" w:type="dxa"/>
            <w:vAlign w:val="center"/>
          </w:tcPr>
          <w:p w14:paraId="0AB5ABC4" w14:textId="77777777" w:rsidR="00A831A5" w:rsidRPr="003158EE" w:rsidRDefault="00A831A5" w:rsidP="000672D3">
            <w:pPr>
              <w:pStyle w:val="Default"/>
              <w:jc w:val="center"/>
              <w:rPr>
                <w:b/>
                <w:bCs/>
              </w:rPr>
            </w:pPr>
          </w:p>
        </w:tc>
      </w:tr>
      <w:tr w:rsidR="000E798F" w:rsidRPr="003158EE" w14:paraId="0B596D24" w14:textId="77777777" w:rsidTr="00E93415">
        <w:trPr>
          <w:trHeight w:val="1066"/>
        </w:trPr>
        <w:tc>
          <w:tcPr>
            <w:tcW w:w="952" w:type="dxa"/>
            <w:vAlign w:val="center"/>
          </w:tcPr>
          <w:p w14:paraId="04F07454" w14:textId="2F2B455F" w:rsidR="000E798F" w:rsidRPr="003158EE" w:rsidRDefault="000E798F" w:rsidP="000672D3">
            <w:pPr>
              <w:pStyle w:val="Default"/>
              <w:jc w:val="center"/>
            </w:pPr>
            <w:r w:rsidRPr="003158EE">
              <w:t>Art. 1 pkt 5</w:t>
            </w:r>
          </w:p>
        </w:tc>
        <w:tc>
          <w:tcPr>
            <w:tcW w:w="5074" w:type="dxa"/>
            <w:vAlign w:val="center"/>
          </w:tcPr>
          <w:p w14:paraId="17AB782F" w14:textId="488BC9AC" w:rsidR="000E798F" w:rsidRPr="003158EE" w:rsidRDefault="0028129A" w:rsidP="0028129A">
            <w:pPr>
              <w:pStyle w:val="ti-art"/>
              <w:spacing w:before="360" w:after="120" w:line="312" w:lineRule="atLeast"/>
              <w:jc w:val="both"/>
              <w:rPr>
                <w:color w:val="444444"/>
              </w:rPr>
            </w:pPr>
            <w:r w:rsidRPr="003158EE">
              <w:rPr>
                <w:color w:val="444444"/>
              </w:rPr>
              <w:t>5) w art. 3c ust. 2 akapit pierwszy i art. 10 ust. 1a odesłanie „art. 13 ust. 1” zastępuje się odesłaniem „art. 13”;</w:t>
            </w:r>
          </w:p>
        </w:tc>
        <w:tc>
          <w:tcPr>
            <w:tcW w:w="596" w:type="dxa"/>
            <w:vAlign w:val="center"/>
          </w:tcPr>
          <w:p w14:paraId="282E695C" w14:textId="35C49D75" w:rsidR="000E798F" w:rsidRPr="003158EE" w:rsidRDefault="0028129A" w:rsidP="000672D3">
            <w:pPr>
              <w:pStyle w:val="Default"/>
              <w:jc w:val="center"/>
              <w:rPr>
                <w:b/>
                <w:bCs/>
              </w:rPr>
            </w:pPr>
            <w:r w:rsidRPr="003158EE">
              <w:rPr>
                <w:b/>
                <w:bCs/>
              </w:rPr>
              <w:t>N</w:t>
            </w:r>
          </w:p>
        </w:tc>
        <w:tc>
          <w:tcPr>
            <w:tcW w:w="7342" w:type="dxa"/>
            <w:vAlign w:val="center"/>
          </w:tcPr>
          <w:p w14:paraId="178CB070" w14:textId="77777777" w:rsidR="000E798F" w:rsidRPr="003158EE" w:rsidRDefault="000E798F" w:rsidP="000672D3">
            <w:pPr>
              <w:pStyle w:val="Default"/>
              <w:jc w:val="center"/>
              <w:rPr>
                <w:b/>
                <w:bCs/>
              </w:rPr>
            </w:pPr>
          </w:p>
        </w:tc>
      </w:tr>
      <w:tr w:rsidR="0028129A" w:rsidRPr="003158EE" w14:paraId="2E53A620" w14:textId="77777777" w:rsidTr="00E93415">
        <w:trPr>
          <w:trHeight w:val="1066"/>
        </w:trPr>
        <w:tc>
          <w:tcPr>
            <w:tcW w:w="952" w:type="dxa"/>
            <w:vAlign w:val="center"/>
          </w:tcPr>
          <w:p w14:paraId="57348142" w14:textId="7171DD2A" w:rsidR="0028129A" w:rsidRPr="003158EE" w:rsidRDefault="0028129A" w:rsidP="000672D3">
            <w:pPr>
              <w:pStyle w:val="Default"/>
              <w:jc w:val="center"/>
            </w:pPr>
            <w:r w:rsidRPr="003158EE">
              <w:t>Art. 1 pkt 6</w:t>
            </w:r>
          </w:p>
        </w:tc>
        <w:tc>
          <w:tcPr>
            <w:tcW w:w="5074" w:type="dxa"/>
            <w:vAlign w:val="center"/>
          </w:tcPr>
          <w:p w14:paraId="144FB711" w14:textId="53A712C1" w:rsidR="0028129A" w:rsidRPr="003158EE" w:rsidRDefault="0028129A" w:rsidP="0028129A">
            <w:pPr>
              <w:pStyle w:val="ti-art"/>
              <w:spacing w:before="360" w:after="120" w:line="312" w:lineRule="atLeast"/>
              <w:jc w:val="both"/>
              <w:rPr>
                <w:color w:val="444444"/>
              </w:rPr>
            </w:pPr>
            <w:r w:rsidRPr="003158EE">
              <w:rPr>
                <w:color w:val="444444"/>
              </w:rPr>
              <w:t>6) w art. 3g, art. 5 akapit pierwszy lit. d), art. 6 ust. 2 lit. c), art. 10a ust. 2 akapit drugi, art. 14 ust. 2, 3 i 4, art. 19 ust. 1 i 4, art. 24 ust. 3 akapit pierwszy oraz w art. 29a ust. 4 wyraz „rozporządzenie” zastępuje się wyrazem „akty” i wprowadza się konieczne zmiany gramatyczne;</w:t>
            </w:r>
          </w:p>
        </w:tc>
        <w:tc>
          <w:tcPr>
            <w:tcW w:w="596" w:type="dxa"/>
            <w:vAlign w:val="center"/>
          </w:tcPr>
          <w:p w14:paraId="512EC4D7" w14:textId="4B875559" w:rsidR="0028129A" w:rsidRPr="003158EE" w:rsidRDefault="0028129A" w:rsidP="000672D3">
            <w:pPr>
              <w:pStyle w:val="Default"/>
              <w:jc w:val="center"/>
              <w:rPr>
                <w:b/>
                <w:bCs/>
              </w:rPr>
            </w:pPr>
            <w:r w:rsidRPr="003158EE">
              <w:rPr>
                <w:b/>
                <w:bCs/>
              </w:rPr>
              <w:t>N</w:t>
            </w:r>
          </w:p>
        </w:tc>
        <w:tc>
          <w:tcPr>
            <w:tcW w:w="7342" w:type="dxa"/>
            <w:vAlign w:val="center"/>
          </w:tcPr>
          <w:p w14:paraId="0A4258C1" w14:textId="77777777" w:rsidR="0028129A" w:rsidRPr="003158EE" w:rsidRDefault="0028129A" w:rsidP="000672D3">
            <w:pPr>
              <w:pStyle w:val="Default"/>
              <w:jc w:val="center"/>
              <w:rPr>
                <w:b/>
                <w:bCs/>
              </w:rPr>
            </w:pPr>
          </w:p>
        </w:tc>
      </w:tr>
      <w:tr w:rsidR="00541529" w:rsidRPr="003158EE" w14:paraId="153FD9DE" w14:textId="77777777" w:rsidTr="00E93415">
        <w:trPr>
          <w:trHeight w:val="1066"/>
        </w:trPr>
        <w:tc>
          <w:tcPr>
            <w:tcW w:w="952" w:type="dxa"/>
            <w:vAlign w:val="center"/>
          </w:tcPr>
          <w:p w14:paraId="35BB777E" w14:textId="1BD65E5D" w:rsidR="00541529" w:rsidRPr="003158EE" w:rsidRDefault="00541529" w:rsidP="000672D3">
            <w:pPr>
              <w:pStyle w:val="Default"/>
              <w:jc w:val="center"/>
            </w:pPr>
            <w:r w:rsidRPr="003158EE">
              <w:t>Art. 1 pkt 7</w:t>
            </w:r>
          </w:p>
        </w:tc>
        <w:tc>
          <w:tcPr>
            <w:tcW w:w="5074" w:type="dxa"/>
            <w:vAlign w:val="center"/>
          </w:tcPr>
          <w:p w14:paraId="23A853A4" w14:textId="77777777" w:rsidR="00541529" w:rsidRPr="003158EE" w:rsidRDefault="00541529" w:rsidP="00541529">
            <w:pPr>
              <w:pStyle w:val="Normalny6"/>
              <w:spacing w:before="120" w:beforeAutospacing="0" w:after="0" w:afterAutospacing="0" w:line="312" w:lineRule="atLeast"/>
              <w:jc w:val="both"/>
              <w:rPr>
                <w:color w:val="444444"/>
              </w:rPr>
            </w:pPr>
            <w:r w:rsidRPr="003158EE">
              <w:rPr>
                <w:color w:val="444444"/>
              </w:rPr>
              <w:t>art. 3 lit. h) otrzymuje brzmienie:</w:t>
            </w:r>
          </w:p>
          <w:tbl>
            <w:tblPr>
              <w:tblW w:w="5000" w:type="pct"/>
              <w:tblLayout w:type="fixed"/>
              <w:tblCellMar>
                <w:left w:w="0" w:type="dxa"/>
                <w:right w:w="0" w:type="dxa"/>
              </w:tblCellMar>
              <w:tblLook w:val="04A0" w:firstRow="1" w:lastRow="0" w:firstColumn="1" w:lastColumn="0" w:noHBand="0" w:noVBand="1"/>
            </w:tblPr>
            <w:tblGrid>
              <w:gridCol w:w="175"/>
              <w:gridCol w:w="4683"/>
            </w:tblGrid>
            <w:tr w:rsidR="00541529" w:rsidRPr="003158EE" w14:paraId="32321F98" w14:textId="77777777" w:rsidTr="00541529">
              <w:tc>
                <w:tcPr>
                  <w:tcW w:w="311" w:type="dxa"/>
                  <w:shd w:val="clear" w:color="auto" w:fill="auto"/>
                  <w:hideMark/>
                </w:tcPr>
                <w:p w14:paraId="0B9D7EB1" w14:textId="44723273" w:rsidR="00541529" w:rsidRPr="003158EE" w:rsidRDefault="00541529" w:rsidP="00541529">
                  <w:pPr>
                    <w:pStyle w:val="Normalny6"/>
                    <w:spacing w:before="120" w:beforeAutospacing="0" w:after="0" w:afterAutospacing="0" w:line="312" w:lineRule="atLeast"/>
                    <w:jc w:val="both"/>
                    <w:rPr>
                      <w:color w:val="444444"/>
                    </w:rPr>
                  </w:pPr>
                  <w:r w:rsidRPr="003158EE">
                    <w:rPr>
                      <w:color w:val="444444"/>
                    </w:rPr>
                    <w:t>„</w:t>
                  </w:r>
                </w:p>
              </w:tc>
              <w:tc>
                <w:tcPr>
                  <w:tcW w:w="8761" w:type="dxa"/>
                  <w:shd w:val="clear" w:color="auto" w:fill="auto"/>
                  <w:hideMark/>
                </w:tcPr>
                <w:p w14:paraId="3412040C" w14:textId="14FC1056" w:rsidR="00541529" w:rsidRPr="003158EE" w:rsidRDefault="00C42E5B" w:rsidP="00541529">
                  <w:pPr>
                    <w:pStyle w:val="Normalny6"/>
                    <w:spacing w:before="120" w:beforeAutospacing="0" w:after="0" w:afterAutospacing="0" w:line="312" w:lineRule="atLeast"/>
                    <w:jc w:val="both"/>
                    <w:rPr>
                      <w:color w:val="444444"/>
                    </w:rPr>
                  </w:pPr>
                  <w:r w:rsidRPr="003158EE">
                    <w:rPr>
                      <w:color w:val="444444"/>
                    </w:rPr>
                    <w:t xml:space="preserve">h) </w:t>
                  </w:r>
                  <w:r w:rsidR="00541529" w:rsidRPr="003158EE">
                    <w:rPr>
                      <w:color w:val="444444"/>
                    </w:rPr>
                    <w:t xml:space="preserve">»nowa instalacja« oznacza każdą instalację prowadzącą co najmniej jedno działanie wymienione w załączniku I, która to instalacja uzyskała zezwolenie na emisję gazów cieplarnianych po raz pierwszy w okresie </w:t>
                  </w:r>
                  <w:r w:rsidR="00541529" w:rsidRPr="003158EE">
                    <w:rPr>
                      <w:color w:val="444444"/>
                    </w:rPr>
                    <w:lastRenderedPageBreak/>
                    <w:t>rozpoczynającym się trzy miesiące przed terminem przedłożenia wykazu zgodnie z art. 11 ust. 1 i kończącym się trzy miesiące przed terminem przedłożenia kolejnego wykazu zgodnie z tym artykułem;”;</w:t>
                  </w:r>
                </w:p>
              </w:tc>
            </w:tr>
          </w:tbl>
          <w:p w14:paraId="73E3E0E1" w14:textId="77777777" w:rsidR="00541529" w:rsidRPr="003158EE" w:rsidRDefault="00541529" w:rsidP="00541529">
            <w:pPr>
              <w:pStyle w:val="ti-art"/>
              <w:spacing w:before="360" w:beforeAutospacing="0" w:after="120" w:afterAutospacing="0" w:line="312" w:lineRule="atLeast"/>
              <w:jc w:val="center"/>
              <w:rPr>
                <w:i/>
                <w:iCs/>
                <w:color w:val="444444"/>
              </w:rPr>
            </w:pPr>
          </w:p>
        </w:tc>
        <w:tc>
          <w:tcPr>
            <w:tcW w:w="596" w:type="dxa"/>
            <w:vAlign w:val="center"/>
          </w:tcPr>
          <w:p w14:paraId="08371C37" w14:textId="5F1F2532" w:rsidR="00541529" w:rsidRPr="003158EE" w:rsidRDefault="00541529" w:rsidP="000672D3">
            <w:pPr>
              <w:pStyle w:val="Default"/>
              <w:jc w:val="center"/>
              <w:rPr>
                <w:b/>
                <w:bCs/>
              </w:rPr>
            </w:pPr>
            <w:r w:rsidRPr="003158EE">
              <w:rPr>
                <w:b/>
                <w:bCs/>
              </w:rPr>
              <w:lastRenderedPageBreak/>
              <w:t>T</w:t>
            </w:r>
          </w:p>
        </w:tc>
        <w:tc>
          <w:tcPr>
            <w:tcW w:w="7342" w:type="dxa"/>
            <w:vAlign w:val="center"/>
          </w:tcPr>
          <w:p w14:paraId="683553DE" w14:textId="77777777" w:rsidR="00F434FA" w:rsidRDefault="00F434FA" w:rsidP="00F434FA">
            <w:pPr>
              <w:pStyle w:val="ZLITPKTzmpktliter"/>
              <w:spacing w:line="276" w:lineRule="auto"/>
              <w:ind w:left="0" w:firstLine="0"/>
            </w:pPr>
            <w:r>
              <w:t>Art. 1 pkt 2 lit b</w:t>
            </w:r>
          </w:p>
          <w:p w14:paraId="1BD0D813" w14:textId="1305FFDC" w:rsidR="006E2F0C" w:rsidRDefault="006E2F0C" w:rsidP="00F434FA">
            <w:pPr>
              <w:pStyle w:val="ZLITPKTzmpktliter"/>
              <w:spacing w:line="276" w:lineRule="auto"/>
              <w:ind w:left="0" w:firstLine="0"/>
            </w:pPr>
            <w:r>
              <w:t>W art. 3 pkt 8 otrzymuje brzmienie</w:t>
            </w:r>
          </w:p>
          <w:p w14:paraId="505E70EC" w14:textId="4E2FD37A" w:rsidR="006E2F0C" w:rsidRDefault="006E2F0C" w:rsidP="00F434FA">
            <w:pPr>
              <w:pStyle w:val="ZLITPKTzmpktliter"/>
              <w:spacing w:line="276" w:lineRule="auto"/>
              <w:ind w:left="987" w:firstLine="0"/>
            </w:pPr>
            <w:r w:rsidRPr="000C4380">
              <w:t xml:space="preserve">„8) instalacji nowej </w:t>
            </w:r>
            <w:r>
              <w:t>-</w:t>
            </w:r>
            <w:r w:rsidRPr="000C4380">
              <w:t xml:space="preserve"> rozumie się przez to instalację, która po raz pierwszy uzyskała zezwolenie na emisję gazów cieplarnianych w okresie rozpoczynającym się trzy miesiące przed terminem przedłożenia wykazu</w:t>
            </w:r>
            <w:r>
              <w:t>,</w:t>
            </w:r>
            <w:r w:rsidRPr="000C4380">
              <w:t xml:space="preserve"> o którym mowa w art. 26d ust. 3 i </w:t>
            </w:r>
            <w:r w:rsidRPr="000C4380">
              <w:lastRenderedPageBreak/>
              <w:t xml:space="preserve">kończącym się trzy miesiące przed terminem przedłożenia </w:t>
            </w:r>
            <w:bookmarkStart w:id="1" w:name="mip43351208"/>
            <w:bookmarkStart w:id="2" w:name="mip43351259"/>
            <w:bookmarkStart w:id="3" w:name="mip43351260"/>
            <w:bookmarkStart w:id="4" w:name="mip43351261"/>
            <w:bookmarkStart w:id="5" w:name="mip42773706"/>
            <w:bookmarkStart w:id="6" w:name="mip42773707"/>
            <w:bookmarkStart w:id="7" w:name="mip42773708"/>
            <w:bookmarkStart w:id="8" w:name="mip42773709"/>
            <w:bookmarkStart w:id="9" w:name="highlightHit_20"/>
            <w:bookmarkEnd w:id="1"/>
            <w:bookmarkEnd w:id="2"/>
            <w:bookmarkEnd w:id="3"/>
            <w:bookmarkEnd w:id="4"/>
            <w:bookmarkEnd w:id="5"/>
            <w:bookmarkEnd w:id="6"/>
            <w:bookmarkEnd w:id="7"/>
            <w:bookmarkEnd w:id="8"/>
            <w:bookmarkEnd w:id="9"/>
            <w:r w:rsidRPr="000C4380">
              <w:t>kolejnego</w:t>
            </w:r>
            <w:r>
              <w:t>;</w:t>
            </w:r>
            <w:r w:rsidRPr="002D28A4">
              <w:t>”</w:t>
            </w:r>
            <w:r>
              <w:t>;</w:t>
            </w:r>
          </w:p>
          <w:p w14:paraId="5AD7458C" w14:textId="77777777" w:rsidR="008F3D81" w:rsidRPr="001209CD" w:rsidRDefault="008F3D81" w:rsidP="008F3D81">
            <w:pPr>
              <w:spacing w:before="100" w:beforeAutospacing="1" w:after="100" w:afterAutospacing="1"/>
            </w:pPr>
            <w:r w:rsidRPr="001209CD">
              <w:t> </w:t>
            </w:r>
          </w:p>
          <w:p w14:paraId="454222DA" w14:textId="25E55D62" w:rsidR="008F3D81" w:rsidRPr="003158EE" w:rsidRDefault="008F3D81" w:rsidP="00541529">
            <w:pPr>
              <w:pStyle w:val="Default"/>
              <w:jc w:val="both"/>
            </w:pPr>
          </w:p>
        </w:tc>
      </w:tr>
      <w:tr w:rsidR="00470831" w:rsidRPr="003158EE" w14:paraId="571A2283" w14:textId="77777777" w:rsidTr="00E93415">
        <w:trPr>
          <w:trHeight w:val="1066"/>
        </w:trPr>
        <w:tc>
          <w:tcPr>
            <w:tcW w:w="952" w:type="dxa"/>
            <w:vAlign w:val="center"/>
          </w:tcPr>
          <w:p w14:paraId="70AFBD72" w14:textId="60DF4749" w:rsidR="00470831" w:rsidRPr="003158EE" w:rsidRDefault="00470831" w:rsidP="000672D3">
            <w:pPr>
              <w:pStyle w:val="Default"/>
              <w:jc w:val="center"/>
            </w:pPr>
            <w:r w:rsidRPr="003158EE">
              <w:lastRenderedPageBreak/>
              <w:t xml:space="preserve">Art. 1 pkt 8 </w:t>
            </w:r>
          </w:p>
        </w:tc>
        <w:tc>
          <w:tcPr>
            <w:tcW w:w="5074" w:type="dxa"/>
            <w:vAlign w:val="center"/>
          </w:tcPr>
          <w:tbl>
            <w:tblPr>
              <w:tblW w:w="5000" w:type="pct"/>
              <w:tblLayout w:type="fixed"/>
              <w:tblCellMar>
                <w:left w:w="0" w:type="dxa"/>
                <w:right w:w="0" w:type="dxa"/>
              </w:tblCellMar>
              <w:tblLook w:val="04A0" w:firstRow="1" w:lastRow="0" w:firstColumn="1" w:lastColumn="0" w:noHBand="0" w:noVBand="1"/>
            </w:tblPr>
            <w:tblGrid>
              <w:gridCol w:w="129"/>
              <w:gridCol w:w="4729"/>
            </w:tblGrid>
            <w:tr w:rsidR="00470831" w:rsidRPr="003158EE" w14:paraId="7D3D2D19" w14:textId="77777777" w:rsidTr="00470831">
              <w:tc>
                <w:tcPr>
                  <w:tcW w:w="225" w:type="dxa"/>
                  <w:shd w:val="clear" w:color="auto" w:fill="auto"/>
                  <w:hideMark/>
                </w:tcPr>
                <w:p w14:paraId="33420EFF" w14:textId="4DED19D8" w:rsidR="00470831" w:rsidRPr="003158EE" w:rsidRDefault="00470831" w:rsidP="00470831">
                  <w:pPr>
                    <w:pStyle w:val="Normalny7"/>
                    <w:spacing w:before="120" w:beforeAutospacing="0" w:after="0" w:afterAutospacing="0" w:line="312" w:lineRule="atLeast"/>
                    <w:jc w:val="both"/>
                    <w:rPr>
                      <w:color w:val="444444"/>
                    </w:rPr>
                  </w:pPr>
                </w:p>
              </w:tc>
              <w:tc>
                <w:tcPr>
                  <w:tcW w:w="8847" w:type="dxa"/>
                  <w:shd w:val="clear" w:color="auto" w:fill="auto"/>
                  <w:hideMark/>
                </w:tcPr>
                <w:p w14:paraId="0846262E" w14:textId="404D7583" w:rsidR="00470831" w:rsidRPr="003158EE" w:rsidRDefault="0060266B" w:rsidP="00470831">
                  <w:pPr>
                    <w:pStyle w:val="Normalny7"/>
                    <w:spacing w:before="120" w:beforeAutospacing="0" w:after="0" w:afterAutospacing="0" w:line="312" w:lineRule="atLeast"/>
                    <w:jc w:val="both"/>
                    <w:rPr>
                      <w:color w:val="444444"/>
                    </w:rPr>
                  </w:pPr>
                  <w:r w:rsidRPr="003158EE">
                    <w:rPr>
                      <w:color w:val="444444"/>
                    </w:rPr>
                    <w:t xml:space="preserve">8) </w:t>
                  </w:r>
                  <w:r w:rsidR="00470831" w:rsidRPr="003158EE">
                    <w:rPr>
                      <w:color w:val="444444"/>
                    </w:rPr>
                    <w:t>art. 3d ust. 3 otrzymuje brzmienie:</w:t>
                  </w:r>
                </w:p>
                <w:p w14:paraId="06336883" w14:textId="77777777" w:rsidR="00470831" w:rsidRPr="003158EE" w:rsidRDefault="00470831" w:rsidP="00470831">
                  <w:pPr>
                    <w:pStyle w:val="Normalny7"/>
                    <w:spacing w:before="120" w:beforeAutospacing="0" w:after="0" w:afterAutospacing="0" w:line="312" w:lineRule="atLeast"/>
                    <w:jc w:val="both"/>
                    <w:rPr>
                      <w:color w:val="444444"/>
                    </w:rPr>
                  </w:pPr>
                  <w:r w:rsidRPr="003158EE">
                    <w:rPr>
                      <w:color w:val="444444"/>
                    </w:rPr>
                    <w:t xml:space="preserve">„3.   Komisja jest uprawniona do przyjmowania zgodnie z art. 23 aktów delegowanych w celu uzupełnienia niniejszej dyrektywy w zakresie szczegółowych ustaleń w sprawie sprzedaży aukcyjnej uprawnień dla lotnictwa przez państwa członkowskie, zgodnie z ust. 1 i 2 niniejszego artykułu lub art. 3f ust. 8. Liczba uprawnień, które w każdym okresie mają zostać sprzedane na aukcji przez każde państwo członkowskie, jest proporcjonalna do udziału tego państwa w łącznej ilości emisji dla lotnictwa przypisanych dla wszystkich państw członkowskich na dany rok odniesienia, raportowanych zgodnie z art. 14 ust. 3 i weryfikowanych zgodnie z art. 15. Dla okresu, o którym mowa w art. 3c ust. 1, rokiem odniesienia jest rok 2010, a dla każdego następnego okresu, o którym mowa w art. 3c, rokiem odniesienia jest rok kalendarzowy kończący się 24 miesiące przed początkiem okresu, do którego odnosi się sprzedaż aukcyjna. Akty delegowane zapewniają poszanowanie </w:t>
                  </w:r>
                  <w:r w:rsidRPr="003158EE">
                    <w:rPr>
                      <w:color w:val="444444"/>
                    </w:rPr>
                    <w:lastRenderedPageBreak/>
                    <w:t>zasad określonych w art. 10 ust. 4 akapit pierwszy.”;</w:t>
                  </w:r>
                </w:p>
              </w:tc>
            </w:tr>
          </w:tbl>
          <w:p w14:paraId="2EF80B2C" w14:textId="77777777" w:rsidR="00470831" w:rsidRPr="003158EE" w:rsidRDefault="00470831" w:rsidP="00470831">
            <w:pPr>
              <w:rPr>
                <w:vanish/>
              </w:rPr>
            </w:pPr>
          </w:p>
          <w:p w14:paraId="2103A4C5" w14:textId="77777777" w:rsidR="00470831" w:rsidRPr="003158EE" w:rsidRDefault="00470831" w:rsidP="00541529">
            <w:pPr>
              <w:pStyle w:val="Normalny6"/>
              <w:spacing w:before="120" w:beforeAutospacing="0" w:after="0" w:afterAutospacing="0" w:line="312" w:lineRule="atLeast"/>
              <w:jc w:val="both"/>
              <w:rPr>
                <w:color w:val="444444"/>
              </w:rPr>
            </w:pPr>
          </w:p>
        </w:tc>
        <w:tc>
          <w:tcPr>
            <w:tcW w:w="596" w:type="dxa"/>
            <w:vAlign w:val="center"/>
          </w:tcPr>
          <w:p w14:paraId="23D4D1D7" w14:textId="48580776" w:rsidR="00470831" w:rsidRPr="003158EE" w:rsidRDefault="00470831" w:rsidP="000672D3">
            <w:pPr>
              <w:pStyle w:val="Default"/>
              <w:jc w:val="center"/>
              <w:rPr>
                <w:b/>
                <w:bCs/>
              </w:rPr>
            </w:pPr>
            <w:r w:rsidRPr="003158EE">
              <w:rPr>
                <w:b/>
                <w:bCs/>
              </w:rPr>
              <w:lastRenderedPageBreak/>
              <w:t>N</w:t>
            </w:r>
          </w:p>
        </w:tc>
        <w:tc>
          <w:tcPr>
            <w:tcW w:w="7342" w:type="dxa"/>
            <w:vAlign w:val="center"/>
          </w:tcPr>
          <w:p w14:paraId="3682E864" w14:textId="77777777" w:rsidR="00470831" w:rsidRPr="003158EE" w:rsidRDefault="00470831" w:rsidP="00541529">
            <w:pPr>
              <w:pStyle w:val="Default"/>
              <w:jc w:val="both"/>
            </w:pPr>
          </w:p>
        </w:tc>
      </w:tr>
      <w:tr w:rsidR="0060266B" w:rsidRPr="003158EE" w14:paraId="71CBB5E0" w14:textId="77777777" w:rsidTr="00E93415">
        <w:trPr>
          <w:trHeight w:val="1066"/>
        </w:trPr>
        <w:tc>
          <w:tcPr>
            <w:tcW w:w="952" w:type="dxa"/>
            <w:vAlign w:val="center"/>
          </w:tcPr>
          <w:p w14:paraId="076F9986" w14:textId="0EC5D103" w:rsidR="0060266B" w:rsidRPr="003158EE" w:rsidRDefault="0060266B" w:rsidP="000672D3">
            <w:pPr>
              <w:pStyle w:val="Default"/>
              <w:jc w:val="center"/>
            </w:pPr>
            <w:r w:rsidRPr="003158EE">
              <w:lastRenderedPageBreak/>
              <w:t>Art. 1 pkt 9</w:t>
            </w:r>
          </w:p>
        </w:tc>
        <w:tc>
          <w:tcPr>
            <w:tcW w:w="5074" w:type="dxa"/>
            <w:vAlign w:val="center"/>
          </w:tcPr>
          <w:p w14:paraId="5F615A62" w14:textId="09FF761C" w:rsidR="0060266B" w:rsidRPr="003158EE" w:rsidRDefault="0060266B" w:rsidP="00470831">
            <w:pPr>
              <w:pStyle w:val="Normalny7"/>
              <w:spacing w:before="120" w:beforeAutospacing="0" w:after="0" w:afterAutospacing="0" w:line="312" w:lineRule="atLeast"/>
              <w:jc w:val="both"/>
              <w:rPr>
                <w:color w:val="444444"/>
              </w:rPr>
            </w:pPr>
            <w:r w:rsidRPr="003158EE">
              <w:rPr>
                <w:color w:val="444444"/>
              </w:rPr>
              <w:t>9) skreśla się art. 3f ust. 9;</w:t>
            </w:r>
          </w:p>
        </w:tc>
        <w:tc>
          <w:tcPr>
            <w:tcW w:w="596" w:type="dxa"/>
            <w:vAlign w:val="center"/>
          </w:tcPr>
          <w:p w14:paraId="34D53DFD" w14:textId="2862B7F6" w:rsidR="0060266B" w:rsidRPr="003158EE" w:rsidRDefault="0060266B" w:rsidP="000672D3">
            <w:pPr>
              <w:pStyle w:val="Default"/>
              <w:jc w:val="center"/>
              <w:rPr>
                <w:b/>
                <w:bCs/>
              </w:rPr>
            </w:pPr>
            <w:r w:rsidRPr="003158EE">
              <w:rPr>
                <w:b/>
                <w:bCs/>
              </w:rPr>
              <w:t>N</w:t>
            </w:r>
          </w:p>
        </w:tc>
        <w:tc>
          <w:tcPr>
            <w:tcW w:w="7342" w:type="dxa"/>
            <w:vAlign w:val="center"/>
          </w:tcPr>
          <w:p w14:paraId="73B7EB53" w14:textId="77777777" w:rsidR="0060266B" w:rsidRPr="003158EE" w:rsidRDefault="0060266B" w:rsidP="00541529">
            <w:pPr>
              <w:pStyle w:val="Default"/>
              <w:jc w:val="both"/>
            </w:pPr>
          </w:p>
        </w:tc>
      </w:tr>
      <w:tr w:rsidR="00470831" w:rsidRPr="003158EE" w14:paraId="71CA421C" w14:textId="77777777" w:rsidTr="00E93415">
        <w:trPr>
          <w:trHeight w:val="1066"/>
        </w:trPr>
        <w:tc>
          <w:tcPr>
            <w:tcW w:w="952" w:type="dxa"/>
            <w:vAlign w:val="center"/>
          </w:tcPr>
          <w:p w14:paraId="07F35DDF" w14:textId="18FDDFBE" w:rsidR="00470831" w:rsidRPr="003158EE" w:rsidRDefault="00832103" w:rsidP="000672D3">
            <w:pPr>
              <w:pStyle w:val="Default"/>
              <w:jc w:val="center"/>
            </w:pPr>
            <w:r w:rsidRPr="003158EE">
              <w:t>Art. 1 pkt 10</w:t>
            </w:r>
          </w:p>
        </w:tc>
        <w:tc>
          <w:tcPr>
            <w:tcW w:w="5074" w:type="dxa"/>
            <w:vAlign w:val="center"/>
          </w:tcPr>
          <w:tbl>
            <w:tblPr>
              <w:tblW w:w="5000" w:type="pct"/>
              <w:tblLayout w:type="fixed"/>
              <w:tblCellMar>
                <w:left w:w="0" w:type="dxa"/>
                <w:right w:w="0" w:type="dxa"/>
              </w:tblCellMar>
              <w:tblLook w:val="04A0" w:firstRow="1" w:lastRow="0" w:firstColumn="1" w:lastColumn="0" w:noHBand="0" w:noVBand="1"/>
            </w:tblPr>
            <w:tblGrid>
              <w:gridCol w:w="417"/>
              <w:gridCol w:w="4441"/>
            </w:tblGrid>
            <w:tr w:rsidR="004C40F4" w:rsidRPr="003158EE" w14:paraId="18373687" w14:textId="77777777" w:rsidTr="004C40F4">
              <w:tc>
                <w:tcPr>
                  <w:tcW w:w="765" w:type="dxa"/>
                  <w:shd w:val="clear" w:color="auto" w:fill="auto"/>
                  <w:hideMark/>
                </w:tcPr>
                <w:p w14:paraId="0B8C6778" w14:textId="77777777" w:rsidR="004C40F4" w:rsidRPr="003158EE" w:rsidRDefault="004C40F4" w:rsidP="004C40F4">
                  <w:pPr>
                    <w:spacing w:before="120" w:line="312" w:lineRule="atLeast"/>
                    <w:jc w:val="both"/>
                    <w:rPr>
                      <w:color w:val="444444"/>
                    </w:rPr>
                  </w:pPr>
                  <w:r w:rsidRPr="003158EE">
                    <w:rPr>
                      <w:color w:val="444444"/>
                    </w:rPr>
                    <w:t>10)</w:t>
                  </w:r>
                </w:p>
              </w:tc>
              <w:tc>
                <w:tcPr>
                  <w:tcW w:w="8307" w:type="dxa"/>
                  <w:shd w:val="clear" w:color="auto" w:fill="auto"/>
                  <w:hideMark/>
                </w:tcPr>
                <w:p w14:paraId="246A2C6E" w14:textId="77777777" w:rsidR="004C40F4" w:rsidRPr="003158EE" w:rsidRDefault="004C40F4" w:rsidP="004C40F4">
                  <w:pPr>
                    <w:spacing w:before="120" w:line="312" w:lineRule="atLeast"/>
                    <w:jc w:val="both"/>
                    <w:rPr>
                      <w:color w:val="444444"/>
                    </w:rPr>
                  </w:pPr>
                  <w:r w:rsidRPr="003158EE">
                    <w:rPr>
                      <w:color w:val="444444"/>
                    </w:rPr>
                    <w:t>w art. 6 ust. 1 skreśla się akapit trzeci;</w:t>
                  </w:r>
                </w:p>
              </w:tc>
            </w:tr>
          </w:tbl>
          <w:p w14:paraId="1E64D91B" w14:textId="77777777" w:rsidR="00470831" w:rsidRPr="003158EE" w:rsidRDefault="00470831" w:rsidP="00470831">
            <w:pPr>
              <w:pStyle w:val="Normalny7"/>
              <w:spacing w:before="120" w:beforeAutospacing="0" w:after="0" w:afterAutospacing="0" w:line="312" w:lineRule="atLeast"/>
              <w:jc w:val="both"/>
              <w:rPr>
                <w:color w:val="444444"/>
              </w:rPr>
            </w:pPr>
          </w:p>
        </w:tc>
        <w:tc>
          <w:tcPr>
            <w:tcW w:w="596" w:type="dxa"/>
            <w:vAlign w:val="center"/>
          </w:tcPr>
          <w:p w14:paraId="1DE990EA" w14:textId="1DC8FD20" w:rsidR="00470831" w:rsidRPr="003158EE" w:rsidRDefault="003158EE" w:rsidP="000672D3">
            <w:pPr>
              <w:pStyle w:val="Default"/>
              <w:jc w:val="center"/>
              <w:rPr>
                <w:b/>
                <w:bCs/>
              </w:rPr>
            </w:pPr>
            <w:r>
              <w:rPr>
                <w:b/>
                <w:bCs/>
              </w:rPr>
              <w:t>T</w:t>
            </w:r>
          </w:p>
        </w:tc>
        <w:tc>
          <w:tcPr>
            <w:tcW w:w="7342" w:type="dxa"/>
            <w:vAlign w:val="center"/>
          </w:tcPr>
          <w:p w14:paraId="76C57E06" w14:textId="77777777" w:rsidR="006E2F0C" w:rsidRPr="006E2F0C" w:rsidRDefault="006E2F0C" w:rsidP="006E2F0C">
            <w:pPr>
              <w:pStyle w:val="PKTpunkt"/>
              <w:spacing w:line="276" w:lineRule="auto"/>
              <w:rPr>
                <w:sz w:val="24"/>
                <w:szCs w:val="24"/>
                <w:lang w:eastAsia="en-US"/>
              </w:rPr>
            </w:pPr>
            <w:r w:rsidRPr="006E2F0C">
              <w:rPr>
                <w:sz w:val="24"/>
                <w:szCs w:val="24"/>
                <w:lang w:eastAsia="en-US"/>
              </w:rPr>
              <w:t>Art. 1 pkt 22</w:t>
            </w:r>
          </w:p>
          <w:p w14:paraId="505CC5E0" w14:textId="40E0450B" w:rsidR="006E2F0C" w:rsidRPr="006E2F0C" w:rsidRDefault="006E2F0C" w:rsidP="006E2F0C">
            <w:pPr>
              <w:pStyle w:val="PKTpunkt"/>
              <w:spacing w:line="276" w:lineRule="auto"/>
              <w:rPr>
                <w:sz w:val="24"/>
                <w:szCs w:val="24"/>
                <w:lang w:eastAsia="en-US"/>
              </w:rPr>
            </w:pPr>
            <w:r w:rsidRPr="006E2F0C">
              <w:rPr>
                <w:sz w:val="24"/>
                <w:szCs w:val="24"/>
                <w:lang w:eastAsia="en-US"/>
              </w:rPr>
              <w:t>w art. 56</w:t>
            </w:r>
            <w:r w:rsidRPr="006E2F0C">
              <w:rPr>
                <w:sz w:val="24"/>
                <w:szCs w:val="24"/>
              </w:rPr>
              <w:t>:</w:t>
            </w:r>
          </w:p>
          <w:p w14:paraId="122010AC" w14:textId="77777777" w:rsidR="006E2F0C" w:rsidRPr="006E2F0C" w:rsidRDefault="006E2F0C" w:rsidP="006E2F0C">
            <w:pPr>
              <w:pStyle w:val="LITlitera"/>
              <w:spacing w:line="276" w:lineRule="auto"/>
              <w:rPr>
                <w:sz w:val="24"/>
                <w:szCs w:val="24"/>
                <w:lang w:eastAsia="en-US"/>
              </w:rPr>
            </w:pPr>
            <w:r w:rsidRPr="006E2F0C">
              <w:rPr>
                <w:sz w:val="24"/>
                <w:szCs w:val="24"/>
              </w:rPr>
              <w:t xml:space="preserve">a) </w:t>
            </w:r>
            <w:r w:rsidRPr="006E2F0C">
              <w:rPr>
                <w:sz w:val="24"/>
                <w:szCs w:val="24"/>
                <w:lang w:eastAsia="en-US"/>
              </w:rPr>
              <w:t>ust</w:t>
            </w:r>
            <w:r w:rsidRPr="006E2F0C">
              <w:rPr>
                <w:sz w:val="24"/>
                <w:szCs w:val="24"/>
              </w:rPr>
              <w:t>.</w:t>
            </w:r>
            <w:r w:rsidRPr="006E2F0C">
              <w:rPr>
                <w:sz w:val="24"/>
                <w:szCs w:val="24"/>
                <w:lang w:eastAsia="en-US"/>
              </w:rPr>
              <w:t xml:space="preserve"> 1 otrzymuje brzmienie:</w:t>
            </w:r>
          </w:p>
          <w:p w14:paraId="732C5858" w14:textId="77777777" w:rsidR="006E2F0C" w:rsidRPr="006E2F0C" w:rsidRDefault="006E2F0C" w:rsidP="006E2F0C">
            <w:pPr>
              <w:pStyle w:val="USTustnpkodeksu"/>
              <w:spacing w:line="276" w:lineRule="auto"/>
              <w:rPr>
                <w:sz w:val="24"/>
                <w:szCs w:val="24"/>
              </w:rPr>
            </w:pPr>
            <w:r w:rsidRPr="006E2F0C">
              <w:rPr>
                <w:sz w:val="24"/>
                <w:szCs w:val="24"/>
                <w:lang w:eastAsia="en-US"/>
              </w:rPr>
              <w:t>„1. W przypadku zmiany pozwolenia zintegrowanego lub pozwolenia na wprowadzanie gazów lub pyłów do powietrza organ właściwy do wydania zezwolenia dokonuje analizy tego zezwolenia.”</w:t>
            </w:r>
            <w:r w:rsidRPr="006E2F0C">
              <w:rPr>
                <w:sz w:val="24"/>
                <w:szCs w:val="24"/>
              </w:rPr>
              <w:t>,</w:t>
            </w:r>
          </w:p>
          <w:p w14:paraId="24692C03" w14:textId="5BBF2E36" w:rsidR="00D570E8" w:rsidRPr="003158EE" w:rsidRDefault="00D570E8" w:rsidP="00315580">
            <w:pPr>
              <w:pStyle w:val="Default"/>
              <w:jc w:val="both"/>
            </w:pPr>
          </w:p>
        </w:tc>
      </w:tr>
      <w:tr w:rsidR="00110AAE" w:rsidRPr="003158EE" w14:paraId="51A9EFEC" w14:textId="77777777" w:rsidTr="00E93415">
        <w:trPr>
          <w:trHeight w:val="1066"/>
        </w:trPr>
        <w:tc>
          <w:tcPr>
            <w:tcW w:w="952" w:type="dxa"/>
            <w:vAlign w:val="center"/>
          </w:tcPr>
          <w:p w14:paraId="73B4C06D" w14:textId="1180B3E1" w:rsidR="00110AAE" w:rsidRPr="003158EE" w:rsidRDefault="00110AAE" w:rsidP="003158EE">
            <w:pPr>
              <w:pStyle w:val="Default"/>
              <w:jc w:val="center"/>
            </w:pPr>
            <w:r w:rsidRPr="003158EE">
              <w:rPr>
                <w:lang w:val="en-US"/>
              </w:rPr>
              <w:t>Art. 1 pkt 11</w:t>
            </w:r>
          </w:p>
        </w:tc>
        <w:tc>
          <w:tcPr>
            <w:tcW w:w="5074" w:type="dxa"/>
            <w:vAlign w:val="center"/>
          </w:tcPr>
          <w:tbl>
            <w:tblPr>
              <w:tblW w:w="5000" w:type="pct"/>
              <w:tblLayout w:type="fixed"/>
              <w:tblCellMar>
                <w:left w:w="0" w:type="dxa"/>
                <w:right w:w="0" w:type="dxa"/>
              </w:tblCellMar>
              <w:tblLook w:val="04A0" w:firstRow="1" w:lastRow="0" w:firstColumn="1" w:lastColumn="0" w:noHBand="0" w:noVBand="1"/>
            </w:tblPr>
            <w:tblGrid>
              <w:gridCol w:w="194"/>
              <w:gridCol w:w="4664"/>
            </w:tblGrid>
            <w:tr w:rsidR="00110AAE" w:rsidRPr="003158EE" w14:paraId="50ACC5DE" w14:textId="77777777" w:rsidTr="009D0C82">
              <w:tc>
                <w:tcPr>
                  <w:tcW w:w="358" w:type="dxa"/>
                  <w:shd w:val="clear" w:color="auto" w:fill="auto"/>
                  <w:hideMark/>
                </w:tcPr>
                <w:p w14:paraId="2EB33B84" w14:textId="77777777" w:rsidR="00110AAE" w:rsidRPr="003158EE" w:rsidRDefault="00110AAE" w:rsidP="00110AAE">
                  <w:pPr>
                    <w:spacing w:before="120" w:line="312" w:lineRule="atLeast"/>
                    <w:jc w:val="both"/>
                    <w:rPr>
                      <w:color w:val="444444"/>
                      <w:lang w:val="en-US"/>
                    </w:rPr>
                  </w:pPr>
                </w:p>
              </w:tc>
              <w:tc>
                <w:tcPr>
                  <w:tcW w:w="9048" w:type="dxa"/>
                  <w:shd w:val="clear" w:color="auto" w:fill="auto"/>
                  <w:hideMark/>
                </w:tcPr>
                <w:p w14:paraId="2CFF131E" w14:textId="77777777" w:rsidR="00110AAE" w:rsidRPr="003158EE" w:rsidRDefault="00110AAE" w:rsidP="00110AAE">
                  <w:pPr>
                    <w:spacing w:before="120" w:line="312" w:lineRule="atLeast"/>
                    <w:jc w:val="both"/>
                    <w:rPr>
                      <w:color w:val="444444"/>
                    </w:rPr>
                  </w:pPr>
                  <w:r w:rsidRPr="003158EE">
                    <w:rPr>
                      <w:color w:val="444444"/>
                    </w:rPr>
                    <w:t>11) art. 8 otrzymuje brzmienie:</w:t>
                  </w:r>
                </w:p>
                <w:p w14:paraId="508D2968" w14:textId="77777777" w:rsidR="00110AAE" w:rsidRPr="003158EE" w:rsidRDefault="00110AAE" w:rsidP="00110AAE">
                  <w:pPr>
                    <w:spacing w:before="120" w:line="312" w:lineRule="atLeast"/>
                    <w:jc w:val="both"/>
                    <w:rPr>
                      <w:i/>
                      <w:iCs/>
                      <w:color w:val="444444"/>
                    </w:rPr>
                  </w:pPr>
                  <w:r w:rsidRPr="003158EE">
                    <w:rPr>
                      <w:i/>
                      <w:iCs/>
                      <w:color w:val="444444"/>
                    </w:rPr>
                    <w:t>„Artykuł 8</w:t>
                  </w:r>
                </w:p>
                <w:p w14:paraId="527A6DDF" w14:textId="77777777" w:rsidR="00110AAE" w:rsidRPr="003158EE" w:rsidRDefault="00110AAE" w:rsidP="00110AAE">
                  <w:pPr>
                    <w:spacing w:before="120" w:line="312" w:lineRule="atLeast"/>
                    <w:jc w:val="both"/>
                    <w:rPr>
                      <w:b/>
                      <w:bCs/>
                      <w:color w:val="444444"/>
                    </w:rPr>
                  </w:pPr>
                  <w:r w:rsidRPr="003158EE">
                    <w:rPr>
                      <w:b/>
                      <w:bCs/>
                      <w:color w:val="444444"/>
                    </w:rPr>
                    <w:t>Koordynacja z dyrektywą 2010/75/UE</w:t>
                  </w:r>
                </w:p>
                <w:p w14:paraId="3DD5DDDA" w14:textId="77777777" w:rsidR="00110AAE" w:rsidRPr="003158EE" w:rsidRDefault="00110AAE" w:rsidP="00110AAE">
                  <w:pPr>
                    <w:spacing w:before="120" w:line="312" w:lineRule="atLeast"/>
                    <w:jc w:val="both"/>
                    <w:rPr>
                      <w:color w:val="444444"/>
                    </w:rPr>
                  </w:pPr>
                  <w:r w:rsidRPr="003158EE">
                    <w:rPr>
                      <w:color w:val="444444"/>
                    </w:rPr>
                    <w:t xml:space="preserve">Państwa członkowskie podejmują środki niezbędne do zapewnienia, by w przypadku gdy instalacje będą prowadziły działalność wymienioną w załączniku I do dyrektywy Parlamentu Europejskiego i Rady 2010/75/UE, warunki i procedura wydawania zezwolenia na emisję gazów cieplarnianych były skoordynowane z warunkami i procedurą dotyczącymi wydawania zezwolenia, </w:t>
                  </w:r>
                  <w:r w:rsidRPr="003158EE">
                    <w:rPr>
                      <w:color w:val="444444"/>
                    </w:rPr>
                    <w:lastRenderedPageBreak/>
                    <w:t>przewidzianymi w tej dyrektywie. Wymogi ustanowione w art. 5, 6 oraz 7 niniejszej dyrektywy mogą zostać włączone do procedur przewidzianych w dyrektywie 2010/75/UE.</w:t>
                  </w:r>
                </w:p>
              </w:tc>
            </w:tr>
          </w:tbl>
          <w:p w14:paraId="0F2FAF0B" w14:textId="77777777" w:rsidR="00110AAE" w:rsidRPr="003158EE" w:rsidRDefault="00110AAE" w:rsidP="00110AAE">
            <w:pPr>
              <w:spacing w:before="120" w:line="312" w:lineRule="atLeast"/>
              <w:jc w:val="both"/>
              <w:rPr>
                <w:vanish/>
                <w:color w:val="444444"/>
              </w:rPr>
            </w:pPr>
          </w:p>
          <w:tbl>
            <w:tblPr>
              <w:tblW w:w="4734" w:type="pct"/>
              <w:tblLayout w:type="fixed"/>
              <w:tblCellMar>
                <w:left w:w="0" w:type="dxa"/>
                <w:right w:w="0" w:type="dxa"/>
              </w:tblCellMar>
              <w:tblLook w:val="04A0" w:firstRow="1" w:lastRow="0" w:firstColumn="1" w:lastColumn="0" w:noHBand="0" w:noVBand="1"/>
            </w:tblPr>
            <w:tblGrid>
              <w:gridCol w:w="4600"/>
            </w:tblGrid>
            <w:tr w:rsidR="00110AAE" w:rsidRPr="003158EE" w14:paraId="4F726FD3" w14:textId="77777777" w:rsidTr="009D0C82">
              <w:tc>
                <w:tcPr>
                  <w:tcW w:w="4600" w:type="dxa"/>
                  <w:shd w:val="clear" w:color="auto" w:fill="auto"/>
                  <w:hideMark/>
                </w:tcPr>
                <w:p w14:paraId="407123AD" w14:textId="422B5E77" w:rsidR="00110AAE" w:rsidRPr="003158EE" w:rsidRDefault="00110AAE" w:rsidP="00110AAE">
                  <w:pPr>
                    <w:spacing w:before="120" w:line="312" w:lineRule="atLeast"/>
                    <w:jc w:val="both"/>
                    <w:rPr>
                      <w:color w:val="444444"/>
                    </w:rPr>
                  </w:pPr>
                </w:p>
              </w:tc>
            </w:tr>
          </w:tbl>
          <w:p w14:paraId="7846FC8C" w14:textId="77777777" w:rsidR="00110AAE" w:rsidRPr="003158EE" w:rsidRDefault="00110AAE" w:rsidP="004C40F4">
            <w:pPr>
              <w:spacing w:before="120" w:line="312" w:lineRule="atLeast"/>
              <w:jc w:val="both"/>
              <w:rPr>
                <w:color w:val="444444"/>
              </w:rPr>
            </w:pPr>
          </w:p>
        </w:tc>
        <w:tc>
          <w:tcPr>
            <w:tcW w:w="596" w:type="dxa"/>
            <w:vAlign w:val="center"/>
          </w:tcPr>
          <w:p w14:paraId="565376E0" w14:textId="14D3E4A8" w:rsidR="00110AAE" w:rsidRPr="003158EE" w:rsidRDefault="003158EE" w:rsidP="000672D3">
            <w:pPr>
              <w:pStyle w:val="Default"/>
              <w:jc w:val="center"/>
              <w:rPr>
                <w:b/>
                <w:bCs/>
              </w:rPr>
            </w:pPr>
            <w:r w:rsidRPr="003158EE">
              <w:rPr>
                <w:b/>
                <w:bCs/>
              </w:rPr>
              <w:lastRenderedPageBreak/>
              <w:t>T</w:t>
            </w:r>
          </w:p>
        </w:tc>
        <w:tc>
          <w:tcPr>
            <w:tcW w:w="7342" w:type="dxa"/>
            <w:vAlign w:val="center"/>
          </w:tcPr>
          <w:p w14:paraId="30B7F971" w14:textId="77777777" w:rsidR="00AA08D0" w:rsidRDefault="00315580" w:rsidP="00541529">
            <w:pPr>
              <w:pStyle w:val="Default"/>
              <w:jc w:val="both"/>
            </w:pPr>
            <w:r>
              <w:t>Przepis dyrektywy został w pełni i</w:t>
            </w:r>
            <w:r w:rsidR="00AA08D0">
              <w:t>mplementowany do polskiego prawa.</w:t>
            </w:r>
          </w:p>
          <w:p w14:paraId="76D9C69C" w14:textId="77777777" w:rsidR="00AA08D0" w:rsidRDefault="00AA08D0" w:rsidP="00541529">
            <w:pPr>
              <w:pStyle w:val="Default"/>
              <w:jc w:val="both"/>
            </w:pPr>
          </w:p>
          <w:p w14:paraId="5EC92CA2" w14:textId="14F785EE" w:rsidR="00110AAE" w:rsidRPr="003158EE" w:rsidRDefault="003B0358" w:rsidP="00541529">
            <w:pPr>
              <w:pStyle w:val="Default"/>
              <w:jc w:val="both"/>
            </w:pPr>
            <w:r w:rsidRPr="003158EE">
              <w:t>ustaw</w:t>
            </w:r>
            <w:r w:rsidR="003158EE" w:rsidRPr="003158EE">
              <w:t>a</w:t>
            </w:r>
            <w:r w:rsidRPr="003158EE">
              <w:t xml:space="preserve"> z dnia 12 czerwca 2015 r. o systemie handlu uprawnieniami do emisji gazów cieplarnianych</w:t>
            </w:r>
            <w:r w:rsidR="007D6AA4">
              <w:t xml:space="preserve"> (Dz. U. 2015 poz. 1223, z późn. zm.)</w:t>
            </w:r>
            <w:r w:rsidR="0081354B">
              <w:t>:</w:t>
            </w:r>
          </w:p>
          <w:p w14:paraId="12FFAF4D" w14:textId="3E2DEFCB" w:rsidR="003B0358" w:rsidRPr="003158EE" w:rsidRDefault="003158EE" w:rsidP="003B0358">
            <w:r w:rsidRPr="003158EE">
              <w:t xml:space="preserve">Art.52. </w:t>
            </w:r>
            <w:r w:rsidR="003B0358" w:rsidRPr="003158EE">
              <w:t>1. Zezwolenie jest wydawane na wniosek prowadzącego instalację.</w:t>
            </w:r>
          </w:p>
          <w:p w14:paraId="75F4E700" w14:textId="77777777" w:rsidR="003B0358" w:rsidRPr="003158EE" w:rsidRDefault="003B0358" w:rsidP="003B0358">
            <w:bookmarkStart w:id="10" w:name="mip43351360"/>
            <w:bookmarkEnd w:id="10"/>
            <w:r w:rsidRPr="003158EE">
              <w:t>2. Zezwolenie wydaje odpowiednio organ właściwy do wydania pozwolenia zintegrowanego albo pozwolenia na wprowadzanie gazów lub pyłów do powietrza, o którym mowa w ustawie z dnia 27 kwietnia 2001 r. - Prawo ochrony środowiska, zwany dalej „organem właściwym do wydania zezwolenia”.</w:t>
            </w:r>
          </w:p>
          <w:p w14:paraId="4F4ED686" w14:textId="77777777" w:rsidR="003B0358" w:rsidRPr="003158EE" w:rsidRDefault="003B0358" w:rsidP="003B0358">
            <w:bookmarkStart w:id="11" w:name="mip43351361"/>
            <w:bookmarkEnd w:id="11"/>
            <w:r w:rsidRPr="003158EE">
              <w:t>3. Zezwolenie wydaje się na czas nieoznaczony.</w:t>
            </w:r>
          </w:p>
          <w:p w14:paraId="1E889F55" w14:textId="77777777" w:rsidR="003B0358" w:rsidRPr="003158EE" w:rsidRDefault="003B0358" w:rsidP="003B0358">
            <w:bookmarkStart w:id="12" w:name="mip43351362"/>
            <w:bookmarkEnd w:id="12"/>
            <w:r w:rsidRPr="003158EE">
              <w:t>4. Na wniosek prowadzącego instalację zezwoleniem można objąć emisję z jednej lub więcej instalacji położonych na terenie jednego zakładu.</w:t>
            </w:r>
          </w:p>
          <w:p w14:paraId="5B045E7E" w14:textId="60A8A63C" w:rsidR="003B0358" w:rsidRPr="003158EE" w:rsidRDefault="003B0358" w:rsidP="00541529">
            <w:pPr>
              <w:pStyle w:val="Default"/>
              <w:jc w:val="both"/>
            </w:pPr>
            <w:r w:rsidRPr="003158EE">
              <w:t>Art.</w:t>
            </w:r>
            <w:r w:rsidR="003158EE" w:rsidRPr="003158EE">
              <w:t xml:space="preserve"> </w:t>
            </w:r>
            <w:r w:rsidRPr="003158EE">
              <w:t>57</w:t>
            </w:r>
            <w:r w:rsidR="003158EE" w:rsidRPr="003158EE">
              <w:t xml:space="preserve"> W przypadku zmiany, cofnięcia albo wygaśnięcia pozwolenia zintegrowanego lub pozwolenia na wprowadzanie gazów lub pyłów do </w:t>
            </w:r>
            <w:r w:rsidR="003158EE" w:rsidRPr="003158EE">
              <w:lastRenderedPageBreak/>
              <w:t>powietrza, organ właściwy do wydania zezwolenia dokonuje analizy zezwolenia i jeżeli w wyniku dokonanych ustaleń stwierdzi ustanie przesłanek uczestnictwa instalacji w systemie albo potrzebę zmiany tego zezwolenia, wszczyna z urzędu postępowanie w sprawie odpowiednio wygaśnięcia albo zmiany zezwolenia.</w:t>
            </w:r>
          </w:p>
        </w:tc>
      </w:tr>
      <w:tr w:rsidR="003158EE" w:rsidRPr="003158EE" w14:paraId="486834ED" w14:textId="77777777" w:rsidTr="00E93415">
        <w:trPr>
          <w:trHeight w:val="1066"/>
        </w:trPr>
        <w:tc>
          <w:tcPr>
            <w:tcW w:w="952" w:type="dxa"/>
            <w:vAlign w:val="center"/>
          </w:tcPr>
          <w:p w14:paraId="280588AB" w14:textId="60C33B31" w:rsidR="003158EE" w:rsidRPr="003158EE" w:rsidRDefault="003158EE" w:rsidP="000672D3">
            <w:pPr>
              <w:pStyle w:val="Default"/>
              <w:jc w:val="center"/>
              <w:rPr>
                <w:lang w:val="en-US"/>
              </w:rPr>
            </w:pPr>
            <w:r w:rsidRPr="003158EE">
              <w:rPr>
                <w:lang w:val="en-US"/>
              </w:rPr>
              <w:lastRenderedPageBreak/>
              <w:t>Art.1 pkt 12</w:t>
            </w:r>
          </w:p>
        </w:tc>
        <w:tc>
          <w:tcPr>
            <w:tcW w:w="5074" w:type="dxa"/>
            <w:vAlign w:val="center"/>
          </w:tcPr>
          <w:p w14:paraId="357CD30A" w14:textId="77777777" w:rsidR="003158EE" w:rsidRPr="003158EE" w:rsidRDefault="003158EE" w:rsidP="003158EE">
            <w:pPr>
              <w:spacing w:before="120" w:line="312" w:lineRule="atLeast"/>
              <w:jc w:val="both"/>
              <w:rPr>
                <w:color w:val="444444"/>
              </w:rPr>
            </w:pPr>
            <w:r w:rsidRPr="003158EE">
              <w:rPr>
                <w:color w:val="444444"/>
              </w:rPr>
              <w:t>12) art. 9 akapity drugi i trzeci otrzymują brzmienie:</w:t>
            </w:r>
          </w:p>
          <w:p w14:paraId="7758CA21" w14:textId="10B8FC6E" w:rsidR="003158EE" w:rsidRPr="003158EE" w:rsidRDefault="003158EE" w:rsidP="003158EE">
            <w:pPr>
              <w:spacing w:before="120" w:line="312" w:lineRule="atLeast"/>
              <w:jc w:val="both"/>
              <w:rPr>
                <w:color w:val="444444"/>
              </w:rPr>
            </w:pPr>
            <w:r w:rsidRPr="003158EE">
              <w:rPr>
                <w:color w:val="444444"/>
              </w:rPr>
              <w:t>„Począwszy od 2021 roku, współczynnik liniowy wynosi 2,2 %.”;</w:t>
            </w:r>
          </w:p>
        </w:tc>
        <w:tc>
          <w:tcPr>
            <w:tcW w:w="596" w:type="dxa"/>
            <w:vAlign w:val="center"/>
          </w:tcPr>
          <w:p w14:paraId="244F552B" w14:textId="23B8BA9D" w:rsidR="003158EE" w:rsidRPr="003158EE" w:rsidRDefault="003158EE" w:rsidP="000672D3">
            <w:pPr>
              <w:pStyle w:val="Default"/>
              <w:jc w:val="center"/>
              <w:rPr>
                <w:b/>
                <w:bCs/>
              </w:rPr>
            </w:pPr>
            <w:r w:rsidRPr="003158EE">
              <w:rPr>
                <w:b/>
                <w:bCs/>
              </w:rPr>
              <w:t>N</w:t>
            </w:r>
          </w:p>
        </w:tc>
        <w:tc>
          <w:tcPr>
            <w:tcW w:w="7342" w:type="dxa"/>
            <w:vAlign w:val="center"/>
          </w:tcPr>
          <w:p w14:paraId="12830BCB" w14:textId="77777777" w:rsidR="003158EE" w:rsidRPr="003158EE" w:rsidRDefault="003158EE" w:rsidP="00541529">
            <w:pPr>
              <w:pStyle w:val="Default"/>
              <w:jc w:val="both"/>
            </w:pPr>
          </w:p>
        </w:tc>
      </w:tr>
      <w:tr w:rsidR="004C40F4" w:rsidRPr="003158EE" w14:paraId="2D208C44" w14:textId="77777777" w:rsidTr="00E93415">
        <w:trPr>
          <w:trHeight w:val="1066"/>
        </w:trPr>
        <w:tc>
          <w:tcPr>
            <w:tcW w:w="952" w:type="dxa"/>
            <w:vAlign w:val="center"/>
          </w:tcPr>
          <w:p w14:paraId="6364B3FD" w14:textId="66C23B09" w:rsidR="004C40F4" w:rsidRPr="003158EE" w:rsidRDefault="00110AAE" w:rsidP="000672D3">
            <w:pPr>
              <w:pStyle w:val="Default"/>
              <w:jc w:val="center"/>
            </w:pPr>
            <w:r w:rsidRPr="003158EE">
              <w:t>Art. 1 pkt 13 lit. a</w:t>
            </w:r>
          </w:p>
        </w:tc>
        <w:tc>
          <w:tcPr>
            <w:tcW w:w="5074" w:type="dxa"/>
            <w:vAlign w:val="center"/>
          </w:tcPr>
          <w:p w14:paraId="20FBDE9F" w14:textId="77777777" w:rsidR="000D660C" w:rsidRPr="003158EE" w:rsidRDefault="000D660C" w:rsidP="000D660C">
            <w:pPr>
              <w:spacing w:before="120" w:line="312" w:lineRule="atLeast"/>
              <w:jc w:val="both"/>
              <w:rPr>
                <w:vanish/>
                <w:color w:val="444444"/>
              </w:rPr>
            </w:pPr>
          </w:p>
          <w:tbl>
            <w:tblPr>
              <w:tblW w:w="4800" w:type="pct"/>
              <w:tblLayout w:type="fixed"/>
              <w:tblCellMar>
                <w:left w:w="0" w:type="dxa"/>
                <w:right w:w="0" w:type="dxa"/>
              </w:tblCellMar>
              <w:tblLook w:val="04A0" w:firstRow="1" w:lastRow="0" w:firstColumn="1" w:lastColumn="0" w:noHBand="0" w:noVBand="1"/>
            </w:tblPr>
            <w:tblGrid>
              <w:gridCol w:w="4664"/>
            </w:tblGrid>
            <w:tr w:rsidR="00D33755" w:rsidRPr="003158EE" w14:paraId="375728BF" w14:textId="77777777" w:rsidTr="00E25EF3">
              <w:tc>
                <w:tcPr>
                  <w:tcW w:w="4664" w:type="dxa"/>
                  <w:shd w:val="clear" w:color="auto" w:fill="auto"/>
                  <w:hideMark/>
                </w:tcPr>
                <w:p w14:paraId="4F80E897" w14:textId="77777777" w:rsidR="00110AAE" w:rsidRPr="003158EE" w:rsidRDefault="00110AAE" w:rsidP="000D660C">
                  <w:pPr>
                    <w:spacing w:before="120" w:line="312" w:lineRule="atLeast"/>
                    <w:jc w:val="both"/>
                    <w:rPr>
                      <w:color w:val="444444"/>
                    </w:rPr>
                  </w:pPr>
                </w:p>
                <w:p w14:paraId="62E33717" w14:textId="1BA2CC36" w:rsidR="00D33755" w:rsidRPr="003158EE" w:rsidRDefault="00D33755" w:rsidP="000D660C">
                  <w:pPr>
                    <w:spacing w:before="120" w:line="312" w:lineRule="atLeast"/>
                    <w:jc w:val="both"/>
                    <w:rPr>
                      <w:color w:val="444444"/>
                    </w:rPr>
                  </w:pPr>
                  <w:r w:rsidRPr="003158EE">
                    <w:rPr>
                      <w:color w:val="444444"/>
                    </w:rPr>
                    <w:t>13) w art. 10 wprowadza się następujące zmiany:</w:t>
                  </w:r>
                </w:p>
                <w:tbl>
                  <w:tblPr>
                    <w:tblW w:w="5000" w:type="pct"/>
                    <w:tblLayout w:type="fixed"/>
                    <w:tblCellMar>
                      <w:left w:w="0" w:type="dxa"/>
                      <w:right w:w="0" w:type="dxa"/>
                    </w:tblCellMar>
                    <w:tblLook w:val="04A0" w:firstRow="1" w:lastRow="0" w:firstColumn="1" w:lastColumn="0" w:noHBand="0" w:noVBand="1"/>
                  </w:tblPr>
                  <w:tblGrid>
                    <w:gridCol w:w="106"/>
                    <w:gridCol w:w="4558"/>
                  </w:tblGrid>
                  <w:tr w:rsidR="00D33755" w:rsidRPr="003158EE" w14:paraId="06C4914A" w14:textId="77777777">
                    <w:tc>
                      <w:tcPr>
                        <w:tcW w:w="187" w:type="dxa"/>
                        <w:shd w:val="clear" w:color="auto" w:fill="auto"/>
                        <w:hideMark/>
                      </w:tcPr>
                      <w:p w14:paraId="41C561B8" w14:textId="21E0D9C7" w:rsidR="00D33755" w:rsidRPr="003158EE" w:rsidRDefault="00D33755" w:rsidP="000D660C">
                        <w:pPr>
                          <w:spacing w:before="120" w:line="312" w:lineRule="atLeast"/>
                          <w:jc w:val="both"/>
                          <w:rPr>
                            <w:color w:val="444444"/>
                          </w:rPr>
                        </w:pPr>
                      </w:p>
                    </w:tc>
                    <w:tc>
                      <w:tcPr>
                        <w:tcW w:w="8861" w:type="dxa"/>
                        <w:shd w:val="clear" w:color="auto" w:fill="auto"/>
                        <w:hideMark/>
                      </w:tcPr>
                      <w:p w14:paraId="4C42AD0E" w14:textId="2461AF14" w:rsidR="00D33755" w:rsidRPr="003158EE" w:rsidRDefault="004A3C18" w:rsidP="000D660C">
                        <w:pPr>
                          <w:spacing w:before="120" w:line="312" w:lineRule="atLeast"/>
                          <w:jc w:val="both"/>
                          <w:rPr>
                            <w:color w:val="444444"/>
                          </w:rPr>
                        </w:pPr>
                        <w:r w:rsidRPr="003158EE">
                          <w:rPr>
                            <w:color w:val="444444"/>
                          </w:rPr>
                          <w:t xml:space="preserve">a) </w:t>
                        </w:r>
                        <w:r w:rsidR="00D33755" w:rsidRPr="003158EE">
                          <w:rPr>
                            <w:color w:val="444444"/>
                          </w:rPr>
                          <w:t>ust. 1 otrzymuje brzmienie:</w:t>
                        </w:r>
                      </w:p>
                      <w:p w14:paraId="34F5CA6D" w14:textId="77777777" w:rsidR="00D33755" w:rsidRPr="003158EE" w:rsidRDefault="00D33755" w:rsidP="000D660C">
                        <w:pPr>
                          <w:spacing w:before="120" w:line="312" w:lineRule="atLeast"/>
                          <w:jc w:val="both"/>
                          <w:rPr>
                            <w:color w:val="444444"/>
                          </w:rPr>
                        </w:pPr>
                        <w:r w:rsidRPr="003158EE">
                          <w:rPr>
                            <w:color w:val="444444"/>
                          </w:rPr>
                          <w:t>„1.   Począwszy od 2019 roku państwa członkowskie sprzedają na aukcji wszystkie uprawnienia, które nie są przyznawane bezpłatnie zgodnie z art. 10a i 10c niniejszej dyrektywy i które nie zostały umieszczone w rezerwie stabilności rynkowej ustanowionej decyzją Parlamentu Europejskiego i Rady (UE) 2015/1814</w:t>
                        </w:r>
                        <w:hyperlink r:id="rId8" w:anchor="ntr*2-L_2018076PL.01000301-E0017" w:history="1">
                          <w:r w:rsidRPr="003158EE">
                            <w:rPr>
                              <w:rStyle w:val="Hipercze"/>
                            </w:rPr>
                            <w:t> (</w:t>
                          </w:r>
                          <w:r w:rsidRPr="003158EE">
                            <w:rPr>
                              <w:rStyle w:val="Hipercze"/>
                              <w:vertAlign w:val="superscript"/>
                            </w:rPr>
                            <w:t>*2</w:t>
                          </w:r>
                          <w:r w:rsidRPr="003158EE">
                            <w:rPr>
                              <w:rStyle w:val="Hipercze"/>
                            </w:rPr>
                            <w:t>)</w:t>
                          </w:r>
                        </w:hyperlink>
                        <w:r w:rsidRPr="003158EE">
                          <w:rPr>
                            <w:color w:val="444444"/>
                          </w:rPr>
                          <w:t xml:space="preserve"> („rezerwa stabilności rynkowej”) lub anulowane zgodnie z art. 12 ust. 4 niniejszej dyrektywy.</w:t>
                        </w:r>
                      </w:p>
                      <w:p w14:paraId="5463975B" w14:textId="77777777" w:rsidR="00D33755" w:rsidRPr="003158EE" w:rsidRDefault="00D33755" w:rsidP="000D660C">
                        <w:pPr>
                          <w:spacing w:before="120" w:line="312" w:lineRule="atLeast"/>
                          <w:jc w:val="both"/>
                          <w:rPr>
                            <w:color w:val="444444"/>
                          </w:rPr>
                        </w:pPr>
                        <w:r w:rsidRPr="003158EE">
                          <w:rPr>
                            <w:color w:val="444444"/>
                          </w:rPr>
                          <w:lastRenderedPageBreak/>
                          <w:t>Począwszy od 2021 roku i bez uszczerbku dla ewentualnej redukcji zgodnie z art. 10a ust. 5a udział uprawnień, które mają zostać sprzedane na aukcji, wynosi 57 %.</w:t>
                        </w:r>
                      </w:p>
                      <w:p w14:paraId="0BB25D25" w14:textId="77777777" w:rsidR="00D33755" w:rsidRPr="003158EE" w:rsidRDefault="00D33755" w:rsidP="000D660C">
                        <w:pPr>
                          <w:spacing w:before="120" w:line="312" w:lineRule="atLeast"/>
                          <w:jc w:val="both"/>
                          <w:rPr>
                            <w:color w:val="444444"/>
                          </w:rPr>
                        </w:pPr>
                        <w:r w:rsidRPr="003158EE">
                          <w:rPr>
                            <w:color w:val="444444"/>
                          </w:rPr>
                          <w:t>2 % całkowitej liczby uprawnień w latach 2021–2030 jest sprzedawanych na aukcji w celu ustanowienia funduszu na rzecz poprawy efektywności energetycznej i modernizacji systemów energetycznych niektórych państw członkowskich, określonego w art. 10d (zwany dalej „funduszem modernizacyjnym”).</w:t>
                        </w:r>
                      </w:p>
                      <w:p w14:paraId="699B52CE" w14:textId="2ABFFB57" w:rsidR="00D33755" w:rsidRPr="003158EE" w:rsidRDefault="00D33755" w:rsidP="000D660C">
                        <w:pPr>
                          <w:spacing w:before="120" w:line="312" w:lineRule="atLeast"/>
                          <w:jc w:val="both"/>
                          <w:rPr>
                            <w:color w:val="444444"/>
                          </w:rPr>
                        </w:pPr>
                        <w:r w:rsidRPr="003158EE">
                          <w:rPr>
                            <w:color w:val="444444"/>
                          </w:rPr>
                          <w:t>Całkowita pozostała liczba uprawnień, które mają zostać sprzedane na aukcji przez państwa członkowskie, jest rozdzielana zgodnie z ust. 2.</w:t>
                        </w:r>
                      </w:p>
                    </w:tc>
                  </w:tr>
                </w:tbl>
                <w:p w14:paraId="3E067F4D" w14:textId="77777777" w:rsidR="00D33755" w:rsidRPr="003158EE" w:rsidRDefault="00D33755" w:rsidP="000D660C">
                  <w:pPr>
                    <w:spacing w:before="120" w:line="312" w:lineRule="atLeast"/>
                    <w:jc w:val="both"/>
                    <w:rPr>
                      <w:vanish/>
                      <w:color w:val="444444"/>
                    </w:rPr>
                  </w:pPr>
                </w:p>
                <w:p w14:paraId="76CD26D1" w14:textId="77777777" w:rsidR="00D33755" w:rsidRPr="003158EE" w:rsidRDefault="00D33755" w:rsidP="000D660C">
                  <w:pPr>
                    <w:spacing w:before="120" w:line="312" w:lineRule="atLeast"/>
                    <w:jc w:val="both"/>
                    <w:rPr>
                      <w:color w:val="444444"/>
                    </w:rPr>
                  </w:pPr>
                </w:p>
              </w:tc>
            </w:tr>
          </w:tbl>
          <w:p w14:paraId="2959EC52" w14:textId="77777777" w:rsidR="004C40F4" w:rsidRPr="003158EE" w:rsidRDefault="004C40F4" w:rsidP="004C40F4">
            <w:pPr>
              <w:spacing w:before="120" w:line="312" w:lineRule="atLeast"/>
              <w:jc w:val="both"/>
              <w:rPr>
                <w:color w:val="444444"/>
              </w:rPr>
            </w:pPr>
          </w:p>
        </w:tc>
        <w:tc>
          <w:tcPr>
            <w:tcW w:w="596" w:type="dxa"/>
            <w:vAlign w:val="center"/>
          </w:tcPr>
          <w:p w14:paraId="79CBBF7B" w14:textId="576CFACC" w:rsidR="004C40F4" w:rsidRPr="003158EE" w:rsidRDefault="001D53D8" w:rsidP="000672D3">
            <w:pPr>
              <w:pStyle w:val="Default"/>
              <w:jc w:val="center"/>
              <w:rPr>
                <w:b/>
                <w:bCs/>
              </w:rPr>
            </w:pPr>
            <w:r w:rsidRPr="003158EE">
              <w:rPr>
                <w:b/>
                <w:bCs/>
              </w:rPr>
              <w:lastRenderedPageBreak/>
              <w:t>N</w:t>
            </w:r>
          </w:p>
        </w:tc>
        <w:tc>
          <w:tcPr>
            <w:tcW w:w="7342" w:type="dxa"/>
            <w:vAlign w:val="center"/>
          </w:tcPr>
          <w:p w14:paraId="187DCCA5" w14:textId="14F6418A" w:rsidR="004C40F4" w:rsidRPr="003158EE" w:rsidRDefault="004C40F4" w:rsidP="00541529">
            <w:pPr>
              <w:pStyle w:val="Default"/>
              <w:jc w:val="both"/>
            </w:pPr>
          </w:p>
        </w:tc>
      </w:tr>
      <w:tr w:rsidR="004A3C18" w:rsidRPr="003158EE" w14:paraId="65E03880" w14:textId="77777777" w:rsidTr="00E93415">
        <w:trPr>
          <w:trHeight w:val="1066"/>
        </w:trPr>
        <w:tc>
          <w:tcPr>
            <w:tcW w:w="952" w:type="dxa"/>
            <w:vAlign w:val="center"/>
          </w:tcPr>
          <w:p w14:paraId="38EC1D73" w14:textId="77777777" w:rsidR="004A3C18" w:rsidRPr="003158EE" w:rsidRDefault="004A3C18" w:rsidP="000672D3">
            <w:pPr>
              <w:pStyle w:val="Default"/>
              <w:jc w:val="center"/>
              <w:rPr>
                <w:lang w:val="en-US"/>
              </w:rPr>
            </w:pPr>
          </w:p>
        </w:tc>
        <w:tc>
          <w:tcPr>
            <w:tcW w:w="5074" w:type="dxa"/>
            <w:vAlign w:val="center"/>
          </w:tcPr>
          <w:p w14:paraId="12E7276B" w14:textId="123BF50F" w:rsidR="004A3C18" w:rsidRPr="003158EE" w:rsidRDefault="004A3C18" w:rsidP="004A3C18">
            <w:pPr>
              <w:pStyle w:val="Default"/>
              <w:jc w:val="both"/>
              <w:rPr>
                <w:color w:val="444444"/>
              </w:rPr>
            </w:pPr>
            <w:r w:rsidRPr="003158EE">
              <w:rPr>
                <w:color w:val="444444"/>
              </w:rPr>
              <w:t>b) w ust. 2 wprowadza się następujące zmiany:</w:t>
            </w:r>
          </w:p>
          <w:p w14:paraId="213504B6" w14:textId="77777777" w:rsidR="004A3C18" w:rsidRPr="003158EE" w:rsidRDefault="004A3C18" w:rsidP="004A3C18">
            <w:pPr>
              <w:pStyle w:val="Default"/>
              <w:jc w:val="both"/>
              <w:rPr>
                <w:color w:val="444444"/>
              </w:rPr>
            </w:pPr>
          </w:p>
          <w:p w14:paraId="48DFE0E7" w14:textId="65E454A6" w:rsidR="004A3C18" w:rsidRPr="003158EE" w:rsidRDefault="004A3C18" w:rsidP="004A3C18">
            <w:pPr>
              <w:pStyle w:val="Default"/>
              <w:jc w:val="both"/>
              <w:rPr>
                <w:color w:val="444444"/>
              </w:rPr>
            </w:pPr>
            <w:r w:rsidRPr="003158EE">
              <w:rPr>
                <w:color w:val="444444"/>
              </w:rPr>
              <w:t>(i) w lit. a) „88 %” zastępuje się przez „90 %”;</w:t>
            </w:r>
          </w:p>
          <w:p w14:paraId="4FC3DE20" w14:textId="77777777" w:rsidR="004A3C18" w:rsidRPr="003158EE" w:rsidRDefault="004A3C18" w:rsidP="004A3C18">
            <w:pPr>
              <w:pStyle w:val="Default"/>
              <w:jc w:val="both"/>
              <w:rPr>
                <w:color w:val="444444"/>
              </w:rPr>
            </w:pPr>
          </w:p>
          <w:p w14:paraId="282D5428" w14:textId="47809D02" w:rsidR="004A3C18" w:rsidRPr="003158EE" w:rsidRDefault="004A3C18" w:rsidP="004A3C18">
            <w:pPr>
              <w:pStyle w:val="Default"/>
              <w:jc w:val="both"/>
              <w:rPr>
                <w:color w:val="444444"/>
              </w:rPr>
            </w:pPr>
            <w:r w:rsidRPr="003158EE">
              <w:rPr>
                <w:color w:val="444444"/>
              </w:rPr>
              <w:t>(ii) lit. b) otrzymuje brzmienie:</w:t>
            </w:r>
          </w:p>
          <w:p w14:paraId="6E0256E6" w14:textId="2C141E7C" w:rsidR="004A3C18" w:rsidRPr="003158EE" w:rsidRDefault="004A3C18" w:rsidP="004A3C18">
            <w:pPr>
              <w:pStyle w:val="Default"/>
              <w:jc w:val="both"/>
              <w:rPr>
                <w:color w:val="444444"/>
              </w:rPr>
            </w:pPr>
            <w:r w:rsidRPr="003158EE">
              <w:rPr>
                <w:color w:val="444444"/>
              </w:rPr>
              <w:t xml:space="preserve">„b) 10 % całkowitej liczby uprawnień, które mają zostać sprzedane na aukcji, rozdzielonych między określone państwa członkowskie w interesie solidarności, wzrostu i połączeń międzysystemowych w Unii, zwiększając w ten sposób liczbę uprawnień, które te państwa członkowskie sprzedają na aukcji na podstawie lit. </w:t>
            </w:r>
            <w:r w:rsidRPr="003158EE">
              <w:rPr>
                <w:color w:val="444444"/>
              </w:rPr>
              <w:lastRenderedPageBreak/>
              <w:t>a), o wartości procentowe określone w załączniku IIa.”;</w:t>
            </w:r>
          </w:p>
          <w:p w14:paraId="6ACCA39F" w14:textId="77777777" w:rsidR="004A3C18" w:rsidRPr="003158EE" w:rsidRDefault="004A3C18" w:rsidP="004A3C18">
            <w:pPr>
              <w:pStyle w:val="Default"/>
              <w:jc w:val="both"/>
              <w:rPr>
                <w:color w:val="444444"/>
              </w:rPr>
            </w:pPr>
          </w:p>
          <w:p w14:paraId="47AE0485" w14:textId="7444A3A6" w:rsidR="004A3C18" w:rsidRPr="003158EE" w:rsidRDefault="004A3C18" w:rsidP="004A3C18">
            <w:pPr>
              <w:pStyle w:val="Default"/>
              <w:jc w:val="both"/>
              <w:rPr>
                <w:color w:val="444444"/>
              </w:rPr>
            </w:pPr>
            <w:r w:rsidRPr="003158EE">
              <w:rPr>
                <w:color w:val="444444"/>
              </w:rPr>
              <w:t>(iii) skreśla się lit. c);</w:t>
            </w:r>
          </w:p>
          <w:p w14:paraId="79F04299" w14:textId="08470335" w:rsidR="004A3C18" w:rsidRPr="003158EE" w:rsidRDefault="004A3C18" w:rsidP="004A3C18">
            <w:pPr>
              <w:pStyle w:val="Default"/>
              <w:jc w:val="both"/>
              <w:rPr>
                <w:color w:val="444444"/>
              </w:rPr>
            </w:pPr>
            <w:r w:rsidRPr="003158EE">
              <w:rPr>
                <w:color w:val="444444"/>
              </w:rPr>
              <w:t>(iv) akapit trzeci otrzymuje brzmienie:</w:t>
            </w:r>
          </w:p>
          <w:p w14:paraId="1137D116" w14:textId="77777777" w:rsidR="004A3C18" w:rsidRPr="003158EE" w:rsidRDefault="004A3C18" w:rsidP="004A3C18">
            <w:pPr>
              <w:pStyle w:val="Default"/>
              <w:jc w:val="both"/>
              <w:rPr>
                <w:color w:val="444444"/>
              </w:rPr>
            </w:pPr>
            <w:r w:rsidRPr="003158EE">
              <w:rPr>
                <w:color w:val="444444"/>
              </w:rPr>
              <w:t>„Jeśli jest to konieczne, wartości procentowe, o których mowa w lit. b), dostosowuje się proporcjonalnie, aby zapewnić rozdzielenie w wysokości 10 %.”;</w:t>
            </w:r>
          </w:p>
          <w:p w14:paraId="55329433" w14:textId="77777777" w:rsidR="004A3C18" w:rsidRPr="003158EE" w:rsidRDefault="004A3C18" w:rsidP="000D660C">
            <w:pPr>
              <w:spacing w:before="120" w:line="312" w:lineRule="atLeast"/>
              <w:jc w:val="both"/>
              <w:rPr>
                <w:vanish/>
                <w:color w:val="444444"/>
              </w:rPr>
            </w:pPr>
          </w:p>
        </w:tc>
        <w:tc>
          <w:tcPr>
            <w:tcW w:w="596" w:type="dxa"/>
            <w:vAlign w:val="center"/>
          </w:tcPr>
          <w:p w14:paraId="106C570D" w14:textId="2752AAF3" w:rsidR="004A3C18" w:rsidRPr="003158EE" w:rsidRDefault="004A3C18" w:rsidP="000672D3">
            <w:pPr>
              <w:pStyle w:val="Default"/>
              <w:jc w:val="center"/>
              <w:rPr>
                <w:b/>
                <w:bCs/>
              </w:rPr>
            </w:pPr>
            <w:r w:rsidRPr="003158EE">
              <w:rPr>
                <w:b/>
                <w:bCs/>
              </w:rPr>
              <w:lastRenderedPageBreak/>
              <w:t>N</w:t>
            </w:r>
          </w:p>
        </w:tc>
        <w:tc>
          <w:tcPr>
            <w:tcW w:w="7342" w:type="dxa"/>
            <w:vAlign w:val="center"/>
          </w:tcPr>
          <w:p w14:paraId="27543E21" w14:textId="77777777" w:rsidR="004A3C18" w:rsidRPr="003158EE" w:rsidRDefault="004A3C18" w:rsidP="00541529">
            <w:pPr>
              <w:pStyle w:val="Default"/>
              <w:jc w:val="both"/>
            </w:pPr>
          </w:p>
        </w:tc>
      </w:tr>
      <w:tr w:rsidR="00F837EE" w:rsidRPr="003158EE" w14:paraId="4F6A591D" w14:textId="77777777" w:rsidTr="00E93415">
        <w:tc>
          <w:tcPr>
            <w:tcW w:w="952" w:type="dxa"/>
          </w:tcPr>
          <w:p w14:paraId="4C55315B" w14:textId="77777777" w:rsidR="00F837EE" w:rsidRPr="003158EE" w:rsidRDefault="00F837EE" w:rsidP="000672D3">
            <w:pPr>
              <w:pStyle w:val="Default"/>
              <w:jc w:val="center"/>
            </w:pPr>
            <w:bookmarkStart w:id="13" w:name="_Hlk26941844"/>
            <w:r w:rsidRPr="003158EE">
              <w:lastRenderedPageBreak/>
              <w:t xml:space="preserve">Art. 1 pkt 13 lit. c) </w:t>
            </w:r>
          </w:p>
          <w:p w14:paraId="7B535582" w14:textId="77777777" w:rsidR="00F837EE" w:rsidRPr="003158EE" w:rsidRDefault="00F837EE" w:rsidP="000672D3">
            <w:pPr>
              <w:pStyle w:val="Default"/>
              <w:jc w:val="center"/>
            </w:pPr>
          </w:p>
        </w:tc>
        <w:tc>
          <w:tcPr>
            <w:tcW w:w="5074" w:type="dxa"/>
          </w:tcPr>
          <w:p w14:paraId="47045A2E" w14:textId="77777777" w:rsidR="00E93415" w:rsidRPr="003158EE" w:rsidRDefault="00E93415" w:rsidP="00E93415">
            <w:pPr>
              <w:pStyle w:val="note"/>
              <w:jc w:val="both"/>
              <w:rPr>
                <w:color w:val="000000"/>
              </w:rPr>
            </w:pPr>
            <w:r w:rsidRPr="003158EE">
              <w:rPr>
                <w:color w:val="000000"/>
              </w:rPr>
              <w:t>c)</w:t>
            </w:r>
            <w:r w:rsidRPr="003158EE">
              <w:rPr>
                <w:color w:val="000000"/>
              </w:rPr>
              <w:tab/>
              <w:t>w ust. 3 wprowadza się następujące zmiany:</w:t>
            </w:r>
          </w:p>
          <w:p w14:paraId="0D047D97" w14:textId="77777777" w:rsidR="00E93415" w:rsidRPr="003158EE" w:rsidRDefault="00E93415" w:rsidP="00E93415">
            <w:pPr>
              <w:pStyle w:val="note"/>
              <w:jc w:val="both"/>
              <w:rPr>
                <w:color w:val="000000"/>
              </w:rPr>
            </w:pPr>
            <w:r w:rsidRPr="003158EE">
              <w:rPr>
                <w:color w:val="000000"/>
              </w:rPr>
              <w:t>(i)</w:t>
            </w:r>
            <w:r w:rsidRPr="003158EE">
              <w:rPr>
                <w:color w:val="000000"/>
              </w:rPr>
              <w:tab/>
              <w:t>lit. b) otrzymuje brzmienie:</w:t>
            </w:r>
          </w:p>
          <w:p w14:paraId="0052CC65" w14:textId="77777777" w:rsidR="00E93415" w:rsidRPr="003158EE" w:rsidRDefault="00E93415" w:rsidP="00E93415">
            <w:pPr>
              <w:pStyle w:val="note"/>
              <w:jc w:val="both"/>
              <w:rPr>
                <w:color w:val="000000"/>
              </w:rPr>
            </w:pPr>
            <w:r w:rsidRPr="003158EE">
              <w:rPr>
                <w:color w:val="000000"/>
              </w:rPr>
              <w:t>„b)</w:t>
            </w:r>
            <w:r w:rsidRPr="003158EE">
              <w:rPr>
                <w:color w:val="000000"/>
              </w:rPr>
              <w:tab/>
              <w:t>rozwój energii ze źródeł odnawialnych w celu realizacji zobowiązania Unii dotyczącego energii ze źródeł odnawialnych, jak również rozwój innych technologii przyczyniających się do przejścia do bezpiecznej i zrównoważonej gospodarki niskoemisyjnej oraz pomoc w realizacji zobowiązania Unii dotyczącego zwiększenia efektywności energetycznej do poziomu ustalonego w odpowiednich aktach ustawodawczych;”;</w:t>
            </w:r>
          </w:p>
          <w:p w14:paraId="0377FD8F" w14:textId="77777777" w:rsidR="00E93415" w:rsidRPr="003158EE" w:rsidRDefault="00E93415" w:rsidP="00E93415">
            <w:pPr>
              <w:pStyle w:val="note"/>
              <w:jc w:val="both"/>
              <w:rPr>
                <w:color w:val="000000"/>
              </w:rPr>
            </w:pPr>
            <w:r w:rsidRPr="003158EE">
              <w:rPr>
                <w:color w:val="000000"/>
              </w:rPr>
              <w:t>(ii)</w:t>
            </w:r>
            <w:r w:rsidRPr="003158EE">
              <w:rPr>
                <w:color w:val="000000"/>
              </w:rPr>
              <w:tab/>
              <w:t>lit. h) otrzymuje brzmienie:</w:t>
            </w:r>
          </w:p>
          <w:p w14:paraId="2D4719A3" w14:textId="77777777" w:rsidR="00E93415" w:rsidRPr="003158EE" w:rsidRDefault="00E93415" w:rsidP="00E93415">
            <w:pPr>
              <w:pStyle w:val="note"/>
              <w:jc w:val="both"/>
              <w:rPr>
                <w:color w:val="000000"/>
              </w:rPr>
            </w:pPr>
            <w:r w:rsidRPr="003158EE">
              <w:rPr>
                <w:color w:val="000000"/>
              </w:rPr>
              <w:t>„h)</w:t>
            </w:r>
            <w:r w:rsidRPr="003158EE">
              <w:rPr>
                <w:color w:val="000000"/>
              </w:rPr>
              <w:tab/>
              <w:t xml:space="preserve">środki służące poprawieniu efektywności energetycznej, sieci ciepłowniczych i termomodernizacji budynków lub dostarczeniu wsparcia finansowego w celu uwzględnienia </w:t>
            </w:r>
            <w:r w:rsidRPr="003158EE">
              <w:rPr>
                <w:color w:val="000000"/>
              </w:rPr>
              <w:lastRenderedPageBreak/>
              <w:t>aspektów społecznych w przypadku gospodarstw domowych o niższych i średnich dochodach;”;</w:t>
            </w:r>
          </w:p>
          <w:p w14:paraId="1BAF5D64" w14:textId="77777777" w:rsidR="00E93415" w:rsidRPr="003158EE" w:rsidRDefault="00E93415" w:rsidP="00E93415">
            <w:pPr>
              <w:pStyle w:val="note"/>
              <w:jc w:val="both"/>
              <w:rPr>
                <w:color w:val="000000"/>
              </w:rPr>
            </w:pPr>
            <w:r w:rsidRPr="003158EE">
              <w:rPr>
                <w:color w:val="000000"/>
              </w:rPr>
              <w:t>(iii)</w:t>
            </w:r>
            <w:r w:rsidRPr="003158EE">
              <w:rPr>
                <w:color w:val="000000"/>
              </w:rPr>
              <w:tab/>
              <w:t>dodaje się litery w brzmieniu:</w:t>
            </w:r>
          </w:p>
          <w:p w14:paraId="319E8A73" w14:textId="77777777" w:rsidR="00E93415" w:rsidRPr="003158EE" w:rsidRDefault="00E93415" w:rsidP="00E93415">
            <w:pPr>
              <w:pStyle w:val="note"/>
              <w:jc w:val="both"/>
              <w:rPr>
                <w:color w:val="000000"/>
              </w:rPr>
            </w:pPr>
            <w:r w:rsidRPr="003158EE">
              <w:rPr>
                <w:color w:val="000000"/>
              </w:rPr>
              <w:t>„j)</w:t>
            </w:r>
            <w:r w:rsidRPr="003158EE">
              <w:rPr>
                <w:color w:val="000000"/>
              </w:rPr>
              <w:tab/>
              <w:t>finansowanie działań w związku ze zmianą klimatu w mało odpornych państwach trzecich, w tym przystosowanie się do skutków zmiany klimatu;</w:t>
            </w:r>
          </w:p>
          <w:p w14:paraId="2A323A0E" w14:textId="77777777" w:rsidR="00E93415" w:rsidRPr="003158EE" w:rsidRDefault="00E93415" w:rsidP="00E93415">
            <w:pPr>
              <w:pStyle w:val="note"/>
              <w:jc w:val="both"/>
              <w:rPr>
                <w:color w:val="000000"/>
              </w:rPr>
            </w:pPr>
            <w:r w:rsidRPr="003158EE">
              <w:rPr>
                <w:color w:val="000000"/>
              </w:rPr>
              <w:t>k)</w:t>
            </w:r>
            <w:r w:rsidRPr="003158EE">
              <w:rPr>
                <w:color w:val="000000"/>
              </w:rPr>
              <w:tab/>
              <w:t>wspieranie nabywania umiejętności i poszukiwania nowych miejsc pracy przez pracowników, aby przyczynić się do sprawiedliwego przejścia na gospodarkę niskoemisyjną, w szczególności w regionach, których najbardziej dotyczy transformacja miejsc pracy, w ścisłej współpracy z partnerami społecznymi.”</w:t>
            </w:r>
          </w:p>
          <w:p w14:paraId="63E9E5DE" w14:textId="77777777" w:rsidR="00E93415" w:rsidRPr="003158EE" w:rsidRDefault="00E93415" w:rsidP="00E93415">
            <w:pPr>
              <w:pStyle w:val="note"/>
              <w:jc w:val="both"/>
              <w:rPr>
                <w:color w:val="000000"/>
              </w:rPr>
            </w:pPr>
          </w:p>
          <w:p w14:paraId="1F244F61" w14:textId="77777777" w:rsidR="00E93415" w:rsidRPr="003158EE" w:rsidRDefault="00E93415" w:rsidP="00E93415">
            <w:pPr>
              <w:pStyle w:val="note"/>
              <w:jc w:val="both"/>
              <w:rPr>
                <w:color w:val="000000"/>
              </w:rPr>
            </w:pPr>
          </w:p>
          <w:p w14:paraId="4F05F03D" w14:textId="77777777" w:rsidR="00F837EE" w:rsidRPr="003158EE" w:rsidRDefault="00F837EE" w:rsidP="000672D3">
            <w:pPr>
              <w:pStyle w:val="note"/>
              <w:spacing w:before="0" w:beforeAutospacing="0" w:after="0" w:afterAutospacing="0"/>
              <w:jc w:val="both"/>
              <w:rPr>
                <w:color w:val="000000"/>
              </w:rPr>
            </w:pPr>
          </w:p>
        </w:tc>
        <w:tc>
          <w:tcPr>
            <w:tcW w:w="596" w:type="dxa"/>
          </w:tcPr>
          <w:p w14:paraId="31DE3040" w14:textId="77777777" w:rsidR="00F837EE" w:rsidRPr="003158EE" w:rsidRDefault="00F837EE" w:rsidP="000672D3">
            <w:pPr>
              <w:pStyle w:val="Default"/>
              <w:jc w:val="both"/>
              <w:rPr>
                <w:b/>
              </w:rPr>
            </w:pPr>
            <w:r w:rsidRPr="003158EE">
              <w:rPr>
                <w:b/>
              </w:rPr>
              <w:lastRenderedPageBreak/>
              <w:t>T</w:t>
            </w:r>
          </w:p>
        </w:tc>
        <w:tc>
          <w:tcPr>
            <w:tcW w:w="7342" w:type="dxa"/>
          </w:tcPr>
          <w:p w14:paraId="611450EC" w14:textId="77777777" w:rsidR="00AA08D0" w:rsidRPr="00911F6B" w:rsidRDefault="00AA08D0" w:rsidP="00911F6B">
            <w:pPr>
              <w:pStyle w:val="LITlitera"/>
              <w:ind w:left="0" w:firstLine="0"/>
              <w:rPr>
                <w:sz w:val="24"/>
                <w:szCs w:val="24"/>
              </w:rPr>
            </w:pPr>
            <w:r w:rsidRPr="00911F6B">
              <w:rPr>
                <w:sz w:val="24"/>
                <w:szCs w:val="24"/>
              </w:rPr>
              <w:t>Przepis dyrektywy został w pełni implementowany do polskiego prawa.</w:t>
            </w:r>
          </w:p>
          <w:p w14:paraId="535B0B9A" w14:textId="692475B4" w:rsidR="00AA08D0" w:rsidRDefault="00AA08D0" w:rsidP="00911F6B">
            <w:pPr>
              <w:pStyle w:val="LITlitera"/>
              <w:spacing w:line="240" w:lineRule="auto"/>
              <w:ind w:left="0" w:firstLine="0"/>
              <w:rPr>
                <w:rFonts w:ascii="Times New Roman" w:hAnsi="Times New Roman"/>
                <w:sz w:val="24"/>
                <w:szCs w:val="24"/>
              </w:rPr>
            </w:pPr>
            <w:r>
              <w:rPr>
                <w:rFonts w:ascii="Times New Roman" w:hAnsi="Times New Roman"/>
                <w:sz w:val="24"/>
                <w:szCs w:val="24"/>
              </w:rPr>
              <w:t>Ustawa</w:t>
            </w:r>
            <w:r w:rsidRPr="00AA08D0">
              <w:rPr>
                <w:rFonts w:ascii="Times New Roman" w:hAnsi="Times New Roman"/>
                <w:sz w:val="24"/>
                <w:szCs w:val="24"/>
              </w:rPr>
              <w:t xml:space="preserve"> z dnia 4 lipca 2019 r. o zmianie ustawy o systemie handlu uprawnieniami do emisji gazów cieplarnianych i niektórych innych ustaw (Dz. U. poz. 1501</w:t>
            </w:r>
            <w:r>
              <w:rPr>
                <w:rFonts w:ascii="Times New Roman" w:hAnsi="Times New Roman"/>
                <w:sz w:val="24"/>
                <w:szCs w:val="24"/>
              </w:rPr>
              <w:t>)</w:t>
            </w:r>
          </w:p>
          <w:p w14:paraId="60FD4328" w14:textId="77777777" w:rsidR="00AA08D0" w:rsidRDefault="00AA08D0" w:rsidP="00E93415">
            <w:pPr>
              <w:pStyle w:val="LITlitera"/>
              <w:spacing w:line="240" w:lineRule="auto"/>
              <w:rPr>
                <w:rFonts w:ascii="Times New Roman" w:hAnsi="Times New Roman"/>
                <w:sz w:val="24"/>
                <w:szCs w:val="24"/>
              </w:rPr>
            </w:pPr>
          </w:p>
          <w:p w14:paraId="3818FC6A" w14:textId="77777777" w:rsidR="00AA08D0" w:rsidRDefault="00E93415" w:rsidP="00E93415">
            <w:pPr>
              <w:pStyle w:val="LITlitera"/>
              <w:spacing w:line="240" w:lineRule="auto"/>
              <w:rPr>
                <w:rFonts w:ascii="Times New Roman" w:hAnsi="Times New Roman"/>
                <w:sz w:val="24"/>
                <w:szCs w:val="24"/>
              </w:rPr>
            </w:pPr>
            <w:r w:rsidRPr="003158EE">
              <w:rPr>
                <w:rFonts w:ascii="Times New Roman" w:hAnsi="Times New Roman"/>
                <w:sz w:val="24"/>
                <w:szCs w:val="24"/>
              </w:rPr>
              <w:t>Art. 1 pkt 31 lit c)</w:t>
            </w:r>
            <w:r w:rsidR="009C7E99" w:rsidRPr="003158EE">
              <w:rPr>
                <w:rFonts w:ascii="Times New Roman" w:hAnsi="Times New Roman"/>
                <w:sz w:val="24"/>
                <w:szCs w:val="24"/>
              </w:rPr>
              <w:t xml:space="preserve"> </w:t>
            </w:r>
          </w:p>
          <w:p w14:paraId="33EDC3CB" w14:textId="19128C18" w:rsidR="00E93415" w:rsidRPr="003158EE" w:rsidRDefault="00E93415" w:rsidP="00E93415">
            <w:pPr>
              <w:pStyle w:val="LITlitera"/>
              <w:spacing w:line="240" w:lineRule="auto"/>
              <w:rPr>
                <w:rFonts w:ascii="Times New Roman" w:hAnsi="Times New Roman"/>
                <w:sz w:val="24"/>
                <w:szCs w:val="24"/>
              </w:rPr>
            </w:pPr>
            <w:r w:rsidRPr="003158EE">
              <w:rPr>
                <w:rFonts w:ascii="Times New Roman" w:hAnsi="Times New Roman"/>
                <w:sz w:val="24"/>
                <w:szCs w:val="24"/>
              </w:rPr>
              <w:t>w ust. 6:</w:t>
            </w:r>
          </w:p>
          <w:p w14:paraId="437D1398" w14:textId="77777777" w:rsidR="00E93415" w:rsidRPr="003158EE" w:rsidRDefault="009C7E99" w:rsidP="00E93415">
            <w:pPr>
              <w:pStyle w:val="TIRtiret"/>
              <w:keepNext/>
              <w:rPr>
                <w:rFonts w:ascii="Times New Roman" w:hAnsi="Times New Roman" w:cs="Times New Roman"/>
                <w:szCs w:val="24"/>
              </w:rPr>
            </w:pPr>
            <w:r w:rsidRPr="003158EE">
              <w:rPr>
                <w:rFonts w:ascii="Times New Roman" w:hAnsi="Times New Roman" w:cs="Times New Roman"/>
                <w:szCs w:val="24"/>
              </w:rPr>
              <w:t xml:space="preserve">- </w:t>
            </w:r>
            <w:r w:rsidR="00E93415" w:rsidRPr="003158EE">
              <w:rPr>
                <w:rFonts w:ascii="Times New Roman" w:hAnsi="Times New Roman" w:cs="Times New Roman"/>
                <w:szCs w:val="24"/>
              </w:rPr>
              <w:t>wprowadzenie do wyliczenia otrzymuje brzmienie:</w:t>
            </w:r>
          </w:p>
          <w:p w14:paraId="306587AF" w14:textId="77777777" w:rsidR="00E93415" w:rsidRPr="003158EE" w:rsidRDefault="00E93415" w:rsidP="00E93415">
            <w:pPr>
              <w:pStyle w:val="ZTIRFRAGMzmnpwprdowyliczeniatiret"/>
              <w:rPr>
                <w:rFonts w:cs="Times New Roman"/>
              </w:rPr>
            </w:pPr>
            <w:r w:rsidRPr="003158EE">
              <w:rPr>
                <w:rFonts w:cs="Times New Roman"/>
              </w:rPr>
              <w:t>„Co najmniej połowę środków pieniężnych uzyskanych z aukcji uprawnień do emisji ogólnych w danym roku kalendarzowym lub ich równowartość przeznacza się przynajmniej na jeden spośród następujących celów:”,</w:t>
            </w:r>
          </w:p>
          <w:p w14:paraId="421319C5" w14:textId="77777777" w:rsidR="00E93415" w:rsidRPr="003158EE" w:rsidRDefault="00E93415" w:rsidP="00E93415">
            <w:pPr>
              <w:pStyle w:val="TIRtiret"/>
              <w:keepNext/>
              <w:rPr>
                <w:rFonts w:ascii="Times New Roman" w:hAnsi="Times New Roman" w:cs="Times New Roman"/>
                <w:szCs w:val="24"/>
              </w:rPr>
            </w:pPr>
            <w:r w:rsidRPr="003158EE">
              <w:rPr>
                <w:rFonts w:ascii="Times New Roman" w:hAnsi="Times New Roman" w:cs="Times New Roman"/>
                <w:szCs w:val="24"/>
              </w:rPr>
              <w:t>–</w:t>
            </w:r>
            <w:r w:rsidRPr="003158EE">
              <w:rPr>
                <w:rFonts w:ascii="Times New Roman" w:hAnsi="Times New Roman" w:cs="Times New Roman"/>
                <w:szCs w:val="24"/>
              </w:rPr>
              <w:tab/>
              <w:t>pkt 2 otrzymuje brzmienie:</w:t>
            </w:r>
          </w:p>
          <w:p w14:paraId="71D06232" w14:textId="77777777" w:rsidR="00E93415" w:rsidRPr="003158EE" w:rsidRDefault="00E93415" w:rsidP="00E93415">
            <w:pPr>
              <w:pStyle w:val="ZTIRPKTzmpkttiret"/>
              <w:rPr>
                <w:rFonts w:ascii="Times New Roman" w:hAnsi="Times New Roman" w:cs="Times New Roman"/>
                <w:szCs w:val="24"/>
              </w:rPr>
            </w:pPr>
            <w:r w:rsidRPr="003158EE">
              <w:rPr>
                <w:rFonts w:ascii="Times New Roman" w:hAnsi="Times New Roman" w:cs="Times New Roman"/>
                <w:szCs w:val="24"/>
              </w:rPr>
              <w:t>„2)</w:t>
            </w:r>
            <w:r w:rsidRPr="003158EE">
              <w:rPr>
                <w:rFonts w:ascii="Times New Roman" w:hAnsi="Times New Roman" w:cs="Times New Roman"/>
                <w:szCs w:val="24"/>
              </w:rPr>
              <w:tab/>
              <w:t xml:space="preserve">rozwój energii ze źródeł odnawialnych w celu realizacji zobowiązania Unii Europejskiej dotyczącego energii ze źródeł odnawialnych, jak również rozwój </w:t>
            </w:r>
            <w:r w:rsidRPr="003158EE">
              <w:rPr>
                <w:rFonts w:ascii="Times New Roman" w:hAnsi="Times New Roman" w:cs="Times New Roman"/>
                <w:szCs w:val="24"/>
              </w:rPr>
              <w:lastRenderedPageBreak/>
              <w:t>innych technologii przyczyniających się do przejścia do bezpiecznej i zrównoważonej gospodarki niskoemisyjnej oraz pomoc w realizacji zobowiązania Unii Europejskiej dotyczącego zwiększenia efektywności energetycznej do poziomu ustalonego w przepisach prawa Unii Europejskiej;”,</w:t>
            </w:r>
          </w:p>
          <w:p w14:paraId="62540AE1" w14:textId="77777777" w:rsidR="00E93415" w:rsidRPr="003158EE" w:rsidRDefault="00E93415" w:rsidP="00E93415">
            <w:pPr>
              <w:pStyle w:val="TIRtiret"/>
              <w:keepNext/>
              <w:rPr>
                <w:rFonts w:ascii="Times New Roman" w:hAnsi="Times New Roman" w:cs="Times New Roman"/>
                <w:szCs w:val="24"/>
              </w:rPr>
            </w:pPr>
            <w:r w:rsidRPr="003158EE">
              <w:rPr>
                <w:rFonts w:ascii="Times New Roman" w:hAnsi="Times New Roman" w:cs="Times New Roman"/>
                <w:szCs w:val="24"/>
              </w:rPr>
              <w:t>–</w:t>
            </w:r>
            <w:r w:rsidRPr="003158EE">
              <w:rPr>
                <w:rFonts w:ascii="Times New Roman" w:hAnsi="Times New Roman" w:cs="Times New Roman"/>
                <w:szCs w:val="24"/>
              </w:rPr>
              <w:tab/>
              <w:t>pkt 8 otrzymuje brzmienie:</w:t>
            </w:r>
          </w:p>
          <w:p w14:paraId="4D32372C" w14:textId="77777777" w:rsidR="00E93415" w:rsidRPr="003158EE" w:rsidRDefault="00E93415" w:rsidP="00E93415">
            <w:pPr>
              <w:pStyle w:val="ZTIRPKTzmpkttiret"/>
              <w:rPr>
                <w:rFonts w:ascii="Times New Roman" w:hAnsi="Times New Roman" w:cs="Times New Roman"/>
                <w:szCs w:val="24"/>
              </w:rPr>
            </w:pPr>
            <w:r w:rsidRPr="003158EE">
              <w:rPr>
                <w:rFonts w:ascii="Times New Roman" w:hAnsi="Times New Roman" w:cs="Times New Roman"/>
                <w:szCs w:val="24"/>
              </w:rPr>
              <w:t>„8)</w:t>
            </w:r>
            <w:r w:rsidRPr="003158EE">
              <w:rPr>
                <w:rFonts w:ascii="Times New Roman" w:hAnsi="Times New Roman" w:cs="Times New Roman"/>
                <w:szCs w:val="24"/>
              </w:rPr>
              <w:tab/>
              <w:t>działania służące zwiększeniu efektywności energetycznej, finansowaniu modernizacji i rozbudowy systemów sieci ciepłowniczych i termomodernizacji budynków lub dostarczeniu wsparcia finansowego w celu uwzględnienia aspektów społecznych w przypadku gospodarstw domowych o niskich i średnich dochodach;”,</w:t>
            </w:r>
          </w:p>
          <w:p w14:paraId="1A7B803C" w14:textId="77777777" w:rsidR="00E93415" w:rsidRPr="003158EE" w:rsidRDefault="00E93415" w:rsidP="00E93415">
            <w:pPr>
              <w:pStyle w:val="TIRtiret"/>
              <w:rPr>
                <w:rFonts w:ascii="Times New Roman" w:hAnsi="Times New Roman" w:cs="Times New Roman"/>
                <w:szCs w:val="24"/>
              </w:rPr>
            </w:pPr>
            <w:r w:rsidRPr="003158EE">
              <w:rPr>
                <w:rFonts w:ascii="Times New Roman" w:hAnsi="Times New Roman" w:cs="Times New Roman"/>
                <w:szCs w:val="24"/>
              </w:rPr>
              <w:t>–</w:t>
            </w:r>
            <w:r w:rsidRPr="003158EE">
              <w:rPr>
                <w:rFonts w:ascii="Times New Roman" w:hAnsi="Times New Roman" w:cs="Times New Roman"/>
                <w:szCs w:val="24"/>
              </w:rPr>
              <w:tab/>
              <w:t>uchyla się pkt 9,</w:t>
            </w:r>
          </w:p>
          <w:p w14:paraId="0EF32AD5" w14:textId="77777777" w:rsidR="00E93415" w:rsidRPr="003158EE" w:rsidRDefault="00E93415" w:rsidP="00E93415">
            <w:pPr>
              <w:pStyle w:val="TIRtiret"/>
              <w:keepNext/>
              <w:rPr>
                <w:rFonts w:ascii="Times New Roman" w:hAnsi="Times New Roman" w:cs="Times New Roman"/>
                <w:szCs w:val="24"/>
              </w:rPr>
            </w:pPr>
            <w:r w:rsidRPr="003158EE">
              <w:rPr>
                <w:rFonts w:ascii="Times New Roman" w:hAnsi="Times New Roman" w:cs="Times New Roman"/>
                <w:szCs w:val="24"/>
              </w:rPr>
              <w:t>–</w:t>
            </w:r>
            <w:r w:rsidRPr="003158EE">
              <w:rPr>
                <w:rFonts w:ascii="Times New Roman" w:hAnsi="Times New Roman" w:cs="Times New Roman"/>
                <w:szCs w:val="24"/>
              </w:rPr>
              <w:tab/>
              <w:t>w pkt 10 kropkę zastępuje się średnikiem i dodaje się pkt 11 i 12 w brzmieniu:</w:t>
            </w:r>
          </w:p>
          <w:p w14:paraId="21BEE73A" w14:textId="77777777" w:rsidR="00E93415" w:rsidRPr="003158EE" w:rsidRDefault="00E93415" w:rsidP="00E93415">
            <w:pPr>
              <w:pStyle w:val="ZTIRPKTzmpkttiret"/>
              <w:rPr>
                <w:rFonts w:ascii="Times New Roman" w:hAnsi="Times New Roman" w:cs="Times New Roman"/>
                <w:szCs w:val="24"/>
              </w:rPr>
            </w:pPr>
            <w:r w:rsidRPr="003158EE">
              <w:rPr>
                <w:rFonts w:ascii="Times New Roman" w:hAnsi="Times New Roman" w:cs="Times New Roman"/>
                <w:szCs w:val="24"/>
              </w:rPr>
              <w:t>„11)</w:t>
            </w:r>
            <w:r w:rsidRPr="003158EE">
              <w:rPr>
                <w:rFonts w:ascii="Times New Roman" w:hAnsi="Times New Roman" w:cs="Times New Roman"/>
                <w:szCs w:val="24"/>
              </w:rPr>
              <w:tab/>
              <w:t>finansowanie działań w związku ze zmianami klimatu, w tym działań związanych z przystosowaniem się do skutków tych zmian, w państwach trzecich wrażliwych na skutki zmian klimatu;</w:t>
            </w:r>
          </w:p>
          <w:p w14:paraId="33B9583D" w14:textId="77777777" w:rsidR="00E93415" w:rsidRPr="003158EE" w:rsidRDefault="00E93415" w:rsidP="00E93415">
            <w:pPr>
              <w:pStyle w:val="ZTIRPKTzmpkttiret"/>
              <w:rPr>
                <w:rFonts w:ascii="Times New Roman" w:hAnsi="Times New Roman" w:cs="Times New Roman"/>
                <w:szCs w:val="24"/>
              </w:rPr>
            </w:pPr>
            <w:r w:rsidRPr="003158EE">
              <w:rPr>
                <w:rFonts w:ascii="Times New Roman" w:hAnsi="Times New Roman" w:cs="Times New Roman"/>
                <w:szCs w:val="24"/>
              </w:rPr>
              <w:lastRenderedPageBreak/>
              <w:t>12)</w:t>
            </w:r>
            <w:r w:rsidRPr="003158EE">
              <w:rPr>
                <w:rFonts w:ascii="Times New Roman" w:hAnsi="Times New Roman" w:cs="Times New Roman"/>
                <w:szCs w:val="24"/>
              </w:rPr>
              <w:tab/>
              <w:t>wspieranie, we współpracy z partnerami społecznymi, nabywania umiejętności i poszukiwania nowych miejsc pracy przez pracowników w celu niwelowania skutków przejścia do gospodarki niskoemisyjnej, w szczególności w regionach, których najbardziej dotyczy transformacja miejsc pracy.”,</w:t>
            </w:r>
          </w:p>
          <w:p w14:paraId="687AF087" w14:textId="77777777" w:rsidR="00F837EE" w:rsidRPr="003158EE" w:rsidRDefault="00F837EE" w:rsidP="00E93415">
            <w:pPr>
              <w:pStyle w:val="ZTIRPKTzmpkttiret"/>
              <w:ind w:left="0" w:firstLine="0"/>
              <w:rPr>
                <w:rFonts w:ascii="Times New Roman" w:hAnsi="Times New Roman" w:cs="Times New Roman"/>
                <w:szCs w:val="24"/>
              </w:rPr>
            </w:pPr>
          </w:p>
        </w:tc>
      </w:tr>
      <w:tr w:rsidR="00556EA3" w:rsidRPr="003158EE" w14:paraId="62230757" w14:textId="77777777" w:rsidTr="00E93415">
        <w:tc>
          <w:tcPr>
            <w:tcW w:w="952" w:type="dxa"/>
          </w:tcPr>
          <w:p w14:paraId="66262609" w14:textId="4C41A220" w:rsidR="00556EA3" w:rsidRPr="003158EE" w:rsidRDefault="00556EA3" w:rsidP="000672D3">
            <w:pPr>
              <w:pStyle w:val="Default"/>
              <w:jc w:val="center"/>
              <w:rPr>
                <w:lang w:val="en-US"/>
              </w:rPr>
            </w:pPr>
            <w:r w:rsidRPr="003158EE">
              <w:rPr>
                <w:lang w:val="en-US"/>
              </w:rPr>
              <w:lastRenderedPageBreak/>
              <w:t>Art. 1 pkt 13 lit. d</w:t>
            </w:r>
          </w:p>
        </w:tc>
        <w:tc>
          <w:tcPr>
            <w:tcW w:w="5074" w:type="dxa"/>
          </w:tcPr>
          <w:p w14:paraId="6C24D6F2" w14:textId="003C34A1" w:rsidR="005778F6" w:rsidRPr="003158EE" w:rsidRDefault="005778F6" w:rsidP="005778F6">
            <w:pPr>
              <w:pStyle w:val="note"/>
              <w:jc w:val="both"/>
              <w:rPr>
                <w:color w:val="000000"/>
              </w:rPr>
            </w:pPr>
            <w:r w:rsidRPr="003158EE">
              <w:rPr>
                <w:color w:val="000000"/>
              </w:rPr>
              <w:t>d) ust. 4 akapity pierwszy, drugi i trzeci otrzymują brzmienie:</w:t>
            </w:r>
          </w:p>
          <w:p w14:paraId="5C56E5F1" w14:textId="77777777" w:rsidR="005778F6" w:rsidRPr="003158EE" w:rsidRDefault="005778F6" w:rsidP="005778F6">
            <w:pPr>
              <w:pStyle w:val="note"/>
              <w:jc w:val="both"/>
              <w:rPr>
                <w:color w:val="000000"/>
              </w:rPr>
            </w:pPr>
            <w:r w:rsidRPr="003158EE">
              <w:rPr>
                <w:color w:val="000000"/>
              </w:rPr>
              <w:t>„4.   W celu uzupełnienia niniejszej dyrektywy Komisja jest uprawniona do przyjmowania zgodnie z art. 23 aktów delegowanych dotyczących harmonogramu, kwestii administracyjnych oraz pozostałych aspektów sprzedaży aukcyjnej, tak by zapewnić prowadzenie tej sprzedaży w sposób otwarty, przejrzysty, zharmonizowany i niedyskryminujący. W tym celu proces musi być przewidywalny, w szczególności w odniesieniu do harmonogramu i przebiegu aukcji oraz szacunkowego wolumenu uprawnień, które mają być udostępnione.</w:t>
            </w:r>
          </w:p>
          <w:p w14:paraId="0CC03B46" w14:textId="77777777" w:rsidR="005778F6" w:rsidRPr="003158EE" w:rsidRDefault="005778F6" w:rsidP="005778F6">
            <w:pPr>
              <w:pStyle w:val="note"/>
              <w:jc w:val="both"/>
              <w:rPr>
                <w:color w:val="000000"/>
              </w:rPr>
            </w:pPr>
            <w:r w:rsidRPr="003158EE">
              <w:rPr>
                <w:color w:val="000000"/>
              </w:rPr>
              <w:t>Niniejsze akty delegowane zapewniają takie zaprojektowanie sprzedaży aukcyjnej, aby:</w:t>
            </w:r>
          </w:p>
          <w:p w14:paraId="7E498552" w14:textId="5BB2DA3B" w:rsidR="005778F6" w:rsidRPr="003158EE" w:rsidRDefault="005778F6" w:rsidP="005778F6">
            <w:pPr>
              <w:pStyle w:val="note"/>
              <w:jc w:val="both"/>
              <w:rPr>
                <w:color w:val="000000"/>
              </w:rPr>
            </w:pPr>
            <w:r w:rsidRPr="003158EE">
              <w:rPr>
                <w:color w:val="000000"/>
              </w:rPr>
              <w:lastRenderedPageBreak/>
              <w:t>a) operatorzy, a w szczególności wszystkie małe i średnie przedsiębiorstwa objęte EU ETS, miały pełny, uczciwy i sprawiedliwy dostęp do aukcji;</w:t>
            </w:r>
          </w:p>
          <w:p w14:paraId="28C17A77" w14:textId="191C001A" w:rsidR="005778F6" w:rsidRPr="003158EE" w:rsidRDefault="005778F6" w:rsidP="005778F6">
            <w:pPr>
              <w:pStyle w:val="note"/>
              <w:jc w:val="both"/>
              <w:rPr>
                <w:color w:val="000000"/>
              </w:rPr>
            </w:pPr>
            <w:r w:rsidRPr="003158EE">
              <w:rPr>
                <w:color w:val="000000"/>
              </w:rPr>
              <w:t>b) wszyscy uczestnicy mieli dostęp do tych samych informacji w tym samym czasie, oraz aby uczestnicy nie zakłócali przebiegu aukcji;</w:t>
            </w:r>
          </w:p>
          <w:p w14:paraId="1F71FF05" w14:textId="4CBA4544" w:rsidR="005778F6" w:rsidRPr="003158EE" w:rsidRDefault="005778F6" w:rsidP="005778F6">
            <w:pPr>
              <w:pStyle w:val="note"/>
              <w:jc w:val="both"/>
              <w:rPr>
                <w:color w:val="000000"/>
              </w:rPr>
            </w:pPr>
            <w:r w:rsidRPr="003158EE">
              <w:rPr>
                <w:color w:val="000000"/>
              </w:rPr>
              <w:t>c) organizacja aukcji i udział w nich były opłacalne i nie prowadziły do nieuzasadnionych kosztów administracyjnych; oraz</w:t>
            </w:r>
          </w:p>
          <w:p w14:paraId="22886FE5" w14:textId="1A0B4DBE" w:rsidR="005778F6" w:rsidRPr="003158EE" w:rsidRDefault="005778F6" w:rsidP="005778F6">
            <w:pPr>
              <w:pStyle w:val="note"/>
              <w:jc w:val="both"/>
              <w:rPr>
                <w:color w:val="000000"/>
              </w:rPr>
            </w:pPr>
            <w:r w:rsidRPr="003158EE">
              <w:rPr>
                <w:color w:val="000000"/>
              </w:rPr>
              <w:t>d) przyznać małym podmiotom dostęp do uprawnień.”;</w:t>
            </w:r>
          </w:p>
          <w:p w14:paraId="608E26DF" w14:textId="04480E2D" w:rsidR="00556EA3" w:rsidRPr="003158EE" w:rsidRDefault="00556EA3" w:rsidP="005778F6">
            <w:pPr>
              <w:pStyle w:val="note"/>
              <w:jc w:val="both"/>
              <w:rPr>
                <w:color w:val="000000"/>
              </w:rPr>
            </w:pPr>
          </w:p>
        </w:tc>
        <w:tc>
          <w:tcPr>
            <w:tcW w:w="596" w:type="dxa"/>
          </w:tcPr>
          <w:p w14:paraId="48761FAA" w14:textId="6FFFE011" w:rsidR="00556EA3" w:rsidRPr="003158EE" w:rsidRDefault="005778F6" w:rsidP="000672D3">
            <w:pPr>
              <w:pStyle w:val="Default"/>
              <w:jc w:val="both"/>
              <w:rPr>
                <w:b/>
              </w:rPr>
            </w:pPr>
            <w:r w:rsidRPr="003158EE">
              <w:rPr>
                <w:b/>
              </w:rPr>
              <w:lastRenderedPageBreak/>
              <w:t>N</w:t>
            </w:r>
          </w:p>
        </w:tc>
        <w:tc>
          <w:tcPr>
            <w:tcW w:w="7342" w:type="dxa"/>
          </w:tcPr>
          <w:p w14:paraId="76A990C0" w14:textId="77777777" w:rsidR="00556EA3" w:rsidRPr="003158EE" w:rsidRDefault="00556EA3" w:rsidP="00E93415">
            <w:pPr>
              <w:pStyle w:val="LITlitera"/>
              <w:spacing w:line="240" w:lineRule="auto"/>
              <w:rPr>
                <w:rFonts w:ascii="Times New Roman" w:hAnsi="Times New Roman"/>
                <w:sz w:val="24"/>
                <w:szCs w:val="24"/>
              </w:rPr>
            </w:pPr>
          </w:p>
        </w:tc>
      </w:tr>
      <w:tr w:rsidR="00EB6950" w:rsidRPr="003158EE" w14:paraId="314D10C6" w14:textId="77777777" w:rsidTr="00E93415">
        <w:tc>
          <w:tcPr>
            <w:tcW w:w="952" w:type="dxa"/>
          </w:tcPr>
          <w:p w14:paraId="6F2A17BF" w14:textId="5FD7EC2E" w:rsidR="00EB6950" w:rsidRPr="003158EE" w:rsidRDefault="00EB6950" w:rsidP="000672D3">
            <w:pPr>
              <w:pStyle w:val="Default"/>
              <w:jc w:val="center"/>
              <w:rPr>
                <w:lang w:val="en-US"/>
              </w:rPr>
            </w:pPr>
            <w:r w:rsidRPr="003158EE">
              <w:rPr>
                <w:lang w:val="en-US"/>
              </w:rPr>
              <w:lastRenderedPageBreak/>
              <w:t>Art. 1 pkt 13 lit. e</w:t>
            </w:r>
          </w:p>
        </w:tc>
        <w:tc>
          <w:tcPr>
            <w:tcW w:w="5074" w:type="dxa"/>
          </w:tcPr>
          <w:p w14:paraId="5B548F9D" w14:textId="77777777" w:rsidR="00EB6950" w:rsidRPr="003158EE" w:rsidRDefault="00EB6950" w:rsidP="00EB6950">
            <w:pPr>
              <w:pStyle w:val="note"/>
              <w:jc w:val="both"/>
              <w:rPr>
                <w:color w:val="000000"/>
              </w:rPr>
            </w:pPr>
            <w:r w:rsidRPr="003158EE">
              <w:rPr>
                <w:color w:val="000000"/>
              </w:rPr>
              <w:t>e) ust. 5 zdanie drugie otrzymuje brzmienie:</w:t>
            </w:r>
          </w:p>
          <w:p w14:paraId="3CDDF652" w14:textId="56166DE0" w:rsidR="00EB6950" w:rsidRPr="003158EE" w:rsidRDefault="00EB6950" w:rsidP="00EB6950">
            <w:pPr>
              <w:pStyle w:val="note"/>
              <w:jc w:val="both"/>
              <w:rPr>
                <w:color w:val="000000"/>
              </w:rPr>
            </w:pPr>
            <w:r w:rsidRPr="003158EE">
              <w:rPr>
                <w:color w:val="000000"/>
              </w:rPr>
              <w:t>„Co roku przedstawia Parlamentowi Europejskiemu i Radzie sprawozdanie dotyczące funkcjonowania rynku uprawnień do emisji dwutlenku węgla i innych stosownych polityk dotyczących klimatu i energii, w tym działań sprzedaży aukcyjnej, płynności i wolumenu obrotu, oraz zawierające zestawienie informacji przedstawionych przez państwa członkowskie na temat środków finansowych, o których mowa w art. 10a ust. 6.”;</w:t>
            </w:r>
          </w:p>
        </w:tc>
        <w:tc>
          <w:tcPr>
            <w:tcW w:w="596" w:type="dxa"/>
          </w:tcPr>
          <w:p w14:paraId="2A3F6C0D" w14:textId="3581FD2C" w:rsidR="00EB6950" w:rsidRPr="003158EE" w:rsidRDefault="00EB6950" w:rsidP="000672D3">
            <w:pPr>
              <w:pStyle w:val="Default"/>
              <w:jc w:val="both"/>
              <w:rPr>
                <w:b/>
              </w:rPr>
            </w:pPr>
            <w:r w:rsidRPr="003158EE">
              <w:rPr>
                <w:b/>
              </w:rPr>
              <w:t>N</w:t>
            </w:r>
          </w:p>
        </w:tc>
        <w:tc>
          <w:tcPr>
            <w:tcW w:w="7342" w:type="dxa"/>
          </w:tcPr>
          <w:p w14:paraId="5E20F468" w14:textId="77777777" w:rsidR="00EB6950" w:rsidRPr="003158EE" w:rsidRDefault="00EB6950" w:rsidP="00E93415">
            <w:pPr>
              <w:pStyle w:val="LITlitera"/>
              <w:spacing w:line="240" w:lineRule="auto"/>
              <w:rPr>
                <w:rFonts w:ascii="Times New Roman" w:hAnsi="Times New Roman"/>
                <w:sz w:val="24"/>
                <w:szCs w:val="24"/>
              </w:rPr>
            </w:pPr>
          </w:p>
        </w:tc>
      </w:tr>
      <w:bookmarkEnd w:id="13"/>
      <w:tr w:rsidR="00F837EE" w:rsidRPr="003158EE" w14:paraId="58C41B84" w14:textId="77777777" w:rsidTr="00E93415">
        <w:tc>
          <w:tcPr>
            <w:tcW w:w="952" w:type="dxa"/>
          </w:tcPr>
          <w:p w14:paraId="3DE980DB" w14:textId="6CE21323" w:rsidR="00F837EE" w:rsidRPr="003158EE" w:rsidRDefault="00F837EE" w:rsidP="000672D3">
            <w:pPr>
              <w:pStyle w:val="Default"/>
              <w:jc w:val="center"/>
              <w:rPr>
                <w:lang w:val="en-US"/>
              </w:rPr>
            </w:pPr>
            <w:r w:rsidRPr="003158EE">
              <w:rPr>
                <w:lang w:val="en-US"/>
              </w:rPr>
              <w:lastRenderedPageBreak/>
              <w:t xml:space="preserve">Art. 1 pkt 14 </w:t>
            </w:r>
            <w:r w:rsidR="00965C03" w:rsidRPr="003158EE">
              <w:rPr>
                <w:lang w:val="en-US"/>
              </w:rPr>
              <w:t>lit. a-c</w:t>
            </w:r>
          </w:p>
          <w:p w14:paraId="42012ACC" w14:textId="77777777" w:rsidR="00F837EE" w:rsidRPr="003158EE" w:rsidRDefault="00F837EE" w:rsidP="000672D3">
            <w:pPr>
              <w:pStyle w:val="Default"/>
              <w:jc w:val="center"/>
              <w:rPr>
                <w:lang w:val="en-US"/>
              </w:rPr>
            </w:pPr>
          </w:p>
        </w:tc>
        <w:tc>
          <w:tcPr>
            <w:tcW w:w="5074" w:type="dxa"/>
          </w:tcPr>
          <w:p w14:paraId="70C34782" w14:textId="77777777" w:rsidR="00860C3C" w:rsidRPr="003158EE" w:rsidRDefault="00860C3C" w:rsidP="00860C3C">
            <w:pPr>
              <w:pStyle w:val="Normalny4"/>
              <w:jc w:val="both"/>
            </w:pPr>
            <w:r w:rsidRPr="003158EE">
              <w:t xml:space="preserve">a) w ust. 1 akapity pierwszy i drugi otrzymują brzmienie: „1. Komisja jest uprawniona do przyjmowania zgodnie z art. 23 aktów delegowanych w celu uzupełnienia dyrektywy w zakresie ogólnounijnych i w pełni zharmonizowanych zasad przydzielania uprawnień, o których mowa w ust. 4, 5, 7 i 19 niniejszego artykułu.”; L 76/12 PL Dziennik Urzędowy Unii Europejskiej 19.3.2018 </w:t>
            </w:r>
          </w:p>
          <w:p w14:paraId="0E9B3593" w14:textId="77777777" w:rsidR="00860C3C" w:rsidRPr="003158EE" w:rsidRDefault="00860C3C" w:rsidP="00860C3C">
            <w:pPr>
              <w:pStyle w:val="Normalny4"/>
              <w:jc w:val="both"/>
            </w:pPr>
            <w:r w:rsidRPr="003158EE">
              <w:t xml:space="preserve">b) w ust. 2 dodaje się akapity w brzmieniu: „Komisja przyjmuje akty wykonawcze w celu określenia zmienionych wartości wskaźników przydzielania bezpłatnych uprawnień. Akty te są zgodne z aktami delegowanymi przyjętymi na mocy ust. 1 niniejszego artykułu i spełniają następujące warunki: </w:t>
            </w:r>
          </w:p>
          <w:p w14:paraId="7362F8E1" w14:textId="77777777" w:rsidR="00860C3C" w:rsidRPr="003158EE" w:rsidRDefault="00860C3C" w:rsidP="00860C3C">
            <w:pPr>
              <w:pStyle w:val="Normalny4"/>
              <w:jc w:val="both"/>
            </w:pPr>
            <w:r w:rsidRPr="003158EE">
              <w:t xml:space="preserve">a) w latach 2021–2025 wartości wskaźników określa się na podstawie informacji przekazanych zgodnie z art. 11 na lata 2016 i 2017. Na podstawie porównania wartości wskaźników z wartościami wskaźników zawartymi w decyzji Komisji 2011/278/UE (*), przyjętej dnia 27 kwietnia 2011 r., Komisja ustala roczną stopę redukcji dla każdego wskaźnika i stosuje ją do wartości wskaźnika mających zastosowanie w latach 2013–2020 w odniesieniu do każdego roku z okresu 2008–2023, aby określić wartości wskaźnika na okres 2021–2025; </w:t>
            </w:r>
          </w:p>
          <w:p w14:paraId="36F2BD96" w14:textId="77777777" w:rsidR="00860C3C" w:rsidRPr="003158EE" w:rsidRDefault="00860C3C" w:rsidP="00860C3C">
            <w:pPr>
              <w:pStyle w:val="Normalny4"/>
              <w:jc w:val="both"/>
            </w:pPr>
            <w:r w:rsidRPr="003158EE">
              <w:lastRenderedPageBreak/>
              <w:t xml:space="preserve">b) w przypadku gdy roczna stopa redukcji przekracza 1,6 % lub jest poniżej 0,2 %, wartości wskaźnika na okres 2021–2025 są wartościami wskaźnika mającymi zastosowanie w latach 2013–2020 zmniejszonymi o którąkolwiek wartość procentową spośród tych dwóch wartości procentowych w odniesieniu do każdego roku z okresu 2008–2023; </w:t>
            </w:r>
          </w:p>
          <w:p w14:paraId="195FE20F" w14:textId="77777777" w:rsidR="00860C3C" w:rsidRPr="003158EE" w:rsidRDefault="00860C3C" w:rsidP="00860C3C">
            <w:pPr>
              <w:pStyle w:val="Normalny4"/>
              <w:jc w:val="both"/>
            </w:pPr>
            <w:r w:rsidRPr="003158EE">
              <w:t xml:space="preserve">c) na lata 2026–2030 wartości wskaźników określa się w ten sam sposób jak określono w lit. a) i b) na podstawie informacji przekazanych zgodnie z art. 11 na lata 2021–2022 oraz na podstawie zastosowania rocznej stopy redukcji, w odniesieniu do każdego roku w latach 2008–2028. W drodze odstępstwa dotyczącego wartości wskaźników dla związków aromatycznych, wodoru i gazu syntezowego, wartości te są dostosowywane o tę samą wartość procentową co wskaźniki dotyczące rafinerii, aby zachować równe warunki dla producentów tych produktów. Te akty wykonawcze, o których mowa w ust. 3 przyjmuje się zgodnie z procedurą sprawdzającą, o której mowa w art. 22a ust. 2. Aby propagować sprawne odzyskiwanie energii z gazów odlotowych, w okresie, o którym mowa w lit. b) akapit trzeci, wartość wskaźnika dla gorącego metalu, który odnosi się głównie do gazów odlotowych, jest aktualizowana z zastosowaniem rocznego wskaźnika redukcji wynoszącego 0,2 %. </w:t>
            </w:r>
          </w:p>
          <w:p w14:paraId="0E7026A1" w14:textId="77777777" w:rsidR="00860C3C" w:rsidRPr="003158EE" w:rsidRDefault="00860C3C" w:rsidP="00860C3C">
            <w:pPr>
              <w:pStyle w:val="Normalny4"/>
              <w:jc w:val="both"/>
            </w:pPr>
            <w:r w:rsidRPr="003158EE">
              <w:lastRenderedPageBreak/>
              <w:t>c) ust. 4 otrzymuje brzmienie:</w:t>
            </w:r>
          </w:p>
          <w:p w14:paraId="7F86A568" w14:textId="77777777" w:rsidR="00860C3C" w:rsidRPr="003158EE" w:rsidRDefault="00860C3C" w:rsidP="00860C3C">
            <w:pPr>
              <w:pStyle w:val="Normalny4"/>
              <w:jc w:val="both"/>
            </w:pPr>
            <w:r w:rsidRPr="003158EE">
              <w:t>„4.   Bezpłatne uprawnienia przydziela się sieciom ciepłowniczym, jak również kogeneracji o wysokiej sprawności, określonej w dyrektywie Parlamentu Europejskiego i Rady 2012/27/UE (*4), w celu zaspokojenia ekonomicznie uzasadnionego popytu, w odniesieniu do wytwarzania energii cieplnej lub chłodu. W każdym roku następującym po roku 2013 całkowity przydział uprawnień dla takich instalacji w odniesieniu do wytwarzania energii cieplnej jest korygowany współczynnikiem liniowym, o którym mowa w art. 9 niniejszej dyrektywy, poza rokiem, w którym przydziały te są korygowane w jednolity sposób zgodnie z ust. 5 niniejszego artykułu.</w:t>
            </w:r>
          </w:p>
          <w:p w14:paraId="0C898B28" w14:textId="6B848C73" w:rsidR="00F837EE" w:rsidRPr="003158EE" w:rsidRDefault="00860C3C" w:rsidP="00860C3C">
            <w:pPr>
              <w:pStyle w:val="Normalny4"/>
              <w:spacing w:before="0" w:beforeAutospacing="0" w:after="0" w:afterAutospacing="0"/>
              <w:jc w:val="both"/>
            </w:pPr>
            <w:r w:rsidRPr="003158EE">
              <w:t>(*4)  Dyrektywa Parlamentu Europejskiego i Rady 2012/27/UE z dnia 25 października 2012 r. w sprawie efektywności energetycznej, zmiany dyrektyw 2009/125/WE i 2010/30/UE oraz uchylenia dyrektyw 2004/8/WE i 2006/32/WE (Dz.U. L 315 z 14.11.2012, s. 1).”;"</w:t>
            </w:r>
          </w:p>
        </w:tc>
        <w:tc>
          <w:tcPr>
            <w:tcW w:w="596" w:type="dxa"/>
          </w:tcPr>
          <w:p w14:paraId="13AC4325" w14:textId="77777777" w:rsidR="00F837EE" w:rsidRPr="003158EE" w:rsidRDefault="00F837EE" w:rsidP="000672D3">
            <w:pPr>
              <w:pStyle w:val="Default"/>
              <w:jc w:val="both"/>
              <w:rPr>
                <w:b/>
              </w:rPr>
            </w:pPr>
            <w:r w:rsidRPr="003158EE">
              <w:rPr>
                <w:b/>
              </w:rPr>
              <w:lastRenderedPageBreak/>
              <w:t>T</w:t>
            </w:r>
          </w:p>
        </w:tc>
        <w:tc>
          <w:tcPr>
            <w:tcW w:w="7342" w:type="dxa"/>
          </w:tcPr>
          <w:p w14:paraId="14078D5A" w14:textId="77777777" w:rsidR="00AA08D0" w:rsidRPr="00AA08D0" w:rsidRDefault="00AA08D0" w:rsidP="00AA08D0">
            <w:pPr>
              <w:pStyle w:val="ZTIRDZPRZEDMzmprzedmdziautiret"/>
              <w:spacing w:line="240" w:lineRule="auto"/>
              <w:ind w:left="0"/>
              <w:jc w:val="left"/>
            </w:pPr>
            <w:r w:rsidRPr="00AA08D0">
              <w:t>Przepis dyrektywy został w pełni implementowany do polskiego prawa.</w:t>
            </w:r>
          </w:p>
          <w:p w14:paraId="0BBE02C6" w14:textId="77777777" w:rsidR="00AA08D0" w:rsidRDefault="00AA08D0" w:rsidP="00AA08D0">
            <w:pPr>
              <w:pStyle w:val="ZTIRDZPRZEDMzmprzedmdziautiret"/>
              <w:ind w:left="0"/>
              <w:jc w:val="left"/>
            </w:pPr>
          </w:p>
          <w:p w14:paraId="00C66C8C" w14:textId="30501839" w:rsidR="00AA08D0" w:rsidRPr="00AA08D0" w:rsidRDefault="00AA08D0" w:rsidP="001209CD">
            <w:pPr>
              <w:pStyle w:val="ZTIRDZPRZEDMzmprzedmdziautiret"/>
              <w:spacing w:line="240" w:lineRule="auto"/>
              <w:ind w:left="0"/>
              <w:jc w:val="left"/>
            </w:pPr>
            <w:r w:rsidRPr="00AA08D0">
              <w:t>Ustawa z dnia 4 lipca 2019 r. o zmianie ustawy o systemie handlu uprawnieniami do emisji gazów cieplarnianych i niektórych innych ustaw (Dz. U. poz. 1501</w:t>
            </w:r>
          </w:p>
          <w:p w14:paraId="014E679D" w14:textId="77777777" w:rsidR="00AA08D0" w:rsidRDefault="00AA08D0" w:rsidP="000672D3">
            <w:pPr>
              <w:pStyle w:val="ZTIRDZPRZEDMzmprzedmdziautiret"/>
              <w:spacing w:line="240" w:lineRule="auto"/>
              <w:ind w:left="0"/>
              <w:jc w:val="left"/>
              <w:rPr>
                <w:rFonts w:ascii="Times New Roman" w:hAnsi="Times New Roman"/>
                <w:szCs w:val="24"/>
              </w:rPr>
            </w:pPr>
          </w:p>
          <w:p w14:paraId="5C715351" w14:textId="77777777" w:rsidR="00AA08D0" w:rsidRDefault="00AA08D0" w:rsidP="000672D3">
            <w:pPr>
              <w:pStyle w:val="ZTIRDZPRZEDMzmprzedmdziautiret"/>
              <w:spacing w:line="240" w:lineRule="auto"/>
              <w:ind w:left="0"/>
              <w:jc w:val="left"/>
              <w:rPr>
                <w:rFonts w:ascii="Times New Roman" w:hAnsi="Times New Roman"/>
                <w:szCs w:val="24"/>
              </w:rPr>
            </w:pPr>
          </w:p>
          <w:p w14:paraId="52988C1A" w14:textId="77953DFF" w:rsidR="00F837EE" w:rsidRPr="003158EE" w:rsidRDefault="00F837EE" w:rsidP="000672D3">
            <w:pPr>
              <w:pStyle w:val="ZTIRDZPRZEDMzmprzedmdziautiret"/>
              <w:spacing w:line="240" w:lineRule="auto"/>
              <w:ind w:left="0"/>
              <w:jc w:val="left"/>
              <w:rPr>
                <w:rFonts w:ascii="Times New Roman" w:hAnsi="Times New Roman"/>
                <w:szCs w:val="24"/>
              </w:rPr>
            </w:pPr>
            <w:r w:rsidRPr="003158EE">
              <w:rPr>
                <w:rFonts w:ascii="Times New Roman" w:hAnsi="Times New Roman"/>
                <w:szCs w:val="24"/>
              </w:rPr>
              <w:t>Art. 1 pkt 16</w:t>
            </w:r>
            <w:r w:rsidR="00054EFF">
              <w:rPr>
                <w:rFonts w:ascii="Times New Roman" w:hAnsi="Times New Roman"/>
                <w:szCs w:val="24"/>
              </w:rPr>
              <w:t>:</w:t>
            </w:r>
            <w:r w:rsidRPr="003158EE">
              <w:rPr>
                <w:rFonts w:ascii="Times New Roman" w:hAnsi="Times New Roman"/>
                <w:szCs w:val="24"/>
              </w:rPr>
              <w:t xml:space="preserve"> po rozdziale 5 dodaje się rozdziały 5a w brzmieniu</w:t>
            </w:r>
          </w:p>
          <w:p w14:paraId="41439AFC" w14:textId="77777777" w:rsidR="000672D3" w:rsidRPr="003158EE" w:rsidRDefault="000672D3" w:rsidP="000672D3">
            <w:pPr>
              <w:pStyle w:val="ZROZDZODDZOZNzmoznrozdzoddzartykuempunktem"/>
              <w:rPr>
                <w:rFonts w:ascii="Times New Roman" w:hAnsi="Times New Roman" w:cs="Times New Roman"/>
              </w:rPr>
            </w:pPr>
            <w:r w:rsidRPr="003158EE">
              <w:rPr>
                <w:rFonts w:ascii="Times New Roman" w:hAnsi="Times New Roman" w:cs="Times New Roman"/>
              </w:rPr>
              <w:t>„Rozdział 5a</w:t>
            </w:r>
          </w:p>
          <w:p w14:paraId="599D91B5" w14:textId="77777777" w:rsidR="000672D3" w:rsidRPr="003158EE" w:rsidRDefault="000672D3" w:rsidP="000672D3">
            <w:pPr>
              <w:pStyle w:val="ZROZDZODDZPRZEDMzmprzedmrozdzoddzartykuempunktem"/>
              <w:rPr>
                <w:rFonts w:ascii="Times New Roman" w:hAnsi="Times New Roman"/>
              </w:rPr>
            </w:pPr>
            <w:r w:rsidRPr="003158EE">
              <w:rPr>
                <w:rFonts w:ascii="Times New Roman" w:hAnsi="Times New Roman"/>
              </w:rPr>
              <w:t xml:space="preserve">Przydział uprawnień do emisji na produkcję inną niż produkcja energii elektrycznej w okresie rozliczeniowym 2021–2030 oraz w kolejnych okresach rozliczeniowych </w:t>
            </w:r>
          </w:p>
          <w:p w14:paraId="0CEBB6A2" w14:textId="77777777" w:rsidR="000672D3" w:rsidRPr="003158EE" w:rsidRDefault="000672D3" w:rsidP="000672D3">
            <w:pPr>
              <w:pStyle w:val="ZARTzmartartykuempunktem"/>
              <w:rPr>
                <w:rFonts w:ascii="Times New Roman" w:hAnsi="Times New Roman" w:cs="Times New Roman"/>
                <w:szCs w:val="24"/>
              </w:rPr>
            </w:pPr>
            <w:r w:rsidRPr="003158EE">
              <w:rPr>
                <w:rFonts w:ascii="Times New Roman" w:hAnsi="Times New Roman" w:cs="Times New Roman"/>
                <w:szCs w:val="24"/>
              </w:rPr>
              <w:t xml:space="preserve">Art. 26a. 1. Ilekroć w niniejszym rozdziale jest mowa o wniosku o przydział uprawnień do emisji, rozumie się przez to wniosek o przydział uprawnień do emisji, o którym mowa w art. 4 rozporządzenia Komisji (UE) 2019/331. </w:t>
            </w:r>
          </w:p>
          <w:p w14:paraId="49CA0B37" w14:textId="77777777" w:rsidR="000672D3" w:rsidRPr="003158EE" w:rsidRDefault="000672D3" w:rsidP="000672D3">
            <w:pPr>
              <w:pStyle w:val="ZARTzmartartykuempunktem"/>
              <w:rPr>
                <w:rFonts w:ascii="Times New Roman" w:hAnsi="Times New Roman" w:cs="Times New Roman"/>
                <w:szCs w:val="24"/>
              </w:rPr>
            </w:pPr>
            <w:r w:rsidRPr="003158EE">
              <w:rPr>
                <w:rFonts w:ascii="Times New Roman" w:hAnsi="Times New Roman" w:cs="Times New Roman"/>
                <w:szCs w:val="24"/>
              </w:rPr>
              <w:t>2. Uprawnienia do emisji dla instalacji na produkcję inną niż produkcja energii elektrycznej są przydzielane na podstawie wniosku o przydział uprawnień do emisji.</w:t>
            </w:r>
          </w:p>
          <w:p w14:paraId="671D16D1" w14:textId="77777777" w:rsidR="000672D3" w:rsidRPr="003158EE" w:rsidRDefault="000672D3" w:rsidP="000672D3">
            <w:pPr>
              <w:pStyle w:val="ZARTzmartartykuempunktem"/>
              <w:rPr>
                <w:rFonts w:ascii="Times New Roman" w:hAnsi="Times New Roman" w:cs="Times New Roman"/>
                <w:szCs w:val="24"/>
              </w:rPr>
            </w:pPr>
            <w:r w:rsidRPr="003158EE">
              <w:rPr>
                <w:rFonts w:ascii="Times New Roman" w:hAnsi="Times New Roman" w:cs="Times New Roman"/>
                <w:szCs w:val="24"/>
              </w:rPr>
              <w:t xml:space="preserve">Art. 26b. 1. Wniosek o przydział uprawnień do emisji składa się do Krajowego ośrodka co 5 lat, w terminie do 29 czerwca, na formularzu dostępnym na jego stronie internetowej w postaci </w:t>
            </w:r>
            <w:r w:rsidRPr="003158EE">
              <w:rPr>
                <w:rFonts w:ascii="Times New Roman" w:hAnsi="Times New Roman" w:cs="Times New Roman"/>
                <w:szCs w:val="24"/>
              </w:rPr>
              <w:lastRenderedPageBreak/>
              <w:t>papierowej i postaci elektronicznej umożliwiającej przetwarzanie zawartych w nim danych.</w:t>
            </w:r>
          </w:p>
          <w:p w14:paraId="620147F6" w14:textId="77777777" w:rsidR="000672D3" w:rsidRPr="003158EE" w:rsidRDefault="000672D3" w:rsidP="000672D3">
            <w:pPr>
              <w:pStyle w:val="ZUSTzmustartykuempunktem"/>
              <w:rPr>
                <w:rFonts w:ascii="Times New Roman" w:hAnsi="Times New Roman" w:cs="Times New Roman"/>
                <w:szCs w:val="24"/>
              </w:rPr>
            </w:pPr>
            <w:r w:rsidRPr="003158EE">
              <w:rPr>
                <w:rFonts w:ascii="Times New Roman" w:hAnsi="Times New Roman" w:cs="Times New Roman"/>
                <w:szCs w:val="24"/>
              </w:rPr>
              <w:t xml:space="preserve">2. Koszty weryfikacji raportu dotyczącego danych podstawowych, o którym mowa w art. 4 ust. 2 lit. a rozporządzenia Komisji (UE) 2019/331, ponosi prowadzący instalację. </w:t>
            </w:r>
          </w:p>
          <w:p w14:paraId="663281C1" w14:textId="77777777" w:rsidR="000672D3" w:rsidRPr="003158EE" w:rsidRDefault="000672D3" w:rsidP="000672D3">
            <w:pPr>
              <w:pStyle w:val="ZUSTzmustartykuempunktem"/>
              <w:rPr>
                <w:rFonts w:ascii="Times New Roman" w:hAnsi="Times New Roman" w:cs="Times New Roman"/>
                <w:szCs w:val="24"/>
              </w:rPr>
            </w:pPr>
            <w:r w:rsidRPr="003158EE">
              <w:rPr>
                <w:rFonts w:ascii="Times New Roman" w:hAnsi="Times New Roman" w:cs="Times New Roman"/>
                <w:szCs w:val="24"/>
              </w:rPr>
              <w:t xml:space="preserve">3. Jeżeli wniosek o przydział uprawnień do emisji nie spełnia wymogów, o których mowa w art. 4 rozporządzenia Komisji (UE) 2019/331, Krajowy ośrodek wzywa prowadzącego instalację do usunięcia braków w terminie nie dłuższym niż 14 dni od dnia doręczenia wezwania. </w:t>
            </w:r>
          </w:p>
          <w:p w14:paraId="3AA8BDB4" w14:textId="77777777" w:rsidR="000672D3" w:rsidRPr="003158EE" w:rsidRDefault="000672D3" w:rsidP="000672D3">
            <w:pPr>
              <w:pStyle w:val="ZARTzmartartykuempunktem"/>
              <w:rPr>
                <w:rFonts w:ascii="Times New Roman" w:hAnsi="Times New Roman" w:cs="Times New Roman"/>
                <w:szCs w:val="24"/>
              </w:rPr>
            </w:pPr>
            <w:r w:rsidRPr="003158EE">
              <w:rPr>
                <w:rFonts w:ascii="Times New Roman" w:hAnsi="Times New Roman" w:cs="Times New Roman"/>
                <w:szCs w:val="24"/>
              </w:rPr>
              <w:t>Art. 26c. Krajowy ośrodek sprawdza wniosek o przydział uprawnień do emisji w zakresie kompletności danych oraz zgodności z przepisami rozporządzenia Komisji (UE) 2019/331 oraz z przepisami ustawy, a także z informacjami zawartymi w zezwoleniu, o którym mowa w art. 52 ust. 1,</w:t>
            </w:r>
            <w:r w:rsidRPr="003158EE">
              <w:rPr>
                <w:rStyle w:val="Ppogrubienie"/>
                <w:rFonts w:ascii="Times New Roman" w:hAnsi="Times New Roman" w:cs="Times New Roman"/>
                <w:szCs w:val="24"/>
              </w:rPr>
              <w:t xml:space="preserve"> </w:t>
            </w:r>
            <w:r w:rsidRPr="003158EE">
              <w:rPr>
                <w:rFonts w:ascii="Times New Roman" w:hAnsi="Times New Roman" w:cs="Times New Roman"/>
                <w:szCs w:val="24"/>
              </w:rPr>
              <w:t>i pozwoleniach, o których mowa w art. 53 ust. 2 pkt 1.</w:t>
            </w:r>
          </w:p>
          <w:p w14:paraId="76826E24" w14:textId="77777777" w:rsidR="000672D3" w:rsidRPr="003158EE" w:rsidRDefault="000672D3" w:rsidP="000672D3">
            <w:pPr>
              <w:pStyle w:val="ZARTzmartartykuempunktem"/>
              <w:rPr>
                <w:rFonts w:ascii="Times New Roman" w:hAnsi="Times New Roman" w:cs="Times New Roman"/>
                <w:szCs w:val="24"/>
              </w:rPr>
            </w:pPr>
            <w:r w:rsidRPr="003158EE">
              <w:rPr>
                <w:rFonts w:ascii="Times New Roman" w:hAnsi="Times New Roman" w:cs="Times New Roman"/>
                <w:szCs w:val="24"/>
              </w:rPr>
              <w:t>Art. 26d. 1. Krajowy ośrodek przygotowuje projekt wykazu instalacji, dla których planowany jest przydział uprawnień do emisji na produkcję inną niż produkcja energii elektrycznej na okres, na który przydzielane są uprawnienia.</w:t>
            </w:r>
          </w:p>
          <w:p w14:paraId="04C84D6C" w14:textId="77777777" w:rsidR="000672D3" w:rsidRPr="003158EE" w:rsidRDefault="000672D3" w:rsidP="000672D3">
            <w:pPr>
              <w:pStyle w:val="ZUSTzmustartykuempunktem"/>
              <w:rPr>
                <w:rFonts w:ascii="Times New Roman" w:hAnsi="Times New Roman" w:cs="Times New Roman"/>
                <w:szCs w:val="24"/>
              </w:rPr>
            </w:pPr>
            <w:r w:rsidRPr="003158EE">
              <w:rPr>
                <w:rFonts w:ascii="Times New Roman" w:hAnsi="Times New Roman" w:cs="Times New Roman"/>
                <w:szCs w:val="24"/>
              </w:rPr>
              <w:lastRenderedPageBreak/>
              <w:t>2. Krajowy ośrodek przekazuje ministrowi właściwemu do spraw środowiska projekt wykazu, o którym mowa w ust. 1.</w:t>
            </w:r>
          </w:p>
          <w:p w14:paraId="134EE2E8" w14:textId="77777777" w:rsidR="000672D3" w:rsidRPr="003158EE" w:rsidRDefault="000672D3" w:rsidP="000672D3">
            <w:pPr>
              <w:pStyle w:val="ZUSTzmustartykuempunktem"/>
              <w:rPr>
                <w:rFonts w:ascii="Times New Roman" w:hAnsi="Times New Roman" w:cs="Times New Roman"/>
                <w:szCs w:val="24"/>
              </w:rPr>
            </w:pPr>
            <w:r w:rsidRPr="003158EE">
              <w:rPr>
                <w:rFonts w:ascii="Times New Roman" w:hAnsi="Times New Roman" w:cs="Times New Roman"/>
                <w:szCs w:val="24"/>
              </w:rPr>
              <w:t>3. Minister właściwy do spraw środowiska przekazuje Komisji Europejskiej wykaz instalacji, o którym mowa w ust. 1.</w:t>
            </w:r>
          </w:p>
          <w:p w14:paraId="54639A5F" w14:textId="77777777" w:rsidR="000672D3" w:rsidRPr="003158EE" w:rsidRDefault="000672D3" w:rsidP="000672D3">
            <w:pPr>
              <w:pStyle w:val="ZARTzmartartykuempunktem"/>
              <w:rPr>
                <w:rFonts w:ascii="Times New Roman" w:hAnsi="Times New Roman" w:cs="Times New Roman"/>
                <w:szCs w:val="24"/>
              </w:rPr>
            </w:pPr>
            <w:r w:rsidRPr="003158EE">
              <w:rPr>
                <w:rFonts w:ascii="Times New Roman" w:hAnsi="Times New Roman" w:cs="Times New Roman"/>
                <w:szCs w:val="24"/>
              </w:rPr>
              <w:t>Art. 26e. 1. Krajowy ośrodek określa dla instalacji wstępną liczbę uprawnień do emisji zgodnie z art. 14 ust. 5 rozporządzenia Komisji (UE) 2019/331 i przekazuje informację o tej liczbie ministrowi właściwemu do spraw środowiska w celu zgłoszenia Komisji Europejskiej zgodnie z art. 14 ust. 5 tego rozporządzenia.</w:t>
            </w:r>
          </w:p>
          <w:p w14:paraId="0C262248" w14:textId="77777777" w:rsidR="000672D3" w:rsidRPr="003158EE" w:rsidRDefault="000672D3" w:rsidP="000672D3">
            <w:pPr>
              <w:pStyle w:val="ZUSTzmustartykuempunktem"/>
              <w:rPr>
                <w:rFonts w:ascii="Times New Roman" w:hAnsi="Times New Roman" w:cs="Times New Roman"/>
                <w:szCs w:val="24"/>
              </w:rPr>
            </w:pPr>
            <w:r w:rsidRPr="003158EE">
              <w:rPr>
                <w:rFonts w:ascii="Times New Roman" w:hAnsi="Times New Roman" w:cs="Times New Roman"/>
                <w:szCs w:val="24"/>
              </w:rPr>
              <w:t xml:space="preserve">2. Po określeniu przez Komisję Europejską współczynnika, o którym mowa w art. 14 ust. 6 rozporządzenia Komisji (UE) 2019/331, Krajowy ośrodek oblicza ostateczną roczną liczbę uprawnień do emisji zgodnie z art. 16 ust. 8 tego rozporządzenia. </w:t>
            </w:r>
          </w:p>
          <w:p w14:paraId="2DFDC99F" w14:textId="77777777" w:rsidR="000672D3" w:rsidRPr="003158EE" w:rsidRDefault="000672D3" w:rsidP="000672D3">
            <w:pPr>
              <w:pStyle w:val="ZUSTzmustartykuempunktem"/>
              <w:rPr>
                <w:rFonts w:ascii="Times New Roman" w:hAnsi="Times New Roman" w:cs="Times New Roman"/>
                <w:szCs w:val="24"/>
              </w:rPr>
            </w:pPr>
            <w:r w:rsidRPr="003158EE">
              <w:rPr>
                <w:rFonts w:ascii="Times New Roman" w:hAnsi="Times New Roman" w:cs="Times New Roman"/>
                <w:szCs w:val="24"/>
              </w:rPr>
              <w:t>3. Minister właściwy do spraw środowiska ogłasza w Biuletynie Informacji Publicznej na stronie podmiotowej urzędu obsługującego tego ministra ostateczną roczną liczbę uprawnień do emisji obliczoną zgodnie z art. 16 ust. 8 rozporządzenia Komisji (UE) 2019/331.</w:t>
            </w:r>
          </w:p>
          <w:p w14:paraId="7C2CABB4" w14:textId="77777777" w:rsidR="00F837EE" w:rsidRPr="003158EE" w:rsidRDefault="00F837EE" w:rsidP="000672D3">
            <w:pPr>
              <w:pStyle w:val="ZPKTzmpktartykuempunktem"/>
              <w:spacing w:line="240" w:lineRule="auto"/>
              <w:ind w:left="510"/>
              <w:rPr>
                <w:rFonts w:ascii="Times New Roman" w:hAnsi="Times New Roman" w:cs="Times New Roman"/>
                <w:szCs w:val="24"/>
              </w:rPr>
            </w:pPr>
          </w:p>
        </w:tc>
      </w:tr>
      <w:tr w:rsidR="00F837EE" w:rsidRPr="003158EE" w14:paraId="3FB7F120" w14:textId="77777777" w:rsidTr="00E93415">
        <w:tc>
          <w:tcPr>
            <w:tcW w:w="952" w:type="dxa"/>
          </w:tcPr>
          <w:p w14:paraId="76606BFE" w14:textId="77777777" w:rsidR="00F837EE" w:rsidRPr="003158EE" w:rsidRDefault="00F837EE" w:rsidP="000672D3">
            <w:pPr>
              <w:pStyle w:val="Default"/>
              <w:jc w:val="center"/>
            </w:pPr>
            <w:r w:rsidRPr="003158EE">
              <w:lastRenderedPageBreak/>
              <w:t xml:space="preserve">Art. 1 pkt 14 lit. d) </w:t>
            </w:r>
          </w:p>
          <w:p w14:paraId="6C1BF5B1" w14:textId="77777777" w:rsidR="00F837EE" w:rsidRPr="003158EE" w:rsidRDefault="00F837EE" w:rsidP="000672D3">
            <w:pPr>
              <w:pStyle w:val="Default"/>
              <w:jc w:val="center"/>
            </w:pPr>
          </w:p>
        </w:tc>
        <w:tc>
          <w:tcPr>
            <w:tcW w:w="5074" w:type="dxa"/>
          </w:tcPr>
          <w:p w14:paraId="07AD8269" w14:textId="77777777" w:rsidR="007B40A4" w:rsidRPr="003158EE" w:rsidRDefault="007B40A4" w:rsidP="000672D3">
            <w:pPr>
              <w:pStyle w:val="note"/>
              <w:spacing w:before="0" w:beforeAutospacing="0" w:after="0" w:afterAutospacing="0"/>
              <w:jc w:val="both"/>
              <w:rPr>
                <w:color w:val="000000"/>
              </w:rPr>
            </w:pPr>
            <w:r w:rsidRPr="003158EE">
              <w:rPr>
                <w:color w:val="000000"/>
              </w:rPr>
              <w:t>d) ust. 5 otrzymuje brzmienie:</w:t>
            </w:r>
          </w:p>
          <w:p w14:paraId="2670BA68" w14:textId="77777777" w:rsidR="00F837EE" w:rsidRPr="003158EE" w:rsidRDefault="007B40A4" w:rsidP="000672D3">
            <w:pPr>
              <w:pStyle w:val="note"/>
              <w:spacing w:before="0" w:beforeAutospacing="0" w:after="0" w:afterAutospacing="0"/>
              <w:jc w:val="both"/>
              <w:rPr>
                <w:color w:val="000000"/>
              </w:rPr>
            </w:pPr>
            <w:r w:rsidRPr="003158EE">
              <w:rPr>
                <w:color w:val="000000"/>
              </w:rPr>
              <w:t xml:space="preserve">„5.   W celu zachowania określonego w art. 10 udziału uprawnień, które mają zostać sprzedane na aukcji, w każdym roku, w którym suma przydziałów bezpłatnych uprawnień nie osiągnie maksymalnej liczby odpowiadającej udziałom, </w:t>
            </w:r>
            <w:r w:rsidRPr="003158EE">
              <w:rPr>
                <w:color w:val="000000"/>
              </w:rPr>
              <w:lastRenderedPageBreak/>
              <w:t>które mają zostać sprzedane na aukcji, pozostałe uprawnienia maksymalnie do tej liczby wykorzystuje się do zapobieżenia lub ograniczenia zmniejszania przydziału bezpłatnych uprawnień, tak aby w kolejnych latach udział uprawnień, które mają zostać sprzedane na aukcji, został zachowany. Jeżeli jednak maksymalna liczba została osiągnięta, przydział bezpłatnych uprawnień jest odpowiednio dostosowywany. Wszelkich takich dostosowań dokonuje się w sposób jednolity.”;</w:t>
            </w:r>
          </w:p>
        </w:tc>
        <w:tc>
          <w:tcPr>
            <w:tcW w:w="596" w:type="dxa"/>
          </w:tcPr>
          <w:p w14:paraId="4DABED77" w14:textId="77777777" w:rsidR="00F837EE" w:rsidRPr="003158EE" w:rsidRDefault="00F837EE" w:rsidP="000672D3">
            <w:pPr>
              <w:pStyle w:val="Default"/>
              <w:jc w:val="both"/>
              <w:rPr>
                <w:b/>
              </w:rPr>
            </w:pPr>
            <w:r w:rsidRPr="003158EE">
              <w:rPr>
                <w:b/>
              </w:rPr>
              <w:lastRenderedPageBreak/>
              <w:t>N</w:t>
            </w:r>
          </w:p>
        </w:tc>
        <w:tc>
          <w:tcPr>
            <w:tcW w:w="7342" w:type="dxa"/>
          </w:tcPr>
          <w:p w14:paraId="57C1C539" w14:textId="77777777" w:rsidR="00F837EE" w:rsidRPr="003158EE" w:rsidRDefault="00F837EE" w:rsidP="000672D3">
            <w:pPr>
              <w:pStyle w:val="ZPKTzmpktartykuempunktem"/>
              <w:spacing w:line="240" w:lineRule="auto"/>
              <w:ind w:left="510"/>
              <w:rPr>
                <w:rFonts w:ascii="Times New Roman" w:hAnsi="Times New Roman" w:cs="Times New Roman"/>
                <w:szCs w:val="24"/>
              </w:rPr>
            </w:pPr>
          </w:p>
        </w:tc>
      </w:tr>
      <w:tr w:rsidR="00F837EE" w:rsidRPr="003158EE" w14:paraId="737561F8" w14:textId="77777777" w:rsidTr="00E93415">
        <w:tc>
          <w:tcPr>
            <w:tcW w:w="952" w:type="dxa"/>
          </w:tcPr>
          <w:p w14:paraId="0EAA352A" w14:textId="77777777" w:rsidR="00F837EE" w:rsidRPr="003158EE" w:rsidRDefault="00F837EE" w:rsidP="000672D3">
            <w:pPr>
              <w:pStyle w:val="Default"/>
              <w:jc w:val="center"/>
            </w:pPr>
            <w:r w:rsidRPr="003158EE">
              <w:lastRenderedPageBreak/>
              <w:t xml:space="preserve">Art. 1 pkt 14 lit. e) </w:t>
            </w:r>
          </w:p>
          <w:p w14:paraId="32C64C3F" w14:textId="77777777" w:rsidR="00F837EE" w:rsidRPr="003158EE" w:rsidRDefault="00F837EE" w:rsidP="000672D3">
            <w:pPr>
              <w:pStyle w:val="Default"/>
              <w:jc w:val="center"/>
            </w:pPr>
          </w:p>
        </w:tc>
        <w:tc>
          <w:tcPr>
            <w:tcW w:w="5074" w:type="dxa"/>
          </w:tcPr>
          <w:p w14:paraId="7C67EB5E" w14:textId="77777777" w:rsidR="007B40A4" w:rsidRPr="003158EE" w:rsidRDefault="007B40A4" w:rsidP="007B40A4">
            <w:pPr>
              <w:pStyle w:val="note"/>
              <w:jc w:val="both"/>
              <w:rPr>
                <w:color w:val="000000"/>
              </w:rPr>
            </w:pPr>
            <w:r w:rsidRPr="003158EE">
              <w:rPr>
                <w:color w:val="000000"/>
              </w:rPr>
              <w:t>e) dodaje się ustępy w brzmieniu:</w:t>
            </w:r>
          </w:p>
          <w:p w14:paraId="39BD773A" w14:textId="77777777" w:rsidR="007B40A4" w:rsidRPr="003158EE" w:rsidRDefault="007B40A4" w:rsidP="007B40A4">
            <w:pPr>
              <w:pStyle w:val="note"/>
              <w:jc w:val="both"/>
              <w:rPr>
                <w:color w:val="000000"/>
              </w:rPr>
            </w:pPr>
            <w:r w:rsidRPr="003158EE">
              <w:rPr>
                <w:color w:val="000000"/>
              </w:rPr>
              <w:t>„5a.   W drodze odstępstwa od ust. 5, dodatkowa liczba w wysokości do 3 % całkowitej liczby uprawnień zostaje – w niezbędnym zakresie – wykorzystana do zwiększenia maksymalnej dostępnej liczby zgodnie z ust. 5.</w:t>
            </w:r>
          </w:p>
          <w:p w14:paraId="3493AC23" w14:textId="77777777" w:rsidR="007B40A4" w:rsidRPr="003158EE" w:rsidRDefault="007B40A4" w:rsidP="007B40A4">
            <w:pPr>
              <w:pStyle w:val="note"/>
              <w:jc w:val="both"/>
              <w:rPr>
                <w:color w:val="000000"/>
              </w:rPr>
            </w:pPr>
            <w:r w:rsidRPr="003158EE">
              <w:rPr>
                <w:color w:val="000000"/>
              </w:rPr>
              <w:t>5b.   W przypadku gdy mniej niż 3 % całkowitej liczby uprawnień jest konieczne do zwiększenia maksymalnej liczby uprawnień, o której mowa w ust. 5:</w:t>
            </w:r>
          </w:p>
          <w:p w14:paraId="203F79CF" w14:textId="77777777" w:rsidR="007B40A4" w:rsidRPr="003158EE" w:rsidRDefault="007B40A4" w:rsidP="007B40A4">
            <w:pPr>
              <w:pStyle w:val="note"/>
              <w:jc w:val="both"/>
              <w:rPr>
                <w:color w:val="000000"/>
              </w:rPr>
            </w:pPr>
            <w:r w:rsidRPr="003158EE">
              <w:rPr>
                <w:color w:val="000000"/>
              </w:rPr>
              <w:t>—</w:t>
            </w:r>
            <w:r w:rsidRPr="003158EE">
              <w:rPr>
                <w:color w:val="000000"/>
              </w:rPr>
              <w:tab/>
              <w:t>wykorzystuje się maksymalnie 50 mln uprawnień, aby zwiększyć liczbę uprawnień udostępnionych w celu wsparcia innowacji zgodnie z art. 10a ust. 8, oraz</w:t>
            </w:r>
          </w:p>
          <w:p w14:paraId="3E30AB6D" w14:textId="77777777" w:rsidR="00F837EE" w:rsidRPr="003158EE" w:rsidRDefault="007B40A4" w:rsidP="007B40A4">
            <w:pPr>
              <w:pStyle w:val="note"/>
              <w:spacing w:before="0" w:beforeAutospacing="0" w:after="0" w:afterAutospacing="0"/>
              <w:jc w:val="both"/>
              <w:rPr>
                <w:color w:val="000000"/>
              </w:rPr>
            </w:pPr>
            <w:r w:rsidRPr="003158EE">
              <w:rPr>
                <w:color w:val="000000"/>
              </w:rPr>
              <w:t>—</w:t>
            </w:r>
            <w:r w:rsidRPr="003158EE">
              <w:rPr>
                <w:color w:val="000000"/>
              </w:rPr>
              <w:tab/>
              <w:t xml:space="preserve">wykorzystuje się maksymalnie 0,5 % całkowitej liczby uprawnień, aby zwiększyć liczbę dostępnych uprawnień w celu modernizacji </w:t>
            </w:r>
            <w:r w:rsidRPr="003158EE">
              <w:rPr>
                <w:color w:val="000000"/>
              </w:rPr>
              <w:lastRenderedPageBreak/>
              <w:t>systemów energetycznych niektórych państw członkowskich zgodnie z art. 10d.”;</w:t>
            </w:r>
          </w:p>
        </w:tc>
        <w:tc>
          <w:tcPr>
            <w:tcW w:w="596" w:type="dxa"/>
          </w:tcPr>
          <w:p w14:paraId="6C2D5B66" w14:textId="77777777" w:rsidR="00F837EE" w:rsidRPr="003158EE" w:rsidRDefault="00F837EE" w:rsidP="000672D3">
            <w:pPr>
              <w:pStyle w:val="Default"/>
              <w:jc w:val="both"/>
              <w:rPr>
                <w:b/>
              </w:rPr>
            </w:pPr>
            <w:r w:rsidRPr="003158EE">
              <w:rPr>
                <w:b/>
              </w:rPr>
              <w:lastRenderedPageBreak/>
              <w:t>N</w:t>
            </w:r>
          </w:p>
        </w:tc>
        <w:tc>
          <w:tcPr>
            <w:tcW w:w="7342" w:type="dxa"/>
          </w:tcPr>
          <w:p w14:paraId="231839FD" w14:textId="77777777" w:rsidR="00F837EE" w:rsidRPr="003158EE" w:rsidRDefault="00F837EE" w:rsidP="000672D3">
            <w:pPr>
              <w:pStyle w:val="ZPKTzmpktartykuempunktem"/>
              <w:spacing w:line="240" w:lineRule="auto"/>
              <w:ind w:left="510"/>
              <w:rPr>
                <w:rFonts w:ascii="Times New Roman" w:hAnsi="Times New Roman" w:cs="Times New Roman"/>
                <w:szCs w:val="24"/>
              </w:rPr>
            </w:pPr>
          </w:p>
        </w:tc>
      </w:tr>
      <w:tr w:rsidR="00F837EE" w:rsidRPr="003158EE" w14:paraId="2B0C5E0D" w14:textId="77777777" w:rsidTr="00E93415">
        <w:tc>
          <w:tcPr>
            <w:tcW w:w="952" w:type="dxa"/>
          </w:tcPr>
          <w:p w14:paraId="793C56BC" w14:textId="77777777" w:rsidR="00F837EE" w:rsidRPr="003158EE" w:rsidRDefault="00F837EE" w:rsidP="000672D3">
            <w:pPr>
              <w:pStyle w:val="Default"/>
              <w:jc w:val="center"/>
            </w:pPr>
            <w:r w:rsidRPr="003158EE">
              <w:lastRenderedPageBreak/>
              <w:t>Art. 1 pkt 14  lit. f</w:t>
            </w:r>
          </w:p>
          <w:p w14:paraId="1AD85D04" w14:textId="77777777" w:rsidR="00F837EE" w:rsidRPr="003158EE" w:rsidRDefault="00F837EE" w:rsidP="000672D3">
            <w:pPr>
              <w:pStyle w:val="Default"/>
              <w:jc w:val="center"/>
            </w:pPr>
          </w:p>
        </w:tc>
        <w:tc>
          <w:tcPr>
            <w:tcW w:w="5074" w:type="dxa"/>
          </w:tcPr>
          <w:p w14:paraId="79751986" w14:textId="77777777" w:rsidR="00F067C9" w:rsidRPr="003158EE" w:rsidRDefault="00F067C9" w:rsidP="00F067C9">
            <w:pPr>
              <w:pStyle w:val="note"/>
              <w:jc w:val="both"/>
              <w:rPr>
                <w:color w:val="000000"/>
              </w:rPr>
            </w:pPr>
            <w:r w:rsidRPr="003158EE">
              <w:rPr>
                <w:color w:val="000000"/>
              </w:rPr>
              <w:t>f) ust. 6 otrzymuje brzmienie:</w:t>
            </w:r>
          </w:p>
          <w:p w14:paraId="1C6116ED" w14:textId="77777777" w:rsidR="00F067C9" w:rsidRPr="003158EE" w:rsidRDefault="00F067C9" w:rsidP="00F067C9">
            <w:pPr>
              <w:pStyle w:val="note"/>
              <w:jc w:val="both"/>
              <w:rPr>
                <w:color w:val="000000"/>
              </w:rPr>
            </w:pPr>
            <w:r w:rsidRPr="003158EE">
              <w:rPr>
                <w:color w:val="000000"/>
              </w:rPr>
              <w:t>„6.   Państwa członkowskie powinny przyjąć środki finansowe, zgodnie z akapitem drugim i czwartym, na rzecz sektorów lub podsektorów, które są narażone na rzeczywiste ryzyko ucieczki emisji z powodu znacznych kosztów pośrednich faktycznie ponoszonych w wyniku przeniesienia kosztów związanych z emisją gazów cieplarnianych na ceny energii elektrycznej, pod warunkiem że takie środki finansowe są zgodne z zasadami pomocy państwa, a zwłaszcza nie powodują nieuzasadnionych zakłóceń konkurencji na rynku wewnętrznym. W przypadku gdy kwota udostępniona na takie środki finansowe przekracza 25 % dochodów uzyskanych ze sprzedaży uprawnień na aukcji, dane państwo członkowskie określa powody przekroczenia tej kwoty.</w:t>
            </w:r>
          </w:p>
          <w:p w14:paraId="53B955A4" w14:textId="77777777" w:rsidR="00F067C9" w:rsidRPr="003158EE" w:rsidRDefault="00F067C9" w:rsidP="00F067C9">
            <w:pPr>
              <w:pStyle w:val="note"/>
              <w:jc w:val="both"/>
              <w:rPr>
                <w:color w:val="000000"/>
              </w:rPr>
            </w:pPr>
            <w:r w:rsidRPr="003158EE">
              <w:rPr>
                <w:color w:val="000000"/>
              </w:rPr>
              <w:t xml:space="preserve">Państwa członkowskie dążą także do przeznaczania na środki finansowe, o których mowa w akapicie pierwszym, nie więcej niż 25 % dochodów uzyskanych ze sprzedaży uprawnień na aukcji. W ciągu trzech miesięcy od końca każdego roku państwa członkowskie, które dysponują takimi środkami finansowymi podają do wiadomości publicznej w łatwo dostępnej formie całkowitą kwotę rekompensaty przyznanej poszczególnym sektorom i podsektorom będącym beneficjentami. Począwszy od roku 2018, w </w:t>
            </w:r>
            <w:r w:rsidRPr="003158EE">
              <w:rPr>
                <w:color w:val="000000"/>
              </w:rPr>
              <w:lastRenderedPageBreak/>
              <w:t>każdym roku, w którym państwo członkowskie przeznaczy na te cele więcej niż 25 % dochodów uzyskanych ze sprzedaży uprawnień na aukcji, państwo to publikuje sprawozdanie określające powody przekroczenia tej kwoty. Sprawozdanie to zawiera istotne informacje na temat cen energii elektrycznej dla dużych odbiorców przemysłowych korzystających z takich środków finansowych, bez uszczerbku dla wymogów związanych z ochroną informacji poufnych. Sprawozdanie zawiera również informacje na temat tego, czy należycie uwzględniono inne środki umożliwiające zrównoważone obniżenie pośrednich kosztów emisji dwutlenku węgla w perspektywie średnio- i długoterminowej.</w:t>
            </w:r>
          </w:p>
          <w:p w14:paraId="081762BA" w14:textId="77777777" w:rsidR="00F067C9" w:rsidRPr="003158EE" w:rsidRDefault="00F067C9" w:rsidP="00F067C9">
            <w:pPr>
              <w:pStyle w:val="note"/>
              <w:jc w:val="both"/>
              <w:rPr>
                <w:color w:val="000000"/>
              </w:rPr>
            </w:pPr>
            <w:r w:rsidRPr="003158EE">
              <w:rPr>
                <w:color w:val="000000"/>
              </w:rPr>
              <w:t>Komisja włącza do sprawozdania przewidzianego w art. 10 ust. 5 między innymi ocenę wpływu tych środków finansowych na rynek wewnętrzny i, w stosownych przypadkach, zaleca środki, które według tej oceny mogą być niezbędne.</w:t>
            </w:r>
          </w:p>
          <w:p w14:paraId="04332D80" w14:textId="77777777" w:rsidR="00F837EE" w:rsidRPr="003158EE" w:rsidRDefault="00F067C9" w:rsidP="00F067C9">
            <w:pPr>
              <w:pStyle w:val="note"/>
              <w:spacing w:before="0" w:beforeAutospacing="0" w:after="0" w:afterAutospacing="0"/>
              <w:jc w:val="both"/>
              <w:rPr>
                <w:color w:val="000000"/>
              </w:rPr>
            </w:pPr>
            <w:r w:rsidRPr="003158EE">
              <w:rPr>
                <w:color w:val="000000"/>
              </w:rPr>
              <w:t xml:space="preserve">Środki te zapewniają odpowiednią ochronę przed ryzykiem ucieczki emisji na podstawie wskaźników ex ante lub pośrednich emisji CO2 przypadających na jednostkę produkcji. Te wskaźniki ex ante są obliczane dla danego sektora lub podsektora jako iloczyn zużycia energii elektrycznej przypadającej na jednostkę produkcji odpowiadającej najbardziej wydajnym dostępnym technologiom oraz emisji CO2 odnośnej </w:t>
            </w:r>
            <w:r w:rsidRPr="003158EE">
              <w:rPr>
                <w:color w:val="000000"/>
              </w:rPr>
              <w:lastRenderedPageBreak/>
              <w:t>europejskiej struktury wytwarzania energii elektrycznej.”;</w:t>
            </w:r>
          </w:p>
        </w:tc>
        <w:tc>
          <w:tcPr>
            <w:tcW w:w="596" w:type="dxa"/>
          </w:tcPr>
          <w:p w14:paraId="3A653642" w14:textId="054EBEBF" w:rsidR="00F837EE" w:rsidRPr="003158EE" w:rsidRDefault="00334EC9" w:rsidP="000672D3">
            <w:pPr>
              <w:pStyle w:val="Default"/>
              <w:jc w:val="both"/>
              <w:rPr>
                <w:b/>
              </w:rPr>
            </w:pPr>
            <w:r w:rsidRPr="003158EE">
              <w:rPr>
                <w:b/>
              </w:rPr>
              <w:lastRenderedPageBreak/>
              <w:t>T</w:t>
            </w:r>
          </w:p>
        </w:tc>
        <w:tc>
          <w:tcPr>
            <w:tcW w:w="7342" w:type="dxa"/>
          </w:tcPr>
          <w:p w14:paraId="57DF42A3" w14:textId="077632B7" w:rsidR="00F837EE" w:rsidRPr="003158EE" w:rsidRDefault="00851D6F" w:rsidP="000672D3">
            <w:pPr>
              <w:pStyle w:val="ZPKTzmpktartykuempunktem"/>
              <w:spacing w:line="240" w:lineRule="auto"/>
              <w:ind w:left="510"/>
              <w:rPr>
                <w:rFonts w:ascii="Times New Roman" w:hAnsi="Times New Roman" w:cs="Times New Roman"/>
                <w:szCs w:val="24"/>
              </w:rPr>
            </w:pPr>
            <w:r>
              <w:rPr>
                <w:rFonts w:ascii="Times New Roman" w:hAnsi="Times New Roman" w:cs="Times New Roman"/>
                <w:szCs w:val="24"/>
              </w:rPr>
              <w:t xml:space="preserve">Przepis dyrektywy został w pełni implementowany do polskiego prawa: </w:t>
            </w:r>
            <w:r w:rsidR="00334EC9" w:rsidRPr="003158EE">
              <w:rPr>
                <w:rFonts w:ascii="Times New Roman" w:hAnsi="Times New Roman" w:cs="Times New Roman"/>
                <w:szCs w:val="24"/>
              </w:rPr>
              <w:t>Ustawa</w:t>
            </w:r>
            <w:r w:rsidR="000D0819" w:rsidRPr="003158EE">
              <w:rPr>
                <w:rFonts w:ascii="Times New Roman" w:hAnsi="Times New Roman" w:cs="Times New Roman"/>
                <w:szCs w:val="24"/>
              </w:rPr>
              <w:t xml:space="preserve"> z dnia 19 lipca 2019 r. o systemie rekompensat dla sektorów i podsektorów energochłonnych</w:t>
            </w:r>
            <w:r w:rsidR="007C03A6">
              <w:rPr>
                <w:rFonts w:ascii="Times New Roman" w:hAnsi="Times New Roman" w:cs="Times New Roman"/>
                <w:szCs w:val="24"/>
              </w:rPr>
              <w:t xml:space="preserve"> (Dz. U. 2019 poz. 1532).</w:t>
            </w:r>
          </w:p>
        </w:tc>
      </w:tr>
      <w:tr w:rsidR="00F837EE" w:rsidRPr="003158EE" w14:paraId="2205A3C8" w14:textId="77777777" w:rsidTr="00E93415">
        <w:tc>
          <w:tcPr>
            <w:tcW w:w="952" w:type="dxa"/>
          </w:tcPr>
          <w:p w14:paraId="1480F5B6" w14:textId="77777777" w:rsidR="00F837EE" w:rsidRPr="003158EE" w:rsidRDefault="00F837EE" w:rsidP="000672D3">
            <w:pPr>
              <w:pStyle w:val="Default"/>
              <w:jc w:val="center"/>
            </w:pPr>
            <w:r w:rsidRPr="003158EE">
              <w:lastRenderedPageBreak/>
              <w:t>Art. 1 pkt 14 g)</w:t>
            </w:r>
          </w:p>
          <w:p w14:paraId="325F0A8E" w14:textId="77777777" w:rsidR="00F837EE" w:rsidRPr="003158EE" w:rsidRDefault="00F837EE" w:rsidP="000672D3">
            <w:pPr>
              <w:pStyle w:val="Default"/>
              <w:jc w:val="center"/>
            </w:pPr>
          </w:p>
        </w:tc>
        <w:tc>
          <w:tcPr>
            <w:tcW w:w="5074" w:type="dxa"/>
          </w:tcPr>
          <w:tbl>
            <w:tblPr>
              <w:tblW w:w="5000" w:type="pct"/>
              <w:tblCellSpacing w:w="0" w:type="dxa"/>
              <w:tblLayout w:type="fixed"/>
              <w:tblCellMar>
                <w:left w:w="0" w:type="dxa"/>
                <w:right w:w="0" w:type="dxa"/>
              </w:tblCellMar>
              <w:tblLook w:val="04A0" w:firstRow="1" w:lastRow="0" w:firstColumn="1" w:lastColumn="0" w:noHBand="0" w:noVBand="1"/>
            </w:tblPr>
            <w:tblGrid>
              <w:gridCol w:w="159"/>
              <w:gridCol w:w="3122"/>
              <w:gridCol w:w="1577"/>
            </w:tblGrid>
            <w:tr w:rsidR="00F837EE" w:rsidRPr="003158EE" w14:paraId="6F959BC2" w14:textId="77777777" w:rsidTr="000672D3">
              <w:trPr>
                <w:gridAfter w:val="1"/>
                <w:wAfter w:w="4547" w:type="dxa"/>
                <w:tblCellSpacing w:w="0" w:type="dxa"/>
              </w:trPr>
              <w:tc>
                <w:tcPr>
                  <w:tcW w:w="422" w:type="dxa"/>
                  <w:shd w:val="clear" w:color="auto" w:fill="auto"/>
                  <w:hideMark/>
                </w:tcPr>
                <w:p w14:paraId="0324AF59" w14:textId="77777777" w:rsidR="00F837EE" w:rsidRPr="003158EE" w:rsidRDefault="00F837EE" w:rsidP="000672D3">
                  <w:pPr>
                    <w:pStyle w:val="Normalny4"/>
                    <w:spacing w:before="0" w:beforeAutospacing="0" w:after="0" w:afterAutospacing="0"/>
                    <w:jc w:val="both"/>
                    <w:rPr>
                      <w:color w:val="000000"/>
                    </w:rPr>
                  </w:pPr>
                  <w:r w:rsidRPr="003158EE">
                    <w:rPr>
                      <w:color w:val="000000"/>
                    </w:rPr>
                    <w:t>g)</w:t>
                  </w:r>
                </w:p>
              </w:tc>
              <w:tc>
                <w:tcPr>
                  <w:tcW w:w="8984" w:type="dxa"/>
                  <w:shd w:val="clear" w:color="auto" w:fill="auto"/>
                  <w:hideMark/>
                </w:tcPr>
                <w:p w14:paraId="3167A0EE" w14:textId="77777777" w:rsidR="00F837EE" w:rsidRPr="003158EE" w:rsidRDefault="00F837EE" w:rsidP="000672D3">
                  <w:pPr>
                    <w:pStyle w:val="Normalny4"/>
                    <w:spacing w:before="0" w:beforeAutospacing="0" w:after="0" w:afterAutospacing="0"/>
                    <w:jc w:val="both"/>
                    <w:rPr>
                      <w:color w:val="000000"/>
                    </w:rPr>
                  </w:pPr>
                  <w:r w:rsidRPr="003158EE">
                    <w:rPr>
                      <w:color w:val="000000"/>
                    </w:rPr>
                    <w:t>) w ust. 7 wprowadza się następujące zmiany:</w:t>
                  </w:r>
                </w:p>
              </w:tc>
            </w:tr>
            <w:tr w:rsidR="00F837EE" w:rsidRPr="003158EE" w14:paraId="2712AC8C" w14:textId="77777777" w:rsidTr="000672D3">
              <w:trPr>
                <w:tblCellSpacing w:w="0" w:type="dxa"/>
              </w:trPr>
              <w:tc>
                <w:tcPr>
                  <w:tcW w:w="9406" w:type="dxa"/>
                  <w:gridSpan w:val="3"/>
                  <w:shd w:val="clear" w:color="auto" w:fill="auto"/>
                  <w:hideMark/>
                </w:tcPr>
                <w:tbl>
                  <w:tblPr>
                    <w:tblW w:w="5000" w:type="pct"/>
                    <w:tblCellSpacing w:w="0" w:type="dxa"/>
                    <w:tblLayout w:type="fixed"/>
                    <w:tblCellMar>
                      <w:left w:w="0" w:type="dxa"/>
                      <w:right w:w="0" w:type="dxa"/>
                    </w:tblCellMar>
                    <w:tblLook w:val="04A0" w:firstRow="1" w:lastRow="0" w:firstColumn="1" w:lastColumn="0" w:noHBand="0" w:noVBand="1"/>
                  </w:tblPr>
                  <w:tblGrid>
                    <w:gridCol w:w="126"/>
                    <w:gridCol w:w="4732"/>
                  </w:tblGrid>
                  <w:tr w:rsidR="00F837EE" w:rsidRPr="003158EE" w14:paraId="018E272F" w14:textId="77777777" w:rsidTr="000672D3">
                    <w:trPr>
                      <w:tblCellSpacing w:w="0" w:type="dxa"/>
                    </w:trPr>
                    <w:tc>
                      <w:tcPr>
                        <w:tcW w:w="227" w:type="dxa"/>
                        <w:hideMark/>
                      </w:tcPr>
                      <w:p w14:paraId="59855564" w14:textId="77777777" w:rsidR="00F837EE" w:rsidRPr="003158EE" w:rsidRDefault="00F837EE" w:rsidP="000672D3">
                        <w:pPr>
                          <w:pStyle w:val="Normalny4"/>
                          <w:spacing w:before="0" w:beforeAutospacing="0" w:after="0" w:afterAutospacing="0"/>
                          <w:jc w:val="both"/>
                        </w:pPr>
                        <w:r w:rsidRPr="003158EE">
                          <w:t>(i)</w:t>
                        </w:r>
                      </w:p>
                    </w:tc>
                    <w:tc>
                      <w:tcPr>
                        <w:tcW w:w="9179" w:type="dxa"/>
                        <w:hideMark/>
                      </w:tcPr>
                      <w:p w14:paraId="6B29B72A" w14:textId="77777777" w:rsidR="00F837EE" w:rsidRPr="003158EE" w:rsidRDefault="00F837EE" w:rsidP="000672D3">
                        <w:pPr>
                          <w:pStyle w:val="Normalny4"/>
                          <w:spacing w:before="0" w:beforeAutospacing="0" w:after="0" w:afterAutospacing="0"/>
                          <w:jc w:val="both"/>
                        </w:pPr>
                        <w:r w:rsidRPr="003158EE">
                          <w:t>akapit pierwszy otrzymuje brzmienie:</w:t>
                        </w:r>
                      </w:p>
                      <w:p w14:paraId="3A64BE4B" w14:textId="77777777" w:rsidR="00F837EE" w:rsidRPr="003158EE" w:rsidRDefault="00F837EE" w:rsidP="000672D3">
                        <w:pPr>
                          <w:pStyle w:val="Normalny4"/>
                          <w:spacing w:before="0" w:beforeAutospacing="0" w:after="0" w:afterAutospacing="0"/>
                          <w:jc w:val="both"/>
                        </w:pPr>
                        <w:r w:rsidRPr="003158EE">
                          <w:t>„Uprawnien</w:t>
                        </w:r>
                        <w:r w:rsidR="00F018CE" w:rsidRPr="003158EE">
                          <w:t>ia w ramach maksymalnej liczby,</w:t>
                        </w:r>
                        <w:r w:rsidRPr="003158EE">
                          <w:t>o której mowa w ust. 5 niniejszego artykułu, które nie zostały przydzielone bezpłatnie do 2020 r., rezerwuje się dla nowych instalacji, łącznie z 200 mln uprawnień wprowadzonych do rezerwy stabilności rynkowej zgodnie z art. 1 ust. 3 decyzji (UE) 2015/1814. Maksymalnie 200 mln zarezerwowanych uprawnień powinno zostać zwróconych do rezerwy stabilności rynkowej pod koniec okresu 2021–2030.</w:t>
                        </w:r>
                      </w:p>
                      <w:p w14:paraId="45E51CC9" w14:textId="77777777" w:rsidR="00F837EE" w:rsidRPr="003158EE" w:rsidRDefault="00F837EE" w:rsidP="000672D3">
                        <w:pPr>
                          <w:pStyle w:val="Normalny4"/>
                          <w:spacing w:before="0" w:beforeAutospacing="0" w:after="0" w:afterAutospacing="0"/>
                          <w:jc w:val="both"/>
                        </w:pPr>
                        <w:r w:rsidRPr="003158EE">
                          <w:t>Począwszy od roku 2021, uprawnienia, które w oparciu o ust. 19 i 20 nie zostały przydzielone instalacjom, dodaje się do liczby uprawnień zarezerwowanych zgodnie z pierwszym zdaniem akapitu pierwszego niniejszego ustępu.”;</w:t>
                        </w:r>
                      </w:p>
                    </w:tc>
                  </w:tr>
                </w:tbl>
                <w:p w14:paraId="4581F996" w14:textId="77777777" w:rsidR="00F837EE" w:rsidRPr="003158EE" w:rsidRDefault="00F837EE" w:rsidP="000672D3">
                  <w:pPr>
                    <w:rPr>
                      <w:vanish/>
                      <w:color w:val="000000"/>
                    </w:rPr>
                  </w:pPr>
                </w:p>
                <w:tbl>
                  <w:tblPr>
                    <w:tblW w:w="5000" w:type="pct"/>
                    <w:tblCellSpacing w:w="0" w:type="dxa"/>
                    <w:tblLayout w:type="fixed"/>
                    <w:tblCellMar>
                      <w:left w:w="0" w:type="dxa"/>
                      <w:right w:w="0" w:type="dxa"/>
                    </w:tblCellMar>
                    <w:tblLook w:val="04A0" w:firstRow="1" w:lastRow="0" w:firstColumn="1" w:lastColumn="0" w:noHBand="0" w:noVBand="1"/>
                  </w:tblPr>
                  <w:tblGrid>
                    <w:gridCol w:w="404"/>
                    <w:gridCol w:w="4454"/>
                  </w:tblGrid>
                  <w:tr w:rsidR="00F837EE" w:rsidRPr="003158EE" w14:paraId="0EE6CAF6" w14:textId="77777777" w:rsidTr="000672D3">
                    <w:trPr>
                      <w:tblCellSpacing w:w="0" w:type="dxa"/>
                    </w:trPr>
                    <w:tc>
                      <w:tcPr>
                        <w:tcW w:w="767" w:type="dxa"/>
                        <w:hideMark/>
                      </w:tcPr>
                      <w:p w14:paraId="2650BC39" w14:textId="77777777" w:rsidR="00F837EE" w:rsidRPr="003158EE" w:rsidRDefault="00F837EE" w:rsidP="000672D3">
                        <w:pPr>
                          <w:pStyle w:val="Normalny4"/>
                          <w:spacing w:before="0" w:beforeAutospacing="0" w:after="0" w:afterAutospacing="0"/>
                          <w:jc w:val="both"/>
                        </w:pPr>
                        <w:r w:rsidRPr="003158EE">
                          <w:t>(ii)</w:t>
                        </w:r>
                      </w:p>
                    </w:tc>
                    <w:tc>
                      <w:tcPr>
                        <w:tcW w:w="8639" w:type="dxa"/>
                        <w:hideMark/>
                      </w:tcPr>
                      <w:p w14:paraId="025195A7" w14:textId="77777777" w:rsidR="00F837EE" w:rsidRPr="003158EE" w:rsidRDefault="00F837EE" w:rsidP="000672D3">
                        <w:pPr>
                          <w:pStyle w:val="Normalny4"/>
                          <w:spacing w:before="0" w:beforeAutospacing="0" w:after="0" w:afterAutospacing="0"/>
                          <w:jc w:val="both"/>
                        </w:pPr>
                        <w:r w:rsidRPr="003158EE">
                          <w:t>skreśla się akapity czwarty i piąty;</w:t>
                        </w:r>
                      </w:p>
                    </w:tc>
                  </w:tr>
                </w:tbl>
                <w:p w14:paraId="4705080D" w14:textId="77777777" w:rsidR="00F837EE" w:rsidRPr="003158EE" w:rsidRDefault="00F837EE" w:rsidP="000672D3">
                  <w:pPr>
                    <w:rPr>
                      <w:color w:val="000000"/>
                    </w:rPr>
                  </w:pPr>
                </w:p>
              </w:tc>
            </w:tr>
          </w:tbl>
          <w:p w14:paraId="127237D3" w14:textId="77777777" w:rsidR="00F837EE" w:rsidRPr="003158EE" w:rsidRDefault="00F837EE" w:rsidP="000672D3">
            <w:pPr>
              <w:pStyle w:val="note"/>
              <w:spacing w:before="0" w:beforeAutospacing="0" w:after="0" w:afterAutospacing="0"/>
              <w:jc w:val="both"/>
              <w:rPr>
                <w:color w:val="000000"/>
              </w:rPr>
            </w:pPr>
          </w:p>
        </w:tc>
        <w:tc>
          <w:tcPr>
            <w:tcW w:w="596" w:type="dxa"/>
          </w:tcPr>
          <w:p w14:paraId="42D45FA3" w14:textId="77777777" w:rsidR="00F837EE" w:rsidRPr="003158EE" w:rsidRDefault="00F837EE" w:rsidP="000672D3">
            <w:pPr>
              <w:pStyle w:val="Default"/>
              <w:jc w:val="both"/>
              <w:rPr>
                <w:b/>
              </w:rPr>
            </w:pPr>
            <w:r w:rsidRPr="003158EE">
              <w:rPr>
                <w:b/>
              </w:rPr>
              <w:t>N</w:t>
            </w:r>
          </w:p>
        </w:tc>
        <w:tc>
          <w:tcPr>
            <w:tcW w:w="7342" w:type="dxa"/>
          </w:tcPr>
          <w:p w14:paraId="6865BCB7" w14:textId="77777777" w:rsidR="00F837EE" w:rsidRPr="003158EE" w:rsidRDefault="00F837EE" w:rsidP="000672D3">
            <w:pPr>
              <w:pStyle w:val="ZPKTzmpktartykuempunktem"/>
              <w:spacing w:line="240" w:lineRule="auto"/>
              <w:ind w:left="510"/>
              <w:rPr>
                <w:rFonts w:ascii="Times New Roman" w:hAnsi="Times New Roman" w:cs="Times New Roman"/>
                <w:szCs w:val="24"/>
              </w:rPr>
            </w:pPr>
          </w:p>
        </w:tc>
      </w:tr>
      <w:tr w:rsidR="00F837EE" w:rsidRPr="003158EE" w14:paraId="473C26E7" w14:textId="77777777" w:rsidTr="00E93415">
        <w:tc>
          <w:tcPr>
            <w:tcW w:w="952" w:type="dxa"/>
          </w:tcPr>
          <w:p w14:paraId="4D68E754" w14:textId="77777777" w:rsidR="00F837EE" w:rsidRPr="003158EE" w:rsidRDefault="00F837EE" w:rsidP="000672D3">
            <w:pPr>
              <w:pStyle w:val="Default"/>
              <w:jc w:val="center"/>
            </w:pPr>
            <w:r w:rsidRPr="003158EE">
              <w:t>Art. 1 pkt 14 lit. h</w:t>
            </w:r>
          </w:p>
          <w:p w14:paraId="4C7F59C8" w14:textId="77777777" w:rsidR="00F837EE" w:rsidRPr="003158EE" w:rsidRDefault="00F837EE" w:rsidP="000672D3">
            <w:pPr>
              <w:pStyle w:val="Default"/>
              <w:jc w:val="center"/>
            </w:pPr>
          </w:p>
        </w:tc>
        <w:tc>
          <w:tcPr>
            <w:tcW w:w="5074" w:type="dxa"/>
          </w:tcPr>
          <w:p w14:paraId="4CA42672" w14:textId="77777777" w:rsidR="00F067C9" w:rsidRPr="003158EE" w:rsidRDefault="00F067C9" w:rsidP="00F067C9">
            <w:pPr>
              <w:pStyle w:val="note"/>
              <w:jc w:val="both"/>
              <w:rPr>
                <w:color w:val="000000"/>
              </w:rPr>
            </w:pPr>
            <w:r w:rsidRPr="003158EE">
              <w:rPr>
                <w:color w:val="000000"/>
              </w:rPr>
              <w:t>h)</w:t>
            </w:r>
            <w:r w:rsidRPr="003158EE">
              <w:rPr>
                <w:color w:val="000000"/>
              </w:rPr>
              <w:tab/>
              <w:t xml:space="preserve"> ust. 8 akapity pierwszy, drugi i trzeci otrzymują brzmienie:</w:t>
            </w:r>
          </w:p>
          <w:p w14:paraId="5063C69E" w14:textId="77777777" w:rsidR="00F067C9" w:rsidRPr="003158EE" w:rsidRDefault="00F067C9" w:rsidP="00F067C9">
            <w:pPr>
              <w:pStyle w:val="note"/>
              <w:jc w:val="both"/>
              <w:rPr>
                <w:color w:val="000000"/>
              </w:rPr>
            </w:pPr>
            <w:r w:rsidRPr="003158EE">
              <w:rPr>
                <w:color w:val="000000"/>
              </w:rPr>
              <w:t xml:space="preserve">„325 mln uprawnień z liczby, która w przeciwnym wypadku mogłaby zostać przydzielona bezpłatnie na mocy niniejszego artykułu, oraz 75 mln uprawnień z liczby, która w przeciwnym wypadku mogłaby być sprzedana na aukcji na mocy art. 10, udostępnia się w celu wsparcia innowacji w </w:t>
            </w:r>
            <w:r w:rsidRPr="003158EE">
              <w:rPr>
                <w:color w:val="000000"/>
              </w:rPr>
              <w:lastRenderedPageBreak/>
              <w:t>dziedzinie niskoemisyjnych technologii i procesów w sektorach wymienionych w załączniku I, w tym bezpiecznego dla środowiska wychwytywania i utylizacji dwutlenku węgla (zwane dalej »CCU«), które znacznie przyczynia się do łagodzenia skutków zmiany klimatu, oraz produktów zastępujących produkty wysokoemisyjne wyprodukowanych w sektorach wymienionych w załączniku I oraz w celu pomocy w pobudzaniu budowy i eksploatacji projektów dotyczących bezpiecznego dla środowiska wychwytywania i geologicznego składowania (CCS) CO2 oraz dotyczących innowacyjnych technologii w zakresie energii odnawialnej i magazynowania energii; w rozłożonych równomiernie pod względem geograficznym lokalizacjach na terytorium Unii (zwany dalej »funduszem innowacyjnym«). Kwalifikują się do tego projekty we wszystkich państwach członkowskich, w tym projekty na małą skalę.</w:t>
            </w:r>
          </w:p>
          <w:p w14:paraId="1EC7881F" w14:textId="77777777" w:rsidR="00F067C9" w:rsidRPr="003158EE" w:rsidRDefault="00F067C9" w:rsidP="00F067C9">
            <w:pPr>
              <w:pStyle w:val="note"/>
              <w:jc w:val="both"/>
              <w:rPr>
                <w:color w:val="000000"/>
              </w:rPr>
            </w:pPr>
            <w:r w:rsidRPr="003158EE">
              <w:rPr>
                <w:color w:val="000000"/>
              </w:rPr>
              <w:t>Ponadto 50 mln nieprzydzielonych uprawnień z rezerwy stabilności rynkowej stanowi uzupełnienie wszelkich pozostałych dochodów z 300 mln uprawnień dostępnych w latach 2013–2020 zgodnie z decyzją Komisji 2010/670/UE (*5) i zostaje wykorzystanych w odpowiednim terminie na wsparcie innowacji, o którym mowa w akapicie pierwszym.</w:t>
            </w:r>
          </w:p>
          <w:p w14:paraId="67BDD63D" w14:textId="77777777" w:rsidR="00F067C9" w:rsidRPr="003158EE" w:rsidRDefault="00F067C9" w:rsidP="00F067C9">
            <w:pPr>
              <w:pStyle w:val="note"/>
              <w:jc w:val="both"/>
              <w:rPr>
                <w:color w:val="000000"/>
              </w:rPr>
            </w:pPr>
            <w:r w:rsidRPr="003158EE">
              <w:rPr>
                <w:color w:val="000000"/>
              </w:rPr>
              <w:t xml:space="preserve">Projekty wybierane są na podstawie obiektywnych i przejrzystych kryteriów, z uwzględnieniem – w </w:t>
            </w:r>
            <w:r w:rsidRPr="003158EE">
              <w:rPr>
                <w:color w:val="000000"/>
              </w:rPr>
              <w:lastRenderedPageBreak/>
              <w:t>stosownych przypadkach – zakresu, w jakim przyczyniają się do redukcji emisji znacznie poniżej wskaźników, o których mowa w ust. 2. Projekty mają potencjał umożliwiający powszechne zastosowanie lub znaczne obniżenie kosztów przejścia na gospodarkę niskoemisyjną w określonych sektorach. Projekty związane z CCU skutkują korzyściami netto w zakresie redukcji emisji i zapewniają unikanie emisji CO2 lub trwałe składowanie CO2. Technologie otrzymujące wsparcie nie są jeszcze dostępne na rynku, ale obejmują przełomowe rozwiązania i są na tyle rozwinięte, by były gotowe do wykorzystania w projektach demonstracyjnych w fazie przed wprowadzeniem na rynek. Wsparcie może otrzymać maksymalnie 60 % odnośnych kosztów projektów, z czego maksymalnie 40 % nie musi być uzależnione od zweryfikowania unikania emisji gazów cieplarnianych, pod warunkiem że wcześniej osiągnięto ustalone cele pośrednie przy uwzględnieniu zastosowanej technologii.</w:t>
            </w:r>
          </w:p>
          <w:p w14:paraId="78D0DF36" w14:textId="77777777" w:rsidR="00F837EE" w:rsidRPr="003158EE" w:rsidRDefault="00F067C9" w:rsidP="00F067C9">
            <w:pPr>
              <w:pStyle w:val="note"/>
              <w:spacing w:before="0" w:beforeAutospacing="0" w:after="0" w:afterAutospacing="0"/>
              <w:jc w:val="both"/>
              <w:rPr>
                <w:color w:val="000000"/>
              </w:rPr>
            </w:pPr>
            <w:r w:rsidRPr="003158EE">
              <w:rPr>
                <w:color w:val="000000"/>
              </w:rPr>
              <w:t>Komisja jest uprawniona do przyjmowania aktów delegowanych zgodnie z art. 23 w celu uzupełnienia przepisów niniejszej dyrektywy dotyczących działania funduszu innowacyjnego, w tym procedury i kryteriów wyboru.</w:t>
            </w:r>
          </w:p>
        </w:tc>
        <w:tc>
          <w:tcPr>
            <w:tcW w:w="596" w:type="dxa"/>
          </w:tcPr>
          <w:p w14:paraId="001020E5" w14:textId="77777777" w:rsidR="00342836" w:rsidRPr="003158EE" w:rsidRDefault="00342836" w:rsidP="00342836">
            <w:pPr>
              <w:rPr>
                <w:b/>
              </w:rPr>
            </w:pPr>
            <w:r w:rsidRPr="003158EE">
              <w:rPr>
                <w:b/>
              </w:rPr>
              <w:lastRenderedPageBreak/>
              <w:t>N</w:t>
            </w:r>
          </w:p>
        </w:tc>
        <w:tc>
          <w:tcPr>
            <w:tcW w:w="7342" w:type="dxa"/>
          </w:tcPr>
          <w:p w14:paraId="05CA917D" w14:textId="77777777" w:rsidR="00F837EE" w:rsidRPr="003158EE" w:rsidRDefault="00F837EE" w:rsidP="000672D3">
            <w:pPr>
              <w:pStyle w:val="ZPKTzmpktartykuempunktem"/>
              <w:spacing w:line="240" w:lineRule="auto"/>
              <w:ind w:left="510"/>
              <w:rPr>
                <w:rFonts w:ascii="Times New Roman" w:hAnsi="Times New Roman" w:cs="Times New Roman"/>
                <w:szCs w:val="24"/>
              </w:rPr>
            </w:pPr>
          </w:p>
        </w:tc>
      </w:tr>
      <w:tr w:rsidR="00F837EE" w:rsidRPr="003158EE" w14:paraId="72660B38" w14:textId="77777777" w:rsidTr="00E93415">
        <w:tc>
          <w:tcPr>
            <w:tcW w:w="952" w:type="dxa"/>
          </w:tcPr>
          <w:p w14:paraId="69AD3FC7" w14:textId="77777777" w:rsidR="00F837EE" w:rsidRPr="003158EE" w:rsidRDefault="00F837EE" w:rsidP="000672D3">
            <w:pPr>
              <w:pStyle w:val="Default"/>
              <w:jc w:val="center"/>
            </w:pPr>
            <w:r w:rsidRPr="003158EE">
              <w:lastRenderedPageBreak/>
              <w:t xml:space="preserve">Art. 1 pkt 14 lit. i </w:t>
            </w:r>
          </w:p>
          <w:p w14:paraId="3674B772" w14:textId="77777777" w:rsidR="00F837EE" w:rsidRPr="003158EE" w:rsidRDefault="00F837EE" w:rsidP="000672D3">
            <w:pPr>
              <w:pStyle w:val="Default"/>
              <w:jc w:val="center"/>
            </w:pPr>
          </w:p>
        </w:tc>
        <w:tc>
          <w:tcPr>
            <w:tcW w:w="5074" w:type="dxa"/>
          </w:tcPr>
          <w:p w14:paraId="36AE5772" w14:textId="77777777" w:rsidR="00642A2E" w:rsidRPr="003158EE" w:rsidRDefault="00642A2E" w:rsidP="00642A2E">
            <w:pPr>
              <w:pStyle w:val="note"/>
              <w:jc w:val="both"/>
              <w:rPr>
                <w:color w:val="000000"/>
              </w:rPr>
            </w:pPr>
            <w:r w:rsidRPr="003158EE">
              <w:rPr>
                <w:color w:val="000000"/>
              </w:rPr>
              <w:t>i) ust. 9 otrzymuje brzmienie:</w:t>
            </w:r>
          </w:p>
          <w:p w14:paraId="595D91BF" w14:textId="77777777" w:rsidR="00F837EE" w:rsidRPr="003158EE" w:rsidRDefault="00642A2E" w:rsidP="00642A2E">
            <w:pPr>
              <w:pStyle w:val="note"/>
              <w:spacing w:before="0" w:beforeAutospacing="0" w:after="0" w:afterAutospacing="0"/>
              <w:jc w:val="both"/>
              <w:rPr>
                <w:color w:val="000000"/>
              </w:rPr>
            </w:pPr>
            <w:r w:rsidRPr="003158EE">
              <w:rPr>
                <w:color w:val="000000"/>
              </w:rPr>
              <w:t xml:space="preserve">9. Grecja, w której produkt krajowy brutto (zwany dalej »PKB«) na mieszkańca w 2014 r. wyniósł poniżej 60 % średniej unijnej, może, przed </w:t>
            </w:r>
            <w:r w:rsidRPr="003158EE">
              <w:rPr>
                <w:color w:val="000000"/>
              </w:rPr>
              <w:lastRenderedPageBreak/>
              <w:t>zastosowaniem ust. 7 niniejszego artykułu, zwrócić się o maksymalnie 25 mln uprawnień z maksymalnej liczby, o której mowa w ust. 5 niniejszego artykułu, a które nie zostały przydzielone bezpłatnie do dnia 31 grudnia 2020 r., do celów współfinansowania do 60 % dekarbonizacji dostaw energii elektrycznej na wyspach na terytorium Grecji. Do takich uprawnień stosuje się odpowiednio art. 10d ust. 3. O uprawnienia można się zwrócić w przypadku, jeśli ze względu na ograniczony dostęp do międzynarodowych rynków instrumentów dłużnych projekt mający na celu dekarbonizację dostaw energii elektrycznej na wyspach greckich nie mógłby zostać zrealizowany w inny sposób i jeśli Europejski Bank Inwestycyjny (EBI) potwierdzi opłacalność finansową oraz społeczno-gospodarcze korzyści projektu.”;</w:t>
            </w:r>
          </w:p>
        </w:tc>
        <w:tc>
          <w:tcPr>
            <w:tcW w:w="596" w:type="dxa"/>
          </w:tcPr>
          <w:p w14:paraId="75AD2459" w14:textId="77777777" w:rsidR="00F837EE" w:rsidRPr="003158EE" w:rsidRDefault="00F837EE" w:rsidP="000672D3">
            <w:pPr>
              <w:pStyle w:val="Default"/>
              <w:jc w:val="both"/>
              <w:rPr>
                <w:b/>
              </w:rPr>
            </w:pPr>
            <w:r w:rsidRPr="003158EE">
              <w:rPr>
                <w:b/>
              </w:rPr>
              <w:lastRenderedPageBreak/>
              <w:t>N</w:t>
            </w:r>
          </w:p>
        </w:tc>
        <w:tc>
          <w:tcPr>
            <w:tcW w:w="7342" w:type="dxa"/>
          </w:tcPr>
          <w:p w14:paraId="0E5873FB" w14:textId="77777777" w:rsidR="00F837EE" w:rsidRPr="003158EE" w:rsidRDefault="00F837EE" w:rsidP="000672D3">
            <w:pPr>
              <w:pStyle w:val="ZPKTzmpktartykuempunktem"/>
              <w:spacing w:line="240" w:lineRule="auto"/>
              <w:ind w:left="510"/>
              <w:rPr>
                <w:rFonts w:ascii="Times New Roman" w:hAnsi="Times New Roman" w:cs="Times New Roman"/>
                <w:szCs w:val="24"/>
              </w:rPr>
            </w:pPr>
          </w:p>
        </w:tc>
      </w:tr>
      <w:tr w:rsidR="00F837EE" w:rsidRPr="003158EE" w14:paraId="7D91842D" w14:textId="77777777" w:rsidTr="00E93415">
        <w:tc>
          <w:tcPr>
            <w:tcW w:w="952" w:type="dxa"/>
          </w:tcPr>
          <w:p w14:paraId="4FC95589" w14:textId="77777777" w:rsidR="00F837EE" w:rsidRPr="003158EE" w:rsidRDefault="00F837EE" w:rsidP="000672D3">
            <w:pPr>
              <w:pStyle w:val="Default"/>
              <w:jc w:val="center"/>
            </w:pPr>
            <w:r w:rsidRPr="003158EE">
              <w:lastRenderedPageBreak/>
              <w:t xml:space="preserve">Art. 1 pkt 14 lit. j </w:t>
            </w:r>
          </w:p>
          <w:p w14:paraId="79E33BB6" w14:textId="77777777" w:rsidR="00F837EE" w:rsidRPr="003158EE" w:rsidRDefault="00F837EE" w:rsidP="000672D3">
            <w:pPr>
              <w:pStyle w:val="Default"/>
              <w:jc w:val="center"/>
            </w:pPr>
          </w:p>
        </w:tc>
        <w:tc>
          <w:tcPr>
            <w:tcW w:w="5074" w:type="dxa"/>
          </w:tcPr>
          <w:p w14:paraId="1D76B83F" w14:textId="77777777" w:rsidR="00F837EE" w:rsidRPr="003158EE" w:rsidRDefault="00F837EE" w:rsidP="000672D3">
            <w:pPr>
              <w:pStyle w:val="Normalny4"/>
              <w:spacing w:before="0" w:beforeAutospacing="0" w:after="0" w:afterAutospacing="0"/>
              <w:jc w:val="both"/>
              <w:rPr>
                <w:color w:val="000000"/>
              </w:rPr>
            </w:pPr>
            <w:r w:rsidRPr="003158EE">
              <w:rPr>
                <w:color w:val="000000"/>
              </w:rPr>
              <w:t>j) skreśla się ust. 10;</w:t>
            </w:r>
          </w:p>
          <w:p w14:paraId="6E86F791" w14:textId="77777777" w:rsidR="00F837EE" w:rsidRPr="003158EE" w:rsidRDefault="00F837EE" w:rsidP="000672D3">
            <w:pPr>
              <w:pStyle w:val="note"/>
              <w:spacing w:before="0" w:beforeAutospacing="0" w:after="0" w:afterAutospacing="0"/>
              <w:jc w:val="both"/>
              <w:rPr>
                <w:color w:val="000000"/>
              </w:rPr>
            </w:pPr>
          </w:p>
        </w:tc>
        <w:tc>
          <w:tcPr>
            <w:tcW w:w="596" w:type="dxa"/>
          </w:tcPr>
          <w:p w14:paraId="4AD455BC" w14:textId="77777777" w:rsidR="00F837EE" w:rsidRPr="003158EE" w:rsidRDefault="00F837EE" w:rsidP="000672D3">
            <w:pPr>
              <w:pStyle w:val="Default"/>
              <w:jc w:val="both"/>
              <w:rPr>
                <w:b/>
              </w:rPr>
            </w:pPr>
            <w:r w:rsidRPr="003158EE">
              <w:rPr>
                <w:b/>
              </w:rPr>
              <w:t>N</w:t>
            </w:r>
          </w:p>
        </w:tc>
        <w:tc>
          <w:tcPr>
            <w:tcW w:w="7342" w:type="dxa"/>
          </w:tcPr>
          <w:p w14:paraId="4EE9E20A" w14:textId="77777777" w:rsidR="00F837EE" w:rsidRPr="003158EE" w:rsidRDefault="00F837EE" w:rsidP="000672D3">
            <w:pPr>
              <w:pStyle w:val="ZPKTzmpktartykuempunktem"/>
              <w:spacing w:line="240" w:lineRule="auto"/>
              <w:ind w:left="510"/>
              <w:rPr>
                <w:rFonts w:ascii="Times New Roman" w:hAnsi="Times New Roman" w:cs="Times New Roman"/>
                <w:szCs w:val="24"/>
              </w:rPr>
            </w:pPr>
          </w:p>
        </w:tc>
      </w:tr>
      <w:tr w:rsidR="00F837EE" w:rsidRPr="003158EE" w14:paraId="446AD8E0" w14:textId="77777777" w:rsidTr="00E93415">
        <w:tc>
          <w:tcPr>
            <w:tcW w:w="952" w:type="dxa"/>
          </w:tcPr>
          <w:p w14:paraId="5288BDCA" w14:textId="77777777" w:rsidR="00F837EE" w:rsidRPr="003158EE" w:rsidRDefault="00F837EE" w:rsidP="000672D3">
            <w:pPr>
              <w:pStyle w:val="Default"/>
              <w:jc w:val="center"/>
            </w:pPr>
            <w:r w:rsidRPr="003158EE">
              <w:t xml:space="preserve">Art. 1 pkt 14 lit. k </w:t>
            </w:r>
          </w:p>
          <w:p w14:paraId="62E5C992" w14:textId="77777777" w:rsidR="00F837EE" w:rsidRPr="003158EE" w:rsidRDefault="00F837EE" w:rsidP="000672D3">
            <w:pPr>
              <w:pStyle w:val="Default"/>
              <w:jc w:val="center"/>
            </w:pPr>
          </w:p>
        </w:tc>
        <w:tc>
          <w:tcPr>
            <w:tcW w:w="5074" w:type="dxa"/>
          </w:tcPr>
          <w:p w14:paraId="2472C20E" w14:textId="77777777" w:rsidR="00F837EE" w:rsidRPr="003158EE" w:rsidRDefault="00642A2E" w:rsidP="000672D3">
            <w:pPr>
              <w:pStyle w:val="note"/>
              <w:spacing w:before="0" w:beforeAutospacing="0" w:after="0" w:afterAutospacing="0"/>
              <w:jc w:val="both"/>
              <w:rPr>
                <w:color w:val="000000"/>
              </w:rPr>
            </w:pPr>
            <w:r w:rsidRPr="003158EE">
              <w:rPr>
                <w:color w:val="000000"/>
              </w:rPr>
              <w:t>k) w ust. 11 skreśla się słowa „w celu osiągnięcia całkowitej likwidacji przydziałów bezpłatnych uprawnień w roku 2027”;</w:t>
            </w:r>
          </w:p>
        </w:tc>
        <w:tc>
          <w:tcPr>
            <w:tcW w:w="596" w:type="dxa"/>
          </w:tcPr>
          <w:p w14:paraId="618B48A8" w14:textId="77777777" w:rsidR="00F837EE" w:rsidRPr="003158EE" w:rsidRDefault="00F837EE" w:rsidP="000672D3">
            <w:pPr>
              <w:pStyle w:val="Default"/>
              <w:jc w:val="both"/>
              <w:rPr>
                <w:b/>
              </w:rPr>
            </w:pPr>
            <w:r w:rsidRPr="003158EE">
              <w:rPr>
                <w:b/>
              </w:rPr>
              <w:t>N</w:t>
            </w:r>
          </w:p>
        </w:tc>
        <w:tc>
          <w:tcPr>
            <w:tcW w:w="7342" w:type="dxa"/>
          </w:tcPr>
          <w:p w14:paraId="376F505D" w14:textId="77777777" w:rsidR="00F837EE" w:rsidRPr="003158EE" w:rsidRDefault="00F837EE" w:rsidP="000672D3">
            <w:pPr>
              <w:pStyle w:val="ZPKTzmpktartykuempunktem"/>
              <w:spacing w:line="240" w:lineRule="auto"/>
              <w:ind w:left="510"/>
              <w:rPr>
                <w:rFonts w:ascii="Times New Roman" w:hAnsi="Times New Roman" w:cs="Times New Roman"/>
                <w:szCs w:val="24"/>
              </w:rPr>
            </w:pPr>
          </w:p>
        </w:tc>
      </w:tr>
      <w:tr w:rsidR="00F837EE" w:rsidRPr="003158EE" w14:paraId="52D15ADD" w14:textId="77777777" w:rsidTr="00E93415">
        <w:tc>
          <w:tcPr>
            <w:tcW w:w="952" w:type="dxa"/>
          </w:tcPr>
          <w:p w14:paraId="520EE217" w14:textId="77777777" w:rsidR="00F837EE" w:rsidRPr="003158EE" w:rsidRDefault="00F837EE" w:rsidP="000672D3">
            <w:pPr>
              <w:pStyle w:val="Default"/>
              <w:jc w:val="center"/>
            </w:pPr>
            <w:r w:rsidRPr="003158EE">
              <w:t xml:space="preserve">Art. 1 pkt 14 lit. l </w:t>
            </w:r>
          </w:p>
          <w:p w14:paraId="20046898" w14:textId="77777777" w:rsidR="00F837EE" w:rsidRPr="003158EE" w:rsidRDefault="00F837EE" w:rsidP="000672D3">
            <w:pPr>
              <w:pStyle w:val="Default"/>
              <w:jc w:val="center"/>
            </w:pPr>
          </w:p>
        </w:tc>
        <w:tc>
          <w:tcPr>
            <w:tcW w:w="5074" w:type="dxa"/>
          </w:tcPr>
          <w:tbl>
            <w:tblPr>
              <w:tblW w:w="5000" w:type="pct"/>
              <w:tblCellSpacing w:w="0" w:type="dxa"/>
              <w:tblLayout w:type="fixed"/>
              <w:tblCellMar>
                <w:left w:w="0" w:type="dxa"/>
                <w:right w:w="0" w:type="dxa"/>
              </w:tblCellMar>
              <w:tblLook w:val="04A0" w:firstRow="1" w:lastRow="0" w:firstColumn="1" w:lastColumn="0" w:noHBand="0" w:noVBand="1"/>
            </w:tblPr>
            <w:tblGrid>
              <w:gridCol w:w="324"/>
              <w:gridCol w:w="4534"/>
            </w:tblGrid>
            <w:tr w:rsidR="00F837EE" w:rsidRPr="003158EE" w14:paraId="62DA5110" w14:textId="77777777" w:rsidTr="000672D3">
              <w:trPr>
                <w:tblCellSpacing w:w="0" w:type="dxa"/>
              </w:trPr>
              <w:tc>
                <w:tcPr>
                  <w:tcW w:w="610" w:type="dxa"/>
                  <w:shd w:val="clear" w:color="auto" w:fill="auto"/>
                  <w:hideMark/>
                </w:tcPr>
                <w:p w14:paraId="642D59B2" w14:textId="77777777" w:rsidR="00F837EE" w:rsidRPr="003158EE" w:rsidRDefault="00F837EE" w:rsidP="000672D3">
                  <w:pPr>
                    <w:pStyle w:val="Normalny4"/>
                    <w:spacing w:before="0" w:beforeAutospacing="0" w:after="0" w:afterAutospacing="0"/>
                    <w:jc w:val="both"/>
                    <w:rPr>
                      <w:color w:val="000000"/>
                    </w:rPr>
                  </w:pPr>
                  <w:r w:rsidRPr="003158EE">
                    <w:rPr>
                      <w:color w:val="000000"/>
                    </w:rPr>
                    <w:t>l)</w:t>
                  </w:r>
                </w:p>
              </w:tc>
              <w:tc>
                <w:tcPr>
                  <w:tcW w:w="8796" w:type="dxa"/>
                  <w:shd w:val="clear" w:color="auto" w:fill="auto"/>
                  <w:hideMark/>
                </w:tcPr>
                <w:p w14:paraId="3AD6F0A2" w14:textId="77777777" w:rsidR="00F837EE" w:rsidRPr="003158EE" w:rsidRDefault="00F837EE" w:rsidP="000672D3">
                  <w:pPr>
                    <w:pStyle w:val="Normalny4"/>
                    <w:spacing w:before="0" w:beforeAutospacing="0" w:after="0" w:afterAutospacing="0"/>
                    <w:jc w:val="both"/>
                    <w:rPr>
                      <w:color w:val="000000"/>
                    </w:rPr>
                  </w:pPr>
                  <w:r w:rsidRPr="003158EE">
                    <w:rPr>
                      <w:color w:val="000000"/>
                    </w:rPr>
                    <w:t>skreśla się ust. 12–18;</w:t>
                  </w:r>
                </w:p>
              </w:tc>
            </w:tr>
          </w:tbl>
          <w:p w14:paraId="6C64C753" w14:textId="77777777" w:rsidR="00F837EE" w:rsidRPr="003158EE" w:rsidRDefault="00F837EE" w:rsidP="000672D3">
            <w:pPr>
              <w:pStyle w:val="note"/>
              <w:spacing w:before="0" w:beforeAutospacing="0" w:after="0" w:afterAutospacing="0"/>
              <w:jc w:val="both"/>
              <w:rPr>
                <w:color w:val="000000"/>
              </w:rPr>
            </w:pPr>
          </w:p>
        </w:tc>
        <w:tc>
          <w:tcPr>
            <w:tcW w:w="596" w:type="dxa"/>
          </w:tcPr>
          <w:p w14:paraId="713FA64C" w14:textId="77777777" w:rsidR="00F837EE" w:rsidRPr="003158EE" w:rsidRDefault="00F837EE" w:rsidP="000672D3">
            <w:pPr>
              <w:pStyle w:val="Default"/>
              <w:jc w:val="both"/>
              <w:rPr>
                <w:b/>
              </w:rPr>
            </w:pPr>
            <w:r w:rsidRPr="003158EE">
              <w:rPr>
                <w:b/>
              </w:rPr>
              <w:t>N</w:t>
            </w:r>
          </w:p>
        </w:tc>
        <w:tc>
          <w:tcPr>
            <w:tcW w:w="7342" w:type="dxa"/>
          </w:tcPr>
          <w:p w14:paraId="31DBA839" w14:textId="77777777" w:rsidR="00F837EE" w:rsidRPr="003158EE" w:rsidRDefault="00F837EE" w:rsidP="000672D3">
            <w:pPr>
              <w:pStyle w:val="ZPKTzmpktartykuempunktem"/>
              <w:spacing w:line="240" w:lineRule="auto"/>
              <w:ind w:left="510"/>
              <w:rPr>
                <w:rFonts w:ascii="Times New Roman" w:hAnsi="Times New Roman" w:cs="Times New Roman"/>
                <w:szCs w:val="24"/>
              </w:rPr>
            </w:pPr>
          </w:p>
        </w:tc>
      </w:tr>
      <w:tr w:rsidR="00F837EE" w:rsidRPr="003158EE" w14:paraId="4529DF0A" w14:textId="77777777" w:rsidTr="00E93415">
        <w:tc>
          <w:tcPr>
            <w:tcW w:w="952" w:type="dxa"/>
          </w:tcPr>
          <w:p w14:paraId="4497A70D" w14:textId="77777777" w:rsidR="00F837EE" w:rsidRPr="003158EE" w:rsidRDefault="00F837EE" w:rsidP="000672D3">
            <w:pPr>
              <w:pStyle w:val="Default"/>
              <w:jc w:val="center"/>
            </w:pPr>
            <w:r w:rsidRPr="003158EE">
              <w:lastRenderedPageBreak/>
              <w:t xml:space="preserve">Art. 1 pkt 14 lit. m </w:t>
            </w:r>
          </w:p>
          <w:p w14:paraId="08F0849A" w14:textId="77777777" w:rsidR="00F837EE" w:rsidRPr="003158EE" w:rsidRDefault="00F837EE" w:rsidP="000672D3">
            <w:pPr>
              <w:pStyle w:val="Default"/>
              <w:jc w:val="center"/>
            </w:pPr>
          </w:p>
        </w:tc>
        <w:tc>
          <w:tcPr>
            <w:tcW w:w="5074" w:type="dxa"/>
          </w:tcPr>
          <w:p w14:paraId="0E1BCA7C" w14:textId="77777777" w:rsidR="00DA432C" w:rsidRPr="003158EE" w:rsidRDefault="00DA432C" w:rsidP="00DA432C">
            <w:pPr>
              <w:pStyle w:val="note"/>
              <w:jc w:val="both"/>
              <w:rPr>
                <w:color w:val="000000"/>
              </w:rPr>
            </w:pPr>
            <w:r w:rsidRPr="003158EE">
              <w:rPr>
                <w:color w:val="000000"/>
              </w:rPr>
              <w:t>m) ust. 20 otrzymuje brzmienie:</w:t>
            </w:r>
          </w:p>
          <w:p w14:paraId="5B33B5E9" w14:textId="77777777" w:rsidR="00F837EE" w:rsidRPr="003158EE" w:rsidRDefault="00DA432C" w:rsidP="00DA432C">
            <w:pPr>
              <w:pStyle w:val="note"/>
              <w:spacing w:before="0" w:beforeAutospacing="0" w:after="0" w:afterAutospacing="0"/>
              <w:jc w:val="both"/>
              <w:rPr>
                <w:color w:val="000000"/>
              </w:rPr>
            </w:pPr>
            <w:r w:rsidRPr="003158EE">
              <w:rPr>
                <w:color w:val="000000"/>
              </w:rPr>
              <w:t>„20.   W stosownych przypadkach dostosowuje się poziom przydziału bezpłatnych uprawnień dla instalacji, których eksploatacja zwiększyła lub zmniejszyła się, co stwierdzono na podstawie średniej kroczącej z dwóch lat, o więcej niż 15 % w porównaniu z poziomem początkowo zastosowanym do określenia przydziału bezpłatnych uprawnień na odpowiedni okres, o którym mowa w art. 11 ust. 1. Takich dostosowań dokonuje się przy użyciu uprawnień z liczby uprawnień zarezerwowanych zgodnie z ust. 7 niniejszego artykułu lub przez dodanie uprawnień do tych zarezerwowanych uprawnień.”;</w:t>
            </w:r>
          </w:p>
        </w:tc>
        <w:tc>
          <w:tcPr>
            <w:tcW w:w="596" w:type="dxa"/>
          </w:tcPr>
          <w:p w14:paraId="69D694B1" w14:textId="609D9F20" w:rsidR="00F837EE" w:rsidRPr="003158EE" w:rsidRDefault="00775B87" w:rsidP="000672D3">
            <w:pPr>
              <w:pStyle w:val="Default"/>
              <w:jc w:val="both"/>
              <w:rPr>
                <w:b/>
              </w:rPr>
            </w:pPr>
            <w:r w:rsidRPr="003158EE">
              <w:rPr>
                <w:b/>
              </w:rPr>
              <w:t>T</w:t>
            </w:r>
          </w:p>
        </w:tc>
        <w:tc>
          <w:tcPr>
            <w:tcW w:w="7342" w:type="dxa"/>
          </w:tcPr>
          <w:p w14:paraId="1D216B2F" w14:textId="7C356B7B" w:rsidR="0052063D" w:rsidRDefault="0052063D" w:rsidP="0052063D">
            <w:pPr>
              <w:pStyle w:val="PKTpunkt"/>
              <w:spacing w:line="276" w:lineRule="auto"/>
            </w:pPr>
            <w:r>
              <w:t>Art. 1 pkt 29-32:</w:t>
            </w:r>
          </w:p>
          <w:p w14:paraId="18C1B25D" w14:textId="77777777" w:rsidR="0052063D" w:rsidRPr="00FC0118" w:rsidRDefault="0052063D" w:rsidP="0052063D">
            <w:pPr>
              <w:pStyle w:val="PKTpunkt"/>
              <w:spacing w:line="276" w:lineRule="auto"/>
              <w:rPr>
                <w:lang w:eastAsia="en-US"/>
              </w:rPr>
            </w:pPr>
            <w:r>
              <w:t xml:space="preserve">29) </w:t>
            </w:r>
            <w:r w:rsidRPr="00FC0118">
              <w:rPr>
                <w:lang w:eastAsia="en-US"/>
              </w:rPr>
              <w:t>po art. 64 dodaje się art. 64a i art. 64b w brzmieniu:</w:t>
            </w:r>
          </w:p>
          <w:p w14:paraId="59E45068" w14:textId="77777777" w:rsidR="0052063D" w:rsidRPr="00FC0118" w:rsidRDefault="0052063D" w:rsidP="0052063D">
            <w:pPr>
              <w:pStyle w:val="ZARTzmartartykuempunktem"/>
              <w:spacing w:line="276" w:lineRule="auto"/>
              <w:rPr>
                <w:lang w:eastAsia="en-US"/>
              </w:rPr>
            </w:pPr>
            <w:r w:rsidRPr="00FC0118">
              <w:rPr>
                <w:lang w:eastAsia="en-US"/>
              </w:rPr>
              <w:t xml:space="preserve">„Art. 64a. 1. Krajowy ośrodek ocenia raport </w:t>
            </w:r>
            <w:r>
              <w:t xml:space="preserve">dotyczący </w:t>
            </w:r>
            <w:r w:rsidRPr="00FC0118">
              <w:rPr>
                <w:lang w:eastAsia="en-US"/>
              </w:rPr>
              <w:t>poziom</w:t>
            </w:r>
            <w:r>
              <w:t>u</w:t>
            </w:r>
            <w:r w:rsidRPr="00FC0118">
              <w:rPr>
                <w:lang w:eastAsia="en-US"/>
              </w:rPr>
              <w:t xml:space="preserve"> działalności zgodnie z zasadami, o których w art. 7-12 rozporządzenia Komisji (UE) 2019/331.</w:t>
            </w:r>
          </w:p>
          <w:p w14:paraId="26ED8F95" w14:textId="6C68911C" w:rsidR="0052063D" w:rsidRPr="00FC0118" w:rsidRDefault="0052063D" w:rsidP="0052063D">
            <w:pPr>
              <w:pStyle w:val="ZARTzmartartykuempunktem"/>
              <w:spacing w:line="276" w:lineRule="auto"/>
              <w:rPr>
                <w:lang w:eastAsia="en-US"/>
              </w:rPr>
            </w:pPr>
            <w:r w:rsidRPr="00FC0118">
              <w:rPr>
                <w:lang w:eastAsia="en-US"/>
              </w:rPr>
              <w:t>2. Krajowy ośrodek dokonuje zachowawczego oszacowania wartości parametrów, o których mowa w art. 3 ust. 4 rozporządzenia Komisji (UE) 201</w:t>
            </w:r>
            <w:r>
              <w:t>9</w:t>
            </w:r>
            <w:r w:rsidRPr="00FC0118">
              <w:rPr>
                <w:lang w:eastAsia="en-US"/>
              </w:rPr>
              <w:t>/1842, w przypadkach wskazanych w tym przepisie.</w:t>
            </w:r>
            <w:r w:rsidRPr="0042617A">
              <w:t xml:space="preserve"> Do </w:t>
            </w:r>
            <w:r>
              <w:t>czynności zachowawczego</w:t>
            </w:r>
            <w:r w:rsidRPr="0042617A">
              <w:t xml:space="preserve"> </w:t>
            </w:r>
            <w:r>
              <w:t xml:space="preserve">oszacowania wartości parametrów </w:t>
            </w:r>
            <w:r w:rsidRPr="0042617A">
              <w:t xml:space="preserve">nie ma zastosowania przepis art. 3 § 2 pkt 4 ustawy z dnia 30 sierpnia 2002 r. - Prawo o postępowaniu przed sądami administracyjnymi </w:t>
            </w:r>
            <w:r w:rsidRPr="00A50200">
              <w:t>(Dz.</w:t>
            </w:r>
            <w:r>
              <w:t xml:space="preserve"> </w:t>
            </w:r>
            <w:r w:rsidRPr="00A50200">
              <w:t>U. z 2019 r. poz. 2325,  2200 i  2294)</w:t>
            </w:r>
            <w:r>
              <w:rPr>
                <w:lang w:eastAsia="en-US"/>
              </w:rPr>
              <w:t>.</w:t>
            </w:r>
          </w:p>
          <w:p w14:paraId="02AA0CE4" w14:textId="77777777" w:rsidR="0052063D" w:rsidRPr="00FC0118" w:rsidRDefault="0052063D" w:rsidP="0052063D">
            <w:pPr>
              <w:pStyle w:val="ZUSTzmustartykuempunktem"/>
              <w:spacing w:line="276" w:lineRule="auto"/>
              <w:rPr>
                <w:lang w:eastAsia="en-US"/>
              </w:rPr>
            </w:pPr>
            <w:r w:rsidRPr="00FC0118">
              <w:rPr>
                <w:lang w:eastAsia="en-US"/>
              </w:rPr>
              <w:t>3. Podczas dokonywania oszacowania, o który</w:t>
            </w:r>
            <w:r>
              <w:t>m</w:t>
            </w:r>
            <w:r w:rsidRPr="00FC0118">
              <w:rPr>
                <w:lang w:eastAsia="en-US"/>
              </w:rPr>
              <w:t xml:space="preserve"> mowa w ust. 2, Krajowy ośrodek może wezwać: </w:t>
            </w:r>
          </w:p>
          <w:p w14:paraId="50BD3E6D" w14:textId="77777777" w:rsidR="0052063D" w:rsidRPr="00B44E16" w:rsidRDefault="0052063D" w:rsidP="0052063D">
            <w:pPr>
              <w:pStyle w:val="ZPKTzmpktartykuempunktem"/>
              <w:spacing w:line="276" w:lineRule="auto"/>
            </w:pPr>
            <w:r w:rsidRPr="00B44E16">
              <w:t>1)</w:t>
            </w:r>
            <w:r>
              <w:t xml:space="preserve"> </w:t>
            </w:r>
            <w:r w:rsidRPr="00B44E16">
              <w:t>prowadzącego instalację do:</w:t>
            </w:r>
          </w:p>
          <w:p w14:paraId="0710ACE7" w14:textId="77777777" w:rsidR="0052063D" w:rsidRPr="00FC0118" w:rsidRDefault="0052063D" w:rsidP="0052063D">
            <w:pPr>
              <w:pStyle w:val="ZLITwPKTzmlitwpktartykuempunktem"/>
              <w:spacing w:line="276" w:lineRule="auto"/>
              <w:rPr>
                <w:lang w:eastAsia="en-US"/>
              </w:rPr>
            </w:pPr>
            <w:r w:rsidRPr="00FC0118">
              <w:rPr>
                <w:lang w:eastAsia="en-US"/>
              </w:rPr>
              <w:t xml:space="preserve">a) złożenia wyjaśnień,  </w:t>
            </w:r>
            <w:r>
              <w:t>lub</w:t>
            </w:r>
          </w:p>
          <w:p w14:paraId="25C5C11B" w14:textId="77777777" w:rsidR="0052063D" w:rsidRPr="00FC0118" w:rsidRDefault="0052063D" w:rsidP="0052063D">
            <w:pPr>
              <w:pStyle w:val="ZLITwPKTzmlitwpktartykuempunktem"/>
              <w:spacing w:line="276" w:lineRule="auto"/>
              <w:rPr>
                <w:lang w:eastAsia="en-US"/>
              </w:rPr>
            </w:pPr>
            <w:r w:rsidRPr="00FC0118">
              <w:rPr>
                <w:lang w:eastAsia="en-US"/>
              </w:rPr>
              <w:t>b) przedstawienia informacji i danych potrzebnych do oszacowania parametru, który zgodnie z art. 3 ust. 2 rozporządzenia Komisji (UE) 201</w:t>
            </w:r>
            <w:r>
              <w:t>9</w:t>
            </w:r>
            <w:r w:rsidRPr="00FC0118">
              <w:rPr>
                <w:lang w:eastAsia="en-US"/>
              </w:rPr>
              <w:t>/1842 powinien zawierać raport</w:t>
            </w:r>
            <w:r>
              <w:t xml:space="preserve"> dotyczący</w:t>
            </w:r>
            <w:r w:rsidRPr="00FC0118">
              <w:rPr>
                <w:lang w:eastAsia="en-US"/>
              </w:rPr>
              <w:t xml:space="preserve"> poziom</w:t>
            </w:r>
            <w:r>
              <w:t>u</w:t>
            </w:r>
            <w:r w:rsidRPr="00FC0118">
              <w:rPr>
                <w:lang w:eastAsia="en-US"/>
              </w:rPr>
              <w:t xml:space="preserve"> działalności</w:t>
            </w:r>
            <w:r>
              <w:t>,</w:t>
            </w:r>
          </w:p>
          <w:p w14:paraId="2E8E0293" w14:textId="77777777" w:rsidR="0052063D" w:rsidRPr="00FC0118" w:rsidRDefault="0052063D" w:rsidP="0052063D">
            <w:pPr>
              <w:pStyle w:val="ZPKTzmpktartykuempunktem"/>
              <w:spacing w:line="276" w:lineRule="auto"/>
              <w:rPr>
                <w:lang w:eastAsia="en-US"/>
              </w:rPr>
            </w:pPr>
            <w:r w:rsidRPr="00FC0118">
              <w:rPr>
                <w:lang w:eastAsia="en-US"/>
              </w:rPr>
              <w:t xml:space="preserve">2) weryfikatora do przedłożenia wewnętrznej dokumentacji z weryfikacji, o której mowa w art. 26 rozporządzenia Komisji (UE) 2018/2067 </w:t>
            </w:r>
          </w:p>
          <w:p w14:paraId="19058C1C" w14:textId="77777777" w:rsidR="0052063D" w:rsidRDefault="0052063D" w:rsidP="0052063D">
            <w:pPr>
              <w:pStyle w:val="ZCZWSPPKTzmczciwsppktartykuempunktem"/>
              <w:spacing w:line="276" w:lineRule="auto"/>
            </w:pPr>
            <w:r w:rsidRPr="00FC0118">
              <w:rPr>
                <w:lang w:eastAsia="en-US"/>
              </w:rPr>
              <w:t>- w terminie 7 dni od dnia doręczenia wezwania.</w:t>
            </w:r>
          </w:p>
          <w:p w14:paraId="04DCC553" w14:textId="77777777" w:rsidR="0052063D" w:rsidRPr="00FC0118" w:rsidRDefault="0052063D" w:rsidP="0052063D">
            <w:pPr>
              <w:pStyle w:val="ZARTzmartartykuempunktem"/>
              <w:spacing w:line="276" w:lineRule="auto"/>
              <w:rPr>
                <w:lang w:eastAsia="en-US"/>
              </w:rPr>
            </w:pPr>
            <w:r>
              <w:t xml:space="preserve">4. </w:t>
            </w:r>
            <w:r w:rsidRPr="00FC0118">
              <w:rPr>
                <w:lang w:eastAsia="en-US"/>
              </w:rPr>
              <w:t xml:space="preserve"> Wezwania Krajowego ośrodka oraz czynności prowadzącego instalację </w:t>
            </w:r>
            <w:r>
              <w:t>oraz informowanie prowadzącego instalację o oszacowanych wartościach parametrów</w:t>
            </w:r>
            <w:r w:rsidRPr="0042617A">
              <w:t xml:space="preserve"> </w:t>
            </w:r>
            <w:r w:rsidRPr="00FC0118">
              <w:rPr>
                <w:lang w:eastAsia="en-US"/>
              </w:rPr>
              <w:t xml:space="preserve">przeprowadza się za </w:t>
            </w:r>
            <w:r w:rsidRPr="00FC0118">
              <w:rPr>
                <w:lang w:eastAsia="en-US"/>
              </w:rPr>
              <w:lastRenderedPageBreak/>
              <w:t>pośrednictwem Krajowej bazy o emisjach gazów cieplarnianych i innych substancji.</w:t>
            </w:r>
          </w:p>
          <w:p w14:paraId="248AA8A4" w14:textId="77777777" w:rsidR="0052063D" w:rsidRPr="00FC0118" w:rsidRDefault="0052063D" w:rsidP="0052063D">
            <w:pPr>
              <w:pStyle w:val="ZARTzmartartykuempunktem"/>
              <w:spacing w:line="276" w:lineRule="auto"/>
              <w:rPr>
                <w:lang w:eastAsia="en-US"/>
              </w:rPr>
            </w:pPr>
            <w:r>
              <w:t>5</w:t>
            </w:r>
            <w:r w:rsidRPr="00FC0118">
              <w:rPr>
                <w:lang w:eastAsia="en-US"/>
              </w:rPr>
              <w:t xml:space="preserve">. Dokonując oszacowania, o którym mowa w ust. 2, Krajowy ośrodek może wziąć pod uwagę dane będące w jego posiadaniu, w szczególności zawarte w: </w:t>
            </w:r>
          </w:p>
          <w:p w14:paraId="76746AD9" w14:textId="77777777" w:rsidR="0052063D" w:rsidRPr="00FC0118" w:rsidRDefault="0052063D" w:rsidP="0052063D">
            <w:pPr>
              <w:pStyle w:val="ZPKTzmpktartykuempunktem"/>
              <w:spacing w:line="276" w:lineRule="auto"/>
              <w:rPr>
                <w:lang w:eastAsia="en-US"/>
              </w:rPr>
            </w:pPr>
            <w:r w:rsidRPr="00FC0118">
              <w:rPr>
                <w:lang w:eastAsia="en-US"/>
              </w:rPr>
              <w:t xml:space="preserve">1) zezwoleniu na emisję gazów cieplarnianych; </w:t>
            </w:r>
          </w:p>
          <w:p w14:paraId="6B340DC7" w14:textId="77777777" w:rsidR="0052063D" w:rsidRPr="00FC0118" w:rsidRDefault="0052063D" w:rsidP="0052063D">
            <w:pPr>
              <w:pStyle w:val="ZPKTzmpktartykuempunktem"/>
              <w:spacing w:line="276" w:lineRule="auto"/>
              <w:rPr>
                <w:lang w:eastAsia="en-US"/>
              </w:rPr>
            </w:pPr>
            <w:r w:rsidRPr="00FC0118">
              <w:rPr>
                <w:lang w:eastAsia="en-US"/>
              </w:rPr>
              <w:t xml:space="preserve">2) raporcie na temat wielkości emisji, o którym mowa w art. 80 ust. 3; </w:t>
            </w:r>
          </w:p>
          <w:p w14:paraId="47016A60" w14:textId="77777777" w:rsidR="0052063D" w:rsidRPr="00FC0118" w:rsidRDefault="0052063D" w:rsidP="0052063D">
            <w:pPr>
              <w:pStyle w:val="ZPKTzmpktartykuempunktem"/>
              <w:spacing w:line="276" w:lineRule="auto"/>
              <w:rPr>
                <w:lang w:eastAsia="en-US"/>
              </w:rPr>
            </w:pPr>
            <w:r w:rsidRPr="00FC0118">
              <w:rPr>
                <w:lang w:eastAsia="en-US"/>
              </w:rPr>
              <w:t>3) sprawozdaniu z weryfikacji</w:t>
            </w:r>
            <w:r>
              <w:t xml:space="preserve"> raportu</w:t>
            </w:r>
            <w:r w:rsidRPr="00FC0118">
              <w:rPr>
                <w:lang w:eastAsia="en-US"/>
              </w:rPr>
              <w:t>, o którym mowa w art. 84 ust. 1;</w:t>
            </w:r>
          </w:p>
          <w:p w14:paraId="1C5AD20C" w14:textId="77777777" w:rsidR="0052063D" w:rsidRPr="00FC0118" w:rsidRDefault="0052063D" w:rsidP="0052063D">
            <w:pPr>
              <w:pStyle w:val="ZPKTzmpktartykuempunktem"/>
              <w:spacing w:line="276" w:lineRule="auto"/>
              <w:rPr>
                <w:lang w:eastAsia="en-US"/>
              </w:rPr>
            </w:pPr>
            <w:r w:rsidRPr="00FC0118">
              <w:rPr>
                <w:lang w:eastAsia="en-US"/>
              </w:rPr>
              <w:t xml:space="preserve">4) raporcie, o którym mowa w art. 7 ustawy z dnia 17 lipca 2009 r. o systemie zarządzania emisjami gazów cieplarnianych i innych substancji. </w:t>
            </w:r>
          </w:p>
          <w:p w14:paraId="6338E2C9" w14:textId="77777777" w:rsidR="0052063D" w:rsidRDefault="0052063D" w:rsidP="0052063D">
            <w:pPr>
              <w:pStyle w:val="ZUSTzmustartykuempunktem"/>
              <w:spacing w:line="276" w:lineRule="auto"/>
            </w:pPr>
            <w:r>
              <w:t>6. Krajowy ośrodek informuje ministra właściwego do spraw klimatu o instalacjach, w odniesieniu do których trwają czynności zmierzające do oszacowania, o którym mowa w ust. 2.</w:t>
            </w:r>
          </w:p>
          <w:p w14:paraId="18611D5A" w14:textId="77777777" w:rsidR="0052063D" w:rsidRDefault="0052063D" w:rsidP="0052063D">
            <w:pPr>
              <w:pStyle w:val="ZARTzmartartykuempunktem"/>
              <w:spacing w:line="276" w:lineRule="auto"/>
            </w:pPr>
            <w:r>
              <w:t>7</w:t>
            </w:r>
            <w:r w:rsidRPr="00FC0118">
              <w:rPr>
                <w:lang w:eastAsia="en-US"/>
              </w:rPr>
              <w:t>. Krajowy ośrodek wprowadza do Krajowej bazy oszacowane wartości parametrów, o których mowa w art. 3 ust. 4 rozporządzenia Komisji (UE) 201</w:t>
            </w:r>
            <w:r>
              <w:t>9</w:t>
            </w:r>
            <w:r w:rsidRPr="00FC0118">
              <w:rPr>
                <w:lang w:eastAsia="en-US"/>
              </w:rPr>
              <w:t>/1842</w:t>
            </w:r>
            <w:r>
              <w:t>.</w:t>
            </w:r>
          </w:p>
          <w:p w14:paraId="60AFC17D" w14:textId="77777777" w:rsidR="0052063D" w:rsidRDefault="0052063D" w:rsidP="0052063D">
            <w:pPr>
              <w:pStyle w:val="ZARTzmartartykuempunktem"/>
              <w:spacing w:line="276" w:lineRule="auto"/>
            </w:pPr>
            <w:r>
              <w:t>8. Krajowy ośrodek informuje o oszacowanych wartościach parametrów prowadzącego instalację</w:t>
            </w:r>
            <w:r w:rsidRPr="00FC0118">
              <w:rPr>
                <w:lang w:eastAsia="en-US"/>
              </w:rPr>
              <w:t>.</w:t>
            </w:r>
            <w:r>
              <w:t xml:space="preserve"> </w:t>
            </w:r>
          </w:p>
          <w:p w14:paraId="519EB04D" w14:textId="77777777" w:rsidR="0052063D" w:rsidRPr="00FC0118" w:rsidRDefault="0052063D" w:rsidP="0052063D">
            <w:pPr>
              <w:pStyle w:val="ZARTzmartartykuempunktem"/>
              <w:spacing w:line="276" w:lineRule="auto"/>
              <w:rPr>
                <w:lang w:eastAsia="en-US"/>
              </w:rPr>
            </w:pPr>
            <w:r w:rsidRPr="00FC0118">
              <w:rPr>
                <w:lang w:eastAsia="en-US"/>
              </w:rPr>
              <w:t>Art. 64b. 1. Krajowy ośrodek określa średni poziom działalności podinstalacji zgodnie z art. 4 rozporządzenia Komisji (UE) 2019/1842.</w:t>
            </w:r>
          </w:p>
          <w:p w14:paraId="4FDE5649" w14:textId="77777777" w:rsidR="0052063D" w:rsidRPr="00FC0118" w:rsidRDefault="0052063D" w:rsidP="0052063D">
            <w:pPr>
              <w:pStyle w:val="ZARTzmartartykuempunktem"/>
              <w:spacing w:line="276" w:lineRule="auto"/>
              <w:rPr>
                <w:lang w:eastAsia="en-US"/>
              </w:rPr>
            </w:pPr>
            <w:r w:rsidRPr="00FC0118">
              <w:rPr>
                <w:lang w:eastAsia="en-US"/>
              </w:rPr>
              <w:t>2. Krajowy ośrodek każdego roku dokonuje porównania średniego poziomu działalności</w:t>
            </w:r>
            <w:r>
              <w:t>,</w:t>
            </w:r>
            <w:r w:rsidRPr="00FC0118">
              <w:rPr>
                <w:lang w:eastAsia="en-US"/>
              </w:rPr>
              <w:t xml:space="preserve"> </w:t>
            </w:r>
            <w:r w:rsidRPr="002F0DF6">
              <w:rPr>
                <w:lang w:eastAsia="en-US"/>
              </w:rPr>
              <w:t>o którym mowa w ust. 1</w:t>
            </w:r>
            <w:r>
              <w:t xml:space="preserve">, </w:t>
            </w:r>
            <w:r w:rsidRPr="00FC0118">
              <w:rPr>
                <w:lang w:eastAsia="en-US"/>
              </w:rPr>
              <w:t xml:space="preserve">w każdej podinstalacji z historycznym poziomem działalności, o którym mowa w art. 5 ust. 1 rozporządzenia Komisji (UE) 2019/1842, a w </w:t>
            </w:r>
            <w:r w:rsidRPr="00FC0118">
              <w:rPr>
                <w:lang w:eastAsia="en-US"/>
              </w:rPr>
              <w:lastRenderedPageBreak/>
              <w:t xml:space="preserve">przypadkach, o których mowa w art. 5 lub </w:t>
            </w:r>
            <w:r>
              <w:t xml:space="preserve">art. </w:t>
            </w:r>
            <w:r w:rsidRPr="00FC0118">
              <w:rPr>
                <w:lang w:eastAsia="en-US"/>
              </w:rPr>
              <w:t>6 tego rozporządzenia</w:t>
            </w:r>
            <w:r>
              <w:t>,</w:t>
            </w:r>
            <w:r w:rsidRPr="00FC0118">
              <w:rPr>
                <w:lang w:eastAsia="en-US"/>
              </w:rPr>
              <w:t xml:space="preserve"> dokonuje dostosowania przydziału uprawnień do emisji w sposób wskazany w tych przepisach</w:t>
            </w:r>
            <w:r>
              <w:t xml:space="preserve"> oraz zgodnie z art. 3 ust. 4 tego rozporządzenia</w:t>
            </w:r>
            <w:r w:rsidRPr="00FC0118">
              <w:rPr>
                <w:lang w:eastAsia="en-US"/>
              </w:rPr>
              <w:t>.</w:t>
            </w:r>
          </w:p>
          <w:p w14:paraId="1FA0FFF8" w14:textId="77777777" w:rsidR="0052063D" w:rsidRDefault="0052063D" w:rsidP="0052063D">
            <w:pPr>
              <w:pStyle w:val="ZARTzmartartykuempunktem"/>
              <w:spacing w:line="276" w:lineRule="auto"/>
            </w:pPr>
            <w:r w:rsidRPr="00FC0118">
              <w:rPr>
                <w:lang w:eastAsia="en-US"/>
              </w:rPr>
              <w:t xml:space="preserve">3. Krajowy ośrodek może wezwać prowadzącego instalację do złożenia wyjaśnień lub przekazania informacji dotyczących przesłanek stosowania dostosowań, o których mowa w ust. 2, w terminie nie dłuższym niż 7 dni od dnia doręczenia wezwania. </w:t>
            </w:r>
          </w:p>
          <w:p w14:paraId="7E889193" w14:textId="77777777" w:rsidR="0052063D" w:rsidRDefault="0052063D" w:rsidP="0052063D">
            <w:pPr>
              <w:pStyle w:val="ZARTzmartartykuempunktem"/>
              <w:spacing w:line="276" w:lineRule="auto"/>
            </w:pPr>
            <w:r>
              <w:t xml:space="preserve">4.  Jeżeli z wyjaśnień, </w:t>
            </w:r>
            <w:r w:rsidRPr="00386E0C">
              <w:t>o który</w:t>
            </w:r>
            <w:r>
              <w:t>ch</w:t>
            </w:r>
            <w:r w:rsidRPr="00386E0C">
              <w:t xml:space="preserve"> mowa w ust. 3</w:t>
            </w:r>
            <w:r>
              <w:t xml:space="preserve">, wynika, że raport, </w:t>
            </w:r>
            <w:r w:rsidRPr="00D530CF">
              <w:t xml:space="preserve">o którym mowa w art. 64 ust. 1 pkt 1, </w:t>
            </w:r>
            <w:r>
              <w:t>zawiera błędy Krajowy ośrodek wzywa prowadzącego instalację do jego poprawienia w terminie nie dłuższym niż 7 dni od dnia doręczenia wezwania.</w:t>
            </w:r>
          </w:p>
          <w:p w14:paraId="5845B55A" w14:textId="77777777" w:rsidR="0052063D" w:rsidRPr="00FC0118" w:rsidRDefault="0052063D" w:rsidP="0052063D">
            <w:pPr>
              <w:pStyle w:val="ZARTzmartartykuempunktem"/>
              <w:spacing w:line="276" w:lineRule="auto"/>
              <w:rPr>
                <w:lang w:eastAsia="en-US"/>
              </w:rPr>
            </w:pPr>
            <w:r>
              <w:t xml:space="preserve">5. </w:t>
            </w:r>
            <w:r w:rsidRPr="00E029C8">
              <w:t>Wezwania Krajowego ośrodka oraz czynności prowadzącego instalację</w:t>
            </w:r>
            <w:r>
              <w:t xml:space="preserve">, </w:t>
            </w:r>
            <w:r>
              <w:br/>
              <w:t>o których mowa w ust. 3 i 4,</w:t>
            </w:r>
            <w:r w:rsidRPr="00E029C8">
              <w:t xml:space="preserve"> przeprowadza się za pośrednictwem Krajowej bazy </w:t>
            </w:r>
            <w:r>
              <w:br/>
            </w:r>
            <w:r w:rsidRPr="00E029C8">
              <w:t>o emisjach gazów cieplarnianych i innych substancji.</w:t>
            </w:r>
          </w:p>
          <w:p w14:paraId="054B2EC4" w14:textId="77777777" w:rsidR="0052063D" w:rsidRPr="00FC0118" w:rsidRDefault="0052063D" w:rsidP="0052063D">
            <w:pPr>
              <w:pStyle w:val="ZARTzmartartykuempunktem"/>
              <w:spacing w:line="276" w:lineRule="auto"/>
              <w:rPr>
                <w:lang w:eastAsia="en-US"/>
              </w:rPr>
            </w:pPr>
            <w:r>
              <w:t>6</w:t>
            </w:r>
            <w:r w:rsidRPr="00FC0118">
              <w:rPr>
                <w:lang w:eastAsia="en-US"/>
              </w:rPr>
              <w:t>. Krajowy ośrodek przekazuje</w:t>
            </w:r>
            <w:r>
              <w:t xml:space="preserve"> </w:t>
            </w:r>
            <w:r w:rsidRPr="00FC0118">
              <w:rPr>
                <w:lang w:eastAsia="en-US"/>
              </w:rPr>
              <w:t xml:space="preserve">ministrowi właściwemu do spraw klimatu </w:t>
            </w:r>
            <w:r>
              <w:t xml:space="preserve"> </w:t>
            </w:r>
            <w:r w:rsidRPr="005E08DD">
              <w:t>w odniesieniu do k</w:t>
            </w:r>
            <w:r>
              <w:t>ażdej instalacji</w:t>
            </w:r>
            <w:r w:rsidRPr="005E08DD">
              <w:t xml:space="preserve"> </w:t>
            </w:r>
            <w:r w:rsidRPr="00FC0118">
              <w:rPr>
                <w:lang w:eastAsia="en-US"/>
              </w:rPr>
              <w:t xml:space="preserve">informację o: </w:t>
            </w:r>
          </w:p>
          <w:p w14:paraId="304DCC5A" w14:textId="77777777" w:rsidR="0052063D" w:rsidRPr="00FC0118" w:rsidRDefault="0052063D" w:rsidP="0052063D">
            <w:pPr>
              <w:pStyle w:val="ZPKTzmpktartykuempunktem"/>
              <w:spacing w:line="276" w:lineRule="auto"/>
              <w:rPr>
                <w:lang w:eastAsia="en-US"/>
              </w:rPr>
            </w:pPr>
            <w:r>
              <w:t>1) ostatecznej</w:t>
            </w:r>
            <w:r w:rsidRPr="00FC0118">
              <w:rPr>
                <w:lang w:eastAsia="en-US"/>
              </w:rPr>
              <w:t xml:space="preserve"> rocznej liczbie uprawnień do emisji przydzielonej instalacji</w:t>
            </w:r>
            <w:r>
              <w:t>, albo</w:t>
            </w:r>
          </w:p>
          <w:p w14:paraId="33A5668C" w14:textId="77777777" w:rsidR="0052063D" w:rsidRDefault="0052063D" w:rsidP="0052063D">
            <w:pPr>
              <w:pStyle w:val="ZPKTzmpktartykuempunktem"/>
              <w:spacing w:line="276" w:lineRule="auto"/>
            </w:pPr>
            <w:r>
              <w:t xml:space="preserve">2) </w:t>
            </w:r>
            <w:r w:rsidRPr="00FC0118">
              <w:rPr>
                <w:lang w:eastAsia="en-US"/>
              </w:rPr>
              <w:t>dostosowanej</w:t>
            </w:r>
            <w:r w:rsidRPr="008D27AF">
              <w:t xml:space="preserve"> </w:t>
            </w:r>
            <w:r>
              <w:t>ostatecznej</w:t>
            </w:r>
            <w:r w:rsidRPr="008D27AF" w:rsidDel="008D27AF">
              <w:t xml:space="preserve"> </w:t>
            </w:r>
            <w:r w:rsidRPr="00FC0118">
              <w:rPr>
                <w:lang w:eastAsia="en-US"/>
              </w:rPr>
              <w:t>liczbie uprawnień do emisji ustalonej w następstwie dostosowania przydziału uprawnień do emisji, o którym mowa w ust. 2</w:t>
            </w:r>
            <w:r>
              <w:t>, albo</w:t>
            </w:r>
          </w:p>
          <w:p w14:paraId="6B5BD822" w14:textId="77777777" w:rsidR="0052063D" w:rsidRDefault="0052063D" w:rsidP="0052063D">
            <w:pPr>
              <w:pStyle w:val="ZPKTzmpktartykuempunktem"/>
              <w:spacing w:line="276" w:lineRule="auto"/>
            </w:pPr>
            <w:r>
              <w:t>3)</w:t>
            </w:r>
            <w:r>
              <w:tab/>
              <w:t>ostatecznej</w:t>
            </w:r>
            <w:r w:rsidDel="008D27AF">
              <w:t xml:space="preserve"> </w:t>
            </w:r>
            <w:r>
              <w:t>albo dostosowanej ostatecznej</w:t>
            </w:r>
            <w:r w:rsidRPr="006B0543">
              <w:t xml:space="preserve"> rocz</w:t>
            </w:r>
            <w:r>
              <w:t>nej liczbie uprawnień do emisji</w:t>
            </w:r>
            <w:r w:rsidRPr="006B0543">
              <w:t xml:space="preserve"> dla instalacji</w:t>
            </w:r>
            <w:r>
              <w:t>, wynikającej z oszacowania parametrów, o którym mowa w art. 64a ust. 2, albo</w:t>
            </w:r>
          </w:p>
          <w:p w14:paraId="3D7F70EF" w14:textId="77777777" w:rsidR="0052063D" w:rsidRPr="00FC0118" w:rsidRDefault="0052063D" w:rsidP="0052063D">
            <w:pPr>
              <w:pStyle w:val="ZPKTzmpktartykuempunktem"/>
              <w:spacing w:line="276" w:lineRule="auto"/>
            </w:pPr>
            <w:r>
              <w:lastRenderedPageBreak/>
              <w:t>4)</w:t>
            </w:r>
            <w:r>
              <w:tab/>
              <w:t>instalacji wobec której nie zakończono czynności szacowania parametrów, o którym mowa w art 64a ust. 2.</w:t>
            </w:r>
          </w:p>
          <w:p w14:paraId="5D1C5FE8" w14:textId="77777777" w:rsidR="0052063D" w:rsidRPr="00AE79AA" w:rsidRDefault="0052063D" w:rsidP="0052063D">
            <w:pPr>
              <w:pStyle w:val="ZUSTzmustartykuempunktem"/>
              <w:spacing w:line="276" w:lineRule="auto"/>
            </w:pPr>
            <w:r>
              <w:t>7</w:t>
            </w:r>
            <w:r w:rsidRPr="00AE79AA">
              <w:t>. Minister właściwy do spraw klimatu przekazuje Komisji Europejskiej informacj</w:t>
            </w:r>
            <w:r>
              <w:t>e,</w:t>
            </w:r>
            <w:r w:rsidRPr="00AE79AA">
              <w:t xml:space="preserve"> o któr</w:t>
            </w:r>
            <w:r>
              <w:t xml:space="preserve">ych </w:t>
            </w:r>
            <w:r w:rsidRPr="00AE79AA">
              <w:t>mowa w ust.</w:t>
            </w:r>
            <w:r>
              <w:t>6 pkt 1-3</w:t>
            </w:r>
            <w:r w:rsidRPr="00AE79AA">
              <w:t>.</w:t>
            </w:r>
          </w:p>
          <w:p w14:paraId="24983461" w14:textId="77777777" w:rsidR="0052063D" w:rsidRDefault="0052063D" w:rsidP="0052063D">
            <w:pPr>
              <w:pStyle w:val="ZUSTzmustartykuempunktem"/>
              <w:spacing w:line="276" w:lineRule="auto"/>
            </w:pPr>
            <w:r>
              <w:t>8</w:t>
            </w:r>
            <w:r w:rsidRPr="006B0543">
              <w:t>. Minister właściwy do spraw klimatu ogłasza w Biuletynie Informacji Publicznej na stronie podmiotowej urzędu obsługującego tego ministra</w:t>
            </w:r>
            <w:r>
              <w:t xml:space="preserve">, w odniesieniu do każdej instalacji, </w:t>
            </w:r>
            <w:r w:rsidRPr="006563C0">
              <w:t xml:space="preserve">informację </w:t>
            </w:r>
            <w:r>
              <w:t>o:</w:t>
            </w:r>
          </w:p>
          <w:p w14:paraId="7E1E32B1" w14:textId="77777777" w:rsidR="0052063D" w:rsidRDefault="0052063D" w:rsidP="0052063D">
            <w:pPr>
              <w:pStyle w:val="ZPKTzmpktartykuempunktem"/>
              <w:spacing w:line="276" w:lineRule="auto"/>
            </w:pPr>
            <w:r>
              <w:t>1)</w:t>
            </w:r>
            <w:r w:rsidRPr="008D27AF">
              <w:t xml:space="preserve"> </w:t>
            </w:r>
            <w:r>
              <w:t>ostatecznej</w:t>
            </w:r>
            <w:r w:rsidDel="008D27AF">
              <w:t xml:space="preserve"> </w:t>
            </w:r>
            <w:r w:rsidRPr="006B0543">
              <w:t>rocznej liczbie uprawnień do emisji przydzielonej instalacj</w:t>
            </w:r>
            <w:r>
              <w:t>i, albo</w:t>
            </w:r>
          </w:p>
          <w:p w14:paraId="678BBF1D" w14:textId="77777777" w:rsidR="0052063D" w:rsidRDefault="0052063D" w:rsidP="0052063D">
            <w:pPr>
              <w:pStyle w:val="ZPKTzmpktartykuempunktem"/>
              <w:spacing w:line="276" w:lineRule="auto"/>
            </w:pPr>
            <w:r>
              <w:t>2)</w:t>
            </w:r>
            <w:r w:rsidRPr="006B0543">
              <w:t xml:space="preserve"> dostosowanej </w:t>
            </w:r>
            <w:r>
              <w:t>ostatecznej</w:t>
            </w:r>
            <w:r w:rsidRPr="006B0543" w:rsidDel="008D27AF">
              <w:t xml:space="preserve"> </w:t>
            </w:r>
            <w:r w:rsidRPr="006B0543">
              <w:t>rocznej liczbie uprawnień do emisji dla instalacji</w:t>
            </w:r>
            <w:r>
              <w:t>,</w:t>
            </w:r>
            <w:r w:rsidRPr="00E37DC5">
              <w:t xml:space="preserve"> ustalonej w następstwie dostosowania przydziału uprawnień do emisji, o którym mowa w ust. 2</w:t>
            </w:r>
            <w:r>
              <w:t>, albo</w:t>
            </w:r>
          </w:p>
          <w:p w14:paraId="772F9D77" w14:textId="77777777" w:rsidR="0052063D" w:rsidRDefault="0052063D" w:rsidP="0052063D">
            <w:pPr>
              <w:pStyle w:val="ZPKTzmpktartykuempunktem"/>
              <w:spacing w:line="276" w:lineRule="auto"/>
            </w:pPr>
            <w:r>
              <w:t>3) ostatecznej albo dostosowanej ostatecznej</w:t>
            </w:r>
            <w:r w:rsidRPr="006B0543">
              <w:t xml:space="preserve"> rocz</w:t>
            </w:r>
            <w:r>
              <w:t>nej liczbie uprawnień do emisji</w:t>
            </w:r>
            <w:r w:rsidRPr="006B0543">
              <w:t xml:space="preserve"> dla instalacji</w:t>
            </w:r>
            <w:r>
              <w:t>, wynikającej z oszacowania parametrów, o którym mowa w art. 64a ust. 2, albo</w:t>
            </w:r>
          </w:p>
          <w:p w14:paraId="78B8C794" w14:textId="77777777" w:rsidR="0052063D" w:rsidRDefault="0052063D" w:rsidP="0052063D">
            <w:pPr>
              <w:pStyle w:val="ZPKTzmpktartykuempunktem"/>
              <w:spacing w:line="276" w:lineRule="auto"/>
            </w:pPr>
            <w:r>
              <w:t>4) wstrzymaniu wydania ostatecznej albo dostosowanej ostatecznej</w:t>
            </w:r>
            <w:r w:rsidRPr="006B0543">
              <w:t xml:space="preserve"> roczn</w:t>
            </w:r>
            <w:r>
              <w:t xml:space="preserve">ej liczbie uprawnień do emisji </w:t>
            </w:r>
            <w:r w:rsidRPr="006B0543">
              <w:t>dla instalacji</w:t>
            </w:r>
            <w:r>
              <w:t>, wobec której nie zakończono czynności szacowania parametrów, o których mowa w art. 64a ust. 2.</w:t>
            </w:r>
          </w:p>
          <w:p w14:paraId="63CD6197" w14:textId="77777777" w:rsidR="0052063D" w:rsidRDefault="0052063D" w:rsidP="0052063D">
            <w:pPr>
              <w:pStyle w:val="ZUSTzmustartykuempunktem"/>
              <w:spacing w:line="276" w:lineRule="auto"/>
            </w:pPr>
            <w:r>
              <w:t>9. W przypadku zakończenia czynności szacowania parametrów, o którym mowa w art. 64a ust. 2 wobec instalacji, którym wstrzymano wydanie ostatecznej rocznej liczby uprawnień do emisji albo dostosowanej ostatecznej rocznej liczbie uprawnień do emisji, przepis ust. 1-2 oraz ust. 6-8 stosuje się odpowiednio.</w:t>
            </w:r>
          </w:p>
          <w:p w14:paraId="5925BC30" w14:textId="77777777" w:rsidR="0052063D" w:rsidRDefault="0052063D" w:rsidP="0052063D">
            <w:pPr>
              <w:pStyle w:val="ZUSTzmustartykuempunktem"/>
              <w:spacing w:line="276" w:lineRule="auto"/>
            </w:pPr>
            <w:r>
              <w:t>10. J</w:t>
            </w:r>
            <w:r w:rsidRPr="00CA2764">
              <w:t xml:space="preserve">eżeli z raportu lub sprawozdania z weryfikacji, o których mowa w art. 64 ust. 1, wynika, że informacja, o której mowa w art. 64b ust. </w:t>
            </w:r>
            <w:r>
              <w:t>6</w:t>
            </w:r>
            <w:r w:rsidRPr="00CA2764">
              <w:t xml:space="preserve"> pkt 1, 2 lub 3</w:t>
            </w:r>
            <w:r>
              <w:t>,</w:t>
            </w:r>
            <w:r w:rsidRPr="00CA2764">
              <w:t xml:space="preserve"> została ustalona na podstawie niepoprawnych danych, w wyniku czego liczba uprawnień do emisji wydanych </w:t>
            </w:r>
            <w:r w:rsidRPr="00CA2764">
              <w:lastRenderedPageBreak/>
              <w:t xml:space="preserve">instalacji na dany rok była nieprawidłowa, Krajowy ośrodek dokonuje </w:t>
            </w:r>
            <w:r>
              <w:t>zmiany</w:t>
            </w:r>
            <w:r w:rsidRPr="00CA2764">
              <w:t xml:space="preserve"> tej informacji. Przepisy </w:t>
            </w:r>
            <w:r>
              <w:t xml:space="preserve">art. </w:t>
            </w:r>
            <w:r w:rsidRPr="00CA2764">
              <w:t xml:space="preserve">64a </w:t>
            </w:r>
            <w:r w:rsidRPr="00AB1CE7">
              <w:t xml:space="preserve">oraz </w:t>
            </w:r>
            <w:r>
              <w:t>ust. 1-9</w:t>
            </w:r>
            <w:r w:rsidRPr="00AB1CE7">
              <w:t xml:space="preserve"> </w:t>
            </w:r>
            <w:r w:rsidRPr="00CA2764">
              <w:t>stosuje się odpowiednio.</w:t>
            </w:r>
            <w:r w:rsidRPr="00AB0FDE">
              <w:t>”</w:t>
            </w:r>
            <w:r>
              <w:t>;</w:t>
            </w:r>
          </w:p>
          <w:p w14:paraId="17B17194" w14:textId="77777777" w:rsidR="0052063D" w:rsidRDefault="0052063D" w:rsidP="0052063D">
            <w:pPr>
              <w:pStyle w:val="PKTpunkt"/>
              <w:spacing w:line="276" w:lineRule="auto"/>
            </w:pPr>
            <w:r>
              <w:t xml:space="preserve">30) </w:t>
            </w:r>
            <w:r w:rsidRPr="00FC0118">
              <w:rPr>
                <w:lang w:eastAsia="en-US"/>
              </w:rPr>
              <w:t>uchyla się art. 65</w:t>
            </w:r>
            <w:r>
              <w:t xml:space="preserve"> i </w:t>
            </w:r>
            <w:r w:rsidRPr="00FC0118">
              <w:rPr>
                <w:lang w:eastAsia="en-US"/>
              </w:rPr>
              <w:t>art. 66</w:t>
            </w:r>
            <w:r>
              <w:t>;</w:t>
            </w:r>
          </w:p>
          <w:p w14:paraId="0D5F0313" w14:textId="77777777" w:rsidR="0052063D" w:rsidRDefault="0052063D" w:rsidP="0052063D">
            <w:pPr>
              <w:pStyle w:val="PKTpunkt"/>
              <w:spacing w:line="276" w:lineRule="auto"/>
            </w:pPr>
            <w:r>
              <w:t>31) w art. 67 po ust. 3 dodaje się  ust. 4 w brzmieniu:</w:t>
            </w:r>
          </w:p>
          <w:p w14:paraId="1105AE3F" w14:textId="77777777" w:rsidR="0052063D" w:rsidRDefault="0052063D" w:rsidP="0052063D">
            <w:pPr>
              <w:pStyle w:val="ZUSTzmustartykuempunktem"/>
              <w:spacing w:line="276" w:lineRule="auto"/>
            </w:pPr>
            <w:r w:rsidRPr="0026199A">
              <w:t>„</w:t>
            </w:r>
            <w:r>
              <w:t>4. Prowadzący instalację nową składa wniosek o przydział uprawnień do emisji do Krajowego ośrodka, na zasadach określonych w art. 5 rozporządzenia 331/2019</w:t>
            </w:r>
            <w:r w:rsidRPr="004D61E5">
              <w:t xml:space="preserve"> </w:t>
            </w:r>
            <w:r>
              <w:t xml:space="preserve">i </w:t>
            </w:r>
            <w:r w:rsidRPr="004D61E5">
              <w:t>w trybie określonym w art. 64 ust. 2a</w:t>
            </w:r>
            <w:r w:rsidRPr="00377ACB">
              <w:t>.”;</w:t>
            </w:r>
          </w:p>
          <w:p w14:paraId="21FA5F29" w14:textId="77777777" w:rsidR="0052063D" w:rsidRPr="00FC0118" w:rsidRDefault="0052063D" w:rsidP="0052063D">
            <w:pPr>
              <w:pStyle w:val="PKTpunkt"/>
              <w:spacing w:line="276" w:lineRule="auto"/>
              <w:rPr>
                <w:lang w:eastAsia="en-US"/>
              </w:rPr>
            </w:pPr>
            <w:r>
              <w:t>32)</w:t>
            </w:r>
            <w:r w:rsidRPr="00377ACB">
              <w:t xml:space="preserve"> uchyla się </w:t>
            </w:r>
            <w:r>
              <w:t>art. 68-70</w:t>
            </w:r>
            <w:r w:rsidRPr="00FC0118">
              <w:rPr>
                <w:lang w:eastAsia="en-US"/>
              </w:rPr>
              <w:t>;</w:t>
            </w:r>
          </w:p>
          <w:p w14:paraId="2F16FB87" w14:textId="77777777" w:rsidR="00AA08D0" w:rsidRDefault="00AA08D0" w:rsidP="00040E48">
            <w:pPr>
              <w:pStyle w:val="ZPKTzmpktartykuempunktem"/>
              <w:spacing w:line="240" w:lineRule="auto"/>
              <w:ind w:left="510"/>
            </w:pPr>
          </w:p>
          <w:p w14:paraId="68133D77" w14:textId="1198D458" w:rsidR="00AA08D0" w:rsidRPr="003158EE" w:rsidRDefault="00AA08D0" w:rsidP="00040E48">
            <w:pPr>
              <w:pStyle w:val="ZPKTzmpktartykuempunktem"/>
              <w:spacing w:line="240" w:lineRule="auto"/>
              <w:ind w:left="510"/>
              <w:rPr>
                <w:rFonts w:ascii="Times New Roman" w:hAnsi="Times New Roman" w:cs="Times New Roman"/>
                <w:szCs w:val="24"/>
              </w:rPr>
            </w:pPr>
          </w:p>
        </w:tc>
      </w:tr>
      <w:tr w:rsidR="00F837EE" w:rsidRPr="003158EE" w14:paraId="30726DC4" w14:textId="77777777" w:rsidTr="00E93415">
        <w:tc>
          <w:tcPr>
            <w:tcW w:w="952" w:type="dxa"/>
          </w:tcPr>
          <w:p w14:paraId="725E502E" w14:textId="77777777" w:rsidR="00F837EE" w:rsidRPr="003158EE" w:rsidRDefault="00F837EE" w:rsidP="000672D3">
            <w:pPr>
              <w:pStyle w:val="Default"/>
              <w:jc w:val="center"/>
            </w:pPr>
            <w:r w:rsidRPr="003158EE">
              <w:lastRenderedPageBreak/>
              <w:t xml:space="preserve">Art. 1 pkt 14 lit. n </w:t>
            </w:r>
          </w:p>
          <w:p w14:paraId="2736F4D7" w14:textId="77777777" w:rsidR="00F837EE" w:rsidRPr="003158EE" w:rsidRDefault="00F837EE" w:rsidP="000672D3">
            <w:pPr>
              <w:pStyle w:val="Default"/>
              <w:jc w:val="center"/>
            </w:pPr>
          </w:p>
        </w:tc>
        <w:tc>
          <w:tcPr>
            <w:tcW w:w="5074" w:type="dxa"/>
          </w:tcPr>
          <w:p w14:paraId="025BA6F7" w14:textId="77777777" w:rsidR="00A9000A" w:rsidRPr="003158EE" w:rsidRDefault="00A9000A" w:rsidP="00A9000A">
            <w:pPr>
              <w:pStyle w:val="Normalny4"/>
              <w:jc w:val="both"/>
              <w:rPr>
                <w:color w:val="000000"/>
              </w:rPr>
            </w:pPr>
            <w:r w:rsidRPr="003158EE">
              <w:rPr>
                <w:color w:val="000000"/>
              </w:rPr>
              <w:t>n) dodaje się ustęp w brzmieniu:</w:t>
            </w:r>
          </w:p>
          <w:p w14:paraId="1120F074" w14:textId="77777777" w:rsidR="00F837EE" w:rsidRPr="003158EE" w:rsidRDefault="00A9000A" w:rsidP="00A9000A">
            <w:pPr>
              <w:pStyle w:val="Normalny4"/>
              <w:spacing w:before="0" w:beforeAutospacing="0" w:after="0" w:afterAutospacing="0"/>
              <w:jc w:val="both"/>
              <w:rPr>
                <w:color w:val="000000"/>
              </w:rPr>
            </w:pPr>
            <w:r w:rsidRPr="003158EE">
              <w:rPr>
                <w:color w:val="000000"/>
              </w:rPr>
              <w:t>„21.   Aby zapewnić skuteczne, niedyskryminujące i jednolite stosowanie dostosowań oraz progu, o którym mowa w ust. 20 niniejszego artykułu, uniknąć wszelkich niepotrzebnych obciążeń administracyjnych, a także aby zapobiec manipulacjom lub nadużyciom w dostosowywaniu przydziału uprawnień, Komisja może przyjmować akty wykonawcze określające dalsze ustalenia dotyczące dostosowań. Te akty wykonawcze przyjmuje się zgodnie z procedurą sprawdzającą, o której mowa w art. 22a ust. 2.”;</w:t>
            </w:r>
          </w:p>
        </w:tc>
        <w:tc>
          <w:tcPr>
            <w:tcW w:w="596" w:type="dxa"/>
          </w:tcPr>
          <w:p w14:paraId="37B557C1" w14:textId="77777777" w:rsidR="00F837EE" w:rsidRPr="003158EE" w:rsidRDefault="00F837EE" w:rsidP="000672D3">
            <w:pPr>
              <w:pStyle w:val="Default"/>
              <w:jc w:val="both"/>
              <w:rPr>
                <w:b/>
              </w:rPr>
            </w:pPr>
            <w:r w:rsidRPr="003158EE">
              <w:rPr>
                <w:b/>
              </w:rPr>
              <w:t>N</w:t>
            </w:r>
          </w:p>
        </w:tc>
        <w:tc>
          <w:tcPr>
            <w:tcW w:w="7342" w:type="dxa"/>
          </w:tcPr>
          <w:p w14:paraId="42F447C7" w14:textId="77777777" w:rsidR="00F837EE" w:rsidRPr="003158EE" w:rsidRDefault="00F837EE" w:rsidP="000672D3">
            <w:pPr>
              <w:pStyle w:val="ZPKTzmpktartykuempunktem"/>
              <w:spacing w:line="240" w:lineRule="auto"/>
              <w:ind w:left="510"/>
              <w:rPr>
                <w:rFonts w:ascii="Times New Roman" w:hAnsi="Times New Roman" w:cs="Times New Roman"/>
                <w:szCs w:val="24"/>
              </w:rPr>
            </w:pPr>
          </w:p>
        </w:tc>
      </w:tr>
      <w:tr w:rsidR="00F837EE" w:rsidRPr="003158EE" w14:paraId="7231BEDB" w14:textId="77777777" w:rsidTr="00E93415">
        <w:tc>
          <w:tcPr>
            <w:tcW w:w="952" w:type="dxa"/>
          </w:tcPr>
          <w:p w14:paraId="30E9D531" w14:textId="77777777" w:rsidR="00F837EE" w:rsidRPr="003158EE" w:rsidRDefault="00F837EE" w:rsidP="000672D3">
            <w:pPr>
              <w:pStyle w:val="Default"/>
              <w:jc w:val="center"/>
            </w:pPr>
            <w:r w:rsidRPr="003158EE">
              <w:t>Art. 1 pkt 15</w:t>
            </w:r>
          </w:p>
          <w:p w14:paraId="15A47C3D" w14:textId="5B1CA0A3" w:rsidR="00F837EE" w:rsidRPr="003158EE" w:rsidRDefault="00D0621B" w:rsidP="000672D3">
            <w:pPr>
              <w:pStyle w:val="Default"/>
              <w:jc w:val="center"/>
            </w:pPr>
            <w:r w:rsidRPr="003158EE">
              <w:t>(w zakresie dodane</w:t>
            </w:r>
            <w:r w:rsidRPr="003158EE">
              <w:lastRenderedPageBreak/>
              <w:t>go art. 10b)</w:t>
            </w:r>
          </w:p>
        </w:tc>
        <w:tc>
          <w:tcPr>
            <w:tcW w:w="5074" w:type="dxa"/>
          </w:tcPr>
          <w:p w14:paraId="623EF5EB" w14:textId="77777777" w:rsidR="00F837EE" w:rsidRPr="003158EE" w:rsidRDefault="00F837EE" w:rsidP="00FC4BB6">
            <w:pPr>
              <w:pStyle w:val="Normalny2"/>
              <w:spacing w:before="0" w:beforeAutospacing="0" w:after="0" w:afterAutospacing="0"/>
              <w:jc w:val="both"/>
            </w:pPr>
            <w:r w:rsidRPr="003158EE">
              <w:lastRenderedPageBreak/>
              <w:t>„Artykuł 10b</w:t>
            </w:r>
          </w:p>
          <w:p w14:paraId="246D1655" w14:textId="77777777" w:rsidR="00F837EE" w:rsidRPr="003158EE" w:rsidRDefault="00F837EE" w:rsidP="00FC4BB6">
            <w:pPr>
              <w:pStyle w:val="Normalny2"/>
              <w:spacing w:before="0" w:beforeAutospacing="0" w:after="0" w:afterAutospacing="0"/>
              <w:jc w:val="both"/>
            </w:pPr>
            <w:r w:rsidRPr="003158EE">
              <w:t>Przejściowe środki wsparcia niektórych energochłonnych sektorów w przypadku ucieczki emisji</w:t>
            </w:r>
          </w:p>
          <w:p w14:paraId="07FE8C2E" w14:textId="77777777" w:rsidR="00F837EE" w:rsidRPr="003158EE" w:rsidRDefault="00F837EE" w:rsidP="00FC4BB6">
            <w:pPr>
              <w:pStyle w:val="Normalny2"/>
              <w:spacing w:before="0" w:beforeAutospacing="0" w:after="0" w:afterAutospacing="0"/>
              <w:jc w:val="both"/>
            </w:pPr>
            <w:r w:rsidRPr="003158EE">
              <w:t xml:space="preserve">1.   Za narażone na ryzyko ucieczki emisji uznaje się sektory i podsektory, w odniesieniu do których </w:t>
            </w:r>
            <w:r w:rsidRPr="003158EE">
              <w:lastRenderedPageBreak/>
              <w:t>iloczyn ich intensywności handlu z państwami trzecimi, określonej jako stosunek całkowitej wartości eksportu do państw trzecich powiększonej o wartość importu z państw trzecich do całkowitej wielkości rynku w Europejskim Obszarze Gospodarczym (roczny obrót plus całkowita wartość importu z państw trzecich), oraz ich intensywności emisji, mierzonej w kg ekwiwalentu CO2 podzielonych przez ich wartość dodaną brutto (w EUR), przekracza 0,2. Takim sektorom lub podsektorom przydziela się bezpłatne uprawnienia na okres do 2030 r. w wysokości 100 % liczby określonej zgodnie z art. 10a.</w:t>
            </w:r>
          </w:p>
          <w:p w14:paraId="4B547742" w14:textId="77777777" w:rsidR="00F837EE" w:rsidRPr="003158EE" w:rsidRDefault="00F837EE" w:rsidP="00FC4BB6">
            <w:pPr>
              <w:pStyle w:val="Normalny2"/>
              <w:spacing w:before="0" w:beforeAutospacing="0" w:after="0" w:afterAutospacing="0"/>
              <w:jc w:val="both"/>
            </w:pPr>
            <w:r w:rsidRPr="003158EE">
              <w:t>2.   Sektory i podsektory, w odniesieniu do których iloczyn ich intensywności handlu z państwami trzecimi oraz ich intensywności emisji przekracza 0,15, mogą zostać włączone do grupy, o której mowa w ust. 1, przy zastosowaniu danych z lat 2014–2016 na podstawie oceny jakościowej i następujących kryteriów:</w:t>
            </w:r>
          </w:p>
          <w:p w14:paraId="027001D0" w14:textId="77777777" w:rsidR="00F837EE" w:rsidRPr="003158EE" w:rsidRDefault="00F837EE" w:rsidP="00FC4BB6">
            <w:pPr>
              <w:pStyle w:val="Normalny2"/>
              <w:spacing w:before="0" w:beforeAutospacing="0" w:after="0" w:afterAutospacing="0"/>
              <w:jc w:val="both"/>
            </w:pPr>
            <w:r w:rsidRPr="003158EE">
              <w:t>a)</w:t>
            </w:r>
          </w:p>
          <w:p w14:paraId="1E022C15" w14:textId="77777777" w:rsidR="00F837EE" w:rsidRPr="003158EE" w:rsidRDefault="00F837EE" w:rsidP="00FC4BB6">
            <w:pPr>
              <w:pStyle w:val="Normalny2"/>
              <w:spacing w:before="0" w:beforeAutospacing="0" w:after="0" w:afterAutospacing="0"/>
              <w:jc w:val="both"/>
            </w:pPr>
            <w:r w:rsidRPr="003158EE">
              <w:t>zakres, w jakim względem poszczególnych instalacji w danym sektorze lub danym podsektorze można zmniejszyć poziomy emisji lub zużycie energii elektrycznej;</w:t>
            </w:r>
          </w:p>
          <w:p w14:paraId="5461D8DA" w14:textId="77777777" w:rsidR="00F837EE" w:rsidRPr="003158EE" w:rsidRDefault="00F837EE" w:rsidP="00FC4BB6">
            <w:pPr>
              <w:pStyle w:val="Normalny2"/>
              <w:spacing w:before="0" w:beforeAutospacing="0" w:after="0" w:afterAutospacing="0"/>
              <w:jc w:val="both"/>
            </w:pPr>
            <w:r w:rsidRPr="003158EE">
              <w:t>b)</w:t>
            </w:r>
          </w:p>
          <w:p w14:paraId="48C90F04" w14:textId="77777777" w:rsidR="00F837EE" w:rsidRPr="003158EE" w:rsidRDefault="00F837EE" w:rsidP="00FC4BB6">
            <w:pPr>
              <w:pStyle w:val="Normalny2"/>
              <w:spacing w:before="0" w:beforeAutospacing="0" w:after="0" w:afterAutospacing="0"/>
              <w:jc w:val="both"/>
            </w:pPr>
            <w:r w:rsidRPr="003158EE">
              <w:t>obecna i prognozowana charakterystyka rynku, w tym, w odpowiednich przypadkach, wspólne ceny referencyjne;</w:t>
            </w:r>
          </w:p>
          <w:p w14:paraId="6451F4E7" w14:textId="77777777" w:rsidR="00F837EE" w:rsidRPr="003158EE" w:rsidRDefault="00F837EE" w:rsidP="00FC4BB6">
            <w:pPr>
              <w:pStyle w:val="Normalny2"/>
              <w:spacing w:before="0" w:beforeAutospacing="0" w:after="0" w:afterAutospacing="0"/>
              <w:jc w:val="both"/>
            </w:pPr>
            <w:r w:rsidRPr="003158EE">
              <w:t>c)</w:t>
            </w:r>
          </w:p>
          <w:p w14:paraId="372D23B3" w14:textId="77777777" w:rsidR="00F837EE" w:rsidRPr="003158EE" w:rsidRDefault="00F837EE" w:rsidP="00FC4BB6">
            <w:pPr>
              <w:pStyle w:val="Normalny2"/>
              <w:spacing w:before="0" w:beforeAutospacing="0" w:after="0" w:afterAutospacing="0"/>
              <w:jc w:val="both"/>
            </w:pPr>
            <w:r w:rsidRPr="003158EE">
              <w:lastRenderedPageBreak/>
              <w:t>marża jako potencjalny wskaźnik inwestycji długoterminowej lub decyzji o przeniesieniu produkcji, z uwzględnieniem zmian w kosztach produkcji w powiązaniu z redukcją emisji.</w:t>
            </w:r>
          </w:p>
          <w:p w14:paraId="59BF6570" w14:textId="77777777" w:rsidR="00F837EE" w:rsidRPr="003158EE" w:rsidRDefault="00F837EE" w:rsidP="00FC4BB6">
            <w:pPr>
              <w:pStyle w:val="Normalny2"/>
              <w:spacing w:before="0" w:beforeAutospacing="0" w:after="0" w:afterAutospacing="0"/>
              <w:jc w:val="both"/>
            </w:pPr>
            <w:r w:rsidRPr="003158EE">
              <w:t>3.   Sektory i podsektory, które nie przekraczają progu, o którym mowa w ust. 1, ale ich intensywność emisji mierzona w kg ekwiwalentu CO2 podzielonych przez ich wartość dodaną brutto (w EUR) przekracza 1,5, są również poddawane ocenie na poziomie 4-cyfrowym (kod NACE-4). Komisja podaje wyniki tej oceny do wiadomości publicznej.</w:t>
            </w:r>
          </w:p>
          <w:p w14:paraId="1EA36A9B" w14:textId="77777777" w:rsidR="00F837EE" w:rsidRPr="003158EE" w:rsidRDefault="00F837EE" w:rsidP="00FC4BB6">
            <w:pPr>
              <w:pStyle w:val="Normalny2"/>
              <w:spacing w:before="0" w:beforeAutospacing="0" w:after="0" w:afterAutospacing="0"/>
              <w:jc w:val="both"/>
            </w:pPr>
            <w:r w:rsidRPr="003158EE">
              <w:t>W ciągu trzech miesięcy od podania do wiadomości publicznej, o którym mowa w tym akapicie, te sektory i podsektory mogą wystąpić do Komisji albo o jakościową ocenę ich narażenia na ryzyko ucieczki emisji na poziomie 4-cyfrowym (NACE-4), albo o ocenę na podstawie klasyfikacji towarów używanej do statystyk dotyczących produkcji przemysłowej w Unii na poziomie 8-cyfrowym (Prodcom). W tym celu dany sektor i podsektor przekazują wraz z wnioskiem należycie uzasadnione, kompletne i niezależnie zweryfikowane dane, aby umożliwić Komisji przeprowadzenie oceny.</w:t>
            </w:r>
          </w:p>
          <w:p w14:paraId="7E3D8BE1" w14:textId="77777777" w:rsidR="00F837EE" w:rsidRPr="003158EE" w:rsidRDefault="00F837EE" w:rsidP="00FC4BB6">
            <w:pPr>
              <w:pStyle w:val="Normalny2"/>
              <w:spacing w:before="0" w:beforeAutospacing="0" w:after="0" w:afterAutospacing="0"/>
              <w:jc w:val="both"/>
            </w:pPr>
            <w:r w:rsidRPr="003158EE">
              <w:t xml:space="preserve">W przypadku gdy sektor lub podsektor decyduje się poddać ocenie na poziomie 4-cyfrowym (kod NACE-4), może zostać włączony do grupy, o której mowa w ust. 1, na podstawie kryteriów, o których mowa w ust. 2 lit. a), b) i c). W przypadku gdy sektor lub podsektor decyduje się poddać ocenie na poziomie 8-cyfrowym (Prodcom), </w:t>
            </w:r>
            <w:r w:rsidRPr="003158EE">
              <w:lastRenderedPageBreak/>
              <w:t>włączany jest do grupy, o której mowa w ust. 1, pod warunkiem, że na tym poziomie przekroczony jest próg wynoszący 0,2, o którym mowa w ust. 1.</w:t>
            </w:r>
          </w:p>
          <w:p w14:paraId="1A2C3332" w14:textId="77777777" w:rsidR="00F837EE" w:rsidRPr="003158EE" w:rsidRDefault="00F837EE" w:rsidP="00FC4BB6">
            <w:pPr>
              <w:pStyle w:val="Normalny2"/>
              <w:spacing w:before="0" w:beforeAutospacing="0" w:after="0" w:afterAutospacing="0"/>
              <w:jc w:val="both"/>
            </w:pPr>
            <w:r w:rsidRPr="003158EE">
              <w:t>Sektory i podsektory, w odniesieniu do których bezpłatny przydział uprawnień jest obliczany na podstawie wartości wskaźników, o których mowa w art. 10a ust. 2 akapit czwarty, mogą również zwrócić się o poddanie ich ocenie zgodnie z akapitem trzecim niniejszego ustępu.</w:t>
            </w:r>
          </w:p>
          <w:p w14:paraId="2CB4D3C4" w14:textId="77777777" w:rsidR="00F837EE" w:rsidRPr="003158EE" w:rsidRDefault="00F837EE" w:rsidP="00FC4BB6">
            <w:pPr>
              <w:pStyle w:val="Normalny2"/>
              <w:spacing w:before="0" w:beforeAutospacing="0" w:after="0" w:afterAutospacing="0"/>
              <w:jc w:val="both"/>
            </w:pPr>
            <w:r w:rsidRPr="003158EE">
              <w:t>W drodze odstępstwa od ust. 1 i 2, państwo członkowskie może do dnia 30 czerwca 2018 r. złożyć wniosek, aby sektor lub podsektor wymieniony w załączniku do decyzji Komisji 2014/746/UE (*6) w odniesieniu do klasyfikacji na poziomie 6-cyfrowym lub 8-cyfrowym (Prodcom) był uważany za włączony do grupy, o której mowa w ust. 1. Taki wniosek jest rozpatrywany wyłącznie w przypadku, gdy składające go państwo członkowskie ustali, że stosowanie tego odstępstwa jest celowe w oparciu o należycie uzasadnione, kompletne i zweryfikowane dane z pięciu ostatnich lat dostarczone przez dany zainteresowany sektor lub podsektor, i zawrze w swoim wniosku wszystkie istotne informacje. W oparciu o te dane ujmuje się dany sektor lub podsektor w odniesieniu do tych klasyfikacji, dla których w ramach niejednorodnego kodu na poziomie 4-cyfrowym (NACE-4) wykazuje, że mają znacznie wyższy poziom handlu i większą intensywność emisji na poziomie 6-cyfrowym lub 8-cyfrowym (Prodcom), przekraczające próg określony w ust. 1.</w:t>
            </w:r>
          </w:p>
          <w:p w14:paraId="302CCE6F" w14:textId="77777777" w:rsidR="00F837EE" w:rsidRPr="003158EE" w:rsidRDefault="00F837EE" w:rsidP="00FC4BB6">
            <w:pPr>
              <w:pStyle w:val="Normalny2"/>
              <w:spacing w:before="0" w:beforeAutospacing="0" w:after="0" w:afterAutospacing="0"/>
              <w:jc w:val="both"/>
            </w:pPr>
            <w:r w:rsidRPr="003158EE">
              <w:lastRenderedPageBreak/>
              <w:t>4.   Inne sektory i podsektory uznaje się za zdolne do przeniesienia większych kosztów uprawnień na ceny produktów i przydziela się im bezpłatne uprawnienia w wysokości 30 % liczby określonej zgodnie z art. 10a. O ile nie zostanie postanowione inaczej w przeglądzie dokonanym zgodnie z art. 30, bezpłatne uprawnienia dla innych sektorów i podsektorów, poza systemem ciepłowniczym, są zmniejszane stopniowo o równe liczby po 2026 roku, tak by w 2030 roku nie było bezpłatnych uprawnień.</w:t>
            </w:r>
          </w:p>
          <w:p w14:paraId="41F8560F" w14:textId="77777777" w:rsidR="00F837EE" w:rsidRPr="003158EE" w:rsidRDefault="00F837EE" w:rsidP="00FC4BB6">
            <w:pPr>
              <w:jc w:val="both"/>
              <w:rPr>
                <w:vanish/>
              </w:rPr>
            </w:pPr>
            <w:r w:rsidRPr="003158EE">
              <w:t>5.   Komisja jest uprawniona do przyjmowania, najpóźniej do dnia 31 grudnia 2019 r., aktów delegowanych zgodnie z art. 23 w celu uzupełnienia niniejszej dyrektywy w zakresie wskazania sektorów i podsektorów uznanych za narażone na ryzyko ucieczki emisji, o czym mowa w ust. 1, 2 i 3 niniejszego artykułu, w odniesieniu do działań na poziomie 4-cyfrowym (kod NACE-4) odnośnie do ust. 1 niniejszego artykułu, na podstawie danych dostępnych z trzech ostatnich lat kalendarzowych.</w:t>
            </w:r>
          </w:p>
          <w:p w14:paraId="6F0A6034" w14:textId="77777777" w:rsidR="00F837EE" w:rsidRPr="003158EE" w:rsidRDefault="00F837EE" w:rsidP="00FC4BB6">
            <w:pPr>
              <w:pStyle w:val="Normalny2"/>
              <w:spacing w:before="0" w:beforeAutospacing="0" w:after="0" w:afterAutospacing="0"/>
              <w:jc w:val="both"/>
            </w:pPr>
          </w:p>
          <w:p w14:paraId="7C199429" w14:textId="77777777" w:rsidR="00F837EE" w:rsidRPr="003158EE" w:rsidRDefault="00F837EE" w:rsidP="00FC4BB6">
            <w:pPr>
              <w:pStyle w:val="Normalny4"/>
              <w:spacing w:before="0" w:beforeAutospacing="0" w:after="0" w:afterAutospacing="0"/>
              <w:jc w:val="both"/>
              <w:rPr>
                <w:color w:val="000000"/>
              </w:rPr>
            </w:pPr>
          </w:p>
        </w:tc>
        <w:tc>
          <w:tcPr>
            <w:tcW w:w="596" w:type="dxa"/>
          </w:tcPr>
          <w:p w14:paraId="7C55F109" w14:textId="0EE0704B" w:rsidR="00F837EE" w:rsidRPr="003158EE" w:rsidRDefault="00113EC4" w:rsidP="000672D3">
            <w:pPr>
              <w:pStyle w:val="Default"/>
              <w:jc w:val="both"/>
              <w:rPr>
                <w:b/>
              </w:rPr>
            </w:pPr>
            <w:r w:rsidRPr="003158EE">
              <w:rPr>
                <w:b/>
              </w:rPr>
              <w:lastRenderedPageBreak/>
              <w:t>N</w:t>
            </w:r>
          </w:p>
        </w:tc>
        <w:tc>
          <w:tcPr>
            <w:tcW w:w="7342" w:type="dxa"/>
          </w:tcPr>
          <w:p w14:paraId="080CE820" w14:textId="77777777" w:rsidR="00F837EE" w:rsidRPr="003158EE" w:rsidRDefault="00F837EE" w:rsidP="000672D3">
            <w:pPr>
              <w:jc w:val="both"/>
            </w:pPr>
          </w:p>
        </w:tc>
      </w:tr>
      <w:tr w:rsidR="00D0621B" w:rsidRPr="003158EE" w14:paraId="7A73D5C6" w14:textId="77777777" w:rsidTr="00E93415">
        <w:tc>
          <w:tcPr>
            <w:tcW w:w="952" w:type="dxa"/>
          </w:tcPr>
          <w:p w14:paraId="23430321" w14:textId="093D2D85" w:rsidR="00D0621B" w:rsidRPr="003158EE" w:rsidRDefault="00D0621B" w:rsidP="000672D3">
            <w:pPr>
              <w:pStyle w:val="Default"/>
              <w:jc w:val="center"/>
            </w:pPr>
            <w:r w:rsidRPr="003158EE">
              <w:lastRenderedPageBreak/>
              <w:t>Art. 1 pkt 15 (w zakresie dodanego art. 10c)</w:t>
            </w:r>
          </w:p>
        </w:tc>
        <w:tc>
          <w:tcPr>
            <w:tcW w:w="5074" w:type="dxa"/>
          </w:tcPr>
          <w:p w14:paraId="62D318D0" w14:textId="77777777" w:rsidR="00B308EA" w:rsidRPr="003158EE" w:rsidRDefault="00B308EA" w:rsidP="00B308EA">
            <w:pPr>
              <w:pStyle w:val="Normalny2"/>
              <w:jc w:val="both"/>
            </w:pPr>
            <w:r w:rsidRPr="003158EE">
              <w:t>Artykuł 10c</w:t>
            </w:r>
          </w:p>
          <w:p w14:paraId="576BC93D" w14:textId="77777777" w:rsidR="00B308EA" w:rsidRPr="003158EE" w:rsidRDefault="00B308EA" w:rsidP="00B308EA">
            <w:pPr>
              <w:pStyle w:val="Normalny2"/>
              <w:jc w:val="both"/>
            </w:pPr>
            <w:r w:rsidRPr="003158EE">
              <w:t>Możliwość przejściowego przydziału bezpłatnych uprawnień na modernizację sektora energetycznego</w:t>
            </w:r>
          </w:p>
          <w:p w14:paraId="5D1415A8" w14:textId="77777777" w:rsidR="00B308EA" w:rsidRPr="003158EE" w:rsidRDefault="00B308EA" w:rsidP="00B308EA">
            <w:pPr>
              <w:pStyle w:val="Normalny2"/>
              <w:jc w:val="both"/>
            </w:pPr>
            <w:r w:rsidRPr="003158EE">
              <w:t xml:space="preserve">1.   W drodze odstępstwa od art. 10a ust. 1–5, państwa członkowskie, w których w 2013 r PKB </w:t>
            </w:r>
            <w:r w:rsidRPr="003158EE">
              <w:lastRenderedPageBreak/>
              <w:t>na mieszkańca w EUR według cen rynkowych wynosił poniżej 60 % średniej unijnej, mogą przydzielić przejściowo bezpłatne uprawnienia instalacjom wytwarzającym energię elektryczną w celu modernizacji, dywersyfikacji i zrównoważonej transformacji sektora energetycznego. Wspierane inwestycje są spójne z przejściem na bezpieczną i zrównoważoną gospodarkę niskoemisyjną, celami unijnych ram polityki klimatyczno-energetycznej do roku 2030 oraz długoterminowymi celami określonymi w Porozumieniu paryskim. Odstępstwo, o którym mowa w niniejszym ustępie, wygasa z dniem 31 grudnia 2030 r.</w:t>
            </w:r>
          </w:p>
          <w:p w14:paraId="78234D16" w14:textId="2CCF2F0E" w:rsidR="00B308EA" w:rsidRPr="003158EE" w:rsidRDefault="00B308EA" w:rsidP="00B308EA">
            <w:pPr>
              <w:pStyle w:val="Normalny2"/>
              <w:jc w:val="both"/>
            </w:pPr>
            <w:r w:rsidRPr="003158EE">
              <w:t>2.   W celu wyboru inwestycji, która będzie finansowana z wykorzystaniem bezpłatnych uprawnień, dla projektów opiewających na kwotę inwestycji powyżej 12,5 mln EUR zainteresowane państwo członkowskie organizuje procedurę przetargu konkurencyjnego, która ma zostać przeprowadzona w latach 2021–2030 i składać się z co najmniej jednej rundy. Ta procedura przetargu konkurencyjnego:</w:t>
            </w:r>
          </w:p>
          <w:p w14:paraId="2BC37E21" w14:textId="71DC55A9" w:rsidR="00B308EA" w:rsidRPr="003158EE" w:rsidRDefault="00B308EA" w:rsidP="00B308EA">
            <w:pPr>
              <w:pStyle w:val="Normalny2"/>
              <w:jc w:val="both"/>
            </w:pPr>
            <w:r w:rsidRPr="003158EE">
              <w:t>a) jest zgodna z zasadami przejrzystości, niedyskryminacji, równego traktowania i należytego zarządzania finansami;</w:t>
            </w:r>
          </w:p>
          <w:p w14:paraId="47C1FE41" w14:textId="2D46C3A2" w:rsidR="00B308EA" w:rsidRPr="003158EE" w:rsidRDefault="00B308EA" w:rsidP="00B308EA">
            <w:pPr>
              <w:pStyle w:val="Normalny2"/>
              <w:jc w:val="both"/>
            </w:pPr>
            <w:r w:rsidRPr="003158EE">
              <w:t xml:space="preserve">b) zapewnia, że do złożenia w ramach oferty kwalifikują się tylko projekty, które przyczyniają się do dywersyfikacji koszyka energetycznego i </w:t>
            </w:r>
            <w:r w:rsidRPr="003158EE">
              <w:lastRenderedPageBreak/>
              <w:t>źródeł dostaw, koniecznej restrukturyzacji, aktualizacji i modernizacji infrastruktury pod kątem ochrony środowiska, stosowania czystych technologii (takich jak technologie energii odnawialnej) lub modernizacji sektora wytwarzania energii, (takich jak efektywne i zrównoważone systemy ciepłownicze), i sektorów przesyłu i dystrybucji;</w:t>
            </w:r>
          </w:p>
          <w:p w14:paraId="4FE16015" w14:textId="084792E3" w:rsidR="00B308EA" w:rsidRPr="003158EE" w:rsidRDefault="00B308EA" w:rsidP="00B308EA">
            <w:pPr>
              <w:pStyle w:val="Normalny2"/>
              <w:jc w:val="both"/>
            </w:pPr>
            <w:r w:rsidRPr="003158EE">
              <w:t>c) określa jasne, obiektywne, przejrzyste i niedyskryminujące kryteria wyboru w odniesieniu do rankingu projektów, aby zapewnić wybór tylko takich projektów, które:</w:t>
            </w:r>
          </w:p>
          <w:p w14:paraId="1B8D10A2" w14:textId="77777777" w:rsidR="00B308EA" w:rsidRPr="003158EE" w:rsidRDefault="00B308EA" w:rsidP="00B308EA">
            <w:pPr>
              <w:pStyle w:val="Normalny2"/>
              <w:jc w:val="both"/>
            </w:pPr>
          </w:p>
          <w:p w14:paraId="192E1B61" w14:textId="6ED56000" w:rsidR="00B308EA" w:rsidRPr="003158EE" w:rsidRDefault="00B308EA" w:rsidP="00B308EA">
            <w:pPr>
              <w:pStyle w:val="Normalny2"/>
              <w:jc w:val="both"/>
            </w:pPr>
            <w:r w:rsidRPr="003158EE">
              <w:t>(i) na podstawie analizy kosztów i korzyści zapewniają korzyści netto w zakresie redukcji emisji i osiągają wcześniej ustalony znaczący poziom redukcji emisji CO2, z uwzględnieniem wielkości projektu;</w:t>
            </w:r>
          </w:p>
          <w:p w14:paraId="408FA567" w14:textId="5EC52C14" w:rsidR="00B308EA" w:rsidRPr="003158EE" w:rsidRDefault="00B308EA" w:rsidP="00B308EA">
            <w:pPr>
              <w:pStyle w:val="Normalny2"/>
              <w:jc w:val="both"/>
            </w:pPr>
            <w:r w:rsidRPr="003158EE">
              <w:t>(ii) mają charakter uzupełniający, stanowią wyraźną odpowiedź na potrzeby w zakresie wymiany i modernizacji i nie powodują rynkowego wzrostu zapotrzebowania na energię;</w:t>
            </w:r>
          </w:p>
          <w:p w14:paraId="0C782F06" w14:textId="2BA4F9DB" w:rsidR="00B308EA" w:rsidRPr="003158EE" w:rsidRDefault="00B308EA" w:rsidP="00780F7C">
            <w:pPr>
              <w:pStyle w:val="Normalny2"/>
              <w:jc w:val="both"/>
            </w:pPr>
            <w:r w:rsidRPr="003158EE">
              <w:t xml:space="preserve"> (iii) oferują najlepszy stosunek wartości do ceny; oraz</w:t>
            </w:r>
          </w:p>
          <w:p w14:paraId="0EDA8482" w14:textId="5ADC9DE4" w:rsidR="00B308EA" w:rsidRPr="003158EE" w:rsidRDefault="00B308EA" w:rsidP="00B308EA">
            <w:pPr>
              <w:pStyle w:val="Normalny2"/>
              <w:jc w:val="both"/>
            </w:pPr>
            <w:r w:rsidRPr="003158EE">
              <w:t xml:space="preserve"> (iv) nie przyczyniają się do opłacalności finansowej bardzo wysokoemisyjnego </w:t>
            </w:r>
            <w:r w:rsidRPr="003158EE">
              <w:lastRenderedPageBreak/>
              <w:t>wytwarzania energii elektrycznej ani nie podnoszą tej opłacalności, ani nie zwiększają zależności od wysokoemisyjnych paliw kopalnych.</w:t>
            </w:r>
          </w:p>
          <w:p w14:paraId="701A1D9B" w14:textId="77777777" w:rsidR="00B308EA" w:rsidRPr="003158EE" w:rsidRDefault="00B308EA" w:rsidP="00B308EA">
            <w:pPr>
              <w:pStyle w:val="Normalny2"/>
              <w:jc w:val="both"/>
            </w:pPr>
            <w:r w:rsidRPr="003158EE">
              <w:t>W drodze odstępstwa od art. 10 ust. 1 i bez uszczerbku dla ust. 1 zdanie ostatnie niniejszego artykułu, w przypadku gdy inwestycja wybrana w drodze procedury przetargu konkurencyjnego zostanie anulowana lub nie uzyska zamierzonych wyników, przeznaczone uprawnienia mogą zostać wykorzystane najwcześniej rok później w ramach pojedynczej dodatkowej rundy procedury przetargu konkurencyjnego w celu sfinansowania innych inwestycji.</w:t>
            </w:r>
          </w:p>
          <w:p w14:paraId="34EEADDC" w14:textId="77777777" w:rsidR="00B308EA" w:rsidRPr="003158EE" w:rsidRDefault="00B308EA" w:rsidP="00B308EA">
            <w:pPr>
              <w:pStyle w:val="Normalny2"/>
              <w:jc w:val="both"/>
            </w:pPr>
            <w:r w:rsidRPr="003158EE">
              <w:t>Najpóźniej do dnia 30 czerwca 2019 r. każde państwo członkowskie zamierzające skorzystać z fakultatywnego przejściowego przydziału bezpłatnych uprawnień na modernizację sektora energetycznego publikuje szczegółowe krajowe ramy określające procedurę przetargu konkurencyjnego, w tym planowaną liczbę rund, o których mowa w akapicie pierwszym, i kryteria wyboru, by umożliwić obywatelom przedstawienie uwag.</w:t>
            </w:r>
          </w:p>
          <w:p w14:paraId="43908FC9" w14:textId="77777777" w:rsidR="00B308EA" w:rsidRPr="003158EE" w:rsidRDefault="00B308EA" w:rsidP="00B308EA">
            <w:pPr>
              <w:pStyle w:val="Normalny2"/>
              <w:jc w:val="both"/>
            </w:pPr>
            <w:r w:rsidRPr="003158EE">
              <w:t xml:space="preserve">W inwestycji o wartości poniżej 12,5 mln EUR, które mają być wspierane z wykorzystaniem bezpłatnych uprawnień, a które nie zostaną wybrane w drodze procedury przetargu konkurencyjnego, o której mowa w niniejszym ustępie, państwo członkowskie wybiera projekty </w:t>
            </w:r>
            <w:r w:rsidRPr="003158EE">
              <w:lastRenderedPageBreak/>
              <w:t>na podstawie obiektywnych i przejrzystych kryteriów. Wyniki tego wyboru są publikowane, by umożliwić obywatelom przedstawienie uwag. Na tej podstawie zainteresowane państwa członkowskie ustanawiają do dnia 30 czerwca 2019 r. wykaz inwestycji, publikują go i przedkładają Komisji. W przypadku gdy w ramach tej samej instalacji dokonuje się więcej niż jednej inwestycji, inwestycje te są oceniane jako całość w celu ustalenia, czy przekroczono próg 12,5 mln EUR, chyba że każda z tych inwestycji jest niezależnie opłacalna pod względem technicznym lub finansowym.</w:t>
            </w:r>
          </w:p>
          <w:p w14:paraId="1BE8FB12" w14:textId="77777777" w:rsidR="00B308EA" w:rsidRPr="003158EE" w:rsidRDefault="00B308EA" w:rsidP="00B308EA">
            <w:pPr>
              <w:pStyle w:val="Normalny2"/>
              <w:jc w:val="both"/>
            </w:pPr>
            <w:r w:rsidRPr="003158EE">
              <w:t>3.   Wartość planowanych inwestycji jest co najmniej równa wartości rynkowej przydziału bezpłatnych uprawnień przy jednoczesnym uwzględnieniu potrzeby ograniczenia bezpośrednio z tym związanych podwyżek cen. Wartość rynkowa stanowi średnią cenę uprawnień na wspólnej platformie aukcyjnej w poprzednim roku kalendarzowym. Maksymalnie 70 % odnośnych kosztów inwestycji można wesprzeć z wykorzystaniem przydziału bezpłatnych uprawnień, pod warunkiem że pozostałe koszty są pokrywane przez prywatne podmioty prawne.</w:t>
            </w:r>
          </w:p>
          <w:p w14:paraId="53F4AE57" w14:textId="77777777" w:rsidR="00B308EA" w:rsidRPr="003158EE" w:rsidRDefault="00B308EA" w:rsidP="00B308EA">
            <w:pPr>
              <w:pStyle w:val="Normalny2"/>
              <w:jc w:val="both"/>
            </w:pPr>
            <w:r w:rsidRPr="003158EE">
              <w:t xml:space="preserve">4.   Przejściowy przydział bezpłatnych uprawnień jest odejmowany od liczby uprawnień, które dane państwo członkowskie mogłoby w przeciwnym razie sprzedać na aukcji. Całkowity przydział bezpłatnych uprawnień wynosi nie więcej niż 40 % </w:t>
            </w:r>
            <w:r w:rsidRPr="003158EE">
              <w:lastRenderedPageBreak/>
              <w:t>uprawnień, które dane państwo członkowskie na mocy art. 10 ust. 2 lit. a) otrzymuje w latach 2021–2030 rozłożonych na takie równe roczne wolumeny.</w:t>
            </w:r>
          </w:p>
          <w:p w14:paraId="6CD12069" w14:textId="77777777" w:rsidR="00B308EA" w:rsidRPr="003158EE" w:rsidRDefault="00B308EA" w:rsidP="0052090E">
            <w:pPr>
              <w:pStyle w:val="Normalny2"/>
              <w:jc w:val="both"/>
            </w:pPr>
            <w:r w:rsidRPr="003158EE">
              <w:t>5.   W przypadku gdy państwo członkowskie, zgodnie z art. 10d ust. 4, wykorzystuje uprawnienia rozdzielone zgodnie z art. 10 ust. 2 lit. b) w celu zapewnienia solidarności, wzrostu i połączeń międzysystemowych w obrębie Unii, państwo to może, w drodze odstępstwa od ust. 4 niniejszego artykułu, wykorzystać do celów przejściowego przydziału bezpłatnych uprawnień całkowitą liczbę uprawnień stanowiącą maksymalnie 60 % uprawnień otrzymanych w latach 2021–2030 na podstawie art. 10 ust. 2 lit. a), z wykorzystaniem odpowiadającej liczby uprawnień rozdzielonych zgodnie z art. 10 ust. 2 lit. b).</w:t>
            </w:r>
          </w:p>
          <w:p w14:paraId="2DD5500F" w14:textId="77777777" w:rsidR="00B308EA" w:rsidRPr="003158EE" w:rsidRDefault="00B308EA" w:rsidP="00B308EA">
            <w:pPr>
              <w:pStyle w:val="Normalny2"/>
              <w:jc w:val="both"/>
            </w:pPr>
            <w:r w:rsidRPr="003158EE">
              <w:t xml:space="preserve">Wszelkie uprawnienia nieprzydzielone na mocy niniejszego artykułu do roku 2020 mogą zostać przydzielone w latach 2021–2030 na inwestycje wybrane w drodze procedury przetargu konkurencyjnego, o której mowa w ust. 2, chyba że dane państwo członkowskie poinformuje Komisję najpóźniej w dniu 30 września 2019 r. o swoim zamiarze nieprzydzielania całości ani części tych uprawnień w latach 2021–2030 oraz o liczbie uprawnień, które zamiast tego mają zostać sprzedane na aukcji w 2020 roku. W przypadku gdy te uprawnienia zostaną przydzielone w latach 2021–2030, uwzględnia się odpowiadającą liczbę </w:t>
            </w:r>
            <w:r w:rsidRPr="003158EE">
              <w:lastRenderedPageBreak/>
              <w:t>uprawnień do celów stosowania limitu 60 %, który ustalono w niniejszym ustępie akapit pierwszy.</w:t>
            </w:r>
          </w:p>
          <w:p w14:paraId="6B6D2949" w14:textId="77777777" w:rsidR="00B308EA" w:rsidRPr="003158EE" w:rsidRDefault="00B308EA" w:rsidP="00B308EA">
            <w:pPr>
              <w:pStyle w:val="Normalny2"/>
              <w:jc w:val="both"/>
            </w:pPr>
            <w:r w:rsidRPr="003158EE">
              <w:t>6.   Przydziałów dla operatorów dokonuje się po wykazaniu, że zrealizowano inwestycję wybraną zgodnie z zasadami procedury przetargu konkurencyjnego. W przypadku gdy inwestycja skutkuje dodatkową mocą wytwarzania energii elektrycznej, dany operator wykazuje także, że przed uruchomieniem tej dodatkowej mocy on lub inny powiązany z nim operator zlikwidował odpowiadającą liczbę bardziej wysokoemisyjnych mocy wytwarzania energii elektrycznej.</w:t>
            </w:r>
          </w:p>
          <w:p w14:paraId="5CDBBDE3" w14:textId="55D5CD8E" w:rsidR="00D0621B" w:rsidRPr="003158EE" w:rsidRDefault="00B308EA" w:rsidP="00B308EA">
            <w:pPr>
              <w:pStyle w:val="Normalny2"/>
              <w:spacing w:before="0" w:beforeAutospacing="0" w:after="0" w:afterAutospacing="0"/>
              <w:jc w:val="both"/>
            </w:pPr>
            <w:r w:rsidRPr="003158EE">
              <w:t>7.   Państwa członkowskie wymagają od wytwórców energii elektrycznej i operatorów sieci będących beneficjentami, aby do 28 lutego każdego roku składali sprawozdania z realizacji ich inwestycji, w tym na temat bilansu przydziału bezpłatnych uprawnień oraz poniesionych wydatków inwestycyjnych, a także rodzajów wspieranych inwestycji. Państwa członkowskie składają Komisji sprawozdania w tej sprawie, a Komisja podaje je do publicznej wiadomości.</w:t>
            </w:r>
          </w:p>
        </w:tc>
        <w:tc>
          <w:tcPr>
            <w:tcW w:w="596" w:type="dxa"/>
          </w:tcPr>
          <w:p w14:paraId="75109071" w14:textId="234CECE7" w:rsidR="00D0621B" w:rsidRPr="003158EE" w:rsidRDefault="00B308EA" w:rsidP="000672D3">
            <w:pPr>
              <w:pStyle w:val="Default"/>
              <w:jc w:val="both"/>
              <w:rPr>
                <w:b/>
              </w:rPr>
            </w:pPr>
            <w:r w:rsidRPr="003158EE">
              <w:rPr>
                <w:b/>
              </w:rPr>
              <w:lastRenderedPageBreak/>
              <w:t>N</w:t>
            </w:r>
          </w:p>
        </w:tc>
        <w:tc>
          <w:tcPr>
            <w:tcW w:w="7342" w:type="dxa"/>
          </w:tcPr>
          <w:p w14:paraId="17823D3C" w14:textId="312DF7AC" w:rsidR="00D14248" w:rsidRPr="003158EE" w:rsidRDefault="00D14248" w:rsidP="000672D3">
            <w:pPr>
              <w:jc w:val="both"/>
            </w:pPr>
          </w:p>
        </w:tc>
      </w:tr>
      <w:tr w:rsidR="00B74441" w:rsidRPr="003158EE" w14:paraId="753F848D" w14:textId="77777777" w:rsidTr="00E93415">
        <w:tc>
          <w:tcPr>
            <w:tcW w:w="952" w:type="dxa"/>
          </w:tcPr>
          <w:p w14:paraId="1CA3AE12" w14:textId="6F91368B" w:rsidR="00B74441" w:rsidRPr="003158EE" w:rsidRDefault="00B74441" w:rsidP="000672D3">
            <w:pPr>
              <w:pStyle w:val="Default"/>
              <w:jc w:val="center"/>
            </w:pPr>
            <w:r w:rsidRPr="003158EE">
              <w:lastRenderedPageBreak/>
              <w:t>Art. 1 pkt 16</w:t>
            </w:r>
          </w:p>
        </w:tc>
        <w:tc>
          <w:tcPr>
            <w:tcW w:w="5074" w:type="dxa"/>
          </w:tcPr>
          <w:p w14:paraId="0443B952" w14:textId="455A9650" w:rsidR="004F26DC" w:rsidRPr="003158EE" w:rsidRDefault="004F26DC" w:rsidP="004F26DC">
            <w:pPr>
              <w:pStyle w:val="Normalny2"/>
              <w:jc w:val="both"/>
            </w:pPr>
            <w:r w:rsidRPr="003158EE">
              <w:t>16) dodaje się artykuł w brzmieniu:</w:t>
            </w:r>
          </w:p>
          <w:p w14:paraId="35294406" w14:textId="77777777" w:rsidR="004F26DC" w:rsidRPr="003158EE" w:rsidRDefault="004F26DC" w:rsidP="004F26DC">
            <w:pPr>
              <w:pStyle w:val="Normalny2"/>
              <w:jc w:val="both"/>
            </w:pPr>
            <w:r w:rsidRPr="003158EE">
              <w:t>„Artykuł 10d</w:t>
            </w:r>
          </w:p>
          <w:p w14:paraId="0B236DBA" w14:textId="77777777" w:rsidR="004F26DC" w:rsidRPr="003158EE" w:rsidRDefault="004F26DC" w:rsidP="004F26DC">
            <w:pPr>
              <w:pStyle w:val="Normalny2"/>
              <w:jc w:val="both"/>
            </w:pPr>
            <w:r w:rsidRPr="003158EE">
              <w:t>Fundusz modernizacyjny</w:t>
            </w:r>
          </w:p>
          <w:p w14:paraId="69354059" w14:textId="77777777" w:rsidR="004F26DC" w:rsidRPr="003158EE" w:rsidRDefault="004F26DC" w:rsidP="004F26DC">
            <w:pPr>
              <w:pStyle w:val="Normalny2"/>
              <w:jc w:val="both"/>
            </w:pPr>
            <w:r w:rsidRPr="003158EE">
              <w:t xml:space="preserve">1.   Na lata 2021–2030 zostaje ustanowiony fundusz mający na celu wspieranie inwestycji </w:t>
            </w:r>
            <w:r w:rsidRPr="003158EE">
              <w:lastRenderedPageBreak/>
              <w:t>proponowanych przez państwa członkowskie będące beneficjentami – w tym finansowanie projektów inwestycyjnych na małą skalę – w celu modernizacji systemów energetycznych oraz poprawy efektywności energetycznej w państwach członkowskich, w których PKB na mieszkańca według cen rynkowych wyniosło w 2013 roku poniżej 60 % średniej unijnej (zwany dalej »funduszem modernizacyjnym«). Fundusz modernizacyjny jest finansowany ze sprzedaży uprawnień na aukcji, określonej w art. 10.</w:t>
            </w:r>
          </w:p>
          <w:p w14:paraId="3AF296FC" w14:textId="77777777" w:rsidR="004F26DC" w:rsidRPr="003158EE" w:rsidRDefault="004F26DC" w:rsidP="00780F7C">
            <w:pPr>
              <w:pStyle w:val="Normalny2"/>
              <w:jc w:val="both"/>
            </w:pPr>
            <w:r w:rsidRPr="003158EE">
              <w:t>Wspierane inwestycje są spójne z celami niniejszej dyrektywy, a także z celami unijnych ram polityki klimatyczno-energetycznej do roku 2030 oraz długoterminowymi celami określonymi w Porozumieniu paryskim. Z funduszu modernizacyjnego nie udziela się wsparcia obiektom wytwarzającym energię przy wykorzystaniu stałych paliw kopalnych, innym niż obiekty w ramach efektywnego i zrównoważonego systemu ciepłowniczego w państwach członkowskich, w których PKB na mieszkańca według cen rynkowych wyniosło w 2013 roku poniżej 30 % średniej unijnej, pod warunkiem że pewna liczba uprawnień o co najmniej równoważnej wartości jest wykorzystywana na inwestycje zgodnie z art. 10c; które nie przewidują stosowania stałych paliw kopalnych.</w:t>
            </w:r>
          </w:p>
          <w:p w14:paraId="079716AB" w14:textId="77777777" w:rsidR="004F26DC" w:rsidRPr="003158EE" w:rsidRDefault="004F26DC" w:rsidP="004F26DC">
            <w:pPr>
              <w:pStyle w:val="Normalny2"/>
              <w:jc w:val="both"/>
            </w:pPr>
            <w:r w:rsidRPr="003158EE">
              <w:t xml:space="preserve">2.   Co najmniej 70 % zasobów finansowych z funduszu modernizacyjnego jest </w:t>
            </w:r>
            <w:r w:rsidRPr="003158EE">
              <w:lastRenderedPageBreak/>
              <w:t>wykorzystywanych do wspierania inwestycji w wytwarzanie i użytkowanie energii elektrycznej ze źródeł odnawialnych, w poprawę efektywności energetycznej(z wyjątkiem efektywności energetycznej wskutek wytwarzania energii przy wykorzystaniu stałych paliw kopalnych), w magazynowanie energii i modernizację sieci energetycznych, w tym w rurociągi należące do systemów ciepłowniczych, sieci przesyłu energii elektrycznej oraz zwiększenie połączeń międzysystemowych między państwami członkowskimi, a także do wspierania sprawiedliwych przemian w regionach uzależnionych od węgla w państwach członkowskich będących beneficjentami, tak aby ułatwić pracownikom zmianę miejsca zatrudnienia oraz zdobywanie nowych i specjalistycznych umiejętności, wspierać edukację, inicjatywy zatrudnieniowe i start-upy, utrzymując dialog z partnerami społecznymi. Kwalifikują się również inwestycje w efektywność energetyczną w sektorach transportu, budownictwa, rolnictwa i odpadów.</w:t>
            </w:r>
          </w:p>
          <w:p w14:paraId="4A4D5EC9" w14:textId="77777777" w:rsidR="004F26DC" w:rsidRPr="003158EE" w:rsidRDefault="004F26DC" w:rsidP="0044638A">
            <w:pPr>
              <w:pStyle w:val="Normalny2"/>
              <w:jc w:val="both"/>
            </w:pPr>
            <w:r w:rsidRPr="003158EE">
              <w:t xml:space="preserve">3.   Za działanie funduszu modernizacyjnego odpowiadają państwa członkowskie będące beneficjentami. EBI zapewnia, aby uprawnienia były sprzedawane na aukcji zgodnie z zasadami i warunkami określonymi w art. 10 ust. 4, i jest odpowiedzialny za zarządzanie dochodami. EBI przekazuje dochody państwom członkowskim na mocy decyzji o wypłacie podejmowanych przez </w:t>
            </w:r>
            <w:r w:rsidRPr="003158EE">
              <w:lastRenderedPageBreak/>
              <w:t>Komisję, w przypadku gdy ta wypłata na inwestycje jest zgodna z ust. 2 niniejszego artykułu lub – jeżeli inwestycje nie są prowadzone w obszarach wymienionych w ust. 2 niniejszego artykułu – jest zgodna z zaleceniami komitetu inwestycyjnego. Komisja przyjmuje swoją decyzję w odpowiednim terminie. Przy rozdzielaniu dochodów między państwa członkowskie uwzględnia się udziały określone w załączniku IIb, zgodnie z ust. 6–12 niniejszego artykułu.</w:t>
            </w:r>
          </w:p>
          <w:p w14:paraId="153A157F" w14:textId="77777777" w:rsidR="004F26DC" w:rsidRPr="003158EE" w:rsidRDefault="004F26DC" w:rsidP="004F26DC">
            <w:pPr>
              <w:pStyle w:val="Normalny2"/>
              <w:jc w:val="both"/>
            </w:pPr>
            <w:r w:rsidRPr="003158EE">
              <w:t>4.   Każde dane państwo członkowskie może wykorzystać całkowity przydział bezpłatnych uprawnień przyznany na podstawie art. 10c ust. 4 lub jego część oraz liczbę uprawnień rozdzielonych w celu zapewnienia solidarności, wzrostu i połączeń międzysystemowych w Unii, zgodnie z art. 10 ust. 2 lit. b) lub część tej liczby, zgodnie z art. 10d, w celu wsparcia inwestycji w ramach funduszu na rzecz modernizacji, zwiększając tym samym zasoby rozdzielone do danego państwa członkowskiego. Najpóźniej dnia 30 września 2019 r. dane państwo członkowskie poinformuje Komisję o odnośnych liczbach uprawnień, które zostaną wykorzystane na mocy art. 10 ust. 2 lit. b), art. 10c i art. 10d.</w:t>
            </w:r>
          </w:p>
          <w:p w14:paraId="70575FC2" w14:textId="77777777" w:rsidR="004F26DC" w:rsidRPr="003158EE" w:rsidRDefault="004F26DC" w:rsidP="004F26DC">
            <w:pPr>
              <w:pStyle w:val="Normalny2"/>
              <w:jc w:val="both"/>
            </w:pPr>
            <w:r w:rsidRPr="003158EE">
              <w:t xml:space="preserve">5.   Niniejszym ustanawia się komitet inwestycyjny funduszu modernizacyjnego. W skład komitetu inwestycyjnego wchodzą: po jednym przedstawicielu każdego państwa członkowskiego będącego beneficjentem, przedstawiciele Komisji i </w:t>
            </w:r>
            <w:r w:rsidRPr="003158EE">
              <w:lastRenderedPageBreak/>
              <w:t>EBI oraz trzech przedstawicieli wybieranych przez pozostałe państwa członkowskie na okres pięciu lat. Komitetowi przewodniczy przedstawiciel Komisji. Jeden przedstawiciel z każdego państwa członkowskiego, który nie jest członkiem komitetu inwestycyjnego, może uczestniczyć w posiedzeniach komitetu w charakterze obserwatora.</w:t>
            </w:r>
          </w:p>
          <w:p w14:paraId="63017F46" w14:textId="77777777" w:rsidR="004F26DC" w:rsidRPr="003158EE" w:rsidRDefault="004F26DC" w:rsidP="004F26DC">
            <w:pPr>
              <w:pStyle w:val="Normalny2"/>
              <w:jc w:val="both"/>
            </w:pPr>
            <w:r w:rsidRPr="003158EE">
              <w:t>Komitet inwestycyjny działa w przejrzysty sposób. Skład komitetu inwestycyjnego oraz życiorysy i oświadczenia o braku konfliktu interesów członków są podawane do wiadomości publicznej i w razie konieczności aktualizowane.</w:t>
            </w:r>
          </w:p>
          <w:p w14:paraId="4B7C8C8D" w14:textId="77777777" w:rsidR="004F26DC" w:rsidRPr="003158EE" w:rsidRDefault="004F26DC" w:rsidP="004F26DC">
            <w:pPr>
              <w:pStyle w:val="Normalny2"/>
              <w:jc w:val="both"/>
            </w:pPr>
            <w:r w:rsidRPr="003158EE">
              <w:t>6.   Zanim państwo członkowskie będące beneficjentem podejmie decyzję o finansowaniu inwestycji ze swojego udziału w funduszu modernizacyjnego, musi przedstawić projekt inwestycji komitetowi inwestycyjnemu oraz EBI. W przypadku inwestycji, co do których EBI potwierdził, że dotyczą obszarów wymienionych w ust. 2, państwo członkowskie może przystąpić do finansowania projektu inwestycji ze swojego udziału.</w:t>
            </w:r>
          </w:p>
          <w:p w14:paraId="0428DB30" w14:textId="77777777" w:rsidR="004F26DC" w:rsidRPr="003158EE" w:rsidRDefault="004F26DC" w:rsidP="0044638A">
            <w:pPr>
              <w:pStyle w:val="Normalny2"/>
              <w:jc w:val="both"/>
            </w:pPr>
            <w:r w:rsidRPr="003158EE">
              <w:t xml:space="preserve">W przypadku gdy inwestycja w modernizację systemów energetycznych, która zgodnie z propozycją ma być finansowana z funduszu modernizacyjnego, nie należy do obszarów wymienionych w ust. 2, komitet inwestycyjny ocenia techniczną i finansową opłacalność takiej </w:t>
            </w:r>
            <w:r w:rsidRPr="003158EE">
              <w:lastRenderedPageBreak/>
              <w:t>inwestycji, w tym realizowaną przez nią redukcję emisji, i wydaje zalecenie odnośnie do finansowania tej inwestycji z funduszu modernizacyjnego. Komitet inwestycyjny zapewnia, by wszelkie inwestycje dotyczące sieci ciepłowniczych osiągnęły istotną poprawę efektywności energetycznej i przyczyniały się do redukcji emisji. Zalecenie to może obejmować sugestie dotyczące odpowiednich instrumentów finansowania. Maksymalnie 70 % odnośnych kosztów inwestycji, które nie należą do obszarów wymienionych w ust. 2, można wesprzeć z wykorzystaniem zasobów z funduszu modernizacyjnego, pod warunkiem ze pozostałe koszty są pokrywane przez prywatne podmioty prawne.</w:t>
            </w:r>
          </w:p>
          <w:p w14:paraId="2E6D6B5F" w14:textId="77777777" w:rsidR="004F26DC" w:rsidRPr="003158EE" w:rsidRDefault="004F26DC" w:rsidP="004F26DC">
            <w:pPr>
              <w:pStyle w:val="Normalny2"/>
              <w:jc w:val="both"/>
            </w:pPr>
            <w:r w:rsidRPr="003158EE">
              <w:t>7.   Komitet inwestycyjny dokłada starań, aby przyjmować swoje zalecenia w drodze konsensusu. Jeśli komitet inwestycyjny nie jest w stanie zadecydować w drodze konsensusu w terminie wyznaczonym przez przewodniczącego, podejmuje decyzję zwykłą większością głosów.</w:t>
            </w:r>
          </w:p>
          <w:p w14:paraId="36BCF86C" w14:textId="77777777" w:rsidR="004F26DC" w:rsidRPr="003158EE" w:rsidRDefault="004F26DC" w:rsidP="004F26DC">
            <w:pPr>
              <w:pStyle w:val="Normalny2"/>
              <w:jc w:val="both"/>
            </w:pPr>
            <w:r w:rsidRPr="003158EE">
              <w:t xml:space="preserve">Jeżeli przedstawiciel EBI nie zatwierdzi finansowania inwestycji, zalecenie przyjmuje się wyłącznie większością dwóch trzecich głosów wszystkich członków. Przedstawiciel państwa członkowskiego, w którym dana inwestycja ma miejsce, oraz przedstawiciel EBI nie są uprawnieni do głosowania w przedmiotowej sprawie. Niniejszy akapit nie ma zastosowania do projektów </w:t>
            </w:r>
            <w:r w:rsidRPr="003158EE">
              <w:lastRenderedPageBreak/>
              <w:t>na małą skalę finansowanych z pożyczek udzielanych przez krajowe banki prorozwojowe lub z dotacji, przyczyniających się do realizacji krajowego programu służącego osiągnięciu określonych celów zgodnie z założeniami funduszu na rzecz modernizacji, pod warunkiem że w ramach programu wykorzystuje się nie więcej niż 10 % udziału państw członkowskich określonego w załączniku IIb.</w:t>
            </w:r>
          </w:p>
          <w:p w14:paraId="0A932A12" w14:textId="77777777" w:rsidR="004F26DC" w:rsidRPr="003158EE" w:rsidRDefault="004F26DC" w:rsidP="004F26DC">
            <w:pPr>
              <w:pStyle w:val="Normalny2"/>
              <w:jc w:val="both"/>
            </w:pPr>
            <w:r w:rsidRPr="003158EE">
              <w:t>8.   Wszelkie działania lub zalecenia EBI lub komitetu inwestycyjnego przewidziane w ust. 6 i 7 są podejmowane lub wydawane w sposób terminowy i uzasadniane. Takie działania i zalecenia są podawane do wiadomości publicznej.</w:t>
            </w:r>
          </w:p>
          <w:p w14:paraId="4AC1980E" w14:textId="77777777" w:rsidR="004F26DC" w:rsidRPr="003158EE" w:rsidRDefault="004F26DC" w:rsidP="004F26DC">
            <w:pPr>
              <w:pStyle w:val="Normalny2"/>
              <w:jc w:val="both"/>
            </w:pPr>
            <w:r w:rsidRPr="003158EE">
              <w:t>9.   Państwo członkowskie będące beneficjentem jest odpowiedzialne za nadzór nad wdrażaniem w odniesieniu do wybranych projektów.</w:t>
            </w:r>
          </w:p>
          <w:p w14:paraId="7FF32EAB" w14:textId="77777777" w:rsidR="004F26DC" w:rsidRPr="003158EE" w:rsidRDefault="004F26DC" w:rsidP="004F26DC">
            <w:pPr>
              <w:pStyle w:val="Normalny2"/>
              <w:jc w:val="both"/>
            </w:pPr>
            <w:r w:rsidRPr="003158EE">
              <w:t>10.   Państwa członkowskie będące beneficjentami składają Komisji coroczne sprawozdania dotyczące inwestycji finansowanych przez fundusz modernizacyjny Sprawozdanie jest podawane do wiadomości publicznej i zawiera:</w:t>
            </w:r>
          </w:p>
          <w:p w14:paraId="43A9C5A3" w14:textId="62AE89E3" w:rsidR="004F26DC" w:rsidRPr="003158EE" w:rsidRDefault="004F26DC" w:rsidP="004F26DC">
            <w:pPr>
              <w:pStyle w:val="Normalny2"/>
              <w:jc w:val="both"/>
            </w:pPr>
            <w:r w:rsidRPr="003158EE">
              <w:t>a) informacje na temat inwestycji finansowanych przez poszczególne państwa członkowskie będące beneficjentami;</w:t>
            </w:r>
          </w:p>
          <w:p w14:paraId="7706EDA4" w14:textId="029CDB53" w:rsidR="004F26DC" w:rsidRPr="003158EE" w:rsidRDefault="004F26DC" w:rsidP="004F26DC">
            <w:pPr>
              <w:pStyle w:val="Normalny2"/>
              <w:jc w:val="both"/>
            </w:pPr>
            <w:r w:rsidRPr="003158EE">
              <w:t xml:space="preserve">b) ocenę wartości dodanej pod względem efektywności energetycznej lub modernizacji </w:t>
            </w:r>
            <w:r w:rsidRPr="003158EE">
              <w:lastRenderedPageBreak/>
              <w:t>systemu energetycznego, osiągniętej dzięki inwestycji.</w:t>
            </w:r>
          </w:p>
          <w:p w14:paraId="5FD7A968" w14:textId="77777777" w:rsidR="004F26DC" w:rsidRPr="003158EE" w:rsidRDefault="004F26DC" w:rsidP="004F26DC">
            <w:pPr>
              <w:pStyle w:val="Normalny2"/>
              <w:jc w:val="both"/>
            </w:pPr>
            <w:r w:rsidRPr="003158EE">
              <w:t>11.   Komitet inwestycyjny przedstawia corocznie Komisji sprawozdanie na temat doświadczeń z oceny inwestycji. Najpóźniej do dnia 31 grudnia 2024 r. Komisja, uwzględniając ustalenia komitetu inwestycyjnego, dokonuje przeglądu obszarów, w których realizuje się projekty i o których mowa w ust. 2, a także przeglądu podstawy, na której komitet inwestycyjny opiera swoje zalecenia.</w:t>
            </w:r>
          </w:p>
          <w:p w14:paraId="4E59A801" w14:textId="6F8AEC4C" w:rsidR="00B74441" w:rsidRPr="003158EE" w:rsidRDefault="004F26DC" w:rsidP="004F26DC">
            <w:pPr>
              <w:pStyle w:val="Normalny2"/>
              <w:jc w:val="both"/>
            </w:pPr>
            <w:r w:rsidRPr="003158EE">
              <w:t>12.   Komisja przyjmuje akty wykonawcze dotyczące szczegółowych zasad działania funduszu modernizacyjnego. Te akty wykonawcze przyjmuje się zgodnie z procedurą sprawdzającą, o której mowa w art. 22a ust. 2.”;</w:t>
            </w:r>
          </w:p>
        </w:tc>
        <w:tc>
          <w:tcPr>
            <w:tcW w:w="596" w:type="dxa"/>
          </w:tcPr>
          <w:p w14:paraId="608F196F" w14:textId="5696A8F6" w:rsidR="00B74441" w:rsidRPr="003158EE" w:rsidRDefault="004F26DC" w:rsidP="000672D3">
            <w:pPr>
              <w:pStyle w:val="Default"/>
              <w:jc w:val="both"/>
              <w:rPr>
                <w:b/>
              </w:rPr>
            </w:pPr>
            <w:r w:rsidRPr="003158EE">
              <w:rPr>
                <w:b/>
              </w:rPr>
              <w:lastRenderedPageBreak/>
              <w:t>T</w:t>
            </w:r>
          </w:p>
        </w:tc>
        <w:tc>
          <w:tcPr>
            <w:tcW w:w="7342" w:type="dxa"/>
          </w:tcPr>
          <w:p w14:paraId="2A38FD71" w14:textId="77777777" w:rsidR="00F434FA" w:rsidRDefault="00F434FA" w:rsidP="00F434FA">
            <w:pPr>
              <w:pStyle w:val="PKTpunkt"/>
            </w:pPr>
            <w:r w:rsidRPr="000C4380">
              <w:t xml:space="preserve">po </w:t>
            </w:r>
            <w:r w:rsidRPr="004F5F42">
              <w:t>rozdziale 8 dodaje się rozdział 8a w brzmieniu:</w:t>
            </w:r>
          </w:p>
          <w:p w14:paraId="675F9AE2" w14:textId="77777777" w:rsidR="00F434FA" w:rsidRPr="002003AA" w:rsidRDefault="00F434FA" w:rsidP="00F434FA">
            <w:pPr>
              <w:pStyle w:val="ZROZDZODDZOZNzmoznrozdzoddzartykuempunktem"/>
              <w:rPr>
                <w:rStyle w:val="Ppogrubienie"/>
                <w:b w:val="0"/>
              </w:rPr>
            </w:pPr>
            <w:r w:rsidRPr="002003AA">
              <w:t>„</w:t>
            </w:r>
            <w:r w:rsidRPr="002003AA">
              <w:rPr>
                <w:rStyle w:val="Ppogrubienie"/>
              </w:rPr>
              <w:t>Rozdział 8a</w:t>
            </w:r>
          </w:p>
          <w:p w14:paraId="59C5D134" w14:textId="77777777" w:rsidR="00F434FA" w:rsidRPr="002003AA" w:rsidRDefault="00F434FA" w:rsidP="00F434FA">
            <w:pPr>
              <w:pStyle w:val="ZROZDZODDZPRZEDMzmprzedmrozdzoddzartykuempunktem"/>
            </w:pPr>
            <w:r w:rsidRPr="002003AA">
              <w:rPr>
                <w:rStyle w:val="Ppogrubienie"/>
              </w:rPr>
              <w:t>Krajowy system wdrażania Funduszu Modernizacyjnego</w:t>
            </w:r>
          </w:p>
          <w:p w14:paraId="14F79075" w14:textId="77777777" w:rsidR="00F434FA" w:rsidRDefault="00F434FA" w:rsidP="00F434FA">
            <w:pPr>
              <w:pStyle w:val="ZARTzmartartykuempunktem"/>
            </w:pPr>
            <w:r w:rsidRPr="00AB794E">
              <w:t xml:space="preserve"> </w:t>
            </w:r>
            <w:r w:rsidRPr="00AC075F">
              <w:t>Art. 50a</w:t>
            </w:r>
            <w:r w:rsidRPr="00AB794E">
              <w:t xml:space="preserve"> 1. </w:t>
            </w:r>
            <w:r>
              <w:t xml:space="preserve">W ramach </w:t>
            </w:r>
            <w:r w:rsidRPr="00AB794E">
              <w:t>Krajow</w:t>
            </w:r>
            <w:r>
              <w:t>ego</w:t>
            </w:r>
            <w:r w:rsidRPr="00AB794E">
              <w:t xml:space="preserve"> system wdrażania Funduszu Modernizacyjnego przeznacza </w:t>
            </w:r>
            <w:r>
              <w:t xml:space="preserve">się </w:t>
            </w:r>
            <w:r w:rsidRPr="00AB794E">
              <w:t xml:space="preserve">środki uzyskane z Funduszu </w:t>
            </w:r>
            <w:r w:rsidRPr="00AB794E">
              <w:lastRenderedPageBreak/>
              <w:t>Modernizacyjnego, o którym mowa w art. 10d dyrektywy 2003/87/WE, na</w:t>
            </w:r>
            <w:r>
              <w:t xml:space="preserve"> </w:t>
            </w:r>
            <w:r w:rsidRPr="00193970">
              <w:t>dofinansowanie</w:t>
            </w:r>
            <w:r w:rsidRPr="006F78BE">
              <w:t xml:space="preserve"> realizacji na terytorium Rzeczypospolitej Polskiej inwestycji mających na celu modernizację </w:t>
            </w:r>
            <w:r>
              <w:t xml:space="preserve">krajowego </w:t>
            </w:r>
            <w:r w:rsidRPr="006F78BE">
              <w:t>system</w:t>
            </w:r>
            <w:r>
              <w:t>u</w:t>
            </w:r>
            <w:r w:rsidRPr="006F78BE">
              <w:t xml:space="preserve"> energetyczn</w:t>
            </w:r>
            <w:r>
              <w:t>ego</w:t>
            </w:r>
            <w:r w:rsidRPr="006F78BE">
              <w:t xml:space="preserve"> oraz poprawę efektywności energetycznej,</w:t>
            </w:r>
            <w:r>
              <w:t xml:space="preserve"> przez:</w:t>
            </w:r>
          </w:p>
          <w:p w14:paraId="786DA6CD" w14:textId="77777777" w:rsidR="00F434FA" w:rsidRPr="00FE6A1C" w:rsidRDefault="00F434FA" w:rsidP="00F434FA">
            <w:pPr>
              <w:pStyle w:val="ZPKTzmpktartykuempunktem"/>
            </w:pPr>
            <w:r>
              <w:t>1)</w:t>
            </w:r>
            <w:r>
              <w:tab/>
            </w:r>
            <w:r w:rsidRPr="00FE6A1C">
              <w:rPr>
                <w:rFonts w:hint="eastAsia"/>
              </w:rPr>
              <w:t>wspierani</w:t>
            </w:r>
            <w:r w:rsidRPr="00FE6A1C">
              <w:t>e</w:t>
            </w:r>
            <w:r w:rsidRPr="00FE6A1C">
              <w:rPr>
                <w:rFonts w:hint="eastAsia"/>
              </w:rPr>
              <w:t xml:space="preserve"> inwestycji w wytwarzanie i u</w:t>
            </w:r>
            <w:r w:rsidRPr="006C4C8A">
              <w:rPr>
                <w:rFonts w:ascii="Cambria" w:hAnsi="Cambria" w:cs="Cambria"/>
              </w:rPr>
              <w:t>ż</w:t>
            </w:r>
            <w:r w:rsidRPr="00FE6A1C">
              <w:rPr>
                <w:rFonts w:hint="eastAsia"/>
              </w:rPr>
              <w:t xml:space="preserve">ytkowanie energii elektrycznej ze </w:t>
            </w:r>
            <w:r w:rsidRPr="006C4C8A">
              <w:rPr>
                <w:rFonts w:ascii="Cambria" w:hAnsi="Cambria" w:cs="Cambria"/>
              </w:rPr>
              <w:t>ź</w:t>
            </w:r>
            <w:r w:rsidRPr="00FE6A1C">
              <w:rPr>
                <w:rFonts w:hint="eastAsia"/>
              </w:rPr>
              <w:t>róde</w:t>
            </w:r>
            <w:r w:rsidRPr="006C4C8A">
              <w:rPr>
                <w:rFonts w:ascii="Cambria" w:hAnsi="Cambria" w:cs="Cambria"/>
              </w:rPr>
              <w:t>ł</w:t>
            </w:r>
            <w:r w:rsidRPr="00FE6A1C">
              <w:rPr>
                <w:rFonts w:hint="eastAsia"/>
              </w:rPr>
              <w:t xml:space="preserve"> odnawialnych</w:t>
            </w:r>
            <w:r>
              <w:t>, lub</w:t>
            </w:r>
            <w:r w:rsidRPr="00FE6A1C">
              <w:rPr>
                <w:rFonts w:hint="eastAsia"/>
              </w:rPr>
              <w:t xml:space="preserve"> </w:t>
            </w:r>
          </w:p>
          <w:p w14:paraId="21A4FF8F" w14:textId="77777777" w:rsidR="00F434FA" w:rsidRPr="004C7E55" w:rsidRDefault="00F434FA" w:rsidP="00F434FA">
            <w:pPr>
              <w:pStyle w:val="ZPKTzmpktartykuempunktem"/>
            </w:pPr>
            <w:r>
              <w:t>2)</w:t>
            </w:r>
            <w:r>
              <w:tab/>
            </w:r>
            <w:r w:rsidRPr="001A750C">
              <w:rPr>
                <w:rFonts w:hint="eastAsia"/>
              </w:rPr>
              <w:t>magazynowanie energii i modernizacj</w:t>
            </w:r>
            <w:r w:rsidRPr="004C7E55">
              <w:t>ę</w:t>
            </w:r>
            <w:r w:rsidRPr="001A750C">
              <w:rPr>
                <w:rFonts w:hint="eastAsia"/>
              </w:rPr>
              <w:t xml:space="preserve"> sieci energetycznych, w</w:t>
            </w:r>
            <w:r w:rsidRPr="001A750C">
              <w:t xml:space="preserve"> </w:t>
            </w:r>
            <w:r w:rsidRPr="001A750C">
              <w:rPr>
                <w:rFonts w:hint="eastAsia"/>
              </w:rPr>
              <w:t>tym ruroci</w:t>
            </w:r>
            <w:r w:rsidRPr="004C7E55">
              <w:t>ą</w:t>
            </w:r>
            <w:r w:rsidRPr="001A750C">
              <w:t>gów</w:t>
            </w:r>
            <w:r w:rsidRPr="001A750C">
              <w:rPr>
                <w:rFonts w:hint="eastAsia"/>
              </w:rPr>
              <w:t xml:space="preserve"> nale</w:t>
            </w:r>
            <w:r w:rsidRPr="004C7E55">
              <w:t>żą</w:t>
            </w:r>
            <w:r w:rsidRPr="001A750C">
              <w:rPr>
                <w:rFonts w:hint="eastAsia"/>
              </w:rPr>
              <w:t>c</w:t>
            </w:r>
            <w:r w:rsidRPr="001A750C">
              <w:t>ych</w:t>
            </w:r>
            <w:r w:rsidRPr="001A750C">
              <w:rPr>
                <w:rFonts w:hint="eastAsia"/>
              </w:rPr>
              <w:t xml:space="preserve"> do systemów ciep</w:t>
            </w:r>
            <w:r w:rsidRPr="004C7E55">
              <w:t>ł</w:t>
            </w:r>
            <w:r w:rsidRPr="001A750C">
              <w:rPr>
                <w:rFonts w:hint="eastAsia"/>
              </w:rPr>
              <w:t>owniczych, sieci przesy</w:t>
            </w:r>
            <w:r w:rsidRPr="004C7E55">
              <w:t>ł</w:t>
            </w:r>
            <w:r w:rsidRPr="001A750C">
              <w:rPr>
                <w:rFonts w:hint="eastAsia"/>
              </w:rPr>
              <w:t>u energii elektrycznej oraz po</w:t>
            </w:r>
            <w:r w:rsidRPr="004C7E55">
              <w:t>łą</w:t>
            </w:r>
            <w:r w:rsidRPr="001A750C">
              <w:rPr>
                <w:rFonts w:hint="eastAsia"/>
              </w:rPr>
              <w:t>cze</w:t>
            </w:r>
            <w:r w:rsidRPr="001A750C">
              <w:t xml:space="preserve">ń </w:t>
            </w:r>
            <w:r w:rsidRPr="001A750C">
              <w:rPr>
                <w:rFonts w:hint="eastAsia"/>
              </w:rPr>
              <w:t>mi</w:t>
            </w:r>
            <w:r w:rsidRPr="004C7E55">
              <w:t>ę</w:t>
            </w:r>
            <w:r w:rsidRPr="001A750C">
              <w:rPr>
                <w:rFonts w:hint="eastAsia"/>
              </w:rPr>
              <w:t>dzysystemowych mi</w:t>
            </w:r>
            <w:r w:rsidRPr="004C7E55">
              <w:t>ę</w:t>
            </w:r>
            <w:r w:rsidRPr="001A750C">
              <w:rPr>
                <w:rFonts w:hint="eastAsia"/>
              </w:rPr>
              <w:t xml:space="preserve">dzy </w:t>
            </w:r>
            <w:r w:rsidRPr="004C7E55">
              <w:rPr>
                <w:rFonts w:hint="eastAsia"/>
              </w:rPr>
              <w:t>państwami cz</w:t>
            </w:r>
            <w:r w:rsidRPr="004C7E55">
              <w:t>ł</w:t>
            </w:r>
            <w:r w:rsidRPr="001A750C">
              <w:rPr>
                <w:rFonts w:hint="eastAsia"/>
              </w:rPr>
              <w:t>onkowskimi</w:t>
            </w:r>
            <w:r w:rsidRPr="004C7E55">
              <w:t xml:space="preserve"> Unii Europejskiej, lub</w:t>
            </w:r>
          </w:p>
          <w:p w14:paraId="51ECD8CE" w14:textId="77777777" w:rsidR="00F434FA" w:rsidRPr="00FE6A1C" w:rsidRDefault="00F434FA" w:rsidP="00F434FA">
            <w:pPr>
              <w:pStyle w:val="ZPKTzmpktartykuempunktem"/>
            </w:pPr>
            <w:r>
              <w:t>3)</w:t>
            </w:r>
            <w:r>
              <w:tab/>
            </w:r>
            <w:r w:rsidRPr="00FE6A1C">
              <w:rPr>
                <w:rFonts w:hint="eastAsia"/>
              </w:rPr>
              <w:t>wspierani</w:t>
            </w:r>
            <w:r w:rsidRPr="00FE6A1C">
              <w:t>e</w:t>
            </w:r>
            <w:r>
              <w:t xml:space="preserve"> </w:t>
            </w:r>
            <w:r w:rsidRPr="00FE6A1C">
              <w:t>we współpracy z partnerami społecznymi</w:t>
            </w:r>
            <w:r>
              <w:t xml:space="preserve"> w regionach uzależnionych od stałych paliw kopalnych</w:t>
            </w:r>
            <w:r w:rsidRPr="00FE6A1C">
              <w:t>,</w:t>
            </w:r>
            <w:r w:rsidRPr="00FE6A1C">
              <w:rPr>
                <w:rFonts w:hint="eastAsia"/>
              </w:rPr>
              <w:t xml:space="preserve"> </w:t>
            </w:r>
            <w:r w:rsidRPr="00FE6A1C">
              <w:t xml:space="preserve"> </w:t>
            </w:r>
            <w:r w:rsidRPr="00FE6A1C">
              <w:rPr>
                <w:rFonts w:hint="eastAsia"/>
              </w:rPr>
              <w:t xml:space="preserve">sprawiedliwych przemian </w:t>
            </w:r>
            <w:r w:rsidRPr="00FE6A1C">
              <w:t>mających na celu</w:t>
            </w:r>
            <w:r w:rsidRPr="00FE6A1C">
              <w:rPr>
                <w:rFonts w:hint="eastAsia"/>
              </w:rPr>
              <w:t xml:space="preserve"> u</w:t>
            </w:r>
            <w:r w:rsidRPr="006C4C8A">
              <w:rPr>
                <w:rFonts w:ascii="Cambria" w:hAnsi="Cambria" w:cs="Cambria"/>
              </w:rPr>
              <w:t>ł</w:t>
            </w:r>
            <w:r w:rsidRPr="00FE6A1C">
              <w:rPr>
                <w:rFonts w:hint="eastAsia"/>
              </w:rPr>
              <w:t>atwi</w:t>
            </w:r>
            <w:r w:rsidRPr="00FE6A1C">
              <w:t>enie</w:t>
            </w:r>
            <w:r w:rsidRPr="00FE6A1C">
              <w:rPr>
                <w:rFonts w:hint="eastAsia"/>
              </w:rPr>
              <w:t xml:space="preserve"> pracownikom zmian</w:t>
            </w:r>
            <w:r w:rsidRPr="00FE6A1C">
              <w:t>y</w:t>
            </w:r>
            <w:r w:rsidRPr="00FE6A1C">
              <w:rPr>
                <w:rFonts w:hint="eastAsia"/>
              </w:rPr>
              <w:t xml:space="preserve"> miejsca zatrudnienia oraz zdobywanie nowych i specjalistycznych umiej</w:t>
            </w:r>
            <w:r w:rsidRPr="006C4C8A">
              <w:rPr>
                <w:rFonts w:ascii="Cambria" w:hAnsi="Cambria" w:cs="Cambria"/>
              </w:rPr>
              <w:t>ę</w:t>
            </w:r>
            <w:r w:rsidRPr="00FE6A1C">
              <w:rPr>
                <w:rFonts w:hint="eastAsia"/>
              </w:rPr>
              <w:t>tno</w:t>
            </w:r>
            <w:r w:rsidRPr="006C4C8A">
              <w:rPr>
                <w:rFonts w:ascii="Cambria" w:hAnsi="Cambria" w:cs="Cambria"/>
              </w:rPr>
              <w:t>ś</w:t>
            </w:r>
            <w:r w:rsidRPr="00FE6A1C">
              <w:rPr>
                <w:rFonts w:hint="eastAsia"/>
              </w:rPr>
              <w:t>ci</w:t>
            </w:r>
            <w:r w:rsidRPr="00FE6A1C">
              <w:t>, wspieranie edukacji oraz inicjatyw zatrudnieniowych, a także nowych inicjatyw gospodarczych (start up-ów)</w:t>
            </w:r>
            <w:r>
              <w:t>, lub</w:t>
            </w:r>
          </w:p>
          <w:p w14:paraId="06463819" w14:textId="77777777" w:rsidR="00F434FA" w:rsidRPr="003B0F1B" w:rsidRDefault="00F434FA" w:rsidP="00F434FA">
            <w:pPr>
              <w:pStyle w:val="ZPKTzmpktartykuempunktem"/>
            </w:pPr>
            <w:r>
              <w:t>4</w:t>
            </w:r>
            <w:r w:rsidRPr="003B0F1B">
              <w:t>)</w:t>
            </w:r>
            <w:r>
              <w:tab/>
              <w:t>inwestycje w efektywność energetyczną, w tym</w:t>
            </w:r>
            <w:r w:rsidRPr="003B0F1B">
              <w:rPr>
                <w:rFonts w:hint="eastAsia"/>
              </w:rPr>
              <w:t xml:space="preserve"> w sektorach transportu, budownictwa, rolnictwa i odpadów</w:t>
            </w:r>
            <w:r>
              <w:t>.</w:t>
            </w:r>
          </w:p>
          <w:p w14:paraId="4EE2C1B7" w14:textId="77777777" w:rsidR="00F434FA" w:rsidRDefault="00F434FA" w:rsidP="00F434FA">
            <w:pPr>
              <w:pStyle w:val="ZUSTzmustartykuempunktem"/>
            </w:pPr>
            <w:r>
              <w:lastRenderedPageBreak/>
              <w:t xml:space="preserve">2. Środki, o których mowa w ust. 1, mogą być również przeznaczane na dofinansowanie </w:t>
            </w:r>
            <w:r w:rsidRPr="00221388">
              <w:t xml:space="preserve">realizacji na terytorium Rzeczypospolitej Polskiej </w:t>
            </w:r>
            <w:r>
              <w:t xml:space="preserve">inwestycji innych niż wymienione w ust. 1, </w:t>
            </w:r>
            <w:r w:rsidRPr="00221388">
              <w:t>mających na celu modernizację systemów energetycznych oraz poprawę efektywności energetycznej</w:t>
            </w:r>
            <w:r>
              <w:t>, na zasadach określonych  w przepisach wydanych na podstawie art. 10d ust. 12 dyrektywy  2003/87/WE.</w:t>
            </w:r>
          </w:p>
          <w:p w14:paraId="6C2E70E1" w14:textId="77777777" w:rsidR="00F434FA" w:rsidRPr="00836C85" w:rsidRDefault="00F434FA" w:rsidP="00F434FA">
            <w:pPr>
              <w:pStyle w:val="ZUSTzmustartykuempunktem"/>
            </w:pPr>
            <w:r>
              <w:t xml:space="preserve"> 3. Co</w:t>
            </w:r>
            <w:r w:rsidRPr="00836C85">
              <w:t xml:space="preserve"> najmniej 70% środków</w:t>
            </w:r>
            <w:r>
              <w:t>, o których mowa w ust. 1,</w:t>
            </w:r>
            <w:r w:rsidRPr="00836C85">
              <w:t xml:space="preserve"> przeznacza się na realizację inwestycji</w:t>
            </w:r>
            <w:r>
              <w:t>,</w:t>
            </w:r>
            <w:r w:rsidRPr="00836C85">
              <w:t xml:space="preserve"> </w:t>
            </w:r>
            <w:r>
              <w:t xml:space="preserve"> o których mowa w ust. 1.</w:t>
            </w:r>
            <w:r w:rsidRPr="00836C85" w:rsidDel="0059363B">
              <w:t xml:space="preserve"> </w:t>
            </w:r>
          </w:p>
          <w:p w14:paraId="4CAD5B0D" w14:textId="77777777" w:rsidR="00F434FA" w:rsidRDefault="00F434FA" w:rsidP="00F434FA">
            <w:pPr>
              <w:pStyle w:val="ZUSTzmustartykuempunktem"/>
            </w:pPr>
            <w:r>
              <w:t>4. Środków, o których mowa w ust. 1, nie przeznacza się na finansowanie inwestycji związanych z wytwarzaniem energii przy wykorzystaniu stałych paliw kopalnych.</w:t>
            </w:r>
          </w:p>
          <w:p w14:paraId="318AF08B" w14:textId="77777777" w:rsidR="00F434FA" w:rsidRDefault="00F434FA" w:rsidP="00F434FA">
            <w:pPr>
              <w:pStyle w:val="ZUSTzmustartykuempunktem"/>
              <w:ind w:left="0" w:firstLine="0"/>
            </w:pPr>
          </w:p>
          <w:p w14:paraId="3A3AD0C6" w14:textId="77777777" w:rsidR="00F434FA" w:rsidRPr="00F34548" w:rsidRDefault="00F434FA" w:rsidP="00F434FA">
            <w:pPr>
              <w:pStyle w:val="ZARTzmartartykuempunktem"/>
            </w:pPr>
            <w:r w:rsidRPr="0002678B">
              <w:t>Art. 50b. Środki, o których mowa w art. 50a ust. 1, są przekazywane na wyodrębniony rachunek bankowy Narodowego Funduszu, zwany dalej „Rachunkiem Funduszu Modernizacyjnego</w:t>
            </w:r>
            <w:r w:rsidRPr="00C37BD8">
              <w:t>”</w:t>
            </w:r>
            <w:r w:rsidRPr="00F34548">
              <w:t>.</w:t>
            </w:r>
          </w:p>
          <w:p w14:paraId="7D681252" w14:textId="77777777" w:rsidR="00F434FA" w:rsidRPr="0002678B" w:rsidRDefault="00F434FA" w:rsidP="00F434FA">
            <w:pPr>
              <w:pStyle w:val="ZARTzmartartykuempunktem"/>
            </w:pPr>
            <w:r w:rsidRPr="0002678B">
              <w:t>Art. 50c 1. Inwestycje, o których mowa w art. 50a ust. 1 i ust. 2, są realizowane w ramach programów priorytetowych Narodowego Funduszu.</w:t>
            </w:r>
          </w:p>
          <w:p w14:paraId="1C93BE31" w14:textId="77777777" w:rsidR="00F434FA" w:rsidRPr="0002678B" w:rsidRDefault="00F434FA" w:rsidP="00F434FA">
            <w:pPr>
              <w:pStyle w:val="ZUSTzmustartykuempunktem"/>
            </w:pPr>
            <w:r w:rsidRPr="0002678B">
              <w:t xml:space="preserve">2. Inwestycje, o których mowa w art. 50a ust. 2, mogą uzyskać dofinansowanie ze środków zgromadzonych na Rachunku Funduszu </w:t>
            </w:r>
            <w:r w:rsidRPr="0002678B">
              <w:lastRenderedPageBreak/>
              <w:t>Modernizacyjnego w wysokości do 70% kosztów kwalifikowanych realizacji inwestycji. Pozostałe koszty tych inwestycji nie mogą być finansowane ze środków publicznych.</w:t>
            </w:r>
          </w:p>
          <w:p w14:paraId="6AF40E94" w14:textId="77777777" w:rsidR="00F434FA" w:rsidRPr="00F34548" w:rsidRDefault="00F434FA" w:rsidP="00F434FA">
            <w:pPr>
              <w:pStyle w:val="ZUSTzmustartykuempunktem"/>
            </w:pPr>
            <w:r w:rsidRPr="0002678B">
              <w:t xml:space="preserve">3. Inwestycje, o których mowa w art. 50a ust. 1 </w:t>
            </w:r>
            <w:r w:rsidRPr="00C37BD8">
              <w:t xml:space="preserve">, </w:t>
            </w:r>
            <w:r w:rsidRPr="00F34548">
              <w:t>mogą uzyskać dofinansowanie ze środków zgromadzonych na Rachunku Funduszu Modernizacyjnego w wysokości do 100% kosztów kwalifikowanych realizacji inwestycji.</w:t>
            </w:r>
          </w:p>
          <w:p w14:paraId="2FE0271F" w14:textId="77777777" w:rsidR="00F434FA" w:rsidRPr="00F34548" w:rsidRDefault="00F434FA" w:rsidP="00F434FA">
            <w:pPr>
              <w:pStyle w:val="ZARTzmartartykuempunktem"/>
            </w:pPr>
            <w:r w:rsidRPr="00F34548">
              <w:t>Art. 50d. 1. Rada Konsultacyjna Funduszu Modernizacyjnego jest organem doradczym ministra właściwego do spraw klimatu w zakresie funkcjonowania Krajowego systemu wdrażania Funduszu Modernizacyjnego.</w:t>
            </w:r>
          </w:p>
          <w:p w14:paraId="4549A4B5" w14:textId="77777777" w:rsidR="00F434FA" w:rsidRDefault="00F434FA" w:rsidP="00F434FA">
            <w:pPr>
              <w:pStyle w:val="ZARTzmartartykuempunktem"/>
            </w:pPr>
            <w:r w:rsidRPr="00086497">
              <w:t>2. Minister właściwy do spraw klimatu przedkłada Radzie Konsultacyjnej Funduszu Modernizacyjnego projekt</w:t>
            </w:r>
            <w:r>
              <w:t>y</w:t>
            </w:r>
            <w:r w:rsidRPr="00086497">
              <w:t xml:space="preserve"> program</w:t>
            </w:r>
            <w:r>
              <w:t>ów</w:t>
            </w:r>
            <w:r w:rsidRPr="00443B7B">
              <w:t xml:space="preserve"> priorytetow</w:t>
            </w:r>
            <w:r>
              <w:t>ych</w:t>
            </w:r>
            <w:r w:rsidRPr="00443B7B">
              <w:t>, o  który</w:t>
            </w:r>
            <w:r>
              <w:t>ch</w:t>
            </w:r>
            <w:r w:rsidRPr="008B76F9">
              <w:t xml:space="preserve"> mowa w art.</w:t>
            </w:r>
            <w:r>
              <w:t xml:space="preserve"> </w:t>
            </w:r>
            <w:r w:rsidRPr="00105FE5">
              <w:t>50c ust. 1,</w:t>
            </w:r>
            <w:r>
              <w:t xml:space="preserve"> </w:t>
            </w:r>
            <w:r w:rsidRPr="00105FE5">
              <w:t>w celu wydania opinii. Opinia Rady Konsultacyjnej jest wiążąca.</w:t>
            </w:r>
          </w:p>
          <w:p w14:paraId="3540826E" w14:textId="77777777" w:rsidR="00F434FA" w:rsidRPr="00F34548" w:rsidRDefault="00F434FA" w:rsidP="00F434FA">
            <w:pPr>
              <w:pStyle w:val="ZUSTzmustartykuempunktem"/>
            </w:pPr>
            <w:r w:rsidRPr="00F34548">
              <w:t>3. W skład Rady Konsultacyjnej Funduszu Modernizacyjnego wchodzi po jednym przedstawicielu:</w:t>
            </w:r>
          </w:p>
          <w:p w14:paraId="06D8852A" w14:textId="77777777" w:rsidR="00F434FA" w:rsidRPr="001B67E7" w:rsidRDefault="00F434FA" w:rsidP="00F434FA">
            <w:pPr>
              <w:pStyle w:val="ZPKTzmpktartykuempunktem"/>
            </w:pPr>
            <w:r w:rsidRPr="001B67E7">
              <w:t>1)</w:t>
            </w:r>
            <w:r>
              <w:tab/>
            </w:r>
            <w:r w:rsidRPr="001B67E7">
              <w:t>ministra właściwego do spraw klimatu;</w:t>
            </w:r>
          </w:p>
          <w:p w14:paraId="3B794F82" w14:textId="77777777" w:rsidR="00F434FA" w:rsidRPr="001B67E7" w:rsidRDefault="00F434FA" w:rsidP="00F434FA">
            <w:pPr>
              <w:pStyle w:val="ZPKTzmpktartykuempunktem"/>
            </w:pPr>
            <w:r w:rsidRPr="001B67E7">
              <w:t>2)</w:t>
            </w:r>
            <w:r>
              <w:tab/>
            </w:r>
            <w:r w:rsidRPr="001B67E7">
              <w:t>ministra właściwego do spraw gospodarki;</w:t>
            </w:r>
          </w:p>
          <w:p w14:paraId="37EC115C" w14:textId="77777777" w:rsidR="00F434FA" w:rsidRPr="001B67E7" w:rsidRDefault="00F434FA" w:rsidP="00F434FA">
            <w:pPr>
              <w:pStyle w:val="ZPKTzmpktartykuempunktem"/>
            </w:pPr>
            <w:r w:rsidRPr="001B67E7">
              <w:t>3)</w:t>
            </w:r>
            <w:r>
              <w:tab/>
            </w:r>
            <w:r w:rsidRPr="001B67E7">
              <w:t>ministra właściwego do spraw pracy;</w:t>
            </w:r>
          </w:p>
          <w:p w14:paraId="7662B5CF" w14:textId="77777777" w:rsidR="00F434FA" w:rsidRPr="001B67E7" w:rsidRDefault="00F434FA" w:rsidP="00F434FA">
            <w:pPr>
              <w:pStyle w:val="ZPKTzmpktartykuempunktem"/>
            </w:pPr>
            <w:r>
              <w:t>4</w:t>
            </w:r>
            <w:r w:rsidRPr="001B67E7">
              <w:t>)</w:t>
            </w:r>
            <w:r>
              <w:tab/>
            </w:r>
            <w:r w:rsidRPr="001B67E7">
              <w:t>ministra właściwego do spraw energii;</w:t>
            </w:r>
          </w:p>
          <w:p w14:paraId="43E5B9AA" w14:textId="77777777" w:rsidR="00F434FA" w:rsidRPr="001B67E7" w:rsidRDefault="00F434FA" w:rsidP="00F434FA">
            <w:pPr>
              <w:pStyle w:val="ZPKTzmpktartykuempunktem"/>
            </w:pPr>
            <w:r>
              <w:lastRenderedPageBreak/>
              <w:t>5</w:t>
            </w:r>
            <w:r w:rsidRPr="001B67E7">
              <w:t>)</w:t>
            </w:r>
            <w:r>
              <w:tab/>
            </w:r>
            <w:r w:rsidRPr="001B67E7">
              <w:t>ministra właściwego do spraw środowiska;</w:t>
            </w:r>
          </w:p>
          <w:p w14:paraId="5F108526" w14:textId="77777777" w:rsidR="00F434FA" w:rsidRPr="001B67E7" w:rsidRDefault="00F434FA" w:rsidP="00F434FA">
            <w:pPr>
              <w:pStyle w:val="ZPKTzmpktartykuempunktem"/>
            </w:pPr>
            <w:r>
              <w:t>6</w:t>
            </w:r>
            <w:r w:rsidRPr="001B67E7">
              <w:t>)</w:t>
            </w:r>
            <w:r>
              <w:tab/>
            </w:r>
            <w:r w:rsidRPr="001B67E7">
              <w:t>ministra właściwego do spraw rozwoju regionalnego;</w:t>
            </w:r>
          </w:p>
          <w:p w14:paraId="17D0ED35" w14:textId="77777777" w:rsidR="00F434FA" w:rsidRPr="001B67E7" w:rsidRDefault="00F434FA" w:rsidP="00F434FA">
            <w:pPr>
              <w:pStyle w:val="ZPKTzmpktartykuempunktem"/>
            </w:pPr>
            <w:r>
              <w:t>7</w:t>
            </w:r>
            <w:r w:rsidRPr="001B67E7">
              <w:t>)</w:t>
            </w:r>
            <w:r>
              <w:tab/>
            </w:r>
            <w:r w:rsidRPr="001B67E7">
              <w:t>ministra właściwego do spraw finansów publicznych;</w:t>
            </w:r>
          </w:p>
          <w:p w14:paraId="4528BB08" w14:textId="77777777" w:rsidR="00F434FA" w:rsidRPr="001B67E7" w:rsidRDefault="00F434FA" w:rsidP="00F434FA">
            <w:pPr>
              <w:pStyle w:val="ZPKTzmpktartykuempunktem"/>
            </w:pPr>
            <w:r>
              <w:t>8</w:t>
            </w:r>
            <w:r w:rsidRPr="001B67E7">
              <w:t>)</w:t>
            </w:r>
            <w:r>
              <w:tab/>
            </w:r>
            <w:r w:rsidRPr="001B67E7">
              <w:t>ministra właściwego do spraw rolnictwa;</w:t>
            </w:r>
          </w:p>
          <w:p w14:paraId="469C0543" w14:textId="77777777" w:rsidR="00F434FA" w:rsidRPr="001B67E7" w:rsidRDefault="00F434FA" w:rsidP="00F434FA">
            <w:pPr>
              <w:pStyle w:val="ZPKTzmpktartykuempunktem"/>
            </w:pPr>
            <w:r>
              <w:t>9</w:t>
            </w:r>
            <w:r w:rsidRPr="001B67E7">
              <w:t>)</w:t>
            </w:r>
            <w:r>
              <w:tab/>
            </w:r>
            <w:r w:rsidRPr="001B67E7">
              <w:t>ministra właściwego do spraw transportu;</w:t>
            </w:r>
          </w:p>
          <w:p w14:paraId="6A82AFA2" w14:textId="77777777" w:rsidR="00F434FA" w:rsidRPr="001B67E7" w:rsidRDefault="00F434FA" w:rsidP="00F434FA">
            <w:pPr>
              <w:pStyle w:val="ZPKTzmpktartykuempunktem"/>
            </w:pPr>
            <w:r>
              <w:t>10</w:t>
            </w:r>
            <w:r w:rsidRPr="001B67E7">
              <w:t>)</w:t>
            </w:r>
            <w:r>
              <w:tab/>
            </w:r>
            <w:r w:rsidRPr="001B67E7">
              <w:t>ministra właściwego do spraw budownictwa, planowania i zagospodarowania przestrzennego oraz mieszkalnictwa;</w:t>
            </w:r>
          </w:p>
          <w:p w14:paraId="3298C0F4" w14:textId="77777777" w:rsidR="00F434FA" w:rsidRPr="001B67E7" w:rsidRDefault="00F434FA" w:rsidP="00F434FA">
            <w:pPr>
              <w:pStyle w:val="ZPKTzmpktartykuempunktem"/>
            </w:pPr>
            <w:r w:rsidRPr="001B67E7">
              <w:t>1</w:t>
            </w:r>
            <w:r>
              <w:t>1</w:t>
            </w:r>
            <w:r w:rsidRPr="001B67E7">
              <w:t>)</w:t>
            </w:r>
            <w:r>
              <w:tab/>
            </w:r>
            <w:r w:rsidRPr="001B67E7">
              <w:t>ministra właściwego do spraw gospodarki wodnej;</w:t>
            </w:r>
          </w:p>
          <w:p w14:paraId="292F2815" w14:textId="77777777" w:rsidR="00F434FA" w:rsidRPr="001B67E7" w:rsidRDefault="00F434FA" w:rsidP="00F434FA">
            <w:pPr>
              <w:pStyle w:val="ZPKTzmpktartykuempunktem"/>
            </w:pPr>
            <w:r w:rsidRPr="001B67E7">
              <w:t>1</w:t>
            </w:r>
            <w:r>
              <w:t>2</w:t>
            </w:r>
            <w:r w:rsidRPr="001B67E7">
              <w:t>)</w:t>
            </w:r>
            <w:r>
              <w:tab/>
            </w:r>
            <w:r w:rsidRPr="001B67E7">
              <w:t>ministra właściwego do spraw aktywów państwowych.</w:t>
            </w:r>
          </w:p>
          <w:p w14:paraId="1121867F" w14:textId="77777777" w:rsidR="00F434FA" w:rsidRPr="00A02C6C" w:rsidRDefault="00F434FA" w:rsidP="00F434FA">
            <w:pPr>
              <w:pStyle w:val="ZUSTzmustartykuempunktem"/>
            </w:pPr>
            <w:r>
              <w:t>4</w:t>
            </w:r>
            <w:r w:rsidRPr="00A02C6C">
              <w:t xml:space="preserve">. W pracach Rady Konsultacyjnej Funduszu Modernizacyjnego bierze udział, w charakterze obserwatora, bez prawa głosu, przedstawiciel Krajowego operatora Funduszu Modernizacyjnego. </w:t>
            </w:r>
          </w:p>
          <w:p w14:paraId="4E3179F2" w14:textId="77777777" w:rsidR="00F434FA" w:rsidRDefault="00F434FA" w:rsidP="00F434FA">
            <w:pPr>
              <w:pStyle w:val="ZUSTzmustartykuempunktem"/>
            </w:pPr>
            <w:r>
              <w:t>5</w:t>
            </w:r>
            <w:r w:rsidRPr="00A02C6C">
              <w:t>. Minister właściwy do spraw klimatu określi, w drodze zarządzenia, regulamin prac Rady Konsultacyjnej Funduszu Modernizacyjnego.</w:t>
            </w:r>
          </w:p>
          <w:p w14:paraId="5B202183" w14:textId="77777777" w:rsidR="00F434FA" w:rsidRPr="00291C87" w:rsidRDefault="00F434FA" w:rsidP="00F434FA">
            <w:pPr>
              <w:pStyle w:val="ZUSTzmustartykuempunktem"/>
            </w:pPr>
            <w:r>
              <w:t>6. Wydatki związane z obsługą Rady Konsultacyjnej są finansowane ze środków budżetu państwa.</w:t>
            </w:r>
          </w:p>
          <w:p w14:paraId="7AB28E4E" w14:textId="77777777" w:rsidR="00F434FA" w:rsidRPr="00A664D7" w:rsidRDefault="00F434FA" w:rsidP="00F434FA">
            <w:pPr>
              <w:pStyle w:val="ZARTzmartartykuempunktem"/>
            </w:pPr>
            <w:bookmarkStart w:id="14" w:name="mip46015544"/>
            <w:bookmarkStart w:id="15" w:name="mip46023258"/>
            <w:bookmarkEnd w:id="14"/>
            <w:bookmarkEnd w:id="15"/>
            <w:r w:rsidRPr="00A35FA9">
              <w:t xml:space="preserve">Art. 50e. 1. Krajowym systemem wdrażania Funduszu Modernizacyjnego zarządza Krajowy operator Funduszu Modernizacyjnego, zwany dalej </w:t>
            </w:r>
            <w:r w:rsidRPr="00A664D7">
              <w:t>„</w:t>
            </w:r>
            <w:r>
              <w:t>Operatorem Funduszu</w:t>
            </w:r>
            <w:r w:rsidRPr="00A664D7">
              <w:t>”.</w:t>
            </w:r>
          </w:p>
          <w:p w14:paraId="2F0A3FDF" w14:textId="77777777" w:rsidR="00F434FA" w:rsidRPr="00A664D7" w:rsidRDefault="00F434FA" w:rsidP="00F434FA">
            <w:pPr>
              <w:pStyle w:val="ZARTzmartartykuempunktem"/>
            </w:pPr>
            <w:r w:rsidRPr="00A664D7">
              <w:lastRenderedPageBreak/>
              <w:t xml:space="preserve">2. Wykonywanie zadań </w:t>
            </w:r>
            <w:r>
              <w:t>Operatora Funduszu</w:t>
            </w:r>
            <w:r w:rsidRPr="00A664D7">
              <w:t xml:space="preserve"> powierza się Narodowemu Funduszowi</w:t>
            </w:r>
            <w:r>
              <w:t>.</w:t>
            </w:r>
          </w:p>
          <w:p w14:paraId="37411977" w14:textId="77777777" w:rsidR="00F434FA" w:rsidRPr="00291C87" w:rsidRDefault="00F434FA" w:rsidP="00F434FA">
            <w:pPr>
              <w:pStyle w:val="ZARTzmartartykuempunktem"/>
            </w:pPr>
            <w:r w:rsidRPr="005D7290">
              <w:t xml:space="preserve">3. Do zadań </w:t>
            </w:r>
            <w:r>
              <w:t>Operatora Funduszu</w:t>
            </w:r>
            <w:r w:rsidRPr="005D7290">
              <w:t xml:space="preserve"> działającego przez Radę Nadzorczą Narodowego Funduszu </w:t>
            </w:r>
            <w:r w:rsidRPr="00291C87">
              <w:t>należy:</w:t>
            </w:r>
          </w:p>
          <w:p w14:paraId="577AC0B2" w14:textId="77777777" w:rsidR="00F434FA" w:rsidRPr="00291C87" w:rsidRDefault="00F434FA" w:rsidP="00F434FA">
            <w:pPr>
              <w:pStyle w:val="ZPKTzmpktartykuempunktem"/>
            </w:pPr>
            <w:r w:rsidRPr="00291C87">
              <w:t>1)</w:t>
            </w:r>
            <w:r>
              <w:t xml:space="preserve"> </w:t>
            </w:r>
            <w:r w:rsidRPr="00291C87">
              <w:t>zatwierdzanie list programów priorytetowych, o których mowa w art. 50c ust. 1;</w:t>
            </w:r>
          </w:p>
          <w:p w14:paraId="1B3F5E08" w14:textId="77777777" w:rsidR="00F434FA" w:rsidRPr="00291C87" w:rsidRDefault="00F434FA" w:rsidP="00F434FA">
            <w:pPr>
              <w:pStyle w:val="ZPKTzmpktartykuempunktem"/>
            </w:pPr>
            <w:r w:rsidRPr="00291C87">
              <w:t>2)</w:t>
            </w:r>
            <w:r>
              <w:t xml:space="preserve"> </w:t>
            </w:r>
            <w:r w:rsidRPr="00291C87">
              <w:t>ustalanie kryteriów wyboru inwestycji finansowanych ze środków zgromadzonych na rachunku Funduszu Modernizacyjnego;</w:t>
            </w:r>
          </w:p>
          <w:p w14:paraId="69072BED" w14:textId="77777777" w:rsidR="00F434FA" w:rsidRPr="00291C87" w:rsidRDefault="00F434FA" w:rsidP="00F434FA">
            <w:pPr>
              <w:pStyle w:val="ZPKTzmpktartykuempunktem"/>
            </w:pPr>
            <w:r w:rsidRPr="00291C87">
              <w:t>3)</w:t>
            </w:r>
            <w:r>
              <w:t xml:space="preserve"> </w:t>
            </w:r>
            <w:r w:rsidRPr="00291C87">
              <w:t>ustalanie zasad udzielania i umarzania pożyczek oraz trybu i zasad udzielania i rozliczania dotacji, przyznanych ze środków zgromadzonych na Rachunku Funduszu Modernizacyjnego.</w:t>
            </w:r>
          </w:p>
          <w:p w14:paraId="532D06D4" w14:textId="77777777" w:rsidR="00F434FA" w:rsidRPr="00A02C6C" w:rsidRDefault="00F434FA" w:rsidP="00F434FA">
            <w:pPr>
              <w:pStyle w:val="ZUSTzmustartykuempunktem"/>
            </w:pPr>
            <w:r w:rsidRPr="00291C87">
              <w:t xml:space="preserve">4. Do zadań </w:t>
            </w:r>
            <w:r>
              <w:t>Operatora Funduszu</w:t>
            </w:r>
            <w:r w:rsidRPr="00291C87">
              <w:t xml:space="preserve"> działającego przez Zarząd Narodowego Funduszu należy:</w:t>
            </w:r>
          </w:p>
          <w:p w14:paraId="016BC3CB" w14:textId="77777777" w:rsidR="00F434FA" w:rsidRPr="00A02C6C" w:rsidRDefault="00F434FA" w:rsidP="00F434FA">
            <w:pPr>
              <w:pStyle w:val="ZPKTzmpktartykuempunktem"/>
            </w:pPr>
            <w:r w:rsidRPr="00A02C6C">
              <w:t xml:space="preserve">1) sporządzanie list programów priorytetowych, o których mowa w art. 50c ust. 1 oraz przedstawianie tych list w celu uzgodnienia ministrowi właściwemu do spraw klimatu; </w:t>
            </w:r>
          </w:p>
          <w:p w14:paraId="1E42EEE2" w14:textId="77777777" w:rsidR="00F434FA" w:rsidRPr="00A02C6C" w:rsidRDefault="00F434FA" w:rsidP="00F434FA">
            <w:pPr>
              <w:pStyle w:val="ZPKTzmpktartykuempunktem"/>
            </w:pPr>
            <w:r w:rsidRPr="00A02C6C">
              <w:t xml:space="preserve">2) opracowanie, przedstawianie </w:t>
            </w:r>
            <w:r>
              <w:t>ministrowi właściwemu do spraw klimatu</w:t>
            </w:r>
            <w:r w:rsidRPr="00A02C6C">
              <w:t xml:space="preserve">  oraz przyjmowanie programów priorytetowych, o których mowa w art. 50c ust. 1;</w:t>
            </w:r>
          </w:p>
          <w:p w14:paraId="08D3070F" w14:textId="77777777" w:rsidR="00F434FA" w:rsidRPr="00AB0FDE" w:rsidRDefault="00F434FA" w:rsidP="00F434FA">
            <w:pPr>
              <w:pStyle w:val="ZPKTzmpktartykuempunktem"/>
            </w:pPr>
            <w:r w:rsidRPr="00621604">
              <w:lastRenderedPageBreak/>
              <w:t xml:space="preserve">3) </w:t>
            </w:r>
            <w:r w:rsidRPr="00746F4A">
              <w:t xml:space="preserve">zatwierdzanie </w:t>
            </w:r>
            <w:r w:rsidRPr="00F43DA1">
              <w:t>regulaminów</w:t>
            </w:r>
            <w:r w:rsidRPr="00533C32">
              <w:t xml:space="preserve"> naboru wniosków o dofinansowanie inwestycji </w:t>
            </w:r>
            <w:r w:rsidRPr="006A4487">
              <w:t>ze środków zgromadzonych na Rachunku F</w:t>
            </w:r>
            <w:r w:rsidRPr="00AB0FDE">
              <w:t>unduszu Modernizacyjnego;</w:t>
            </w:r>
          </w:p>
          <w:p w14:paraId="22C276D9" w14:textId="77777777" w:rsidR="00F434FA" w:rsidRPr="002C5664" w:rsidRDefault="00F434FA" w:rsidP="00F434FA">
            <w:pPr>
              <w:pStyle w:val="ZPKTzmpktartykuempunktem"/>
            </w:pPr>
            <w:r w:rsidRPr="00D925A1">
              <w:t xml:space="preserve">4) przedstawianie Europejskiemu Bankowi Inwestycyjnemu </w:t>
            </w:r>
            <w:r>
              <w:t>i</w:t>
            </w:r>
            <w:r w:rsidRPr="00D925A1">
              <w:t xml:space="preserve"> Komitetowi Inwestycyjnemu, o którym mowa w art. 10d ust. 5 dyrektywy 2003/87/WE programów priorytetowych, o których mowa w ar</w:t>
            </w:r>
            <w:r w:rsidRPr="002C5664">
              <w:t>t. 50c ust. 1;</w:t>
            </w:r>
          </w:p>
          <w:p w14:paraId="19561AFE" w14:textId="77777777" w:rsidR="00F434FA" w:rsidRPr="00A35FA9" w:rsidRDefault="00F434FA" w:rsidP="00F434FA">
            <w:pPr>
              <w:pStyle w:val="ZPKTzmpktartykuempunktem"/>
            </w:pPr>
            <w:r w:rsidRPr="00A35FA9">
              <w:t>5) składanie do Europejskiego Banku Inwestycyjnego wniosków o wypłatę środków z Funduszu Modernizacyjnego na dofinansowanie realizacji inwestycji;.</w:t>
            </w:r>
          </w:p>
          <w:p w14:paraId="17564E4A" w14:textId="77777777" w:rsidR="00F434FA" w:rsidRPr="00A35FA9" w:rsidRDefault="00F434FA" w:rsidP="00F434FA">
            <w:pPr>
              <w:pStyle w:val="ZARTzmartartykuempunktem"/>
            </w:pPr>
            <w:r w:rsidRPr="00A35FA9">
              <w:t xml:space="preserve">5. Do zadań </w:t>
            </w:r>
            <w:r>
              <w:t>Operatora Funduszu</w:t>
            </w:r>
            <w:r w:rsidRPr="00A35FA9">
              <w:t xml:space="preserve"> działającego przez Biuro Narodowego Funduszu  należy wdrażanie programów priorytetowych, o których mowa w art. 50c ust. 1, w szczególności przez: </w:t>
            </w:r>
          </w:p>
          <w:p w14:paraId="65063E11" w14:textId="77777777" w:rsidR="00F434FA" w:rsidRPr="00A02C6C" w:rsidRDefault="00F434FA" w:rsidP="00F434FA">
            <w:pPr>
              <w:pStyle w:val="ZPKTzmpktartykuempunktem"/>
            </w:pPr>
            <w:r w:rsidRPr="00A02C6C">
              <w:t>1) organizowanie naboru i oceny wniosków o dofinansowanie ze środków zgromadzonych na Rachunku Funduszu Modernizacyjnego;</w:t>
            </w:r>
          </w:p>
          <w:p w14:paraId="3B87F7D1" w14:textId="77777777" w:rsidR="00F434FA" w:rsidRPr="00AB0FDE" w:rsidRDefault="00F434FA" w:rsidP="00F434FA">
            <w:pPr>
              <w:pStyle w:val="ZPKTzmpktartykuempunktem"/>
            </w:pPr>
            <w:r w:rsidRPr="00A02C6C">
              <w:t>2)</w:t>
            </w:r>
            <w:r w:rsidRPr="00A02C6C">
              <w:tab/>
              <w:t xml:space="preserve">podejmowanie czynności prowadzących do zawarcia umów </w:t>
            </w:r>
            <w:r w:rsidRPr="00A02C6C">
              <w:br/>
            </w:r>
            <w:r w:rsidRPr="00621604">
              <w:t>o dofinansowanie realizacji inwe</w:t>
            </w:r>
            <w:r w:rsidRPr="00746F4A">
              <w:t>stycji ze środków zgromadzonych na Rachunku Funduszu Modernizacyjnego</w:t>
            </w:r>
            <w:r w:rsidRPr="00AB0FDE">
              <w:t>;</w:t>
            </w:r>
          </w:p>
          <w:p w14:paraId="6A3AE2CB" w14:textId="77777777" w:rsidR="00F434FA" w:rsidRPr="002C5664" w:rsidRDefault="00F434FA" w:rsidP="00F434FA">
            <w:pPr>
              <w:pStyle w:val="ZPKTzmpktartykuempunktem"/>
            </w:pPr>
            <w:r w:rsidRPr="00D925A1">
              <w:lastRenderedPageBreak/>
              <w:t>3)</w:t>
            </w:r>
            <w:r w:rsidRPr="00AC76FA">
              <w:tab/>
              <w:t>nadzorowanie wdrażania i realizacji inwestycji, ocena uzyskanych przez nie efektów ekologicznych oraz sprawowanie kontroli nad wykorzys</w:t>
            </w:r>
            <w:r w:rsidRPr="002C5664">
              <w:t>taniem przez beneficjentów środków Funduszu Modernizacyjnego;</w:t>
            </w:r>
          </w:p>
          <w:p w14:paraId="701B65BA" w14:textId="77777777" w:rsidR="00F434FA" w:rsidRPr="00A35FA9" w:rsidRDefault="00F434FA" w:rsidP="00F434FA">
            <w:pPr>
              <w:pStyle w:val="ZPKTzmpktartykuempunktem"/>
            </w:pPr>
            <w:r w:rsidRPr="002C5664">
              <w:t>4)</w:t>
            </w:r>
            <w:r w:rsidRPr="00A35FA9">
              <w:tab/>
              <w:t>opracowywanie  i przedkładanie ministrowi właściwemu do spraw klimatu projektu raportu z realizacji dofinansowanych inwestycji oraz osiąganych efektów rzeczowych i ekologicznych;</w:t>
            </w:r>
          </w:p>
          <w:p w14:paraId="661A848F" w14:textId="77777777" w:rsidR="00F434FA" w:rsidRPr="00A35FA9" w:rsidRDefault="00F434FA" w:rsidP="00F434FA">
            <w:pPr>
              <w:pStyle w:val="ZPKTzmpktartykuempunktem"/>
            </w:pPr>
            <w:r w:rsidRPr="00A35FA9">
              <w:t>5)</w:t>
            </w:r>
            <w:r w:rsidRPr="00A35FA9">
              <w:tab/>
              <w:t>organizowanie pomocy technicznej dla potencjalnych beneficjentów;</w:t>
            </w:r>
          </w:p>
          <w:p w14:paraId="225C42AF" w14:textId="77777777" w:rsidR="00F434FA" w:rsidRPr="00A35FA9" w:rsidRDefault="00F434FA" w:rsidP="00F434FA">
            <w:pPr>
              <w:pStyle w:val="ZPKTzmpktartykuempunktem"/>
            </w:pPr>
            <w:r w:rsidRPr="00A35FA9">
              <w:t>6)</w:t>
            </w:r>
            <w:r w:rsidRPr="00A35FA9">
              <w:tab/>
              <w:t>prowadzenie działalności promocyjnej i informacyjnej o Krajowym systemie wdrażania Funduszu Modernizacyjnego;</w:t>
            </w:r>
          </w:p>
          <w:p w14:paraId="4876FA28" w14:textId="77777777" w:rsidR="00F434FA" w:rsidRPr="00A35FA9" w:rsidRDefault="00F434FA" w:rsidP="00F434FA">
            <w:pPr>
              <w:pStyle w:val="ZPKTzmpktartykuempunktem"/>
            </w:pPr>
            <w:r w:rsidRPr="00A35FA9">
              <w:t xml:space="preserve">7) </w:t>
            </w:r>
            <w:r w:rsidRPr="00A35FA9">
              <w:tab/>
              <w:t>monitorowanie:</w:t>
            </w:r>
          </w:p>
          <w:p w14:paraId="1767AE6B" w14:textId="77777777" w:rsidR="00F434FA" w:rsidRPr="00A35FA9" w:rsidRDefault="00F434FA" w:rsidP="00F434FA">
            <w:pPr>
              <w:pStyle w:val="ZLITzmlitartykuempunktem"/>
            </w:pPr>
            <w:r w:rsidRPr="00A35FA9">
              <w:t>a)</w:t>
            </w:r>
            <w:r w:rsidRPr="00A35FA9">
              <w:tab/>
              <w:t>osiągniętych efektów związanych z uniknięciem lub redukcją emisji gazów cieplarnianych w ramach Krajowego systemu wdrażania Funduszu Modernizacyjnego,</w:t>
            </w:r>
          </w:p>
          <w:p w14:paraId="7F9B0932" w14:textId="77777777" w:rsidR="00F434FA" w:rsidRPr="00A35FA9" w:rsidRDefault="00F434FA" w:rsidP="00F434FA">
            <w:pPr>
              <w:pStyle w:val="ZLITzmlitartykuempunktem"/>
            </w:pPr>
            <w:r w:rsidRPr="00A35FA9">
              <w:t>b)</w:t>
            </w:r>
            <w:r w:rsidRPr="00A35FA9">
              <w:tab/>
              <w:t>wydatkowania przez beneficjentów środków uzyskanych z Rachunku Funduszu Modernizacyjnego oraz postępów w realizacji inwestycji dofinansowanych ze środków zgromadzonych na Rachunku Funduszu Modernizacyjnego;</w:t>
            </w:r>
          </w:p>
          <w:p w14:paraId="79BCCA8E" w14:textId="77777777" w:rsidR="00F434FA" w:rsidRPr="00621604" w:rsidRDefault="00F434FA" w:rsidP="00F434FA">
            <w:pPr>
              <w:pStyle w:val="ZARTzmartartykuempunktem"/>
              <w:ind w:firstLine="0"/>
            </w:pPr>
            <w:r>
              <w:lastRenderedPageBreak/>
              <w:t>8</w:t>
            </w:r>
            <w:r w:rsidRPr="00A02C6C">
              <w:t>)</w:t>
            </w:r>
            <w:r w:rsidRPr="00A02C6C">
              <w:tab/>
              <w:t>prowadzenie wykazu inwestycji dofinansowanych ze środków zgromadzonych na Rachunku Funduszu Modernizacyjnego</w:t>
            </w:r>
            <w:r w:rsidRPr="00621604">
              <w:t>.</w:t>
            </w:r>
          </w:p>
          <w:p w14:paraId="5AB3B27B" w14:textId="77777777" w:rsidR="00F434FA" w:rsidRPr="00D925A1" w:rsidRDefault="00F434FA" w:rsidP="00F434FA">
            <w:pPr>
              <w:pStyle w:val="ZARTzmartartykuempunktem"/>
            </w:pPr>
            <w:r w:rsidRPr="00AB0FDE">
              <w:t>6. Monitorowaniem, o którym mowa w ust. 5</w:t>
            </w:r>
            <w:r w:rsidRPr="00D530CF">
              <w:t xml:space="preserve"> pkt 7 lit. a, obejmuje się okres do 5 lat kalendarzowych następ</w:t>
            </w:r>
            <w:r w:rsidRPr="00D925A1">
              <w:t>ujących po roku, w którym zakończono realizację inwestycji.</w:t>
            </w:r>
          </w:p>
          <w:p w14:paraId="3AD2ED21" w14:textId="77777777" w:rsidR="00F434FA" w:rsidRPr="00A02C6C" w:rsidRDefault="00F434FA" w:rsidP="00F434FA">
            <w:pPr>
              <w:pStyle w:val="ZARTzmartartykuempunktem"/>
            </w:pPr>
            <w:r w:rsidRPr="00A02C6C">
              <w:t xml:space="preserve">Art. 50f. Minister właściwy do spraw klimatu sprawuje nadzór nad wykonywaniem zadań przez </w:t>
            </w:r>
            <w:r>
              <w:t>Operatora Funduszu</w:t>
            </w:r>
            <w:r w:rsidRPr="00A02C6C">
              <w:t>.</w:t>
            </w:r>
          </w:p>
          <w:p w14:paraId="48DFD9AA" w14:textId="77777777" w:rsidR="00F434FA" w:rsidRPr="00A02C6C" w:rsidRDefault="00F434FA" w:rsidP="00F434FA">
            <w:pPr>
              <w:pStyle w:val="ZARTzmartartykuempunktem"/>
            </w:pPr>
            <w:r w:rsidRPr="00A02C6C">
              <w:t xml:space="preserve">Art. 50g. 1. Dofinansowania realizacji inwestycji, o których mowa w art. 50a ust. 1 i ust. 2, ze środków zgromadzonych na Rachunku Funduszu Modernizacyjnego dokonuje się w formach określonych w art. 410c oraz w art. 411 ust. 1 pkt 1 lub 2, ust. 10 lub ust. 10f ustawy z dnia 27 kwietnia 2001 r. – Prawo ochrony środowiska.  </w:t>
            </w:r>
          </w:p>
          <w:p w14:paraId="4EAE1DF5" w14:textId="77777777" w:rsidR="00F434FA" w:rsidRPr="00A02C6C" w:rsidRDefault="00F434FA" w:rsidP="00F434FA">
            <w:pPr>
              <w:pStyle w:val="ZARTzmartartykuempunktem"/>
            </w:pPr>
            <w:r>
              <w:t xml:space="preserve">2. </w:t>
            </w:r>
            <w:r w:rsidRPr="003A4538">
              <w:t>W zakresie, w jakim dofinansowanie stanowi pomoc publiczną w rozumieniu art.107 ust.1 Traktatu o funkcjonowaniu Unii Europejskiej, zastosowanie mają szczegółowe warunki udzielania tej pomocy lub pomocy de minimis</w:t>
            </w:r>
            <w:r w:rsidRPr="00A02C6C">
              <w:t>.</w:t>
            </w:r>
          </w:p>
          <w:p w14:paraId="08C0199F" w14:textId="77777777" w:rsidR="00F434FA" w:rsidRPr="00BD133A" w:rsidRDefault="00F434FA" w:rsidP="00F434FA">
            <w:pPr>
              <w:pStyle w:val="ZARTzmartartykuempunktem"/>
            </w:pPr>
            <w:r w:rsidRPr="00BD133A">
              <w:t xml:space="preserve">Art. 50h. 1 </w:t>
            </w:r>
            <w:r>
              <w:t>O</w:t>
            </w:r>
            <w:r w:rsidRPr="00BD133A">
              <w:t>perator</w:t>
            </w:r>
            <w:r>
              <w:t xml:space="preserve"> Funduszu</w:t>
            </w:r>
            <w:r w:rsidRPr="00BD133A">
              <w:t xml:space="preserve"> organizuje i prowadzi w trybie konkursowym lub ciągłym nabór wniosków o udzielenie dofinansowania ze środków zgromadzonych na Rachunku Funduszu </w:t>
            </w:r>
            <w:r w:rsidRPr="00BD133A">
              <w:lastRenderedPageBreak/>
              <w:t xml:space="preserve">Modernizacyjnego dla inwestycji w ramach Krajowego systemu wdrażania Funduszu Modernizacyjnego. </w:t>
            </w:r>
          </w:p>
          <w:p w14:paraId="4CA3A587" w14:textId="77777777" w:rsidR="00F434FA" w:rsidRPr="00BD133A" w:rsidRDefault="00F434FA" w:rsidP="00F434FA">
            <w:pPr>
              <w:pStyle w:val="ZUSTzmustartykuempunktem"/>
            </w:pPr>
            <w:r w:rsidRPr="00BD133A">
              <w:t xml:space="preserve">2. Ogłoszenie o naborze wniosków i jego warunkach </w:t>
            </w:r>
            <w:r>
              <w:t>O</w:t>
            </w:r>
            <w:r w:rsidRPr="00BD133A">
              <w:t xml:space="preserve">perator </w:t>
            </w:r>
            <w:r>
              <w:t>Funduszu</w:t>
            </w:r>
            <w:r w:rsidRPr="00BD133A">
              <w:t xml:space="preserve"> zamieszcza na swojej stronie internetowej.</w:t>
            </w:r>
          </w:p>
          <w:p w14:paraId="3D1211CC" w14:textId="77777777" w:rsidR="00F434FA" w:rsidRPr="00AB0FDE" w:rsidRDefault="00F434FA" w:rsidP="00F434FA">
            <w:pPr>
              <w:pStyle w:val="ZUSTzmustartykuempunktem"/>
            </w:pPr>
            <w:r w:rsidRPr="00621604">
              <w:t xml:space="preserve">3. </w:t>
            </w:r>
            <w:r>
              <w:t>O</w:t>
            </w:r>
            <w:r w:rsidRPr="00621604">
              <w:t xml:space="preserve">perator </w:t>
            </w:r>
            <w:r>
              <w:t>Funduszu</w:t>
            </w:r>
            <w:r w:rsidRPr="00621604">
              <w:t xml:space="preserve"> ustala regulamin naboru wniosków o dofinansowanie inwestycji ze środków Funduszu Modernizacyjnego i podaje go do publicznej wiadomości na swojej stronie internetowej.</w:t>
            </w:r>
          </w:p>
          <w:p w14:paraId="79418C35" w14:textId="77777777" w:rsidR="00F434FA" w:rsidRPr="00D925A1" w:rsidRDefault="00F434FA" w:rsidP="00F434FA">
            <w:pPr>
              <w:pStyle w:val="ZUSTzmustartykuempunktem"/>
            </w:pPr>
            <w:r w:rsidRPr="00D925A1">
              <w:t>4. Regulamin naboru wniosków powinien zawierać:</w:t>
            </w:r>
          </w:p>
          <w:p w14:paraId="62ACC9EF" w14:textId="77777777" w:rsidR="00F434FA" w:rsidRPr="002C5664" w:rsidRDefault="00F434FA" w:rsidP="00F434FA">
            <w:pPr>
              <w:pStyle w:val="ZPKTzmpktartykuempunktem"/>
            </w:pPr>
            <w:r w:rsidRPr="002C5664">
              <w:t>1)określenie podmiotów mogących ubiegać się o udzielenie dofinansowania ze środków zgromadzonych na Rachunku Funduszu Modernizacyjnego;</w:t>
            </w:r>
          </w:p>
          <w:p w14:paraId="19CBB942" w14:textId="77777777" w:rsidR="00F434FA" w:rsidRPr="00BD133A" w:rsidRDefault="00F434FA" w:rsidP="00F434FA">
            <w:pPr>
              <w:pStyle w:val="ZPKTzmpktartykuempunktem"/>
            </w:pPr>
            <w:r w:rsidRPr="00BD133A">
              <w:t>2) procedurę lub procedury wyboru i kryteria oceny inwestycji;</w:t>
            </w:r>
          </w:p>
          <w:p w14:paraId="378ECDE0" w14:textId="77777777" w:rsidR="00F434FA" w:rsidRPr="00BD133A" w:rsidRDefault="00F434FA" w:rsidP="00F434FA">
            <w:pPr>
              <w:pStyle w:val="ZPKTzmpktartykuempunktem"/>
            </w:pPr>
            <w:r w:rsidRPr="00BD133A">
              <w:t>3) terminy składania wniosków oraz oceny inwestycji;</w:t>
            </w:r>
          </w:p>
          <w:p w14:paraId="7C7CED5A" w14:textId="77777777" w:rsidR="00F434FA" w:rsidRPr="00BD133A" w:rsidRDefault="00F434FA" w:rsidP="00F434FA">
            <w:pPr>
              <w:pStyle w:val="ZPKTzmpktartykuempunktem"/>
            </w:pPr>
            <w:r w:rsidRPr="00BD133A">
              <w:t>4) określenie limitu środków przeznaczonego na dofinansowanie;</w:t>
            </w:r>
          </w:p>
          <w:p w14:paraId="5FAA93DF" w14:textId="77777777" w:rsidR="00F434FA" w:rsidRPr="00BD133A" w:rsidRDefault="00F434FA" w:rsidP="00F434FA">
            <w:pPr>
              <w:pStyle w:val="ZPKTzmpktartykuempunktem"/>
            </w:pPr>
            <w:r w:rsidRPr="00BD133A">
              <w:t>6) wzory formularzy wniosków.</w:t>
            </w:r>
          </w:p>
          <w:p w14:paraId="2DF7CDB8" w14:textId="77777777" w:rsidR="00F434FA" w:rsidRPr="00BD133A" w:rsidRDefault="00F434FA" w:rsidP="00F434FA">
            <w:pPr>
              <w:pStyle w:val="ZUSTzmustartykuempunktem"/>
            </w:pPr>
            <w:r w:rsidRPr="00BD133A">
              <w:t xml:space="preserve">5. </w:t>
            </w:r>
            <w:r>
              <w:t>Operator Funduszu</w:t>
            </w:r>
            <w:r w:rsidRPr="00BD133A">
              <w:t xml:space="preserve"> może zmieniać regulamin naboru wniosków, jeżeli zmiany nie spowodują pogorszenia warunków naboru lub jeżeli konieczność ich wprowadzenia wynika ze zmian przepisów prawa powszechnie obowiązującego.</w:t>
            </w:r>
          </w:p>
          <w:p w14:paraId="169BE16A" w14:textId="77777777" w:rsidR="00F434FA" w:rsidRPr="00D925A1" w:rsidRDefault="00F434FA" w:rsidP="00F434FA">
            <w:pPr>
              <w:pStyle w:val="ZARTzmartartykuempunktem"/>
            </w:pPr>
            <w:r w:rsidRPr="00AC790C">
              <w:t xml:space="preserve">Art. 50i. 1. </w:t>
            </w:r>
            <w:r>
              <w:t>Operator Funduszu</w:t>
            </w:r>
            <w:r w:rsidRPr="00AC790C">
              <w:t xml:space="preserve"> przedstawia Europejskiemu Bankowi Inwestycyjnemu</w:t>
            </w:r>
            <w:r w:rsidRPr="00844425">
              <w:t xml:space="preserve"> </w:t>
            </w:r>
            <w:r w:rsidRPr="00965B49">
              <w:t xml:space="preserve">i Komitetowi Inwestycyjnemu, o którym </w:t>
            </w:r>
            <w:r w:rsidRPr="00965B49">
              <w:lastRenderedPageBreak/>
              <w:t>mowa w art. 10d ust. 5 dyrektywy 2003/87/WE</w:t>
            </w:r>
            <w:r w:rsidRPr="00AC790C">
              <w:t xml:space="preserve"> program priorytetowy, o którym mowa w art. 50c ust. 1</w:t>
            </w:r>
            <w:r>
              <w:t xml:space="preserve"> zaopiniowany przez Radę Konsultacyjną Funduszu Modernizacyjnego</w:t>
            </w:r>
            <w:r w:rsidRPr="001625D4">
              <w:t xml:space="preserve">, dotyczący inwestycji o których </w:t>
            </w:r>
            <w:r w:rsidRPr="00621604">
              <w:t>mowa w art. 50a ust. 1 , w trybie i na zasadach określonych w przepisach wydanych na podstawie art. 10d ust. 12 d</w:t>
            </w:r>
            <w:r w:rsidRPr="00AB0FDE">
              <w:t>yrektywy 2003/87/WE</w:t>
            </w:r>
            <w:r w:rsidRPr="00AB0FDE" w:rsidDel="008F2F4C">
              <w:t xml:space="preserve"> </w:t>
            </w:r>
            <w:r w:rsidRPr="008C710F">
              <w:t>w celu potwierdzenia  zgodności tego programu z art. 10d tej d</w:t>
            </w:r>
            <w:r w:rsidRPr="00D925A1">
              <w:t xml:space="preserve">yrektywy. </w:t>
            </w:r>
          </w:p>
          <w:p w14:paraId="7523639D" w14:textId="77777777" w:rsidR="00F434FA" w:rsidRPr="00965B49" w:rsidRDefault="00F434FA" w:rsidP="00F434FA">
            <w:pPr>
              <w:pStyle w:val="ZARTzmartartykuempunktem"/>
            </w:pPr>
            <w:r w:rsidRPr="002C5664">
              <w:t>2. W przypadku potwierdzenia przez Europejski Bank Inwestycyjny zgodności programu priorytetowego, o którym mowa w art. 50c ust. 1 dotycząc</w:t>
            </w:r>
            <w:r>
              <w:t>ego</w:t>
            </w:r>
            <w:r w:rsidRPr="00965B49">
              <w:t xml:space="preserve"> inwestycji o których mowa w art. 50a ust. 1 pkt 1</w:t>
            </w:r>
            <w:r w:rsidRPr="001625D4">
              <w:t xml:space="preserve">, z art. 10d dyrektywy 2003/87/WE, </w:t>
            </w:r>
            <w:r>
              <w:t>Operator Funduszu</w:t>
            </w:r>
            <w:r w:rsidRPr="00965B49">
              <w:t xml:space="preserve"> przystępuje do realizacji zadań określonych w art. 50e ust. 5 pkt 1, 5 i 6, dotyczących tego programu. </w:t>
            </w:r>
          </w:p>
          <w:p w14:paraId="69B18282" w14:textId="77777777" w:rsidR="00F434FA" w:rsidRPr="00621604" w:rsidRDefault="00F434FA" w:rsidP="00F434FA">
            <w:pPr>
              <w:pStyle w:val="ZARTzmartartykuempunktem"/>
            </w:pPr>
            <w:r w:rsidRPr="00965B49">
              <w:t xml:space="preserve">Art. 50j. 1. </w:t>
            </w:r>
            <w:r>
              <w:t>Operator Funduszu</w:t>
            </w:r>
            <w:r w:rsidRPr="00965B49">
              <w:t xml:space="preserve"> przedstawia Europejskiemu Bankowi Inwestycyjnemu i Komitetowi Inwestycyjnemu, o którym mowa w art. 10d ust. 5 dyrektywy 2003/87/WE, program priorytetowy, o którym mowa w art. 50c ust. 1</w:t>
            </w:r>
            <w:r w:rsidRPr="00EF6867">
              <w:t xml:space="preserve"> zaopiniowany przez Radę Konsultacyjną Funduszu Modernizacyjnego</w:t>
            </w:r>
            <w:r>
              <w:t>,</w:t>
            </w:r>
            <w:r w:rsidRPr="00965B49">
              <w:t xml:space="preserve"> dotyczący inwestycji o których mowa w art. 50a ust. 2, w trybie i na zasadach określonych w przepisach wydanych na podstawie art. 10d ust. 12 </w:t>
            </w:r>
            <w:r w:rsidRPr="00965B49">
              <w:lastRenderedPageBreak/>
              <w:t>d</w:t>
            </w:r>
            <w:r w:rsidRPr="001625D4">
              <w:t>yrektywy 2003/87/WE, w celu dokonania oceny tego  programu i wydania rekomendacji p</w:t>
            </w:r>
            <w:r w:rsidRPr="00621604">
              <w:t>rzez Komitet Inwestycyjny.</w:t>
            </w:r>
          </w:p>
          <w:p w14:paraId="59E89476" w14:textId="77777777" w:rsidR="00F434FA" w:rsidRPr="00965B49" w:rsidRDefault="00F434FA" w:rsidP="00F434FA">
            <w:pPr>
              <w:pStyle w:val="ZARTzmartartykuempunktem"/>
            </w:pPr>
            <w:r w:rsidRPr="00AB0FDE">
              <w:t>2. W przypadku</w:t>
            </w:r>
            <w:r w:rsidRPr="008C710F">
              <w:t xml:space="preserve"> wydania przez Komitet Inwestycyjny rekomendacji dofinansowania</w:t>
            </w:r>
            <w:r w:rsidRPr="00D530CF">
              <w:t xml:space="preserve"> inwestycji</w:t>
            </w:r>
            <w:r w:rsidRPr="0013738D">
              <w:t>,</w:t>
            </w:r>
            <w:r w:rsidRPr="00BD5CDA">
              <w:t xml:space="preserve"> </w:t>
            </w:r>
            <w:r w:rsidRPr="00D81EBB">
              <w:t xml:space="preserve">o których mowa w art. 50a ust. 2, objętych programem priorytetowym, </w:t>
            </w:r>
            <w:r>
              <w:br/>
            </w:r>
            <w:r w:rsidRPr="009950C4">
              <w:t xml:space="preserve">o którym mowa w art. 50c ust. 1,  </w:t>
            </w:r>
            <w:r>
              <w:t>Operator Funduszu</w:t>
            </w:r>
            <w:r w:rsidRPr="00965B49">
              <w:t xml:space="preserve"> przystępuje do realizacji zadań określonych w art. 50e ust. 5 pkt 1, 5 i 6, dotyczących tego programu. </w:t>
            </w:r>
          </w:p>
          <w:p w14:paraId="4A944789" w14:textId="77777777" w:rsidR="00F434FA" w:rsidRPr="00621604" w:rsidRDefault="00F434FA" w:rsidP="00F434FA">
            <w:pPr>
              <w:pStyle w:val="ZARTzmartartykuempunktem"/>
            </w:pPr>
            <w:r w:rsidRPr="00965B49">
              <w:t xml:space="preserve">Art. 50k. 1. Po podjęciu przez Komisję Europejską decyzji dotyczącej wypłacenia środków z Funduszu Modernizacyjnego na realizację programu priorytetowego, o którym mowa w art. 50c ust. 1, </w:t>
            </w:r>
            <w:r>
              <w:t>O</w:t>
            </w:r>
            <w:r w:rsidRPr="00965B49">
              <w:t xml:space="preserve">perator </w:t>
            </w:r>
            <w:r>
              <w:t>Funduszu</w:t>
            </w:r>
            <w:r w:rsidRPr="00965B49">
              <w:t xml:space="preserve"> </w:t>
            </w:r>
            <w:r w:rsidRPr="001625D4">
              <w:t>podejmuje czynności prowadzące do zawarcia umów o dofinansowanie realizacji inwestycji ze środków zgromadzonych na Rachunku Funduszu Modernizacyjnego</w:t>
            </w:r>
            <w:r w:rsidRPr="00621604">
              <w:t>, objętych tych programem.</w:t>
            </w:r>
          </w:p>
          <w:p w14:paraId="3589365A" w14:textId="77777777" w:rsidR="00F434FA" w:rsidRPr="001625D4" w:rsidRDefault="00F434FA" w:rsidP="00F434FA">
            <w:pPr>
              <w:pStyle w:val="ZARTzmartartykuempunktem"/>
            </w:pPr>
            <w:r w:rsidRPr="00AB0FDE">
              <w:t xml:space="preserve">2. W terminie 30 dni od dnia podjęcia decyzji o której mowa w ust. 1, Krajowy </w:t>
            </w:r>
            <w:r>
              <w:t>o</w:t>
            </w:r>
            <w:r w:rsidRPr="001625D4">
              <w:t>perator F</w:t>
            </w:r>
            <w:r>
              <w:t>unduszu</w:t>
            </w:r>
            <w:r w:rsidRPr="001625D4">
              <w:t xml:space="preserve"> składa do Europejskiego Banku Inwestycyjnego wniosek o wypłatę środków na dofinansowanie realizacji inwestycji.</w:t>
            </w:r>
          </w:p>
          <w:p w14:paraId="6BF6DD87" w14:textId="77777777" w:rsidR="00F434FA" w:rsidRPr="00FA4132" w:rsidRDefault="00F434FA" w:rsidP="00F434FA">
            <w:pPr>
              <w:pStyle w:val="ZARTzmartartykuempunktem"/>
            </w:pPr>
            <w:r w:rsidRPr="00FA4132">
              <w:lastRenderedPageBreak/>
              <w:t>Art. 50l. 1.</w:t>
            </w:r>
            <w:r>
              <w:t xml:space="preserve"> </w:t>
            </w:r>
            <w:r w:rsidRPr="00FA4132">
              <w:t>Podstawę dofinansowania realizacji inwestycji stanowi umowa o dofinansowaniu ze środków zgromadzonych na Rachunku Funduszu Modernizacyjnego.</w:t>
            </w:r>
          </w:p>
          <w:p w14:paraId="789D8524" w14:textId="77777777" w:rsidR="00F434FA" w:rsidRPr="00FA4132" w:rsidRDefault="00F434FA" w:rsidP="00F434FA">
            <w:pPr>
              <w:pStyle w:val="ZARTzmartartykuempunktem"/>
            </w:pPr>
            <w:r w:rsidRPr="00FA4132">
              <w:t>2. Umowa, o której mowa w ust. 1, określa w szczególności szczegółowy zakres i częstotliwość składania przez beneficjenta raportów zawierających dane i informacje dotyczące osiągniętych efektów związanych z uniknięciem lub redukcją emisji gazów cieplarnianych, wydatkowania środków uzyskanych z Rachunku Funduszu</w:t>
            </w:r>
            <w:r>
              <w:t xml:space="preserve"> </w:t>
            </w:r>
            <w:r w:rsidRPr="00FA4132">
              <w:t>Modernizacyjnego oraz postępów w realizacji inwestycji.</w:t>
            </w:r>
          </w:p>
          <w:p w14:paraId="4E09B515" w14:textId="77777777" w:rsidR="00F434FA" w:rsidRPr="00FA4132" w:rsidRDefault="00F434FA" w:rsidP="00F434FA">
            <w:pPr>
              <w:pStyle w:val="ZARTzmartartykuempunktem"/>
            </w:pPr>
            <w:r w:rsidRPr="00FA4132">
              <w:t xml:space="preserve">3. </w:t>
            </w:r>
            <w:r>
              <w:t>O</w:t>
            </w:r>
            <w:r w:rsidRPr="00FA4132">
              <w:t xml:space="preserve">perator </w:t>
            </w:r>
            <w:r>
              <w:t>Funduszu</w:t>
            </w:r>
            <w:r w:rsidRPr="00FA4132">
              <w:t xml:space="preserve"> umieszcza na swojej stronie internetowej informację o podmiotach, które zawarły umowy o dofinansowanie ze środków zgromadzonych na Rachunku Funduszu Modernizacyjnego, zwanych dalej "</w:t>
            </w:r>
            <w:r w:rsidRPr="00621604">
              <w:t>„</w:t>
            </w:r>
            <w:r w:rsidRPr="00FA4132">
              <w:t>beneficjentami</w:t>
            </w:r>
            <w:r w:rsidRPr="00621604">
              <w:t>”</w:t>
            </w:r>
            <w:r w:rsidRPr="00FA4132">
              <w:t>.</w:t>
            </w:r>
          </w:p>
          <w:p w14:paraId="6574BBF8" w14:textId="77777777" w:rsidR="00F434FA" w:rsidRPr="002651D9" w:rsidRDefault="00F434FA" w:rsidP="00F434FA">
            <w:pPr>
              <w:pStyle w:val="ZARTzmartartykuempunktem"/>
            </w:pPr>
            <w:r w:rsidRPr="00621604">
              <w:t xml:space="preserve">Art. 50m 1. </w:t>
            </w:r>
            <w:r>
              <w:t>O</w:t>
            </w:r>
            <w:r w:rsidRPr="00FA4132">
              <w:t xml:space="preserve">perator </w:t>
            </w:r>
            <w:r>
              <w:t>Funduszu</w:t>
            </w:r>
            <w:r w:rsidRPr="00FA4132">
              <w:t xml:space="preserve"> </w:t>
            </w:r>
            <w:r w:rsidRPr="002651D9">
              <w:t>opracowuje i przedkłada ministrowi właściwemu do spraw klimatu w terminie do dnia 15 l</w:t>
            </w:r>
            <w:r w:rsidRPr="00AB0FDE">
              <w:t xml:space="preserve">utego każdego roku projekt raportu </w:t>
            </w:r>
            <w:r w:rsidRPr="00D925A1">
              <w:t xml:space="preserve">z realizacji inwestycji dofinansowanych ze środków zgromadzonych na Rachunku Funduszu Modernizacyjnego oraz osiąganych efektów rzeczowych i ekologicznych </w:t>
            </w:r>
            <w:r w:rsidRPr="002651D9">
              <w:t>w roku poprzednim.</w:t>
            </w:r>
          </w:p>
          <w:p w14:paraId="4A5C1506" w14:textId="77777777" w:rsidR="00F434FA" w:rsidRPr="002651D9" w:rsidRDefault="00F434FA" w:rsidP="00F434FA">
            <w:pPr>
              <w:pStyle w:val="ZARTzmartartykuempunktem"/>
            </w:pPr>
            <w:r w:rsidRPr="00F94C6C">
              <w:t xml:space="preserve">2. Projekt raportu, o którym mowa w ust. 1, zawiera w szczególności informacje </w:t>
            </w:r>
            <w:r>
              <w:br/>
            </w:r>
            <w:r w:rsidRPr="002651D9">
              <w:lastRenderedPageBreak/>
              <w:t xml:space="preserve">i dokumenty określone w przepisach wydanych na podstawie art. 10d </w:t>
            </w:r>
            <w:r>
              <w:t>ust</w:t>
            </w:r>
            <w:r w:rsidRPr="002651D9">
              <w:t>. 12 dyrektywy</w:t>
            </w:r>
            <w:r>
              <w:t xml:space="preserve"> </w:t>
            </w:r>
            <w:r w:rsidRPr="002651D9">
              <w:t xml:space="preserve">2003/87/WE. </w:t>
            </w:r>
          </w:p>
          <w:p w14:paraId="499F71A7" w14:textId="77777777" w:rsidR="00F434FA" w:rsidRPr="00D925A1" w:rsidRDefault="00F434FA" w:rsidP="00F434FA">
            <w:pPr>
              <w:pStyle w:val="ZARTzmartartykuempunktem"/>
            </w:pPr>
            <w:bookmarkStart w:id="16" w:name="mip43351271"/>
            <w:bookmarkEnd w:id="16"/>
            <w:r w:rsidRPr="00AB0FDE">
              <w:t xml:space="preserve">3. Minister właściwy do spraw </w:t>
            </w:r>
            <w:r w:rsidRPr="00D530CF">
              <w:t xml:space="preserve">klimatu </w:t>
            </w:r>
            <w:r w:rsidRPr="00BD5CDA">
              <w:t xml:space="preserve">zatwierdza raport </w:t>
            </w:r>
            <w:r w:rsidRPr="004A495F">
              <w:t xml:space="preserve">z realizacji inwestycji dofinansowanych </w:t>
            </w:r>
            <w:r w:rsidRPr="00D925A1">
              <w:t>ze środków zgromadzonych na Rachunku Funduszu Modernizacyjnego oraz osiąganych efektów rzeczowych i ekologicznych.</w:t>
            </w:r>
          </w:p>
          <w:p w14:paraId="04D7F1C8" w14:textId="77777777" w:rsidR="00F434FA" w:rsidRPr="00D925A1" w:rsidRDefault="00F434FA" w:rsidP="00F434FA">
            <w:pPr>
              <w:pStyle w:val="ZARTzmartartykuempunktem"/>
            </w:pPr>
            <w:bookmarkStart w:id="17" w:name="mip43351272"/>
            <w:bookmarkEnd w:id="17"/>
            <w:r w:rsidRPr="00D925A1">
              <w:t>4. Minister właściwy do spraw klimatu przedkłada raport, o którym mowa w ust. 3, Komisji Europejskiej.</w:t>
            </w:r>
            <w:bookmarkStart w:id="18" w:name="mip43351273"/>
            <w:bookmarkEnd w:id="18"/>
          </w:p>
          <w:p w14:paraId="6B633E86" w14:textId="77777777" w:rsidR="00F434FA" w:rsidRPr="00F94C6C" w:rsidRDefault="00F434FA" w:rsidP="00F434FA">
            <w:pPr>
              <w:pStyle w:val="ZARTzmartartykuempunktem"/>
            </w:pPr>
            <w:r w:rsidRPr="00F94C6C">
              <w:t xml:space="preserve">Art. 50n. </w:t>
            </w:r>
            <w:r>
              <w:t>O</w:t>
            </w:r>
            <w:r w:rsidRPr="00F94C6C">
              <w:t xml:space="preserve">perator </w:t>
            </w:r>
            <w:r>
              <w:t xml:space="preserve">Funduszu </w:t>
            </w:r>
            <w:r w:rsidRPr="00F94C6C">
              <w:t>może żądać od beneficjenta niezwłocznego zwrotu całości lub części przyznanych środków lub zawiesić wypłatę kolejnych należności przewidzianych harmonogramem wypłat, jeżeli stwierdzi, że otrzymane przez beneficjenta środki są wykorzystywane niezgodnie z warunkami określonymi w umowie o dofinansowaniu, o której mowa w art. 50l ust. 1</w:t>
            </w:r>
            <w:r>
              <w:t>.</w:t>
            </w:r>
          </w:p>
          <w:p w14:paraId="596295B6" w14:textId="77777777" w:rsidR="00F434FA" w:rsidRDefault="00F434FA" w:rsidP="00F434FA">
            <w:pPr>
              <w:pStyle w:val="ZARTzmartartykuempunktem"/>
            </w:pPr>
            <w:r w:rsidRPr="00F94C6C">
              <w:t>2. Zwrot środków następuje na Rachunek Funduszu Modernizacyjnego.</w:t>
            </w:r>
          </w:p>
          <w:p w14:paraId="36164AD9" w14:textId="77777777" w:rsidR="00F434FA" w:rsidRPr="00F94C6C" w:rsidRDefault="00F434FA" w:rsidP="00F434FA">
            <w:pPr>
              <w:pStyle w:val="ZARTzmartartykuempunktem"/>
            </w:pPr>
            <w:r>
              <w:t>Art. 50o.</w:t>
            </w:r>
            <w:r w:rsidRPr="004A1D50">
              <w:t xml:space="preserve"> Koszty związane z wykonywaniem zadań Operatora </w:t>
            </w:r>
            <w:r>
              <w:t>F</w:t>
            </w:r>
            <w:r w:rsidRPr="004A1D50">
              <w:t xml:space="preserve">unduszu, w tym koszty ponoszone przez wojewódzkie fundusze na wykonywanie czynności składających się na realizację zadań, o których mowa w art. 50e ust. 5, są pokrywane ze środków </w:t>
            </w:r>
            <w:r w:rsidRPr="004A1D50">
              <w:lastRenderedPageBreak/>
              <w:t>zgromadzonych na rachunku bankowym, o którym mowa w art. 49 ust. 2d.</w:t>
            </w:r>
          </w:p>
          <w:p w14:paraId="1042379C" w14:textId="77777777" w:rsidR="00F434FA" w:rsidRPr="00AB0FDE" w:rsidRDefault="00F434FA" w:rsidP="00F434FA">
            <w:pPr>
              <w:pStyle w:val="ZARTzmartartykuempunktem"/>
            </w:pPr>
            <w:r w:rsidRPr="00182308">
              <w:t>Art. 50</w:t>
            </w:r>
            <w:r>
              <w:t>p</w:t>
            </w:r>
            <w:r w:rsidRPr="00182308">
              <w:t xml:space="preserve">. 1. </w:t>
            </w:r>
            <w:r>
              <w:t>Operator Funduszu</w:t>
            </w:r>
            <w:r w:rsidRPr="00182308">
              <w:t xml:space="preserve"> przedkłada ministrowi właściwemu do spraw klimatu w terminie do dnia 30 września każdego roku wykaz planowanych programów priorytetowych przeznaczonych do finansowania ze środków zgromadzonych na rachunku Funduszu Modernizacyjnego, obejmujących dwa następne lata kalendarzowe.</w:t>
            </w:r>
          </w:p>
          <w:p w14:paraId="575C07CE" w14:textId="77777777" w:rsidR="00F434FA" w:rsidRPr="00AB0FDE" w:rsidRDefault="00F434FA" w:rsidP="00F434FA">
            <w:pPr>
              <w:pStyle w:val="ZARTzmartartykuempunktem"/>
            </w:pPr>
            <w:r w:rsidRPr="00AB0FDE">
              <w:t>2. Wykaz, o którym mowa w ust. 1, zawiera informacje wskazane w przepisach wydanych na podstawie art. 10d</w:t>
            </w:r>
            <w:r w:rsidRPr="00D530CF">
              <w:t xml:space="preserve"> ust. 12 d</w:t>
            </w:r>
            <w:r w:rsidRPr="0013738D">
              <w:t>yrektywy 2003/8</w:t>
            </w:r>
            <w:r w:rsidRPr="00F0553D">
              <w:t>7/WE</w:t>
            </w:r>
            <w:r w:rsidRPr="00AB0FDE">
              <w:t>.</w:t>
            </w:r>
          </w:p>
          <w:p w14:paraId="00A44328" w14:textId="77777777" w:rsidR="00F434FA" w:rsidRPr="00F0553D" w:rsidRDefault="00F434FA" w:rsidP="00F434FA">
            <w:pPr>
              <w:pStyle w:val="ZARTzmartartykuempunktem"/>
            </w:pPr>
            <w:r w:rsidRPr="00AB0FDE">
              <w:t>3</w:t>
            </w:r>
            <w:r w:rsidRPr="008C710F">
              <w:t>. Minister właściwy do spraw klimatu przedkłada Europejskiego Bankowi Inwestycyjnemu i Komitetowi Inwestycyjnemu, o którym mowa w art. 10</w:t>
            </w:r>
            <w:r w:rsidRPr="00D925A1">
              <w:t>d ust.</w:t>
            </w:r>
            <w:r w:rsidRPr="002C5664">
              <w:t xml:space="preserve"> 5 dyrektywy 2003/87/WE, wykaz o którym mowa w ust. 1, w trybie i na zasadach przepisów wydanych na podstawie art. 10d </w:t>
            </w:r>
            <w:r>
              <w:t>ust.</w:t>
            </w:r>
            <w:r w:rsidRPr="00F0553D">
              <w:t xml:space="preserve"> 12 dyrektywy2003/87/WE. </w:t>
            </w:r>
          </w:p>
          <w:p w14:paraId="38B0F66D" w14:textId="77777777" w:rsidR="00F434FA" w:rsidRPr="00F0553D" w:rsidRDefault="00F434FA" w:rsidP="00F434FA">
            <w:pPr>
              <w:pStyle w:val="ZARTzmartartykuempunktem"/>
            </w:pPr>
            <w:r w:rsidRPr="00F0553D">
              <w:t>Art. 50</w:t>
            </w:r>
            <w:r>
              <w:t>r</w:t>
            </w:r>
            <w:r w:rsidRPr="00F0553D">
              <w:t>.</w:t>
            </w:r>
            <w:r>
              <w:t xml:space="preserve"> </w:t>
            </w:r>
            <w:r w:rsidRPr="00F0553D">
              <w:t>Minister właściwy do spraw klimatu powołuje przedstawiciela Rzeczpospolitej Polskiej do udziału w pracach Komitetu Inwestycyjnego o którym mowa w art. 10d ust. 5 dyrektywy 2003/87/WE.”</w:t>
            </w:r>
            <w:r>
              <w:t>;</w:t>
            </w:r>
          </w:p>
          <w:p w14:paraId="6CCFA6D1" w14:textId="25E3AB8D" w:rsidR="00E72916" w:rsidRPr="003158EE" w:rsidRDefault="00E72916" w:rsidP="00E72916">
            <w:pPr>
              <w:jc w:val="both"/>
            </w:pPr>
          </w:p>
        </w:tc>
      </w:tr>
      <w:tr w:rsidR="00F837EE" w:rsidRPr="003158EE" w14:paraId="048C8AA8" w14:textId="77777777" w:rsidTr="00E93415">
        <w:tc>
          <w:tcPr>
            <w:tcW w:w="952" w:type="dxa"/>
          </w:tcPr>
          <w:p w14:paraId="7973D057" w14:textId="4B835A6D" w:rsidR="00F837EE" w:rsidRPr="003158EE" w:rsidRDefault="00F837EE" w:rsidP="000672D3">
            <w:pPr>
              <w:pStyle w:val="Default"/>
              <w:jc w:val="center"/>
            </w:pPr>
            <w:r w:rsidRPr="003158EE">
              <w:lastRenderedPageBreak/>
              <w:t>Art. 1 pkt 17</w:t>
            </w:r>
          </w:p>
        </w:tc>
        <w:tc>
          <w:tcPr>
            <w:tcW w:w="5074" w:type="dxa"/>
          </w:tcPr>
          <w:p w14:paraId="054B2324" w14:textId="77777777" w:rsidR="00F837EE" w:rsidRPr="003158EE" w:rsidRDefault="00F837EE" w:rsidP="00ED6B89">
            <w:pPr>
              <w:jc w:val="both"/>
              <w:rPr>
                <w:vanish/>
              </w:rPr>
            </w:pPr>
          </w:p>
          <w:p w14:paraId="19365219" w14:textId="77777777" w:rsidR="00ED6B89" w:rsidRPr="003158EE" w:rsidRDefault="00ED6B89" w:rsidP="00ED6B89">
            <w:pPr>
              <w:jc w:val="both"/>
            </w:pPr>
            <w:r w:rsidRPr="003158EE">
              <w:t>Artykuł 11 ust. 1</w:t>
            </w:r>
          </w:p>
          <w:p w14:paraId="53F844CD" w14:textId="77777777" w:rsidR="00ED6B89" w:rsidRPr="003158EE" w:rsidRDefault="00ED6B89" w:rsidP="00ED6B89">
            <w:pPr>
              <w:jc w:val="both"/>
            </w:pPr>
            <w:r w:rsidRPr="003158EE">
              <w:t>„Wykaz instalacji objętych niniejszą dyrektywą na okres pięciu lat rozpoczynający się w dniu 1 stycznia 2021 r. zostanie przedłożony najpóźniej dnia 30 września 2019 r., a wykazy na każdy kolejny okres pięciu lat będą przedkładane co pięć lat po tej dacie. Każdy wykaz zawiera informacje na temat działalności produkcyjnej, transferów ciepła i gazów, wytwarzania energii elektrycznej oraz emisji na poziomie podinstalacji w ciągu pięciu lat kalendarzowych poprzedzających jego przedłożenie. Bezpłatne uprawnienia przydziela się jedynie instalacjom, co do których dostarczone zostały te informacje.”;</w:t>
            </w:r>
          </w:p>
          <w:p w14:paraId="2E8FD10E" w14:textId="77777777" w:rsidR="00F837EE" w:rsidRPr="003158EE" w:rsidRDefault="00F837EE" w:rsidP="000672D3">
            <w:pPr>
              <w:rPr>
                <w:vanish/>
              </w:rPr>
            </w:pPr>
          </w:p>
          <w:p w14:paraId="5E53C9AB" w14:textId="77777777" w:rsidR="00F837EE" w:rsidRPr="003158EE" w:rsidRDefault="00F837EE" w:rsidP="000672D3">
            <w:pPr>
              <w:rPr>
                <w:vanish/>
              </w:rPr>
            </w:pPr>
          </w:p>
          <w:p w14:paraId="4F6C9F2E" w14:textId="77777777" w:rsidR="00F837EE" w:rsidRPr="003158EE" w:rsidRDefault="00F837EE" w:rsidP="000672D3">
            <w:pPr>
              <w:rPr>
                <w:vanish/>
              </w:rPr>
            </w:pPr>
          </w:p>
          <w:p w14:paraId="15237D6F" w14:textId="77777777" w:rsidR="00F837EE" w:rsidRPr="003158EE" w:rsidRDefault="00F837EE" w:rsidP="000672D3">
            <w:pPr>
              <w:rPr>
                <w:vanish/>
              </w:rPr>
            </w:pPr>
          </w:p>
          <w:tbl>
            <w:tblPr>
              <w:tblW w:w="318" w:type="dxa"/>
              <w:tblCellSpacing w:w="0" w:type="dxa"/>
              <w:tblLayout w:type="fixed"/>
              <w:tblCellMar>
                <w:left w:w="0" w:type="dxa"/>
                <w:right w:w="0" w:type="dxa"/>
              </w:tblCellMar>
              <w:tblLook w:val="04A0" w:firstRow="1" w:lastRow="0" w:firstColumn="1" w:lastColumn="0" w:noHBand="0" w:noVBand="1"/>
            </w:tblPr>
            <w:tblGrid>
              <w:gridCol w:w="318"/>
            </w:tblGrid>
            <w:tr w:rsidR="00F837EE" w:rsidRPr="003158EE" w14:paraId="5D6C9D98" w14:textId="77777777" w:rsidTr="000672D3">
              <w:trPr>
                <w:tblCellSpacing w:w="0" w:type="dxa"/>
              </w:trPr>
              <w:tc>
                <w:tcPr>
                  <w:tcW w:w="318" w:type="dxa"/>
                  <w:shd w:val="clear" w:color="auto" w:fill="auto"/>
                </w:tcPr>
                <w:p w14:paraId="0D8FB703" w14:textId="77777777" w:rsidR="00F837EE" w:rsidRPr="003158EE" w:rsidRDefault="00F837EE" w:rsidP="000672D3">
                  <w:pPr>
                    <w:pStyle w:val="Normalny4"/>
                    <w:spacing w:before="0" w:beforeAutospacing="0" w:after="0" w:afterAutospacing="0"/>
                    <w:jc w:val="both"/>
                    <w:rPr>
                      <w:color w:val="000000"/>
                    </w:rPr>
                  </w:pPr>
                </w:p>
              </w:tc>
            </w:tr>
          </w:tbl>
          <w:p w14:paraId="2AE6B034" w14:textId="77777777" w:rsidR="00F837EE" w:rsidRPr="003158EE" w:rsidRDefault="00F837EE" w:rsidP="000672D3">
            <w:pPr>
              <w:rPr>
                <w:vanish/>
              </w:rPr>
            </w:pPr>
          </w:p>
          <w:p w14:paraId="6F028884" w14:textId="77777777" w:rsidR="00F837EE" w:rsidRPr="003158EE" w:rsidRDefault="00F837EE" w:rsidP="000672D3">
            <w:pPr>
              <w:rPr>
                <w:vanish/>
              </w:rPr>
            </w:pPr>
          </w:p>
          <w:p w14:paraId="4F3C10AF" w14:textId="77777777" w:rsidR="00F837EE" w:rsidRPr="003158EE" w:rsidRDefault="00F837EE" w:rsidP="000672D3">
            <w:pPr>
              <w:rPr>
                <w:vanish/>
              </w:rPr>
            </w:pPr>
          </w:p>
          <w:p w14:paraId="4E58F698" w14:textId="77777777" w:rsidR="00F837EE" w:rsidRPr="003158EE" w:rsidRDefault="00F837EE" w:rsidP="000672D3">
            <w:pPr>
              <w:rPr>
                <w:vanish/>
              </w:rPr>
            </w:pPr>
          </w:p>
          <w:p w14:paraId="45F90A12" w14:textId="77777777" w:rsidR="00F837EE" w:rsidRPr="003158EE" w:rsidRDefault="00F837EE" w:rsidP="000672D3">
            <w:pPr>
              <w:rPr>
                <w:vanish/>
              </w:rPr>
            </w:pPr>
          </w:p>
          <w:p w14:paraId="7E04411B" w14:textId="77777777" w:rsidR="00F837EE" w:rsidRPr="003158EE" w:rsidRDefault="00F837EE" w:rsidP="000672D3">
            <w:pPr>
              <w:jc w:val="both"/>
            </w:pPr>
          </w:p>
        </w:tc>
        <w:tc>
          <w:tcPr>
            <w:tcW w:w="596" w:type="dxa"/>
          </w:tcPr>
          <w:p w14:paraId="0442B095" w14:textId="77777777" w:rsidR="00F837EE" w:rsidRPr="003158EE" w:rsidRDefault="00F837EE" w:rsidP="000672D3">
            <w:pPr>
              <w:pStyle w:val="Default"/>
              <w:jc w:val="both"/>
              <w:rPr>
                <w:b/>
              </w:rPr>
            </w:pPr>
            <w:r w:rsidRPr="003158EE">
              <w:rPr>
                <w:b/>
              </w:rPr>
              <w:t>T</w:t>
            </w:r>
          </w:p>
        </w:tc>
        <w:tc>
          <w:tcPr>
            <w:tcW w:w="7342" w:type="dxa"/>
          </w:tcPr>
          <w:p w14:paraId="1D01E36B" w14:textId="77777777" w:rsidR="00E72916" w:rsidRPr="00F1018B" w:rsidRDefault="00E72916" w:rsidP="001209CD">
            <w:pPr>
              <w:pStyle w:val="LITlitera"/>
              <w:ind w:left="0" w:firstLine="0"/>
              <w:rPr>
                <w:sz w:val="24"/>
                <w:szCs w:val="24"/>
              </w:rPr>
            </w:pPr>
            <w:r w:rsidRPr="00F1018B">
              <w:rPr>
                <w:sz w:val="24"/>
                <w:szCs w:val="24"/>
              </w:rPr>
              <w:t>Przepis dyrektywy został w pełni implementowany do polskiego prawa.</w:t>
            </w:r>
          </w:p>
          <w:p w14:paraId="6C7E31D9" w14:textId="77777777" w:rsidR="00E72916" w:rsidRDefault="00E72916" w:rsidP="001209CD">
            <w:pPr>
              <w:pStyle w:val="LITlitera"/>
              <w:spacing w:line="240" w:lineRule="auto"/>
              <w:ind w:left="0" w:firstLine="0"/>
              <w:rPr>
                <w:rFonts w:ascii="Times New Roman" w:hAnsi="Times New Roman"/>
                <w:sz w:val="24"/>
                <w:szCs w:val="24"/>
              </w:rPr>
            </w:pPr>
            <w:r>
              <w:rPr>
                <w:rFonts w:ascii="Times New Roman" w:hAnsi="Times New Roman"/>
                <w:sz w:val="24"/>
                <w:szCs w:val="24"/>
              </w:rPr>
              <w:t>Ustawa</w:t>
            </w:r>
            <w:r w:rsidRPr="00AA08D0">
              <w:rPr>
                <w:rFonts w:ascii="Times New Roman" w:hAnsi="Times New Roman"/>
                <w:sz w:val="24"/>
                <w:szCs w:val="24"/>
              </w:rPr>
              <w:t xml:space="preserve"> z dnia 4 lipca 2019 r. o zmianie ustawy o systemie handlu uprawnieniami do emisji gazów cieplarnianych i niektórych innych ustaw (Dz. U. poz. 1501</w:t>
            </w:r>
          </w:p>
          <w:p w14:paraId="1B37CD5E" w14:textId="77777777" w:rsidR="00095BDA" w:rsidRDefault="00095BDA" w:rsidP="00095BDA">
            <w:pPr>
              <w:pStyle w:val="ZTIRDZPRZEDMzmprzedmdziautiret"/>
              <w:spacing w:line="240" w:lineRule="auto"/>
              <w:ind w:left="0"/>
              <w:jc w:val="left"/>
              <w:rPr>
                <w:rFonts w:ascii="Times New Roman" w:hAnsi="Times New Roman"/>
                <w:szCs w:val="24"/>
              </w:rPr>
            </w:pPr>
          </w:p>
          <w:p w14:paraId="5D8D4F7F" w14:textId="353707ED" w:rsidR="00095BDA" w:rsidRPr="003158EE" w:rsidRDefault="00095BDA" w:rsidP="00095BDA">
            <w:pPr>
              <w:pStyle w:val="ZTIRDZPRZEDMzmprzedmdziautiret"/>
              <w:spacing w:line="240" w:lineRule="auto"/>
              <w:ind w:left="0"/>
              <w:jc w:val="left"/>
              <w:rPr>
                <w:rFonts w:ascii="Times New Roman" w:hAnsi="Times New Roman"/>
                <w:szCs w:val="24"/>
              </w:rPr>
            </w:pPr>
            <w:r w:rsidRPr="003158EE">
              <w:rPr>
                <w:rFonts w:ascii="Times New Roman" w:hAnsi="Times New Roman"/>
                <w:szCs w:val="24"/>
              </w:rPr>
              <w:t>Art. 1 pkt 16</w:t>
            </w:r>
            <w:r>
              <w:rPr>
                <w:rFonts w:ascii="Times New Roman" w:hAnsi="Times New Roman"/>
                <w:szCs w:val="24"/>
              </w:rPr>
              <w:t>:</w:t>
            </w:r>
            <w:r w:rsidRPr="003158EE">
              <w:rPr>
                <w:rFonts w:ascii="Times New Roman" w:hAnsi="Times New Roman"/>
                <w:szCs w:val="24"/>
              </w:rPr>
              <w:t xml:space="preserve"> po rozdziale 5 dodaje się rozdziały 5a w brzmieniu</w:t>
            </w:r>
          </w:p>
          <w:p w14:paraId="112FA457" w14:textId="77777777" w:rsidR="00095BDA" w:rsidRPr="003158EE" w:rsidRDefault="00095BDA" w:rsidP="00095BDA">
            <w:pPr>
              <w:pStyle w:val="ZROZDZODDZOZNzmoznrozdzoddzartykuempunktem"/>
              <w:rPr>
                <w:rFonts w:ascii="Times New Roman" w:hAnsi="Times New Roman" w:cs="Times New Roman"/>
              </w:rPr>
            </w:pPr>
            <w:r w:rsidRPr="003158EE">
              <w:rPr>
                <w:rFonts w:ascii="Times New Roman" w:hAnsi="Times New Roman" w:cs="Times New Roman"/>
              </w:rPr>
              <w:t>„Rozdział 5a</w:t>
            </w:r>
          </w:p>
          <w:p w14:paraId="6BC051FA" w14:textId="77777777" w:rsidR="00095BDA" w:rsidRPr="003158EE" w:rsidRDefault="00095BDA" w:rsidP="00095BDA">
            <w:pPr>
              <w:pStyle w:val="ZROZDZODDZPRZEDMzmprzedmrozdzoddzartykuempunktem"/>
              <w:rPr>
                <w:rFonts w:ascii="Times New Roman" w:hAnsi="Times New Roman"/>
              </w:rPr>
            </w:pPr>
            <w:r w:rsidRPr="003158EE">
              <w:rPr>
                <w:rFonts w:ascii="Times New Roman" w:hAnsi="Times New Roman"/>
              </w:rPr>
              <w:t xml:space="preserve">Przydział uprawnień do emisji na produkcję inną niż produkcja energii elektrycznej w okresie rozliczeniowym 2021–2030 oraz w kolejnych okresach rozliczeniowych </w:t>
            </w:r>
          </w:p>
          <w:p w14:paraId="7C7E8968" w14:textId="0B8D9533" w:rsidR="00E72916" w:rsidRDefault="00095BDA" w:rsidP="0080658E">
            <w:pPr>
              <w:pStyle w:val="ZARTzmartartykuempunktem"/>
              <w:rPr>
                <w:rFonts w:ascii="Times New Roman" w:hAnsi="Times New Roman" w:cs="Times New Roman"/>
                <w:szCs w:val="24"/>
              </w:rPr>
            </w:pPr>
            <w:r>
              <w:rPr>
                <w:rFonts w:ascii="Times New Roman" w:hAnsi="Times New Roman" w:cs="Times New Roman"/>
                <w:szCs w:val="24"/>
              </w:rPr>
              <w:t>(…)</w:t>
            </w:r>
          </w:p>
          <w:p w14:paraId="2BF1AAC1" w14:textId="77777777" w:rsidR="00E72916" w:rsidRDefault="00E72916" w:rsidP="0080658E">
            <w:pPr>
              <w:pStyle w:val="ZARTzmartartykuempunktem"/>
              <w:rPr>
                <w:rFonts w:ascii="Times New Roman" w:hAnsi="Times New Roman" w:cs="Times New Roman"/>
                <w:szCs w:val="24"/>
              </w:rPr>
            </w:pPr>
          </w:p>
          <w:p w14:paraId="0D7CFCB4" w14:textId="55122514" w:rsidR="0080658E" w:rsidRPr="003158EE" w:rsidRDefault="0080658E" w:rsidP="00095BDA">
            <w:pPr>
              <w:pStyle w:val="ZARTzmartartykuempunktem"/>
              <w:rPr>
                <w:rFonts w:ascii="Times New Roman" w:hAnsi="Times New Roman" w:cs="Times New Roman"/>
                <w:szCs w:val="24"/>
              </w:rPr>
            </w:pPr>
            <w:r w:rsidRPr="003158EE">
              <w:rPr>
                <w:rFonts w:ascii="Times New Roman" w:hAnsi="Times New Roman" w:cs="Times New Roman"/>
                <w:szCs w:val="24"/>
              </w:rPr>
              <w:t>Art. 26d</w:t>
            </w:r>
            <w:r w:rsidR="002355BB" w:rsidRPr="003158EE">
              <w:rPr>
                <w:rFonts w:ascii="Times New Roman" w:hAnsi="Times New Roman" w:cs="Times New Roman"/>
                <w:szCs w:val="24"/>
              </w:rPr>
              <w:t xml:space="preserve"> </w:t>
            </w:r>
            <w:r w:rsidRPr="003158EE">
              <w:rPr>
                <w:rFonts w:ascii="Times New Roman" w:hAnsi="Times New Roman" w:cs="Times New Roman"/>
                <w:szCs w:val="24"/>
              </w:rPr>
              <w:t>1. Krajowy ośrodek przygotowuje projekt wykazu instalacji, dla których planowany jest przydział uprawnień do emisji na produkcję inną niż produkcja energii elektrycznej na okres, na który przydzielane są uprawnienia.</w:t>
            </w:r>
          </w:p>
          <w:p w14:paraId="0EF73E31" w14:textId="77777777" w:rsidR="0080658E" w:rsidRPr="003158EE" w:rsidRDefault="0080658E" w:rsidP="0080658E">
            <w:pPr>
              <w:pStyle w:val="ZUSTzmustartykuempunktem"/>
              <w:rPr>
                <w:rFonts w:ascii="Times New Roman" w:hAnsi="Times New Roman" w:cs="Times New Roman"/>
                <w:szCs w:val="24"/>
              </w:rPr>
            </w:pPr>
            <w:r w:rsidRPr="003158EE">
              <w:rPr>
                <w:rFonts w:ascii="Times New Roman" w:hAnsi="Times New Roman" w:cs="Times New Roman"/>
                <w:szCs w:val="24"/>
              </w:rPr>
              <w:t>2. Krajowy ośrodek przekazuje ministrowi właściwemu do spraw środowiska projekt wykazu, o którym mowa w ust. 1.</w:t>
            </w:r>
          </w:p>
          <w:p w14:paraId="3E198523" w14:textId="77777777" w:rsidR="0080658E" w:rsidRPr="003158EE" w:rsidRDefault="0080658E" w:rsidP="0080658E">
            <w:pPr>
              <w:pStyle w:val="ZUSTzmustartykuempunktem"/>
              <w:rPr>
                <w:rFonts w:ascii="Times New Roman" w:hAnsi="Times New Roman" w:cs="Times New Roman"/>
                <w:szCs w:val="24"/>
              </w:rPr>
            </w:pPr>
            <w:r w:rsidRPr="003158EE">
              <w:rPr>
                <w:rFonts w:ascii="Times New Roman" w:hAnsi="Times New Roman" w:cs="Times New Roman"/>
                <w:szCs w:val="24"/>
              </w:rPr>
              <w:t>3. Minister właściwy do spraw środowiska przekazuje Komisji Europejskiej wykaz instalacji, o którym mowa w ust. 1.</w:t>
            </w:r>
          </w:p>
          <w:p w14:paraId="7415776A" w14:textId="77777777" w:rsidR="0080658E" w:rsidRPr="003158EE" w:rsidRDefault="0080658E" w:rsidP="0080658E">
            <w:pPr>
              <w:pStyle w:val="ZARTzmartartykuempunktem"/>
              <w:rPr>
                <w:rFonts w:ascii="Times New Roman" w:hAnsi="Times New Roman" w:cs="Times New Roman"/>
                <w:szCs w:val="24"/>
              </w:rPr>
            </w:pPr>
            <w:r w:rsidRPr="003158EE">
              <w:rPr>
                <w:rFonts w:ascii="Times New Roman" w:hAnsi="Times New Roman" w:cs="Times New Roman"/>
                <w:szCs w:val="24"/>
              </w:rPr>
              <w:t xml:space="preserve">Art. 26e. 1. Krajowy ośrodek określa dla instalacji wstępną liczbę uprawnień do emisji zgodnie z art. 14 ust. 5 rozporządzenia </w:t>
            </w:r>
            <w:r w:rsidRPr="003158EE">
              <w:rPr>
                <w:rFonts w:ascii="Times New Roman" w:hAnsi="Times New Roman" w:cs="Times New Roman"/>
                <w:szCs w:val="24"/>
              </w:rPr>
              <w:lastRenderedPageBreak/>
              <w:t>Komisji (UE) 2019/331 i przekazuje informację o tej liczbie ministrowi właściwemu do spraw środowiska w celu zgłoszenia Komisji Europejskiej zgodnie z art. 14 ust. 5 tego rozporządzenia.</w:t>
            </w:r>
          </w:p>
          <w:p w14:paraId="76930654" w14:textId="77777777" w:rsidR="0080658E" w:rsidRPr="003158EE" w:rsidRDefault="0080658E" w:rsidP="0080658E">
            <w:pPr>
              <w:pStyle w:val="ZUSTzmustartykuempunktem"/>
              <w:rPr>
                <w:rFonts w:ascii="Times New Roman" w:hAnsi="Times New Roman" w:cs="Times New Roman"/>
                <w:szCs w:val="24"/>
              </w:rPr>
            </w:pPr>
            <w:r w:rsidRPr="003158EE">
              <w:rPr>
                <w:rFonts w:ascii="Times New Roman" w:hAnsi="Times New Roman" w:cs="Times New Roman"/>
                <w:szCs w:val="24"/>
              </w:rPr>
              <w:t xml:space="preserve">2. Po określeniu przez Komisję Europejską współczynnika, o którym mowa w art. 14 ust. 6 rozporządzenia Komisji (UE) 2019/331, Krajowy ośrodek oblicza ostateczną roczną liczbę uprawnień do emisji zgodnie z art. 16 ust. 8 tego rozporządzenia. </w:t>
            </w:r>
          </w:p>
          <w:p w14:paraId="0166C938" w14:textId="5A3FAAD1" w:rsidR="0080658E" w:rsidRPr="003158EE" w:rsidRDefault="0080658E" w:rsidP="0080658E">
            <w:pPr>
              <w:pStyle w:val="ZUSTzmustartykuempunktem"/>
              <w:rPr>
                <w:rFonts w:ascii="Times New Roman" w:hAnsi="Times New Roman" w:cs="Times New Roman"/>
                <w:szCs w:val="24"/>
              </w:rPr>
            </w:pPr>
            <w:r w:rsidRPr="003158EE">
              <w:rPr>
                <w:rFonts w:ascii="Times New Roman" w:hAnsi="Times New Roman" w:cs="Times New Roman"/>
                <w:szCs w:val="24"/>
              </w:rPr>
              <w:t>3. Minister właściwy do spraw środowiska ogłasza w Biuletynie Informacji Publicznej na stronie podmiotowej urzędu obsługującego tego ministra ostateczną roczną liczbę uprawnień do emisji obliczoną zgodnie z art. 16 ust. 8 rozporządzenia Komisji (UE) 2019/331.</w:t>
            </w:r>
            <w:r w:rsidR="00095BDA">
              <w:rPr>
                <w:rFonts w:ascii="Times New Roman" w:hAnsi="Times New Roman" w:cs="Times New Roman"/>
                <w:szCs w:val="24"/>
              </w:rPr>
              <w:t>(…)”</w:t>
            </w:r>
          </w:p>
          <w:p w14:paraId="5F4210D4" w14:textId="77777777" w:rsidR="00F837EE" w:rsidRPr="003158EE" w:rsidRDefault="00F837EE" w:rsidP="000672D3">
            <w:pPr>
              <w:pStyle w:val="ZPKTzmpktartykuempunktem"/>
              <w:spacing w:line="240" w:lineRule="auto"/>
              <w:ind w:left="510"/>
              <w:rPr>
                <w:rFonts w:ascii="Times New Roman" w:hAnsi="Times New Roman" w:cs="Times New Roman"/>
                <w:szCs w:val="24"/>
              </w:rPr>
            </w:pPr>
          </w:p>
        </w:tc>
      </w:tr>
      <w:tr w:rsidR="00ED0F69" w:rsidRPr="003158EE" w14:paraId="478A429D" w14:textId="77777777" w:rsidTr="00E93415">
        <w:tc>
          <w:tcPr>
            <w:tcW w:w="952" w:type="dxa"/>
          </w:tcPr>
          <w:p w14:paraId="0633954E" w14:textId="060D9820" w:rsidR="00ED0F69" w:rsidRPr="003158EE" w:rsidRDefault="00ED0F69" w:rsidP="000672D3">
            <w:pPr>
              <w:pStyle w:val="Default"/>
              <w:jc w:val="center"/>
            </w:pPr>
            <w:r w:rsidRPr="003158EE">
              <w:lastRenderedPageBreak/>
              <w:t>Art. 1 pkt 18</w:t>
            </w:r>
          </w:p>
        </w:tc>
        <w:tc>
          <w:tcPr>
            <w:tcW w:w="5074" w:type="dxa"/>
          </w:tcPr>
          <w:p w14:paraId="03F3789A" w14:textId="09EBFED8" w:rsidR="00ED0F69" w:rsidRPr="003158EE" w:rsidRDefault="00C14CEE" w:rsidP="00ED6B89">
            <w:pPr>
              <w:jc w:val="both"/>
              <w:rPr>
                <w:vanish/>
              </w:rPr>
            </w:pPr>
            <w:r w:rsidRPr="003158EE">
              <w:t>18) skreśla się art. 11a ust. 8 i 9;</w:t>
            </w:r>
          </w:p>
        </w:tc>
        <w:tc>
          <w:tcPr>
            <w:tcW w:w="596" w:type="dxa"/>
          </w:tcPr>
          <w:p w14:paraId="2E666651" w14:textId="5887B6D6" w:rsidR="00ED0F69" w:rsidRPr="003158EE" w:rsidRDefault="00C14CEE" w:rsidP="000672D3">
            <w:pPr>
              <w:pStyle w:val="Default"/>
              <w:jc w:val="both"/>
              <w:rPr>
                <w:b/>
              </w:rPr>
            </w:pPr>
            <w:r w:rsidRPr="003158EE">
              <w:rPr>
                <w:b/>
              </w:rPr>
              <w:t>N</w:t>
            </w:r>
          </w:p>
        </w:tc>
        <w:tc>
          <w:tcPr>
            <w:tcW w:w="7342" w:type="dxa"/>
          </w:tcPr>
          <w:p w14:paraId="296FF803" w14:textId="77777777" w:rsidR="00ED0F69" w:rsidRPr="003158EE" w:rsidRDefault="00ED0F69" w:rsidP="0080658E">
            <w:pPr>
              <w:pStyle w:val="ZARTzmartartykuempunktem"/>
              <w:rPr>
                <w:rFonts w:ascii="Times New Roman" w:hAnsi="Times New Roman" w:cs="Times New Roman"/>
                <w:szCs w:val="24"/>
              </w:rPr>
            </w:pPr>
          </w:p>
        </w:tc>
      </w:tr>
      <w:tr w:rsidR="00C14CEE" w:rsidRPr="003158EE" w14:paraId="23CCDA87" w14:textId="77777777" w:rsidTr="00E93415">
        <w:tc>
          <w:tcPr>
            <w:tcW w:w="952" w:type="dxa"/>
          </w:tcPr>
          <w:p w14:paraId="2B20A3AA" w14:textId="081C7156" w:rsidR="00C14CEE" w:rsidRPr="003158EE" w:rsidRDefault="00C14CEE" w:rsidP="000672D3">
            <w:pPr>
              <w:pStyle w:val="Default"/>
              <w:jc w:val="center"/>
            </w:pPr>
            <w:r w:rsidRPr="003158EE">
              <w:t>Art. 1 pkt 19</w:t>
            </w:r>
          </w:p>
        </w:tc>
        <w:tc>
          <w:tcPr>
            <w:tcW w:w="5074" w:type="dxa"/>
          </w:tcPr>
          <w:p w14:paraId="1E336DC0" w14:textId="6694B239" w:rsidR="00C14CEE" w:rsidRPr="003158EE" w:rsidRDefault="00C14CEE" w:rsidP="00C14CEE">
            <w:pPr>
              <w:jc w:val="both"/>
            </w:pPr>
            <w:r w:rsidRPr="003158EE">
              <w:t>19) skreśla się art. 11b ust. 7;</w:t>
            </w:r>
          </w:p>
        </w:tc>
        <w:tc>
          <w:tcPr>
            <w:tcW w:w="596" w:type="dxa"/>
          </w:tcPr>
          <w:p w14:paraId="3606330C" w14:textId="3D9C637C" w:rsidR="00C14CEE" w:rsidRPr="003158EE" w:rsidRDefault="00C14CEE" w:rsidP="000672D3">
            <w:pPr>
              <w:pStyle w:val="Default"/>
              <w:jc w:val="both"/>
              <w:rPr>
                <w:b/>
              </w:rPr>
            </w:pPr>
            <w:r w:rsidRPr="003158EE">
              <w:rPr>
                <w:b/>
              </w:rPr>
              <w:t>N</w:t>
            </w:r>
          </w:p>
        </w:tc>
        <w:tc>
          <w:tcPr>
            <w:tcW w:w="7342" w:type="dxa"/>
          </w:tcPr>
          <w:p w14:paraId="26E11419" w14:textId="77777777" w:rsidR="00C14CEE" w:rsidRPr="003158EE" w:rsidRDefault="00C14CEE" w:rsidP="0080658E">
            <w:pPr>
              <w:pStyle w:val="ZARTzmartartykuempunktem"/>
              <w:rPr>
                <w:rFonts w:ascii="Times New Roman" w:hAnsi="Times New Roman" w:cs="Times New Roman"/>
                <w:szCs w:val="24"/>
              </w:rPr>
            </w:pPr>
          </w:p>
        </w:tc>
      </w:tr>
      <w:tr w:rsidR="00C14CEE" w:rsidRPr="003158EE" w14:paraId="40FF8884" w14:textId="77777777" w:rsidTr="00E93415">
        <w:tc>
          <w:tcPr>
            <w:tcW w:w="952" w:type="dxa"/>
          </w:tcPr>
          <w:p w14:paraId="7DAF57B5" w14:textId="32215280" w:rsidR="00C14CEE" w:rsidRPr="003158EE" w:rsidRDefault="00C14CEE" w:rsidP="000672D3">
            <w:pPr>
              <w:pStyle w:val="Default"/>
              <w:jc w:val="center"/>
            </w:pPr>
            <w:r w:rsidRPr="003158EE">
              <w:t>Art. 1 pkt 20</w:t>
            </w:r>
          </w:p>
        </w:tc>
        <w:tc>
          <w:tcPr>
            <w:tcW w:w="5074" w:type="dxa"/>
          </w:tcPr>
          <w:p w14:paraId="348E1D82" w14:textId="0F1AD12D" w:rsidR="00DD36AF" w:rsidRPr="003158EE" w:rsidRDefault="00DD36AF" w:rsidP="00DD36AF">
            <w:pPr>
              <w:jc w:val="both"/>
            </w:pPr>
            <w:r w:rsidRPr="003158EE">
              <w:t>20) w art. 12 ust. 4 dodaje się następujące zdania:</w:t>
            </w:r>
          </w:p>
          <w:p w14:paraId="4AC4B69C" w14:textId="4B0ED73F" w:rsidR="00C14CEE" w:rsidRPr="003158EE" w:rsidRDefault="00DD36AF" w:rsidP="00DD36AF">
            <w:pPr>
              <w:jc w:val="both"/>
            </w:pPr>
            <w:r w:rsidRPr="003158EE">
              <w:t xml:space="preserve">„W przypadku likwidacji mocy wytwórczych na ich terytorium – z powodu dodatkowych środków krajowych – państwa członkowskie mogą anulować uprawnienia z całkowitej liczby uprawnień, które mają zostać sprzedane na aukcji przez państwa członkowskie, o której to liczbie mowa w art. 10 ust. 2, w maksymalnej liczbie odpowiadającej średniej zweryfikowanych emisji z danej instalacji w okresie pięciu lat przed likwidacją. Dane państwo członkowskie informuje </w:t>
            </w:r>
            <w:r w:rsidRPr="003158EE">
              <w:lastRenderedPageBreak/>
              <w:t>Komisję o takim planowanym anulowaniu zgodnie z aktami delegowanymi przyjętymi na podstawie art. 10 ust. 4.”;</w:t>
            </w:r>
          </w:p>
        </w:tc>
        <w:tc>
          <w:tcPr>
            <w:tcW w:w="596" w:type="dxa"/>
          </w:tcPr>
          <w:p w14:paraId="779E6240" w14:textId="12D7577C" w:rsidR="00C14CEE" w:rsidRPr="003158EE" w:rsidRDefault="00DD36AF" w:rsidP="000672D3">
            <w:pPr>
              <w:pStyle w:val="Default"/>
              <w:jc w:val="both"/>
              <w:rPr>
                <w:b/>
              </w:rPr>
            </w:pPr>
            <w:r w:rsidRPr="003158EE">
              <w:rPr>
                <w:b/>
              </w:rPr>
              <w:lastRenderedPageBreak/>
              <w:t>N</w:t>
            </w:r>
          </w:p>
        </w:tc>
        <w:tc>
          <w:tcPr>
            <w:tcW w:w="7342" w:type="dxa"/>
          </w:tcPr>
          <w:p w14:paraId="122C1A74" w14:textId="1703415F" w:rsidR="00DD36AF" w:rsidRPr="003158EE" w:rsidRDefault="00DD36AF" w:rsidP="0080658E">
            <w:pPr>
              <w:pStyle w:val="ZARTzmartartykuempunktem"/>
              <w:rPr>
                <w:rFonts w:ascii="Times New Roman" w:hAnsi="Times New Roman" w:cs="Times New Roman"/>
                <w:szCs w:val="24"/>
              </w:rPr>
            </w:pPr>
          </w:p>
        </w:tc>
      </w:tr>
      <w:tr w:rsidR="00F837EE" w:rsidRPr="003158EE" w14:paraId="43868B05" w14:textId="77777777" w:rsidTr="00E93415">
        <w:tc>
          <w:tcPr>
            <w:tcW w:w="952" w:type="dxa"/>
          </w:tcPr>
          <w:p w14:paraId="1EB014B8" w14:textId="77777777" w:rsidR="00F837EE" w:rsidRPr="003158EE" w:rsidRDefault="00F837EE" w:rsidP="000672D3">
            <w:pPr>
              <w:pStyle w:val="Default"/>
              <w:jc w:val="center"/>
            </w:pPr>
            <w:r w:rsidRPr="003158EE">
              <w:lastRenderedPageBreak/>
              <w:t>Art. 1 pkt 21</w:t>
            </w:r>
          </w:p>
          <w:p w14:paraId="64178778" w14:textId="77777777" w:rsidR="00F837EE" w:rsidRPr="003158EE" w:rsidRDefault="00F837EE" w:rsidP="000672D3">
            <w:pPr>
              <w:pStyle w:val="Default"/>
              <w:jc w:val="center"/>
            </w:pPr>
          </w:p>
        </w:tc>
        <w:tc>
          <w:tcPr>
            <w:tcW w:w="5074" w:type="dxa"/>
          </w:tcPr>
          <w:p w14:paraId="75B5025F" w14:textId="77777777" w:rsidR="00F837EE" w:rsidRPr="003158EE" w:rsidRDefault="00F837EE" w:rsidP="000672D3">
            <w:pPr>
              <w:autoSpaceDE w:val="0"/>
              <w:autoSpaceDN w:val="0"/>
              <w:adjustRightInd w:val="0"/>
              <w:jc w:val="both"/>
            </w:pPr>
            <w:r w:rsidRPr="003158EE">
              <w:t>„Artykuł 13</w:t>
            </w:r>
          </w:p>
          <w:p w14:paraId="3C28F969" w14:textId="77777777" w:rsidR="00F837EE" w:rsidRPr="003158EE" w:rsidRDefault="00F837EE" w:rsidP="000672D3">
            <w:pPr>
              <w:autoSpaceDE w:val="0"/>
              <w:autoSpaceDN w:val="0"/>
              <w:adjustRightInd w:val="0"/>
              <w:jc w:val="both"/>
            </w:pPr>
            <w:r w:rsidRPr="003158EE">
              <w:t>Ważność uprawnień</w:t>
            </w:r>
          </w:p>
          <w:p w14:paraId="0AF51793" w14:textId="77777777" w:rsidR="00F837EE" w:rsidRPr="003158EE" w:rsidRDefault="00F837EE" w:rsidP="000672D3">
            <w:pPr>
              <w:jc w:val="both"/>
            </w:pPr>
            <w:r w:rsidRPr="003158EE">
              <w:t>Uprawnienia wydawane począwszy od dnia 1 stycznia 2013 r. są ważne bezterminowo. Uprawnienia wydawane począwszy od dnia 1 stycznia 2021 r. zawierają informację wskazującą, w jakim dziesięcioletnim okresie po dniu 1 stycznia 2021 r. zostały wydane, i są ważne w odniesieniu do emisji począwszy od pierwszego roku tego okresu.”;</w:t>
            </w:r>
          </w:p>
        </w:tc>
        <w:tc>
          <w:tcPr>
            <w:tcW w:w="596" w:type="dxa"/>
          </w:tcPr>
          <w:p w14:paraId="7796217D" w14:textId="77777777" w:rsidR="00F837EE" w:rsidRPr="003158EE" w:rsidRDefault="00F837EE" w:rsidP="000672D3">
            <w:pPr>
              <w:pStyle w:val="Default"/>
              <w:jc w:val="both"/>
              <w:rPr>
                <w:b/>
              </w:rPr>
            </w:pPr>
            <w:r w:rsidRPr="003158EE">
              <w:rPr>
                <w:b/>
              </w:rPr>
              <w:t>T</w:t>
            </w:r>
          </w:p>
        </w:tc>
        <w:tc>
          <w:tcPr>
            <w:tcW w:w="7342" w:type="dxa"/>
          </w:tcPr>
          <w:p w14:paraId="04657A39" w14:textId="77777777" w:rsidR="00A2341B" w:rsidRPr="00F1018B" w:rsidRDefault="00A2341B" w:rsidP="00A2341B">
            <w:pPr>
              <w:pStyle w:val="LITlitera"/>
              <w:ind w:left="0" w:firstLine="0"/>
              <w:rPr>
                <w:sz w:val="24"/>
                <w:szCs w:val="24"/>
              </w:rPr>
            </w:pPr>
            <w:r w:rsidRPr="00F1018B">
              <w:rPr>
                <w:sz w:val="24"/>
                <w:szCs w:val="24"/>
              </w:rPr>
              <w:t>Przepis dyrektywy został w pełni implementowany do polskiego prawa.</w:t>
            </w:r>
          </w:p>
          <w:p w14:paraId="440E9A39" w14:textId="4F83A578" w:rsidR="00A2341B" w:rsidRDefault="00A2341B" w:rsidP="00A2341B">
            <w:pPr>
              <w:pStyle w:val="LITlitera"/>
              <w:spacing w:line="240" w:lineRule="auto"/>
              <w:ind w:left="0" w:firstLine="0"/>
              <w:rPr>
                <w:rFonts w:ascii="Times New Roman" w:hAnsi="Times New Roman"/>
                <w:sz w:val="24"/>
                <w:szCs w:val="24"/>
              </w:rPr>
            </w:pPr>
            <w:r>
              <w:rPr>
                <w:rFonts w:ascii="Times New Roman" w:hAnsi="Times New Roman"/>
                <w:sz w:val="24"/>
                <w:szCs w:val="24"/>
              </w:rPr>
              <w:t>Ustawa</w:t>
            </w:r>
            <w:r w:rsidRPr="00AA08D0">
              <w:rPr>
                <w:rFonts w:ascii="Times New Roman" w:hAnsi="Times New Roman"/>
                <w:sz w:val="24"/>
                <w:szCs w:val="24"/>
              </w:rPr>
              <w:t xml:space="preserve"> z dnia 4 lipca 2019 r. o zmianie ustawy o systemie handlu uprawnieniami do emisji gazów cieplarnianych i niektórych innych ustaw (Dz. U. poz. 1501</w:t>
            </w:r>
            <w:r>
              <w:rPr>
                <w:rFonts w:ascii="Times New Roman" w:hAnsi="Times New Roman"/>
                <w:sz w:val="24"/>
                <w:szCs w:val="24"/>
              </w:rPr>
              <w:t>):</w:t>
            </w:r>
          </w:p>
          <w:p w14:paraId="14142E59" w14:textId="77777777" w:rsidR="00A2341B" w:rsidRDefault="00A2341B" w:rsidP="000672D3">
            <w:pPr>
              <w:pStyle w:val="ZPKTzmpktartykuempunktem"/>
              <w:spacing w:line="240" w:lineRule="auto"/>
              <w:ind w:left="510"/>
              <w:rPr>
                <w:rFonts w:ascii="Times New Roman" w:hAnsi="Times New Roman" w:cs="Times New Roman"/>
                <w:szCs w:val="24"/>
              </w:rPr>
            </w:pPr>
          </w:p>
          <w:p w14:paraId="75705B8C" w14:textId="77777777" w:rsidR="00A2341B" w:rsidRDefault="00A2341B" w:rsidP="000672D3">
            <w:pPr>
              <w:pStyle w:val="ZPKTzmpktartykuempunktem"/>
              <w:spacing w:line="240" w:lineRule="auto"/>
              <w:ind w:left="510"/>
              <w:rPr>
                <w:rFonts w:ascii="Times New Roman" w:hAnsi="Times New Roman" w:cs="Times New Roman"/>
                <w:szCs w:val="24"/>
              </w:rPr>
            </w:pPr>
          </w:p>
          <w:p w14:paraId="558FB65D" w14:textId="1062333F" w:rsidR="00F837EE" w:rsidRPr="003158EE" w:rsidRDefault="00F837EE" w:rsidP="000672D3">
            <w:pPr>
              <w:pStyle w:val="ZPKTzmpktartykuempunktem"/>
              <w:spacing w:line="240" w:lineRule="auto"/>
              <w:ind w:left="510"/>
              <w:rPr>
                <w:rFonts w:ascii="Times New Roman" w:hAnsi="Times New Roman" w:cs="Times New Roman"/>
                <w:szCs w:val="24"/>
              </w:rPr>
            </w:pPr>
            <w:r w:rsidRPr="003158EE">
              <w:rPr>
                <w:rFonts w:ascii="Times New Roman" w:hAnsi="Times New Roman" w:cs="Times New Roman"/>
                <w:szCs w:val="24"/>
              </w:rPr>
              <w:t xml:space="preserve">Art. 1 pkt 3) lit. </w:t>
            </w:r>
            <w:r w:rsidR="002355BB" w:rsidRPr="003158EE">
              <w:rPr>
                <w:rFonts w:ascii="Times New Roman" w:hAnsi="Times New Roman" w:cs="Times New Roman"/>
                <w:szCs w:val="24"/>
              </w:rPr>
              <w:t xml:space="preserve">b </w:t>
            </w:r>
            <w:r w:rsidR="00A2341B" w:rsidRPr="00A2341B">
              <w:rPr>
                <w:rFonts w:ascii="Times New Roman" w:hAnsi="Times New Roman" w:cs="Times New Roman"/>
                <w:szCs w:val="24"/>
              </w:rPr>
              <w:t>pkt 12 otrzymuje brzmienie:</w:t>
            </w:r>
          </w:p>
          <w:p w14:paraId="0553F4AA" w14:textId="77777777" w:rsidR="00F837EE" w:rsidRPr="003158EE" w:rsidRDefault="00F837EE" w:rsidP="000672D3">
            <w:pPr>
              <w:pStyle w:val="LITlitera"/>
              <w:spacing w:line="240" w:lineRule="auto"/>
              <w:rPr>
                <w:rFonts w:ascii="Times New Roman" w:hAnsi="Times New Roman"/>
                <w:sz w:val="24"/>
                <w:szCs w:val="24"/>
              </w:rPr>
            </w:pPr>
            <w:r w:rsidRPr="003158EE">
              <w:rPr>
                <w:rFonts w:ascii="Times New Roman" w:hAnsi="Times New Roman"/>
                <w:sz w:val="24"/>
                <w:szCs w:val="24"/>
              </w:rPr>
              <w:t xml:space="preserve">„12) </w:t>
            </w:r>
            <w:r w:rsidR="0080658E" w:rsidRPr="003158EE">
              <w:rPr>
                <w:rFonts w:ascii="Times New Roman" w:hAnsi="Times New Roman"/>
                <w:sz w:val="24"/>
                <w:szCs w:val="24"/>
              </w:rPr>
              <w:tab/>
              <w:t>okresie rozliczeniowym – rozumie się przez to okres od dnia 1 stycznia 2013 r. do dnia 31 grudnia 2020 r. oraz każdy następujący po nim dziesięcioletni okres</w:t>
            </w:r>
            <w:r w:rsidRPr="003158EE">
              <w:rPr>
                <w:rFonts w:ascii="Times New Roman" w:hAnsi="Times New Roman"/>
                <w:sz w:val="24"/>
                <w:szCs w:val="24"/>
              </w:rPr>
              <w:t xml:space="preserve">;”. </w:t>
            </w:r>
          </w:p>
          <w:p w14:paraId="7D730571" w14:textId="77777777" w:rsidR="00A2341B" w:rsidRDefault="00A2341B" w:rsidP="000672D3">
            <w:pPr>
              <w:pStyle w:val="PKTpunkt"/>
              <w:spacing w:line="240" w:lineRule="auto"/>
              <w:rPr>
                <w:rFonts w:ascii="Times New Roman" w:hAnsi="Times New Roman"/>
                <w:sz w:val="24"/>
                <w:szCs w:val="24"/>
              </w:rPr>
            </w:pPr>
          </w:p>
          <w:p w14:paraId="5D4B7F68" w14:textId="2254A346" w:rsidR="002355BB" w:rsidRPr="003158EE" w:rsidRDefault="00F837EE" w:rsidP="000672D3">
            <w:pPr>
              <w:pStyle w:val="PKTpunkt"/>
              <w:spacing w:line="240" w:lineRule="auto"/>
              <w:rPr>
                <w:rFonts w:ascii="Times New Roman" w:hAnsi="Times New Roman"/>
                <w:sz w:val="24"/>
                <w:szCs w:val="24"/>
              </w:rPr>
            </w:pPr>
            <w:r w:rsidRPr="003158EE">
              <w:rPr>
                <w:rFonts w:ascii="Times New Roman" w:hAnsi="Times New Roman"/>
                <w:sz w:val="24"/>
                <w:szCs w:val="24"/>
              </w:rPr>
              <w:t>Art. 1 pkt 10)</w:t>
            </w:r>
            <w:r w:rsidRPr="003158EE">
              <w:rPr>
                <w:rFonts w:ascii="Times New Roman" w:hAnsi="Times New Roman"/>
                <w:sz w:val="24"/>
                <w:szCs w:val="24"/>
              </w:rPr>
              <w:tab/>
            </w:r>
          </w:p>
          <w:p w14:paraId="00DDE04C" w14:textId="6FB3BC4B" w:rsidR="00F837EE" w:rsidRPr="003158EE" w:rsidRDefault="00F837EE" w:rsidP="000672D3">
            <w:pPr>
              <w:pStyle w:val="PKTpunkt"/>
              <w:spacing w:line="240" w:lineRule="auto"/>
              <w:rPr>
                <w:rFonts w:ascii="Times New Roman" w:hAnsi="Times New Roman"/>
                <w:sz w:val="24"/>
                <w:szCs w:val="24"/>
              </w:rPr>
            </w:pPr>
            <w:r w:rsidRPr="003158EE">
              <w:rPr>
                <w:rFonts w:ascii="Times New Roman" w:hAnsi="Times New Roman"/>
                <w:sz w:val="24"/>
                <w:szCs w:val="24"/>
              </w:rPr>
              <w:t>art. 16 otrzymuje brzmienie:</w:t>
            </w:r>
          </w:p>
          <w:p w14:paraId="5AF28279" w14:textId="77777777" w:rsidR="0080658E" w:rsidRPr="003158EE" w:rsidRDefault="0080658E" w:rsidP="0080658E">
            <w:pPr>
              <w:pStyle w:val="ZARTzmartartykuempunktem"/>
              <w:rPr>
                <w:rFonts w:ascii="Times New Roman" w:hAnsi="Times New Roman" w:cs="Times New Roman"/>
                <w:szCs w:val="24"/>
              </w:rPr>
            </w:pPr>
            <w:r w:rsidRPr="003158EE">
              <w:rPr>
                <w:rFonts w:ascii="Times New Roman" w:hAnsi="Times New Roman" w:cs="Times New Roman"/>
                <w:szCs w:val="24"/>
              </w:rPr>
              <w:t xml:space="preserve">„Art. 16. 1. Uprawnienia do emisji utworzone w rejestrze Unii od dnia 1 stycznia 2013 r. są ważne bezterminowo. </w:t>
            </w:r>
          </w:p>
          <w:p w14:paraId="24844502" w14:textId="77777777" w:rsidR="0080658E" w:rsidRPr="003158EE" w:rsidRDefault="0080658E" w:rsidP="0080658E">
            <w:pPr>
              <w:pStyle w:val="ZUSTzmustartykuempunktem"/>
              <w:rPr>
                <w:rFonts w:ascii="Times New Roman" w:hAnsi="Times New Roman" w:cs="Times New Roman"/>
                <w:szCs w:val="24"/>
              </w:rPr>
            </w:pPr>
            <w:r w:rsidRPr="003158EE">
              <w:rPr>
                <w:rFonts w:ascii="Times New Roman" w:hAnsi="Times New Roman" w:cs="Times New Roman"/>
                <w:szCs w:val="24"/>
              </w:rPr>
              <w:t>2. Uprawnienia do emisji utworzone w rejestrze Unii od dnia 1 stycznia 2021 r. zawierają informację wskazującą, w którym dziesięcioletnim okresie od dnia 1 stycznia 2021 r. zostały utworzone.</w:t>
            </w:r>
          </w:p>
          <w:p w14:paraId="015835FF" w14:textId="77777777" w:rsidR="0080658E" w:rsidRPr="003158EE" w:rsidRDefault="0080658E" w:rsidP="0080658E">
            <w:pPr>
              <w:pStyle w:val="ZUSTzmustartykuempunktem"/>
              <w:rPr>
                <w:rFonts w:ascii="Times New Roman" w:hAnsi="Times New Roman" w:cs="Times New Roman"/>
                <w:szCs w:val="24"/>
              </w:rPr>
            </w:pPr>
            <w:r w:rsidRPr="003158EE">
              <w:rPr>
                <w:rFonts w:ascii="Times New Roman" w:hAnsi="Times New Roman" w:cs="Times New Roman"/>
                <w:szCs w:val="24"/>
              </w:rPr>
              <w:t>3. Uprawnienia do emisji, o których mowa w ust. 2, są ważne w odniesieniu do emisji, począwszy od pierwszego roku okresu, o którym mowa w tym przepisie.”;</w:t>
            </w:r>
          </w:p>
          <w:p w14:paraId="301C2A11" w14:textId="77777777" w:rsidR="00F837EE" w:rsidRPr="003158EE" w:rsidRDefault="00F837EE" w:rsidP="000672D3">
            <w:pPr>
              <w:jc w:val="both"/>
            </w:pPr>
          </w:p>
        </w:tc>
      </w:tr>
      <w:tr w:rsidR="00B0062C" w:rsidRPr="003158EE" w14:paraId="62C29984" w14:textId="77777777" w:rsidTr="00E93415">
        <w:tc>
          <w:tcPr>
            <w:tcW w:w="952" w:type="dxa"/>
          </w:tcPr>
          <w:p w14:paraId="52AE0D76" w14:textId="7C52E838" w:rsidR="00B0062C" w:rsidRPr="003158EE" w:rsidRDefault="00B0062C" w:rsidP="000672D3">
            <w:pPr>
              <w:pStyle w:val="Default"/>
              <w:jc w:val="center"/>
            </w:pPr>
            <w:r w:rsidRPr="003158EE">
              <w:t>Art. 1 pkt 22</w:t>
            </w:r>
          </w:p>
        </w:tc>
        <w:tc>
          <w:tcPr>
            <w:tcW w:w="5074" w:type="dxa"/>
          </w:tcPr>
          <w:p w14:paraId="46ED6FBC" w14:textId="67F2595B" w:rsidR="00172F88" w:rsidRPr="003158EE" w:rsidRDefault="00172F88" w:rsidP="00172F88">
            <w:pPr>
              <w:autoSpaceDE w:val="0"/>
              <w:autoSpaceDN w:val="0"/>
              <w:adjustRightInd w:val="0"/>
              <w:jc w:val="both"/>
            </w:pPr>
            <w:r w:rsidRPr="003158EE">
              <w:t>22) art. 14 ust. 1 otrzymuje brzmienie:</w:t>
            </w:r>
          </w:p>
          <w:p w14:paraId="1DE4504C" w14:textId="77777777" w:rsidR="00172F88" w:rsidRPr="003158EE" w:rsidRDefault="00172F88" w:rsidP="00172F88">
            <w:pPr>
              <w:autoSpaceDE w:val="0"/>
              <w:autoSpaceDN w:val="0"/>
              <w:adjustRightInd w:val="0"/>
              <w:jc w:val="both"/>
            </w:pPr>
            <w:r w:rsidRPr="003158EE">
              <w:t xml:space="preserve">„1.   Komisja przyjmuje akty wykonawcze dotyczące szczegółowych ustaleń w sprawie </w:t>
            </w:r>
            <w:r w:rsidRPr="003158EE">
              <w:lastRenderedPageBreak/>
              <w:t>monitorowania i raportowania emisji i, w stosownych przypadkach, związanych z rodzajami działań wymienionymi w załączniku I, w sprawie monitorowania i raportowania danych dotyczących tonokilometrów do celów wniosku na mocy art. 3e lub 3f, opierających się na zasadach monitorowania i raportowania określonych w załączniku IV i wymogach dotyczących monitorowania i raportowania określonych w ust. 2 niniejszego artykułu. Te akty wykonawcze określają także w wymogach dotyczących monitorowania i raportowania potencjał poszczególnych gazów cieplarnianych w zakresie powodowania globalnego efektu cieplarnianego.</w:t>
            </w:r>
          </w:p>
          <w:p w14:paraId="7A4746A6" w14:textId="5AE934A5" w:rsidR="00B0062C" w:rsidRPr="003158EE" w:rsidRDefault="00172F88" w:rsidP="00172F88">
            <w:pPr>
              <w:autoSpaceDE w:val="0"/>
              <w:autoSpaceDN w:val="0"/>
              <w:adjustRightInd w:val="0"/>
              <w:jc w:val="both"/>
            </w:pPr>
            <w:r w:rsidRPr="003158EE">
              <w:t>Te akty wykonawcze przyjmuje się zgodnie z procedurą sprawdzającą, o której mowa w art. 22a ust. 2.”;</w:t>
            </w:r>
          </w:p>
        </w:tc>
        <w:tc>
          <w:tcPr>
            <w:tcW w:w="596" w:type="dxa"/>
          </w:tcPr>
          <w:p w14:paraId="1B6E45E5" w14:textId="575AE3BB" w:rsidR="00B0062C" w:rsidRPr="003158EE" w:rsidRDefault="00172F88" w:rsidP="000672D3">
            <w:pPr>
              <w:pStyle w:val="Default"/>
              <w:jc w:val="both"/>
              <w:rPr>
                <w:b/>
              </w:rPr>
            </w:pPr>
            <w:r w:rsidRPr="003158EE">
              <w:rPr>
                <w:b/>
              </w:rPr>
              <w:lastRenderedPageBreak/>
              <w:t>N</w:t>
            </w:r>
          </w:p>
        </w:tc>
        <w:tc>
          <w:tcPr>
            <w:tcW w:w="7342" w:type="dxa"/>
          </w:tcPr>
          <w:p w14:paraId="707C11C5" w14:textId="77777777" w:rsidR="00B0062C" w:rsidRPr="003158EE" w:rsidRDefault="00B0062C" w:rsidP="000672D3">
            <w:pPr>
              <w:pStyle w:val="ZPKTzmpktartykuempunktem"/>
              <w:spacing w:line="240" w:lineRule="auto"/>
              <w:ind w:left="510"/>
              <w:rPr>
                <w:rFonts w:ascii="Times New Roman" w:hAnsi="Times New Roman" w:cs="Times New Roman"/>
                <w:szCs w:val="24"/>
              </w:rPr>
            </w:pPr>
          </w:p>
        </w:tc>
      </w:tr>
      <w:tr w:rsidR="00A954AB" w:rsidRPr="003158EE" w14:paraId="10E0E6E4" w14:textId="77777777" w:rsidTr="00E93415">
        <w:tc>
          <w:tcPr>
            <w:tcW w:w="952" w:type="dxa"/>
          </w:tcPr>
          <w:p w14:paraId="7C58DB4B" w14:textId="74CE63B3" w:rsidR="00A954AB" w:rsidRPr="003158EE" w:rsidRDefault="00A954AB" w:rsidP="000672D3">
            <w:pPr>
              <w:pStyle w:val="Default"/>
              <w:jc w:val="center"/>
            </w:pPr>
            <w:r w:rsidRPr="003158EE">
              <w:lastRenderedPageBreak/>
              <w:t>Art. 1 pkt 23</w:t>
            </w:r>
          </w:p>
        </w:tc>
        <w:tc>
          <w:tcPr>
            <w:tcW w:w="5074" w:type="dxa"/>
          </w:tcPr>
          <w:p w14:paraId="5935261D" w14:textId="1AF4D9E2" w:rsidR="00A954AB" w:rsidRPr="003158EE" w:rsidRDefault="00A954AB" w:rsidP="00A954AB">
            <w:pPr>
              <w:autoSpaceDE w:val="0"/>
              <w:autoSpaceDN w:val="0"/>
              <w:adjustRightInd w:val="0"/>
              <w:jc w:val="both"/>
            </w:pPr>
            <w:r w:rsidRPr="003158EE">
              <w:t>23) art. 15 ustępy trzeci, czwarty i piąty otrzymują brzmienie:</w:t>
            </w:r>
          </w:p>
          <w:p w14:paraId="670410C8" w14:textId="77777777" w:rsidR="00A954AB" w:rsidRPr="003158EE" w:rsidRDefault="00A954AB" w:rsidP="00A954AB">
            <w:pPr>
              <w:autoSpaceDE w:val="0"/>
              <w:autoSpaceDN w:val="0"/>
              <w:adjustRightInd w:val="0"/>
              <w:jc w:val="both"/>
            </w:pPr>
            <w:r w:rsidRPr="003158EE">
              <w:t>„Komisja przyjmuje akty wykonawcze dotyczące weryfikacji raportów emisji w oparciu o zasady określone w załączniku V oraz w sprawie akredytacji audytorów i nadzoru nad nimi. Komisja może także przyjąć akty wykonawcze dotyczące weryfikacji sprawozdań składanych przez operatorów statków powietrznych na podstawie art. 14 ust. 3 i wniosków na mocy art. 3e i 3f, w tym dotyczące weryfikacji procedur stosowanych przez audytorów. Określa w nich warunki akredytacji i jej cofnięcia, wzajemnego uznawania i wzajemnej oceny jednostek akredytujących, stosownie do przypadku.</w:t>
            </w:r>
          </w:p>
          <w:p w14:paraId="77E1B8F7" w14:textId="2204B83A" w:rsidR="00A954AB" w:rsidRPr="003158EE" w:rsidRDefault="00A954AB" w:rsidP="00A954AB">
            <w:pPr>
              <w:autoSpaceDE w:val="0"/>
              <w:autoSpaceDN w:val="0"/>
              <w:adjustRightInd w:val="0"/>
              <w:jc w:val="both"/>
            </w:pPr>
            <w:r w:rsidRPr="003158EE">
              <w:lastRenderedPageBreak/>
              <w:t>Te akty wykonawcze przyjmuje się zgodnie z procedurą sprawdzającą, o której mowa w art. 22a ust. 2.”;</w:t>
            </w:r>
          </w:p>
        </w:tc>
        <w:tc>
          <w:tcPr>
            <w:tcW w:w="596" w:type="dxa"/>
          </w:tcPr>
          <w:p w14:paraId="2981CB27" w14:textId="3E577AE2" w:rsidR="00A954AB" w:rsidRPr="003158EE" w:rsidRDefault="00A954AB" w:rsidP="000672D3">
            <w:pPr>
              <w:pStyle w:val="Default"/>
              <w:jc w:val="both"/>
              <w:rPr>
                <w:b/>
              </w:rPr>
            </w:pPr>
            <w:r w:rsidRPr="003158EE">
              <w:rPr>
                <w:b/>
              </w:rPr>
              <w:lastRenderedPageBreak/>
              <w:t>N</w:t>
            </w:r>
          </w:p>
        </w:tc>
        <w:tc>
          <w:tcPr>
            <w:tcW w:w="7342" w:type="dxa"/>
          </w:tcPr>
          <w:p w14:paraId="735B4E8A" w14:textId="77777777" w:rsidR="00A954AB" w:rsidRPr="003158EE" w:rsidRDefault="00A954AB" w:rsidP="000672D3">
            <w:pPr>
              <w:pStyle w:val="ZPKTzmpktartykuempunktem"/>
              <w:spacing w:line="240" w:lineRule="auto"/>
              <w:ind w:left="510"/>
              <w:rPr>
                <w:rFonts w:ascii="Times New Roman" w:hAnsi="Times New Roman" w:cs="Times New Roman"/>
                <w:szCs w:val="24"/>
              </w:rPr>
            </w:pPr>
          </w:p>
        </w:tc>
      </w:tr>
      <w:tr w:rsidR="0085409E" w:rsidRPr="003158EE" w14:paraId="1C481C8A" w14:textId="77777777" w:rsidTr="00E93415">
        <w:tc>
          <w:tcPr>
            <w:tcW w:w="952" w:type="dxa"/>
          </w:tcPr>
          <w:p w14:paraId="5E431E68" w14:textId="6AD51D94" w:rsidR="0085409E" w:rsidRPr="003158EE" w:rsidRDefault="0085409E" w:rsidP="000672D3">
            <w:pPr>
              <w:pStyle w:val="Default"/>
              <w:jc w:val="center"/>
            </w:pPr>
            <w:r w:rsidRPr="003158EE">
              <w:lastRenderedPageBreak/>
              <w:t>Art. 1 pkt 24</w:t>
            </w:r>
          </w:p>
        </w:tc>
        <w:tc>
          <w:tcPr>
            <w:tcW w:w="5074" w:type="dxa"/>
          </w:tcPr>
          <w:p w14:paraId="3B6B00DD" w14:textId="322FEC9A" w:rsidR="0085409E" w:rsidRPr="003158EE" w:rsidRDefault="0085409E" w:rsidP="0085409E">
            <w:pPr>
              <w:autoSpaceDE w:val="0"/>
              <w:autoSpaceDN w:val="0"/>
              <w:adjustRightInd w:val="0"/>
              <w:jc w:val="both"/>
            </w:pPr>
            <w:r w:rsidRPr="003158EE">
              <w:t>24) art. 16 ust. 12 otrzymuje brzmienie:</w:t>
            </w:r>
          </w:p>
          <w:p w14:paraId="4FF26C19" w14:textId="130CE745" w:rsidR="0085409E" w:rsidRPr="003158EE" w:rsidRDefault="0085409E" w:rsidP="0085409E">
            <w:pPr>
              <w:autoSpaceDE w:val="0"/>
              <w:autoSpaceDN w:val="0"/>
              <w:adjustRightInd w:val="0"/>
              <w:jc w:val="both"/>
            </w:pPr>
            <w:r w:rsidRPr="003158EE">
              <w:t>„12.   Komisja jest uprawniona do przyjmowania aktów wykonawczych zawierające szczegółowe zasady odnoszące się do procedur, o których mowa w niniejszym artykule. Te akty wykonawcze przyjmuje się zgodnie z procedurą sprawdzającą, o której mowa w art. 22a ust. 2.”;</w:t>
            </w:r>
          </w:p>
        </w:tc>
        <w:tc>
          <w:tcPr>
            <w:tcW w:w="596" w:type="dxa"/>
          </w:tcPr>
          <w:p w14:paraId="2229DFA3" w14:textId="7394969A" w:rsidR="0085409E" w:rsidRPr="003158EE" w:rsidRDefault="0085409E" w:rsidP="000672D3">
            <w:pPr>
              <w:pStyle w:val="Default"/>
              <w:jc w:val="both"/>
              <w:rPr>
                <w:b/>
              </w:rPr>
            </w:pPr>
            <w:r w:rsidRPr="003158EE">
              <w:rPr>
                <w:b/>
              </w:rPr>
              <w:t>N</w:t>
            </w:r>
          </w:p>
        </w:tc>
        <w:tc>
          <w:tcPr>
            <w:tcW w:w="7342" w:type="dxa"/>
          </w:tcPr>
          <w:p w14:paraId="3B7540EA" w14:textId="77777777" w:rsidR="0085409E" w:rsidRPr="003158EE" w:rsidRDefault="0085409E" w:rsidP="000672D3">
            <w:pPr>
              <w:pStyle w:val="ZPKTzmpktartykuempunktem"/>
              <w:spacing w:line="240" w:lineRule="auto"/>
              <w:ind w:left="510"/>
              <w:rPr>
                <w:rFonts w:ascii="Times New Roman" w:hAnsi="Times New Roman" w:cs="Times New Roman"/>
                <w:szCs w:val="24"/>
              </w:rPr>
            </w:pPr>
          </w:p>
        </w:tc>
      </w:tr>
      <w:tr w:rsidR="0085409E" w:rsidRPr="003158EE" w14:paraId="003A73F7" w14:textId="77777777" w:rsidTr="00E93415">
        <w:tc>
          <w:tcPr>
            <w:tcW w:w="952" w:type="dxa"/>
          </w:tcPr>
          <w:p w14:paraId="1AA07872" w14:textId="4DB0A562" w:rsidR="0085409E" w:rsidRPr="003158EE" w:rsidRDefault="0085409E" w:rsidP="000672D3">
            <w:pPr>
              <w:pStyle w:val="Default"/>
              <w:jc w:val="center"/>
            </w:pPr>
            <w:r w:rsidRPr="003158EE">
              <w:t>Art. 1 pkt 25</w:t>
            </w:r>
          </w:p>
        </w:tc>
        <w:tc>
          <w:tcPr>
            <w:tcW w:w="5074" w:type="dxa"/>
          </w:tcPr>
          <w:p w14:paraId="64DA7844" w14:textId="0C5F1F7E" w:rsidR="00582EB2" w:rsidRPr="003158EE" w:rsidRDefault="00582EB2" w:rsidP="00582EB2">
            <w:pPr>
              <w:autoSpaceDE w:val="0"/>
              <w:autoSpaceDN w:val="0"/>
              <w:adjustRightInd w:val="0"/>
              <w:jc w:val="both"/>
            </w:pPr>
            <w:r w:rsidRPr="003158EE">
              <w:t>25) art. 19 ust. 3 otrzymuje brzmienie:</w:t>
            </w:r>
          </w:p>
          <w:p w14:paraId="19397413" w14:textId="2C44C520" w:rsidR="0085409E" w:rsidRPr="003158EE" w:rsidRDefault="00582EB2" w:rsidP="00582EB2">
            <w:pPr>
              <w:autoSpaceDE w:val="0"/>
              <w:autoSpaceDN w:val="0"/>
              <w:adjustRightInd w:val="0"/>
              <w:jc w:val="both"/>
            </w:pPr>
            <w:r w:rsidRPr="003158EE">
              <w:t>„3.   Komisja jest uprawniona do przyjmowania aktów delegowanych zgodnie z art. 23 w celu uzupełnienia niniejszej dyrektywy przez określenie wszystkich niezbędnych wymogów dotyczących rejestru Unii na okres rozliczeniowy rozpoczynający się dnia 1 stycznia 2013 r. i na kolejne okresy w formie standaryzowanych elektronicznych baz danych zawierających wspólne elementy danych umożliwiające śledzenie wydania, posiadania, przeniesienia oraz anulowania, w stosownym przypadku. uprawnień oraz w celu zapewnienia, odpowiednio, publicznego dostępu oraz poufności. Te akty delegowane obejmują również przepisy mające na celu wprowadzenie w życie zasad wzajemnego uznawania uprawnień w umowach w celu powiązania systemów handlu uprawnieniami do emisji.”;</w:t>
            </w:r>
          </w:p>
        </w:tc>
        <w:tc>
          <w:tcPr>
            <w:tcW w:w="596" w:type="dxa"/>
          </w:tcPr>
          <w:p w14:paraId="4C26BB64" w14:textId="3847CAD6" w:rsidR="0085409E" w:rsidRPr="003158EE" w:rsidRDefault="00582EB2" w:rsidP="000672D3">
            <w:pPr>
              <w:pStyle w:val="Default"/>
              <w:jc w:val="both"/>
              <w:rPr>
                <w:b/>
              </w:rPr>
            </w:pPr>
            <w:r w:rsidRPr="003158EE">
              <w:rPr>
                <w:b/>
              </w:rPr>
              <w:t>N</w:t>
            </w:r>
          </w:p>
        </w:tc>
        <w:tc>
          <w:tcPr>
            <w:tcW w:w="7342" w:type="dxa"/>
          </w:tcPr>
          <w:p w14:paraId="04EFD7E7" w14:textId="77777777" w:rsidR="0085409E" w:rsidRPr="003158EE" w:rsidRDefault="0085409E" w:rsidP="000672D3">
            <w:pPr>
              <w:pStyle w:val="ZPKTzmpktartykuempunktem"/>
              <w:spacing w:line="240" w:lineRule="auto"/>
              <w:ind w:left="510"/>
              <w:rPr>
                <w:rFonts w:ascii="Times New Roman" w:hAnsi="Times New Roman" w:cs="Times New Roman"/>
                <w:szCs w:val="24"/>
              </w:rPr>
            </w:pPr>
          </w:p>
        </w:tc>
      </w:tr>
      <w:tr w:rsidR="00582EB2" w:rsidRPr="003158EE" w14:paraId="61BE3C19" w14:textId="77777777" w:rsidTr="00E93415">
        <w:tc>
          <w:tcPr>
            <w:tcW w:w="952" w:type="dxa"/>
          </w:tcPr>
          <w:p w14:paraId="56AD6000" w14:textId="57031AAA" w:rsidR="00582EB2" w:rsidRPr="003158EE" w:rsidRDefault="00F12006" w:rsidP="000672D3">
            <w:pPr>
              <w:pStyle w:val="Default"/>
              <w:jc w:val="center"/>
            </w:pPr>
            <w:r w:rsidRPr="003158EE">
              <w:t>Art. 1 pkt 26 lit. a</w:t>
            </w:r>
          </w:p>
        </w:tc>
        <w:tc>
          <w:tcPr>
            <w:tcW w:w="5074" w:type="dxa"/>
          </w:tcPr>
          <w:p w14:paraId="3D90FE01" w14:textId="079BD07A" w:rsidR="00E817D1" w:rsidRPr="003158EE" w:rsidRDefault="00E817D1" w:rsidP="00E817D1">
            <w:pPr>
              <w:autoSpaceDE w:val="0"/>
              <w:autoSpaceDN w:val="0"/>
              <w:adjustRightInd w:val="0"/>
              <w:jc w:val="both"/>
            </w:pPr>
            <w:r w:rsidRPr="003158EE">
              <w:t>26) w art. 21 wprowadza się następujące zmiany:</w:t>
            </w:r>
          </w:p>
          <w:p w14:paraId="42C05854" w14:textId="77777777" w:rsidR="00E817D1" w:rsidRPr="003158EE" w:rsidRDefault="00E817D1" w:rsidP="00E817D1">
            <w:pPr>
              <w:autoSpaceDE w:val="0"/>
              <w:autoSpaceDN w:val="0"/>
              <w:adjustRightInd w:val="0"/>
              <w:jc w:val="both"/>
            </w:pPr>
          </w:p>
          <w:p w14:paraId="4B0F4713" w14:textId="3E55FCA6" w:rsidR="00E817D1" w:rsidRPr="003158EE" w:rsidRDefault="00E817D1" w:rsidP="00E817D1">
            <w:pPr>
              <w:autoSpaceDE w:val="0"/>
              <w:autoSpaceDN w:val="0"/>
              <w:adjustRightInd w:val="0"/>
              <w:jc w:val="both"/>
            </w:pPr>
            <w:r w:rsidRPr="003158EE">
              <w:t>a) ust. 1 zdanie czwarte otrzymuje brzmienie:</w:t>
            </w:r>
          </w:p>
          <w:p w14:paraId="5448CAD9" w14:textId="24269412" w:rsidR="00582EB2" w:rsidRPr="003158EE" w:rsidRDefault="00E817D1" w:rsidP="00E817D1">
            <w:pPr>
              <w:autoSpaceDE w:val="0"/>
              <w:autoSpaceDN w:val="0"/>
              <w:adjustRightInd w:val="0"/>
              <w:jc w:val="both"/>
            </w:pPr>
            <w:r w:rsidRPr="003158EE">
              <w:lastRenderedPageBreak/>
              <w:t>„Sprawozdanie sporządzane jest na podstawie kwestionariusza lub wzoru przyjętego przez Komisję w formie aktów wykonawczych. Te akty wykonawcze przyjmuje się zgodnie z procedurą sprawdzającą, o której mowa w art. 22a ust. 2.”;</w:t>
            </w:r>
          </w:p>
        </w:tc>
        <w:tc>
          <w:tcPr>
            <w:tcW w:w="596" w:type="dxa"/>
          </w:tcPr>
          <w:p w14:paraId="079ACCE3" w14:textId="483265D2" w:rsidR="00582EB2" w:rsidRPr="003158EE" w:rsidRDefault="00E817D1" w:rsidP="000672D3">
            <w:pPr>
              <w:pStyle w:val="Default"/>
              <w:jc w:val="both"/>
              <w:rPr>
                <w:b/>
              </w:rPr>
            </w:pPr>
            <w:r w:rsidRPr="003158EE">
              <w:rPr>
                <w:b/>
              </w:rPr>
              <w:lastRenderedPageBreak/>
              <w:t>N</w:t>
            </w:r>
          </w:p>
        </w:tc>
        <w:tc>
          <w:tcPr>
            <w:tcW w:w="7342" w:type="dxa"/>
          </w:tcPr>
          <w:p w14:paraId="58B2E313" w14:textId="77777777" w:rsidR="00582EB2" w:rsidRPr="003158EE" w:rsidRDefault="00582EB2" w:rsidP="000672D3">
            <w:pPr>
              <w:pStyle w:val="ZPKTzmpktartykuempunktem"/>
              <w:spacing w:line="240" w:lineRule="auto"/>
              <w:ind w:left="510"/>
              <w:rPr>
                <w:rFonts w:ascii="Times New Roman" w:hAnsi="Times New Roman" w:cs="Times New Roman"/>
                <w:szCs w:val="24"/>
              </w:rPr>
            </w:pPr>
          </w:p>
        </w:tc>
      </w:tr>
      <w:tr w:rsidR="00E817D1" w:rsidRPr="003158EE" w14:paraId="5B7708B4" w14:textId="77777777" w:rsidTr="00E93415">
        <w:tc>
          <w:tcPr>
            <w:tcW w:w="952" w:type="dxa"/>
          </w:tcPr>
          <w:p w14:paraId="27231AEC" w14:textId="758078E7" w:rsidR="00E817D1" w:rsidRPr="003158EE" w:rsidRDefault="0064292C" w:rsidP="000672D3">
            <w:pPr>
              <w:pStyle w:val="Default"/>
              <w:jc w:val="center"/>
            </w:pPr>
            <w:r w:rsidRPr="003158EE">
              <w:lastRenderedPageBreak/>
              <w:t>Art. 1 pkt 26 lit. b</w:t>
            </w:r>
          </w:p>
        </w:tc>
        <w:tc>
          <w:tcPr>
            <w:tcW w:w="5074" w:type="dxa"/>
          </w:tcPr>
          <w:p w14:paraId="7F9E4DB9" w14:textId="1BFBF853" w:rsidR="000A5B0C" w:rsidRPr="003158EE" w:rsidRDefault="000A5B0C" w:rsidP="000A5B0C">
            <w:pPr>
              <w:autoSpaceDE w:val="0"/>
              <w:autoSpaceDN w:val="0"/>
              <w:adjustRightInd w:val="0"/>
              <w:jc w:val="both"/>
            </w:pPr>
            <w:r w:rsidRPr="003158EE">
              <w:t>b) dodaje się ustęp w brzmieniu:</w:t>
            </w:r>
          </w:p>
          <w:p w14:paraId="08CC9FB0" w14:textId="7718AB83" w:rsidR="00E817D1" w:rsidRPr="003158EE" w:rsidRDefault="000A5B0C" w:rsidP="000A5B0C">
            <w:pPr>
              <w:autoSpaceDE w:val="0"/>
              <w:autoSpaceDN w:val="0"/>
              <w:adjustRightInd w:val="0"/>
              <w:jc w:val="both"/>
            </w:pPr>
            <w:r w:rsidRPr="003158EE">
              <w:t>„4.   Co trzy lata w sprawozdaniu, o którym mowa w ust. 1, zwraca się szczególną uwagę również na równoważne środki przyjęte dla małych instalacji wyłączonych z EU ETS. Kwestia równoważnych środków przyjętych dla małych instalacji jest również uwzględniana w wymianie informacji, o której mowa w ust. 3.”;</w:t>
            </w:r>
          </w:p>
        </w:tc>
        <w:tc>
          <w:tcPr>
            <w:tcW w:w="596" w:type="dxa"/>
          </w:tcPr>
          <w:p w14:paraId="2D16CF26" w14:textId="2C7236C2" w:rsidR="00E817D1" w:rsidRPr="003158EE" w:rsidRDefault="000A5B0C" w:rsidP="000672D3">
            <w:pPr>
              <w:pStyle w:val="Default"/>
              <w:jc w:val="both"/>
              <w:rPr>
                <w:b/>
              </w:rPr>
            </w:pPr>
            <w:r w:rsidRPr="003158EE">
              <w:rPr>
                <w:b/>
              </w:rPr>
              <w:t>N</w:t>
            </w:r>
          </w:p>
        </w:tc>
        <w:tc>
          <w:tcPr>
            <w:tcW w:w="7342" w:type="dxa"/>
          </w:tcPr>
          <w:p w14:paraId="5F159EB9" w14:textId="77777777" w:rsidR="00E817D1" w:rsidRPr="003158EE" w:rsidRDefault="00E817D1" w:rsidP="000672D3">
            <w:pPr>
              <w:pStyle w:val="ZPKTzmpktartykuempunktem"/>
              <w:spacing w:line="240" w:lineRule="auto"/>
              <w:ind w:left="510"/>
              <w:rPr>
                <w:rFonts w:ascii="Times New Roman" w:hAnsi="Times New Roman" w:cs="Times New Roman"/>
                <w:szCs w:val="24"/>
              </w:rPr>
            </w:pPr>
          </w:p>
        </w:tc>
      </w:tr>
      <w:tr w:rsidR="000A5B0C" w:rsidRPr="003158EE" w14:paraId="3C291F63" w14:textId="77777777" w:rsidTr="00E93415">
        <w:tc>
          <w:tcPr>
            <w:tcW w:w="952" w:type="dxa"/>
          </w:tcPr>
          <w:p w14:paraId="6D5E6822" w14:textId="6773E7AF" w:rsidR="000A5B0C" w:rsidRPr="003158EE" w:rsidRDefault="00A11E85" w:rsidP="000672D3">
            <w:pPr>
              <w:pStyle w:val="Default"/>
              <w:jc w:val="center"/>
            </w:pPr>
            <w:r w:rsidRPr="003158EE">
              <w:t>Art. 1 pkt 27</w:t>
            </w:r>
          </w:p>
        </w:tc>
        <w:tc>
          <w:tcPr>
            <w:tcW w:w="5074" w:type="dxa"/>
          </w:tcPr>
          <w:p w14:paraId="4EFDD64F" w14:textId="1AB01F94" w:rsidR="00A11E85" w:rsidRPr="003158EE" w:rsidRDefault="00A11E85" w:rsidP="00A11E85">
            <w:pPr>
              <w:autoSpaceDE w:val="0"/>
              <w:autoSpaceDN w:val="0"/>
              <w:adjustRightInd w:val="0"/>
              <w:jc w:val="both"/>
            </w:pPr>
            <w:r w:rsidRPr="003158EE">
              <w:t>27) art. 22 otrzymuje brzmienie:</w:t>
            </w:r>
          </w:p>
          <w:p w14:paraId="7B136EFC" w14:textId="77777777" w:rsidR="00A11E85" w:rsidRPr="003158EE" w:rsidRDefault="00A11E85" w:rsidP="00A11E85">
            <w:pPr>
              <w:autoSpaceDE w:val="0"/>
              <w:autoSpaceDN w:val="0"/>
              <w:adjustRightInd w:val="0"/>
              <w:jc w:val="both"/>
            </w:pPr>
            <w:r w:rsidRPr="003158EE">
              <w:t>„Artykuł 22</w:t>
            </w:r>
          </w:p>
          <w:p w14:paraId="3395B508" w14:textId="77777777" w:rsidR="00A11E85" w:rsidRPr="003158EE" w:rsidRDefault="00A11E85" w:rsidP="00A11E85">
            <w:pPr>
              <w:autoSpaceDE w:val="0"/>
              <w:autoSpaceDN w:val="0"/>
              <w:adjustRightInd w:val="0"/>
              <w:jc w:val="both"/>
            </w:pPr>
            <w:r w:rsidRPr="003158EE">
              <w:t>Zmiany do załączników</w:t>
            </w:r>
          </w:p>
          <w:p w14:paraId="59CDE0ED" w14:textId="114EB493" w:rsidR="000A5B0C" w:rsidRPr="003158EE" w:rsidRDefault="00A11E85" w:rsidP="00A11E85">
            <w:pPr>
              <w:autoSpaceDE w:val="0"/>
              <w:autoSpaceDN w:val="0"/>
              <w:adjustRightInd w:val="0"/>
              <w:jc w:val="both"/>
            </w:pPr>
            <w:r w:rsidRPr="003158EE">
              <w:t>Komisja jest uprawniona do przyjmowania aktów delegowanych zgodnie z art. 23 w celu zmiany załączników do niniejszej dyrektywy, w stosownych przypadkach, z wyjątkiem załączników I, IIa i IIb, w świetle sprawozdań przewidzianych w art. 21 i doświadczeń ze stosowania niniejszej dyrektywy. Załączniki IV i V mogą zostać zmienione w celu usprawnienia monitorowania, raportowania i weryfikacji emisji.”;</w:t>
            </w:r>
          </w:p>
        </w:tc>
        <w:tc>
          <w:tcPr>
            <w:tcW w:w="596" w:type="dxa"/>
          </w:tcPr>
          <w:p w14:paraId="4A3AD89C" w14:textId="71B83433" w:rsidR="000A5B0C" w:rsidRPr="003158EE" w:rsidRDefault="00A11E85" w:rsidP="000672D3">
            <w:pPr>
              <w:pStyle w:val="Default"/>
              <w:jc w:val="both"/>
              <w:rPr>
                <w:b/>
              </w:rPr>
            </w:pPr>
            <w:r w:rsidRPr="003158EE">
              <w:rPr>
                <w:b/>
              </w:rPr>
              <w:t>N</w:t>
            </w:r>
          </w:p>
        </w:tc>
        <w:tc>
          <w:tcPr>
            <w:tcW w:w="7342" w:type="dxa"/>
          </w:tcPr>
          <w:p w14:paraId="4E94C3D2" w14:textId="77777777" w:rsidR="000A5B0C" w:rsidRPr="003158EE" w:rsidRDefault="000A5B0C" w:rsidP="000672D3">
            <w:pPr>
              <w:pStyle w:val="ZPKTzmpktartykuempunktem"/>
              <w:spacing w:line="240" w:lineRule="auto"/>
              <w:ind w:left="510"/>
              <w:rPr>
                <w:rFonts w:ascii="Times New Roman" w:hAnsi="Times New Roman" w:cs="Times New Roman"/>
                <w:szCs w:val="24"/>
              </w:rPr>
            </w:pPr>
          </w:p>
        </w:tc>
      </w:tr>
      <w:tr w:rsidR="00A11E85" w:rsidRPr="003158EE" w14:paraId="2EDB3699" w14:textId="77777777" w:rsidTr="00E93415">
        <w:tc>
          <w:tcPr>
            <w:tcW w:w="952" w:type="dxa"/>
          </w:tcPr>
          <w:p w14:paraId="7FF905C0" w14:textId="3BED6EC6" w:rsidR="00A11E85" w:rsidRPr="003158EE" w:rsidRDefault="00315891" w:rsidP="000672D3">
            <w:pPr>
              <w:pStyle w:val="Default"/>
              <w:jc w:val="center"/>
            </w:pPr>
            <w:r w:rsidRPr="003158EE">
              <w:t>Art. 1 pkt 28</w:t>
            </w:r>
          </w:p>
        </w:tc>
        <w:tc>
          <w:tcPr>
            <w:tcW w:w="5074" w:type="dxa"/>
          </w:tcPr>
          <w:p w14:paraId="032A411D" w14:textId="305ED926" w:rsidR="00315891" w:rsidRPr="003158EE" w:rsidRDefault="00315891" w:rsidP="00315891">
            <w:pPr>
              <w:autoSpaceDE w:val="0"/>
              <w:autoSpaceDN w:val="0"/>
              <w:adjustRightInd w:val="0"/>
              <w:jc w:val="both"/>
            </w:pPr>
            <w:r w:rsidRPr="003158EE">
              <w:t>28) dodaje się artykuł w brzmieniu:</w:t>
            </w:r>
          </w:p>
          <w:p w14:paraId="07109E73" w14:textId="77777777" w:rsidR="00315891" w:rsidRPr="003158EE" w:rsidRDefault="00315891" w:rsidP="00315891">
            <w:pPr>
              <w:autoSpaceDE w:val="0"/>
              <w:autoSpaceDN w:val="0"/>
              <w:adjustRightInd w:val="0"/>
              <w:jc w:val="both"/>
            </w:pPr>
            <w:r w:rsidRPr="003158EE">
              <w:t>„Artykuł 22a</w:t>
            </w:r>
          </w:p>
          <w:p w14:paraId="239B5C00" w14:textId="77777777" w:rsidR="00315891" w:rsidRPr="003158EE" w:rsidRDefault="00315891" w:rsidP="00315891">
            <w:pPr>
              <w:autoSpaceDE w:val="0"/>
              <w:autoSpaceDN w:val="0"/>
              <w:adjustRightInd w:val="0"/>
              <w:jc w:val="both"/>
            </w:pPr>
            <w:r w:rsidRPr="003158EE">
              <w:t>Procedura komitetowa</w:t>
            </w:r>
          </w:p>
          <w:p w14:paraId="1A253BA4" w14:textId="74A2A874" w:rsidR="00315891" w:rsidRPr="003158EE" w:rsidRDefault="00315891" w:rsidP="00315891">
            <w:pPr>
              <w:autoSpaceDE w:val="0"/>
              <w:autoSpaceDN w:val="0"/>
              <w:adjustRightInd w:val="0"/>
              <w:jc w:val="both"/>
            </w:pPr>
            <w:r w:rsidRPr="003158EE">
              <w:t xml:space="preserve">1.   Komisję wspomaga Komitet ds. Zmian Klimatu ustanowiony na mocy art. 26 rozporządzenia Parlamentu Europejskiego i Rady (UE) nr </w:t>
            </w:r>
            <w:r w:rsidRPr="003158EE">
              <w:lastRenderedPageBreak/>
              <w:t>525/2013. Komitet ten jest komitetem w rozumieniu rozporządzenia Parlamentu Europejskiego i Rady (UE) nr 182/2011.</w:t>
            </w:r>
          </w:p>
          <w:p w14:paraId="216DD065" w14:textId="77777777" w:rsidR="00315891" w:rsidRPr="003158EE" w:rsidRDefault="00315891" w:rsidP="00315891">
            <w:pPr>
              <w:autoSpaceDE w:val="0"/>
              <w:autoSpaceDN w:val="0"/>
              <w:adjustRightInd w:val="0"/>
              <w:jc w:val="both"/>
            </w:pPr>
            <w:r w:rsidRPr="003158EE">
              <w:t>2.   W przypadku odesłania do niniejszego ustępu stosuje się art. 5 rozporządzenia (UE) nr 182/2011.</w:t>
            </w:r>
          </w:p>
          <w:p w14:paraId="0F5E8A84" w14:textId="0CE06B4E" w:rsidR="00A11E85" w:rsidRPr="003158EE" w:rsidRDefault="00315891" w:rsidP="00315891">
            <w:pPr>
              <w:autoSpaceDE w:val="0"/>
              <w:autoSpaceDN w:val="0"/>
              <w:adjustRightInd w:val="0"/>
              <w:jc w:val="both"/>
            </w:pPr>
            <w:r w:rsidRPr="003158EE">
              <w:t>W przypadku gdy komitet nie przedstawi opinii, Komisja nie przyjmuje projektu aktu wykonawczego i zastosowanie ma art. 5 ust. 4 akapit trzeci rozporządzenia (UE) nr 182/2011.</w:t>
            </w:r>
          </w:p>
        </w:tc>
        <w:tc>
          <w:tcPr>
            <w:tcW w:w="596" w:type="dxa"/>
          </w:tcPr>
          <w:p w14:paraId="38F4B5DB" w14:textId="1F255750" w:rsidR="00A11E85" w:rsidRPr="003158EE" w:rsidRDefault="00315891" w:rsidP="000672D3">
            <w:pPr>
              <w:pStyle w:val="Default"/>
              <w:jc w:val="both"/>
              <w:rPr>
                <w:b/>
              </w:rPr>
            </w:pPr>
            <w:r w:rsidRPr="003158EE">
              <w:rPr>
                <w:b/>
              </w:rPr>
              <w:lastRenderedPageBreak/>
              <w:t>N</w:t>
            </w:r>
          </w:p>
        </w:tc>
        <w:tc>
          <w:tcPr>
            <w:tcW w:w="7342" w:type="dxa"/>
          </w:tcPr>
          <w:p w14:paraId="1EF16C7A" w14:textId="77777777" w:rsidR="00A11E85" w:rsidRPr="003158EE" w:rsidRDefault="00A11E85" w:rsidP="000672D3">
            <w:pPr>
              <w:pStyle w:val="ZPKTzmpktartykuempunktem"/>
              <w:spacing w:line="240" w:lineRule="auto"/>
              <w:ind w:left="510"/>
              <w:rPr>
                <w:rFonts w:ascii="Times New Roman" w:hAnsi="Times New Roman" w:cs="Times New Roman"/>
                <w:szCs w:val="24"/>
              </w:rPr>
            </w:pPr>
          </w:p>
        </w:tc>
      </w:tr>
      <w:tr w:rsidR="00315891" w:rsidRPr="003158EE" w14:paraId="0A9786B1" w14:textId="77777777" w:rsidTr="00E93415">
        <w:tc>
          <w:tcPr>
            <w:tcW w:w="952" w:type="dxa"/>
          </w:tcPr>
          <w:p w14:paraId="7E127D9A" w14:textId="39D1A0BA" w:rsidR="00315891" w:rsidRPr="003158EE" w:rsidRDefault="00606499" w:rsidP="000672D3">
            <w:pPr>
              <w:pStyle w:val="Default"/>
              <w:jc w:val="center"/>
            </w:pPr>
            <w:r w:rsidRPr="003158EE">
              <w:lastRenderedPageBreak/>
              <w:t>Art. 1 pkt 29</w:t>
            </w:r>
          </w:p>
        </w:tc>
        <w:tc>
          <w:tcPr>
            <w:tcW w:w="5074" w:type="dxa"/>
          </w:tcPr>
          <w:p w14:paraId="6D8DBFDA" w14:textId="681A89B4" w:rsidR="00936185" w:rsidRPr="003158EE" w:rsidRDefault="00936185" w:rsidP="00936185">
            <w:pPr>
              <w:autoSpaceDE w:val="0"/>
              <w:autoSpaceDN w:val="0"/>
              <w:adjustRightInd w:val="0"/>
              <w:jc w:val="both"/>
            </w:pPr>
            <w:r w:rsidRPr="003158EE">
              <w:t>29) art. 23 otrzymuje brzmienie:</w:t>
            </w:r>
          </w:p>
          <w:p w14:paraId="72060BB3" w14:textId="77777777" w:rsidR="00936185" w:rsidRPr="003158EE" w:rsidRDefault="00936185" w:rsidP="00936185">
            <w:pPr>
              <w:autoSpaceDE w:val="0"/>
              <w:autoSpaceDN w:val="0"/>
              <w:adjustRightInd w:val="0"/>
              <w:jc w:val="both"/>
            </w:pPr>
            <w:r w:rsidRPr="003158EE">
              <w:t>„Artykuł 23</w:t>
            </w:r>
          </w:p>
          <w:p w14:paraId="6CFBB574" w14:textId="77777777" w:rsidR="00936185" w:rsidRPr="003158EE" w:rsidRDefault="00936185" w:rsidP="00936185">
            <w:pPr>
              <w:autoSpaceDE w:val="0"/>
              <w:autoSpaceDN w:val="0"/>
              <w:adjustRightInd w:val="0"/>
              <w:jc w:val="both"/>
            </w:pPr>
            <w:r w:rsidRPr="003158EE">
              <w:t>Wykonywanie przekazanych uprawnień</w:t>
            </w:r>
          </w:p>
          <w:p w14:paraId="0F6D24D8" w14:textId="77777777" w:rsidR="00936185" w:rsidRPr="003158EE" w:rsidRDefault="00936185" w:rsidP="00936185">
            <w:pPr>
              <w:autoSpaceDE w:val="0"/>
              <w:autoSpaceDN w:val="0"/>
              <w:adjustRightInd w:val="0"/>
              <w:jc w:val="both"/>
            </w:pPr>
            <w:r w:rsidRPr="003158EE">
              <w:t>1.   Powierzenie Komisji uprawnień do przyjmowania aktów delegowanych podlega warunkom określonym w niniejszym artykule.</w:t>
            </w:r>
          </w:p>
          <w:p w14:paraId="692B3620" w14:textId="77777777" w:rsidR="00936185" w:rsidRPr="003158EE" w:rsidRDefault="00936185" w:rsidP="00936185">
            <w:pPr>
              <w:autoSpaceDE w:val="0"/>
              <w:autoSpaceDN w:val="0"/>
              <w:adjustRightInd w:val="0"/>
              <w:jc w:val="both"/>
            </w:pPr>
            <w:r w:rsidRPr="003158EE">
              <w:t>2.   Uprawnienia do przyjmowania aktów delegowanych, o których mowa w art. 3d ust. 3, art. 10 ust. 4, art. 10a ust. 1 i 8, art. 10b ust. 5, art. 19 ust. 3, art. 22, art. 24 ust. 3, art. 24a ust. 1, art. 25a ust. 1 i art. 28c powierza się Komisji na czas nieokreślony od dnia 8 kwietnia 2018 r.</w:t>
            </w:r>
          </w:p>
          <w:p w14:paraId="39C86AA7" w14:textId="77777777" w:rsidR="00936185" w:rsidRPr="003158EE" w:rsidRDefault="00936185" w:rsidP="00936185">
            <w:pPr>
              <w:autoSpaceDE w:val="0"/>
              <w:autoSpaceDN w:val="0"/>
              <w:adjustRightInd w:val="0"/>
              <w:jc w:val="both"/>
            </w:pPr>
            <w:r w:rsidRPr="003158EE">
              <w:t xml:space="preserve">3.   Przekazanie uprawnień, o którym mowa w art. 3d ust. 3, art. 10 ust. 4, art. 10a ust. 1 i 8, art. 10b ust. 5, art. 19 ust. 3, art. 22, art. 24 ust. 3, art. 24a ust. 1, art. 25a ust 1 i art. 28c, może zostać w dowolnym momencie odwołane przez Parlament Europejski lub przez Radę. Decyzja o odwołaniu kończy przekazanie określonych w niej uprawnień. Decyzja o odwołaniu staje się skuteczna następnego dnia po jej opublikowaniu w Dzienniku Urzędowym Unii Europejskiej lub w określonym w tej decyzji późniejszym terminie. Nie wpływa </w:t>
            </w:r>
            <w:r w:rsidRPr="003158EE">
              <w:lastRenderedPageBreak/>
              <w:t>ona na ważność jakichkolwiek już obowiązujących aktów delegowanych.</w:t>
            </w:r>
          </w:p>
          <w:p w14:paraId="58B05A44" w14:textId="22809E6A" w:rsidR="00936185" w:rsidRPr="003158EE" w:rsidRDefault="00936185" w:rsidP="00936185">
            <w:pPr>
              <w:autoSpaceDE w:val="0"/>
              <w:autoSpaceDN w:val="0"/>
              <w:adjustRightInd w:val="0"/>
              <w:jc w:val="both"/>
            </w:pPr>
            <w:r w:rsidRPr="003158EE">
              <w:t>4.   Przed przyjęciem aktu delegowanego Komisja konsultuje się z ekspertami wyznaczonymi przez każde państwo członkowskie zgodnie z zasadami określonymi w Porozumieniu międzyinstytucjonalnym z dnia 13 kwietnia 2016 r. w sprawie lepszego stanowienia prawa.</w:t>
            </w:r>
          </w:p>
          <w:p w14:paraId="0083B521" w14:textId="77777777" w:rsidR="00936185" w:rsidRPr="003158EE" w:rsidRDefault="00936185" w:rsidP="00936185">
            <w:pPr>
              <w:autoSpaceDE w:val="0"/>
              <w:autoSpaceDN w:val="0"/>
              <w:adjustRightInd w:val="0"/>
              <w:jc w:val="both"/>
            </w:pPr>
            <w:r w:rsidRPr="003158EE">
              <w:t>5.   Niezwłocznie po przyjęciu aktu delegowanego Komisja przekazuje go równocześnie Parlamentowi Europejskiemu i Radzie.</w:t>
            </w:r>
          </w:p>
          <w:p w14:paraId="26698684" w14:textId="57C85EF8" w:rsidR="00315891" w:rsidRPr="003158EE" w:rsidRDefault="00936185" w:rsidP="00936185">
            <w:pPr>
              <w:autoSpaceDE w:val="0"/>
              <w:autoSpaceDN w:val="0"/>
              <w:adjustRightInd w:val="0"/>
              <w:jc w:val="both"/>
            </w:pPr>
            <w:r w:rsidRPr="003158EE">
              <w:t>6.   Akt delegowany przyjęty na podstawie art. 3d ust. 3, art. 10 ust. 4, art. 10a ust. 1 i 8, art. 10b ust. 5, art. 19 ust. 3, art. 22, art. 24 ust. 3, art.24a ust.1, art. 25a ust.1 i art. 28c wchodzi w życie, tylko jeśli Parlament Europejski albo Rada nie wyraziły sprzeciwu w terminie dwóch miesięcy od przekazania tego aktu Parlamentowi Europejskiemu i Radzie, lub jeżeli przed upływem tego terminu zarówno Parlament Europejski, jak i Rada poinformowały Komisję, że nie wniosą sprzeciwu. Termin ten przedłuża się o dwa miesiące z inicjatywy Parlamentu Europejskiego lub Rady.</w:t>
            </w:r>
          </w:p>
        </w:tc>
        <w:tc>
          <w:tcPr>
            <w:tcW w:w="596" w:type="dxa"/>
          </w:tcPr>
          <w:p w14:paraId="395A3C50" w14:textId="3B4A1B01" w:rsidR="00315891" w:rsidRPr="003158EE" w:rsidRDefault="00936185" w:rsidP="000672D3">
            <w:pPr>
              <w:pStyle w:val="Default"/>
              <w:jc w:val="both"/>
              <w:rPr>
                <w:b/>
              </w:rPr>
            </w:pPr>
            <w:r w:rsidRPr="003158EE">
              <w:rPr>
                <w:b/>
              </w:rPr>
              <w:lastRenderedPageBreak/>
              <w:t>N</w:t>
            </w:r>
          </w:p>
        </w:tc>
        <w:tc>
          <w:tcPr>
            <w:tcW w:w="7342" w:type="dxa"/>
          </w:tcPr>
          <w:p w14:paraId="55C8920B" w14:textId="77777777" w:rsidR="00315891" w:rsidRPr="003158EE" w:rsidRDefault="00315891" w:rsidP="000672D3">
            <w:pPr>
              <w:pStyle w:val="ZPKTzmpktartykuempunktem"/>
              <w:spacing w:line="240" w:lineRule="auto"/>
              <w:ind w:left="510"/>
              <w:rPr>
                <w:rFonts w:ascii="Times New Roman" w:hAnsi="Times New Roman" w:cs="Times New Roman"/>
                <w:szCs w:val="24"/>
              </w:rPr>
            </w:pPr>
          </w:p>
        </w:tc>
      </w:tr>
      <w:tr w:rsidR="00936185" w:rsidRPr="003158EE" w14:paraId="676B156E" w14:textId="77777777" w:rsidTr="00E93415">
        <w:tc>
          <w:tcPr>
            <w:tcW w:w="952" w:type="dxa"/>
          </w:tcPr>
          <w:p w14:paraId="6C8F8091" w14:textId="795E7793" w:rsidR="00936185" w:rsidRPr="003158EE" w:rsidRDefault="00DD5C2D" w:rsidP="000672D3">
            <w:pPr>
              <w:pStyle w:val="Default"/>
              <w:jc w:val="center"/>
            </w:pPr>
            <w:r w:rsidRPr="003158EE">
              <w:lastRenderedPageBreak/>
              <w:t>Art. 1 pkt 30</w:t>
            </w:r>
            <w:r w:rsidR="00464383" w:rsidRPr="003158EE">
              <w:t xml:space="preserve"> lit. a</w:t>
            </w:r>
          </w:p>
        </w:tc>
        <w:tc>
          <w:tcPr>
            <w:tcW w:w="5074" w:type="dxa"/>
          </w:tcPr>
          <w:p w14:paraId="451945DD" w14:textId="194D7AFC" w:rsidR="00464383" w:rsidRPr="003158EE" w:rsidRDefault="00464383" w:rsidP="00464383">
            <w:pPr>
              <w:autoSpaceDE w:val="0"/>
              <w:autoSpaceDN w:val="0"/>
              <w:adjustRightInd w:val="0"/>
              <w:jc w:val="both"/>
            </w:pPr>
            <w:r w:rsidRPr="003158EE">
              <w:t>30) w art. 24 wprowadza się następujące zmiany:</w:t>
            </w:r>
          </w:p>
          <w:p w14:paraId="2F06FD33" w14:textId="77777777" w:rsidR="00464383" w:rsidRPr="003158EE" w:rsidRDefault="00464383" w:rsidP="00464383">
            <w:pPr>
              <w:autoSpaceDE w:val="0"/>
              <w:autoSpaceDN w:val="0"/>
              <w:adjustRightInd w:val="0"/>
              <w:jc w:val="both"/>
            </w:pPr>
          </w:p>
          <w:p w14:paraId="50B4FECA" w14:textId="126C4BEA" w:rsidR="00464383" w:rsidRPr="003158EE" w:rsidRDefault="00464383" w:rsidP="00464383">
            <w:pPr>
              <w:autoSpaceDE w:val="0"/>
              <w:autoSpaceDN w:val="0"/>
              <w:adjustRightInd w:val="0"/>
              <w:jc w:val="both"/>
            </w:pPr>
            <w:r w:rsidRPr="003158EE">
              <w:t>a) ust. 1 otrzymuje brzmienie:</w:t>
            </w:r>
          </w:p>
          <w:p w14:paraId="584423CD" w14:textId="4A9F78DA" w:rsidR="00936185" w:rsidRPr="003158EE" w:rsidRDefault="00464383" w:rsidP="00464383">
            <w:pPr>
              <w:autoSpaceDE w:val="0"/>
              <w:autoSpaceDN w:val="0"/>
              <w:adjustRightInd w:val="0"/>
              <w:jc w:val="both"/>
            </w:pPr>
            <w:r w:rsidRPr="003158EE">
              <w:t xml:space="preserve">„1.   Począwszy od 2008 roku, państwa członkowskie mogą stosować handel uprawnieniami do emisji zgodnie z przepisami niniejszej dyrektywy do działań oraz do gazów cieplarnianych, które nie są wymienione w </w:t>
            </w:r>
            <w:r w:rsidRPr="003158EE">
              <w:lastRenderedPageBreak/>
              <w:t>załączniku I, uwzględniając wszystkie stosowne kryteria, w szczególności skutki dla rynku wewnętrznego, potencjalne zakłócenia konkurencji, integralność środowiskową EU ETS oraz wiarygodność planowanego systemu monitorowania oraz raportowania, pod warunkiem że włączenie takich działań oraz gazów cieplarnianych zostanie zatwierdzone przez Komisję, zgodnie z aktami delegowanymi, do przyjęcia których Komisja jest uprawniona zgodnie z art. 23.”;</w:t>
            </w:r>
          </w:p>
        </w:tc>
        <w:tc>
          <w:tcPr>
            <w:tcW w:w="596" w:type="dxa"/>
          </w:tcPr>
          <w:p w14:paraId="491E4351" w14:textId="7C243F04" w:rsidR="00936185" w:rsidRPr="003158EE" w:rsidRDefault="0052090E" w:rsidP="000672D3">
            <w:pPr>
              <w:pStyle w:val="Default"/>
              <w:jc w:val="both"/>
              <w:rPr>
                <w:b/>
              </w:rPr>
            </w:pPr>
            <w:r w:rsidRPr="003158EE">
              <w:rPr>
                <w:b/>
              </w:rPr>
              <w:lastRenderedPageBreak/>
              <w:t>N</w:t>
            </w:r>
          </w:p>
        </w:tc>
        <w:tc>
          <w:tcPr>
            <w:tcW w:w="7342" w:type="dxa"/>
          </w:tcPr>
          <w:p w14:paraId="29095E15" w14:textId="262C49CD" w:rsidR="00936185" w:rsidRPr="003158EE" w:rsidRDefault="00936185" w:rsidP="0052090E">
            <w:pPr>
              <w:pStyle w:val="ZPKTzmpktartykuempunktem"/>
              <w:spacing w:line="240" w:lineRule="auto"/>
              <w:ind w:left="0" w:firstLine="0"/>
              <w:rPr>
                <w:rFonts w:ascii="Times New Roman" w:hAnsi="Times New Roman" w:cs="Times New Roman"/>
                <w:szCs w:val="24"/>
              </w:rPr>
            </w:pPr>
          </w:p>
        </w:tc>
      </w:tr>
      <w:tr w:rsidR="00700DE3" w:rsidRPr="003158EE" w14:paraId="0F60E13D" w14:textId="77777777" w:rsidTr="00E93415">
        <w:tc>
          <w:tcPr>
            <w:tcW w:w="952" w:type="dxa"/>
          </w:tcPr>
          <w:p w14:paraId="659AB99D" w14:textId="28577DF5" w:rsidR="00700DE3" w:rsidRPr="003158EE" w:rsidRDefault="00700DE3" w:rsidP="000672D3">
            <w:pPr>
              <w:pStyle w:val="Default"/>
              <w:jc w:val="center"/>
            </w:pPr>
            <w:r w:rsidRPr="003158EE">
              <w:lastRenderedPageBreak/>
              <w:t>Art. 1 pkt 30 lit. b</w:t>
            </w:r>
          </w:p>
        </w:tc>
        <w:tc>
          <w:tcPr>
            <w:tcW w:w="5074" w:type="dxa"/>
          </w:tcPr>
          <w:p w14:paraId="396622D4" w14:textId="51BB49C8" w:rsidR="00700DE3" w:rsidRPr="003158EE" w:rsidRDefault="00700DE3" w:rsidP="00700DE3">
            <w:pPr>
              <w:autoSpaceDE w:val="0"/>
              <w:autoSpaceDN w:val="0"/>
              <w:adjustRightInd w:val="0"/>
              <w:jc w:val="both"/>
            </w:pPr>
            <w:r w:rsidRPr="003158EE">
              <w:t>b) ust. 3 akapit drugi otrzymuje brzmienie:</w:t>
            </w:r>
          </w:p>
          <w:p w14:paraId="7BCFB09F" w14:textId="1E52E454" w:rsidR="00700DE3" w:rsidRPr="003158EE" w:rsidRDefault="00700DE3" w:rsidP="00700DE3">
            <w:pPr>
              <w:autoSpaceDE w:val="0"/>
              <w:autoSpaceDN w:val="0"/>
              <w:adjustRightInd w:val="0"/>
              <w:jc w:val="both"/>
            </w:pPr>
            <w:r w:rsidRPr="003158EE">
              <w:t>„Komisja jest uprawniona do przyjmowania aktów delegowanych zgodnie z art. 23, w celu uzupełnienia niniejszej dyrektywy w tym zakresie.”;</w:t>
            </w:r>
          </w:p>
        </w:tc>
        <w:tc>
          <w:tcPr>
            <w:tcW w:w="596" w:type="dxa"/>
          </w:tcPr>
          <w:p w14:paraId="69B7B5E0" w14:textId="190A5866" w:rsidR="00700DE3" w:rsidRPr="003158EE" w:rsidRDefault="00700DE3" w:rsidP="000672D3">
            <w:pPr>
              <w:pStyle w:val="Default"/>
              <w:jc w:val="both"/>
              <w:rPr>
                <w:b/>
              </w:rPr>
            </w:pPr>
            <w:r w:rsidRPr="003158EE">
              <w:rPr>
                <w:b/>
              </w:rPr>
              <w:t>N</w:t>
            </w:r>
          </w:p>
        </w:tc>
        <w:tc>
          <w:tcPr>
            <w:tcW w:w="7342" w:type="dxa"/>
          </w:tcPr>
          <w:p w14:paraId="47C944CA" w14:textId="77777777" w:rsidR="00700DE3" w:rsidRPr="003158EE" w:rsidRDefault="00700DE3" w:rsidP="0052090E">
            <w:pPr>
              <w:pStyle w:val="ZPKTzmpktartykuempunktem"/>
              <w:ind w:left="510"/>
              <w:rPr>
                <w:rFonts w:ascii="Times New Roman" w:hAnsi="Times New Roman" w:cs="Times New Roman"/>
                <w:szCs w:val="24"/>
              </w:rPr>
            </w:pPr>
          </w:p>
        </w:tc>
      </w:tr>
      <w:tr w:rsidR="00DE3949" w:rsidRPr="003158EE" w14:paraId="19F79BA6" w14:textId="77777777" w:rsidTr="00E93415">
        <w:tc>
          <w:tcPr>
            <w:tcW w:w="952" w:type="dxa"/>
          </w:tcPr>
          <w:p w14:paraId="239FE83A" w14:textId="6B080AC5" w:rsidR="00DE3949" w:rsidRPr="003158EE" w:rsidRDefault="00DE3949" w:rsidP="000672D3">
            <w:pPr>
              <w:pStyle w:val="Default"/>
              <w:jc w:val="center"/>
            </w:pPr>
            <w:r w:rsidRPr="003158EE">
              <w:t>Art. 1 pkt 31</w:t>
            </w:r>
          </w:p>
        </w:tc>
        <w:tc>
          <w:tcPr>
            <w:tcW w:w="5074" w:type="dxa"/>
          </w:tcPr>
          <w:p w14:paraId="29B664CA" w14:textId="7B2DC23F" w:rsidR="005477B2" w:rsidRPr="003158EE" w:rsidRDefault="005477B2" w:rsidP="005477B2">
            <w:pPr>
              <w:autoSpaceDE w:val="0"/>
              <w:autoSpaceDN w:val="0"/>
              <w:adjustRightInd w:val="0"/>
              <w:jc w:val="both"/>
            </w:pPr>
            <w:r w:rsidRPr="003158EE">
              <w:t>31) w art. 24a wprowadza się następujące zmiany:</w:t>
            </w:r>
          </w:p>
          <w:p w14:paraId="62FDB36A" w14:textId="77777777" w:rsidR="005477B2" w:rsidRPr="003158EE" w:rsidRDefault="005477B2" w:rsidP="005477B2">
            <w:pPr>
              <w:autoSpaceDE w:val="0"/>
              <w:autoSpaceDN w:val="0"/>
              <w:adjustRightInd w:val="0"/>
              <w:jc w:val="both"/>
            </w:pPr>
          </w:p>
          <w:p w14:paraId="4D912A92" w14:textId="00BACA6C" w:rsidR="005477B2" w:rsidRPr="003158EE" w:rsidRDefault="005477B2" w:rsidP="005477B2">
            <w:pPr>
              <w:autoSpaceDE w:val="0"/>
              <w:autoSpaceDN w:val="0"/>
              <w:adjustRightInd w:val="0"/>
              <w:jc w:val="both"/>
            </w:pPr>
            <w:r w:rsidRPr="003158EE">
              <w:t>a) w ust. 1 akapity pierwszy i drugi otrzymują brzmienie:</w:t>
            </w:r>
          </w:p>
          <w:p w14:paraId="551AFD7A" w14:textId="77777777" w:rsidR="005477B2" w:rsidRPr="003158EE" w:rsidRDefault="005477B2" w:rsidP="005477B2">
            <w:pPr>
              <w:autoSpaceDE w:val="0"/>
              <w:autoSpaceDN w:val="0"/>
              <w:adjustRightInd w:val="0"/>
              <w:jc w:val="both"/>
            </w:pPr>
            <w:r w:rsidRPr="003158EE">
              <w:t>„1.   W uzupełnieniu przepisów art. 24 dotyczących włączania, Komisja może przyjąć środki dotyczące wydawania uprawnień lub jednostek w związku z projektami zarządzanymi przez państwa członkowskie, które to projekty redukują emisje gazów cieplarnianych nieobjętych EU ETS.</w:t>
            </w:r>
          </w:p>
          <w:p w14:paraId="077B1461" w14:textId="77777777" w:rsidR="005477B2" w:rsidRPr="003158EE" w:rsidRDefault="005477B2" w:rsidP="005477B2">
            <w:pPr>
              <w:autoSpaceDE w:val="0"/>
              <w:autoSpaceDN w:val="0"/>
              <w:adjustRightInd w:val="0"/>
              <w:jc w:val="both"/>
            </w:pPr>
            <w:r w:rsidRPr="003158EE">
              <w:t xml:space="preserve">Środki takie są spójne z aktami przyjętymi na podstawie dawnego art. 11b ust. 7 obowiązującego przed dniem 8 kwietnia 2018 r. Komisja jest uprawniona do przyjmowania aktów delegowanych zgodnie z art. 23 w celu </w:t>
            </w:r>
            <w:r w:rsidRPr="003158EE">
              <w:lastRenderedPageBreak/>
              <w:t>uzupełnienia niniejszej dyrektywy poprzez określenie procedury, którą należy stosować.”;</w:t>
            </w:r>
          </w:p>
          <w:p w14:paraId="17C985A9" w14:textId="77777777" w:rsidR="005477B2" w:rsidRPr="003158EE" w:rsidRDefault="005477B2" w:rsidP="005477B2">
            <w:pPr>
              <w:autoSpaceDE w:val="0"/>
              <w:autoSpaceDN w:val="0"/>
              <w:adjustRightInd w:val="0"/>
              <w:jc w:val="both"/>
            </w:pPr>
          </w:p>
          <w:p w14:paraId="489CCA98" w14:textId="6357859A" w:rsidR="00DE3949" w:rsidRPr="003158EE" w:rsidRDefault="005477B2" w:rsidP="005477B2">
            <w:pPr>
              <w:autoSpaceDE w:val="0"/>
              <w:autoSpaceDN w:val="0"/>
              <w:adjustRightInd w:val="0"/>
              <w:jc w:val="both"/>
            </w:pPr>
            <w:r w:rsidRPr="003158EE">
              <w:t>b) skreśla się ust. 2;</w:t>
            </w:r>
          </w:p>
        </w:tc>
        <w:tc>
          <w:tcPr>
            <w:tcW w:w="596" w:type="dxa"/>
          </w:tcPr>
          <w:p w14:paraId="4214F4AC" w14:textId="62FF3BA8" w:rsidR="00DE3949" w:rsidRPr="003158EE" w:rsidRDefault="007F1CB1" w:rsidP="000672D3">
            <w:pPr>
              <w:pStyle w:val="Default"/>
              <w:jc w:val="both"/>
              <w:rPr>
                <w:b/>
              </w:rPr>
            </w:pPr>
            <w:r w:rsidRPr="003158EE">
              <w:rPr>
                <w:b/>
              </w:rPr>
              <w:lastRenderedPageBreak/>
              <w:t>N</w:t>
            </w:r>
          </w:p>
        </w:tc>
        <w:tc>
          <w:tcPr>
            <w:tcW w:w="7342" w:type="dxa"/>
          </w:tcPr>
          <w:p w14:paraId="38FB40F4" w14:textId="77777777" w:rsidR="00DE3949" w:rsidRPr="003158EE" w:rsidRDefault="00DE3949" w:rsidP="0052090E">
            <w:pPr>
              <w:pStyle w:val="ZPKTzmpktartykuempunktem"/>
              <w:ind w:left="510"/>
              <w:rPr>
                <w:rFonts w:ascii="Times New Roman" w:hAnsi="Times New Roman" w:cs="Times New Roman"/>
                <w:szCs w:val="24"/>
              </w:rPr>
            </w:pPr>
          </w:p>
        </w:tc>
      </w:tr>
      <w:tr w:rsidR="007F1CB1" w:rsidRPr="003158EE" w14:paraId="75B838BF" w14:textId="77777777" w:rsidTr="00E93415">
        <w:tc>
          <w:tcPr>
            <w:tcW w:w="952" w:type="dxa"/>
          </w:tcPr>
          <w:p w14:paraId="50651E90" w14:textId="11CF8FB9" w:rsidR="007F1CB1" w:rsidRPr="003158EE" w:rsidRDefault="00BD08F4" w:rsidP="000672D3">
            <w:pPr>
              <w:pStyle w:val="Default"/>
              <w:jc w:val="center"/>
            </w:pPr>
            <w:r w:rsidRPr="003158EE">
              <w:lastRenderedPageBreak/>
              <w:t>Art. 1 pkt 32</w:t>
            </w:r>
          </w:p>
        </w:tc>
        <w:tc>
          <w:tcPr>
            <w:tcW w:w="5074" w:type="dxa"/>
          </w:tcPr>
          <w:p w14:paraId="52524E62" w14:textId="5B4F61B0" w:rsidR="007F1CB1" w:rsidRPr="003158EE" w:rsidRDefault="00BD08F4" w:rsidP="00BD08F4">
            <w:pPr>
              <w:autoSpaceDE w:val="0"/>
              <w:autoSpaceDN w:val="0"/>
              <w:adjustRightInd w:val="0"/>
              <w:jc w:val="both"/>
            </w:pPr>
            <w:r w:rsidRPr="003158EE">
              <w:t>32) skreśla się art. 25 ust. 2;</w:t>
            </w:r>
          </w:p>
        </w:tc>
        <w:tc>
          <w:tcPr>
            <w:tcW w:w="596" w:type="dxa"/>
          </w:tcPr>
          <w:p w14:paraId="3A95D7CC" w14:textId="0F637787" w:rsidR="007F1CB1" w:rsidRPr="003158EE" w:rsidRDefault="00BD08F4" w:rsidP="000672D3">
            <w:pPr>
              <w:pStyle w:val="Default"/>
              <w:jc w:val="both"/>
              <w:rPr>
                <w:b/>
              </w:rPr>
            </w:pPr>
            <w:r w:rsidRPr="003158EE">
              <w:rPr>
                <w:b/>
              </w:rPr>
              <w:t>N</w:t>
            </w:r>
          </w:p>
        </w:tc>
        <w:tc>
          <w:tcPr>
            <w:tcW w:w="7342" w:type="dxa"/>
          </w:tcPr>
          <w:p w14:paraId="218490EB" w14:textId="77777777" w:rsidR="007F1CB1" w:rsidRPr="003158EE" w:rsidRDefault="007F1CB1" w:rsidP="0052090E">
            <w:pPr>
              <w:pStyle w:val="ZPKTzmpktartykuempunktem"/>
              <w:ind w:left="510"/>
              <w:rPr>
                <w:rFonts w:ascii="Times New Roman" w:hAnsi="Times New Roman" w:cs="Times New Roman"/>
                <w:szCs w:val="24"/>
              </w:rPr>
            </w:pPr>
          </w:p>
        </w:tc>
      </w:tr>
      <w:tr w:rsidR="00862ED0" w:rsidRPr="003158EE" w14:paraId="15411D77" w14:textId="77777777" w:rsidTr="00E93415">
        <w:tc>
          <w:tcPr>
            <w:tcW w:w="952" w:type="dxa"/>
          </w:tcPr>
          <w:p w14:paraId="58F54E89" w14:textId="039380C7" w:rsidR="00862ED0" w:rsidRPr="003158EE" w:rsidRDefault="00862ED0" w:rsidP="000672D3">
            <w:pPr>
              <w:pStyle w:val="Default"/>
              <w:jc w:val="center"/>
            </w:pPr>
            <w:r w:rsidRPr="003158EE">
              <w:t>Art. 1 pkt 33</w:t>
            </w:r>
          </w:p>
        </w:tc>
        <w:tc>
          <w:tcPr>
            <w:tcW w:w="5074" w:type="dxa"/>
          </w:tcPr>
          <w:p w14:paraId="13E26D1C" w14:textId="6391E931" w:rsidR="00862ED0" w:rsidRPr="003158EE" w:rsidRDefault="00862ED0" w:rsidP="00862ED0">
            <w:pPr>
              <w:autoSpaceDE w:val="0"/>
              <w:autoSpaceDN w:val="0"/>
              <w:adjustRightInd w:val="0"/>
              <w:jc w:val="both"/>
            </w:pPr>
            <w:r w:rsidRPr="003158EE">
              <w:t>33) w art. 25a ust. 1 akapit pierwszy i drugi otrzymują brzmienie:</w:t>
            </w:r>
          </w:p>
          <w:p w14:paraId="70808636" w14:textId="77777777" w:rsidR="00862ED0" w:rsidRPr="003158EE" w:rsidRDefault="00862ED0" w:rsidP="00862ED0">
            <w:pPr>
              <w:autoSpaceDE w:val="0"/>
              <w:autoSpaceDN w:val="0"/>
              <w:adjustRightInd w:val="0"/>
              <w:jc w:val="both"/>
            </w:pPr>
            <w:r w:rsidRPr="003158EE">
              <w:t>„W przypadku gdy państwo trzecie przyjmuje środki mające na celu zmniejszenie wpływu lotów rozpoczynających się w tym państwie trzecim i kończących się w Unii na zmianę klimatu, Komisja, po przeprowadzeniu konsultacji z tym państwem trzecim i z państwami członkowskimi w ramach komitetu, o którym mowa w art. 22a ust. 1, rozważa dostępne rozwiązania zapewniające optymalną interakcję EU ETS i środków tego państwa.</w:t>
            </w:r>
          </w:p>
          <w:p w14:paraId="55D2CDB6" w14:textId="0DA9CAEB" w:rsidR="00862ED0" w:rsidRPr="003158EE" w:rsidRDefault="00862ED0" w:rsidP="00862ED0">
            <w:pPr>
              <w:autoSpaceDE w:val="0"/>
              <w:autoSpaceDN w:val="0"/>
              <w:adjustRightInd w:val="0"/>
              <w:jc w:val="both"/>
            </w:pPr>
            <w:r w:rsidRPr="003158EE">
              <w:t>Komisja jest uprawniona do przyjmowania aktów delegowanych zgodnie z art. 23 w celu zmiany załącznika I do niniejszej dyrektywy, tak by przewidzieć, że loty rozpoczynające się w danym państwie trzecim zostaną wyłączone z działań lotniczych wymienionych w załączniku I, lub by przewidzieć jakiekolwiek inne zmiany – oprócz zmian dotyczących zakresu stosowania – w działaniach lotniczych wymienionych w załączniku I wymaganych na mocy umowy zawartej zgodnie z art. 218 Traktatu o funkcjonowaniu Unii Europejskiej.”;</w:t>
            </w:r>
          </w:p>
        </w:tc>
        <w:tc>
          <w:tcPr>
            <w:tcW w:w="596" w:type="dxa"/>
          </w:tcPr>
          <w:p w14:paraId="132AA732" w14:textId="6FABE061" w:rsidR="00862ED0" w:rsidRPr="003158EE" w:rsidRDefault="00862ED0" w:rsidP="000672D3">
            <w:pPr>
              <w:pStyle w:val="Default"/>
              <w:jc w:val="both"/>
              <w:rPr>
                <w:b/>
              </w:rPr>
            </w:pPr>
            <w:r w:rsidRPr="003158EE">
              <w:rPr>
                <w:b/>
              </w:rPr>
              <w:t>N</w:t>
            </w:r>
          </w:p>
        </w:tc>
        <w:tc>
          <w:tcPr>
            <w:tcW w:w="7342" w:type="dxa"/>
          </w:tcPr>
          <w:p w14:paraId="665CE81A" w14:textId="77777777" w:rsidR="00862ED0" w:rsidRPr="003158EE" w:rsidRDefault="00862ED0" w:rsidP="0052090E">
            <w:pPr>
              <w:pStyle w:val="ZPKTzmpktartykuempunktem"/>
              <w:ind w:left="510"/>
              <w:rPr>
                <w:rFonts w:ascii="Times New Roman" w:hAnsi="Times New Roman" w:cs="Times New Roman"/>
                <w:szCs w:val="24"/>
              </w:rPr>
            </w:pPr>
          </w:p>
        </w:tc>
      </w:tr>
      <w:tr w:rsidR="00862ED0" w:rsidRPr="003158EE" w14:paraId="2A21588F" w14:textId="77777777" w:rsidTr="00E93415">
        <w:tc>
          <w:tcPr>
            <w:tcW w:w="952" w:type="dxa"/>
          </w:tcPr>
          <w:p w14:paraId="3C7814AC" w14:textId="409534A5" w:rsidR="00862ED0" w:rsidRPr="003158EE" w:rsidRDefault="00DF7BE9" w:rsidP="000672D3">
            <w:pPr>
              <w:pStyle w:val="Default"/>
              <w:jc w:val="center"/>
            </w:pPr>
            <w:r w:rsidRPr="003158EE">
              <w:t>Art. 1 pkt 34</w:t>
            </w:r>
          </w:p>
        </w:tc>
        <w:tc>
          <w:tcPr>
            <w:tcW w:w="5074" w:type="dxa"/>
          </w:tcPr>
          <w:p w14:paraId="69BA54CB" w14:textId="07441898" w:rsidR="00747BE6" w:rsidRPr="003158EE" w:rsidRDefault="00747BE6" w:rsidP="00747BE6">
            <w:pPr>
              <w:autoSpaceDE w:val="0"/>
              <w:autoSpaceDN w:val="0"/>
              <w:adjustRightInd w:val="0"/>
              <w:jc w:val="both"/>
            </w:pPr>
            <w:r w:rsidRPr="003158EE">
              <w:t>34) art. 27 ust. 3 akapit drugi otrzymuje brzmienie:</w:t>
            </w:r>
          </w:p>
          <w:p w14:paraId="65BDD257" w14:textId="2C53D547" w:rsidR="00862ED0" w:rsidRPr="003158EE" w:rsidRDefault="00747BE6" w:rsidP="00747BE6">
            <w:pPr>
              <w:autoSpaceDE w:val="0"/>
              <w:autoSpaceDN w:val="0"/>
              <w:adjustRightInd w:val="0"/>
              <w:jc w:val="both"/>
            </w:pPr>
            <w:r w:rsidRPr="003158EE">
              <w:lastRenderedPageBreak/>
              <w:t>„Każda taka instalacja pozostaje w EU ETS przez pozostałą część okresu, o którym mowa w art. 11 ust. 1, podczas którego została ponownie włączona do tego systemu.”;</w:t>
            </w:r>
          </w:p>
        </w:tc>
        <w:tc>
          <w:tcPr>
            <w:tcW w:w="596" w:type="dxa"/>
          </w:tcPr>
          <w:p w14:paraId="3E3B34DD" w14:textId="2F5909B9" w:rsidR="00862ED0" w:rsidRPr="003158EE" w:rsidRDefault="00741DED" w:rsidP="000672D3">
            <w:pPr>
              <w:pStyle w:val="Default"/>
              <w:jc w:val="both"/>
              <w:rPr>
                <w:b/>
              </w:rPr>
            </w:pPr>
            <w:r w:rsidRPr="003158EE">
              <w:rPr>
                <w:b/>
              </w:rPr>
              <w:lastRenderedPageBreak/>
              <w:t>N</w:t>
            </w:r>
          </w:p>
        </w:tc>
        <w:tc>
          <w:tcPr>
            <w:tcW w:w="7342" w:type="dxa"/>
          </w:tcPr>
          <w:p w14:paraId="0067D349" w14:textId="7CE1FC52" w:rsidR="00862ED0" w:rsidRPr="003158EE" w:rsidRDefault="00862ED0" w:rsidP="00553DB2">
            <w:pPr>
              <w:pStyle w:val="ZPKTzmpktartykuempunktem"/>
              <w:ind w:left="0" w:firstLine="0"/>
              <w:rPr>
                <w:rFonts w:ascii="Times New Roman" w:hAnsi="Times New Roman" w:cs="Times New Roman"/>
                <w:szCs w:val="24"/>
              </w:rPr>
            </w:pPr>
          </w:p>
        </w:tc>
      </w:tr>
      <w:tr w:rsidR="0044638A" w:rsidRPr="003158EE" w14:paraId="106556E3" w14:textId="77777777" w:rsidTr="00E93415">
        <w:tc>
          <w:tcPr>
            <w:tcW w:w="952" w:type="dxa"/>
          </w:tcPr>
          <w:p w14:paraId="17A68FEA" w14:textId="7611C4C2" w:rsidR="0044638A" w:rsidRPr="003158EE" w:rsidRDefault="003540E0" w:rsidP="000672D3">
            <w:pPr>
              <w:pStyle w:val="Default"/>
              <w:jc w:val="center"/>
            </w:pPr>
            <w:r w:rsidRPr="003158EE">
              <w:lastRenderedPageBreak/>
              <w:t>Art. 1 pkt 35</w:t>
            </w:r>
          </w:p>
        </w:tc>
        <w:tc>
          <w:tcPr>
            <w:tcW w:w="5074" w:type="dxa"/>
          </w:tcPr>
          <w:p w14:paraId="6240EE41" w14:textId="23DE555E" w:rsidR="0099313A" w:rsidRPr="003158EE" w:rsidRDefault="0099313A" w:rsidP="0099313A">
            <w:pPr>
              <w:autoSpaceDE w:val="0"/>
              <w:autoSpaceDN w:val="0"/>
              <w:adjustRightInd w:val="0"/>
              <w:jc w:val="both"/>
            </w:pPr>
            <w:r w:rsidRPr="003158EE">
              <w:t>35) dodaje się artykuł w brzmieniu:</w:t>
            </w:r>
          </w:p>
          <w:p w14:paraId="7001311E" w14:textId="77777777" w:rsidR="0099313A" w:rsidRPr="003158EE" w:rsidRDefault="0099313A" w:rsidP="0099313A">
            <w:pPr>
              <w:autoSpaceDE w:val="0"/>
              <w:autoSpaceDN w:val="0"/>
              <w:adjustRightInd w:val="0"/>
              <w:jc w:val="both"/>
            </w:pPr>
            <w:r w:rsidRPr="003158EE">
              <w:t>„Artykuł 27a</w:t>
            </w:r>
          </w:p>
          <w:p w14:paraId="78C62F40" w14:textId="77777777" w:rsidR="0099313A" w:rsidRPr="003158EE" w:rsidRDefault="0099313A" w:rsidP="0099313A">
            <w:pPr>
              <w:autoSpaceDE w:val="0"/>
              <w:autoSpaceDN w:val="0"/>
              <w:adjustRightInd w:val="0"/>
              <w:jc w:val="both"/>
            </w:pPr>
            <w:r w:rsidRPr="003158EE">
              <w:t>Opcjonalne wyłączenie instalacji emitujących poniżej 2 500 ton</w:t>
            </w:r>
          </w:p>
          <w:p w14:paraId="660FA50E" w14:textId="77777777" w:rsidR="0099313A" w:rsidRPr="003158EE" w:rsidRDefault="0099313A" w:rsidP="0099313A">
            <w:pPr>
              <w:autoSpaceDE w:val="0"/>
              <w:autoSpaceDN w:val="0"/>
              <w:adjustRightInd w:val="0"/>
              <w:jc w:val="both"/>
            </w:pPr>
            <w:r w:rsidRPr="003158EE">
              <w:t>1.   Państwa członkowskie mogą wyłączyć z EU ETS instalacje, w przypadku których raportowane do właściwego organu zainteresowanego państwa członkowskiego, emisje, z pominięciem emisji z biomasy, w każdym z trzech lat poprzedzających powiadomienie dokonane na podstawie lit. a) nie przekraczały 2 500 ton ekwiwalentu dwutlenku węgla, jeżeli dane państwo członkowskie:</w:t>
            </w:r>
          </w:p>
          <w:p w14:paraId="75BA1DB1" w14:textId="77777777" w:rsidR="0099313A" w:rsidRPr="003158EE" w:rsidRDefault="0099313A" w:rsidP="0099313A">
            <w:pPr>
              <w:autoSpaceDE w:val="0"/>
              <w:autoSpaceDN w:val="0"/>
              <w:adjustRightInd w:val="0"/>
              <w:jc w:val="both"/>
            </w:pPr>
          </w:p>
          <w:p w14:paraId="4F42ECA6" w14:textId="2C5FD03D" w:rsidR="0099313A" w:rsidRPr="003158EE" w:rsidRDefault="0099313A" w:rsidP="0099313A">
            <w:pPr>
              <w:autoSpaceDE w:val="0"/>
              <w:autoSpaceDN w:val="0"/>
              <w:adjustRightInd w:val="0"/>
              <w:jc w:val="both"/>
            </w:pPr>
            <w:r w:rsidRPr="003158EE">
              <w:t>a) powiadomi Komisję o każdej takiej instalacji przed przedłożeniem wykazu instalacji zgodnie z art. 11 ust. 1, a najpóźniej w chwili przedstawienia tego wykazu Komisji;</w:t>
            </w:r>
          </w:p>
          <w:p w14:paraId="4B4F500C" w14:textId="77777777" w:rsidR="0099313A" w:rsidRPr="003158EE" w:rsidRDefault="0099313A" w:rsidP="0099313A">
            <w:pPr>
              <w:autoSpaceDE w:val="0"/>
              <w:autoSpaceDN w:val="0"/>
              <w:adjustRightInd w:val="0"/>
              <w:jc w:val="both"/>
            </w:pPr>
          </w:p>
          <w:p w14:paraId="7E6B9126" w14:textId="0E1B416E" w:rsidR="0099313A" w:rsidRPr="003158EE" w:rsidRDefault="0099313A" w:rsidP="0099313A">
            <w:pPr>
              <w:autoSpaceDE w:val="0"/>
              <w:autoSpaceDN w:val="0"/>
              <w:adjustRightInd w:val="0"/>
              <w:jc w:val="both"/>
            </w:pPr>
            <w:r w:rsidRPr="003158EE">
              <w:t>b) potwierdzi, że stosowane są uproszczone zasady monitorowania mające na celu ocenę, czy w jednym z tych lat kalendarzowych którakolwiek instalacja wyemitowała 2 500 lub więcej ton ekwiwalentu dwutlenku węgla, z pominięciem, emisji z biomasy;</w:t>
            </w:r>
          </w:p>
          <w:p w14:paraId="1210898D" w14:textId="77777777" w:rsidR="0099313A" w:rsidRPr="003158EE" w:rsidRDefault="0099313A" w:rsidP="0099313A">
            <w:pPr>
              <w:autoSpaceDE w:val="0"/>
              <w:autoSpaceDN w:val="0"/>
              <w:adjustRightInd w:val="0"/>
              <w:jc w:val="both"/>
            </w:pPr>
          </w:p>
          <w:p w14:paraId="15A5C9BD" w14:textId="7C25CA12" w:rsidR="0099313A" w:rsidRPr="003158EE" w:rsidRDefault="0099313A" w:rsidP="0099313A">
            <w:pPr>
              <w:autoSpaceDE w:val="0"/>
              <w:autoSpaceDN w:val="0"/>
              <w:adjustRightInd w:val="0"/>
              <w:jc w:val="both"/>
            </w:pPr>
            <w:r w:rsidRPr="003158EE">
              <w:t xml:space="preserve">c) potwierdzi, że jeżeli którakolwiek instalacja w jednym z tych lat kalendarzowych wyemituje 2 500 lub więcej ton ekwiwalentu dwutlenku węgla, </w:t>
            </w:r>
            <w:r w:rsidRPr="003158EE">
              <w:lastRenderedPageBreak/>
              <w:t>z pominięciem emisji z biomasy, instalacja ta zostanie ponownie włączona do EU ETS; oraz</w:t>
            </w:r>
          </w:p>
          <w:p w14:paraId="6D333AF3" w14:textId="77777777" w:rsidR="0099313A" w:rsidRPr="003158EE" w:rsidRDefault="0099313A" w:rsidP="0099313A">
            <w:pPr>
              <w:autoSpaceDE w:val="0"/>
              <w:autoSpaceDN w:val="0"/>
              <w:adjustRightInd w:val="0"/>
              <w:jc w:val="both"/>
            </w:pPr>
          </w:p>
          <w:p w14:paraId="26F04B66" w14:textId="58D77D0D" w:rsidR="0099313A" w:rsidRPr="003158EE" w:rsidRDefault="0099313A" w:rsidP="0099313A">
            <w:pPr>
              <w:autoSpaceDE w:val="0"/>
              <w:autoSpaceDN w:val="0"/>
              <w:adjustRightInd w:val="0"/>
              <w:jc w:val="both"/>
            </w:pPr>
            <w:r w:rsidRPr="003158EE">
              <w:t>d) poda do wiadomości publicznej informacje, o których mowa w lit. a), b) i c).</w:t>
            </w:r>
          </w:p>
          <w:p w14:paraId="3CC34CCE" w14:textId="77777777" w:rsidR="0099313A" w:rsidRPr="003158EE" w:rsidRDefault="0099313A" w:rsidP="0099313A">
            <w:pPr>
              <w:autoSpaceDE w:val="0"/>
              <w:autoSpaceDN w:val="0"/>
              <w:adjustRightInd w:val="0"/>
              <w:jc w:val="both"/>
            </w:pPr>
          </w:p>
          <w:p w14:paraId="6B894771" w14:textId="5DE53230" w:rsidR="0099313A" w:rsidRPr="003158EE" w:rsidRDefault="0099313A" w:rsidP="0099313A">
            <w:pPr>
              <w:autoSpaceDE w:val="0"/>
              <w:autoSpaceDN w:val="0"/>
              <w:adjustRightInd w:val="0"/>
              <w:jc w:val="both"/>
            </w:pPr>
            <w:r w:rsidRPr="003158EE">
              <w:t>2.   W przypadku gdy instalacja zostanie ponownie włączona do EU ETS na podstawie ust. 1 lit. c) niniejszego artykułu, począwszy od roku ponownego włączenia będą przyznawane wszelkie uprawnienia przydzielone na podstawie art. 10a. Uprawnienia przydzielone dla tych instalacji są odliczane od liczby uprawnień, które mają być sprzedane na aukcji na mocy art. 10 ust. 2 przez państwo członkowskie, w którym instalacja się znajduje.</w:t>
            </w:r>
          </w:p>
          <w:p w14:paraId="0EC5AE4B" w14:textId="77777777" w:rsidR="0099313A" w:rsidRPr="003158EE" w:rsidRDefault="0099313A" w:rsidP="0099313A">
            <w:pPr>
              <w:autoSpaceDE w:val="0"/>
              <w:autoSpaceDN w:val="0"/>
              <w:adjustRightInd w:val="0"/>
              <w:jc w:val="both"/>
            </w:pPr>
          </w:p>
          <w:p w14:paraId="6BEBC591" w14:textId="2B664DDC" w:rsidR="0044638A" w:rsidRPr="003158EE" w:rsidRDefault="0099313A" w:rsidP="0099313A">
            <w:pPr>
              <w:autoSpaceDE w:val="0"/>
              <w:autoSpaceDN w:val="0"/>
              <w:adjustRightInd w:val="0"/>
              <w:jc w:val="both"/>
            </w:pPr>
            <w:r w:rsidRPr="003158EE">
              <w:t>3.   Państwa członkowskie mogą także wyłączyć z EU ETS jednostki rezerwowe lub zapasowe, które pracowały mniej niż 300 godzin rocznie w każdym z trzech lat poprzedzających powiadomienie dokonane na podstawie ust. 1 lit. a) na tych samych warunkach co warunki przedstawione w ust. 1 i 2.”;</w:t>
            </w:r>
          </w:p>
        </w:tc>
        <w:tc>
          <w:tcPr>
            <w:tcW w:w="596" w:type="dxa"/>
          </w:tcPr>
          <w:p w14:paraId="4F074968" w14:textId="50BC1DA8" w:rsidR="0044638A" w:rsidRPr="003158EE" w:rsidRDefault="0099313A" w:rsidP="000672D3">
            <w:pPr>
              <w:pStyle w:val="Default"/>
              <w:jc w:val="both"/>
              <w:rPr>
                <w:b/>
              </w:rPr>
            </w:pPr>
            <w:r w:rsidRPr="003158EE">
              <w:rPr>
                <w:b/>
              </w:rPr>
              <w:lastRenderedPageBreak/>
              <w:t>N</w:t>
            </w:r>
          </w:p>
        </w:tc>
        <w:tc>
          <w:tcPr>
            <w:tcW w:w="7342" w:type="dxa"/>
          </w:tcPr>
          <w:p w14:paraId="6597ECD3" w14:textId="0499C789" w:rsidR="0044638A" w:rsidRPr="003158EE" w:rsidRDefault="0044638A" w:rsidP="00052B9F">
            <w:pPr>
              <w:pStyle w:val="ZPKTzmpktartykuempunktem"/>
              <w:ind w:left="0" w:firstLine="0"/>
              <w:rPr>
                <w:rFonts w:ascii="Times New Roman" w:hAnsi="Times New Roman" w:cs="Times New Roman"/>
                <w:szCs w:val="24"/>
              </w:rPr>
            </w:pPr>
          </w:p>
        </w:tc>
      </w:tr>
      <w:tr w:rsidR="00052B9F" w:rsidRPr="003158EE" w14:paraId="1A0A9416" w14:textId="77777777" w:rsidTr="00E93415">
        <w:tc>
          <w:tcPr>
            <w:tcW w:w="952" w:type="dxa"/>
          </w:tcPr>
          <w:p w14:paraId="6003BAD8" w14:textId="6CEB3272" w:rsidR="00052B9F" w:rsidRPr="003158EE" w:rsidRDefault="00052B9F" w:rsidP="000672D3">
            <w:pPr>
              <w:pStyle w:val="Default"/>
              <w:jc w:val="center"/>
            </w:pPr>
            <w:r w:rsidRPr="003158EE">
              <w:lastRenderedPageBreak/>
              <w:t>Art. 1 pkt 36</w:t>
            </w:r>
          </w:p>
        </w:tc>
        <w:tc>
          <w:tcPr>
            <w:tcW w:w="5074" w:type="dxa"/>
          </w:tcPr>
          <w:p w14:paraId="3CB02212" w14:textId="648B7031" w:rsidR="00902491" w:rsidRPr="003158EE" w:rsidRDefault="00902491" w:rsidP="00902491">
            <w:pPr>
              <w:autoSpaceDE w:val="0"/>
              <w:autoSpaceDN w:val="0"/>
              <w:adjustRightInd w:val="0"/>
              <w:jc w:val="both"/>
            </w:pPr>
            <w:r w:rsidRPr="003158EE">
              <w:t>36) art. 28c otrzymuje brzmienie:</w:t>
            </w:r>
          </w:p>
          <w:p w14:paraId="4C17ECAC" w14:textId="77777777" w:rsidR="00902491" w:rsidRPr="003158EE" w:rsidRDefault="00902491" w:rsidP="00902491">
            <w:pPr>
              <w:autoSpaceDE w:val="0"/>
              <w:autoSpaceDN w:val="0"/>
              <w:adjustRightInd w:val="0"/>
              <w:jc w:val="both"/>
            </w:pPr>
            <w:r w:rsidRPr="003158EE">
              <w:t>„Artykuł 28c</w:t>
            </w:r>
          </w:p>
          <w:p w14:paraId="4CDF5E0C" w14:textId="77777777" w:rsidR="00902491" w:rsidRPr="003158EE" w:rsidRDefault="00902491" w:rsidP="00902491">
            <w:pPr>
              <w:autoSpaceDE w:val="0"/>
              <w:autoSpaceDN w:val="0"/>
              <w:adjustRightInd w:val="0"/>
              <w:jc w:val="both"/>
            </w:pPr>
            <w:r w:rsidRPr="003158EE">
              <w:t>Przepisy dotyczące monitorowania, raportowania i weryfikacji na potrzeby globalnego środka rynkowego</w:t>
            </w:r>
          </w:p>
          <w:p w14:paraId="0A23D195" w14:textId="3027CADA" w:rsidR="00052B9F" w:rsidRPr="003158EE" w:rsidRDefault="00902491" w:rsidP="00902491">
            <w:pPr>
              <w:autoSpaceDE w:val="0"/>
              <w:autoSpaceDN w:val="0"/>
              <w:adjustRightInd w:val="0"/>
              <w:jc w:val="both"/>
            </w:pPr>
            <w:r w:rsidRPr="003158EE">
              <w:t xml:space="preserve">Komisja jest uprawniona do przyjmowania aktów delegowanych zgodnie z art. 23, aby uzupełnić niniejszą dyrektywę w zakresie prawidłowego </w:t>
            </w:r>
            <w:r w:rsidRPr="003158EE">
              <w:lastRenderedPageBreak/>
              <w:t>monitorowania, raportowania i weryfikacji emisji na potrzeby wdrożenia globalnego środka rynkowego ICAO na wszystkich trasach objętych tym środkiem. Te akty delegowane opierają się na stosownych instrumentach przyjętych przez ICAO, zapobiegają wszelkim zakłóceniom konkurencji i są spójne z zasadami zawartymi w aktach, o których mowa w art. 14 ust. 1, i zapewniają, aby złożone sprawozdania dotyczące emisji zostały zweryfikowane zgodnie z zasadami i kryteriami weryfikacji ustanowionymi w art. 15.”;</w:t>
            </w:r>
          </w:p>
        </w:tc>
        <w:tc>
          <w:tcPr>
            <w:tcW w:w="596" w:type="dxa"/>
          </w:tcPr>
          <w:p w14:paraId="1B2BE94B" w14:textId="545BFC17" w:rsidR="00052B9F" w:rsidRPr="003158EE" w:rsidRDefault="00902491" w:rsidP="000672D3">
            <w:pPr>
              <w:pStyle w:val="Default"/>
              <w:jc w:val="both"/>
              <w:rPr>
                <w:b/>
              </w:rPr>
            </w:pPr>
            <w:r w:rsidRPr="003158EE">
              <w:rPr>
                <w:b/>
              </w:rPr>
              <w:lastRenderedPageBreak/>
              <w:t>N</w:t>
            </w:r>
          </w:p>
        </w:tc>
        <w:tc>
          <w:tcPr>
            <w:tcW w:w="7342" w:type="dxa"/>
          </w:tcPr>
          <w:p w14:paraId="7EA1A381" w14:textId="77777777" w:rsidR="00052B9F" w:rsidRPr="003158EE" w:rsidRDefault="00052B9F" w:rsidP="00052B9F">
            <w:pPr>
              <w:pStyle w:val="ZPKTzmpktartykuempunktem"/>
              <w:ind w:left="0" w:firstLine="0"/>
              <w:rPr>
                <w:rFonts w:ascii="Times New Roman" w:hAnsi="Times New Roman" w:cs="Times New Roman"/>
                <w:szCs w:val="24"/>
              </w:rPr>
            </w:pPr>
          </w:p>
        </w:tc>
      </w:tr>
      <w:tr w:rsidR="00902491" w:rsidRPr="003158EE" w14:paraId="382B1ED9" w14:textId="77777777" w:rsidTr="00E93415">
        <w:tc>
          <w:tcPr>
            <w:tcW w:w="952" w:type="dxa"/>
          </w:tcPr>
          <w:p w14:paraId="469A8BCE" w14:textId="68867C22" w:rsidR="00902491" w:rsidRPr="003158EE" w:rsidRDefault="00902491" w:rsidP="000672D3">
            <w:pPr>
              <w:pStyle w:val="Default"/>
              <w:jc w:val="center"/>
            </w:pPr>
            <w:r w:rsidRPr="003158EE">
              <w:lastRenderedPageBreak/>
              <w:t>Art. 1 pkt 37</w:t>
            </w:r>
          </w:p>
        </w:tc>
        <w:tc>
          <w:tcPr>
            <w:tcW w:w="5074" w:type="dxa"/>
          </w:tcPr>
          <w:p w14:paraId="65CCA2AC" w14:textId="76C8069A" w:rsidR="00293E2D" w:rsidRPr="003158EE" w:rsidRDefault="00293E2D" w:rsidP="00293E2D">
            <w:pPr>
              <w:autoSpaceDE w:val="0"/>
              <w:autoSpaceDN w:val="0"/>
              <w:adjustRightInd w:val="0"/>
              <w:jc w:val="both"/>
            </w:pPr>
            <w:r w:rsidRPr="003158EE">
              <w:t>37) art. 30 otrzymuje brzmienie:</w:t>
            </w:r>
          </w:p>
          <w:p w14:paraId="768984E3" w14:textId="77777777" w:rsidR="00293E2D" w:rsidRPr="003158EE" w:rsidRDefault="00293E2D" w:rsidP="00293E2D">
            <w:pPr>
              <w:autoSpaceDE w:val="0"/>
              <w:autoSpaceDN w:val="0"/>
              <w:adjustRightInd w:val="0"/>
              <w:jc w:val="both"/>
            </w:pPr>
            <w:r w:rsidRPr="003158EE">
              <w:t>„Artykuł 30</w:t>
            </w:r>
          </w:p>
          <w:p w14:paraId="14BBF898" w14:textId="77777777" w:rsidR="00293E2D" w:rsidRPr="003158EE" w:rsidRDefault="00293E2D" w:rsidP="00293E2D">
            <w:pPr>
              <w:autoSpaceDE w:val="0"/>
              <w:autoSpaceDN w:val="0"/>
              <w:adjustRightInd w:val="0"/>
              <w:jc w:val="both"/>
            </w:pPr>
            <w:r w:rsidRPr="003158EE">
              <w:t>Przegląd w świetle realizacji Porozumienia paryskiego oraz rozwoju rynków uprawnień do emisji w innych dużych gospodarkach</w:t>
            </w:r>
          </w:p>
          <w:p w14:paraId="0A3CAA13" w14:textId="77777777" w:rsidR="00293E2D" w:rsidRPr="003158EE" w:rsidRDefault="00293E2D" w:rsidP="00293E2D">
            <w:pPr>
              <w:autoSpaceDE w:val="0"/>
              <w:autoSpaceDN w:val="0"/>
              <w:adjustRightInd w:val="0"/>
              <w:jc w:val="both"/>
            </w:pPr>
            <w:r w:rsidRPr="003158EE">
              <w:t>1.   Niniejsza dyrektywa jest poddawana przeglądowi w świetle rozwoju sytuacji międzynarodowej i działań podejmowanych w celu realizacji długoterminowych celów Porozumienia paryskiego.</w:t>
            </w:r>
          </w:p>
          <w:p w14:paraId="54555FFC" w14:textId="77777777" w:rsidR="00293E2D" w:rsidRPr="003158EE" w:rsidRDefault="00293E2D" w:rsidP="00293E2D">
            <w:pPr>
              <w:autoSpaceDE w:val="0"/>
              <w:autoSpaceDN w:val="0"/>
              <w:adjustRightInd w:val="0"/>
              <w:jc w:val="both"/>
            </w:pPr>
            <w:r w:rsidRPr="003158EE">
              <w:t>2.   Środki wspierające pewne energochłonne sektory, które mogą być narażone na ucieczkę emisji i o których mowa w art. 10a i 10b, są również poddawane przeglądowi w świetle środków polityki klimatycznej w innych dużych gospodarkach. W tym kontekście Komisja rozważa również, czy należy bardziej zharmonizować środki związane z rekompensatą kosztów pośrednich.</w:t>
            </w:r>
          </w:p>
          <w:p w14:paraId="6A503284" w14:textId="77777777" w:rsidR="00293E2D" w:rsidRPr="003158EE" w:rsidRDefault="00293E2D" w:rsidP="00293E2D">
            <w:pPr>
              <w:autoSpaceDE w:val="0"/>
              <w:autoSpaceDN w:val="0"/>
              <w:adjustRightInd w:val="0"/>
              <w:jc w:val="both"/>
            </w:pPr>
            <w:r w:rsidRPr="003158EE">
              <w:t xml:space="preserve">3.   Komisja składa sprawozdanie Parlamentowi Europejskiemu i Radzie w ramach każdego </w:t>
            </w:r>
            <w:r w:rsidRPr="003158EE">
              <w:lastRenderedPageBreak/>
              <w:t>globalnego przeglądu uzgodnionego w Porozumieniu paryskim, w szczególności w odniesieniu do potrzeby zastosowania dodatkowych unijnych polityk i środków w związku z niezbędną redukcją gazów cieplarnianych przez Unię i jej państwa członkowskie, w tym w odniesieniu do współczynnika liniowego, o którym mowa w art. 9. Komisja może przedstawić wniosek Parlamentowi Europejskiemu i Radzie w celu odpowiedniej zmiany niniejszej dyrektywy.</w:t>
            </w:r>
          </w:p>
          <w:p w14:paraId="31F247C9" w14:textId="21AEE858" w:rsidR="00902491" w:rsidRPr="003158EE" w:rsidRDefault="00293E2D" w:rsidP="00293E2D">
            <w:pPr>
              <w:autoSpaceDE w:val="0"/>
              <w:autoSpaceDN w:val="0"/>
              <w:adjustRightInd w:val="0"/>
              <w:jc w:val="both"/>
            </w:pPr>
            <w:r w:rsidRPr="003158EE">
              <w:t>4.   Do dnia 1 stycznia 2020 r. Komisja przedstawia zaktualizowaną analizę wpływu emisji lotniczych innych niż CO2 oraz, w stosownych przypadkach, wniosek ustawodawczy dotyczący najlepszych sposobów przeciwdziałania temu wpływowi.”;</w:t>
            </w:r>
          </w:p>
        </w:tc>
        <w:tc>
          <w:tcPr>
            <w:tcW w:w="596" w:type="dxa"/>
          </w:tcPr>
          <w:p w14:paraId="36B8C92E" w14:textId="72B22BD1" w:rsidR="00902491" w:rsidRPr="003158EE" w:rsidRDefault="00293E2D" w:rsidP="000672D3">
            <w:pPr>
              <w:pStyle w:val="Default"/>
              <w:jc w:val="both"/>
              <w:rPr>
                <w:b/>
              </w:rPr>
            </w:pPr>
            <w:r w:rsidRPr="003158EE">
              <w:rPr>
                <w:b/>
              </w:rPr>
              <w:lastRenderedPageBreak/>
              <w:t>N</w:t>
            </w:r>
          </w:p>
        </w:tc>
        <w:tc>
          <w:tcPr>
            <w:tcW w:w="7342" w:type="dxa"/>
          </w:tcPr>
          <w:p w14:paraId="6A0AB769" w14:textId="77777777" w:rsidR="00902491" w:rsidRPr="003158EE" w:rsidRDefault="00902491" w:rsidP="00052B9F">
            <w:pPr>
              <w:pStyle w:val="ZPKTzmpktartykuempunktem"/>
              <w:ind w:left="0" w:firstLine="0"/>
              <w:rPr>
                <w:rFonts w:ascii="Times New Roman" w:hAnsi="Times New Roman" w:cs="Times New Roman"/>
                <w:szCs w:val="24"/>
              </w:rPr>
            </w:pPr>
          </w:p>
        </w:tc>
      </w:tr>
      <w:tr w:rsidR="00293E2D" w:rsidRPr="003158EE" w14:paraId="1621BE48" w14:textId="77777777" w:rsidTr="00E93415">
        <w:tc>
          <w:tcPr>
            <w:tcW w:w="952" w:type="dxa"/>
          </w:tcPr>
          <w:p w14:paraId="53AE5FA3" w14:textId="0F84EFC2" w:rsidR="00293E2D" w:rsidRPr="003158EE" w:rsidRDefault="001377E7" w:rsidP="000672D3">
            <w:pPr>
              <w:pStyle w:val="Default"/>
              <w:jc w:val="center"/>
            </w:pPr>
            <w:r w:rsidRPr="003158EE">
              <w:lastRenderedPageBreak/>
              <w:t>Art. 1 pkt 38</w:t>
            </w:r>
          </w:p>
        </w:tc>
        <w:tc>
          <w:tcPr>
            <w:tcW w:w="5074" w:type="dxa"/>
          </w:tcPr>
          <w:p w14:paraId="6397CA34" w14:textId="11E39640" w:rsidR="00293E2D" w:rsidRPr="003158EE" w:rsidRDefault="001377E7" w:rsidP="001377E7">
            <w:pPr>
              <w:autoSpaceDE w:val="0"/>
              <w:autoSpaceDN w:val="0"/>
              <w:adjustRightInd w:val="0"/>
              <w:jc w:val="both"/>
            </w:pPr>
            <w:r w:rsidRPr="003158EE">
              <w:t>38) w załączniku IIa do dyrektywy 2003/87/WE skreśla się pozycje dotyczące Belgii, Luksemburga, Szwecji i Włoch;</w:t>
            </w:r>
          </w:p>
        </w:tc>
        <w:tc>
          <w:tcPr>
            <w:tcW w:w="596" w:type="dxa"/>
          </w:tcPr>
          <w:p w14:paraId="51350C80" w14:textId="6307D889" w:rsidR="00293E2D" w:rsidRPr="003158EE" w:rsidRDefault="001377E7" w:rsidP="000672D3">
            <w:pPr>
              <w:pStyle w:val="Default"/>
              <w:jc w:val="both"/>
              <w:rPr>
                <w:b/>
              </w:rPr>
            </w:pPr>
            <w:r w:rsidRPr="003158EE">
              <w:rPr>
                <w:b/>
              </w:rPr>
              <w:t>N</w:t>
            </w:r>
          </w:p>
        </w:tc>
        <w:tc>
          <w:tcPr>
            <w:tcW w:w="7342" w:type="dxa"/>
          </w:tcPr>
          <w:p w14:paraId="7B2D5BA5" w14:textId="77777777" w:rsidR="00293E2D" w:rsidRPr="003158EE" w:rsidRDefault="00293E2D" w:rsidP="00052B9F">
            <w:pPr>
              <w:pStyle w:val="ZPKTzmpktartykuempunktem"/>
              <w:ind w:left="0" w:firstLine="0"/>
              <w:rPr>
                <w:rFonts w:ascii="Times New Roman" w:hAnsi="Times New Roman" w:cs="Times New Roman"/>
                <w:szCs w:val="24"/>
              </w:rPr>
            </w:pPr>
          </w:p>
        </w:tc>
      </w:tr>
      <w:tr w:rsidR="001377E7" w:rsidRPr="003158EE" w14:paraId="4F0DA003" w14:textId="77777777" w:rsidTr="00E93415">
        <w:tc>
          <w:tcPr>
            <w:tcW w:w="952" w:type="dxa"/>
          </w:tcPr>
          <w:p w14:paraId="17AE8676" w14:textId="2BCF0CD2" w:rsidR="001377E7" w:rsidRPr="003158EE" w:rsidRDefault="009737BF" w:rsidP="000672D3">
            <w:pPr>
              <w:pStyle w:val="Default"/>
              <w:jc w:val="center"/>
            </w:pPr>
            <w:r w:rsidRPr="003158EE">
              <w:t>Art. 1 pkt 39</w:t>
            </w:r>
          </w:p>
        </w:tc>
        <w:tc>
          <w:tcPr>
            <w:tcW w:w="5074" w:type="dxa"/>
          </w:tcPr>
          <w:p w14:paraId="1D692314" w14:textId="37F302A5" w:rsidR="001377E7" w:rsidRPr="003158EE" w:rsidRDefault="009737BF" w:rsidP="009737BF">
            <w:pPr>
              <w:autoSpaceDE w:val="0"/>
              <w:autoSpaceDN w:val="0"/>
              <w:adjustRightInd w:val="0"/>
              <w:jc w:val="both"/>
            </w:pPr>
            <w:r w:rsidRPr="003158EE">
              <w:t>39) załącznik IIb do dyrektywy 2003/87/WE zastępuje się tekstem zamieszczonym w załączniku I do niniejszej dyrektywy;</w:t>
            </w:r>
          </w:p>
        </w:tc>
        <w:tc>
          <w:tcPr>
            <w:tcW w:w="596" w:type="dxa"/>
          </w:tcPr>
          <w:p w14:paraId="6573714F" w14:textId="00B943BF" w:rsidR="001377E7" w:rsidRPr="003158EE" w:rsidRDefault="009737BF" w:rsidP="000672D3">
            <w:pPr>
              <w:pStyle w:val="Default"/>
              <w:jc w:val="both"/>
              <w:rPr>
                <w:b/>
              </w:rPr>
            </w:pPr>
            <w:r w:rsidRPr="003158EE">
              <w:rPr>
                <w:b/>
              </w:rPr>
              <w:t>N</w:t>
            </w:r>
          </w:p>
        </w:tc>
        <w:tc>
          <w:tcPr>
            <w:tcW w:w="7342" w:type="dxa"/>
          </w:tcPr>
          <w:p w14:paraId="18CEC2A3" w14:textId="77777777" w:rsidR="001377E7" w:rsidRPr="003158EE" w:rsidRDefault="001377E7" w:rsidP="00052B9F">
            <w:pPr>
              <w:pStyle w:val="ZPKTzmpktartykuempunktem"/>
              <w:ind w:left="0" w:firstLine="0"/>
              <w:rPr>
                <w:rFonts w:ascii="Times New Roman" w:hAnsi="Times New Roman" w:cs="Times New Roman"/>
                <w:szCs w:val="24"/>
              </w:rPr>
            </w:pPr>
          </w:p>
        </w:tc>
      </w:tr>
      <w:tr w:rsidR="009737BF" w:rsidRPr="003158EE" w14:paraId="5720222A" w14:textId="77777777" w:rsidTr="00E93415">
        <w:tc>
          <w:tcPr>
            <w:tcW w:w="952" w:type="dxa"/>
          </w:tcPr>
          <w:p w14:paraId="4688FAD7" w14:textId="77807C1F" w:rsidR="009737BF" w:rsidRPr="003158EE" w:rsidRDefault="009737BF" w:rsidP="000672D3">
            <w:pPr>
              <w:pStyle w:val="Default"/>
              <w:jc w:val="center"/>
            </w:pPr>
            <w:r w:rsidRPr="003158EE">
              <w:t>Art. 1 pkt 40</w:t>
            </w:r>
          </w:p>
        </w:tc>
        <w:tc>
          <w:tcPr>
            <w:tcW w:w="5074" w:type="dxa"/>
          </w:tcPr>
          <w:p w14:paraId="100BE4FF" w14:textId="06982EC3" w:rsidR="009737BF" w:rsidRPr="003158EE" w:rsidRDefault="006E1222" w:rsidP="006E1222">
            <w:pPr>
              <w:autoSpaceDE w:val="0"/>
              <w:autoSpaceDN w:val="0"/>
              <w:adjustRightInd w:val="0"/>
              <w:jc w:val="both"/>
            </w:pPr>
            <w:r w:rsidRPr="003158EE">
              <w:t>40) w załączniku IV do dyrektywy 2003/87/WE wprowadza się zmiany zgodnie z załącznikiem II do niniejszej dyrektywy.</w:t>
            </w:r>
          </w:p>
        </w:tc>
        <w:tc>
          <w:tcPr>
            <w:tcW w:w="596" w:type="dxa"/>
          </w:tcPr>
          <w:p w14:paraId="335CCAC7" w14:textId="1746AA43" w:rsidR="009737BF" w:rsidRPr="003158EE" w:rsidRDefault="006E1222" w:rsidP="000672D3">
            <w:pPr>
              <w:pStyle w:val="Default"/>
              <w:jc w:val="both"/>
              <w:rPr>
                <w:b/>
              </w:rPr>
            </w:pPr>
            <w:r w:rsidRPr="003158EE">
              <w:rPr>
                <w:b/>
              </w:rPr>
              <w:t>N</w:t>
            </w:r>
          </w:p>
        </w:tc>
        <w:tc>
          <w:tcPr>
            <w:tcW w:w="7342" w:type="dxa"/>
          </w:tcPr>
          <w:p w14:paraId="09DBFA5B" w14:textId="77777777" w:rsidR="009737BF" w:rsidRPr="003158EE" w:rsidRDefault="009737BF" w:rsidP="00052B9F">
            <w:pPr>
              <w:pStyle w:val="ZPKTzmpktartykuempunktem"/>
              <w:ind w:left="0" w:firstLine="0"/>
              <w:rPr>
                <w:rFonts w:ascii="Times New Roman" w:hAnsi="Times New Roman" w:cs="Times New Roman"/>
                <w:szCs w:val="24"/>
              </w:rPr>
            </w:pPr>
          </w:p>
        </w:tc>
      </w:tr>
      <w:tr w:rsidR="006E1222" w:rsidRPr="003158EE" w14:paraId="1ADA2FFE" w14:textId="77777777" w:rsidTr="00E93415">
        <w:tc>
          <w:tcPr>
            <w:tcW w:w="952" w:type="dxa"/>
          </w:tcPr>
          <w:p w14:paraId="27596A27" w14:textId="2BCA91AA" w:rsidR="006E1222" w:rsidRPr="003158EE" w:rsidRDefault="0016791B" w:rsidP="000672D3">
            <w:pPr>
              <w:pStyle w:val="Default"/>
              <w:jc w:val="center"/>
            </w:pPr>
            <w:r w:rsidRPr="003158EE">
              <w:t>Art. 2</w:t>
            </w:r>
          </w:p>
        </w:tc>
        <w:tc>
          <w:tcPr>
            <w:tcW w:w="5074" w:type="dxa"/>
          </w:tcPr>
          <w:p w14:paraId="54AF20A1" w14:textId="77777777" w:rsidR="0016791B" w:rsidRPr="003158EE" w:rsidRDefault="0016791B" w:rsidP="0016791B">
            <w:pPr>
              <w:autoSpaceDE w:val="0"/>
              <w:autoSpaceDN w:val="0"/>
              <w:adjustRightInd w:val="0"/>
              <w:jc w:val="both"/>
            </w:pPr>
            <w:r w:rsidRPr="003158EE">
              <w:t>Artykuł 2</w:t>
            </w:r>
          </w:p>
          <w:p w14:paraId="5D839142" w14:textId="01549EDF" w:rsidR="0016791B" w:rsidRPr="003158EE" w:rsidRDefault="0016791B" w:rsidP="0016791B">
            <w:pPr>
              <w:autoSpaceDE w:val="0"/>
              <w:autoSpaceDN w:val="0"/>
              <w:adjustRightInd w:val="0"/>
              <w:jc w:val="both"/>
              <w:rPr>
                <w:b/>
                <w:bCs/>
              </w:rPr>
            </w:pPr>
            <w:r w:rsidRPr="003158EE">
              <w:rPr>
                <w:b/>
                <w:bCs/>
              </w:rPr>
              <w:t>Zmiany do decyzji (UE) 2015/1814</w:t>
            </w:r>
          </w:p>
          <w:p w14:paraId="4633EC08" w14:textId="77777777" w:rsidR="00346C8D" w:rsidRPr="003158EE" w:rsidRDefault="00346C8D" w:rsidP="0016791B">
            <w:pPr>
              <w:autoSpaceDE w:val="0"/>
              <w:autoSpaceDN w:val="0"/>
              <w:adjustRightInd w:val="0"/>
              <w:jc w:val="both"/>
            </w:pPr>
          </w:p>
          <w:p w14:paraId="1B6889D7" w14:textId="26708891" w:rsidR="0016791B" w:rsidRPr="003158EE" w:rsidRDefault="0016791B" w:rsidP="0016791B">
            <w:pPr>
              <w:autoSpaceDE w:val="0"/>
              <w:autoSpaceDN w:val="0"/>
              <w:adjustRightInd w:val="0"/>
              <w:jc w:val="both"/>
            </w:pPr>
            <w:r w:rsidRPr="003158EE">
              <w:t>W art. 1 decyzji (UE) 2015/1814 wprowadza się następujące zmiany:</w:t>
            </w:r>
          </w:p>
          <w:p w14:paraId="0E7AF6B6" w14:textId="77777777" w:rsidR="0016791B" w:rsidRPr="003158EE" w:rsidRDefault="0016791B" w:rsidP="0016791B">
            <w:pPr>
              <w:autoSpaceDE w:val="0"/>
              <w:autoSpaceDN w:val="0"/>
              <w:adjustRightInd w:val="0"/>
              <w:jc w:val="both"/>
            </w:pPr>
          </w:p>
          <w:p w14:paraId="1649E518" w14:textId="071D1ED2" w:rsidR="0016791B" w:rsidRPr="003158EE" w:rsidRDefault="0016791B" w:rsidP="0016791B">
            <w:pPr>
              <w:autoSpaceDE w:val="0"/>
              <w:autoSpaceDN w:val="0"/>
              <w:adjustRightInd w:val="0"/>
              <w:jc w:val="both"/>
            </w:pPr>
            <w:r w:rsidRPr="003158EE">
              <w:lastRenderedPageBreak/>
              <w:t>1) w ust. 5 akapit pierwszy dodaje się zdanie w brzmieniu:</w:t>
            </w:r>
          </w:p>
          <w:p w14:paraId="2BE687C3" w14:textId="77777777" w:rsidR="0016791B" w:rsidRPr="003158EE" w:rsidRDefault="0016791B" w:rsidP="0016791B">
            <w:pPr>
              <w:autoSpaceDE w:val="0"/>
              <w:autoSpaceDN w:val="0"/>
              <w:adjustRightInd w:val="0"/>
              <w:jc w:val="both"/>
            </w:pPr>
            <w:r w:rsidRPr="003158EE">
              <w:t>„W drodze odstępstwa od zdania pierwszego i drugiego, do dnia 31 grudnia 2023 r. wartości procentowe i 100 milionów uprawnień, o których mowa w niniejszych zdaniach, zostają podwojone.”;</w:t>
            </w:r>
          </w:p>
          <w:p w14:paraId="45F3069A" w14:textId="77777777" w:rsidR="0016791B" w:rsidRPr="003158EE" w:rsidRDefault="0016791B" w:rsidP="0016791B">
            <w:pPr>
              <w:autoSpaceDE w:val="0"/>
              <w:autoSpaceDN w:val="0"/>
              <w:adjustRightInd w:val="0"/>
              <w:jc w:val="both"/>
            </w:pPr>
          </w:p>
          <w:p w14:paraId="175115B8" w14:textId="77777777" w:rsidR="0016791B" w:rsidRPr="003158EE" w:rsidRDefault="0016791B" w:rsidP="0016791B">
            <w:pPr>
              <w:autoSpaceDE w:val="0"/>
              <w:autoSpaceDN w:val="0"/>
              <w:adjustRightInd w:val="0"/>
              <w:jc w:val="both"/>
            </w:pPr>
          </w:p>
          <w:p w14:paraId="49B6418C" w14:textId="0B8B7D5A" w:rsidR="0016791B" w:rsidRPr="003158EE" w:rsidRDefault="0016791B" w:rsidP="0016791B">
            <w:pPr>
              <w:autoSpaceDE w:val="0"/>
              <w:autoSpaceDN w:val="0"/>
              <w:adjustRightInd w:val="0"/>
              <w:jc w:val="both"/>
            </w:pPr>
            <w:r w:rsidRPr="003158EE">
              <w:t>2) dodaje się ustęp w brzmieniu:</w:t>
            </w:r>
          </w:p>
          <w:p w14:paraId="2C4A2266" w14:textId="6FFD6E19" w:rsidR="006E1222" w:rsidRPr="003158EE" w:rsidRDefault="0016791B" w:rsidP="0016791B">
            <w:pPr>
              <w:autoSpaceDE w:val="0"/>
              <w:autoSpaceDN w:val="0"/>
              <w:adjustRightInd w:val="0"/>
              <w:jc w:val="both"/>
            </w:pPr>
            <w:r w:rsidRPr="003158EE">
              <w:t>„5a.   Począwszy od 2023 roku, uprawnienia znajdujące się w rezerwie i przekraczające całkowitą liczbę uprawnień sprzedanych na aukcji w ciągu poprzedniego roku tracą ważność, o ile podczas pierwszego przeglądu przeprowadzonego zgodnie z art. 3 nie postanowiono inaczej.”.</w:t>
            </w:r>
          </w:p>
        </w:tc>
        <w:tc>
          <w:tcPr>
            <w:tcW w:w="596" w:type="dxa"/>
          </w:tcPr>
          <w:p w14:paraId="331680CB" w14:textId="3711BC1D" w:rsidR="006E1222" w:rsidRPr="003158EE" w:rsidRDefault="0016791B" w:rsidP="000672D3">
            <w:pPr>
              <w:pStyle w:val="Default"/>
              <w:jc w:val="both"/>
              <w:rPr>
                <w:b/>
              </w:rPr>
            </w:pPr>
            <w:r w:rsidRPr="003158EE">
              <w:rPr>
                <w:b/>
              </w:rPr>
              <w:lastRenderedPageBreak/>
              <w:t>N</w:t>
            </w:r>
          </w:p>
        </w:tc>
        <w:tc>
          <w:tcPr>
            <w:tcW w:w="7342" w:type="dxa"/>
          </w:tcPr>
          <w:p w14:paraId="0157A824" w14:textId="77777777" w:rsidR="006E1222" w:rsidRPr="003158EE" w:rsidRDefault="006E1222" w:rsidP="00052B9F">
            <w:pPr>
              <w:pStyle w:val="ZPKTzmpktartykuempunktem"/>
              <w:ind w:left="0" w:firstLine="0"/>
              <w:rPr>
                <w:rFonts w:ascii="Times New Roman" w:hAnsi="Times New Roman" w:cs="Times New Roman"/>
                <w:szCs w:val="24"/>
              </w:rPr>
            </w:pPr>
          </w:p>
        </w:tc>
      </w:tr>
      <w:tr w:rsidR="0016791B" w:rsidRPr="003158EE" w14:paraId="7F0B9253" w14:textId="77777777" w:rsidTr="00E93415">
        <w:tc>
          <w:tcPr>
            <w:tcW w:w="952" w:type="dxa"/>
          </w:tcPr>
          <w:p w14:paraId="3397A336" w14:textId="43B59BBC" w:rsidR="0016791B" w:rsidRPr="003158EE" w:rsidRDefault="004C45D5" w:rsidP="000672D3">
            <w:pPr>
              <w:pStyle w:val="Default"/>
              <w:jc w:val="center"/>
            </w:pPr>
            <w:r w:rsidRPr="003158EE">
              <w:lastRenderedPageBreak/>
              <w:t>Art. 3 ust. 1</w:t>
            </w:r>
          </w:p>
        </w:tc>
        <w:tc>
          <w:tcPr>
            <w:tcW w:w="5074" w:type="dxa"/>
          </w:tcPr>
          <w:p w14:paraId="6850093B" w14:textId="77777777" w:rsidR="00967544" w:rsidRPr="003158EE" w:rsidRDefault="00967544" w:rsidP="00967544">
            <w:pPr>
              <w:autoSpaceDE w:val="0"/>
              <w:autoSpaceDN w:val="0"/>
              <w:adjustRightInd w:val="0"/>
              <w:jc w:val="both"/>
            </w:pPr>
            <w:r w:rsidRPr="003158EE">
              <w:t>Artykuł 3</w:t>
            </w:r>
          </w:p>
          <w:p w14:paraId="48A8D46C" w14:textId="617F1A16" w:rsidR="00967544" w:rsidRPr="003158EE" w:rsidRDefault="00967544" w:rsidP="00967544">
            <w:pPr>
              <w:autoSpaceDE w:val="0"/>
              <w:autoSpaceDN w:val="0"/>
              <w:adjustRightInd w:val="0"/>
              <w:jc w:val="both"/>
              <w:rPr>
                <w:b/>
                <w:bCs/>
              </w:rPr>
            </w:pPr>
            <w:r w:rsidRPr="003158EE">
              <w:rPr>
                <w:b/>
                <w:bCs/>
              </w:rPr>
              <w:t>Transpozycja</w:t>
            </w:r>
          </w:p>
          <w:p w14:paraId="22094F93" w14:textId="77777777" w:rsidR="00967544" w:rsidRPr="003158EE" w:rsidRDefault="00967544" w:rsidP="00967544">
            <w:pPr>
              <w:autoSpaceDE w:val="0"/>
              <w:autoSpaceDN w:val="0"/>
              <w:adjustRightInd w:val="0"/>
              <w:jc w:val="both"/>
            </w:pPr>
          </w:p>
          <w:p w14:paraId="4AC277A8" w14:textId="6418AF48" w:rsidR="00967544" w:rsidRPr="003158EE" w:rsidRDefault="00967544" w:rsidP="00967544">
            <w:pPr>
              <w:autoSpaceDE w:val="0"/>
              <w:autoSpaceDN w:val="0"/>
              <w:adjustRightInd w:val="0"/>
              <w:jc w:val="both"/>
            </w:pPr>
            <w:r w:rsidRPr="003158EE">
              <w:t>1.   Państwa członkowskie wprowadzają w życie przepisy ustawowe, wykonawcze i administracyjne niezbędne do wykonania niniejszej dyrektywy do dnia 9 października 2019 r. Niezwłocznie przekazują Komisji tekst tych przepisów.</w:t>
            </w:r>
          </w:p>
          <w:p w14:paraId="217538CE" w14:textId="77777777" w:rsidR="00967544" w:rsidRPr="003158EE" w:rsidRDefault="00967544" w:rsidP="00967544">
            <w:pPr>
              <w:autoSpaceDE w:val="0"/>
              <w:autoSpaceDN w:val="0"/>
              <w:adjustRightInd w:val="0"/>
              <w:jc w:val="both"/>
            </w:pPr>
            <w:r w:rsidRPr="003158EE">
              <w:t>Przepisy przyjęte przez państwa członkowskie zawierają odniesienie do niniejszej dyrektywy lub odniesienie takie towarzyszy ich urzędowej publikacji. Sposób dokonywania takiego odniesienia określany jest przez państwa członkowskie.</w:t>
            </w:r>
          </w:p>
          <w:p w14:paraId="5B5D242F" w14:textId="29110955" w:rsidR="0016791B" w:rsidRPr="003158EE" w:rsidRDefault="00967544" w:rsidP="00967544">
            <w:pPr>
              <w:autoSpaceDE w:val="0"/>
              <w:autoSpaceDN w:val="0"/>
              <w:adjustRightInd w:val="0"/>
              <w:jc w:val="both"/>
            </w:pPr>
            <w:r w:rsidRPr="003158EE">
              <w:lastRenderedPageBreak/>
              <w:t>W drodze odstępstwa od akapitu pierwszego, najpóźniej do dnia 31 grudnia 2018 r. państwa członkowskie wprowadzają w życie przepisy ustawowe, wykonawcze i administracyjne niezbędne do wypełnienia obowiązków związanych z upublicznianiem i składaniem sprawozdań określonych w art. 1 lit. f) pkt 14 niniejszej dyrektywy dotyczących w art. 10a ust. 6 dyrektywy 2003/87/WE.</w:t>
            </w:r>
          </w:p>
        </w:tc>
        <w:tc>
          <w:tcPr>
            <w:tcW w:w="596" w:type="dxa"/>
          </w:tcPr>
          <w:p w14:paraId="1F42098D" w14:textId="2D9D6BE2" w:rsidR="0016791B" w:rsidRPr="003158EE" w:rsidRDefault="008C273D" w:rsidP="000672D3">
            <w:pPr>
              <w:pStyle w:val="Default"/>
              <w:jc w:val="both"/>
              <w:rPr>
                <w:b/>
              </w:rPr>
            </w:pPr>
            <w:r>
              <w:rPr>
                <w:b/>
              </w:rPr>
              <w:lastRenderedPageBreak/>
              <w:t>N</w:t>
            </w:r>
          </w:p>
        </w:tc>
        <w:tc>
          <w:tcPr>
            <w:tcW w:w="7342" w:type="dxa"/>
          </w:tcPr>
          <w:p w14:paraId="43751DF8" w14:textId="0F81DA3F" w:rsidR="0016791B" w:rsidRPr="003158EE" w:rsidRDefault="0016791B" w:rsidP="00052B9F">
            <w:pPr>
              <w:pStyle w:val="ZPKTzmpktartykuempunktem"/>
              <w:ind w:left="0" w:firstLine="0"/>
              <w:rPr>
                <w:rFonts w:ascii="Times New Roman" w:hAnsi="Times New Roman" w:cs="Times New Roman"/>
                <w:szCs w:val="24"/>
              </w:rPr>
            </w:pPr>
          </w:p>
        </w:tc>
      </w:tr>
      <w:tr w:rsidR="00967544" w:rsidRPr="003158EE" w14:paraId="65DCB559" w14:textId="77777777" w:rsidTr="00E93415">
        <w:tc>
          <w:tcPr>
            <w:tcW w:w="952" w:type="dxa"/>
          </w:tcPr>
          <w:p w14:paraId="66BF7045" w14:textId="73A58FDC" w:rsidR="00967544" w:rsidRPr="003158EE" w:rsidRDefault="00967544" w:rsidP="000672D3">
            <w:pPr>
              <w:pStyle w:val="Default"/>
              <w:jc w:val="center"/>
            </w:pPr>
            <w:r w:rsidRPr="003158EE">
              <w:lastRenderedPageBreak/>
              <w:t>Art. 3 ust. 2</w:t>
            </w:r>
          </w:p>
        </w:tc>
        <w:tc>
          <w:tcPr>
            <w:tcW w:w="5074" w:type="dxa"/>
          </w:tcPr>
          <w:p w14:paraId="5942E2C7" w14:textId="00B844D5" w:rsidR="00967544" w:rsidRPr="003158EE" w:rsidRDefault="00D423CC" w:rsidP="00967544">
            <w:pPr>
              <w:autoSpaceDE w:val="0"/>
              <w:autoSpaceDN w:val="0"/>
              <w:adjustRightInd w:val="0"/>
              <w:jc w:val="both"/>
            </w:pPr>
            <w:r w:rsidRPr="003158EE">
              <w:t>2.   Państwa członkowskie przekazują Komisji tekst podstawowych przepisów prawa krajowego przyjętych w dziedzinie objętej niniejszą dyrektywą.</w:t>
            </w:r>
          </w:p>
        </w:tc>
        <w:tc>
          <w:tcPr>
            <w:tcW w:w="596" w:type="dxa"/>
          </w:tcPr>
          <w:p w14:paraId="7602D2B8" w14:textId="63B49A8D" w:rsidR="00967544" w:rsidRPr="003158EE" w:rsidRDefault="00D423CC" w:rsidP="000672D3">
            <w:pPr>
              <w:pStyle w:val="Default"/>
              <w:jc w:val="both"/>
              <w:rPr>
                <w:b/>
              </w:rPr>
            </w:pPr>
            <w:r w:rsidRPr="003158EE">
              <w:rPr>
                <w:b/>
              </w:rPr>
              <w:t>N</w:t>
            </w:r>
          </w:p>
        </w:tc>
        <w:tc>
          <w:tcPr>
            <w:tcW w:w="7342" w:type="dxa"/>
          </w:tcPr>
          <w:p w14:paraId="655AC24B" w14:textId="0A05056F" w:rsidR="00967544" w:rsidRPr="003158EE" w:rsidRDefault="00967544" w:rsidP="00052B9F">
            <w:pPr>
              <w:pStyle w:val="ZPKTzmpktartykuempunktem"/>
              <w:ind w:left="0" w:firstLine="0"/>
              <w:rPr>
                <w:rFonts w:ascii="Times New Roman" w:hAnsi="Times New Roman" w:cs="Times New Roman"/>
                <w:szCs w:val="24"/>
              </w:rPr>
            </w:pPr>
          </w:p>
        </w:tc>
      </w:tr>
      <w:tr w:rsidR="00D423CC" w:rsidRPr="003158EE" w14:paraId="46E51520" w14:textId="77777777" w:rsidTr="00E93415">
        <w:tc>
          <w:tcPr>
            <w:tcW w:w="952" w:type="dxa"/>
          </w:tcPr>
          <w:p w14:paraId="78F5092E" w14:textId="6BCE27D1" w:rsidR="00D423CC" w:rsidRPr="003158EE" w:rsidRDefault="001A47AC" w:rsidP="000672D3">
            <w:pPr>
              <w:pStyle w:val="Default"/>
              <w:jc w:val="center"/>
            </w:pPr>
            <w:r w:rsidRPr="003158EE">
              <w:t>Art. 4</w:t>
            </w:r>
          </w:p>
        </w:tc>
        <w:tc>
          <w:tcPr>
            <w:tcW w:w="5074" w:type="dxa"/>
          </w:tcPr>
          <w:p w14:paraId="6D74E1A3" w14:textId="77777777" w:rsidR="00346C8D" w:rsidRPr="003158EE" w:rsidRDefault="00346C8D" w:rsidP="00346C8D">
            <w:pPr>
              <w:autoSpaceDE w:val="0"/>
              <w:autoSpaceDN w:val="0"/>
              <w:adjustRightInd w:val="0"/>
              <w:jc w:val="both"/>
            </w:pPr>
            <w:r w:rsidRPr="003158EE">
              <w:t>Artykuł 4</w:t>
            </w:r>
          </w:p>
          <w:p w14:paraId="38012B51" w14:textId="77777777" w:rsidR="00346C8D" w:rsidRPr="003158EE" w:rsidRDefault="00346C8D" w:rsidP="00346C8D">
            <w:pPr>
              <w:autoSpaceDE w:val="0"/>
              <w:autoSpaceDN w:val="0"/>
              <w:adjustRightInd w:val="0"/>
              <w:jc w:val="both"/>
              <w:rPr>
                <w:b/>
                <w:bCs/>
              </w:rPr>
            </w:pPr>
            <w:r w:rsidRPr="003158EE">
              <w:rPr>
                <w:b/>
                <w:bCs/>
              </w:rPr>
              <w:t>Przepis przejściowy</w:t>
            </w:r>
          </w:p>
          <w:p w14:paraId="6B6E177B" w14:textId="1FE79B11" w:rsidR="00D423CC" w:rsidRPr="003158EE" w:rsidRDefault="00346C8D" w:rsidP="00346C8D">
            <w:pPr>
              <w:autoSpaceDE w:val="0"/>
              <w:autoSpaceDN w:val="0"/>
              <w:adjustRightInd w:val="0"/>
              <w:jc w:val="both"/>
            </w:pPr>
            <w:r w:rsidRPr="003158EE">
              <w:t>Wypełniając zobowiązania określone w art. 3 ust. 1 akapit pierwszy niniejszej dyrektywy, państwa członkowskie zapewniają, aby ich przepisy krajowe transponujące art. 10, art. 10a ust. 4–7, art. 10a ust. 8 akapity pierwszy i drugi, art. 10a ust. 12–18, art. 10c i art. 11a ust. 8 i 9 dyrektywy 2003/87/WE oraz załączników IIa i IIb do tej dyrektywy obowiązującej od dnia 19 marca 2018 r. nadal miały zastosowanie do dnia 31 grudnia 2020 r. Wykaz zawarty w załączniku do decyzji 2014/746/UE ma nadal zastosowanie do dnia 31 grudnia 2020 r.</w:t>
            </w:r>
          </w:p>
        </w:tc>
        <w:tc>
          <w:tcPr>
            <w:tcW w:w="596" w:type="dxa"/>
          </w:tcPr>
          <w:p w14:paraId="7987A791" w14:textId="1DE52EB5" w:rsidR="00D423CC" w:rsidRPr="003158EE" w:rsidRDefault="00DB7968" w:rsidP="000672D3">
            <w:pPr>
              <w:pStyle w:val="Default"/>
              <w:jc w:val="both"/>
              <w:rPr>
                <w:b/>
              </w:rPr>
            </w:pPr>
            <w:r w:rsidRPr="003158EE">
              <w:rPr>
                <w:b/>
              </w:rPr>
              <w:t>T</w:t>
            </w:r>
          </w:p>
        </w:tc>
        <w:tc>
          <w:tcPr>
            <w:tcW w:w="7342" w:type="dxa"/>
          </w:tcPr>
          <w:p w14:paraId="64345671" w14:textId="24086E6D" w:rsidR="00D423CC" w:rsidRPr="003158EE" w:rsidRDefault="00DB7968" w:rsidP="00851D6F">
            <w:pPr>
              <w:pStyle w:val="ZPKTzmpktartykuempunktem"/>
              <w:ind w:left="0" w:firstLine="0"/>
              <w:rPr>
                <w:rFonts w:ascii="Times New Roman" w:hAnsi="Times New Roman" w:cs="Times New Roman"/>
                <w:szCs w:val="24"/>
              </w:rPr>
            </w:pPr>
            <w:r w:rsidRPr="003158EE">
              <w:rPr>
                <w:rFonts w:ascii="Times New Roman" w:hAnsi="Times New Roman" w:cs="Times New Roman"/>
                <w:szCs w:val="24"/>
              </w:rPr>
              <w:t xml:space="preserve">Wymogi art. 4 zostały uwzględnione przy implementacji przepisów dyrektywy w ustawie z dnia 4 lipca 2019 r. o zmianie ustawy o systemie handlu uprawnieniami do emisji gazów cieplarnianych i niektórych innych ustaw i w ustawie z dnia 19 lipca 2019 r. o systemie rekompensat dla sektorów i podsektorów energochłonnych </w:t>
            </w:r>
          </w:p>
        </w:tc>
      </w:tr>
      <w:tr w:rsidR="00DB7968" w:rsidRPr="003158EE" w14:paraId="08C8937A" w14:textId="77777777" w:rsidTr="00E93415">
        <w:tc>
          <w:tcPr>
            <w:tcW w:w="952" w:type="dxa"/>
          </w:tcPr>
          <w:p w14:paraId="71F4D8B0" w14:textId="1A010D11" w:rsidR="00DB7968" w:rsidRPr="003158EE" w:rsidRDefault="004359B1" w:rsidP="000672D3">
            <w:pPr>
              <w:pStyle w:val="Default"/>
              <w:jc w:val="center"/>
            </w:pPr>
            <w:r w:rsidRPr="003158EE">
              <w:t>Art. 5</w:t>
            </w:r>
          </w:p>
        </w:tc>
        <w:tc>
          <w:tcPr>
            <w:tcW w:w="5074" w:type="dxa"/>
          </w:tcPr>
          <w:p w14:paraId="43230142" w14:textId="77777777" w:rsidR="004359B1" w:rsidRPr="003158EE" w:rsidRDefault="004359B1" w:rsidP="004359B1">
            <w:pPr>
              <w:autoSpaceDE w:val="0"/>
              <w:autoSpaceDN w:val="0"/>
              <w:adjustRightInd w:val="0"/>
              <w:jc w:val="both"/>
            </w:pPr>
            <w:r w:rsidRPr="003158EE">
              <w:t>Artykuł 5</w:t>
            </w:r>
          </w:p>
          <w:p w14:paraId="30F42B27" w14:textId="77777777" w:rsidR="004359B1" w:rsidRPr="003158EE" w:rsidRDefault="004359B1" w:rsidP="004359B1">
            <w:pPr>
              <w:autoSpaceDE w:val="0"/>
              <w:autoSpaceDN w:val="0"/>
              <w:adjustRightInd w:val="0"/>
              <w:jc w:val="both"/>
              <w:rPr>
                <w:b/>
                <w:bCs/>
              </w:rPr>
            </w:pPr>
            <w:r w:rsidRPr="003158EE">
              <w:rPr>
                <w:b/>
                <w:bCs/>
              </w:rPr>
              <w:t>Wejście w życie</w:t>
            </w:r>
          </w:p>
          <w:p w14:paraId="5929D1EB" w14:textId="22283968" w:rsidR="00DB7968" w:rsidRPr="003158EE" w:rsidRDefault="004359B1" w:rsidP="004359B1">
            <w:pPr>
              <w:autoSpaceDE w:val="0"/>
              <w:autoSpaceDN w:val="0"/>
              <w:adjustRightInd w:val="0"/>
              <w:jc w:val="both"/>
            </w:pPr>
            <w:r w:rsidRPr="003158EE">
              <w:t>Niniejsza dyrektywa wchodzi w życie dwudziestego dnia po jej opublikowaniu w Dzienniku Urzędowym Unii Europejskiej.</w:t>
            </w:r>
          </w:p>
        </w:tc>
        <w:tc>
          <w:tcPr>
            <w:tcW w:w="596" w:type="dxa"/>
          </w:tcPr>
          <w:p w14:paraId="3467197C" w14:textId="7C2F1422" w:rsidR="00DB7968" w:rsidRPr="003158EE" w:rsidRDefault="004359B1" w:rsidP="000672D3">
            <w:pPr>
              <w:pStyle w:val="Default"/>
              <w:jc w:val="both"/>
              <w:rPr>
                <w:b/>
              </w:rPr>
            </w:pPr>
            <w:r w:rsidRPr="003158EE">
              <w:rPr>
                <w:b/>
              </w:rPr>
              <w:t>N</w:t>
            </w:r>
          </w:p>
        </w:tc>
        <w:tc>
          <w:tcPr>
            <w:tcW w:w="7342" w:type="dxa"/>
          </w:tcPr>
          <w:p w14:paraId="72498036" w14:textId="77777777" w:rsidR="00DB7968" w:rsidRPr="003158EE" w:rsidRDefault="00DB7968" w:rsidP="00052B9F">
            <w:pPr>
              <w:pStyle w:val="ZPKTzmpktartykuempunktem"/>
              <w:ind w:left="0" w:firstLine="0"/>
              <w:rPr>
                <w:rFonts w:ascii="Times New Roman" w:hAnsi="Times New Roman" w:cs="Times New Roman"/>
                <w:szCs w:val="24"/>
              </w:rPr>
            </w:pPr>
          </w:p>
        </w:tc>
      </w:tr>
      <w:tr w:rsidR="004359B1" w:rsidRPr="003158EE" w14:paraId="05323FA6" w14:textId="77777777" w:rsidTr="00E93415">
        <w:tc>
          <w:tcPr>
            <w:tcW w:w="952" w:type="dxa"/>
          </w:tcPr>
          <w:p w14:paraId="05AEC132" w14:textId="3EE9905E" w:rsidR="004359B1" w:rsidRPr="003158EE" w:rsidRDefault="004359B1" w:rsidP="000672D3">
            <w:pPr>
              <w:pStyle w:val="Default"/>
              <w:jc w:val="center"/>
            </w:pPr>
            <w:r w:rsidRPr="003158EE">
              <w:lastRenderedPageBreak/>
              <w:t>Art. 6</w:t>
            </w:r>
          </w:p>
        </w:tc>
        <w:tc>
          <w:tcPr>
            <w:tcW w:w="5074" w:type="dxa"/>
          </w:tcPr>
          <w:p w14:paraId="6AAF20F0" w14:textId="77777777" w:rsidR="00346C8D" w:rsidRPr="003158EE" w:rsidRDefault="00346C8D" w:rsidP="00346C8D">
            <w:pPr>
              <w:autoSpaceDE w:val="0"/>
              <w:autoSpaceDN w:val="0"/>
              <w:adjustRightInd w:val="0"/>
              <w:jc w:val="both"/>
            </w:pPr>
            <w:r w:rsidRPr="003158EE">
              <w:t>Artykuł 6</w:t>
            </w:r>
          </w:p>
          <w:p w14:paraId="5B8F767F" w14:textId="77777777" w:rsidR="00346C8D" w:rsidRPr="003158EE" w:rsidRDefault="00346C8D" w:rsidP="00346C8D">
            <w:pPr>
              <w:autoSpaceDE w:val="0"/>
              <w:autoSpaceDN w:val="0"/>
              <w:adjustRightInd w:val="0"/>
              <w:jc w:val="both"/>
              <w:rPr>
                <w:b/>
                <w:bCs/>
              </w:rPr>
            </w:pPr>
            <w:r w:rsidRPr="003158EE">
              <w:rPr>
                <w:b/>
                <w:bCs/>
              </w:rPr>
              <w:t>Adresaci</w:t>
            </w:r>
          </w:p>
          <w:p w14:paraId="1C365888" w14:textId="29C1C1C7" w:rsidR="004359B1" w:rsidRPr="003158EE" w:rsidRDefault="00346C8D" w:rsidP="00346C8D">
            <w:pPr>
              <w:autoSpaceDE w:val="0"/>
              <w:autoSpaceDN w:val="0"/>
              <w:adjustRightInd w:val="0"/>
              <w:jc w:val="both"/>
            </w:pPr>
            <w:r w:rsidRPr="003158EE">
              <w:t>Niniejsza dyrektywa skierowana jest do państw członkowskich</w:t>
            </w:r>
          </w:p>
        </w:tc>
        <w:tc>
          <w:tcPr>
            <w:tcW w:w="596" w:type="dxa"/>
          </w:tcPr>
          <w:p w14:paraId="6BEF2A2D" w14:textId="42509F4C" w:rsidR="004359B1" w:rsidRPr="003158EE" w:rsidRDefault="009754D9" w:rsidP="000672D3">
            <w:pPr>
              <w:pStyle w:val="Default"/>
              <w:jc w:val="both"/>
              <w:rPr>
                <w:b/>
              </w:rPr>
            </w:pPr>
            <w:r w:rsidRPr="003158EE">
              <w:rPr>
                <w:b/>
              </w:rPr>
              <w:t>N</w:t>
            </w:r>
          </w:p>
        </w:tc>
        <w:tc>
          <w:tcPr>
            <w:tcW w:w="7342" w:type="dxa"/>
          </w:tcPr>
          <w:p w14:paraId="5131F935" w14:textId="77777777" w:rsidR="004359B1" w:rsidRPr="003158EE" w:rsidRDefault="004359B1" w:rsidP="00052B9F">
            <w:pPr>
              <w:pStyle w:val="ZPKTzmpktartykuempunktem"/>
              <w:ind w:left="0" w:firstLine="0"/>
              <w:rPr>
                <w:rFonts w:ascii="Times New Roman" w:hAnsi="Times New Roman" w:cs="Times New Roman"/>
                <w:szCs w:val="24"/>
              </w:rPr>
            </w:pPr>
          </w:p>
        </w:tc>
      </w:tr>
    </w:tbl>
    <w:p w14:paraId="1B9010AE" w14:textId="77777777" w:rsidR="000672D3" w:rsidRPr="003158EE" w:rsidRDefault="000672D3"/>
    <w:sectPr w:rsidR="000672D3" w:rsidRPr="003158EE" w:rsidSect="000672D3">
      <w:footerReference w:type="default" r:id="rId9"/>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9A6ADB" w14:textId="77777777" w:rsidR="00EC0C60" w:rsidRDefault="00EC0C60">
      <w:r>
        <w:separator/>
      </w:r>
    </w:p>
  </w:endnote>
  <w:endnote w:type="continuationSeparator" w:id="0">
    <w:p w14:paraId="11C4FA83" w14:textId="77777777" w:rsidR="00EC0C60" w:rsidRDefault="00EC0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717407"/>
      <w:docPartObj>
        <w:docPartGallery w:val="Page Numbers (Bottom of Page)"/>
        <w:docPartUnique/>
      </w:docPartObj>
    </w:sdtPr>
    <w:sdtEndPr/>
    <w:sdtContent>
      <w:p w14:paraId="4D86EE5F" w14:textId="438D72BE" w:rsidR="008F3D81" w:rsidRDefault="008F3D81">
        <w:pPr>
          <w:pStyle w:val="Stopka"/>
          <w:jc w:val="right"/>
        </w:pPr>
        <w:r>
          <w:fldChar w:fldCharType="begin"/>
        </w:r>
        <w:r>
          <w:instrText xml:space="preserve"> PAGE   \* MERGEFORMAT </w:instrText>
        </w:r>
        <w:r>
          <w:fldChar w:fldCharType="separate"/>
        </w:r>
        <w:r w:rsidR="00AE2E33">
          <w:rPr>
            <w:noProof/>
          </w:rPr>
          <w:t>3</w:t>
        </w:r>
        <w:r>
          <w:rPr>
            <w:noProof/>
          </w:rPr>
          <w:fldChar w:fldCharType="end"/>
        </w:r>
      </w:p>
    </w:sdtContent>
  </w:sdt>
  <w:p w14:paraId="4C738C20" w14:textId="77777777" w:rsidR="008F3D81" w:rsidRDefault="008F3D8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6290FA" w14:textId="77777777" w:rsidR="00EC0C60" w:rsidRDefault="00EC0C60">
      <w:r>
        <w:separator/>
      </w:r>
    </w:p>
  </w:footnote>
  <w:footnote w:type="continuationSeparator" w:id="0">
    <w:p w14:paraId="7EC2B749" w14:textId="77777777" w:rsidR="00EC0C60" w:rsidRDefault="00EC0C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pl-PL" w:eastAsia="pl-PL" w:bidi="pl-PL"/>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
    <w:nsid w:val="00000004"/>
    <w:multiLevelType w:val="multilevel"/>
    <w:tmpl w:val="000000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pl-PL" w:eastAsia="pl-PL" w:bidi="pl-PL"/>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2">
    <w:nsid w:val="00000006"/>
    <w:multiLevelType w:val="multilevel"/>
    <w:tmpl w:val="000000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pl-PL" w:eastAsia="pl-PL" w:bidi="pl-PL"/>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3">
    <w:nsid w:val="009D33E4"/>
    <w:multiLevelType w:val="hybridMultilevel"/>
    <w:tmpl w:val="EAFA1B9E"/>
    <w:lvl w:ilvl="0" w:tplc="C5389850">
      <w:start w:val="1"/>
      <w:numFmt w:val="bullet"/>
      <w:lvlText w:val=""/>
      <w:lvlJc w:val="left"/>
      <w:pPr>
        <w:ind w:left="360" w:hanging="360"/>
      </w:pPr>
      <w:rPr>
        <w:rFonts w:ascii="Symbol" w:hAnsi="Symbol" w:hint="default"/>
        <w:i/>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nsid w:val="025A5947"/>
    <w:multiLevelType w:val="hybridMultilevel"/>
    <w:tmpl w:val="7310BB6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7476500"/>
    <w:multiLevelType w:val="hybridMultilevel"/>
    <w:tmpl w:val="F328EE4C"/>
    <w:lvl w:ilvl="0" w:tplc="0415000B">
      <w:start w:val="4"/>
      <w:numFmt w:val="bullet"/>
      <w:lvlText w:val=""/>
      <w:lvlJc w:val="left"/>
      <w:pPr>
        <w:ind w:left="720" w:hanging="360"/>
      </w:pPr>
      <w:rPr>
        <w:rFonts w:ascii="Wingdings" w:eastAsia="Times New Roman" w:hAnsi="Wingding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BDB7F03"/>
    <w:multiLevelType w:val="hybridMultilevel"/>
    <w:tmpl w:val="AC8E44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EDD58D5"/>
    <w:multiLevelType w:val="hybridMultilevel"/>
    <w:tmpl w:val="FC609744"/>
    <w:lvl w:ilvl="0" w:tplc="2370C28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0F28148B"/>
    <w:multiLevelType w:val="hybridMultilevel"/>
    <w:tmpl w:val="BDCCF10C"/>
    <w:lvl w:ilvl="0" w:tplc="00644600">
      <w:start w:val="1"/>
      <w:numFmt w:val="decimal"/>
      <w:lvlText w:val="%1."/>
      <w:lvlJc w:val="left"/>
      <w:pPr>
        <w:ind w:left="678" w:hanging="360"/>
      </w:pPr>
      <w:rPr>
        <w:rFonts w:hint="default"/>
        <w:i/>
      </w:rPr>
    </w:lvl>
    <w:lvl w:ilvl="1" w:tplc="04150019" w:tentative="1">
      <w:start w:val="1"/>
      <w:numFmt w:val="lowerLetter"/>
      <w:lvlText w:val="%2."/>
      <w:lvlJc w:val="left"/>
      <w:pPr>
        <w:ind w:left="1398" w:hanging="360"/>
      </w:pPr>
    </w:lvl>
    <w:lvl w:ilvl="2" w:tplc="0415001B" w:tentative="1">
      <w:start w:val="1"/>
      <w:numFmt w:val="lowerRoman"/>
      <w:lvlText w:val="%3."/>
      <w:lvlJc w:val="right"/>
      <w:pPr>
        <w:ind w:left="2118" w:hanging="180"/>
      </w:pPr>
    </w:lvl>
    <w:lvl w:ilvl="3" w:tplc="0415000F" w:tentative="1">
      <w:start w:val="1"/>
      <w:numFmt w:val="decimal"/>
      <w:lvlText w:val="%4."/>
      <w:lvlJc w:val="left"/>
      <w:pPr>
        <w:ind w:left="2838" w:hanging="360"/>
      </w:pPr>
    </w:lvl>
    <w:lvl w:ilvl="4" w:tplc="04150019" w:tentative="1">
      <w:start w:val="1"/>
      <w:numFmt w:val="lowerLetter"/>
      <w:lvlText w:val="%5."/>
      <w:lvlJc w:val="left"/>
      <w:pPr>
        <w:ind w:left="3558" w:hanging="360"/>
      </w:pPr>
    </w:lvl>
    <w:lvl w:ilvl="5" w:tplc="0415001B" w:tentative="1">
      <w:start w:val="1"/>
      <w:numFmt w:val="lowerRoman"/>
      <w:lvlText w:val="%6."/>
      <w:lvlJc w:val="right"/>
      <w:pPr>
        <w:ind w:left="4278" w:hanging="180"/>
      </w:pPr>
    </w:lvl>
    <w:lvl w:ilvl="6" w:tplc="0415000F" w:tentative="1">
      <w:start w:val="1"/>
      <w:numFmt w:val="decimal"/>
      <w:lvlText w:val="%7."/>
      <w:lvlJc w:val="left"/>
      <w:pPr>
        <w:ind w:left="4998" w:hanging="360"/>
      </w:pPr>
    </w:lvl>
    <w:lvl w:ilvl="7" w:tplc="04150019" w:tentative="1">
      <w:start w:val="1"/>
      <w:numFmt w:val="lowerLetter"/>
      <w:lvlText w:val="%8."/>
      <w:lvlJc w:val="left"/>
      <w:pPr>
        <w:ind w:left="5718" w:hanging="360"/>
      </w:pPr>
    </w:lvl>
    <w:lvl w:ilvl="8" w:tplc="0415001B" w:tentative="1">
      <w:start w:val="1"/>
      <w:numFmt w:val="lowerRoman"/>
      <w:lvlText w:val="%9."/>
      <w:lvlJc w:val="right"/>
      <w:pPr>
        <w:ind w:left="6438" w:hanging="180"/>
      </w:pPr>
    </w:lvl>
  </w:abstractNum>
  <w:abstractNum w:abstractNumId="9">
    <w:nsid w:val="100B34F0"/>
    <w:multiLevelType w:val="hybridMultilevel"/>
    <w:tmpl w:val="1E8A0796"/>
    <w:lvl w:ilvl="0" w:tplc="0415000B">
      <w:start w:val="4"/>
      <w:numFmt w:val="bullet"/>
      <w:lvlText w:val=""/>
      <w:lvlJc w:val="left"/>
      <w:pPr>
        <w:ind w:left="720" w:hanging="360"/>
      </w:pPr>
      <w:rPr>
        <w:rFonts w:ascii="Wingdings" w:eastAsia="Times New Roman" w:hAnsi="Wingding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34B606F"/>
    <w:multiLevelType w:val="multilevel"/>
    <w:tmpl w:val="0B76276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4"/>
        <w:szCs w:val="14"/>
        <w:u w:val="none"/>
        <w:vertAlign w:val="superscript"/>
        <w:lang w:val="pl-PL" w:eastAsia="pl-PL" w:bidi="pl-PL"/>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1">
    <w:nsid w:val="1DD40AAE"/>
    <w:multiLevelType w:val="hybridMultilevel"/>
    <w:tmpl w:val="E3E41FDA"/>
    <w:lvl w:ilvl="0" w:tplc="20E2E118">
      <w:start w:val="1"/>
      <w:numFmt w:val="decimal"/>
      <w:lvlText w:val="%1)"/>
      <w:lvlJc w:val="left"/>
      <w:pPr>
        <w:ind w:left="870" w:hanging="360"/>
      </w:pPr>
      <w:rPr>
        <w:rFonts w:hint="default"/>
      </w:r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12">
    <w:nsid w:val="208E29B1"/>
    <w:multiLevelType w:val="hybridMultilevel"/>
    <w:tmpl w:val="A79A34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09408B4"/>
    <w:multiLevelType w:val="hybridMultilevel"/>
    <w:tmpl w:val="09F671E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39D717F"/>
    <w:multiLevelType w:val="hybridMultilevel"/>
    <w:tmpl w:val="CB14563C"/>
    <w:lvl w:ilvl="0" w:tplc="93DE4B22">
      <w:start w:val="4"/>
      <w:numFmt w:val="bullet"/>
      <w:lvlText w:val=""/>
      <w:lvlJc w:val="left"/>
      <w:pPr>
        <w:ind w:left="720" w:hanging="360"/>
      </w:pPr>
      <w:rPr>
        <w:rFonts w:ascii="Wingdings" w:eastAsia="Times New Roman" w:hAnsi="Wingdings"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DD918DB"/>
    <w:multiLevelType w:val="hybridMultilevel"/>
    <w:tmpl w:val="841A60F8"/>
    <w:lvl w:ilvl="0" w:tplc="987413B0">
      <w:start w:val="2"/>
      <w:numFmt w:val="decimal"/>
      <w:lvlText w:val="%1)"/>
      <w:lvlJc w:val="left"/>
      <w:pPr>
        <w:ind w:left="870" w:hanging="360"/>
      </w:pPr>
      <w:rPr>
        <w:rFonts w:hint="default"/>
      </w:r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16">
    <w:nsid w:val="2E8734E8"/>
    <w:multiLevelType w:val="hybridMultilevel"/>
    <w:tmpl w:val="16F2A590"/>
    <w:lvl w:ilvl="0" w:tplc="F1E2138A">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9232731"/>
    <w:multiLevelType w:val="hybridMultilevel"/>
    <w:tmpl w:val="5594775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F3F0DB3"/>
    <w:multiLevelType w:val="hybridMultilevel"/>
    <w:tmpl w:val="95B0107C"/>
    <w:lvl w:ilvl="0" w:tplc="04150011">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C4124FE"/>
    <w:multiLevelType w:val="hybridMultilevel"/>
    <w:tmpl w:val="9C9CBA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0906196"/>
    <w:multiLevelType w:val="multilevel"/>
    <w:tmpl w:val="59F6A262"/>
    <w:lvl w:ilvl="0">
      <w:start w:val="1"/>
      <w:numFmt w:val="decimal"/>
      <w:pStyle w:val="Nagwek1"/>
      <w:lvlText w:val="%1"/>
      <w:lvlJc w:val="left"/>
      <w:pPr>
        <w:ind w:left="432" w:hanging="432"/>
      </w:pPr>
    </w:lvl>
    <w:lvl w:ilvl="1">
      <w:start w:val="1"/>
      <w:numFmt w:val="decimal"/>
      <w:pStyle w:val="Nagwek2"/>
      <w:lvlText w:val="%1.%2"/>
      <w:lvlJc w:val="left"/>
      <w:pPr>
        <w:ind w:left="576" w:hanging="576"/>
      </w:pPr>
      <w:rPr>
        <w:rFonts w:ascii="Arial" w:hAnsi="Arial" w:cs="Arial" w:hint="default"/>
        <w:b w:val="0"/>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pStyle w:val="Nagwek3"/>
      <w:lvlText w:val="%1.%2.%3"/>
      <w:lvlJc w:val="left"/>
      <w:pPr>
        <w:ind w:left="720" w:hanging="720"/>
      </w:pPr>
      <w:rPr>
        <w:rFonts w:ascii="Times New Roman" w:hAnsi="Times New Roman" w:cs="Times New Roman" w:hint="default"/>
        <w:b w:val="0"/>
        <w:bCs w:val="0"/>
        <w:i w:val="0"/>
        <w:iCs w:val="0"/>
        <w:caps w:val="0"/>
        <w:smallCaps w:val="0"/>
        <w:strike w:val="0"/>
        <w:dstrike w:val="0"/>
        <w:vanish w:val="0"/>
        <w:color w:val="000000"/>
        <w:spacing w:val="0"/>
        <w:kern w:val="0"/>
        <w:position w:val="0"/>
        <w:sz w:val="20"/>
        <w:szCs w:val="20"/>
        <w:u w:val="none"/>
        <w:vertAlign w:val="baseline"/>
      </w:r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21">
    <w:nsid w:val="52971F65"/>
    <w:multiLevelType w:val="hybridMultilevel"/>
    <w:tmpl w:val="4342A738"/>
    <w:lvl w:ilvl="0" w:tplc="D4D458D4">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75E0140"/>
    <w:multiLevelType w:val="hybridMultilevel"/>
    <w:tmpl w:val="9244CB30"/>
    <w:lvl w:ilvl="0" w:tplc="AFD06694">
      <w:start w:val="1"/>
      <w:numFmt w:val="decimal"/>
      <w:lvlText w:val="(%1)"/>
      <w:lvlJc w:val="left"/>
      <w:pPr>
        <w:ind w:left="720" w:hanging="360"/>
      </w:pPr>
      <w:rPr>
        <w:rFonts w:hint="default"/>
        <w:color w:val="8496B0" w:themeColor="text2" w:themeTint="99"/>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87B3F3C"/>
    <w:multiLevelType w:val="hybridMultilevel"/>
    <w:tmpl w:val="49EAF33C"/>
    <w:lvl w:ilvl="0" w:tplc="3EB4FFE2">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AA6602E"/>
    <w:multiLevelType w:val="hybridMultilevel"/>
    <w:tmpl w:val="F8A6C04E"/>
    <w:lvl w:ilvl="0" w:tplc="0F7EC416">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EDC69A1"/>
    <w:multiLevelType w:val="hybridMultilevel"/>
    <w:tmpl w:val="1AAA7386"/>
    <w:lvl w:ilvl="0" w:tplc="CA00EB64">
      <w:start w:val="1"/>
      <w:numFmt w:val="decimal"/>
      <w:lvlText w:val="%1."/>
      <w:lvlJc w:val="left"/>
      <w:pPr>
        <w:ind w:left="536" w:hanging="360"/>
      </w:pPr>
      <w:rPr>
        <w:rFonts w:hint="default"/>
      </w:rPr>
    </w:lvl>
    <w:lvl w:ilvl="1" w:tplc="04150019" w:tentative="1">
      <w:start w:val="1"/>
      <w:numFmt w:val="lowerLetter"/>
      <w:lvlText w:val="%2."/>
      <w:lvlJc w:val="left"/>
      <w:pPr>
        <w:ind w:left="1256" w:hanging="360"/>
      </w:pPr>
    </w:lvl>
    <w:lvl w:ilvl="2" w:tplc="0415001B" w:tentative="1">
      <w:start w:val="1"/>
      <w:numFmt w:val="lowerRoman"/>
      <w:lvlText w:val="%3."/>
      <w:lvlJc w:val="right"/>
      <w:pPr>
        <w:ind w:left="1976" w:hanging="180"/>
      </w:pPr>
    </w:lvl>
    <w:lvl w:ilvl="3" w:tplc="0415000F" w:tentative="1">
      <w:start w:val="1"/>
      <w:numFmt w:val="decimal"/>
      <w:lvlText w:val="%4."/>
      <w:lvlJc w:val="left"/>
      <w:pPr>
        <w:ind w:left="2696" w:hanging="360"/>
      </w:pPr>
    </w:lvl>
    <w:lvl w:ilvl="4" w:tplc="04150019" w:tentative="1">
      <w:start w:val="1"/>
      <w:numFmt w:val="lowerLetter"/>
      <w:lvlText w:val="%5."/>
      <w:lvlJc w:val="left"/>
      <w:pPr>
        <w:ind w:left="3416" w:hanging="360"/>
      </w:pPr>
    </w:lvl>
    <w:lvl w:ilvl="5" w:tplc="0415001B" w:tentative="1">
      <w:start w:val="1"/>
      <w:numFmt w:val="lowerRoman"/>
      <w:lvlText w:val="%6."/>
      <w:lvlJc w:val="right"/>
      <w:pPr>
        <w:ind w:left="4136" w:hanging="180"/>
      </w:pPr>
    </w:lvl>
    <w:lvl w:ilvl="6" w:tplc="0415000F" w:tentative="1">
      <w:start w:val="1"/>
      <w:numFmt w:val="decimal"/>
      <w:lvlText w:val="%7."/>
      <w:lvlJc w:val="left"/>
      <w:pPr>
        <w:ind w:left="4856" w:hanging="360"/>
      </w:pPr>
    </w:lvl>
    <w:lvl w:ilvl="7" w:tplc="04150019" w:tentative="1">
      <w:start w:val="1"/>
      <w:numFmt w:val="lowerLetter"/>
      <w:lvlText w:val="%8."/>
      <w:lvlJc w:val="left"/>
      <w:pPr>
        <w:ind w:left="5576" w:hanging="360"/>
      </w:pPr>
    </w:lvl>
    <w:lvl w:ilvl="8" w:tplc="0415001B" w:tentative="1">
      <w:start w:val="1"/>
      <w:numFmt w:val="lowerRoman"/>
      <w:lvlText w:val="%9."/>
      <w:lvlJc w:val="right"/>
      <w:pPr>
        <w:ind w:left="6296" w:hanging="180"/>
      </w:pPr>
    </w:lvl>
  </w:abstractNum>
  <w:abstractNum w:abstractNumId="26">
    <w:nsid w:val="69495E54"/>
    <w:multiLevelType w:val="hybridMultilevel"/>
    <w:tmpl w:val="DDBCF760"/>
    <w:lvl w:ilvl="0" w:tplc="B3FA040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1983151"/>
    <w:multiLevelType w:val="hybridMultilevel"/>
    <w:tmpl w:val="0580606C"/>
    <w:lvl w:ilvl="0" w:tplc="7CB0F388">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7792A7D"/>
    <w:multiLevelType w:val="hybridMultilevel"/>
    <w:tmpl w:val="8E44296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89826EE"/>
    <w:multiLevelType w:val="hybridMultilevel"/>
    <w:tmpl w:val="E4F88B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9580039"/>
    <w:multiLevelType w:val="hybridMultilevel"/>
    <w:tmpl w:val="17AEC138"/>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A3C1BD2"/>
    <w:multiLevelType w:val="hybridMultilevel"/>
    <w:tmpl w:val="7F6248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0"/>
  </w:num>
  <w:num w:numId="2">
    <w:abstractNumId w:val="28"/>
  </w:num>
  <w:num w:numId="3">
    <w:abstractNumId w:val="7"/>
  </w:num>
  <w:num w:numId="4">
    <w:abstractNumId w:val="4"/>
  </w:num>
  <w:num w:numId="5">
    <w:abstractNumId w:val="26"/>
  </w:num>
  <w:num w:numId="6">
    <w:abstractNumId w:val="17"/>
  </w:num>
  <w:num w:numId="7">
    <w:abstractNumId w:val="31"/>
  </w:num>
  <w:num w:numId="8">
    <w:abstractNumId w:val="29"/>
  </w:num>
  <w:num w:numId="9">
    <w:abstractNumId w:val="25"/>
  </w:num>
  <w:num w:numId="10">
    <w:abstractNumId w:val="8"/>
  </w:num>
  <w:num w:numId="11">
    <w:abstractNumId w:val="9"/>
  </w:num>
  <w:num w:numId="12">
    <w:abstractNumId w:val="5"/>
  </w:num>
  <w:num w:numId="13">
    <w:abstractNumId w:val="14"/>
  </w:num>
  <w:num w:numId="14">
    <w:abstractNumId w:val="27"/>
  </w:num>
  <w:num w:numId="15">
    <w:abstractNumId w:val="0"/>
  </w:num>
  <w:num w:numId="16">
    <w:abstractNumId w:val="10"/>
  </w:num>
  <w:num w:numId="17">
    <w:abstractNumId w:val="1"/>
  </w:num>
  <w:num w:numId="18">
    <w:abstractNumId w:val="2"/>
  </w:num>
  <w:num w:numId="19">
    <w:abstractNumId w:val="3"/>
  </w:num>
  <w:num w:numId="20">
    <w:abstractNumId w:val="22"/>
  </w:num>
  <w:num w:numId="21">
    <w:abstractNumId w:val="16"/>
  </w:num>
  <w:num w:numId="22">
    <w:abstractNumId w:val="30"/>
  </w:num>
  <w:num w:numId="23">
    <w:abstractNumId w:val="24"/>
  </w:num>
  <w:num w:numId="24">
    <w:abstractNumId w:val="13"/>
  </w:num>
  <w:num w:numId="25">
    <w:abstractNumId w:val="18"/>
  </w:num>
  <w:num w:numId="26">
    <w:abstractNumId w:val="19"/>
  </w:num>
  <w:num w:numId="27">
    <w:abstractNumId w:val="23"/>
  </w:num>
  <w:num w:numId="28">
    <w:abstractNumId w:val="12"/>
  </w:num>
  <w:num w:numId="29">
    <w:abstractNumId w:val="11"/>
  </w:num>
  <w:num w:numId="30">
    <w:abstractNumId w:val="15"/>
  </w:num>
  <w:num w:numId="31">
    <w:abstractNumId w:val="6"/>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7EE"/>
    <w:rsid w:val="00022A6C"/>
    <w:rsid w:val="00036E36"/>
    <w:rsid w:val="00040E48"/>
    <w:rsid w:val="00052B9F"/>
    <w:rsid w:val="00054EFF"/>
    <w:rsid w:val="000672D3"/>
    <w:rsid w:val="00086750"/>
    <w:rsid w:val="00095BDA"/>
    <w:rsid w:val="000A1432"/>
    <w:rsid w:val="000A5B0C"/>
    <w:rsid w:val="000C261D"/>
    <w:rsid w:val="000D0819"/>
    <w:rsid w:val="000D660C"/>
    <w:rsid w:val="000E798F"/>
    <w:rsid w:val="000F1F2F"/>
    <w:rsid w:val="00110AAE"/>
    <w:rsid w:val="00113EC4"/>
    <w:rsid w:val="001209CD"/>
    <w:rsid w:val="001377E7"/>
    <w:rsid w:val="00145390"/>
    <w:rsid w:val="0016791B"/>
    <w:rsid w:val="00172F88"/>
    <w:rsid w:val="00184DDE"/>
    <w:rsid w:val="001A47AC"/>
    <w:rsid w:val="001C3BF0"/>
    <w:rsid w:val="001C5BA5"/>
    <w:rsid w:val="001D53D8"/>
    <w:rsid w:val="001E4C3B"/>
    <w:rsid w:val="00202337"/>
    <w:rsid w:val="0022378F"/>
    <w:rsid w:val="00233554"/>
    <w:rsid w:val="002355BB"/>
    <w:rsid w:val="00256CFE"/>
    <w:rsid w:val="0027437C"/>
    <w:rsid w:val="0028129A"/>
    <w:rsid w:val="00293E2D"/>
    <w:rsid w:val="00315580"/>
    <w:rsid w:val="00315891"/>
    <w:rsid w:val="003158EE"/>
    <w:rsid w:val="00334EC9"/>
    <w:rsid w:val="00342836"/>
    <w:rsid w:val="00342F92"/>
    <w:rsid w:val="00346C8D"/>
    <w:rsid w:val="003540E0"/>
    <w:rsid w:val="0035705A"/>
    <w:rsid w:val="00376C0E"/>
    <w:rsid w:val="0038736B"/>
    <w:rsid w:val="003B0358"/>
    <w:rsid w:val="00402AC3"/>
    <w:rsid w:val="0040504F"/>
    <w:rsid w:val="0041043A"/>
    <w:rsid w:val="00410901"/>
    <w:rsid w:val="0043348B"/>
    <w:rsid w:val="004359B1"/>
    <w:rsid w:val="0044638A"/>
    <w:rsid w:val="00464383"/>
    <w:rsid w:val="00470831"/>
    <w:rsid w:val="004A3C18"/>
    <w:rsid w:val="004B2E34"/>
    <w:rsid w:val="004C40F4"/>
    <w:rsid w:val="004C45D5"/>
    <w:rsid w:val="004D6FFD"/>
    <w:rsid w:val="004F26DC"/>
    <w:rsid w:val="0052063D"/>
    <w:rsid w:val="0052090E"/>
    <w:rsid w:val="00541529"/>
    <w:rsid w:val="005477B2"/>
    <w:rsid w:val="00553DB2"/>
    <w:rsid w:val="00556EA3"/>
    <w:rsid w:val="005778F6"/>
    <w:rsid w:val="00582EB2"/>
    <w:rsid w:val="005E7B5E"/>
    <w:rsid w:val="0060266B"/>
    <w:rsid w:val="00606499"/>
    <w:rsid w:val="006214EB"/>
    <w:rsid w:val="00624321"/>
    <w:rsid w:val="006404EF"/>
    <w:rsid w:val="0064292C"/>
    <w:rsid w:val="00642A2E"/>
    <w:rsid w:val="006727A8"/>
    <w:rsid w:val="00676F14"/>
    <w:rsid w:val="00691DF3"/>
    <w:rsid w:val="006E1222"/>
    <w:rsid w:val="006E2F0C"/>
    <w:rsid w:val="00700DE3"/>
    <w:rsid w:val="0070603F"/>
    <w:rsid w:val="0071724C"/>
    <w:rsid w:val="00722446"/>
    <w:rsid w:val="00741DED"/>
    <w:rsid w:val="00742E8B"/>
    <w:rsid w:val="00747BE6"/>
    <w:rsid w:val="00775B87"/>
    <w:rsid w:val="00780F7C"/>
    <w:rsid w:val="007B40A4"/>
    <w:rsid w:val="007B5EC9"/>
    <w:rsid w:val="007C03A6"/>
    <w:rsid w:val="007D6AA4"/>
    <w:rsid w:val="007F1CB1"/>
    <w:rsid w:val="007F7EDF"/>
    <w:rsid w:val="0080658E"/>
    <w:rsid w:val="0081354B"/>
    <w:rsid w:val="00832103"/>
    <w:rsid w:val="00837509"/>
    <w:rsid w:val="00851D6F"/>
    <w:rsid w:val="00852A79"/>
    <w:rsid w:val="0085409E"/>
    <w:rsid w:val="00860C3C"/>
    <w:rsid w:val="00862ED0"/>
    <w:rsid w:val="0087359D"/>
    <w:rsid w:val="0088747B"/>
    <w:rsid w:val="008C273D"/>
    <w:rsid w:val="008F3D81"/>
    <w:rsid w:val="00902491"/>
    <w:rsid w:val="00911F6B"/>
    <w:rsid w:val="00914385"/>
    <w:rsid w:val="009261FB"/>
    <w:rsid w:val="00936185"/>
    <w:rsid w:val="009475B8"/>
    <w:rsid w:val="00965C03"/>
    <w:rsid w:val="00967544"/>
    <w:rsid w:val="009737BF"/>
    <w:rsid w:val="009754D9"/>
    <w:rsid w:val="00985562"/>
    <w:rsid w:val="009918A3"/>
    <w:rsid w:val="0099313A"/>
    <w:rsid w:val="009A2899"/>
    <w:rsid w:val="009C7E99"/>
    <w:rsid w:val="009D0C82"/>
    <w:rsid w:val="009D52CF"/>
    <w:rsid w:val="009E2507"/>
    <w:rsid w:val="009F02EB"/>
    <w:rsid w:val="00A11E85"/>
    <w:rsid w:val="00A1212C"/>
    <w:rsid w:val="00A2341B"/>
    <w:rsid w:val="00A37CB2"/>
    <w:rsid w:val="00A62867"/>
    <w:rsid w:val="00A779A5"/>
    <w:rsid w:val="00A831A5"/>
    <w:rsid w:val="00A9000A"/>
    <w:rsid w:val="00A954AB"/>
    <w:rsid w:val="00AA08D0"/>
    <w:rsid w:val="00AC0B78"/>
    <w:rsid w:val="00AD4EB8"/>
    <w:rsid w:val="00AE19E9"/>
    <w:rsid w:val="00AE2E33"/>
    <w:rsid w:val="00AE522B"/>
    <w:rsid w:val="00B0062C"/>
    <w:rsid w:val="00B308EA"/>
    <w:rsid w:val="00B74441"/>
    <w:rsid w:val="00BD08F4"/>
    <w:rsid w:val="00C14CEE"/>
    <w:rsid w:val="00C42E5B"/>
    <w:rsid w:val="00C44598"/>
    <w:rsid w:val="00C744E6"/>
    <w:rsid w:val="00CA55BD"/>
    <w:rsid w:val="00CB4DBF"/>
    <w:rsid w:val="00D0621B"/>
    <w:rsid w:val="00D14248"/>
    <w:rsid w:val="00D33755"/>
    <w:rsid w:val="00D423CC"/>
    <w:rsid w:val="00D570E8"/>
    <w:rsid w:val="00D81749"/>
    <w:rsid w:val="00DA432C"/>
    <w:rsid w:val="00DB7968"/>
    <w:rsid w:val="00DC164A"/>
    <w:rsid w:val="00DC729F"/>
    <w:rsid w:val="00DD36AF"/>
    <w:rsid w:val="00DD5C2D"/>
    <w:rsid w:val="00DE3949"/>
    <w:rsid w:val="00DF4D0F"/>
    <w:rsid w:val="00DF7BE9"/>
    <w:rsid w:val="00E25EF3"/>
    <w:rsid w:val="00E433DF"/>
    <w:rsid w:val="00E72916"/>
    <w:rsid w:val="00E73791"/>
    <w:rsid w:val="00E814AE"/>
    <w:rsid w:val="00E817D1"/>
    <w:rsid w:val="00E93415"/>
    <w:rsid w:val="00EB1EFD"/>
    <w:rsid w:val="00EB6950"/>
    <w:rsid w:val="00EB69EA"/>
    <w:rsid w:val="00EC0C60"/>
    <w:rsid w:val="00EC3F21"/>
    <w:rsid w:val="00ED0F69"/>
    <w:rsid w:val="00ED2F1F"/>
    <w:rsid w:val="00ED6B89"/>
    <w:rsid w:val="00EE02E1"/>
    <w:rsid w:val="00EF4D0B"/>
    <w:rsid w:val="00EF6C14"/>
    <w:rsid w:val="00F018CE"/>
    <w:rsid w:val="00F067C9"/>
    <w:rsid w:val="00F12006"/>
    <w:rsid w:val="00F308A9"/>
    <w:rsid w:val="00F434FA"/>
    <w:rsid w:val="00F837EE"/>
    <w:rsid w:val="00F97B05"/>
    <w:rsid w:val="00FC4BB6"/>
    <w:rsid w:val="00FE6F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F9412"/>
  <w15:docId w15:val="{6B4E541B-2A3B-40F3-A211-D6DB9C7BF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52B9F"/>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9"/>
    <w:qFormat/>
    <w:rsid w:val="00F837EE"/>
    <w:pPr>
      <w:keepNext/>
      <w:numPr>
        <w:numId w:val="1"/>
      </w:numPr>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9"/>
    <w:qFormat/>
    <w:rsid w:val="00F837EE"/>
    <w:pPr>
      <w:keepNext/>
      <w:numPr>
        <w:ilvl w:val="1"/>
        <w:numId w:val="1"/>
      </w:numPr>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F837EE"/>
    <w:pPr>
      <w:keepNext/>
      <w:numPr>
        <w:ilvl w:val="2"/>
        <w:numId w:val="1"/>
      </w:numPr>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9"/>
    <w:qFormat/>
    <w:rsid w:val="00F837EE"/>
    <w:pPr>
      <w:keepNext/>
      <w:numPr>
        <w:ilvl w:val="3"/>
        <w:numId w:val="1"/>
      </w:numPr>
      <w:spacing w:before="240" w:after="60"/>
      <w:outlineLvl w:val="3"/>
    </w:pPr>
    <w:rPr>
      <w:b/>
      <w:bCs/>
      <w:sz w:val="28"/>
      <w:szCs w:val="28"/>
    </w:rPr>
  </w:style>
  <w:style w:type="paragraph" w:styleId="Nagwek5">
    <w:name w:val="heading 5"/>
    <w:basedOn w:val="Normalny"/>
    <w:next w:val="Normalny"/>
    <w:link w:val="Nagwek5Znak"/>
    <w:uiPriority w:val="99"/>
    <w:qFormat/>
    <w:rsid w:val="00F837EE"/>
    <w:pPr>
      <w:numPr>
        <w:ilvl w:val="4"/>
        <w:numId w:val="1"/>
      </w:numPr>
      <w:spacing w:before="240" w:after="60"/>
      <w:outlineLvl w:val="4"/>
    </w:pPr>
    <w:rPr>
      <w:b/>
      <w:bCs/>
      <w:i/>
      <w:iCs/>
      <w:sz w:val="26"/>
      <w:szCs w:val="26"/>
    </w:rPr>
  </w:style>
  <w:style w:type="paragraph" w:styleId="Nagwek6">
    <w:name w:val="heading 6"/>
    <w:basedOn w:val="Normalny"/>
    <w:next w:val="Normalny"/>
    <w:link w:val="Nagwek6Znak"/>
    <w:uiPriority w:val="99"/>
    <w:qFormat/>
    <w:rsid w:val="00F837EE"/>
    <w:pPr>
      <w:numPr>
        <w:ilvl w:val="5"/>
        <w:numId w:val="1"/>
      </w:numPr>
      <w:spacing w:before="240" w:after="60"/>
      <w:outlineLvl w:val="5"/>
    </w:pPr>
    <w:rPr>
      <w:b/>
      <w:bCs/>
      <w:sz w:val="22"/>
      <w:szCs w:val="22"/>
    </w:rPr>
  </w:style>
  <w:style w:type="paragraph" w:styleId="Nagwek7">
    <w:name w:val="heading 7"/>
    <w:basedOn w:val="Normalny"/>
    <w:next w:val="Normalny"/>
    <w:link w:val="Nagwek7Znak"/>
    <w:uiPriority w:val="99"/>
    <w:qFormat/>
    <w:rsid w:val="00F837EE"/>
    <w:pPr>
      <w:numPr>
        <w:ilvl w:val="6"/>
        <w:numId w:val="1"/>
      </w:numPr>
      <w:spacing w:before="240" w:after="60"/>
      <w:outlineLvl w:val="6"/>
    </w:pPr>
  </w:style>
  <w:style w:type="paragraph" w:styleId="Nagwek8">
    <w:name w:val="heading 8"/>
    <w:basedOn w:val="Normalny"/>
    <w:next w:val="Normalny"/>
    <w:link w:val="Nagwek8Znak"/>
    <w:uiPriority w:val="99"/>
    <w:qFormat/>
    <w:rsid w:val="00F837EE"/>
    <w:pPr>
      <w:numPr>
        <w:ilvl w:val="7"/>
        <w:numId w:val="1"/>
      </w:numPr>
      <w:spacing w:before="240" w:after="60"/>
      <w:outlineLvl w:val="7"/>
    </w:pPr>
    <w:rPr>
      <w:i/>
      <w:iCs/>
    </w:rPr>
  </w:style>
  <w:style w:type="paragraph" w:styleId="Nagwek9">
    <w:name w:val="heading 9"/>
    <w:basedOn w:val="Normalny"/>
    <w:next w:val="Normalny"/>
    <w:link w:val="Nagwek9Znak"/>
    <w:uiPriority w:val="99"/>
    <w:qFormat/>
    <w:rsid w:val="00F837EE"/>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F837EE"/>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uiPriority w:val="99"/>
    <w:rsid w:val="00F837EE"/>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uiPriority w:val="99"/>
    <w:rsid w:val="00F837EE"/>
    <w:rPr>
      <w:rFonts w:ascii="Arial" w:eastAsia="Times New Roman" w:hAnsi="Arial" w:cs="Arial"/>
      <w:b/>
      <w:bCs/>
      <w:sz w:val="26"/>
      <w:szCs w:val="26"/>
      <w:lang w:eastAsia="pl-PL"/>
    </w:rPr>
  </w:style>
  <w:style w:type="character" w:customStyle="1" w:styleId="Nagwek4Znak">
    <w:name w:val="Nagłówek 4 Znak"/>
    <w:basedOn w:val="Domylnaczcionkaakapitu"/>
    <w:link w:val="Nagwek4"/>
    <w:uiPriority w:val="99"/>
    <w:rsid w:val="00F837EE"/>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uiPriority w:val="99"/>
    <w:rsid w:val="00F837EE"/>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uiPriority w:val="99"/>
    <w:rsid w:val="00F837EE"/>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uiPriority w:val="99"/>
    <w:rsid w:val="00F837EE"/>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uiPriority w:val="99"/>
    <w:rsid w:val="00F837EE"/>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uiPriority w:val="99"/>
    <w:rsid w:val="00F837EE"/>
    <w:rPr>
      <w:rFonts w:ascii="Arial" w:eastAsia="Times New Roman" w:hAnsi="Arial" w:cs="Arial"/>
      <w:lang w:eastAsia="pl-PL"/>
    </w:rPr>
  </w:style>
  <w:style w:type="paragraph" w:styleId="Tekstdymka">
    <w:name w:val="Balloon Text"/>
    <w:basedOn w:val="Normalny"/>
    <w:link w:val="TekstdymkaZnak"/>
    <w:uiPriority w:val="99"/>
    <w:semiHidden/>
    <w:rsid w:val="00F837EE"/>
    <w:rPr>
      <w:rFonts w:ascii="Tahoma" w:hAnsi="Tahoma" w:cs="Tahoma"/>
      <w:sz w:val="16"/>
      <w:szCs w:val="16"/>
    </w:rPr>
  </w:style>
  <w:style w:type="character" w:customStyle="1" w:styleId="TekstdymkaZnak">
    <w:name w:val="Tekst dymka Znak"/>
    <w:basedOn w:val="Domylnaczcionkaakapitu"/>
    <w:link w:val="Tekstdymka"/>
    <w:uiPriority w:val="99"/>
    <w:semiHidden/>
    <w:rsid w:val="00F837EE"/>
    <w:rPr>
      <w:rFonts w:ascii="Tahoma" w:eastAsia="Times New Roman" w:hAnsi="Tahoma" w:cs="Tahoma"/>
      <w:sz w:val="16"/>
      <w:szCs w:val="16"/>
      <w:lang w:eastAsia="pl-PL"/>
    </w:rPr>
  </w:style>
  <w:style w:type="paragraph" w:customStyle="1" w:styleId="Default">
    <w:name w:val="Default"/>
    <w:rsid w:val="00F837EE"/>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paragraphpunkt">
    <w:name w:val="paragraphpunkt"/>
    <w:basedOn w:val="Domylnaczcionkaakapitu"/>
    <w:uiPriority w:val="99"/>
    <w:rsid w:val="00F837EE"/>
  </w:style>
  <w:style w:type="character" w:styleId="Pogrubienie">
    <w:name w:val="Strong"/>
    <w:basedOn w:val="Domylnaczcionkaakapitu"/>
    <w:uiPriority w:val="22"/>
    <w:qFormat/>
    <w:rsid w:val="00F837EE"/>
    <w:rPr>
      <w:b/>
      <w:bCs/>
    </w:rPr>
  </w:style>
  <w:style w:type="paragraph" w:styleId="NormalnyWeb">
    <w:name w:val="Normal (Web)"/>
    <w:basedOn w:val="Normalny"/>
    <w:uiPriority w:val="99"/>
    <w:semiHidden/>
    <w:rsid w:val="00F837EE"/>
    <w:pPr>
      <w:spacing w:before="100" w:beforeAutospacing="1" w:after="100" w:afterAutospacing="1"/>
    </w:pPr>
  </w:style>
  <w:style w:type="character" w:customStyle="1" w:styleId="akapitustep">
    <w:name w:val="akapitustep"/>
    <w:basedOn w:val="Domylnaczcionkaakapitu"/>
    <w:uiPriority w:val="99"/>
    <w:rsid w:val="00F837EE"/>
  </w:style>
  <w:style w:type="character" w:customStyle="1" w:styleId="paragraph">
    <w:name w:val="paragraph"/>
    <w:basedOn w:val="Domylnaczcionkaakapitu"/>
    <w:uiPriority w:val="99"/>
    <w:rsid w:val="00F837EE"/>
  </w:style>
  <w:style w:type="character" w:customStyle="1" w:styleId="point">
    <w:name w:val="point"/>
    <w:basedOn w:val="Domylnaczcionkaakapitu"/>
    <w:uiPriority w:val="99"/>
    <w:rsid w:val="00F837EE"/>
  </w:style>
  <w:style w:type="character" w:styleId="Hipercze">
    <w:name w:val="Hyperlink"/>
    <w:basedOn w:val="Domylnaczcionkaakapitu"/>
    <w:uiPriority w:val="99"/>
    <w:semiHidden/>
    <w:rsid w:val="00F837EE"/>
    <w:rPr>
      <w:color w:val="0000FF"/>
      <w:u w:val="single"/>
    </w:rPr>
  </w:style>
  <w:style w:type="character" w:customStyle="1" w:styleId="akapitdomyslny">
    <w:name w:val="akapitdomyslny"/>
    <w:basedOn w:val="Domylnaczcionkaakapitu"/>
    <w:uiPriority w:val="99"/>
    <w:rsid w:val="00F837EE"/>
  </w:style>
  <w:style w:type="character" w:customStyle="1" w:styleId="artykul">
    <w:name w:val="artykul"/>
    <w:basedOn w:val="Domylnaczcionkaakapitu"/>
    <w:uiPriority w:val="99"/>
    <w:rsid w:val="00F837EE"/>
  </w:style>
  <w:style w:type="character" w:customStyle="1" w:styleId="akapitdomyslnynastepne">
    <w:name w:val="akapitdomyslnynastepne"/>
    <w:basedOn w:val="Domylnaczcionkaakapitu"/>
    <w:uiPriority w:val="99"/>
    <w:rsid w:val="00F837EE"/>
  </w:style>
  <w:style w:type="character" w:customStyle="1" w:styleId="lmenuitem">
    <w:name w:val="lmenuitem"/>
    <w:basedOn w:val="Domylnaczcionkaakapitu"/>
    <w:uiPriority w:val="99"/>
    <w:rsid w:val="00F837EE"/>
  </w:style>
  <w:style w:type="character" w:styleId="Odwoaniedokomentarza">
    <w:name w:val="annotation reference"/>
    <w:basedOn w:val="Domylnaczcionkaakapitu"/>
    <w:uiPriority w:val="99"/>
    <w:semiHidden/>
    <w:rsid w:val="00F837EE"/>
    <w:rPr>
      <w:sz w:val="16"/>
      <w:szCs w:val="16"/>
    </w:rPr>
  </w:style>
  <w:style w:type="paragraph" w:styleId="Tekstkomentarza">
    <w:name w:val="annotation text"/>
    <w:basedOn w:val="Normalny"/>
    <w:link w:val="TekstkomentarzaZnak"/>
    <w:uiPriority w:val="99"/>
    <w:rsid w:val="00F837EE"/>
    <w:rPr>
      <w:sz w:val="20"/>
      <w:szCs w:val="20"/>
    </w:rPr>
  </w:style>
  <w:style w:type="character" w:customStyle="1" w:styleId="TekstkomentarzaZnak">
    <w:name w:val="Tekst komentarza Znak"/>
    <w:basedOn w:val="Domylnaczcionkaakapitu"/>
    <w:link w:val="Tekstkomentarza"/>
    <w:uiPriority w:val="99"/>
    <w:rsid w:val="00F837E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F837EE"/>
    <w:rPr>
      <w:b/>
      <w:bCs/>
    </w:rPr>
  </w:style>
  <w:style w:type="character" w:customStyle="1" w:styleId="TematkomentarzaZnak">
    <w:name w:val="Temat komentarza Znak"/>
    <w:basedOn w:val="TekstkomentarzaZnak"/>
    <w:link w:val="Tematkomentarza"/>
    <w:uiPriority w:val="99"/>
    <w:semiHidden/>
    <w:rsid w:val="00F837EE"/>
    <w:rPr>
      <w:rFonts w:ascii="Times New Roman" w:eastAsia="Times New Roman" w:hAnsi="Times New Roman" w:cs="Times New Roman"/>
      <w:b/>
      <w:bCs/>
      <w:sz w:val="20"/>
      <w:szCs w:val="20"/>
      <w:lang w:eastAsia="pl-PL"/>
    </w:rPr>
  </w:style>
  <w:style w:type="paragraph" w:styleId="Poprawka">
    <w:name w:val="Revision"/>
    <w:hidden/>
    <w:uiPriority w:val="99"/>
    <w:semiHidden/>
    <w:rsid w:val="00F837EE"/>
    <w:pPr>
      <w:spacing w:after="0" w:line="240" w:lineRule="auto"/>
    </w:pPr>
    <w:rPr>
      <w:rFonts w:ascii="Times New Roman" w:eastAsia="Times New Roman" w:hAnsi="Times New Roman" w:cs="Times New Roman"/>
      <w:sz w:val="24"/>
      <w:szCs w:val="24"/>
      <w:lang w:eastAsia="pl-PL"/>
    </w:rPr>
  </w:style>
  <w:style w:type="paragraph" w:customStyle="1" w:styleId="ListParagraph1">
    <w:name w:val="List Paragraph1"/>
    <w:basedOn w:val="Normalny"/>
    <w:uiPriority w:val="99"/>
    <w:rsid w:val="00F837EE"/>
    <w:pPr>
      <w:widowControl w:val="0"/>
      <w:autoSpaceDE w:val="0"/>
      <w:autoSpaceDN w:val="0"/>
      <w:adjustRightInd w:val="0"/>
      <w:ind w:left="720"/>
    </w:pPr>
    <w:rPr>
      <w:rFonts w:ascii="Arial" w:hAnsi="Arial" w:cs="Arial"/>
      <w:sz w:val="20"/>
      <w:szCs w:val="20"/>
    </w:rPr>
  </w:style>
  <w:style w:type="paragraph" w:styleId="Nagwek">
    <w:name w:val="header"/>
    <w:basedOn w:val="Normalny"/>
    <w:link w:val="NagwekZnak"/>
    <w:uiPriority w:val="99"/>
    <w:semiHidden/>
    <w:unhideWhenUsed/>
    <w:rsid w:val="00F837EE"/>
    <w:pPr>
      <w:tabs>
        <w:tab w:val="center" w:pos="4536"/>
        <w:tab w:val="right" w:pos="9072"/>
      </w:tabs>
    </w:pPr>
  </w:style>
  <w:style w:type="character" w:customStyle="1" w:styleId="NagwekZnak">
    <w:name w:val="Nagłówek Znak"/>
    <w:basedOn w:val="Domylnaczcionkaakapitu"/>
    <w:link w:val="Nagwek"/>
    <w:uiPriority w:val="99"/>
    <w:semiHidden/>
    <w:rsid w:val="00F837EE"/>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F837EE"/>
    <w:pPr>
      <w:tabs>
        <w:tab w:val="center" w:pos="4536"/>
        <w:tab w:val="right" w:pos="9072"/>
      </w:tabs>
    </w:pPr>
  </w:style>
  <w:style w:type="character" w:customStyle="1" w:styleId="StopkaZnak">
    <w:name w:val="Stopka Znak"/>
    <w:basedOn w:val="Domylnaczcionkaakapitu"/>
    <w:link w:val="Stopka"/>
    <w:uiPriority w:val="99"/>
    <w:rsid w:val="00F837EE"/>
    <w:rPr>
      <w:rFonts w:ascii="Times New Roman" w:eastAsia="Times New Roman" w:hAnsi="Times New Roman" w:cs="Times New Roman"/>
      <w:sz w:val="24"/>
      <w:szCs w:val="24"/>
      <w:lang w:eastAsia="pl-PL"/>
    </w:rPr>
  </w:style>
  <w:style w:type="paragraph" w:styleId="Akapitzlist">
    <w:name w:val="List Paragraph"/>
    <w:basedOn w:val="Normalny"/>
    <w:link w:val="AkapitzlistZnak"/>
    <w:uiPriority w:val="34"/>
    <w:qFormat/>
    <w:rsid w:val="00F837EE"/>
    <w:pPr>
      <w:ind w:left="720"/>
      <w:contextualSpacing/>
    </w:pPr>
  </w:style>
  <w:style w:type="character" w:customStyle="1" w:styleId="AkapitzlistZnak">
    <w:name w:val="Akapit z listą Znak"/>
    <w:basedOn w:val="Domylnaczcionkaakapitu"/>
    <w:link w:val="Akapitzlist"/>
    <w:uiPriority w:val="34"/>
    <w:locked/>
    <w:rsid w:val="00F837EE"/>
    <w:rPr>
      <w:rFonts w:ascii="Times New Roman" w:eastAsia="Times New Roman" w:hAnsi="Times New Roman" w:cs="Times New Roman"/>
      <w:sz w:val="24"/>
      <w:szCs w:val="24"/>
      <w:lang w:eastAsia="pl-PL"/>
    </w:rPr>
  </w:style>
  <w:style w:type="character" w:customStyle="1" w:styleId="h2">
    <w:name w:val="h2"/>
    <w:basedOn w:val="Domylnaczcionkaakapitu"/>
    <w:rsid w:val="00F837EE"/>
  </w:style>
  <w:style w:type="character" w:styleId="Odwoanieprzypisudolnego">
    <w:name w:val="footnote reference"/>
    <w:aliases w:val="Quote Char1,Footnote Reference Number"/>
    <w:uiPriority w:val="99"/>
    <w:rsid w:val="00F837EE"/>
    <w:rPr>
      <w:rFonts w:cs="Times New Roman"/>
      <w:vertAlign w:val="superscript"/>
    </w:rPr>
  </w:style>
  <w:style w:type="paragraph" w:customStyle="1" w:styleId="ODNONIKtreodnonika">
    <w:name w:val="ODNOŚNIK – treść odnośnika"/>
    <w:uiPriority w:val="99"/>
    <w:qFormat/>
    <w:rsid w:val="00F837EE"/>
    <w:pPr>
      <w:spacing w:after="0" w:line="240" w:lineRule="auto"/>
      <w:ind w:left="284" w:hanging="284"/>
      <w:jc w:val="both"/>
    </w:pPr>
    <w:rPr>
      <w:rFonts w:ascii="Times New Roman" w:eastAsiaTheme="minorEastAsia" w:hAnsi="Times New Roman" w:cs="Arial"/>
      <w:sz w:val="20"/>
      <w:szCs w:val="20"/>
      <w:lang w:eastAsia="pl-PL"/>
    </w:rPr>
  </w:style>
  <w:style w:type="character" w:customStyle="1" w:styleId="IGindeksgrny">
    <w:name w:val="_IG_ – indeks górny"/>
    <w:basedOn w:val="Domylnaczcionkaakapitu"/>
    <w:uiPriority w:val="2"/>
    <w:qFormat/>
    <w:rsid w:val="00F837EE"/>
    <w:rPr>
      <w:b w:val="0"/>
      <w:i w:val="0"/>
      <w:vanish w:val="0"/>
      <w:spacing w:val="0"/>
      <w:vertAlign w:val="superscript"/>
    </w:rPr>
  </w:style>
  <w:style w:type="paragraph" w:customStyle="1" w:styleId="ZLITwPKTzmlitwpktartykuempunktem">
    <w:name w:val="Z/LIT_w_PKT – zm. lit. w pkt artykułem (punktem)"/>
    <w:basedOn w:val="Normalny"/>
    <w:uiPriority w:val="32"/>
    <w:qFormat/>
    <w:rsid w:val="00F837EE"/>
    <w:pPr>
      <w:spacing w:line="360" w:lineRule="auto"/>
      <w:ind w:left="1497" w:hanging="476"/>
      <w:jc w:val="both"/>
    </w:pPr>
    <w:rPr>
      <w:rFonts w:ascii="Times" w:eastAsiaTheme="minorEastAsia" w:hAnsi="Times" w:cs="Arial"/>
      <w:bCs/>
      <w:szCs w:val="20"/>
    </w:rPr>
  </w:style>
  <w:style w:type="paragraph" w:customStyle="1" w:styleId="ZTIRwPKTzmtirwpktartykuempunktem">
    <w:name w:val="Z/TIR_w_PKT – zm. tir. w pkt artykułem (punktem)"/>
    <w:basedOn w:val="Normalny"/>
    <w:uiPriority w:val="33"/>
    <w:qFormat/>
    <w:rsid w:val="00F837EE"/>
    <w:pPr>
      <w:spacing w:line="360" w:lineRule="auto"/>
      <w:ind w:left="1894" w:hanging="397"/>
      <w:jc w:val="both"/>
    </w:pPr>
    <w:rPr>
      <w:rFonts w:ascii="Times" w:eastAsiaTheme="minorEastAsia" w:hAnsi="Times" w:cs="Arial"/>
      <w:bCs/>
      <w:szCs w:val="20"/>
    </w:rPr>
  </w:style>
  <w:style w:type="paragraph" w:customStyle="1" w:styleId="ARTartustawynprozporzdzenia">
    <w:name w:val="ART(§) – art. ustawy (§ np. rozporządzenia)"/>
    <w:link w:val="ARTartustawynprozporzdzeniaZnak"/>
    <w:uiPriority w:val="11"/>
    <w:qFormat/>
    <w:rsid w:val="00F837EE"/>
    <w:pPr>
      <w:suppressAutoHyphens/>
      <w:autoSpaceDE w:val="0"/>
      <w:autoSpaceDN w:val="0"/>
      <w:adjustRightInd w:val="0"/>
      <w:spacing w:before="120" w:after="0" w:line="360" w:lineRule="auto"/>
      <w:ind w:firstLine="510"/>
      <w:jc w:val="both"/>
    </w:pPr>
    <w:rPr>
      <w:rFonts w:ascii="Times" w:eastAsiaTheme="minorEastAsia" w:hAnsi="Times" w:cs="Arial"/>
      <w:sz w:val="24"/>
      <w:szCs w:val="20"/>
      <w:lang w:eastAsia="pl-PL"/>
    </w:rPr>
  </w:style>
  <w:style w:type="character" w:customStyle="1" w:styleId="ARTartustawynprozporzdzeniaZnak">
    <w:name w:val="ART(§) – art. ustawy (§ np. rozporządzenia) Znak"/>
    <w:link w:val="ARTartustawynprozporzdzenia"/>
    <w:uiPriority w:val="11"/>
    <w:locked/>
    <w:rsid w:val="00F837EE"/>
    <w:rPr>
      <w:rFonts w:ascii="Times" w:eastAsiaTheme="minorEastAsia" w:hAnsi="Times" w:cs="Arial"/>
      <w:sz w:val="24"/>
      <w:szCs w:val="20"/>
      <w:lang w:eastAsia="pl-PL"/>
    </w:rPr>
  </w:style>
  <w:style w:type="paragraph" w:customStyle="1" w:styleId="ZARTzmartartykuempunktem">
    <w:name w:val="Z/ART(§) – zm. art. (§) artykułem (punktem)"/>
    <w:basedOn w:val="ARTartustawynprozporzdzenia"/>
    <w:uiPriority w:val="30"/>
    <w:qFormat/>
    <w:rsid w:val="00F837EE"/>
    <w:pPr>
      <w:spacing w:before="0"/>
      <w:ind w:left="510"/>
    </w:pPr>
  </w:style>
  <w:style w:type="paragraph" w:customStyle="1" w:styleId="ZUSTzmustartykuempunktem">
    <w:name w:val="Z/UST(§) – zm. ust. (§) artykułem (punktem)"/>
    <w:basedOn w:val="ZARTzmartartykuempunktem"/>
    <w:uiPriority w:val="30"/>
    <w:qFormat/>
    <w:rsid w:val="00F837EE"/>
  </w:style>
  <w:style w:type="paragraph" w:customStyle="1" w:styleId="ZPKTzmpktartykuempunktem">
    <w:name w:val="Z/PKT – zm. pkt artykułem (punktem)"/>
    <w:basedOn w:val="Normalny"/>
    <w:uiPriority w:val="31"/>
    <w:qFormat/>
    <w:rsid w:val="00F837EE"/>
    <w:pPr>
      <w:spacing w:line="360" w:lineRule="auto"/>
      <w:ind w:left="1020" w:hanging="510"/>
      <w:jc w:val="both"/>
    </w:pPr>
    <w:rPr>
      <w:rFonts w:ascii="Times" w:eastAsiaTheme="minorEastAsia" w:hAnsi="Times" w:cs="Arial"/>
      <w:bCs/>
      <w:szCs w:val="20"/>
    </w:rPr>
  </w:style>
  <w:style w:type="paragraph" w:customStyle="1" w:styleId="ZLITzmlitartykuempunktem">
    <w:name w:val="Z/LIT – zm. lit. artykułem (punktem)"/>
    <w:basedOn w:val="Normalny"/>
    <w:uiPriority w:val="32"/>
    <w:qFormat/>
    <w:rsid w:val="00F837EE"/>
    <w:pPr>
      <w:spacing w:line="360" w:lineRule="auto"/>
      <w:ind w:left="986" w:hanging="476"/>
      <w:jc w:val="both"/>
    </w:pPr>
    <w:rPr>
      <w:rFonts w:ascii="Times" w:eastAsiaTheme="minorEastAsia" w:hAnsi="Times" w:cs="Arial"/>
      <w:bCs/>
      <w:szCs w:val="20"/>
    </w:rPr>
  </w:style>
  <w:style w:type="paragraph" w:customStyle="1" w:styleId="ZCZWSPPKTODNONIKAzmczciwsppktodnonikaartykuempunktem">
    <w:name w:val="Z/CZ_WSP_PKT_ODNOŚNIKA – zm. części wsp. pkt odnośnika artykułem (punktem)"/>
    <w:basedOn w:val="Normalny"/>
    <w:next w:val="Normalny"/>
    <w:uiPriority w:val="41"/>
    <w:qFormat/>
    <w:rsid w:val="00F837EE"/>
    <w:pPr>
      <w:spacing w:line="360" w:lineRule="auto"/>
      <w:ind w:left="510"/>
      <w:jc w:val="both"/>
    </w:pPr>
    <w:rPr>
      <w:rFonts w:eastAsiaTheme="minorEastAsia" w:cs="Arial"/>
      <w:szCs w:val="20"/>
    </w:rPr>
  </w:style>
  <w:style w:type="paragraph" w:customStyle="1" w:styleId="ZTIRwLITzmtirwlitartykuempunktem">
    <w:name w:val="Z/TIR_w_LIT – zm. tir. w lit. artykułem (punktem)"/>
    <w:basedOn w:val="Normalny"/>
    <w:uiPriority w:val="33"/>
    <w:qFormat/>
    <w:rsid w:val="00F837EE"/>
    <w:pPr>
      <w:spacing w:line="360" w:lineRule="auto"/>
      <w:ind w:left="1384" w:hanging="397"/>
      <w:jc w:val="both"/>
    </w:pPr>
    <w:rPr>
      <w:rFonts w:ascii="Times" w:eastAsiaTheme="minorEastAsia" w:hAnsi="Times" w:cs="Arial"/>
      <w:bCs/>
      <w:szCs w:val="20"/>
    </w:rPr>
  </w:style>
  <w:style w:type="character" w:customStyle="1" w:styleId="Ppogrubienie">
    <w:name w:val="_P_ – pogrubienie"/>
    <w:basedOn w:val="Domylnaczcionkaakapitu"/>
    <w:uiPriority w:val="1"/>
    <w:qFormat/>
    <w:rsid w:val="00F837EE"/>
    <w:rPr>
      <w:b/>
    </w:rPr>
  </w:style>
  <w:style w:type="paragraph" w:customStyle="1" w:styleId="ZTYTDZPRZEDMzmprzedmtytuulubdziauartykuempunktem">
    <w:name w:val="Z/TYT(DZ)_PRZEDM – zm. przedm. tytułu lub działu artykułem (punktem)"/>
    <w:next w:val="ZARTzmartartykuempunktem"/>
    <w:uiPriority w:val="28"/>
    <w:qFormat/>
    <w:rsid w:val="00F837EE"/>
    <w:pPr>
      <w:keepNext/>
      <w:suppressAutoHyphens/>
      <w:spacing w:after="0" w:line="360" w:lineRule="auto"/>
      <w:ind w:left="510"/>
      <w:jc w:val="center"/>
    </w:pPr>
    <w:rPr>
      <w:rFonts w:ascii="Times" w:eastAsia="Times New Roman" w:hAnsi="Times" w:cs="Times New Roman"/>
      <w:sz w:val="24"/>
      <w:szCs w:val="26"/>
      <w:lang w:eastAsia="pl-PL"/>
    </w:rPr>
  </w:style>
  <w:style w:type="paragraph" w:customStyle="1" w:styleId="ZCZWSPPKTzmczciwsppktartykuempunktem">
    <w:name w:val="Z/CZ_WSP_PKT – zm. części wsp. pkt artykułem (punktem)"/>
    <w:basedOn w:val="Normalny"/>
    <w:next w:val="ZARTzmartartykuempunktem"/>
    <w:uiPriority w:val="34"/>
    <w:qFormat/>
    <w:rsid w:val="00F837EE"/>
    <w:pPr>
      <w:spacing w:line="360" w:lineRule="auto"/>
      <w:ind w:left="510"/>
      <w:jc w:val="both"/>
    </w:pPr>
    <w:rPr>
      <w:rFonts w:ascii="Times" w:eastAsiaTheme="minorEastAsia" w:hAnsi="Times" w:cs="Arial"/>
      <w:bCs/>
      <w:szCs w:val="20"/>
    </w:rPr>
  </w:style>
  <w:style w:type="paragraph" w:customStyle="1" w:styleId="doc-ti">
    <w:name w:val="doc-ti"/>
    <w:basedOn w:val="Normalny"/>
    <w:rsid w:val="00F837EE"/>
    <w:pPr>
      <w:spacing w:before="100" w:beforeAutospacing="1" w:after="100" w:afterAutospacing="1"/>
    </w:pPr>
  </w:style>
  <w:style w:type="paragraph" w:customStyle="1" w:styleId="PKTpunkt">
    <w:name w:val="PKT – punkt"/>
    <w:link w:val="PKTpunktZnak"/>
    <w:uiPriority w:val="13"/>
    <w:qFormat/>
    <w:rsid w:val="00F837EE"/>
    <w:pPr>
      <w:spacing w:after="0" w:line="360" w:lineRule="auto"/>
      <w:ind w:left="510" w:hanging="510"/>
      <w:jc w:val="both"/>
    </w:pPr>
    <w:rPr>
      <w:rFonts w:ascii="Times" w:eastAsia="Times New Roman" w:hAnsi="Times" w:cs="Times New Roman"/>
      <w:lang w:eastAsia="pl-PL"/>
    </w:rPr>
  </w:style>
  <w:style w:type="character" w:customStyle="1" w:styleId="PKTpunktZnak">
    <w:name w:val="PKT – punkt Znak"/>
    <w:link w:val="PKTpunkt"/>
    <w:uiPriority w:val="13"/>
    <w:locked/>
    <w:rsid w:val="00F837EE"/>
    <w:rPr>
      <w:rFonts w:ascii="Times" w:eastAsia="Times New Roman" w:hAnsi="Times" w:cs="Times New Roman"/>
      <w:lang w:eastAsia="pl-PL"/>
    </w:rPr>
  </w:style>
  <w:style w:type="paragraph" w:customStyle="1" w:styleId="LITlitera">
    <w:name w:val="LIT – litera"/>
    <w:basedOn w:val="PKTpunkt"/>
    <w:link w:val="LITliteraZnak"/>
    <w:uiPriority w:val="14"/>
    <w:qFormat/>
    <w:rsid w:val="00F837EE"/>
    <w:pPr>
      <w:ind w:left="986" w:hanging="476"/>
    </w:pPr>
    <w:rPr>
      <w:sz w:val="20"/>
      <w:szCs w:val="20"/>
    </w:rPr>
  </w:style>
  <w:style w:type="character" w:customStyle="1" w:styleId="LITliteraZnak">
    <w:name w:val="LIT – litera Znak"/>
    <w:link w:val="LITlitera"/>
    <w:uiPriority w:val="14"/>
    <w:locked/>
    <w:rsid w:val="00F837EE"/>
    <w:rPr>
      <w:rFonts w:ascii="Times" w:eastAsia="Times New Roman" w:hAnsi="Times" w:cs="Times New Roman"/>
      <w:sz w:val="20"/>
      <w:szCs w:val="20"/>
      <w:lang w:eastAsia="pl-PL"/>
    </w:rPr>
  </w:style>
  <w:style w:type="paragraph" w:customStyle="1" w:styleId="pkt">
    <w:name w:val="pkt"/>
    <w:basedOn w:val="Normalny"/>
    <w:rsid w:val="00F837EE"/>
    <w:pPr>
      <w:spacing w:before="60" w:after="60"/>
      <w:ind w:left="851" w:hanging="295"/>
      <w:jc w:val="both"/>
    </w:pPr>
    <w:rPr>
      <w:szCs w:val="20"/>
    </w:rPr>
  </w:style>
  <w:style w:type="paragraph" w:styleId="Tekstprzypisukocowego">
    <w:name w:val="endnote text"/>
    <w:basedOn w:val="Normalny"/>
    <w:link w:val="TekstprzypisukocowegoZnak"/>
    <w:uiPriority w:val="99"/>
    <w:semiHidden/>
    <w:unhideWhenUsed/>
    <w:rsid w:val="00F837EE"/>
    <w:rPr>
      <w:sz w:val="20"/>
      <w:szCs w:val="20"/>
    </w:rPr>
  </w:style>
  <w:style w:type="character" w:customStyle="1" w:styleId="TekstprzypisukocowegoZnak">
    <w:name w:val="Tekst przypisu końcowego Znak"/>
    <w:basedOn w:val="Domylnaczcionkaakapitu"/>
    <w:link w:val="Tekstprzypisukocowego"/>
    <w:uiPriority w:val="99"/>
    <w:semiHidden/>
    <w:rsid w:val="00F837EE"/>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F837EE"/>
    <w:rPr>
      <w:vertAlign w:val="superscript"/>
    </w:rPr>
  </w:style>
  <w:style w:type="paragraph" w:customStyle="1" w:styleId="USTustnpkodeksu">
    <w:name w:val="UST(§) – ust. (§ np. kodeksu)"/>
    <w:basedOn w:val="ARTartustawynprozporzdzenia"/>
    <w:link w:val="USTustnpkodeksuZnak"/>
    <w:uiPriority w:val="12"/>
    <w:qFormat/>
    <w:rsid w:val="00F837EE"/>
    <w:pPr>
      <w:spacing w:before="0"/>
    </w:pPr>
    <w:rPr>
      <w:rFonts w:eastAsia="Times New Roman" w:cs="Times New Roman"/>
      <w:sz w:val="20"/>
    </w:rPr>
  </w:style>
  <w:style w:type="character" w:customStyle="1" w:styleId="USTustnpkodeksuZnak">
    <w:name w:val="UST(§) – ust. (§ np. kodeksu) Znak"/>
    <w:link w:val="USTustnpkodeksu"/>
    <w:uiPriority w:val="12"/>
    <w:locked/>
    <w:rsid w:val="00F837EE"/>
    <w:rPr>
      <w:rFonts w:ascii="Times" w:eastAsia="Times New Roman" w:hAnsi="Times" w:cs="Times New Roman"/>
      <w:sz w:val="20"/>
      <w:szCs w:val="20"/>
      <w:lang w:eastAsia="pl-PL"/>
    </w:rPr>
  </w:style>
  <w:style w:type="paragraph" w:customStyle="1" w:styleId="ZZLITzmianazmlit">
    <w:name w:val="ZZ/LIT – zmiana zm. lit."/>
    <w:basedOn w:val="Normalny"/>
    <w:uiPriority w:val="67"/>
    <w:qFormat/>
    <w:rsid w:val="00F837EE"/>
    <w:pPr>
      <w:spacing w:line="360" w:lineRule="auto"/>
      <w:ind w:left="2370" w:hanging="476"/>
      <w:jc w:val="both"/>
    </w:pPr>
    <w:rPr>
      <w:rFonts w:ascii="Times" w:eastAsiaTheme="minorEastAsia" w:hAnsi="Times" w:cs="Arial"/>
      <w:bCs/>
      <w:szCs w:val="20"/>
    </w:rPr>
  </w:style>
  <w:style w:type="paragraph" w:customStyle="1" w:styleId="Normalny1">
    <w:name w:val="Normalny1"/>
    <w:basedOn w:val="Normalny"/>
    <w:rsid w:val="00F837EE"/>
    <w:pPr>
      <w:spacing w:before="100" w:beforeAutospacing="1" w:after="100" w:afterAutospacing="1"/>
    </w:pPr>
  </w:style>
  <w:style w:type="paragraph" w:customStyle="1" w:styleId="CharCharZnakZnakZnakZnakZnakZnakZnakZnakZnakZnakZnakZnakZnakZnakZnak">
    <w:name w:val="Char Char Znak Znak Znak Znak Znak Znak Znak Znak Znak Znak Znak Znak Znak Znak Znak"/>
    <w:basedOn w:val="Normalny"/>
    <w:rsid w:val="00F837EE"/>
    <w:pPr>
      <w:spacing w:before="120" w:after="120"/>
      <w:jc w:val="both"/>
    </w:pPr>
    <w:rPr>
      <w:rFonts w:ascii="Arial" w:hAnsi="Arial"/>
      <w:sz w:val="22"/>
    </w:rPr>
  </w:style>
  <w:style w:type="character" w:customStyle="1" w:styleId="tabulatory">
    <w:name w:val="tabulatory"/>
    <w:basedOn w:val="Domylnaczcionkaakapitu"/>
    <w:rsid w:val="00F837EE"/>
  </w:style>
  <w:style w:type="paragraph" w:styleId="Tekstprzypisudolnego">
    <w:name w:val="footnote text"/>
    <w:basedOn w:val="Normalny"/>
    <w:link w:val="TekstprzypisudolnegoZnak"/>
    <w:uiPriority w:val="99"/>
    <w:semiHidden/>
    <w:qFormat/>
    <w:rsid w:val="00F837EE"/>
    <w:rPr>
      <w:rFonts w:ascii="Times" w:hAnsi="Times"/>
      <w:color w:val="000000"/>
      <w:lang w:eastAsia="zh-CN"/>
    </w:rPr>
  </w:style>
  <w:style w:type="character" w:customStyle="1" w:styleId="TekstprzypisudolnegoZnak">
    <w:name w:val="Tekst przypisu dolnego Znak"/>
    <w:basedOn w:val="Domylnaczcionkaakapitu"/>
    <w:link w:val="Tekstprzypisudolnego"/>
    <w:uiPriority w:val="99"/>
    <w:semiHidden/>
    <w:rsid w:val="00F837EE"/>
    <w:rPr>
      <w:rFonts w:ascii="Times" w:eastAsia="Times New Roman" w:hAnsi="Times" w:cs="Times New Roman"/>
      <w:color w:val="000000"/>
      <w:sz w:val="24"/>
      <w:szCs w:val="24"/>
      <w:lang w:eastAsia="zh-CN"/>
    </w:rPr>
  </w:style>
  <w:style w:type="table" w:styleId="Tabela-Siatka">
    <w:name w:val="Table Grid"/>
    <w:basedOn w:val="Standardowy"/>
    <w:uiPriority w:val="59"/>
    <w:rsid w:val="00F837EE"/>
    <w:pPr>
      <w:spacing w:after="0" w:line="240" w:lineRule="auto"/>
    </w:pPr>
    <w:rPr>
      <w:rFonts w:ascii="Times New Roman" w:eastAsia="Times New Roman" w:hAnsi="Times New Roman" w:cs="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art">
    <w:name w:val="sti-art"/>
    <w:basedOn w:val="Normalny"/>
    <w:rsid w:val="00F837EE"/>
    <w:pPr>
      <w:spacing w:before="100" w:beforeAutospacing="1" w:after="100" w:afterAutospacing="1"/>
    </w:pPr>
  </w:style>
  <w:style w:type="paragraph" w:customStyle="1" w:styleId="Normalny2">
    <w:name w:val="Normalny2"/>
    <w:basedOn w:val="Normalny"/>
    <w:rsid w:val="00F837EE"/>
    <w:pPr>
      <w:spacing w:before="100" w:beforeAutospacing="1" w:after="100" w:afterAutospacing="1"/>
    </w:pPr>
  </w:style>
  <w:style w:type="character" w:customStyle="1" w:styleId="sub">
    <w:name w:val="sub"/>
    <w:basedOn w:val="Domylnaczcionkaakapitu"/>
    <w:rsid w:val="00F837EE"/>
  </w:style>
  <w:style w:type="character" w:customStyle="1" w:styleId="Bodytext2">
    <w:name w:val="Body text (2)_"/>
    <w:basedOn w:val="Domylnaczcionkaakapitu"/>
    <w:link w:val="Bodytext20"/>
    <w:rsid w:val="00F837EE"/>
    <w:rPr>
      <w:color w:val="000000"/>
      <w:sz w:val="15"/>
      <w:szCs w:val="15"/>
      <w:shd w:val="clear" w:color="auto" w:fill="FFFFFF"/>
      <w:lang w:bidi="pl-PL"/>
    </w:rPr>
  </w:style>
  <w:style w:type="paragraph" w:customStyle="1" w:styleId="Bodytext20">
    <w:name w:val="Body text (2)_0"/>
    <w:basedOn w:val="Normalny"/>
    <w:link w:val="Bodytext2"/>
    <w:rsid w:val="00F837EE"/>
    <w:pPr>
      <w:widowControl w:val="0"/>
      <w:shd w:val="clear" w:color="auto" w:fill="FFFFFF"/>
      <w:spacing w:before="260" w:line="566" w:lineRule="exact"/>
      <w:jc w:val="center"/>
    </w:pPr>
    <w:rPr>
      <w:rFonts w:asciiTheme="minorHAnsi" w:eastAsiaTheme="minorHAnsi" w:hAnsiTheme="minorHAnsi" w:cstheme="minorBidi"/>
      <w:color w:val="000000"/>
      <w:sz w:val="15"/>
      <w:szCs w:val="15"/>
      <w:lang w:eastAsia="en-US" w:bidi="pl-PL"/>
    </w:rPr>
  </w:style>
  <w:style w:type="character" w:customStyle="1" w:styleId="Bodytext21">
    <w:name w:val="Body text (2)"/>
    <w:basedOn w:val="Bodytext2"/>
    <w:rsid w:val="00F837EE"/>
    <w:rPr>
      <w:color w:val="000000"/>
      <w:sz w:val="15"/>
      <w:szCs w:val="15"/>
      <w:shd w:val="clear" w:color="auto" w:fill="FFFFFF"/>
      <w:lang w:bidi="pl-PL"/>
    </w:rPr>
  </w:style>
  <w:style w:type="character" w:customStyle="1" w:styleId="Bodytext28pt">
    <w:name w:val="Body text (2) + 8 pt"/>
    <w:aliases w:val="Italic,Spacing 0 pt_0"/>
    <w:basedOn w:val="Bodytext2"/>
    <w:rsid w:val="00F837EE"/>
    <w:rPr>
      <w:i/>
      <w:iCs/>
      <w:color w:val="000000"/>
      <w:spacing w:val="10"/>
      <w:sz w:val="16"/>
      <w:szCs w:val="16"/>
      <w:shd w:val="clear" w:color="auto" w:fill="FFFFFF"/>
      <w:lang w:bidi="pl-PL"/>
    </w:rPr>
  </w:style>
  <w:style w:type="character" w:customStyle="1" w:styleId="Tablecaption">
    <w:name w:val="Table caption_"/>
    <w:basedOn w:val="Domylnaczcionkaakapitu"/>
    <w:link w:val="Tablecaption0"/>
    <w:rsid w:val="00F837EE"/>
    <w:rPr>
      <w:color w:val="000000"/>
      <w:sz w:val="15"/>
      <w:szCs w:val="15"/>
      <w:shd w:val="clear" w:color="auto" w:fill="FFFFFF"/>
      <w:lang w:bidi="pl-PL"/>
    </w:rPr>
  </w:style>
  <w:style w:type="paragraph" w:customStyle="1" w:styleId="Tablecaption0">
    <w:name w:val="Table caption"/>
    <w:basedOn w:val="Normalny"/>
    <w:link w:val="Tablecaption"/>
    <w:rsid w:val="00F837EE"/>
    <w:pPr>
      <w:widowControl w:val="0"/>
      <w:shd w:val="clear" w:color="auto" w:fill="FFFFFF"/>
      <w:spacing w:line="178" w:lineRule="exact"/>
      <w:ind w:hanging="260"/>
      <w:jc w:val="both"/>
    </w:pPr>
    <w:rPr>
      <w:rFonts w:asciiTheme="minorHAnsi" w:eastAsiaTheme="minorHAnsi" w:hAnsiTheme="minorHAnsi" w:cstheme="minorBidi"/>
      <w:color w:val="000000"/>
      <w:sz w:val="15"/>
      <w:szCs w:val="15"/>
      <w:lang w:eastAsia="en-US" w:bidi="pl-PL"/>
    </w:rPr>
  </w:style>
  <w:style w:type="character" w:customStyle="1" w:styleId="Bodytext2NotBold">
    <w:name w:val="Body text (2) + Not Bold"/>
    <w:aliases w:val="Small Caps"/>
    <w:basedOn w:val="Bodytext2"/>
    <w:rsid w:val="00F837EE"/>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pl-PL" w:eastAsia="pl-PL" w:bidi="pl-PL"/>
    </w:rPr>
  </w:style>
  <w:style w:type="character" w:customStyle="1" w:styleId="Bodytext5">
    <w:name w:val="Body text (5)_"/>
    <w:basedOn w:val="Domylnaczcionkaakapitu"/>
    <w:link w:val="Bodytext50"/>
    <w:rsid w:val="00F837EE"/>
    <w:rPr>
      <w:i/>
      <w:iCs/>
      <w:color w:val="000000"/>
      <w:w w:val="80"/>
      <w:sz w:val="18"/>
      <w:szCs w:val="18"/>
      <w:shd w:val="clear" w:color="auto" w:fill="FFFFFF"/>
      <w:lang w:bidi="pl-PL"/>
    </w:rPr>
  </w:style>
  <w:style w:type="paragraph" w:customStyle="1" w:styleId="Bodytext50">
    <w:name w:val="Body text (5)"/>
    <w:basedOn w:val="Normalny"/>
    <w:link w:val="Bodytext5"/>
    <w:rsid w:val="00F837EE"/>
    <w:pPr>
      <w:widowControl w:val="0"/>
      <w:shd w:val="clear" w:color="auto" w:fill="FFFFFF"/>
      <w:spacing w:before="420" w:after="260" w:line="200" w:lineRule="exact"/>
      <w:jc w:val="center"/>
    </w:pPr>
    <w:rPr>
      <w:rFonts w:asciiTheme="minorHAnsi" w:eastAsiaTheme="minorHAnsi" w:hAnsiTheme="minorHAnsi" w:cstheme="minorBidi"/>
      <w:i/>
      <w:iCs/>
      <w:color w:val="000000"/>
      <w:w w:val="80"/>
      <w:sz w:val="18"/>
      <w:szCs w:val="18"/>
      <w:lang w:eastAsia="en-US" w:bidi="pl-PL"/>
    </w:rPr>
  </w:style>
  <w:style w:type="character" w:customStyle="1" w:styleId="Bodytext27pt">
    <w:name w:val="Body text (2) + 7 pt"/>
    <w:aliases w:val="Not Bold"/>
    <w:basedOn w:val="Bodytext2"/>
    <w:rsid w:val="00F837EE"/>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pl-PL" w:eastAsia="pl-PL" w:bidi="pl-PL"/>
    </w:rPr>
  </w:style>
  <w:style w:type="paragraph" w:customStyle="1" w:styleId="Normalny3">
    <w:name w:val="Normalny3"/>
    <w:basedOn w:val="Normalny"/>
    <w:rsid w:val="00F837EE"/>
    <w:pPr>
      <w:spacing w:before="100" w:beforeAutospacing="1" w:after="100" w:afterAutospacing="1"/>
    </w:pPr>
  </w:style>
  <w:style w:type="character" w:customStyle="1" w:styleId="super">
    <w:name w:val="super"/>
    <w:basedOn w:val="Domylnaczcionkaakapitu"/>
    <w:rsid w:val="00F837EE"/>
  </w:style>
  <w:style w:type="paragraph" w:customStyle="1" w:styleId="CZWSPPKTczwsplnapunktw">
    <w:name w:val="CZ_WSP_PKT – część wspólna punktów"/>
    <w:basedOn w:val="PKTpunkt"/>
    <w:next w:val="USTustnpkodeksu"/>
    <w:uiPriority w:val="16"/>
    <w:qFormat/>
    <w:rsid w:val="00F837EE"/>
    <w:pPr>
      <w:ind w:left="0" w:firstLine="0"/>
    </w:pPr>
    <w:rPr>
      <w:rFonts w:eastAsiaTheme="minorEastAsia" w:cs="Arial"/>
      <w:bCs/>
      <w:sz w:val="24"/>
      <w:szCs w:val="20"/>
    </w:rPr>
  </w:style>
  <w:style w:type="paragraph" w:customStyle="1" w:styleId="TIRtiret">
    <w:name w:val="TIR – tiret"/>
    <w:basedOn w:val="LITlitera"/>
    <w:uiPriority w:val="15"/>
    <w:qFormat/>
    <w:rsid w:val="00F837EE"/>
    <w:pPr>
      <w:ind w:left="1384" w:hanging="397"/>
    </w:pPr>
    <w:rPr>
      <w:rFonts w:eastAsiaTheme="minorEastAsia" w:cs="Arial"/>
      <w:bCs/>
      <w:sz w:val="24"/>
    </w:rPr>
  </w:style>
  <w:style w:type="paragraph" w:customStyle="1" w:styleId="ROZDZODDZPRZEDMprzedmiotregulacjirozdziauluboddziau">
    <w:name w:val="ROZDZ(ODDZ)_PRZEDM – przedmiot regulacji rozdziału lub oddziału"/>
    <w:next w:val="ARTartustawynprozporzdzenia"/>
    <w:uiPriority w:val="10"/>
    <w:qFormat/>
    <w:rsid w:val="00F837EE"/>
    <w:pPr>
      <w:keepNext/>
      <w:suppressAutoHyphens/>
      <w:spacing w:before="120" w:after="0" w:line="360" w:lineRule="auto"/>
      <w:jc w:val="center"/>
    </w:pPr>
    <w:rPr>
      <w:rFonts w:ascii="Times" w:eastAsiaTheme="minorEastAsia" w:hAnsi="Times" w:cs="Times New Roman"/>
      <w:b/>
      <w:bCs/>
      <w:sz w:val="24"/>
      <w:szCs w:val="24"/>
      <w:lang w:eastAsia="pl-PL"/>
    </w:rPr>
  </w:style>
  <w:style w:type="paragraph" w:customStyle="1" w:styleId="Normalny4">
    <w:name w:val="Normalny4"/>
    <w:basedOn w:val="Normalny"/>
    <w:rsid w:val="00F837EE"/>
    <w:pPr>
      <w:spacing w:before="100" w:beforeAutospacing="1" w:after="100" w:afterAutospacing="1"/>
    </w:pPr>
  </w:style>
  <w:style w:type="paragraph" w:customStyle="1" w:styleId="note">
    <w:name w:val="note"/>
    <w:basedOn w:val="Normalny"/>
    <w:rsid w:val="00F837EE"/>
    <w:pPr>
      <w:spacing w:before="100" w:beforeAutospacing="1" w:after="100" w:afterAutospacing="1"/>
    </w:pPr>
  </w:style>
  <w:style w:type="character" w:customStyle="1" w:styleId="italic">
    <w:name w:val="italic"/>
    <w:basedOn w:val="Domylnaczcionkaakapitu"/>
    <w:rsid w:val="00F837EE"/>
  </w:style>
  <w:style w:type="character" w:styleId="Uwydatnienie">
    <w:name w:val="Emphasis"/>
    <w:basedOn w:val="Domylnaczcionkaakapitu"/>
    <w:uiPriority w:val="20"/>
    <w:qFormat/>
    <w:rsid w:val="00F837EE"/>
    <w:rPr>
      <w:i/>
      <w:iCs/>
    </w:rPr>
  </w:style>
  <w:style w:type="paragraph" w:customStyle="1" w:styleId="ZLITLITwPKTzmlitwpktliter">
    <w:name w:val="Z_LIT/LIT_w_PKT – zm. lit. w pkt literą"/>
    <w:basedOn w:val="LITlitera"/>
    <w:uiPriority w:val="48"/>
    <w:qFormat/>
    <w:rsid w:val="00F837EE"/>
    <w:pPr>
      <w:ind w:left="1973"/>
    </w:pPr>
    <w:rPr>
      <w:rFonts w:eastAsiaTheme="minorEastAsia" w:cs="Arial"/>
      <w:bCs/>
      <w:sz w:val="24"/>
    </w:rPr>
  </w:style>
  <w:style w:type="character" w:customStyle="1" w:styleId="IDindeksdolny">
    <w:name w:val="_ID_ – indeks dolny"/>
    <w:basedOn w:val="Domylnaczcionkaakapitu"/>
    <w:uiPriority w:val="3"/>
    <w:qFormat/>
    <w:rsid w:val="00F837EE"/>
    <w:rPr>
      <w:b w:val="0"/>
      <w:i w:val="0"/>
      <w:vanish w:val="0"/>
      <w:spacing w:val="0"/>
      <w:vertAlign w:val="subscript"/>
    </w:rPr>
  </w:style>
  <w:style w:type="paragraph" w:customStyle="1" w:styleId="ZLITPKTzmpktliter">
    <w:name w:val="Z_LIT/PKT – zm. pkt literą"/>
    <w:basedOn w:val="PKTpunkt"/>
    <w:uiPriority w:val="47"/>
    <w:qFormat/>
    <w:rsid w:val="00F837EE"/>
    <w:pPr>
      <w:ind w:left="1497"/>
    </w:pPr>
    <w:rPr>
      <w:rFonts w:eastAsiaTheme="minorEastAsia" w:cs="Arial"/>
      <w:bCs/>
      <w:sz w:val="24"/>
      <w:szCs w:val="20"/>
    </w:rPr>
  </w:style>
  <w:style w:type="paragraph" w:customStyle="1" w:styleId="ZLITUSTzmustliter">
    <w:name w:val="Z_LIT/UST(§) – zm. ust. (§) literą"/>
    <w:basedOn w:val="USTustnpkodeksu"/>
    <w:uiPriority w:val="99"/>
    <w:qFormat/>
    <w:rsid w:val="00F837EE"/>
    <w:pPr>
      <w:ind w:left="987"/>
    </w:pPr>
    <w:rPr>
      <w:rFonts w:eastAsiaTheme="minorEastAsia" w:cs="Arial"/>
      <w:bCs/>
      <w:sz w:val="24"/>
    </w:rPr>
  </w:style>
  <w:style w:type="paragraph" w:customStyle="1" w:styleId="ZCZWSPLITzmczciwsplitartykuempunktem">
    <w:name w:val="Z/CZ_WSP_LIT – zm. części wsp. lit. artykułem (punktem)"/>
    <w:basedOn w:val="ZCZWSPPKTzmczciwsppktartykuempunktem"/>
    <w:next w:val="PKTpunkt"/>
    <w:uiPriority w:val="35"/>
    <w:qFormat/>
    <w:rsid w:val="00F837EE"/>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F837EE"/>
    <w:pPr>
      <w:spacing w:after="120"/>
      <w:ind w:left="510"/>
    </w:pPr>
    <w:rPr>
      <w:b w:val="0"/>
    </w:rPr>
  </w:style>
  <w:style w:type="paragraph" w:customStyle="1" w:styleId="ZTIRDZPRZEDMzmprzedmdziautiret">
    <w:name w:val="Z_TIR/DZ_PRZEDM – zm. przedm. działu tiret"/>
    <w:basedOn w:val="Normalny"/>
    <w:uiPriority w:val="54"/>
    <w:qFormat/>
    <w:rsid w:val="00F837EE"/>
    <w:pPr>
      <w:keepNext/>
      <w:suppressAutoHyphens/>
      <w:spacing w:line="360" w:lineRule="auto"/>
      <w:ind w:left="1383"/>
      <w:jc w:val="center"/>
    </w:pPr>
    <w:rPr>
      <w:rFonts w:ascii="Times" w:hAnsi="Times"/>
      <w:szCs w:val="26"/>
    </w:rPr>
  </w:style>
  <w:style w:type="paragraph" w:customStyle="1" w:styleId="ZROZDZODDZOZNzmoznrozdzoddzartykuempunktem">
    <w:name w:val="Z/ROZDZ(ODDZ)_OZN – zm. ozn. rozdz. (oddz.) artykułem (punktem)"/>
    <w:next w:val="ZROZDZODDZPRZEDMzmprzedmrozdzoddzartykuempunktem"/>
    <w:uiPriority w:val="29"/>
    <w:qFormat/>
    <w:rsid w:val="00F837EE"/>
    <w:pPr>
      <w:keepNext/>
      <w:suppressAutoHyphens/>
      <w:spacing w:after="0" w:line="360" w:lineRule="auto"/>
      <w:ind w:left="510"/>
      <w:jc w:val="center"/>
    </w:pPr>
    <w:rPr>
      <w:rFonts w:ascii="Times" w:eastAsiaTheme="minorEastAsia" w:hAnsi="Times" w:cs="Arial"/>
      <w:bCs/>
      <w:kern w:val="24"/>
      <w:sz w:val="24"/>
      <w:szCs w:val="24"/>
      <w:lang w:eastAsia="pl-PL"/>
    </w:rPr>
  </w:style>
  <w:style w:type="paragraph" w:customStyle="1" w:styleId="Normalny5">
    <w:name w:val="Normalny5"/>
    <w:basedOn w:val="Normalny"/>
    <w:rsid w:val="00F837EE"/>
    <w:pPr>
      <w:spacing w:before="100" w:beforeAutospacing="1" w:after="100" w:afterAutospacing="1"/>
    </w:pPr>
  </w:style>
  <w:style w:type="paragraph" w:customStyle="1" w:styleId="ZTIRCZWSPPKTzmczciwsppkttiret">
    <w:name w:val="Z_TIR/CZ_WSP_PKT – zm. części wsp. pkt tiret"/>
    <w:basedOn w:val="Normalny"/>
    <w:next w:val="TIRtiret"/>
    <w:uiPriority w:val="58"/>
    <w:qFormat/>
    <w:rsid w:val="00F837EE"/>
    <w:pPr>
      <w:spacing w:line="360" w:lineRule="auto"/>
      <w:ind w:left="1383"/>
      <w:jc w:val="both"/>
    </w:pPr>
    <w:rPr>
      <w:rFonts w:ascii="Times" w:eastAsiaTheme="minorEastAsia" w:hAnsi="Times" w:cs="Arial"/>
      <w:bCs/>
    </w:rPr>
  </w:style>
  <w:style w:type="paragraph" w:customStyle="1" w:styleId="ZTIRPKTzmpkttiret">
    <w:name w:val="Z_TIR/PKT – zm. pkt tiret"/>
    <w:basedOn w:val="PKTpunkt"/>
    <w:uiPriority w:val="56"/>
    <w:qFormat/>
    <w:rsid w:val="00F837EE"/>
    <w:pPr>
      <w:ind w:left="1893"/>
    </w:pPr>
    <w:rPr>
      <w:rFonts w:eastAsiaTheme="minorEastAsia" w:cs="Arial"/>
      <w:bCs/>
      <w:sz w:val="24"/>
      <w:szCs w:val="20"/>
    </w:rPr>
  </w:style>
  <w:style w:type="paragraph" w:customStyle="1" w:styleId="ZLITCZWSPPKTzmczciwsppktliter">
    <w:name w:val="Z_LIT/CZ_WSP_PKT – zm. części wsp. pkt literą"/>
    <w:basedOn w:val="Normalny"/>
    <w:next w:val="LITlitera"/>
    <w:uiPriority w:val="50"/>
    <w:qFormat/>
    <w:rsid w:val="00F837EE"/>
    <w:pPr>
      <w:spacing w:line="360" w:lineRule="auto"/>
      <w:ind w:left="987"/>
      <w:jc w:val="both"/>
    </w:pPr>
    <w:rPr>
      <w:rFonts w:ascii="Times" w:eastAsiaTheme="minorEastAsia" w:hAnsi="Times" w:cs="Arial"/>
      <w:bCs/>
    </w:rPr>
  </w:style>
  <w:style w:type="paragraph" w:customStyle="1" w:styleId="OZNZACZNIKAwskazanienrzacznika">
    <w:name w:val="OZN_ZAŁĄCZNIKA – wskazanie nr załącznika"/>
    <w:basedOn w:val="Normalny"/>
    <w:uiPriority w:val="28"/>
    <w:qFormat/>
    <w:rsid w:val="00F837EE"/>
    <w:pPr>
      <w:keepNext/>
      <w:spacing w:line="360" w:lineRule="auto"/>
      <w:jc w:val="right"/>
    </w:pPr>
    <w:rPr>
      <w:rFonts w:eastAsiaTheme="minorEastAsia" w:cs="Arial"/>
      <w:b/>
      <w:szCs w:val="20"/>
    </w:rPr>
  </w:style>
  <w:style w:type="character" w:customStyle="1" w:styleId="IIGindeksgrnyindeksugrnego">
    <w:name w:val="_IIG_ – indeks górny indeksu górnego"/>
    <w:basedOn w:val="Domylnaczcionkaakapitu"/>
    <w:uiPriority w:val="3"/>
    <w:qFormat/>
    <w:rsid w:val="00F837EE"/>
    <w:rPr>
      <w:b w:val="0"/>
      <w:i w:val="0"/>
      <w:vanish w:val="0"/>
      <w:spacing w:val="0"/>
      <w:position w:val="6"/>
      <w:vertAlign w:val="superscript"/>
    </w:rPr>
  </w:style>
  <w:style w:type="table" w:customStyle="1" w:styleId="TABELA2zszablonu">
    <w:name w:val="TABELA 2 z szablonu"/>
    <w:basedOn w:val="Tabela-Elegancki"/>
    <w:uiPriority w:val="99"/>
    <w:rsid w:val="00F837EE"/>
    <w:pPr>
      <w:widowControl w:val="0"/>
      <w:autoSpaceDE w:val="0"/>
      <w:autoSpaceDN w:val="0"/>
      <w:adjustRightInd w:val="0"/>
    </w:pPr>
    <w:rPr>
      <w:rFonts w:ascii="Times" w:hAnsi="Times"/>
      <w:sz w:val="24"/>
      <w:szCs w:val="24"/>
    </w:rPr>
    <w:tblPr>
      <w:jc w:val="cente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styleId="Tabela-Elegancki">
    <w:name w:val="Table Elegant"/>
    <w:basedOn w:val="Standardowy"/>
    <w:uiPriority w:val="99"/>
    <w:semiHidden/>
    <w:unhideWhenUsed/>
    <w:rsid w:val="00F837EE"/>
    <w:pPr>
      <w:spacing w:after="0" w:line="240" w:lineRule="auto"/>
    </w:pPr>
    <w:rPr>
      <w:rFonts w:ascii="Times New Roman" w:eastAsia="Times New Roman" w:hAnsi="Times New Roman" w:cs="Times New Roman"/>
      <w:lang w:eastAsia="pl-PL"/>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ZTIRFRAGMzmnpwprdowyliczeniatiret">
    <w:name w:val="Z_TIR/FRAGM – zm. np. wpr. do wyliczenia tiret"/>
    <w:basedOn w:val="ZTIRCZWSPPKTzmczciwsppkttiret"/>
    <w:next w:val="TIRtiret"/>
    <w:uiPriority w:val="60"/>
    <w:qFormat/>
    <w:rsid w:val="000672D3"/>
    <w:rPr>
      <w:rFonts w:ascii="Times New Roman" w:hAnsi="Times New Roman"/>
    </w:rPr>
  </w:style>
  <w:style w:type="paragraph" w:customStyle="1" w:styleId="ZFRAGzmfragmentunpzdaniaartykuempunktem">
    <w:name w:val="Z/FRAG – zm. fragmentu (np. zdania) artykułem (punktem)"/>
    <w:basedOn w:val="ZARTzmartartykuempunktem"/>
    <w:next w:val="PKTpunkt"/>
    <w:uiPriority w:val="36"/>
    <w:qFormat/>
    <w:rsid w:val="00EF4D0B"/>
    <w:pPr>
      <w:ind w:firstLine="0"/>
    </w:pPr>
    <w:rPr>
      <w:rFonts w:ascii="Times New Roman" w:hAnsi="Times New Roman"/>
    </w:rPr>
  </w:style>
  <w:style w:type="paragraph" w:customStyle="1" w:styleId="ZCZWSPLITwPKTzmczciwsplitwpktartykuempunktem">
    <w:name w:val="Z/CZ_WSP_LIT_w_PKT – zm. części wsp. lit. w pkt artykułem (punktem)"/>
    <w:basedOn w:val="Normalny"/>
    <w:next w:val="ZARTzmartartykuempunktem"/>
    <w:uiPriority w:val="35"/>
    <w:qFormat/>
    <w:rsid w:val="00A1212C"/>
    <w:pPr>
      <w:spacing w:line="360" w:lineRule="auto"/>
      <w:ind w:left="1021"/>
      <w:jc w:val="both"/>
    </w:pPr>
    <w:rPr>
      <w:rFonts w:ascii="Times" w:eastAsiaTheme="minorEastAsia" w:hAnsi="Times" w:cs="Arial"/>
      <w:bCs/>
    </w:rPr>
  </w:style>
  <w:style w:type="paragraph" w:customStyle="1" w:styleId="nieartteksttekstnieartykuowanynppodstprawnarozplubpreambua">
    <w:name w:val="nieartteksttekstnieartykuowanynppodstprawnarozplubpreambua"/>
    <w:basedOn w:val="Normalny"/>
    <w:rsid w:val="0041043A"/>
    <w:pPr>
      <w:spacing w:before="100" w:beforeAutospacing="1" w:after="100" w:afterAutospacing="1"/>
    </w:pPr>
  </w:style>
  <w:style w:type="paragraph" w:customStyle="1" w:styleId="ustustnpkodeksu0">
    <w:name w:val="ustustnpkodeksu"/>
    <w:basedOn w:val="Normalny"/>
    <w:rsid w:val="0041043A"/>
    <w:pPr>
      <w:spacing w:before="100" w:beforeAutospacing="1" w:after="100" w:afterAutospacing="1"/>
    </w:pPr>
  </w:style>
  <w:style w:type="character" w:customStyle="1" w:styleId="ppogrubienie0">
    <w:name w:val="ppogrubienie"/>
    <w:basedOn w:val="Domylnaczcionkaakapitu"/>
    <w:rsid w:val="0041043A"/>
  </w:style>
  <w:style w:type="paragraph" w:customStyle="1" w:styleId="pktpunkt0">
    <w:name w:val="pktpunkt"/>
    <w:basedOn w:val="Normalny"/>
    <w:rsid w:val="0041043A"/>
    <w:pPr>
      <w:spacing w:before="100" w:beforeAutospacing="1" w:after="100" w:afterAutospacing="1"/>
    </w:pPr>
  </w:style>
  <w:style w:type="paragraph" w:customStyle="1" w:styleId="ti-art">
    <w:name w:val="ti-art"/>
    <w:basedOn w:val="Normalny"/>
    <w:rsid w:val="00541529"/>
    <w:pPr>
      <w:spacing w:before="100" w:beforeAutospacing="1" w:after="100" w:afterAutospacing="1"/>
    </w:pPr>
  </w:style>
  <w:style w:type="paragraph" w:customStyle="1" w:styleId="Normalny6">
    <w:name w:val="Normalny6"/>
    <w:basedOn w:val="Normalny"/>
    <w:rsid w:val="00541529"/>
    <w:pPr>
      <w:spacing w:before="100" w:beforeAutospacing="1" w:after="100" w:afterAutospacing="1"/>
    </w:pPr>
  </w:style>
  <w:style w:type="paragraph" w:customStyle="1" w:styleId="Normalny7">
    <w:name w:val="Normalny7"/>
    <w:basedOn w:val="Normalny"/>
    <w:rsid w:val="00470831"/>
    <w:pPr>
      <w:spacing w:before="100" w:beforeAutospacing="1" w:after="100" w:afterAutospacing="1"/>
    </w:pPr>
  </w:style>
  <w:style w:type="character" w:customStyle="1" w:styleId="Nierozpoznanawzmianka1">
    <w:name w:val="Nierozpoznana wzmianka1"/>
    <w:basedOn w:val="Domylnaczcionkaakapitu"/>
    <w:uiPriority w:val="99"/>
    <w:semiHidden/>
    <w:unhideWhenUsed/>
    <w:rsid w:val="000D660C"/>
    <w:rPr>
      <w:color w:val="605E5C"/>
      <w:shd w:val="clear" w:color="auto" w:fill="E1DFDD"/>
    </w:rPr>
  </w:style>
  <w:style w:type="character" w:customStyle="1" w:styleId="object">
    <w:name w:val="object"/>
    <w:basedOn w:val="Domylnaczcionkaakapitu"/>
    <w:rsid w:val="008F3D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245987">
      <w:bodyDiv w:val="1"/>
      <w:marLeft w:val="0"/>
      <w:marRight w:val="0"/>
      <w:marTop w:val="0"/>
      <w:marBottom w:val="0"/>
      <w:divBdr>
        <w:top w:val="none" w:sz="0" w:space="0" w:color="auto"/>
        <w:left w:val="none" w:sz="0" w:space="0" w:color="auto"/>
        <w:bottom w:val="none" w:sz="0" w:space="0" w:color="auto"/>
        <w:right w:val="none" w:sz="0" w:space="0" w:color="auto"/>
      </w:divBdr>
    </w:div>
    <w:div w:id="394202094">
      <w:bodyDiv w:val="1"/>
      <w:marLeft w:val="0"/>
      <w:marRight w:val="0"/>
      <w:marTop w:val="0"/>
      <w:marBottom w:val="0"/>
      <w:divBdr>
        <w:top w:val="none" w:sz="0" w:space="0" w:color="auto"/>
        <w:left w:val="none" w:sz="0" w:space="0" w:color="auto"/>
        <w:bottom w:val="none" w:sz="0" w:space="0" w:color="auto"/>
        <w:right w:val="none" w:sz="0" w:space="0" w:color="auto"/>
      </w:divBdr>
    </w:div>
    <w:div w:id="759256213">
      <w:bodyDiv w:val="1"/>
      <w:marLeft w:val="0"/>
      <w:marRight w:val="0"/>
      <w:marTop w:val="0"/>
      <w:marBottom w:val="0"/>
      <w:divBdr>
        <w:top w:val="none" w:sz="0" w:space="0" w:color="auto"/>
        <w:left w:val="none" w:sz="0" w:space="0" w:color="auto"/>
        <w:bottom w:val="none" w:sz="0" w:space="0" w:color="auto"/>
        <w:right w:val="none" w:sz="0" w:space="0" w:color="auto"/>
      </w:divBdr>
    </w:div>
    <w:div w:id="1524245158">
      <w:bodyDiv w:val="1"/>
      <w:marLeft w:val="0"/>
      <w:marRight w:val="0"/>
      <w:marTop w:val="0"/>
      <w:marBottom w:val="0"/>
      <w:divBdr>
        <w:top w:val="none" w:sz="0" w:space="0" w:color="auto"/>
        <w:left w:val="none" w:sz="0" w:space="0" w:color="auto"/>
        <w:bottom w:val="none" w:sz="0" w:space="0" w:color="auto"/>
        <w:right w:val="none" w:sz="0" w:space="0" w:color="auto"/>
      </w:divBdr>
    </w:div>
    <w:div w:id="1840193447">
      <w:bodyDiv w:val="1"/>
      <w:marLeft w:val="0"/>
      <w:marRight w:val="0"/>
      <w:marTop w:val="0"/>
      <w:marBottom w:val="0"/>
      <w:divBdr>
        <w:top w:val="none" w:sz="0" w:space="0" w:color="auto"/>
        <w:left w:val="none" w:sz="0" w:space="0" w:color="auto"/>
        <w:bottom w:val="none" w:sz="0" w:space="0" w:color="auto"/>
        <w:right w:val="none" w:sz="0" w:space="0" w:color="auto"/>
      </w:divBdr>
      <w:divsChild>
        <w:div w:id="537086421">
          <w:marLeft w:val="0"/>
          <w:marRight w:val="0"/>
          <w:marTop w:val="0"/>
          <w:marBottom w:val="0"/>
          <w:divBdr>
            <w:top w:val="none" w:sz="0" w:space="0" w:color="auto"/>
            <w:left w:val="none" w:sz="0" w:space="0" w:color="auto"/>
            <w:bottom w:val="none" w:sz="0" w:space="0" w:color="auto"/>
            <w:right w:val="none" w:sz="0" w:space="0" w:color="auto"/>
          </w:divBdr>
          <w:divsChild>
            <w:div w:id="121116641">
              <w:marLeft w:val="0"/>
              <w:marRight w:val="0"/>
              <w:marTop w:val="0"/>
              <w:marBottom w:val="0"/>
              <w:divBdr>
                <w:top w:val="none" w:sz="0" w:space="0" w:color="auto"/>
                <w:left w:val="none" w:sz="0" w:space="0" w:color="auto"/>
                <w:bottom w:val="none" w:sz="0" w:space="0" w:color="auto"/>
                <w:right w:val="none" w:sz="0" w:space="0" w:color="auto"/>
              </w:divBdr>
            </w:div>
          </w:divsChild>
        </w:div>
        <w:div w:id="58141558">
          <w:marLeft w:val="0"/>
          <w:marRight w:val="0"/>
          <w:marTop w:val="0"/>
          <w:marBottom w:val="0"/>
          <w:divBdr>
            <w:top w:val="none" w:sz="0" w:space="0" w:color="auto"/>
            <w:left w:val="none" w:sz="0" w:space="0" w:color="auto"/>
            <w:bottom w:val="none" w:sz="0" w:space="0" w:color="auto"/>
            <w:right w:val="none" w:sz="0" w:space="0" w:color="auto"/>
          </w:divBdr>
          <w:divsChild>
            <w:div w:id="284625">
              <w:marLeft w:val="0"/>
              <w:marRight w:val="0"/>
              <w:marTop w:val="0"/>
              <w:marBottom w:val="0"/>
              <w:divBdr>
                <w:top w:val="none" w:sz="0" w:space="0" w:color="auto"/>
                <w:left w:val="none" w:sz="0" w:space="0" w:color="auto"/>
                <w:bottom w:val="none" w:sz="0" w:space="0" w:color="auto"/>
                <w:right w:val="none" w:sz="0" w:space="0" w:color="auto"/>
              </w:divBdr>
            </w:div>
          </w:divsChild>
        </w:div>
        <w:div w:id="676078436">
          <w:marLeft w:val="0"/>
          <w:marRight w:val="0"/>
          <w:marTop w:val="0"/>
          <w:marBottom w:val="0"/>
          <w:divBdr>
            <w:top w:val="none" w:sz="0" w:space="0" w:color="auto"/>
            <w:left w:val="none" w:sz="0" w:space="0" w:color="auto"/>
            <w:bottom w:val="none" w:sz="0" w:space="0" w:color="auto"/>
            <w:right w:val="none" w:sz="0" w:space="0" w:color="auto"/>
          </w:divBdr>
          <w:divsChild>
            <w:div w:id="1640381982">
              <w:marLeft w:val="0"/>
              <w:marRight w:val="0"/>
              <w:marTop w:val="0"/>
              <w:marBottom w:val="0"/>
              <w:divBdr>
                <w:top w:val="none" w:sz="0" w:space="0" w:color="auto"/>
                <w:left w:val="none" w:sz="0" w:space="0" w:color="auto"/>
                <w:bottom w:val="none" w:sz="0" w:space="0" w:color="auto"/>
                <w:right w:val="none" w:sz="0" w:space="0" w:color="auto"/>
              </w:divBdr>
            </w:div>
          </w:divsChild>
        </w:div>
        <w:div w:id="1711832459">
          <w:marLeft w:val="0"/>
          <w:marRight w:val="0"/>
          <w:marTop w:val="0"/>
          <w:marBottom w:val="0"/>
          <w:divBdr>
            <w:top w:val="none" w:sz="0" w:space="0" w:color="auto"/>
            <w:left w:val="none" w:sz="0" w:space="0" w:color="auto"/>
            <w:bottom w:val="none" w:sz="0" w:space="0" w:color="auto"/>
            <w:right w:val="none" w:sz="0" w:space="0" w:color="auto"/>
          </w:divBdr>
          <w:divsChild>
            <w:div w:id="131059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504851">
      <w:bodyDiv w:val="1"/>
      <w:marLeft w:val="0"/>
      <w:marRight w:val="0"/>
      <w:marTop w:val="0"/>
      <w:marBottom w:val="0"/>
      <w:divBdr>
        <w:top w:val="none" w:sz="0" w:space="0" w:color="auto"/>
        <w:left w:val="none" w:sz="0" w:space="0" w:color="auto"/>
        <w:bottom w:val="none" w:sz="0" w:space="0" w:color="auto"/>
        <w:right w:val="none" w:sz="0" w:space="0" w:color="auto"/>
      </w:divBdr>
    </w:div>
    <w:div w:id="2057045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PL/TXT/?uri=CELEX%3A32018L041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BE4E5A-D565-4038-B918-941BE4480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13294</Words>
  <Characters>79769</Characters>
  <Application>Microsoft Office Word</Application>
  <DocSecurity>0</DocSecurity>
  <Lines>664</Lines>
  <Paragraphs>185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Bukowska Joanna</dc:creator>
  <cp:lastModifiedBy>PIĄTEK Magdalena</cp:lastModifiedBy>
  <cp:revision>3</cp:revision>
  <cp:lastPrinted>2019-12-18T06:55:00Z</cp:lastPrinted>
  <dcterms:created xsi:type="dcterms:W3CDTF">2020-05-13T07:53:00Z</dcterms:created>
  <dcterms:modified xsi:type="dcterms:W3CDTF">2020-05-13T07:53:00Z</dcterms:modified>
</cp:coreProperties>
</file>