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029C" w14:textId="77777777" w:rsidR="006E6394" w:rsidRPr="00840BDD" w:rsidRDefault="00A05421" w:rsidP="00EB09AD">
      <w:pPr>
        <w:spacing w:before="60" w:afterLines="60" w:after="144" w:line="276" w:lineRule="auto"/>
        <w:contextualSpacing/>
        <w:mirrorIndents/>
        <w:jc w:val="center"/>
        <w:rPr>
          <w:rFonts w:ascii="Times New Roman" w:hAnsi="Times New Roman" w:cs="Times New Roman"/>
          <w:b/>
          <w:sz w:val="24"/>
          <w:szCs w:val="24"/>
        </w:rPr>
      </w:pPr>
      <w:r w:rsidRPr="00840BDD">
        <w:rPr>
          <w:rFonts w:ascii="Times New Roman" w:hAnsi="Times New Roman" w:cs="Times New Roman"/>
          <w:b/>
          <w:sz w:val="24"/>
          <w:szCs w:val="24"/>
        </w:rPr>
        <w:t>UZASADNIENIE</w:t>
      </w:r>
    </w:p>
    <w:p w14:paraId="6041E825" w14:textId="77777777" w:rsidR="00C31EBA" w:rsidRPr="0030070C" w:rsidRDefault="00C31EBA" w:rsidP="00EB09AD">
      <w:pPr>
        <w:pStyle w:val="Akapitzlist"/>
        <w:numPr>
          <w:ilvl w:val="0"/>
          <w:numId w:val="2"/>
        </w:numPr>
        <w:spacing w:before="60" w:afterLines="60" w:after="144" w:line="276" w:lineRule="auto"/>
        <w:mirrorIndents/>
        <w:jc w:val="both"/>
        <w:rPr>
          <w:rFonts w:ascii="Times New Roman" w:hAnsi="Times New Roman" w:cs="Times New Roman"/>
          <w:b/>
          <w:sz w:val="24"/>
          <w:szCs w:val="24"/>
        </w:rPr>
      </w:pPr>
      <w:r w:rsidRPr="0030070C">
        <w:rPr>
          <w:rFonts w:ascii="Times New Roman" w:hAnsi="Times New Roman" w:cs="Times New Roman"/>
          <w:b/>
          <w:sz w:val="24"/>
          <w:szCs w:val="24"/>
        </w:rPr>
        <w:t>Potrzeba i cel nowelizacji rozporządzenia</w:t>
      </w:r>
    </w:p>
    <w:p w14:paraId="5B73CC99" w14:textId="5D2A982B" w:rsidR="00321F8B" w:rsidRPr="0030070C" w:rsidRDefault="00183FD6" w:rsidP="00EB09AD">
      <w:pPr>
        <w:tabs>
          <w:tab w:val="left" w:pos="567"/>
        </w:tabs>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Od </w:t>
      </w:r>
      <w:r w:rsidR="001C097C">
        <w:rPr>
          <w:rFonts w:ascii="Times New Roman" w:hAnsi="Times New Roman" w:cs="Times New Roman"/>
          <w:sz w:val="24"/>
          <w:szCs w:val="24"/>
        </w:rPr>
        <w:t>dnia</w:t>
      </w:r>
      <w:r w:rsidR="00506CE4">
        <w:rPr>
          <w:rFonts w:ascii="Times New Roman" w:hAnsi="Times New Roman" w:cs="Times New Roman"/>
          <w:sz w:val="24"/>
          <w:szCs w:val="24"/>
        </w:rPr>
        <w:t xml:space="preserve"> wejścia w życie</w:t>
      </w:r>
      <w:r w:rsidRPr="0030070C">
        <w:rPr>
          <w:rFonts w:ascii="Times New Roman" w:hAnsi="Times New Roman" w:cs="Times New Roman"/>
          <w:sz w:val="24"/>
          <w:szCs w:val="24"/>
        </w:rPr>
        <w:t xml:space="preserve"> rozporządzenia Ministra Gospodarki z dnia 4 maja 2007 r. w sprawie szczegółowych warunków funkcjonowania systemu elektroenergetycznego (Dz. U. Nr 93, poz. 623 z </w:t>
      </w:r>
      <w:proofErr w:type="spellStart"/>
      <w:r w:rsidRPr="0030070C">
        <w:rPr>
          <w:rFonts w:ascii="Times New Roman" w:hAnsi="Times New Roman" w:cs="Times New Roman"/>
          <w:sz w:val="24"/>
          <w:szCs w:val="24"/>
        </w:rPr>
        <w:t>późn</w:t>
      </w:r>
      <w:proofErr w:type="spellEnd"/>
      <w:r w:rsidRPr="0030070C">
        <w:rPr>
          <w:rFonts w:ascii="Times New Roman" w:hAnsi="Times New Roman" w:cs="Times New Roman"/>
          <w:sz w:val="24"/>
          <w:szCs w:val="24"/>
        </w:rPr>
        <w:t xml:space="preserve">. zm.) </w:t>
      </w:r>
      <w:r w:rsidR="004C50FB" w:rsidRPr="0030070C">
        <w:rPr>
          <w:rFonts w:ascii="Times New Roman" w:hAnsi="Times New Roman" w:cs="Times New Roman"/>
          <w:sz w:val="24"/>
          <w:szCs w:val="24"/>
        </w:rPr>
        <w:t>oraz jego nowelizacji w 2008 roku</w:t>
      </w:r>
      <w:r w:rsidR="00DC594C" w:rsidRPr="0030070C">
        <w:rPr>
          <w:rFonts w:ascii="Times New Roman" w:hAnsi="Times New Roman" w:cs="Times New Roman"/>
          <w:sz w:val="24"/>
          <w:szCs w:val="24"/>
        </w:rPr>
        <w:t xml:space="preserve"> (Dz. U. Nr 162, poz. 1005)</w:t>
      </w:r>
      <w:r w:rsidR="004C50FB"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rzeczywistość regulacyjna w obszarze elektroenergetyki uległa drastycznym zmianom. </w:t>
      </w:r>
      <w:r w:rsidR="004C50FB" w:rsidRPr="0030070C">
        <w:rPr>
          <w:rFonts w:ascii="Times New Roman" w:hAnsi="Times New Roman" w:cs="Times New Roman"/>
          <w:sz w:val="24"/>
          <w:szCs w:val="24"/>
        </w:rPr>
        <w:t>Wynik</w:t>
      </w:r>
      <w:r w:rsidR="0046536C">
        <w:rPr>
          <w:rFonts w:ascii="Times New Roman" w:hAnsi="Times New Roman" w:cs="Times New Roman"/>
          <w:sz w:val="24"/>
          <w:szCs w:val="24"/>
        </w:rPr>
        <w:t>a</w:t>
      </w:r>
      <w:r w:rsidR="004C50FB" w:rsidRPr="0030070C">
        <w:rPr>
          <w:rFonts w:ascii="Times New Roman" w:hAnsi="Times New Roman" w:cs="Times New Roman"/>
          <w:sz w:val="24"/>
          <w:szCs w:val="24"/>
        </w:rPr>
        <w:t>ły one</w:t>
      </w:r>
      <w:r w:rsidRPr="0030070C">
        <w:rPr>
          <w:rFonts w:ascii="Times New Roman" w:hAnsi="Times New Roman" w:cs="Times New Roman"/>
          <w:sz w:val="24"/>
          <w:szCs w:val="24"/>
        </w:rPr>
        <w:t xml:space="preserve"> głównie z polityki Unii Europejskiej</w:t>
      </w:r>
      <w:r w:rsidR="003273DE" w:rsidRPr="0030070C">
        <w:rPr>
          <w:rFonts w:ascii="Times New Roman" w:hAnsi="Times New Roman" w:cs="Times New Roman"/>
          <w:sz w:val="24"/>
          <w:szCs w:val="24"/>
        </w:rPr>
        <w:t xml:space="preserve"> (UE)</w:t>
      </w:r>
      <w:r w:rsidRPr="0030070C">
        <w:rPr>
          <w:rFonts w:ascii="Times New Roman" w:hAnsi="Times New Roman" w:cs="Times New Roman"/>
          <w:sz w:val="24"/>
          <w:szCs w:val="24"/>
        </w:rPr>
        <w:t xml:space="preserve"> w dziedzinie energetyki, przede wszystkim przyjętych od tego czasu tzw. pakietów energetycznych – III pakietu (2009)</w:t>
      </w:r>
      <w:r w:rsidR="00B456D0" w:rsidRPr="0030070C">
        <w:rPr>
          <w:rStyle w:val="Odwoanieprzypisudolnego"/>
          <w:rFonts w:ascii="Times New Roman" w:hAnsi="Times New Roman" w:cs="Times New Roman"/>
          <w:sz w:val="24"/>
          <w:szCs w:val="24"/>
        </w:rPr>
        <w:footnoteReference w:id="2"/>
      </w:r>
      <w:r w:rsidRPr="0030070C">
        <w:rPr>
          <w:rFonts w:ascii="Times New Roman" w:hAnsi="Times New Roman" w:cs="Times New Roman"/>
          <w:sz w:val="24"/>
          <w:szCs w:val="24"/>
        </w:rPr>
        <w:t xml:space="preserve"> oraz pakietu „Czysta energia dla wszystkich Europejczyków”</w:t>
      </w:r>
      <w:r w:rsidR="00DE61F6" w:rsidRPr="0030070C">
        <w:rPr>
          <w:rFonts w:ascii="Times New Roman" w:hAnsi="Times New Roman" w:cs="Times New Roman"/>
          <w:sz w:val="24"/>
          <w:szCs w:val="24"/>
        </w:rPr>
        <w:t>,</w:t>
      </w:r>
      <w:r w:rsidRPr="0030070C">
        <w:rPr>
          <w:rFonts w:ascii="Times New Roman" w:hAnsi="Times New Roman" w:cs="Times New Roman"/>
          <w:sz w:val="24"/>
          <w:szCs w:val="24"/>
        </w:rPr>
        <w:t xml:space="preserve"> ogłoszonego przez Komisję Europejską</w:t>
      </w:r>
      <w:r w:rsidR="00DE61F6" w:rsidRPr="0030070C">
        <w:rPr>
          <w:rStyle w:val="Odwoanieprzypisudolnego"/>
          <w:rFonts w:ascii="Times New Roman" w:hAnsi="Times New Roman" w:cs="Times New Roman"/>
          <w:sz w:val="24"/>
          <w:szCs w:val="24"/>
        </w:rPr>
        <w:footnoteReference w:id="3"/>
      </w:r>
      <w:r w:rsidRPr="0030070C">
        <w:rPr>
          <w:rFonts w:ascii="Times New Roman" w:hAnsi="Times New Roman" w:cs="Times New Roman"/>
          <w:sz w:val="24"/>
          <w:szCs w:val="24"/>
        </w:rPr>
        <w:t xml:space="preserve"> 30 listopada 2016 r.</w:t>
      </w:r>
      <w:r w:rsidR="00556F7F">
        <w:rPr>
          <w:rFonts w:ascii="Times New Roman" w:hAnsi="Times New Roman" w:cs="Times New Roman"/>
          <w:sz w:val="24"/>
          <w:szCs w:val="24"/>
        </w:rPr>
        <w:t>, którego akty prawne zostały przyjęte i opublikowane w latach 2018-2019.</w:t>
      </w:r>
      <w:r w:rsidRPr="0030070C">
        <w:rPr>
          <w:rFonts w:ascii="Times New Roman" w:hAnsi="Times New Roman" w:cs="Times New Roman"/>
          <w:sz w:val="24"/>
          <w:szCs w:val="24"/>
        </w:rPr>
        <w:t xml:space="preserve"> </w:t>
      </w:r>
      <w:r w:rsidR="00321F8B" w:rsidRPr="0030070C">
        <w:rPr>
          <w:rFonts w:ascii="Times New Roman" w:hAnsi="Times New Roman" w:cs="Times New Roman"/>
          <w:sz w:val="24"/>
          <w:szCs w:val="24"/>
        </w:rPr>
        <w:t xml:space="preserve">Akty prawne wydane w ramach powyższych pakietów fundamentalnie zmieniły architekturę regulacyjną sektora energii elektrycznej, przenosząc na poziom prawa unijnego coraz więcej szczegółowych zasad funkcjonowania wytwórców i odbiorców energii elektrycznej oraz operatorów systemów elektroenergetycznych, które wcześniej były przedmiotem </w:t>
      </w:r>
      <w:r w:rsidR="003273DE" w:rsidRPr="0030070C">
        <w:rPr>
          <w:rFonts w:ascii="Times New Roman" w:hAnsi="Times New Roman" w:cs="Times New Roman"/>
          <w:sz w:val="24"/>
          <w:szCs w:val="24"/>
        </w:rPr>
        <w:t xml:space="preserve">regulacji krajowych, </w:t>
      </w:r>
      <w:r w:rsidR="00321F8B" w:rsidRPr="0030070C">
        <w:rPr>
          <w:rFonts w:ascii="Times New Roman" w:hAnsi="Times New Roman" w:cs="Times New Roman"/>
          <w:sz w:val="24"/>
          <w:szCs w:val="24"/>
        </w:rPr>
        <w:t>prywatnoprawnych ustaleń lub regulaminów.</w:t>
      </w:r>
    </w:p>
    <w:p w14:paraId="3E979C5C" w14:textId="77777777" w:rsidR="00A625D5" w:rsidRDefault="00A625D5" w:rsidP="00EB09AD">
      <w:pPr>
        <w:spacing w:before="60" w:afterLines="60" w:after="144" w:line="276" w:lineRule="auto"/>
        <w:contextualSpacing/>
        <w:mirrorIndents/>
        <w:jc w:val="both"/>
        <w:rPr>
          <w:rFonts w:ascii="Times New Roman" w:hAnsi="Times New Roman" w:cs="Times New Roman"/>
          <w:sz w:val="24"/>
          <w:szCs w:val="24"/>
        </w:rPr>
      </w:pPr>
    </w:p>
    <w:p w14:paraId="047CFEC6" w14:textId="093C68B7" w:rsidR="00321F8B" w:rsidRPr="0030070C" w:rsidRDefault="00E10F09">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Przedmiotowe r</w:t>
      </w:r>
      <w:r w:rsidR="00321F8B" w:rsidRPr="0030070C">
        <w:rPr>
          <w:rFonts w:ascii="Times New Roman" w:hAnsi="Times New Roman" w:cs="Times New Roman"/>
          <w:sz w:val="24"/>
          <w:szCs w:val="24"/>
        </w:rPr>
        <w:t>ozporządzenie</w:t>
      </w:r>
      <w:r w:rsidR="001605AB" w:rsidRPr="0030070C">
        <w:rPr>
          <w:rFonts w:ascii="Times New Roman" w:hAnsi="Times New Roman" w:cs="Times New Roman"/>
          <w:sz w:val="24"/>
          <w:szCs w:val="24"/>
        </w:rPr>
        <w:t xml:space="preserve">, wydane na podstawie art. 9 ustawy z dnia 10 kwietnia 1997 r. – Prawo energetyczne (Dz. U. z 2020 r. poz. 833 z </w:t>
      </w:r>
      <w:proofErr w:type="spellStart"/>
      <w:r w:rsidR="001605AB" w:rsidRPr="0030070C">
        <w:rPr>
          <w:rFonts w:ascii="Times New Roman" w:hAnsi="Times New Roman" w:cs="Times New Roman"/>
          <w:sz w:val="24"/>
          <w:szCs w:val="24"/>
        </w:rPr>
        <w:t>późn</w:t>
      </w:r>
      <w:proofErr w:type="spellEnd"/>
      <w:r w:rsidR="001605AB" w:rsidRPr="0030070C">
        <w:rPr>
          <w:rFonts w:ascii="Times New Roman" w:hAnsi="Times New Roman" w:cs="Times New Roman"/>
          <w:sz w:val="24"/>
          <w:szCs w:val="24"/>
        </w:rPr>
        <w:t>. zm.), zwanej dalej „ustawą Prawo energetyczne”</w:t>
      </w:r>
      <w:r w:rsidRPr="0030070C">
        <w:rPr>
          <w:rFonts w:ascii="Times New Roman" w:hAnsi="Times New Roman" w:cs="Times New Roman"/>
          <w:sz w:val="24"/>
          <w:szCs w:val="24"/>
        </w:rPr>
        <w:t xml:space="preserve">, potocznie </w:t>
      </w:r>
      <w:r w:rsidR="001605AB" w:rsidRPr="0030070C">
        <w:rPr>
          <w:rFonts w:ascii="Times New Roman" w:hAnsi="Times New Roman" w:cs="Times New Roman"/>
          <w:sz w:val="24"/>
          <w:szCs w:val="24"/>
        </w:rPr>
        <w:t xml:space="preserve">nazywane </w:t>
      </w:r>
      <w:r w:rsidR="009C28B0">
        <w:rPr>
          <w:rFonts w:ascii="Times New Roman" w:hAnsi="Times New Roman" w:cs="Times New Roman"/>
          <w:sz w:val="24"/>
          <w:szCs w:val="24"/>
        </w:rPr>
        <w:t>„</w:t>
      </w:r>
      <w:r w:rsidRPr="0030070C">
        <w:rPr>
          <w:rFonts w:ascii="Times New Roman" w:hAnsi="Times New Roman" w:cs="Times New Roman"/>
          <w:sz w:val="24"/>
          <w:szCs w:val="24"/>
        </w:rPr>
        <w:t>rozporządzeniem systemowym</w:t>
      </w:r>
      <w:r w:rsidR="009C28B0">
        <w:rPr>
          <w:rFonts w:ascii="Times New Roman" w:hAnsi="Times New Roman" w:cs="Times New Roman"/>
          <w:sz w:val="24"/>
          <w:szCs w:val="24"/>
        </w:rPr>
        <w:t>”</w:t>
      </w:r>
      <w:r w:rsidRPr="0030070C">
        <w:rPr>
          <w:rFonts w:ascii="Times New Roman" w:hAnsi="Times New Roman" w:cs="Times New Roman"/>
          <w:sz w:val="24"/>
          <w:szCs w:val="24"/>
        </w:rPr>
        <w:t>,</w:t>
      </w:r>
      <w:r w:rsidR="00321F8B" w:rsidRPr="0030070C">
        <w:rPr>
          <w:rFonts w:ascii="Times New Roman" w:hAnsi="Times New Roman" w:cs="Times New Roman"/>
          <w:sz w:val="24"/>
          <w:szCs w:val="24"/>
        </w:rPr>
        <w:t xml:space="preserve"> </w:t>
      </w:r>
      <w:r w:rsidR="003751E1" w:rsidRPr="0030070C">
        <w:rPr>
          <w:rFonts w:ascii="Times New Roman" w:hAnsi="Times New Roman" w:cs="Times New Roman"/>
          <w:sz w:val="24"/>
          <w:szCs w:val="24"/>
        </w:rPr>
        <w:t xml:space="preserve">w 2007 roku </w:t>
      </w:r>
      <w:r w:rsidR="00321F8B" w:rsidRPr="0030070C">
        <w:rPr>
          <w:rFonts w:ascii="Times New Roman" w:hAnsi="Times New Roman" w:cs="Times New Roman"/>
          <w:sz w:val="24"/>
          <w:szCs w:val="24"/>
        </w:rPr>
        <w:t>regulowało</w:t>
      </w:r>
      <w:r w:rsidR="003751E1" w:rsidRPr="0030070C">
        <w:rPr>
          <w:rFonts w:ascii="Times New Roman" w:hAnsi="Times New Roman" w:cs="Times New Roman"/>
          <w:sz w:val="24"/>
          <w:szCs w:val="24"/>
        </w:rPr>
        <w:t xml:space="preserve"> wiele zagadnień w</w:t>
      </w:r>
      <w:r w:rsidR="005B35E2" w:rsidRPr="0030070C">
        <w:rPr>
          <w:rFonts w:ascii="Times New Roman" w:hAnsi="Times New Roman" w:cs="Times New Roman"/>
          <w:sz w:val="24"/>
          <w:szCs w:val="24"/>
        </w:rPr>
        <w:t> </w:t>
      </w:r>
      <w:r w:rsidR="003751E1" w:rsidRPr="0030070C">
        <w:rPr>
          <w:rFonts w:ascii="Times New Roman" w:hAnsi="Times New Roman" w:cs="Times New Roman"/>
          <w:sz w:val="24"/>
          <w:szCs w:val="24"/>
        </w:rPr>
        <w:t xml:space="preserve">sposób kompletny. Obecnie jednak znaczna część jego materii jest objęta daleko bardziej szczegółowymi przepisami prawa UE – jako przykład można wskazać §18 </w:t>
      </w:r>
      <w:r w:rsidR="009C28B0">
        <w:rPr>
          <w:rFonts w:ascii="Times New Roman" w:hAnsi="Times New Roman" w:cs="Times New Roman"/>
          <w:sz w:val="24"/>
          <w:szCs w:val="24"/>
        </w:rPr>
        <w:t xml:space="preserve">rozporządzenia </w:t>
      </w:r>
      <w:r w:rsidR="003751E1" w:rsidRPr="0030070C">
        <w:rPr>
          <w:rFonts w:ascii="Times New Roman" w:hAnsi="Times New Roman" w:cs="Times New Roman"/>
          <w:sz w:val="24"/>
          <w:szCs w:val="24"/>
        </w:rPr>
        <w:t>dotyczący udostępniania zdolności elektroenergetycznych połączeń międzysystemowych, które to zagadnienie jest obecnie przedmiotem nie tylko rozporządzenia Komisji (UE) 2015/1222 z dnia 24 lipca 2015 r. ustanawiające</w:t>
      </w:r>
      <w:r w:rsidR="003273DE" w:rsidRPr="0030070C">
        <w:rPr>
          <w:rFonts w:ascii="Times New Roman" w:hAnsi="Times New Roman" w:cs="Times New Roman"/>
          <w:sz w:val="24"/>
          <w:szCs w:val="24"/>
        </w:rPr>
        <w:t>go</w:t>
      </w:r>
      <w:r w:rsidR="003751E1" w:rsidRPr="0030070C">
        <w:rPr>
          <w:rFonts w:ascii="Times New Roman" w:hAnsi="Times New Roman" w:cs="Times New Roman"/>
          <w:sz w:val="24"/>
          <w:szCs w:val="24"/>
        </w:rPr>
        <w:t xml:space="preserve"> wytyczne dotyczące alokacji zdolności przesyłowych i zarządzania ograniczeniami przesyłowymi (Dz. U</w:t>
      </w:r>
      <w:r w:rsidR="009C28B0">
        <w:rPr>
          <w:rFonts w:ascii="Times New Roman" w:hAnsi="Times New Roman" w:cs="Times New Roman"/>
          <w:sz w:val="24"/>
          <w:szCs w:val="24"/>
        </w:rPr>
        <w:t>rz</w:t>
      </w:r>
      <w:r w:rsidR="003751E1" w:rsidRPr="0030070C">
        <w:rPr>
          <w:rFonts w:ascii="Times New Roman" w:hAnsi="Times New Roman" w:cs="Times New Roman"/>
          <w:sz w:val="24"/>
          <w:szCs w:val="24"/>
        </w:rPr>
        <w:t>. UE L</w:t>
      </w:r>
      <w:r w:rsidR="009C28B0">
        <w:rPr>
          <w:rFonts w:ascii="Times New Roman" w:hAnsi="Times New Roman" w:cs="Times New Roman"/>
          <w:sz w:val="24"/>
          <w:szCs w:val="24"/>
        </w:rPr>
        <w:t xml:space="preserve"> 197</w:t>
      </w:r>
      <w:r w:rsidR="003751E1" w:rsidRPr="0030070C">
        <w:rPr>
          <w:rFonts w:ascii="Times New Roman" w:hAnsi="Times New Roman" w:cs="Times New Roman"/>
          <w:sz w:val="24"/>
          <w:szCs w:val="24"/>
        </w:rPr>
        <w:t xml:space="preserve"> z </w:t>
      </w:r>
      <w:r w:rsidR="009C28B0">
        <w:rPr>
          <w:rFonts w:ascii="Times New Roman" w:hAnsi="Times New Roman" w:cs="Times New Roman"/>
          <w:sz w:val="24"/>
          <w:szCs w:val="24"/>
        </w:rPr>
        <w:t>25.07.</w:t>
      </w:r>
      <w:r w:rsidR="003751E1" w:rsidRPr="0030070C">
        <w:rPr>
          <w:rFonts w:ascii="Times New Roman" w:hAnsi="Times New Roman" w:cs="Times New Roman"/>
          <w:sz w:val="24"/>
          <w:szCs w:val="24"/>
        </w:rPr>
        <w:t>2015</w:t>
      </w:r>
      <w:r w:rsidR="007D5BFD" w:rsidRPr="0030070C">
        <w:rPr>
          <w:rFonts w:ascii="Times New Roman" w:hAnsi="Times New Roman" w:cs="Times New Roman"/>
          <w:sz w:val="24"/>
          <w:szCs w:val="24"/>
        </w:rPr>
        <w:t xml:space="preserve">, str. 24 z </w:t>
      </w:r>
      <w:proofErr w:type="spellStart"/>
      <w:r w:rsidR="007D5BFD" w:rsidRPr="0030070C">
        <w:rPr>
          <w:rFonts w:ascii="Times New Roman" w:hAnsi="Times New Roman" w:cs="Times New Roman"/>
          <w:sz w:val="24"/>
          <w:szCs w:val="24"/>
        </w:rPr>
        <w:t>późn</w:t>
      </w:r>
      <w:proofErr w:type="spellEnd"/>
      <w:r w:rsidR="007D5BFD" w:rsidRPr="0030070C">
        <w:rPr>
          <w:rFonts w:ascii="Times New Roman" w:hAnsi="Times New Roman" w:cs="Times New Roman"/>
          <w:sz w:val="24"/>
          <w:szCs w:val="24"/>
        </w:rPr>
        <w:t xml:space="preserve">. zm., </w:t>
      </w:r>
      <w:r w:rsidR="009C28B0">
        <w:rPr>
          <w:rFonts w:ascii="Times New Roman" w:hAnsi="Times New Roman" w:cs="Times New Roman"/>
          <w:sz w:val="24"/>
          <w:szCs w:val="24"/>
        </w:rPr>
        <w:t xml:space="preserve">zwane </w:t>
      </w:r>
      <w:r w:rsidR="007D5BFD" w:rsidRPr="0030070C">
        <w:rPr>
          <w:rFonts w:ascii="Times New Roman" w:hAnsi="Times New Roman" w:cs="Times New Roman"/>
          <w:sz w:val="24"/>
          <w:szCs w:val="24"/>
        </w:rPr>
        <w:t xml:space="preserve">dalej „rozporządzenia CACM”) </w:t>
      </w:r>
      <w:r w:rsidR="003751E1" w:rsidRPr="0030070C">
        <w:rPr>
          <w:rFonts w:ascii="Times New Roman" w:hAnsi="Times New Roman" w:cs="Times New Roman"/>
          <w:sz w:val="24"/>
          <w:szCs w:val="24"/>
        </w:rPr>
        <w:t>– ale również znacznej części rozporządzenia Parlamentu Europejskiego i Rady (UE) 2019/943 z dnia 5 czerwca 2019 r. w sprawie rynku wewnętrznego energii elektrycznej (Dz. U</w:t>
      </w:r>
      <w:r w:rsidR="009C28B0">
        <w:rPr>
          <w:rFonts w:ascii="Times New Roman" w:hAnsi="Times New Roman" w:cs="Times New Roman"/>
          <w:sz w:val="24"/>
          <w:szCs w:val="24"/>
        </w:rPr>
        <w:t>rz</w:t>
      </w:r>
      <w:r w:rsidR="003751E1" w:rsidRPr="0030070C">
        <w:rPr>
          <w:rFonts w:ascii="Times New Roman" w:hAnsi="Times New Roman" w:cs="Times New Roman"/>
          <w:sz w:val="24"/>
          <w:szCs w:val="24"/>
        </w:rPr>
        <w:t>. UE L</w:t>
      </w:r>
      <w:r w:rsidR="009C28B0">
        <w:rPr>
          <w:rFonts w:ascii="Times New Roman" w:hAnsi="Times New Roman" w:cs="Times New Roman"/>
          <w:sz w:val="24"/>
          <w:szCs w:val="24"/>
        </w:rPr>
        <w:t xml:space="preserve"> 158</w:t>
      </w:r>
      <w:r w:rsidR="009C28B0" w:rsidRPr="0030070C">
        <w:rPr>
          <w:rFonts w:ascii="Times New Roman" w:hAnsi="Times New Roman" w:cs="Times New Roman"/>
          <w:sz w:val="24"/>
          <w:szCs w:val="24"/>
        </w:rPr>
        <w:t xml:space="preserve"> </w:t>
      </w:r>
      <w:r w:rsidR="003751E1" w:rsidRPr="0030070C">
        <w:rPr>
          <w:rFonts w:ascii="Times New Roman" w:hAnsi="Times New Roman" w:cs="Times New Roman"/>
          <w:sz w:val="24"/>
          <w:szCs w:val="24"/>
        </w:rPr>
        <w:t xml:space="preserve">z </w:t>
      </w:r>
      <w:r w:rsidR="00A20EA6">
        <w:rPr>
          <w:rFonts w:ascii="Times New Roman" w:hAnsi="Times New Roman" w:cs="Times New Roman"/>
          <w:sz w:val="24"/>
          <w:szCs w:val="24"/>
        </w:rPr>
        <w:t>14.06.</w:t>
      </w:r>
      <w:r w:rsidR="003751E1" w:rsidRPr="0030070C">
        <w:rPr>
          <w:rFonts w:ascii="Times New Roman" w:hAnsi="Times New Roman" w:cs="Times New Roman"/>
          <w:sz w:val="24"/>
          <w:szCs w:val="24"/>
        </w:rPr>
        <w:t>2019, str. 54) – zwanego dalej „</w:t>
      </w:r>
      <w:r w:rsidR="00CC3738" w:rsidRPr="0030070C">
        <w:rPr>
          <w:rFonts w:ascii="Times New Roman" w:hAnsi="Times New Roman" w:cs="Times New Roman"/>
          <w:sz w:val="24"/>
          <w:szCs w:val="24"/>
        </w:rPr>
        <w:t>rozporządzeniem rynkowym</w:t>
      </w:r>
      <w:r w:rsidR="003751E1" w:rsidRPr="0030070C">
        <w:rPr>
          <w:rFonts w:ascii="Times New Roman" w:hAnsi="Times New Roman" w:cs="Times New Roman"/>
          <w:sz w:val="24"/>
          <w:szCs w:val="24"/>
        </w:rPr>
        <w:t>”</w:t>
      </w:r>
      <w:r w:rsidR="00FA5739" w:rsidRPr="0030070C">
        <w:rPr>
          <w:rFonts w:ascii="Times New Roman" w:hAnsi="Times New Roman" w:cs="Times New Roman"/>
          <w:sz w:val="24"/>
          <w:szCs w:val="24"/>
        </w:rPr>
        <w:t>.</w:t>
      </w:r>
    </w:p>
    <w:p w14:paraId="5EA19538" w14:textId="77777777" w:rsidR="00A625D5" w:rsidRDefault="00A625D5">
      <w:pPr>
        <w:spacing w:before="60" w:afterLines="60" w:after="144" w:line="276" w:lineRule="auto"/>
        <w:contextualSpacing/>
        <w:mirrorIndents/>
        <w:jc w:val="both"/>
        <w:rPr>
          <w:rFonts w:ascii="Times New Roman" w:hAnsi="Times New Roman" w:cs="Times New Roman"/>
          <w:sz w:val="24"/>
          <w:szCs w:val="24"/>
        </w:rPr>
      </w:pPr>
    </w:p>
    <w:p w14:paraId="4A46A8B4" w14:textId="061EEB26" w:rsidR="00FA5739" w:rsidRPr="0030070C" w:rsidRDefault="00A51227">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Z punktu widzenia </w:t>
      </w:r>
      <w:r w:rsidR="002058A4">
        <w:rPr>
          <w:rFonts w:ascii="Times New Roman" w:hAnsi="Times New Roman" w:cs="Times New Roman"/>
          <w:sz w:val="24"/>
          <w:szCs w:val="24"/>
        </w:rPr>
        <w:t>projektu rozporządzenia zmieniającego</w:t>
      </w:r>
      <w:r w:rsidRPr="0030070C">
        <w:rPr>
          <w:rFonts w:ascii="Times New Roman" w:hAnsi="Times New Roman" w:cs="Times New Roman"/>
          <w:sz w:val="24"/>
          <w:szCs w:val="24"/>
        </w:rPr>
        <w:t xml:space="preserve"> kluczowym zagadnieniem są zasady funkcjonowania rynku bilansującego energii elektrycznej, które obecnie są regulowane w art. 6 rozporządzenia </w:t>
      </w:r>
      <w:r w:rsidR="00414179" w:rsidRPr="0030070C">
        <w:rPr>
          <w:rFonts w:ascii="Times New Roman" w:hAnsi="Times New Roman" w:cs="Times New Roman"/>
          <w:sz w:val="24"/>
          <w:szCs w:val="24"/>
        </w:rPr>
        <w:t>rynkowego</w:t>
      </w:r>
      <w:r w:rsidRPr="0030070C">
        <w:rPr>
          <w:rFonts w:ascii="Times New Roman" w:hAnsi="Times New Roman" w:cs="Times New Roman"/>
          <w:sz w:val="24"/>
          <w:szCs w:val="24"/>
        </w:rPr>
        <w:t xml:space="preserve"> oraz w rozporządzeniu Komisji (UE) 2017/2195 z dnia 23 listopada 2017 r. ustanawiającym wytyczne dotyczące bilansowania (Dz. U</w:t>
      </w:r>
      <w:r w:rsidR="002058A4">
        <w:rPr>
          <w:rFonts w:ascii="Times New Roman" w:hAnsi="Times New Roman" w:cs="Times New Roman"/>
          <w:sz w:val="24"/>
          <w:szCs w:val="24"/>
        </w:rPr>
        <w:t>rz</w:t>
      </w:r>
      <w:r w:rsidRPr="0030070C">
        <w:rPr>
          <w:rFonts w:ascii="Times New Roman" w:hAnsi="Times New Roman" w:cs="Times New Roman"/>
          <w:sz w:val="24"/>
          <w:szCs w:val="24"/>
        </w:rPr>
        <w:t>. UE L</w:t>
      </w:r>
      <w:r w:rsidR="002058A4">
        <w:rPr>
          <w:rFonts w:ascii="Times New Roman" w:hAnsi="Times New Roman" w:cs="Times New Roman"/>
          <w:sz w:val="24"/>
          <w:szCs w:val="24"/>
        </w:rPr>
        <w:t xml:space="preserve"> 213</w:t>
      </w:r>
      <w:r w:rsidR="002058A4"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z </w:t>
      </w:r>
      <w:r w:rsidR="002058A4">
        <w:rPr>
          <w:rFonts w:ascii="Times New Roman" w:hAnsi="Times New Roman" w:cs="Times New Roman"/>
          <w:sz w:val="24"/>
          <w:szCs w:val="24"/>
        </w:rPr>
        <w:lastRenderedPageBreak/>
        <w:t>28.11.</w:t>
      </w:r>
      <w:r w:rsidRPr="0030070C">
        <w:rPr>
          <w:rFonts w:ascii="Times New Roman" w:hAnsi="Times New Roman" w:cs="Times New Roman"/>
          <w:sz w:val="24"/>
          <w:szCs w:val="24"/>
        </w:rPr>
        <w:t xml:space="preserve">2017 r. Nr 312, str. 6), zwanym dalej „rozporządzeniem EB GL”. </w:t>
      </w:r>
      <w:r w:rsidR="0005730C" w:rsidRPr="0030070C">
        <w:rPr>
          <w:rFonts w:ascii="Times New Roman" w:hAnsi="Times New Roman" w:cs="Times New Roman"/>
          <w:sz w:val="24"/>
          <w:szCs w:val="24"/>
        </w:rPr>
        <w:t>Polski rynek bilansujący energii elektrycznej wymaga reformy zarówno ze</w:t>
      </w:r>
      <w:r w:rsidR="005B35E2" w:rsidRPr="0030070C">
        <w:rPr>
          <w:rFonts w:ascii="Times New Roman" w:hAnsi="Times New Roman" w:cs="Times New Roman"/>
          <w:sz w:val="24"/>
          <w:szCs w:val="24"/>
        </w:rPr>
        <w:t> </w:t>
      </w:r>
      <w:r w:rsidR="0005730C" w:rsidRPr="0030070C">
        <w:rPr>
          <w:rFonts w:ascii="Times New Roman" w:hAnsi="Times New Roman" w:cs="Times New Roman"/>
          <w:sz w:val="24"/>
          <w:szCs w:val="24"/>
        </w:rPr>
        <w:t>względu na dostosowanie do wyżej wymienionych wymagań, jak i w szczególności ze względu na</w:t>
      </w:r>
      <w:r w:rsidR="005B35E2" w:rsidRPr="0030070C">
        <w:rPr>
          <w:rFonts w:ascii="Times New Roman" w:hAnsi="Times New Roman" w:cs="Times New Roman"/>
          <w:sz w:val="24"/>
          <w:szCs w:val="24"/>
        </w:rPr>
        <w:t> </w:t>
      </w:r>
      <w:r w:rsidR="0005730C" w:rsidRPr="0030070C">
        <w:rPr>
          <w:rFonts w:ascii="Times New Roman" w:hAnsi="Times New Roman" w:cs="Times New Roman"/>
          <w:sz w:val="24"/>
          <w:szCs w:val="24"/>
        </w:rPr>
        <w:t xml:space="preserve">zobowiązania Rzeczypospolitej Polskiej wynikające z decyzji Komisji Europejskiej SA.46100 </w:t>
      </w:r>
      <w:r w:rsidR="003273DE" w:rsidRPr="0030070C">
        <w:rPr>
          <w:rFonts w:ascii="Times New Roman" w:hAnsi="Times New Roman" w:cs="Times New Roman"/>
          <w:sz w:val="24"/>
          <w:szCs w:val="24"/>
        </w:rPr>
        <w:t>(</w:t>
      </w:r>
      <w:r w:rsidR="0005730C" w:rsidRPr="0030070C">
        <w:rPr>
          <w:rFonts w:ascii="Times New Roman" w:hAnsi="Times New Roman" w:cs="Times New Roman"/>
          <w:sz w:val="24"/>
          <w:szCs w:val="24"/>
        </w:rPr>
        <w:t xml:space="preserve">2017/N) – </w:t>
      </w:r>
      <w:r w:rsidR="0005730C" w:rsidRPr="0030070C">
        <w:rPr>
          <w:rFonts w:ascii="Times New Roman" w:hAnsi="Times New Roman" w:cs="Times New Roman"/>
          <w:i/>
          <w:sz w:val="24"/>
          <w:szCs w:val="24"/>
        </w:rPr>
        <w:t xml:space="preserve">Poland – </w:t>
      </w:r>
      <w:proofErr w:type="spellStart"/>
      <w:r w:rsidR="0005730C" w:rsidRPr="0030070C">
        <w:rPr>
          <w:rFonts w:ascii="Times New Roman" w:hAnsi="Times New Roman" w:cs="Times New Roman"/>
          <w:i/>
          <w:sz w:val="24"/>
          <w:szCs w:val="24"/>
        </w:rPr>
        <w:t>Planned</w:t>
      </w:r>
      <w:proofErr w:type="spellEnd"/>
      <w:r w:rsidR="0005730C" w:rsidRPr="0030070C">
        <w:rPr>
          <w:rFonts w:ascii="Times New Roman" w:hAnsi="Times New Roman" w:cs="Times New Roman"/>
          <w:i/>
          <w:sz w:val="24"/>
          <w:szCs w:val="24"/>
        </w:rPr>
        <w:t xml:space="preserve"> </w:t>
      </w:r>
      <w:proofErr w:type="spellStart"/>
      <w:r w:rsidR="0005730C" w:rsidRPr="0030070C">
        <w:rPr>
          <w:rFonts w:ascii="Times New Roman" w:hAnsi="Times New Roman" w:cs="Times New Roman"/>
          <w:i/>
          <w:sz w:val="24"/>
          <w:szCs w:val="24"/>
        </w:rPr>
        <w:t>Polish</w:t>
      </w:r>
      <w:proofErr w:type="spellEnd"/>
      <w:r w:rsidR="0005730C" w:rsidRPr="0030070C">
        <w:rPr>
          <w:rFonts w:ascii="Times New Roman" w:hAnsi="Times New Roman" w:cs="Times New Roman"/>
          <w:i/>
          <w:sz w:val="24"/>
          <w:szCs w:val="24"/>
        </w:rPr>
        <w:t xml:space="preserve"> </w:t>
      </w:r>
      <w:proofErr w:type="spellStart"/>
      <w:r w:rsidR="0005730C" w:rsidRPr="0030070C">
        <w:rPr>
          <w:rFonts w:ascii="Times New Roman" w:hAnsi="Times New Roman" w:cs="Times New Roman"/>
          <w:i/>
          <w:sz w:val="24"/>
          <w:szCs w:val="24"/>
        </w:rPr>
        <w:t>capacity</w:t>
      </w:r>
      <w:proofErr w:type="spellEnd"/>
      <w:r w:rsidR="0005730C" w:rsidRPr="0030070C">
        <w:rPr>
          <w:rFonts w:ascii="Times New Roman" w:hAnsi="Times New Roman" w:cs="Times New Roman"/>
          <w:i/>
          <w:sz w:val="24"/>
          <w:szCs w:val="24"/>
        </w:rPr>
        <w:t xml:space="preserve"> </w:t>
      </w:r>
      <w:proofErr w:type="spellStart"/>
      <w:r w:rsidR="0005730C" w:rsidRPr="0030070C">
        <w:rPr>
          <w:rFonts w:ascii="Times New Roman" w:hAnsi="Times New Roman" w:cs="Times New Roman"/>
          <w:i/>
          <w:sz w:val="24"/>
          <w:szCs w:val="24"/>
        </w:rPr>
        <w:t>mechanism</w:t>
      </w:r>
      <w:proofErr w:type="spellEnd"/>
      <w:r w:rsidR="00E83CDF" w:rsidRPr="0030070C">
        <w:rPr>
          <w:rStyle w:val="Odwoanieprzypisudolnego"/>
          <w:rFonts w:ascii="Times New Roman" w:hAnsi="Times New Roman" w:cs="Times New Roman"/>
          <w:sz w:val="24"/>
          <w:szCs w:val="24"/>
        </w:rPr>
        <w:footnoteReference w:id="4"/>
      </w:r>
      <w:r w:rsidR="00DA08BC" w:rsidRPr="0030070C">
        <w:rPr>
          <w:rFonts w:ascii="Times New Roman" w:hAnsi="Times New Roman" w:cs="Times New Roman"/>
          <w:sz w:val="24"/>
          <w:szCs w:val="24"/>
        </w:rPr>
        <w:t xml:space="preserve"> oraz z Planu wdrażania reform rynku energii elektrycznej opracowanego zgodnie z art. 20 rozporządzenia </w:t>
      </w:r>
      <w:r w:rsidR="00414179" w:rsidRPr="0030070C">
        <w:rPr>
          <w:rFonts w:ascii="Times New Roman" w:hAnsi="Times New Roman" w:cs="Times New Roman"/>
          <w:sz w:val="24"/>
          <w:szCs w:val="24"/>
        </w:rPr>
        <w:t>rynkowego</w:t>
      </w:r>
      <w:r w:rsidR="00E83CDF" w:rsidRPr="0030070C">
        <w:rPr>
          <w:rStyle w:val="Odwoanieprzypisudolnego"/>
          <w:rFonts w:ascii="Times New Roman" w:hAnsi="Times New Roman" w:cs="Times New Roman"/>
          <w:sz w:val="24"/>
          <w:szCs w:val="24"/>
        </w:rPr>
        <w:footnoteReference w:id="5"/>
      </w:r>
      <w:r w:rsidR="001F562C" w:rsidRPr="0030070C">
        <w:rPr>
          <w:rFonts w:ascii="Times New Roman" w:hAnsi="Times New Roman" w:cs="Times New Roman"/>
          <w:sz w:val="24"/>
          <w:szCs w:val="24"/>
        </w:rPr>
        <w:t xml:space="preserve"> (zwanego dalej „Planem wdrażania”</w:t>
      </w:r>
      <w:r w:rsidR="00775E66" w:rsidRPr="0030070C">
        <w:rPr>
          <w:rFonts w:ascii="Times New Roman" w:hAnsi="Times New Roman" w:cs="Times New Roman"/>
          <w:sz w:val="24"/>
          <w:szCs w:val="24"/>
        </w:rPr>
        <w:t>)</w:t>
      </w:r>
      <w:r w:rsidR="00DA08BC" w:rsidRPr="0030070C">
        <w:rPr>
          <w:rFonts w:ascii="Times New Roman" w:hAnsi="Times New Roman" w:cs="Times New Roman"/>
          <w:sz w:val="24"/>
          <w:szCs w:val="24"/>
        </w:rPr>
        <w:t>.</w:t>
      </w:r>
    </w:p>
    <w:p w14:paraId="5CB3162D" w14:textId="77777777" w:rsidR="00A625D5" w:rsidRDefault="00A625D5">
      <w:pPr>
        <w:spacing w:before="60" w:afterLines="60" w:after="144" w:line="276" w:lineRule="auto"/>
        <w:contextualSpacing/>
        <w:mirrorIndents/>
        <w:jc w:val="both"/>
        <w:rPr>
          <w:rFonts w:ascii="Times New Roman" w:hAnsi="Times New Roman" w:cs="Times New Roman"/>
          <w:sz w:val="24"/>
          <w:szCs w:val="24"/>
        </w:rPr>
      </w:pPr>
    </w:p>
    <w:p w14:paraId="13C2D2C4" w14:textId="0502B4D6" w:rsidR="00A91AE7" w:rsidRPr="0030070C" w:rsidRDefault="00A91AE7">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Plan wdrażania przewiduje reformę rynku bilansującego podzieloną na dwa etapy – pierwszy od </w:t>
      </w:r>
      <w:r w:rsidR="00556F7F">
        <w:rPr>
          <w:rFonts w:ascii="Times New Roman" w:hAnsi="Times New Roman" w:cs="Times New Roman"/>
          <w:sz w:val="24"/>
          <w:szCs w:val="24"/>
        </w:rPr>
        <w:t>1.01.</w:t>
      </w:r>
      <w:r w:rsidRPr="0030070C">
        <w:rPr>
          <w:rFonts w:ascii="Times New Roman" w:hAnsi="Times New Roman" w:cs="Times New Roman"/>
          <w:sz w:val="24"/>
          <w:szCs w:val="24"/>
        </w:rPr>
        <w:t>2021</w:t>
      </w:r>
      <w:r w:rsidR="003273DE" w:rsidRPr="0030070C">
        <w:rPr>
          <w:rFonts w:ascii="Times New Roman" w:hAnsi="Times New Roman" w:cs="Times New Roman"/>
          <w:sz w:val="24"/>
          <w:szCs w:val="24"/>
        </w:rPr>
        <w:t> </w:t>
      </w:r>
      <w:r w:rsidRPr="0030070C">
        <w:rPr>
          <w:rFonts w:ascii="Times New Roman" w:hAnsi="Times New Roman" w:cs="Times New Roman"/>
          <w:sz w:val="24"/>
          <w:szCs w:val="24"/>
        </w:rPr>
        <w:t xml:space="preserve">r. oraz drugi od </w:t>
      </w:r>
      <w:r w:rsidR="00556F7F">
        <w:rPr>
          <w:rFonts w:ascii="Times New Roman" w:hAnsi="Times New Roman" w:cs="Times New Roman"/>
          <w:sz w:val="24"/>
          <w:szCs w:val="24"/>
        </w:rPr>
        <w:t>1.01.</w:t>
      </w:r>
      <w:r w:rsidRPr="0030070C">
        <w:rPr>
          <w:rFonts w:ascii="Times New Roman" w:hAnsi="Times New Roman" w:cs="Times New Roman"/>
          <w:sz w:val="24"/>
          <w:szCs w:val="24"/>
        </w:rPr>
        <w:t>2022</w:t>
      </w:r>
      <w:r w:rsidR="003273DE" w:rsidRPr="0030070C">
        <w:rPr>
          <w:rFonts w:ascii="Times New Roman" w:hAnsi="Times New Roman" w:cs="Times New Roman"/>
          <w:sz w:val="24"/>
          <w:szCs w:val="24"/>
        </w:rPr>
        <w:t> r</w:t>
      </w:r>
      <w:r w:rsidRPr="0030070C">
        <w:rPr>
          <w:rFonts w:ascii="Times New Roman" w:hAnsi="Times New Roman" w:cs="Times New Roman"/>
          <w:sz w:val="24"/>
          <w:szCs w:val="24"/>
        </w:rPr>
        <w:t xml:space="preserve">. W świetle ram prawnych wynikających z rozporządzenia </w:t>
      </w:r>
      <w:r w:rsidR="00414179" w:rsidRPr="0030070C">
        <w:rPr>
          <w:rFonts w:ascii="Times New Roman" w:hAnsi="Times New Roman" w:cs="Times New Roman"/>
          <w:sz w:val="24"/>
          <w:szCs w:val="24"/>
        </w:rPr>
        <w:t>rynkowego</w:t>
      </w:r>
      <w:r w:rsidRPr="0030070C">
        <w:rPr>
          <w:rFonts w:ascii="Times New Roman" w:hAnsi="Times New Roman" w:cs="Times New Roman"/>
          <w:sz w:val="24"/>
          <w:szCs w:val="24"/>
        </w:rPr>
        <w:t xml:space="preserve"> oraz rozporządzenia EB GL reforma rynku odbywa się w szczególności poprzez opracowanie przez operatora systemu przesyłowego elektroenergetycznego</w:t>
      </w:r>
      <w:r w:rsidR="0067084E" w:rsidRPr="0030070C">
        <w:rPr>
          <w:rFonts w:ascii="Times New Roman" w:hAnsi="Times New Roman" w:cs="Times New Roman"/>
          <w:sz w:val="24"/>
          <w:szCs w:val="24"/>
        </w:rPr>
        <w:t xml:space="preserve"> (dalej „</w:t>
      </w:r>
      <w:proofErr w:type="spellStart"/>
      <w:r w:rsidR="0067084E" w:rsidRPr="0030070C">
        <w:rPr>
          <w:rFonts w:ascii="Times New Roman" w:hAnsi="Times New Roman" w:cs="Times New Roman"/>
          <w:sz w:val="24"/>
          <w:szCs w:val="24"/>
        </w:rPr>
        <w:t>OSPe</w:t>
      </w:r>
      <w:proofErr w:type="spellEnd"/>
      <w:r w:rsidR="0067084E" w:rsidRPr="0030070C">
        <w:rPr>
          <w:rFonts w:ascii="Times New Roman" w:hAnsi="Times New Roman" w:cs="Times New Roman"/>
          <w:sz w:val="24"/>
          <w:szCs w:val="24"/>
        </w:rPr>
        <w:t>”)</w:t>
      </w:r>
      <w:r w:rsidRPr="0030070C">
        <w:rPr>
          <w:rFonts w:ascii="Times New Roman" w:hAnsi="Times New Roman" w:cs="Times New Roman"/>
          <w:sz w:val="24"/>
          <w:szCs w:val="24"/>
        </w:rPr>
        <w:t xml:space="preserve"> zmienionych warunków dotyczących bilansowania, o których mowa w art. 18 rozporządzenia EB GL, a następnie przedłożenie ich Prezesowi Urzędu Regulacji Energetyki do zatwierdzenia. Warunki dotyczące bilansowania (zwane dalej „WDB”) pełnią rolę zasadniczego regulaminu funkcjonowania rynku bilansującego, w której zastąpiły dotychczasową instrukcję ruchu i eksploatacji sieci przesyłowej w części dotyczącej bilansowania.</w:t>
      </w:r>
      <w:r w:rsidR="00812BD8" w:rsidRPr="0030070C">
        <w:rPr>
          <w:rFonts w:ascii="Times New Roman" w:hAnsi="Times New Roman" w:cs="Times New Roman"/>
          <w:sz w:val="24"/>
          <w:szCs w:val="24"/>
        </w:rPr>
        <w:t xml:space="preserve"> Zatwierdzenie przez Prezesa URE zmienionych WDB, dostosowanych do zakresu I etapu </w:t>
      </w:r>
      <w:r w:rsidR="003273DE" w:rsidRPr="0030070C">
        <w:rPr>
          <w:rFonts w:ascii="Times New Roman" w:hAnsi="Times New Roman" w:cs="Times New Roman"/>
          <w:sz w:val="24"/>
          <w:szCs w:val="24"/>
        </w:rPr>
        <w:t>reformy rynku bilansującego</w:t>
      </w:r>
      <w:r w:rsidR="00355468" w:rsidRPr="0030070C">
        <w:rPr>
          <w:rFonts w:ascii="Times New Roman" w:hAnsi="Times New Roman" w:cs="Times New Roman"/>
          <w:sz w:val="24"/>
          <w:szCs w:val="24"/>
        </w:rPr>
        <w:t xml:space="preserve">, zgodnie z zakresem tego etapu określonym w </w:t>
      </w:r>
      <w:r w:rsidR="00812BD8" w:rsidRPr="0030070C">
        <w:rPr>
          <w:rFonts w:ascii="Times New Roman" w:hAnsi="Times New Roman" w:cs="Times New Roman"/>
          <w:sz w:val="24"/>
          <w:szCs w:val="24"/>
        </w:rPr>
        <w:t>Plan</w:t>
      </w:r>
      <w:r w:rsidR="00355468" w:rsidRPr="0030070C">
        <w:rPr>
          <w:rFonts w:ascii="Times New Roman" w:hAnsi="Times New Roman" w:cs="Times New Roman"/>
          <w:sz w:val="24"/>
          <w:szCs w:val="24"/>
        </w:rPr>
        <w:t>ie</w:t>
      </w:r>
      <w:r w:rsidR="00812BD8" w:rsidRPr="0030070C">
        <w:rPr>
          <w:rFonts w:ascii="Times New Roman" w:hAnsi="Times New Roman" w:cs="Times New Roman"/>
          <w:sz w:val="24"/>
          <w:szCs w:val="24"/>
        </w:rPr>
        <w:t xml:space="preserve"> wdrażania, wymaga jednak zmiany przepisów rozporządzenia, tak aby tr</w:t>
      </w:r>
      <w:r w:rsidR="00417D8D" w:rsidRPr="0030070C">
        <w:rPr>
          <w:rFonts w:ascii="Times New Roman" w:hAnsi="Times New Roman" w:cs="Times New Roman"/>
          <w:sz w:val="24"/>
          <w:szCs w:val="24"/>
        </w:rPr>
        <w:t>eść decyzji była zgodna z</w:t>
      </w:r>
      <w:r w:rsidR="005B35E2" w:rsidRPr="0030070C">
        <w:rPr>
          <w:rFonts w:ascii="Times New Roman" w:hAnsi="Times New Roman" w:cs="Times New Roman"/>
          <w:sz w:val="24"/>
          <w:szCs w:val="24"/>
        </w:rPr>
        <w:t> </w:t>
      </w:r>
      <w:r w:rsidR="00812BD8" w:rsidRPr="0030070C">
        <w:rPr>
          <w:rFonts w:ascii="Times New Roman" w:hAnsi="Times New Roman" w:cs="Times New Roman"/>
          <w:sz w:val="24"/>
          <w:szCs w:val="24"/>
        </w:rPr>
        <w:t>przepi</w:t>
      </w:r>
      <w:r w:rsidR="00417D8D" w:rsidRPr="0030070C">
        <w:rPr>
          <w:rFonts w:ascii="Times New Roman" w:hAnsi="Times New Roman" w:cs="Times New Roman"/>
          <w:sz w:val="24"/>
          <w:szCs w:val="24"/>
        </w:rPr>
        <w:t>sami zarówno unijnymi jak i krajowymi.</w:t>
      </w:r>
    </w:p>
    <w:p w14:paraId="43D5FE86" w14:textId="77777777" w:rsidR="00A625D5" w:rsidRDefault="00A625D5">
      <w:pPr>
        <w:spacing w:before="60" w:afterLines="60" w:after="144" w:line="276" w:lineRule="auto"/>
        <w:contextualSpacing/>
        <w:mirrorIndents/>
        <w:jc w:val="both"/>
        <w:rPr>
          <w:rFonts w:ascii="Times New Roman" w:hAnsi="Times New Roman" w:cs="Times New Roman"/>
          <w:sz w:val="24"/>
          <w:szCs w:val="24"/>
        </w:rPr>
      </w:pPr>
    </w:p>
    <w:p w14:paraId="341C66B8" w14:textId="5D6697AF" w:rsidR="00812BD8" w:rsidRDefault="006C6190">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Poza kwestiami związanymi z funkcjonowaniem rynku bilansującego nowelizacja dotyczy w niewielkim zakresie przepisów dotyczących przyłączania urządzeń do sieci elektroenergetycznej. Potrzeba nowelizacji </w:t>
      </w:r>
      <w:r w:rsidR="00355468" w:rsidRPr="0030070C">
        <w:rPr>
          <w:rFonts w:ascii="Times New Roman" w:hAnsi="Times New Roman" w:cs="Times New Roman"/>
          <w:sz w:val="24"/>
          <w:szCs w:val="24"/>
        </w:rPr>
        <w:t>w tym zakresie</w:t>
      </w:r>
      <w:r w:rsidRPr="0030070C">
        <w:rPr>
          <w:rFonts w:ascii="Times New Roman" w:hAnsi="Times New Roman" w:cs="Times New Roman"/>
          <w:sz w:val="24"/>
          <w:szCs w:val="24"/>
        </w:rPr>
        <w:t xml:space="preserve"> wynika z konieczności dostosowania przepisów wykonawczych do przepisów ustawy </w:t>
      </w:r>
      <w:r w:rsidR="001605AB" w:rsidRPr="0030070C">
        <w:rPr>
          <w:rFonts w:ascii="Times New Roman" w:hAnsi="Times New Roman" w:cs="Times New Roman"/>
          <w:sz w:val="24"/>
          <w:szCs w:val="24"/>
        </w:rPr>
        <w:t>Prawo energetyczne</w:t>
      </w:r>
      <w:r w:rsidRPr="0030070C">
        <w:rPr>
          <w:rFonts w:ascii="Times New Roman" w:hAnsi="Times New Roman" w:cs="Times New Roman"/>
          <w:sz w:val="24"/>
          <w:szCs w:val="24"/>
        </w:rPr>
        <w:t xml:space="preserve">, a </w:t>
      </w:r>
      <w:r w:rsidR="002D0560" w:rsidRPr="0030070C">
        <w:rPr>
          <w:rFonts w:ascii="Times New Roman" w:hAnsi="Times New Roman" w:cs="Times New Roman"/>
          <w:sz w:val="24"/>
          <w:szCs w:val="24"/>
        </w:rPr>
        <w:t>w zakresie</w:t>
      </w:r>
      <w:r w:rsidR="002C39B0" w:rsidRPr="0030070C">
        <w:rPr>
          <w:rFonts w:ascii="Times New Roman" w:hAnsi="Times New Roman" w:cs="Times New Roman"/>
          <w:sz w:val="24"/>
          <w:szCs w:val="24"/>
        </w:rPr>
        <w:t xml:space="preserve"> wymogów technicznych wobec przyłączanych urządzeń oraz w zakresie</w:t>
      </w:r>
      <w:r w:rsidR="002D0560" w:rsidRPr="0030070C">
        <w:rPr>
          <w:rFonts w:ascii="Times New Roman" w:hAnsi="Times New Roman" w:cs="Times New Roman"/>
          <w:sz w:val="24"/>
          <w:szCs w:val="24"/>
        </w:rPr>
        <w:t xml:space="preserve"> połączeń pomiędzy systemami elektroenergetycznymi różnych krajów – do rozporządzenia </w:t>
      </w:r>
      <w:r w:rsidR="00414179" w:rsidRPr="0030070C">
        <w:rPr>
          <w:rFonts w:ascii="Times New Roman" w:hAnsi="Times New Roman" w:cs="Times New Roman"/>
          <w:sz w:val="24"/>
          <w:szCs w:val="24"/>
        </w:rPr>
        <w:t>rynkowego</w:t>
      </w:r>
      <w:r w:rsidR="002D0560" w:rsidRPr="0030070C">
        <w:rPr>
          <w:rFonts w:ascii="Times New Roman" w:hAnsi="Times New Roman" w:cs="Times New Roman"/>
          <w:sz w:val="24"/>
          <w:szCs w:val="24"/>
        </w:rPr>
        <w:t>.</w:t>
      </w:r>
    </w:p>
    <w:p w14:paraId="099CB0E3" w14:textId="3A8F3D0B" w:rsidR="00840BDD" w:rsidRPr="0030070C" w:rsidRDefault="00840BDD">
      <w:pPr>
        <w:spacing w:before="60" w:afterLines="60" w:after="144" w:line="276"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Nowelizacja rozszerza także zakres przedmiotowy rozporządzenia zgodnie z delegacją z art.  9 ust. 4 pkt 14 i 15 ustawy Prawo energetyczne.</w:t>
      </w:r>
    </w:p>
    <w:p w14:paraId="409D7F8E" w14:textId="77777777" w:rsidR="00C31EBA" w:rsidRPr="0030070C" w:rsidRDefault="00C31EBA">
      <w:pPr>
        <w:pStyle w:val="Akapitzlist"/>
        <w:numPr>
          <w:ilvl w:val="0"/>
          <w:numId w:val="2"/>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b/>
          <w:sz w:val="24"/>
          <w:szCs w:val="24"/>
        </w:rPr>
        <w:t>Stan obecny i projektowany</w:t>
      </w:r>
    </w:p>
    <w:p w14:paraId="753334D6" w14:textId="33887007" w:rsidR="00291827" w:rsidRPr="0030070C" w:rsidRDefault="001605AB">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Na gruncie obecnych przepisów funkcjonowanie rynku bilansującego jest uregulowane w</w:t>
      </w:r>
      <w:r w:rsidR="005B35E2" w:rsidRPr="0030070C">
        <w:rPr>
          <w:rFonts w:ascii="Times New Roman" w:hAnsi="Times New Roman" w:cs="Times New Roman"/>
          <w:sz w:val="24"/>
          <w:szCs w:val="24"/>
        </w:rPr>
        <w:t xml:space="preserve"> ograniczonym zakresie </w:t>
      </w:r>
      <w:r w:rsidRPr="0030070C">
        <w:rPr>
          <w:rFonts w:ascii="Times New Roman" w:hAnsi="Times New Roman" w:cs="Times New Roman"/>
          <w:sz w:val="24"/>
          <w:szCs w:val="24"/>
        </w:rPr>
        <w:t>w ustawie Prawo energetyczne, bardziej szczegółowo w rozporządzeniu systemowym</w:t>
      </w:r>
      <w:r w:rsidR="005B35E2" w:rsidRPr="0030070C">
        <w:rPr>
          <w:rFonts w:ascii="Times New Roman" w:hAnsi="Times New Roman" w:cs="Times New Roman"/>
          <w:sz w:val="24"/>
          <w:szCs w:val="24"/>
        </w:rPr>
        <w:t>.</w:t>
      </w:r>
      <w:r w:rsidRPr="0030070C">
        <w:rPr>
          <w:rFonts w:ascii="Times New Roman" w:hAnsi="Times New Roman" w:cs="Times New Roman"/>
          <w:sz w:val="24"/>
          <w:szCs w:val="24"/>
        </w:rPr>
        <w:t xml:space="preserve"> </w:t>
      </w:r>
      <w:r w:rsidR="005B35E2" w:rsidRPr="0030070C">
        <w:rPr>
          <w:rFonts w:ascii="Times New Roman" w:hAnsi="Times New Roman" w:cs="Times New Roman"/>
          <w:sz w:val="24"/>
          <w:szCs w:val="24"/>
        </w:rPr>
        <w:t>Kluczowymi</w:t>
      </w:r>
      <w:r w:rsidRPr="0030070C">
        <w:rPr>
          <w:rFonts w:ascii="Times New Roman" w:hAnsi="Times New Roman" w:cs="Times New Roman"/>
          <w:sz w:val="24"/>
          <w:szCs w:val="24"/>
        </w:rPr>
        <w:t xml:space="preserve"> dokumentami regulującymi konkretne zasady działalności na tym rynku są instrukcja ruchu i</w:t>
      </w:r>
      <w:r w:rsidR="005B35E2" w:rsidRPr="0030070C">
        <w:rPr>
          <w:rFonts w:ascii="Times New Roman" w:hAnsi="Times New Roman" w:cs="Times New Roman"/>
          <w:sz w:val="24"/>
          <w:szCs w:val="24"/>
        </w:rPr>
        <w:t> </w:t>
      </w:r>
      <w:r w:rsidRPr="0030070C">
        <w:rPr>
          <w:rFonts w:ascii="Times New Roman" w:hAnsi="Times New Roman" w:cs="Times New Roman"/>
          <w:sz w:val="24"/>
          <w:szCs w:val="24"/>
        </w:rPr>
        <w:t xml:space="preserve">eksploatacji sieci przesyłowej oraz </w:t>
      </w:r>
      <w:r w:rsidR="0016052D" w:rsidRPr="0030070C">
        <w:rPr>
          <w:rFonts w:ascii="Times New Roman" w:hAnsi="Times New Roman" w:cs="Times New Roman"/>
          <w:sz w:val="24"/>
          <w:szCs w:val="24"/>
        </w:rPr>
        <w:t>WDB</w:t>
      </w:r>
      <w:r w:rsidRPr="0030070C">
        <w:rPr>
          <w:rFonts w:ascii="Times New Roman" w:hAnsi="Times New Roman" w:cs="Times New Roman"/>
          <w:sz w:val="24"/>
          <w:szCs w:val="24"/>
        </w:rPr>
        <w:t>.</w:t>
      </w:r>
      <w:r w:rsidR="0016052D" w:rsidRPr="0030070C">
        <w:rPr>
          <w:rFonts w:ascii="Times New Roman" w:hAnsi="Times New Roman" w:cs="Times New Roman"/>
          <w:sz w:val="24"/>
          <w:szCs w:val="24"/>
        </w:rPr>
        <w:t xml:space="preserve"> Model rynku w aktualnych WDB, zatwierdzonych decyzją Prezesa URE z 5 marca 2020 r., odpowiada zasadniczo poprzednim postanowieniom instrukcji ruchu i eksploatacji sieci przesyłowej w części dotyczącej bilansowania,</w:t>
      </w:r>
      <w:r w:rsidR="0067084E" w:rsidRPr="0030070C">
        <w:rPr>
          <w:rFonts w:ascii="Times New Roman" w:hAnsi="Times New Roman" w:cs="Times New Roman"/>
          <w:sz w:val="24"/>
          <w:szCs w:val="24"/>
        </w:rPr>
        <w:t xml:space="preserve"> a</w:t>
      </w:r>
      <w:r w:rsidR="005B35E2" w:rsidRPr="0030070C">
        <w:rPr>
          <w:rFonts w:ascii="Times New Roman" w:hAnsi="Times New Roman" w:cs="Times New Roman"/>
          <w:sz w:val="24"/>
          <w:szCs w:val="24"/>
        </w:rPr>
        <w:t> </w:t>
      </w:r>
      <w:r w:rsidR="0067084E" w:rsidRPr="0030070C">
        <w:rPr>
          <w:rFonts w:ascii="Times New Roman" w:hAnsi="Times New Roman" w:cs="Times New Roman"/>
          <w:sz w:val="24"/>
          <w:szCs w:val="24"/>
        </w:rPr>
        <w:t xml:space="preserve">zatem wymaga dostosowania do zobowiązań z decyzji SA.46100, ustaleń Planu wdrażania i przepisów EB GL oraz rozporządzenia rynkowego. Koncepcja nowego modelu rynku bilansującego, </w:t>
      </w:r>
      <w:r w:rsidR="00355468" w:rsidRPr="0030070C">
        <w:rPr>
          <w:rFonts w:ascii="Times New Roman" w:hAnsi="Times New Roman" w:cs="Times New Roman"/>
          <w:sz w:val="24"/>
          <w:szCs w:val="24"/>
        </w:rPr>
        <w:t xml:space="preserve">implementująca wymagania </w:t>
      </w:r>
      <w:r w:rsidR="0067084E" w:rsidRPr="0030070C">
        <w:rPr>
          <w:rFonts w:ascii="Times New Roman" w:hAnsi="Times New Roman" w:cs="Times New Roman"/>
          <w:sz w:val="24"/>
          <w:szCs w:val="24"/>
        </w:rPr>
        <w:t>z</w:t>
      </w:r>
      <w:r w:rsidR="005B35E2" w:rsidRPr="0030070C">
        <w:rPr>
          <w:rFonts w:ascii="Times New Roman" w:hAnsi="Times New Roman" w:cs="Times New Roman"/>
          <w:sz w:val="24"/>
          <w:szCs w:val="24"/>
        </w:rPr>
        <w:t> </w:t>
      </w:r>
      <w:r w:rsidR="0067084E" w:rsidRPr="0030070C">
        <w:rPr>
          <w:rFonts w:ascii="Times New Roman" w:hAnsi="Times New Roman" w:cs="Times New Roman"/>
          <w:sz w:val="24"/>
          <w:szCs w:val="24"/>
        </w:rPr>
        <w:t>ww. akt</w:t>
      </w:r>
      <w:r w:rsidR="00355468" w:rsidRPr="0030070C">
        <w:rPr>
          <w:rFonts w:ascii="Times New Roman" w:hAnsi="Times New Roman" w:cs="Times New Roman"/>
          <w:sz w:val="24"/>
          <w:szCs w:val="24"/>
        </w:rPr>
        <w:t>ów</w:t>
      </w:r>
      <w:r w:rsidR="0067084E" w:rsidRPr="0030070C">
        <w:rPr>
          <w:rFonts w:ascii="Times New Roman" w:hAnsi="Times New Roman" w:cs="Times New Roman"/>
          <w:sz w:val="24"/>
          <w:szCs w:val="24"/>
        </w:rPr>
        <w:t xml:space="preserve"> </w:t>
      </w:r>
      <w:r w:rsidR="0067084E" w:rsidRPr="0030070C">
        <w:rPr>
          <w:rFonts w:ascii="Times New Roman" w:hAnsi="Times New Roman" w:cs="Times New Roman"/>
          <w:sz w:val="24"/>
          <w:szCs w:val="24"/>
        </w:rPr>
        <w:lastRenderedPageBreak/>
        <w:t>i</w:t>
      </w:r>
      <w:r w:rsidR="00355468" w:rsidRPr="0030070C">
        <w:rPr>
          <w:rFonts w:ascii="Times New Roman" w:hAnsi="Times New Roman" w:cs="Times New Roman"/>
          <w:sz w:val="24"/>
          <w:szCs w:val="24"/>
        </w:rPr>
        <w:t> </w:t>
      </w:r>
      <w:r w:rsidR="0067084E" w:rsidRPr="0030070C">
        <w:rPr>
          <w:rFonts w:ascii="Times New Roman" w:hAnsi="Times New Roman" w:cs="Times New Roman"/>
          <w:sz w:val="24"/>
          <w:szCs w:val="24"/>
        </w:rPr>
        <w:t>dokument</w:t>
      </w:r>
      <w:r w:rsidR="00355468" w:rsidRPr="0030070C">
        <w:rPr>
          <w:rFonts w:ascii="Times New Roman" w:hAnsi="Times New Roman" w:cs="Times New Roman"/>
          <w:sz w:val="24"/>
          <w:szCs w:val="24"/>
        </w:rPr>
        <w:t>ów</w:t>
      </w:r>
      <w:r w:rsidR="0067084E" w:rsidRPr="0030070C">
        <w:rPr>
          <w:rFonts w:ascii="Times New Roman" w:hAnsi="Times New Roman" w:cs="Times New Roman"/>
          <w:sz w:val="24"/>
          <w:szCs w:val="24"/>
        </w:rPr>
        <w:t>, została zaprezentowana</w:t>
      </w:r>
      <w:r w:rsidR="005B35E2" w:rsidRPr="0030070C">
        <w:rPr>
          <w:rStyle w:val="Odwoanieprzypisudolnego"/>
          <w:rFonts w:ascii="Times New Roman" w:hAnsi="Times New Roman" w:cs="Times New Roman"/>
          <w:sz w:val="24"/>
          <w:szCs w:val="24"/>
        </w:rPr>
        <w:footnoteReference w:id="6"/>
      </w:r>
      <w:r w:rsidR="0067084E" w:rsidRPr="0030070C">
        <w:rPr>
          <w:rFonts w:ascii="Times New Roman" w:hAnsi="Times New Roman" w:cs="Times New Roman"/>
          <w:sz w:val="24"/>
          <w:szCs w:val="24"/>
        </w:rPr>
        <w:t xml:space="preserve"> w listopadzie 2019 r. przez Polskie Sieci Elektroenergetyczne S.A. pełniące funkcję </w:t>
      </w:r>
      <w:proofErr w:type="spellStart"/>
      <w:r w:rsidR="0067084E" w:rsidRPr="0030070C">
        <w:rPr>
          <w:rFonts w:ascii="Times New Roman" w:hAnsi="Times New Roman" w:cs="Times New Roman"/>
          <w:sz w:val="24"/>
          <w:szCs w:val="24"/>
        </w:rPr>
        <w:t>OSPe</w:t>
      </w:r>
      <w:proofErr w:type="spellEnd"/>
      <w:r w:rsidR="0067084E" w:rsidRPr="0030070C">
        <w:rPr>
          <w:rFonts w:ascii="Times New Roman" w:hAnsi="Times New Roman" w:cs="Times New Roman"/>
          <w:sz w:val="24"/>
          <w:szCs w:val="24"/>
        </w:rPr>
        <w:t xml:space="preserve">. </w:t>
      </w:r>
    </w:p>
    <w:p w14:paraId="1A09EE98" w14:textId="77777777" w:rsidR="00A625D5" w:rsidRDefault="00A625D5">
      <w:pPr>
        <w:spacing w:before="60" w:afterLines="60" w:after="144" w:line="276" w:lineRule="auto"/>
        <w:contextualSpacing/>
        <w:mirrorIndents/>
        <w:jc w:val="both"/>
        <w:rPr>
          <w:rFonts w:ascii="Times New Roman" w:hAnsi="Times New Roman" w:cs="Times New Roman"/>
          <w:sz w:val="24"/>
          <w:szCs w:val="24"/>
        </w:rPr>
      </w:pPr>
    </w:p>
    <w:p w14:paraId="7B89E5D3" w14:textId="389BA908" w:rsidR="00DC594C" w:rsidRPr="0030070C" w:rsidRDefault="00DC594C">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Pierwotnie przewidywano wdrożenie pełnego zakresu zmian począwszy od </w:t>
      </w:r>
      <w:r w:rsidR="00593673">
        <w:rPr>
          <w:rFonts w:ascii="Times New Roman" w:hAnsi="Times New Roman" w:cs="Times New Roman"/>
          <w:sz w:val="24"/>
          <w:szCs w:val="24"/>
        </w:rPr>
        <w:t>1.01.</w:t>
      </w:r>
      <w:r w:rsidRPr="0030070C">
        <w:rPr>
          <w:rFonts w:ascii="Times New Roman" w:hAnsi="Times New Roman" w:cs="Times New Roman"/>
          <w:sz w:val="24"/>
          <w:szCs w:val="24"/>
        </w:rPr>
        <w:t>2021</w:t>
      </w:r>
      <w:r w:rsidR="00593673">
        <w:rPr>
          <w:rFonts w:ascii="Times New Roman" w:hAnsi="Times New Roman" w:cs="Times New Roman"/>
          <w:sz w:val="24"/>
          <w:szCs w:val="24"/>
        </w:rPr>
        <w:t xml:space="preserve"> r</w:t>
      </w:r>
      <w:r w:rsidRPr="0030070C">
        <w:rPr>
          <w:rFonts w:ascii="Times New Roman" w:hAnsi="Times New Roman" w:cs="Times New Roman"/>
          <w:sz w:val="24"/>
          <w:szCs w:val="24"/>
        </w:rPr>
        <w:t>. Realizacja tego założenia okazała się niemożliwa ze względu na pandemię wirusa SARS-Cov-2, która wymusiła szereg doraźnych działań i zmian w funkcjonowaniu przedsiębiorstw z sektora elektroenergetycznego oraz administracji publicznej</w:t>
      </w:r>
      <w:r w:rsidR="00F96C45">
        <w:rPr>
          <w:rFonts w:ascii="Times New Roman" w:hAnsi="Times New Roman" w:cs="Times New Roman"/>
          <w:sz w:val="24"/>
          <w:szCs w:val="24"/>
        </w:rPr>
        <w:t>. S</w:t>
      </w:r>
      <w:r w:rsidRPr="0030070C">
        <w:rPr>
          <w:rFonts w:ascii="Times New Roman" w:hAnsi="Times New Roman" w:cs="Times New Roman"/>
          <w:sz w:val="24"/>
          <w:szCs w:val="24"/>
        </w:rPr>
        <w:t>powodowały</w:t>
      </w:r>
      <w:r w:rsidR="00F96C45">
        <w:rPr>
          <w:rFonts w:ascii="Times New Roman" w:hAnsi="Times New Roman" w:cs="Times New Roman"/>
          <w:sz w:val="24"/>
          <w:szCs w:val="24"/>
        </w:rPr>
        <w:t xml:space="preserve"> również</w:t>
      </w:r>
      <w:r w:rsidRPr="0030070C">
        <w:rPr>
          <w:rFonts w:ascii="Times New Roman" w:hAnsi="Times New Roman" w:cs="Times New Roman"/>
          <w:sz w:val="24"/>
          <w:szCs w:val="24"/>
        </w:rPr>
        <w:t xml:space="preserve"> spowolnienie prac dostosowawczych po stronie uczestników rynku i operatorów systemu, głównie związanych z dostosowaniem systemów teleinformatycznych i układów sterowania w jednostkach wytwórczych.</w:t>
      </w:r>
    </w:p>
    <w:p w14:paraId="183D7993" w14:textId="77777777" w:rsidR="00A625D5" w:rsidRDefault="00A625D5">
      <w:pPr>
        <w:spacing w:before="60" w:afterLines="60" w:after="144" w:line="276" w:lineRule="auto"/>
        <w:contextualSpacing/>
        <w:mirrorIndents/>
        <w:jc w:val="both"/>
        <w:rPr>
          <w:rFonts w:ascii="Times New Roman" w:hAnsi="Times New Roman" w:cs="Times New Roman"/>
          <w:sz w:val="24"/>
          <w:szCs w:val="24"/>
        </w:rPr>
      </w:pPr>
    </w:p>
    <w:p w14:paraId="50ECD1CE" w14:textId="77777777" w:rsidR="00A625D5" w:rsidRDefault="00DC594C">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Przy podziale reformy na etapy uwzględniono, że </w:t>
      </w:r>
      <w:r w:rsidR="00291827" w:rsidRPr="0030070C">
        <w:rPr>
          <w:rFonts w:ascii="Times New Roman" w:hAnsi="Times New Roman" w:cs="Times New Roman"/>
          <w:sz w:val="24"/>
          <w:szCs w:val="24"/>
        </w:rPr>
        <w:t>rok 2021 to pierwszy rok dostaw na rynku mocy, funkcjonującym na podstawie ustawy z</w:t>
      </w:r>
      <w:r w:rsidR="000F6C44" w:rsidRPr="0030070C">
        <w:rPr>
          <w:rFonts w:ascii="Times New Roman" w:hAnsi="Times New Roman" w:cs="Times New Roman"/>
          <w:sz w:val="24"/>
          <w:szCs w:val="24"/>
        </w:rPr>
        <w:t> </w:t>
      </w:r>
      <w:r w:rsidR="00291827" w:rsidRPr="0030070C">
        <w:rPr>
          <w:rFonts w:ascii="Times New Roman" w:hAnsi="Times New Roman" w:cs="Times New Roman"/>
          <w:sz w:val="24"/>
          <w:szCs w:val="24"/>
        </w:rPr>
        <w:t>dnia 8 grudnia 2017 r. o rynku mocy (</w:t>
      </w:r>
      <w:proofErr w:type="spellStart"/>
      <w:r w:rsidR="00291827" w:rsidRPr="0030070C">
        <w:rPr>
          <w:rFonts w:ascii="Times New Roman" w:hAnsi="Times New Roman" w:cs="Times New Roman"/>
          <w:sz w:val="24"/>
          <w:szCs w:val="24"/>
        </w:rPr>
        <w:t>t.j</w:t>
      </w:r>
      <w:proofErr w:type="spellEnd"/>
      <w:r w:rsidR="00291827" w:rsidRPr="0030070C">
        <w:rPr>
          <w:rFonts w:ascii="Times New Roman" w:hAnsi="Times New Roman" w:cs="Times New Roman"/>
          <w:sz w:val="24"/>
          <w:szCs w:val="24"/>
        </w:rPr>
        <w:t>. Dz. U. z 2020 r. poz. 247, dalej „ustawa o rynku mocy”</w:t>
      </w:r>
      <w:r w:rsidR="002651C8" w:rsidRPr="0030070C">
        <w:rPr>
          <w:rFonts w:ascii="Times New Roman" w:hAnsi="Times New Roman" w:cs="Times New Roman"/>
          <w:sz w:val="24"/>
          <w:szCs w:val="24"/>
        </w:rPr>
        <w:t xml:space="preserve">). Uruchomienie tego rynku w zgodzie z zobowiązaniami Rzeczypospolitej Polskiej wymaga pilnego wprowadzenia niezbędnego zakresu zmian, z którego wynika opisywany powyżej podział reformy na dwa etapy zgodnie z Planem wdrażania. </w:t>
      </w:r>
    </w:p>
    <w:p w14:paraId="479E239F" w14:textId="77777777" w:rsidR="00A625D5" w:rsidRDefault="00A625D5">
      <w:pPr>
        <w:spacing w:before="60" w:afterLines="60" w:after="144" w:line="276" w:lineRule="auto"/>
        <w:contextualSpacing/>
        <w:mirrorIndents/>
        <w:jc w:val="both"/>
        <w:rPr>
          <w:rFonts w:ascii="Times New Roman" w:hAnsi="Times New Roman" w:cs="Times New Roman"/>
          <w:sz w:val="24"/>
          <w:szCs w:val="24"/>
        </w:rPr>
      </w:pPr>
    </w:p>
    <w:p w14:paraId="49B6B659" w14:textId="2839AC92" w:rsidR="002651C8" w:rsidRPr="0030070C" w:rsidRDefault="002651C8">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Pierwszy etap obejmuje:</w:t>
      </w:r>
    </w:p>
    <w:p w14:paraId="017E4F4D" w14:textId="77777777" w:rsidR="002651C8" w:rsidRPr="0030070C" w:rsidRDefault="002651C8">
      <w:pPr>
        <w:numPr>
          <w:ilvl w:val="0"/>
          <w:numId w:val="3"/>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umożliwienie aktywnego udziału strony popytowej (DSR), jednostek wytwórczych niepodlegających centralnemu dysponowaniu w rynku bilansującym (tzw. jednostki </w:t>
      </w:r>
      <w:proofErr w:type="spellStart"/>
      <w:r w:rsidRPr="0030070C">
        <w:rPr>
          <w:rFonts w:ascii="Times New Roman" w:hAnsi="Times New Roman" w:cs="Times New Roman"/>
          <w:sz w:val="24"/>
          <w:szCs w:val="24"/>
        </w:rPr>
        <w:t>nJWCD</w:t>
      </w:r>
      <w:proofErr w:type="spellEnd"/>
      <w:r w:rsidRPr="0030070C">
        <w:rPr>
          <w:rFonts w:ascii="Times New Roman" w:hAnsi="Times New Roman" w:cs="Times New Roman"/>
          <w:sz w:val="24"/>
          <w:szCs w:val="24"/>
        </w:rPr>
        <w:t>) oraz magazynów energii elektrycznej w rynku bilansującym;</w:t>
      </w:r>
    </w:p>
    <w:p w14:paraId="65B4DDB7" w14:textId="07661720" w:rsidR="002651C8" w:rsidRPr="0030070C" w:rsidRDefault="002651C8">
      <w:pPr>
        <w:numPr>
          <w:ilvl w:val="0"/>
          <w:numId w:val="3"/>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umożliwienie aktualizacji ofert bilansujących składanych w ramach tzw. zintegrowanego procesu </w:t>
      </w:r>
      <w:proofErr w:type="spellStart"/>
      <w:r w:rsidRPr="0030070C">
        <w:rPr>
          <w:rFonts w:ascii="Times New Roman" w:hAnsi="Times New Roman" w:cs="Times New Roman"/>
          <w:sz w:val="24"/>
          <w:szCs w:val="24"/>
        </w:rPr>
        <w:t>grafikowania</w:t>
      </w:r>
      <w:proofErr w:type="spellEnd"/>
      <w:r w:rsidRPr="0030070C">
        <w:rPr>
          <w:rFonts w:ascii="Times New Roman" w:hAnsi="Times New Roman" w:cs="Times New Roman"/>
          <w:sz w:val="24"/>
          <w:szCs w:val="24"/>
        </w:rPr>
        <w:t xml:space="preserve"> w maksymalnym możliwym zakresie do czasu zamknięcia bramki dla</w:t>
      </w:r>
      <w:r w:rsidR="000F6C44" w:rsidRPr="0030070C">
        <w:rPr>
          <w:rFonts w:ascii="Times New Roman" w:hAnsi="Times New Roman" w:cs="Times New Roman"/>
          <w:sz w:val="24"/>
          <w:szCs w:val="24"/>
        </w:rPr>
        <w:t> </w:t>
      </w:r>
      <w:r w:rsidRPr="0030070C">
        <w:rPr>
          <w:rFonts w:ascii="Times New Roman" w:hAnsi="Times New Roman" w:cs="Times New Roman"/>
          <w:sz w:val="24"/>
          <w:szCs w:val="24"/>
        </w:rPr>
        <w:t>międzystrefowego rynku dnia bieżącego, z założeniem monitorowania uczestników rynku pod kątem potencjalnych nadużyć na rynku (wykorzystania siły rynkowej);</w:t>
      </w:r>
    </w:p>
    <w:p w14:paraId="66AA9DC8" w14:textId="77777777" w:rsidR="002651C8" w:rsidRPr="0030070C" w:rsidRDefault="002651C8">
      <w:pPr>
        <w:numPr>
          <w:ilvl w:val="0"/>
          <w:numId w:val="3"/>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wycofanie następujących usług:</w:t>
      </w:r>
    </w:p>
    <w:p w14:paraId="3A73E0F7" w14:textId="77777777" w:rsidR="002651C8" w:rsidRPr="0030070C" w:rsidRDefault="002651C8">
      <w:pPr>
        <w:numPr>
          <w:ilvl w:val="0"/>
          <w:numId w:val="4"/>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Interwencyjna Rezerwa Zimna - IRZ;</w:t>
      </w:r>
    </w:p>
    <w:p w14:paraId="0A8A3F5F" w14:textId="77777777" w:rsidR="002651C8" w:rsidRPr="0030070C" w:rsidRDefault="002651C8">
      <w:pPr>
        <w:numPr>
          <w:ilvl w:val="0"/>
          <w:numId w:val="4"/>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Operacyjna Rezerwa Mocy - ORM;</w:t>
      </w:r>
    </w:p>
    <w:p w14:paraId="74ADD89B" w14:textId="77777777" w:rsidR="002651C8" w:rsidRPr="0030070C" w:rsidRDefault="002651C8">
      <w:pPr>
        <w:numPr>
          <w:ilvl w:val="0"/>
          <w:numId w:val="4"/>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Gwarantowany Program Interwencyjny DSR - Gwarantowany IP DSR;</w:t>
      </w:r>
    </w:p>
    <w:p w14:paraId="4C5B9BE2" w14:textId="77777777" w:rsidR="002651C8" w:rsidRPr="0030070C" w:rsidRDefault="002651C8">
      <w:pPr>
        <w:numPr>
          <w:ilvl w:val="0"/>
          <w:numId w:val="4"/>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Praca Interwencyjna – PI;</w:t>
      </w:r>
    </w:p>
    <w:p w14:paraId="71780464" w14:textId="7291E231" w:rsidR="002651C8" w:rsidRPr="0030070C" w:rsidRDefault="002651C8">
      <w:pPr>
        <w:numPr>
          <w:ilvl w:val="0"/>
          <w:numId w:val="3"/>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zmianę konwencji znaków na rynku bilansującym (oznaczenia dodatniego lub ujemnego dla</w:t>
      </w:r>
      <w:r w:rsidR="000F6C44" w:rsidRPr="0030070C">
        <w:rPr>
          <w:rFonts w:ascii="Times New Roman" w:hAnsi="Times New Roman" w:cs="Times New Roman"/>
          <w:sz w:val="24"/>
          <w:szCs w:val="24"/>
        </w:rPr>
        <w:t> </w:t>
      </w:r>
      <w:r w:rsidRPr="0030070C">
        <w:rPr>
          <w:rFonts w:ascii="Times New Roman" w:hAnsi="Times New Roman" w:cs="Times New Roman"/>
          <w:sz w:val="24"/>
          <w:szCs w:val="24"/>
        </w:rPr>
        <w:t>dostaw energii na lub odbioru energii z rynku bilansującego) celem dostosowania polskiej konwencji znaków do wymagań EB GL;</w:t>
      </w:r>
    </w:p>
    <w:p w14:paraId="244D619F" w14:textId="5ECB3434" w:rsidR="002651C8" w:rsidRPr="0030070C" w:rsidRDefault="002651C8">
      <w:pPr>
        <w:numPr>
          <w:ilvl w:val="0"/>
          <w:numId w:val="3"/>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zmianę zasady ustalania cen niezbilansowania i rozliczeń w celu poprawy zachęt do</w:t>
      </w:r>
      <w:r w:rsidR="000F6C44" w:rsidRPr="0030070C">
        <w:rPr>
          <w:rFonts w:ascii="Times New Roman" w:hAnsi="Times New Roman" w:cs="Times New Roman"/>
          <w:sz w:val="24"/>
          <w:szCs w:val="24"/>
        </w:rPr>
        <w:t> </w:t>
      </w:r>
      <w:r w:rsidRPr="0030070C">
        <w:rPr>
          <w:rFonts w:ascii="Times New Roman" w:hAnsi="Times New Roman" w:cs="Times New Roman"/>
          <w:sz w:val="24"/>
          <w:szCs w:val="24"/>
        </w:rPr>
        <w:t>zbilansowa</w:t>
      </w:r>
      <w:r w:rsidR="000F6C44" w:rsidRPr="0030070C">
        <w:rPr>
          <w:rFonts w:ascii="Times New Roman" w:hAnsi="Times New Roman" w:cs="Times New Roman"/>
          <w:sz w:val="24"/>
          <w:szCs w:val="24"/>
        </w:rPr>
        <w:t>nia na rynkach towarowych</w:t>
      </w:r>
      <w:r w:rsidRPr="0030070C">
        <w:rPr>
          <w:rFonts w:ascii="Times New Roman" w:hAnsi="Times New Roman" w:cs="Times New Roman"/>
          <w:sz w:val="24"/>
          <w:szCs w:val="24"/>
        </w:rPr>
        <w:t xml:space="preserve"> poprzez ograniczenie możliwości arbitrażu między </w:t>
      </w:r>
      <w:r w:rsidR="000F6C44" w:rsidRPr="0030070C">
        <w:rPr>
          <w:rFonts w:ascii="Times New Roman" w:hAnsi="Times New Roman" w:cs="Times New Roman"/>
          <w:sz w:val="24"/>
          <w:szCs w:val="24"/>
        </w:rPr>
        <w:t>tymi rynkami (w</w:t>
      </w:r>
      <w:r w:rsidR="009712EB" w:rsidRPr="0030070C">
        <w:rPr>
          <w:rFonts w:ascii="Times New Roman" w:hAnsi="Times New Roman" w:cs="Times New Roman"/>
          <w:sz w:val="24"/>
          <w:szCs w:val="24"/>
        </w:rPr>
        <w:t> </w:t>
      </w:r>
      <w:r w:rsidR="000F6C44" w:rsidRPr="0030070C">
        <w:rPr>
          <w:rFonts w:ascii="Times New Roman" w:hAnsi="Times New Roman" w:cs="Times New Roman"/>
          <w:sz w:val="24"/>
          <w:szCs w:val="24"/>
        </w:rPr>
        <w:t>szczególności rynkiem dnia następnego)</w:t>
      </w:r>
      <w:r w:rsidRPr="0030070C">
        <w:rPr>
          <w:rFonts w:ascii="Times New Roman" w:hAnsi="Times New Roman" w:cs="Times New Roman"/>
          <w:sz w:val="24"/>
          <w:szCs w:val="24"/>
        </w:rPr>
        <w:t>, a rynkiem bilansującym;</w:t>
      </w:r>
    </w:p>
    <w:p w14:paraId="06BB147B" w14:textId="795F6CCD" w:rsidR="002651C8" w:rsidRPr="0030070C" w:rsidRDefault="002651C8">
      <w:pPr>
        <w:numPr>
          <w:ilvl w:val="0"/>
          <w:numId w:val="3"/>
        </w:num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poprawienie zasady wyceny i rozliczeń w zakresie zarządzania ograniczeniami (</w:t>
      </w:r>
      <w:proofErr w:type="spellStart"/>
      <w:r w:rsidRPr="0030070C">
        <w:rPr>
          <w:rFonts w:ascii="Times New Roman" w:hAnsi="Times New Roman" w:cs="Times New Roman"/>
          <w:sz w:val="24"/>
          <w:szCs w:val="24"/>
        </w:rPr>
        <w:t>redysponowania</w:t>
      </w:r>
      <w:proofErr w:type="spellEnd"/>
      <w:r w:rsidRPr="0030070C">
        <w:rPr>
          <w:rFonts w:ascii="Times New Roman" w:hAnsi="Times New Roman" w:cs="Times New Roman"/>
          <w:sz w:val="24"/>
          <w:szCs w:val="24"/>
        </w:rPr>
        <w:t>).</w:t>
      </w:r>
    </w:p>
    <w:p w14:paraId="520D5A65" w14:textId="10329AD6" w:rsidR="00291827" w:rsidRPr="0030070C" w:rsidRDefault="0040754E">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lastRenderedPageBreak/>
        <w:t>W zakresie dotyczącym przyłączeń stan projektowany obejmuje:</w:t>
      </w:r>
    </w:p>
    <w:p w14:paraId="44DAD1CC" w14:textId="07E6E50B" w:rsidR="0040754E" w:rsidRPr="0030070C" w:rsidRDefault="0040754E">
      <w:pPr>
        <w:pStyle w:val="Akapitzlist"/>
        <w:numPr>
          <w:ilvl w:val="0"/>
          <w:numId w:val="6"/>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doszczegółowienie wymagań formalnych </w:t>
      </w:r>
      <w:r w:rsidR="002C39B0" w:rsidRPr="0030070C">
        <w:rPr>
          <w:rFonts w:ascii="Times New Roman" w:hAnsi="Times New Roman" w:cs="Times New Roman"/>
          <w:sz w:val="24"/>
          <w:szCs w:val="24"/>
        </w:rPr>
        <w:t xml:space="preserve">i procedur </w:t>
      </w:r>
      <w:r w:rsidRPr="0030070C">
        <w:rPr>
          <w:rFonts w:ascii="Times New Roman" w:hAnsi="Times New Roman" w:cs="Times New Roman"/>
          <w:sz w:val="24"/>
          <w:szCs w:val="24"/>
        </w:rPr>
        <w:t>w zakresie wniosków o wydanie warunków przyłączenia;</w:t>
      </w:r>
    </w:p>
    <w:p w14:paraId="02F3F965" w14:textId="5A79D857" w:rsidR="002C39B0" w:rsidRPr="0030070C" w:rsidRDefault="002C39B0">
      <w:pPr>
        <w:pStyle w:val="Akapitzlist"/>
        <w:numPr>
          <w:ilvl w:val="0"/>
          <w:numId w:val="6"/>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wyeliminowanie kolizji z ustawą Prawo energetyczne w zakresie terminów na wydanie warunków przyłączenia oraz określania tych warunków dla </w:t>
      </w:r>
      <w:proofErr w:type="spellStart"/>
      <w:r w:rsidRPr="0030070C">
        <w:rPr>
          <w:rFonts w:ascii="Times New Roman" w:hAnsi="Times New Roman" w:cs="Times New Roman"/>
          <w:sz w:val="24"/>
          <w:szCs w:val="24"/>
        </w:rPr>
        <w:t>mikroinstalacji</w:t>
      </w:r>
      <w:proofErr w:type="spellEnd"/>
      <w:r w:rsidRPr="0030070C">
        <w:rPr>
          <w:rFonts w:ascii="Times New Roman" w:hAnsi="Times New Roman" w:cs="Times New Roman"/>
          <w:sz w:val="24"/>
          <w:szCs w:val="24"/>
        </w:rPr>
        <w:t>;</w:t>
      </w:r>
    </w:p>
    <w:p w14:paraId="73F8502A" w14:textId="4232311F" w:rsidR="002C39B0" w:rsidRPr="0030070C" w:rsidRDefault="002C39B0">
      <w:pPr>
        <w:pStyle w:val="Akapitzlist"/>
        <w:numPr>
          <w:ilvl w:val="0"/>
          <w:numId w:val="6"/>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odzwierciedlenie w niezbędnym zakresie relacji pomiędzy przepisami prawa krajowego i</w:t>
      </w:r>
      <w:r w:rsidR="000F6C44" w:rsidRPr="0030070C">
        <w:rPr>
          <w:rFonts w:ascii="Times New Roman" w:hAnsi="Times New Roman" w:cs="Times New Roman"/>
          <w:sz w:val="24"/>
          <w:szCs w:val="24"/>
        </w:rPr>
        <w:t> </w:t>
      </w:r>
      <w:r w:rsidR="003B7C5B" w:rsidRPr="0030070C">
        <w:rPr>
          <w:rFonts w:ascii="Times New Roman" w:hAnsi="Times New Roman" w:cs="Times New Roman"/>
          <w:sz w:val="24"/>
          <w:szCs w:val="24"/>
        </w:rPr>
        <w:t> </w:t>
      </w:r>
      <w:r w:rsidRPr="0030070C">
        <w:rPr>
          <w:rFonts w:ascii="Times New Roman" w:hAnsi="Times New Roman" w:cs="Times New Roman"/>
          <w:sz w:val="24"/>
          <w:szCs w:val="24"/>
        </w:rPr>
        <w:t>unijnego, w szczególności tzw. przyłączeniowymi kodeksami sieci</w:t>
      </w:r>
      <w:r w:rsidR="00E83CDF" w:rsidRPr="0030070C">
        <w:rPr>
          <w:rFonts w:ascii="Times New Roman" w:hAnsi="Times New Roman" w:cs="Times New Roman"/>
          <w:sz w:val="24"/>
          <w:szCs w:val="24"/>
          <w:vertAlign w:val="superscript"/>
        </w:rPr>
        <w:footnoteReference w:id="7"/>
      </w:r>
      <w:r w:rsidRPr="0030070C">
        <w:rPr>
          <w:rFonts w:ascii="Times New Roman" w:hAnsi="Times New Roman" w:cs="Times New Roman"/>
          <w:sz w:val="24"/>
          <w:szCs w:val="24"/>
        </w:rPr>
        <w:t>.</w:t>
      </w:r>
    </w:p>
    <w:p w14:paraId="20C8062E" w14:textId="18C968A6" w:rsidR="00AB3FAA" w:rsidRDefault="00032164">
      <w:pPr>
        <w:pStyle w:val="Akapitzlist"/>
        <w:numPr>
          <w:ilvl w:val="0"/>
          <w:numId w:val="2"/>
        </w:numPr>
        <w:spacing w:before="60" w:afterLines="60" w:after="144" w:line="276" w:lineRule="auto"/>
        <w:ind w:left="709" w:hanging="567"/>
        <w:mirrorIndents/>
        <w:jc w:val="both"/>
        <w:rPr>
          <w:rFonts w:ascii="Times New Roman" w:hAnsi="Times New Roman" w:cs="Times New Roman"/>
          <w:b/>
          <w:sz w:val="24"/>
          <w:szCs w:val="24"/>
        </w:rPr>
      </w:pPr>
      <w:r w:rsidRPr="0030070C">
        <w:rPr>
          <w:rFonts w:ascii="Times New Roman" w:hAnsi="Times New Roman" w:cs="Times New Roman"/>
          <w:b/>
          <w:sz w:val="24"/>
          <w:szCs w:val="24"/>
        </w:rPr>
        <w:t>Wyjaśnienie proponowanych rozwiązań</w:t>
      </w:r>
    </w:p>
    <w:p w14:paraId="01C072A3" w14:textId="77777777" w:rsidR="00A625D5" w:rsidRPr="0030070C" w:rsidRDefault="00A625D5">
      <w:pPr>
        <w:pStyle w:val="Akapitzlist"/>
        <w:spacing w:before="60" w:afterLines="60" w:after="144" w:line="276" w:lineRule="auto"/>
        <w:mirrorIndents/>
        <w:jc w:val="both"/>
        <w:rPr>
          <w:rFonts w:ascii="Times New Roman" w:hAnsi="Times New Roman" w:cs="Times New Roman"/>
          <w:b/>
          <w:sz w:val="24"/>
          <w:szCs w:val="24"/>
        </w:rPr>
      </w:pPr>
    </w:p>
    <w:p w14:paraId="3FF15BA5" w14:textId="4EFA91E2" w:rsidR="0014397A" w:rsidRDefault="00264C69">
      <w:pPr>
        <w:pStyle w:val="Akapitzlist"/>
        <w:numPr>
          <w:ilvl w:val="1"/>
          <w:numId w:val="2"/>
        </w:numPr>
        <w:spacing w:before="60" w:afterLines="60" w:after="144" w:line="276" w:lineRule="auto"/>
        <w:ind w:hanging="578"/>
        <w:mirrorIndents/>
        <w:jc w:val="both"/>
        <w:rPr>
          <w:rFonts w:ascii="Times New Roman" w:hAnsi="Times New Roman" w:cs="Times New Roman"/>
          <w:b/>
          <w:sz w:val="24"/>
          <w:szCs w:val="24"/>
        </w:rPr>
      </w:pPr>
      <w:r w:rsidRPr="0030070C">
        <w:rPr>
          <w:rFonts w:ascii="Times New Roman" w:hAnsi="Times New Roman" w:cs="Times New Roman"/>
          <w:b/>
          <w:sz w:val="24"/>
          <w:szCs w:val="24"/>
        </w:rPr>
        <w:t>Zmiany w definicjach</w:t>
      </w:r>
    </w:p>
    <w:p w14:paraId="7DBB6D8E" w14:textId="77777777" w:rsidR="00A625D5" w:rsidRPr="0030070C" w:rsidRDefault="00A625D5">
      <w:pPr>
        <w:pStyle w:val="Akapitzlist"/>
        <w:spacing w:before="60" w:afterLines="60" w:after="144" w:line="276" w:lineRule="auto"/>
        <w:mirrorIndents/>
        <w:jc w:val="both"/>
        <w:rPr>
          <w:rFonts w:ascii="Times New Roman" w:hAnsi="Times New Roman" w:cs="Times New Roman"/>
          <w:b/>
          <w:sz w:val="24"/>
          <w:szCs w:val="24"/>
        </w:rPr>
      </w:pPr>
    </w:p>
    <w:p w14:paraId="1CEF01C2" w14:textId="1A66EB5B" w:rsidR="00E840B0" w:rsidRDefault="00C24D82">
      <w:pPr>
        <w:pStyle w:val="Akapitzlist"/>
        <w:numPr>
          <w:ilvl w:val="2"/>
          <w:numId w:val="2"/>
        </w:numPr>
        <w:spacing w:before="60" w:afterLines="60" w:after="144" w:line="276" w:lineRule="auto"/>
        <w:ind w:hanging="654"/>
        <w:mirrorIndents/>
        <w:jc w:val="both"/>
        <w:rPr>
          <w:rFonts w:ascii="Times New Roman" w:hAnsi="Times New Roman" w:cs="Times New Roman"/>
          <w:b/>
          <w:sz w:val="24"/>
          <w:szCs w:val="24"/>
        </w:rPr>
      </w:pPr>
      <w:r w:rsidRPr="0030070C">
        <w:rPr>
          <w:rFonts w:ascii="Times New Roman" w:hAnsi="Times New Roman" w:cs="Times New Roman"/>
          <w:b/>
          <w:sz w:val="24"/>
          <w:szCs w:val="24"/>
        </w:rPr>
        <w:t>Nowe pojęcia</w:t>
      </w:r>
    </w:p>
    <w:p w14:paraId="4AF0C0EF" w14:textId="44542ED1" w:rsidR="00C24D82" w:rsidRPr="0030070C" w:rsidRDefault="00F83435">
      <w:pPr>
        <w:pStyle w:val="Akapitzlist"/>
        <w:numPr>
          <w:ilvl w:val="0"/>
          <w:numId w:val="7"/>
        </w:numPr>
        <w:spacing w:before="60" w:afterLines="60" w:after="144" w:line="276" w:lineRule="auto"/>
        <w:mirrorIndents/>
        <w:jc w:val="both"/>
        <w:rPr>
          <w:rFonts w:ascii="Times New Roman" w:hAnsi="Times New Roman" w:cs="Times New Roman"/>
          <w:i/>
          <w:sz w:val="24"/>
          <w:szCs w:val="24"/>
        </w:rPr>
      </w:pPr>
      <w:r>
        <w:rPr>
          <w:rFonts w:ascii="Times New Roman" w:hAnsi="Times New Roman" w:cs="Times New Roman"/>
          <w:sz w:val="24"/>
          <w:szCs w:val="24"/>
        </w:rPr>
        <w:t>pkt 2</w:t>
      </w:r>
      <w:r w:rsidR="003C711D" w:rsidRPr="0030070C">
        <w:rPr>
          <w:rFonts w:ascii="Times New Roman" w:hAnsi="Times New Roman" w:cs="Times New Roman"/>
          <w:sz w:val="24"/>
          <w:szCs w:val="24"/>
        </w:rPr>
        <w:t xml:space="preserve"> lit. a – dodany </w:t>
      </w:r>
      <w:r w:rsidR="001058B6" w:rsidRPr="0030070C">
        <w:rPr>
          <w:rFonts w:ascii="Times New Roman" w:hAnsi="Times New Roman" w:cs="Times New Roman"/>
          <w:sz w:val="24"/>
          <w:szCs w:val="24"/>
        </w:rPr>
        <w:t>pkt 2a</w:t>
      </w:r>
      <w:r w:rsidR="00DC0A4D" w:rsidRPr="0030070C">
        <w:rPr>
          <w:rFonts w:ascii="Times New Roman" w:hAnsi="Times New Roman" w:cs="Times New Roman"/>
          <w:sz w:val="24"/>
          <w:szCs w:val="24"/>
        </w:rPr>
        <w:t>:</w:t>
      </w:r>
      <w:r w:rsidR="001058B6" w:rsidRPr="0030070C">
        <w:rPr>
          <w:rFonts w:ascii="Times New Roman" w:hAnsi="Times New Roman" w:cs="Times New Roman"/>
          <w:sz w:val="24"/>
          <w:szCs w:val="24"/>
        </w:rPr>
        <w:t xml:space="preserve"> </w:t>
      </w:r>
      <w:r w:rsidR="00C24D82" w:rsidRPr="0030070C">
        <w:rPr>
          <w:rFonts w:ascii="Times New Roman" w:hAnsi="Times New Roman" w:cs="Times New Roman"/>
          <w:i/>
          <w:sz w:val="24"/>
          <w:szCs w:val="24"/>
        </w:rPr>
        <w:t xml:space="preserve">aktywne uczestnictwo w bilansowaniu systemu </w:t>
      </w:r>
      <w:r w:rsidR="00C24D82" w:rsidRPr="0030070C">
        <w:rPr>
          <w:rFonts w:ascii="Times New Roman" w:hAnsi="Times New Roman" w:cs="Times New Roman"/>
          <w:sz w:val="24"/>
          <w:szCs w:val="24"/>
        </w:rPr>
        <w:t>– dotychczasowy stan prawny w</w:t>
      </w:r>
      <w:r w:rsidR="00464D2E" w:rsidRPr="0030070C">
        <w:rPr>
          <w:rFonts w:ascii="Times New Roman" w:hAnsi="Times New Roman" w:cs="Times New Roman"/>
          <w:sz w:val="24"/>
          <w:szCs w:val="24"/>
        </w:rPr>
        <w:t> </w:t>
      </w:r>
      <w:r w:rsidR="00C24D82" w:rsidRPr="0030070C">
        <w:rPr>
          <w:rFonts w:ascii="Times New Roman" w:hAnsi="Times New Roman" w:cs="Times New Roman"/>
          <w:sz w:val="24"/>
          <w:szCs w:val="24"/>
        </w:rPr>
        <w:t>rozporządzeniu systemowym przewidywał udział w rynku bilansującym</w:t>
      </w:r>
      <w:r w:rsidR="005D0AAB" w:rsidRPr="0030070C">
        <w:rPr>
          <w:rFonts w:ascii="Times New Roman" w:hAnsi="Times New Roman" w:cs="Times New Roman"/>
          <w:sz w:val="24"/>
          <w:szCs w:val="24"/>
        </w:rPr>
        <w:t xml:space="preserve"> </w:t>
      </w:r>
      <w:r w:rsidR="00F96C45">
        <w:rPr>
          <w:rFonts w:ascii="Times New Roman" w:hAnsi="Times New Roman" w:cs="Times New Roman"/>
          <w:sz w:val="24"/>
          <w:szCs w:val="24"/>
        </w:rPr>
        <w:t xml:space="preserve">głównie </w:t>
      </w:r>
      <w:r w:rsidR="00C24D82" w:rsidRPr="0030070C">
        <w:rPr>
          <w:rFonts w:ascii="Times New Roman" w:hAnsi="Times New Roman" w:cs="Times New Roman"/>
          <w:sz w:val="24"/>
          <w:szCs w:val="24"/>
        </w:rPr>
        <w:t xml:space="preserve">jednostek wytwórczych centralnie dysponowanych (JWCD), czyli jednostek dużych elektrowni systemowych. Zmieniony model rynku wymaga umożliwienia </w:t>
      </w:r>
      <w:r w:rsidR="00F96C45">
        <w:rPr>
          <w:rFonts w:ascii="Times New Roman" w:hAnsi="Times New Roman" w:cs="Times New Roman"/>
          <w:sz w:val="24"/>
          <w:szCs w:val="24"/>
        </w:rPr>
        <w:t xml:space="preserve">większego </w:t>
      </w:r>
      <w:r w:rsidR="00C24D82" w:rsidRPr="0030070C">
        <w:rPr>
          <w:rFonts w:ascii="Times New Roman" w:hAnsi="Times New Roman" w:cs="Times New Roman"/>
          <w:sz w:val="24"/>
          <w:szCs w:val="24"/>
        </w:rPr>
        <w:t xml:space="preserve">udziału innych </w:t>
      </w:r>
      <w:r w:rsidR="00F96C45">
        <w:rPr>
          <w:rFonts w:ascii="Times New Roman" w:hAnsi="Times New Roman" w:cs="Times New Roman"/>
          <w:sz w:val="24"/>
          <w:szCs w:val="24"/>
        </w:rPr>
        <w:t>podmiotów</w:t>
      </w:r>
      <w:r w:rsidR="00C24D82" w:rsidRPr="0030070C">
        <w:rPr>
          <w:rFonts w:ascii="Times New Roman" w:hAnsi="Times New Roman" w:cs="Times New Roman"/>
          <w:sz w:val="24"/>
          <w:szCs w:val="24"/>
        </w:rPr>
        <w:t>. Wspólną cechą JWCD i innych zasobów j</w:t>
      </w:r>
      <w:r w:rsidR="00B5465D" w:rsidRPr="0030070C">
        <w:rPr>
          <w:rFonts w:ascii="Times New Roman" w:hAnsi="Times New Roman" w:cs="Times New Roman"/>
          <w:sz w:val="24"/>
          <w:szCs w:val="24"/>
        </w:rPr>
        <w:t>est ich przymiot aktywności, czyli występowanie w procesach rynkowych w formie tzw. jednostek grafikowych aktywnych. Pojęcie prawne aktywnego uczestnictwa w bilansowaniu systemu pozwala na abstrakcyjne ujęcie tego przymiotu bez wskazywania konkretnej technologii (wytwórca konwencjonalny, wytwórca z OZE, odbiorca, posiadacz</w:t>
      </w:r>
      <w:r w:rsidR="001058B6" w:rsidRPr="0030070C">
        <w:rPr>
          <w:rFonts w:ascii="Times New Roman" w:hAnsi="Times New Roman" w:cs="Times New Roman"/>
          <w:sz w:val="24"/>
          <w:szCs w:val="24"/>
        </w:rPr>
        <w:t xml:space="preserve"> magazynu energii elektrycznej). Szczegółowe zasady aktywnego działania dla poszczególnych technologii muszą określać WDB (por. art. 18 ust. 4 EB GL);</w:t>
      </w:r>
    </w:p>
    <w:p w14:paraId="193A03EA" w14:textId="7A685892" w:rsidR="001058B6" w:rsidRPr="0030070C" w:rsidRDefault="005D4C9D">
      <w:pPr>
        <w:pStyle w:val="Akapitzlist"/>
        <w:numPr>
          <w:ilvl w:val="0"/>
          <w:numId w:val="7"/>
        </w:numPr>
        <w:spacing w:before="60" w:afterLines="60" w:after="144" w:line="276" w:lineRule="auto"/>
        <w:mirrorIndents/>
        <w:jc w:val="both"/>
        <w:rPr>
          <w:rFonts w:ascii="Times New Roman" w:hAnsi="Times New Roman" w:cs="Times New Roman"/>
          <w:i/>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lit. </w:t>
      </w:r>
      <w:r w:rsidR="00C250B8">
        <w:rPr>
          <w:rFonts w:ascii="Times New Roman" w:hAnsi="Times New Roman" w:cs="Times New Roman"/>
          <w:sz w:val="24"/>
          <w:szCs w:val="24"/>
        </w:rPr>
        <w:t>d</w:t>
      </w:r>
      <w:r w:rsidRPr="0030070C">
        <w:rPr>
          <w:rFonts w:ascii="Times New Roman" w:hAnsi="Times New Roman" w:cs="Times New Roman"/>
          <w:sz w:val="24"/>
          <w:szCs w:val="24"/>
        </w:rPr>
        <w:t xml:space="preserve"> – dodany </w:t>
      </w:r>
      <w:r w:rsidR="001058B6" w:rsidRPr="0030070C">
        <w:rPr>
          <w:rFonts w:ascii="Times New Roman" w:hAnsi="Times New Roman" w:cs="Times New Roman"/>
          <w:sz w:val="24"/>
          <w:szCs w:val="24"/>
        </w:rPr>
        <w:t xml:space="preserve">pkt 10a </w:t>
      </w:r>
      <w:r w:rsidR="0096265E" w:rsidRPr="0030070C">
        <w:rPr>
          <w:rFonts w:ascii="Times New Roman" w:hAnsi="Times New Roman" w:cs="Times New Roman"/>
          <w:i/>
          <w:sz w:val="24"/>
          <w:szCs w:val="24"/>
        </w:rPr>
        <w:t>moduł parku energii</w:t>
      </w:r>
      <w:r w:rsidR="0096265E" w:rsidRPr="0030070C">
        <w:rPr>
          <w:rFonts w:ascii="Times New Roman" w:hAnsi="Times New Roman" w:cs="Times New Roman"/>
          <w:sz w:val="24"/>
          <w:szCs w:val="24"/>
        </w:rPr>
        <w:t xml:space="preserve"> – odwołanie do definicji „moduł parku energii” – zawartej w</w:t>
      </w:r>
      <w:r w:rsidR="00464D2E" w:rsidRPr="0030070C">
        <w:rPr>
          <w:rFonts w:ascii="Times New Roman" w:hAnsi="Times New Roman" w:cs="Times New Roman"/>
          <w:sz w:val="24"/>
          <w:szCs w:val="24"/>
        </w:rPr>
        <w:t> </w:t>
      </w:r>
      <w:r w:rsidR="0096265E" w:rsidRPr="0030070C">
        <w:rPr>
          <w:rFonts w:ascii="Times New Roman" w:hAnsi="Times New Roman" w:cs="Times New Roman"/>
          <w:sz w:val="24"/>
          <w:szCs w:val="24"/>
        </w:rPr>
        <w:t>rozporządzeniu Komisji (UE) 2016/631 z dnia 14 kwietnia 2016 r. ustanawiając</w:t>
      </w:r>
      <w:r w:rsidR="00464D2E" w:rsidRPr="0030070C">
        <w:rPr>
          <w:rFonts w:ascii="Times New Roman" w:hAnsi="Times New Roman" w:cs="Times New Roman"/>
          <w:sz w:val="24"/>
          <w:szCs w:val="24"/>
        </w:rPr>
        <w:t>ym</w:t>
      </w:r>
      <w:r w:rsidR="0096265E" w:rsidRPr="0030070C">
        <w:rPr>
          <w:rFonts w:ascii="Times New Roman" w:hAnsi="Times New Roman" w:cs="Times New Roman"/>
          <w:sz w:val="24"/>
          <w:szCs w:val="24"/>
        </w:rPr>
        <w:t xml:space="preserve"> kodeks sieci dotyczący wymogów w zakresie przyłączenia jednostek wytwórczych do sieci (Dz.U. UE z 27.4.2016 L 112/1, dalej „kodeks </w:t>
      </w:r>
      <w:proofErr w:type="spellStart"/>
      <w:r w:rsidR="0096265E" w:rsidRPr="0030070C">
        <w:rPr>
          <w:rFonts w:ascii="Times New Roman" w:hAnsi="Times New Roman" w:cs="Times New Roman"/>
          <w:sz w:val="24"/>
          <w:szCs w:val="24"/>
        </w:rPr>
        <w:t>RfG</w:t>
      </w:r>
      <w:proofErr w:type="spellEnd"/>
      <w:r w:rsidR="0096265E" w:rsidRPr="0030070C">
        <w:rPr>
          <w:rFonts w:ascii="Times New Roman" w:hAnsi="Times New Roman" w:cs="Times New Roman"/>
          <w:sz w:val="24"/>
          <w:szCs w:val="24"/>
        </w:rPr>
        <w:t>”) wynika z bezpośredniego obowiązywania pojęć zawartych w aktach UE oraz z konieczności zachowania jednolitej terminologii niesprzecznej w ramach jednej gałęzi prawa;</w:t>
      </w:r>
    </w:p>
    <w:p w14:paraId="020A807E" w14:textId="71940B44" w:rsidR="001058B6" w:rsidRPr="0030070C" w:rsidRDefault="005D4C9D">
      <w:pPr>
        <w:pStyle w:val="Akapitzlist"/>
        <w:numPr>
          <w:ilvl w:val="0"/>
          <w:numId w:val="7"/>
        </w:numPr>
        <w:spacing w:before="60" w:afterLines="60" w:after="144" w:line="276" w:lineRule="auto"/>
        <w:ind w:left="426"/>
        <w:mirrorIndents/>
        <w:jc w:val="both"/>
        <w:rPr>
          <w:rFonts w:ascii="Times New Roman" w:hAnsi="Times New Roman" w:cs="Times New Roman"/>
          <w:i/>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lit. </w:t>
      </w:r>
      <w:r w:rsidR="00C250B8">
        <w:rPr>
          <w:rFonts w:ascii="Times New Roman" w:hAnsi="Times New Roman" w:cs="Times New Roman"/>
          <w:sz w:val="24"/>
          <w:szCs w:val="24"/>
        </w:rPr>
        <w:t>f</w:t>
      </w:r>
      <w:r w:rsidRPr="0030070C">
        <w:rPr>
          <w:rFonts w:ascii="Times New Roman" w:hAnsi="Times New Roman" w:cs="Times New Roman"/>
          <w:sz w:val="24"/>
          <w:szCs w:val="24"/>
        </w:rPr>
        <w:t xml:space="preserve"> – dodany </w:t>
      </w:r>
      <w:r w:rsidR="0096265E" w:rsidRPr="0030070C">
        <w:rPr>
          <w:rFonts w:ascii="Times New Roman" w:hAnsi="Times New Roman" w:cs="Times New Roman"/>
          <w:sz w:val="24"/>
          <w:szCs w:val="24"/>
        </w:rPr>
        <w:t xml:space="preserve">pkt 12a: </w:t>
      </w:r>
      <w:r w:rsidR="0096265E" w:rsidRPr="0030070C">
        <w:rPr>
          <w:rFonts w:ascii="Times New Roman" w:hAnsi="Times New Roman" w:cs="Times New Roman"/>
          <w:i/>
          <w:sz w:val="24"/>
          <w:szCs w:val="24"/>
        </w:rPr>
        <w:t xml:space="preserve">okres rozliczania niezbilansowania </w:t>
      </w:r>
      <w:r w:rsidR="0096265E" w:rsidRPr="0030070C">
        <w:rPr>
          <w:rFonts w:ascii="Times New Roman" w:hAnsi="Times New Roman" w:cs="Times New Roman"/>
          <w:sz w:val="24"/>
          <w:szCs w:val="24"/>
        </w:rPr>
        <w:t>– odwołanie do definicji „okres rozliczania niezbilansowania” – zawartej w EB GL wynika z bezpośredniego obowiązywania pojęć zawartych w</w:t>
      </w:r>
      <w:r w:rsidR="00464D2E" w:rsidRPr="0030070C">
        <w:rPr>
          <w:rFonts w:ascii="Times New Roman" w:hAnsi="Times New Roman" w:cs="Times New Roman"/>
          <w:sz w:val="24"/>
          <w:szCs w:val="24"/>
        </w:rPr>
        <w:t> </w:t>
      </w:r>
      <w:r w:rsidR="0096265E" w:rsidRPr="0030070C">
        <w:rPr>
          <w:rFonts w:ascii="Times New Roman" w:hAnsi="Times New Roman" w:cs="Times New Roman"/>
          <w:sz w:val="24"/>
          <w:szCs w:val="24"/>
        </w:rPr>
        <w:t xml:space="preserve">aktach UE oraz z konieczności zachowania jednolitej terminologii niesprzecznej w ramach jednej gałęzi prawa. Pojęcie jest używane w odniesieniu do ram czasowych, których dotyczą </w:t>
      </w:r>
      <w:r w:rsidR="00CC3738" w:rsidRPr="0030070C">
        <w:rPr>
          <w:rFonts w:ascii="Times New Roman" w:hAnsi="Times New Roman" w:cs="Times New Roman"/>
          <w:sz w:val="24"/>
          <w:szCs w:val="24"/>
        </w:rPr>
        <w:t xml:space="preserve">oferty </w:t>
      </w:r>
      <w:r w:rsidR="0096265E" w:rsidRPr="0030070C">
        <w:rPr>
          <w:rFonts w:ascii="Times New Roman" w:hAnsi="Times New Roman" w:cs="Times New Roman"/>
          <w:sz w:val="24"/>
          <w:szCs w:val="24"/>
        </w:rPr>
        <w:t xml:space="preserve">składane przez uczestników rynku bilansującego. Nie jest zasadnym sztywne regulowanie tego czasu w rozporządzeniu </w:t>
      </w:r>
      <w:r w:rsidR="0096265E" w:rsidRPr="0030070C">
        <w:rPr>
          <w:rFonts w:ascii="Times New Roman" w:hAnsi="Times New Roman" w:cs="Times New Roman"/>
          <w:sz w:val="24"/>
          <w:szCs w:val="24"/>
        </w:rPr>
        <w:lastRenderedPageBreak/>
        <w:t>systemowym, bowiem ulega on zmianom – obecnie wynosi godzinę, w przyszłości ma wynosić 15 minut</w:t>
      </w:r>
      <w:r w:rsidR="00424443">
        <w:rPr>
          <w:rFonts w:ascii="Times New Roman" w:hAnsi="Times New Roman" w:cs="Times New Roman"/>
          <w:sz w:val="24"/>
          <w:szCs w:val="24"/>
        </w:rPr>
        <w:t>;</w:t>
      </w:r>
    </w:p>
    <w:p w14:paraId="1B911BBF" w14:textId="0E157747" w:rsidR="000D784D" w:rsidRPr="00A625D5" w:rsidRDefault="005D4C9D">
      <w:pPr>
        <w:pStyle w:val="Akapitzlist"/>
        <w:numPr>
          <w:ilvl w:val="0"/>
          <w:numId w:val="7"/>
        </w:numPr>
        <w:spacing w:before="60" w:afterLines="60" w:after="144" w:line="276" w:lineRule="auto"/>
        <w:ind w:left="426"/>
        <w:mirrorIndents/>
        <w:jc w:val="both"/>
        <w:rPr>
          <w:rFonts w:ascii="Times New Roman" w:hAnsi="Times New Roman" w:cs="Times New Roman"/>
          <w:i/>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lit. </w:t>
      </w:r>
      <w:r w:rsidR="00C250B8">
        <w:rPr>
          <w:rFonts w:ascii="Times New Roman" w:hAnsi="Times New Roman" w:cs="Times New Roman"/>
          <w:sz w:val="24"/>
          <w:szCs w:val="24"/>
        </w:rPr>
        <w:t>h</w:t>
      </w:r>
      <w:r w:rsidR="00EC0929"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dodany </w:t>
      </w:r>
      <w:r w:rsidR="000D784D" w:rsidRPr="0030070C">
        <w:rPr>
          <w:rFonts w:ascii="Times New Roman" w:hAnsi="Times New Roman" w:cs="Times New Roman"/>
          <w:sz w:val="24"/>
          <w:szCs w:val="24"/>
        </w:rPr>
        <w:t xml:space="preserve">pkt 17a: </w:t>
      </w:r>
      <w:r w:rsidR="000D784D" w:rsidRPr="0030070C">
        <w:rPr>
          <w:rFonts w:ascii="Times New Roman" w:hAnsi="Times New Roman" w:cs="Times New Roman"/>
          <w:i/>
          <w:sz w:val="24"/>
          <w:szCs w:val="24"/>
        </w:rPr>
        <w:t xml:space="preserve">rynkowa cena energii elektrycznej </w:t>
      </w:r>
      <w:r w:rsidR="000D784D" w:rsidRPr="0030070C">
        <w:rPr>
          <w:rFonts w:ascii="Times New Roman" w:hAnsi="Times New Roman" w:cs="Times New Roman"/>
          <w:sz w:val="24"/>
          <w:szCs w:val="24"/>
        </w:rPr>
        <w:softHyphen/>
        <w:t>– definicja wielkości używanej w przepisach §21 i §21a, odwołująca się do</w:t>
      </w:r>
      <w:r w:rsidR="00D84753" w:rsidRPr="0030070C">
        <w:rPr>
          <w:rFonts w:ascii="Times New Roman" w:hAnsi="Times New Roman" w:cs="Times New Roman"/>
          <w:sz w:val="24"/>
          <w:szCs w:val="24"/>
        </w:rPr>
        <w:t xml:space="preserve"> średniej z cen kształtowanych na rynkach dnia następnego w ramach</w:t>
      </w:r>
      <w:r w:rsidR="00F85057" w:rsidRPr="0030070C">
        <w:rPr>
          <w:rFonts w:ascii="Times New Roman" w:hAnsi="Times New Roman" w:cs="Times New Roman"/>
          <w:sz w:val="24"/>
          <w:szCs w:val="24"/>
        </w:rPr>
        <w:t xml:space="preserve"> działalności </w:t>
      </w:r>
      <w:r w:rsidR="00D84753" w:rsidRPr="0030070C">
        <w:rPr>
          <w:rFonts w:ascii="Times New Roman" w:hAnsi="Times New Roman" w:cs="Times New Roman"/>
          <w:sz w:val="24"/>
          <w:szCs w:val="24"/>
        </w:rPr>
        <w:t>Towarowej Giełdy Energii oraz operatorów wyznaczonych na podstawie rozporządzenia CACM (tzw. NEMO)</w:t>
      </w:r>
      <w:r w:rsidR="000D784D" w:rsidRPr="0030070C">
        <w:rPr>
          <w:rFonts w:ascii="Times New Roman" w:hAnsi="Times New Roman" w:cs="Times New Roman"/>
          <w:sz w:val="24"/>
          <w:szCs w:val="24"/>
        </w:rPr>
        <w:t>.</w:t>
      </w:r>
    </w:p>
    <w:p w14:paraId="6E99AAC4" w14:textId="77777777" w:rsidR="00A625D5" w:rsidRPr="0030070C" w:rsidRDefault="00A625D5">
      <w:pPr>
        <w:pStyle w:val="Akapitzlist"/>
        <w:spacing w:before="60" w:afterLines="60" w:after="144" w:line="276" w:lineRule="auto"/>
        <w:mirrorIndents/>
        <w:jc w:val="both"/>
        <w:rPr>
          <w:rFonts w:ascii="Times New Roman" w:hAnsi="Times New Roman" w:cs="Times New Roman"/>
          <w:i/>
          <w:sz w:val="24"/>
          <w:szCs w:val="24"/>
        </w:rPr>
      </w:pPr>
    </w:p>
    <w:p w14:paraId="1196782A" w14:textId="355A5DF8" w:rsidR="001058B6" w:rsidRPr="0030070C" w:rsidRDefault="001058B6">
      <w:pPr>
        <w:pStyle w:val="Akapitzlist"/>
        <w:numPr>
          <w:ilvl w:val="2"/>
          <w:numId w:val="2"/>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b/>
          <w:sz w:val="24"/>
          <w:szCs w:val="24"/>
        </w:rPr>
        <w:t xml:space="preserve">Zmieniane </w:t>
      </w:r>
      <w:r w:rsidR="003517AA" w:rsidRPr="0030070C">
        <w:rPr>
          <w:rFonts w:ascii="Times New Roman" w:hAnsi="Times New Roman" w:cs="Times New Roman"/>
          <w:b/>
          <w:sz w:val="24"/>
          <w:szCs w:val="24"/>
        </w:rPr>
        <w:t>pojęcia</w:t>
      </w:r>
    </w:p>
    <w:p w14:paraId="7B10DA27" w14:textId="7F4DEF2A" w:rsidR="00B71112" w:rsidRPr="0030070C" w:rsidRDefault="005D4C9D">
      <w:pPr>
        <w:pStyle w:val="Akapitzlist"/>
        <w:numPr>
          <w:ilvl w:val="0"/>
          <w:numId w:val="8"/>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lit. b – zmieniany </w:t>
      </w:r>
      <w:r w:rsidR="00B71112" w:rsidRPr="0030070C">
        <w:rPr>
          <w:rFonts w:ascii="Times New Roman" w:hAnsi="Times New Roman" w:cs="Times New Roman"/>
          <w:sz w:val="24"/>
          <w:szCs w:val="24"/>
        </w:rPr>
        <w:t xml:space="preserve">pkt 4: </w:t>
      </w:r>
      <w:r w:rsidR="00B71112" w:rsidRPr="0030070C">
        <w:rPr>
          <w:rFonts w:ascii="Times New Roman" w:hAnsi="Times New Roman" w:cs="Times New Roman"/>
          <w:i/>
          <w:sz w:val="24"/>
          <w:szCs w:val="24"/>
        </w:rPr>
        <w:t xml:space="preserve">jednostka wytwórcza centralnie dysponowana </w:t>
      </w:r>
      <w:r w:rsidR="00B71112" w:rsidRPr="0030070C">
        <w:rPr>
          <w:rFonts w:ascii="Times New Roman" w:hAnsi="Times New Roman" w:cs="Times New Roman"/>
          <w:sz w:val="24"/>
          <w:szCs w:val="24"/>
        </w:rPr>
        <w:t xml:space="preserve">– zmiana polega na objęciu pojęciem elektrowni szczytowo-pompowych przyłączonych do koordynowanej sieci </w:t>
      </w:r>
      <w:r w:rsidR="00982146" w:rsidRPr="0030070C">
        <w:rPr>
          <w:rFonts w:ascii="Times New Roman" w:hAnsi="Times New Roman" w:cs="Times New Roman"/>
          <w:sz w:val="24"/>
          <w:szCs w:val="24"/>
        </w:rPr>
        <w:t xml:space="preserve">110 </w:t>
      </w:r>
      <w:proofErr w:type="spellStart"/>
      <w:r w:rsidR="00982146" w:rsidRPr="0030070C">
        <w:rPr>
          <w:rFonts w:ascii="Times New Roman" w:hAnsi="Times New Roman" w:cs="Times New Roman"/>
          <w:sz w:val="24"/>
          <w:szCs w:val="24"/>
        </w:rPr>
        <w:t>kV</w:t>
      </w:r>
      <w:proofErr w:type="spellEnd"/>
      <w:r w:rsidR="00982146" w:rsidRPr="0030070C">
        <w:rPr>
          <w:rFonts w:ascii="Times New Roman" w:hAnsi="Times New Roman" w:cs="Times New Roman"/>
          <w:sz w:val="24"/>
          <w:szCs w:val="24"/>
        </w:rPr>
        <w:t xml:space="preserve"> – które dotąd pełniły rolę JWCD – w związku z wycofaniem usługi praca interwencyjna;</w:t>
      </w:r>
    </w:p>
    <w:p w14:paraId="08B02ECE" w14:textId="1E6D5507" w:rsidR="001058B6" w:rsidRPr="0030070C" w:rsidRDefault="005D4C9D">
      <w:pPr>
        <w:pStyle w:val="Akapitzlist"/>
        <w:numPr>
          <w:ilvl w:val="0"/>
          <w:numId w:val="8"/>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lit. d – zmieniany </w:t>
      </w:r>
      <w:r w:rsidR="001058B6" w:rsidRPr="0030070C">
        <w:rPr>
          <w:rFonts w:ascii="Times New Roman" w:hAnsi="Times New Roman" w:cs="Times New Roman"/>
          <w:sz w:val="24"/>
          <w:szCs w:val="24"/>
        </w:rPr>
        <w:t>pkt 10</w:t>
      </w:r>
      <w:r w:rsidR="00DC0A4D" w:rsidRPr="0030070C">
        <w:rPr>
          <w:rFonts w:ascii="Times New Roman" w:hAnsi="Times New Roman" w:cs="Times New Roman"/>
          <w:sz w:val="24"/>
          <w:szCs w:val="24"/>
        </w:rPr>
        <w:t>:</w:t>
      </w:r>
      <w:r w:rsidR="001058B6" w:rsidRPr="0030070C">
        <w:rPr>
          <w:rFonts w:ascii="Times New Roman" w:hAnsi="Times New Roman" w:cs="Times New Roman"/>
          <w:sz w:val="24"/>
          <w:szCs w:val="24"/>
        </w:rPr>
        <w:t xml:space="preserve"> </w:t>
      </w:r>
      <w:r w:rsidR="001058B6" w:rsidRPr="0030070C">
        <w:rPr>
          <w:rFonts w:ascii="Times New Roman" w:hAnsi="Times New Roman" w:cs="Times New Roman"/>
          <w:i/>
          <w:sz w:val="24"/>
          <w:szCs w:val="24"/>
        </w:rPr>
        <w:t>moc umowna</w:t>
      </w:r>
      <w:r w:rsidR="00DC0A4D" w:rsidRPr="0030070C">
        <w:rPr>
          <w:rFonts w:ascii="Times New Roman" w:hAnsi="Times New Roman" w:cs="Times New Roman"/>
          <w:sz w:val="24"/>
          <w:szCs w:val="24"/>
        </w:rPr>
        <w:t xml:space="preserve"> – zmiana definicji względem zawartej w obowiązującym rozporządzeniu wynika z jej dostosowania do brzmienia definicji mocy umownej zawartej w rozporządzeniu Ministra Energii z dnia 6 marca 2019 r. w sprawie szczegółowych zasad kształtowania i kalkulacji taryf oraz rozliczeń w obrocie energią elektryczną (Dz. U. z 2019 r. poz. 503)</w:t>
      </w:r>
      <w:r w:rsidR="00424443">
        <w:rPr>
          <w:rFonts w:ascii="Times New Roman" w:hAnsi="Times New Roman" w:cs="Times New Roman"/>
          <w:sz w:val="24"/>
          <w:szCs w:val="24"/>
        </w:rPr>
        <w:t>;</w:t>
      </w:r>
    </w:p>
    <w:p w14:paraId="0C4124CC" w14:textId="0360E93F" w:rsidR="00EC0929" w:rsidRDefault="00EC0929">
      <w:pPr>
        <w:pStyle w:val="Akapitzlist"/>
        <w:numPr>
          <w:ilvl w:val="0"/>
          <w:numId w:val="8"/>
        </w:numPr>
        <w:spacing w:before="60" w:afterLines="60" w:after="144" w:line="276" w:lineRule="auto"/>
        <w:ind w:left="426"/>
        <w:mirrorIndents/>
        <w:jc w:val="both"/>
        <w:rPr>
          <w:rFonts w:ascii="Times New Roman" w:hAnsi="Times New Roman" w:cs="Times New Roman"/>
          <w:sz w:val="24"/>
          <w:szCs w:val="24"/>
        </w:rPr>
      </w:pPr>
      <w:r>
        <w:rPr>
          <w:rFonts w:ascii="Times New Roman" w:hAnsi="Times New Roman" w:cs="Times New Roman"/>
          <w:sz w:val="24"/>
          <w:szCs w:val="24"/>
        </w:rPr>
        <w:t xml:space="preserve">pkt </w:t>
      </w:r>
      <w:r w:rsidR="00F83435">
        <w:rPr>
          <w:rFonts w:ascii="Times New Roman" w:hAnsi="Times New Roman" w:cs="Times New Roman"/>
          <w:sz w:val="24"/>
          <w:szCs w:val="24"/>
        </w:rPr>
        <w:t>2</w:t>
      </w:r>
      <w:r>
        <w:rPr>
          <w:rFonts w:ascii="Times New Roman" w:hAnsi="Times New Roman" w:cs="Times New Roman"/>
          <w:sz w:val="24"/>
          <w:szCs w:val="24"/>
        </w:rPr>
        <w:t xml:space="preserve"> lit. h – zmieniany pkt 15: w definicji przyłącza zastępuje się słowa „o wymaganej przez niego mocy przyłączeniowej” na „dostosowany do mocy przyłączeniowej”, wynika to z faktu, że </w:t>
      </w:r>
      <w:r w:rsidRPr="00EC0929">
        <w:rPr>
          <w:rFonts w:ascii="Times New Roman" w:hAnsi="Times New Roman" w:cs="Times New Roman"/>
          <w:sz w:val="24"/>
          <w:szCs w:val="24"/>
        </w:rPr>
        <w:t>dla przyłącza nie o</w:t>
      </w:r>
      <w:r>
        <w:rPr>
          <w:rFonts w:ascii="Times New Roman" w:hAnsi="Times New Roman" w:cs="Times New Roman"/>
          <w:sz w:val="24"/>
          <w:szCs w:val="24"/>
        </w:rPr>
        <w:t>kreśla się mocy przyłączeniowej –</w:t>
      </w:r>
      <w:r w:rsidRPr="00EC0929">
        <w:rPr>
          <w:rFonts w:ascii="Times New Roman" w:hAnsi="Times New Roman" w:cs="Times New Roman"/>
          <w:sz w:val="24"/>
          <w:szCs w:val="24"/>
        </w:rPr>
        <w:t xml:space="preserve"> moc</w:t>
      </w:r>
      <w:r>
        <w:rPr>
          <w:rFonts w:ascii="Times New Roman" w:hAnsi="Times New Roman" w:cs="Times New Roman"/>
          <w:sz w:val="24"/>
          <w:szCs w:val="24"/>
        </w:rPr>
        <w:t xml:space="preserve"> przyłączeniową określa się</w:t>
      </w:r>
      <w:r w:rsidRPr="00EC0929">
        <w:rPr>
          <w:rFonts w:ascii="Times New Roman" w:hAnsi="Times New Roman" w:cs="Times New Roman"/>
          <w:sz w:val="24"/>
          <w:szCs w:val="24"/>
        </w:rPr>
        <w:t xml:space="preserve"> dla obiektu i służy </w:t>
      </w:r>
      <w:r>
        <w:rPr>
          <w:rFonts w:ascii="Times New Roman" w:hAnsi="Times New Roman" w:cs="Times New Roman"/>
          <w:sz w:val="24"/>
          <w:szCs w:val="24"/>
        </w:rPr>
        <w:t xml:space="preserve">ona </w:t>
      </w:r>
      <w:r w:rsidRPr="00EC0929">
        <w:rPr>
          <w:rFonts w:ascii="Times New Roman" w:hAnsi="Times New Roman" w:cs="Times New Roman"/>
          <w:sz w:val="24"/>
          <w:szCs w:val="24"/>
        </w:rPr>
        <w:t xml:space="preserve">do zaprojektowania przyłącza (patrz definicja </w:t>
      </w:r>
      <w:r w:rsidR="00424443">
        <w:rPr>
          <w:rFonts w:ascii="Times New Roman" w:hAnsi="Times New Roman" w:cs="Times New Roman"/>
          <w:sz w:val="24"/>
          <w:szCs w:val="24"/>
        </w:rPr>
        <w:t>mocy przyłączeniowej § 2 pkt 9);</w:t>
      </w:r>
    </w:p>
    <w:p w14:paraId="7BB9CFCA" w14:textId="45E48318" w:rsidR="001058B6" w:rsidRPr="0030070C" w:rsidRDefault="005D4C9D">
      <w:pPr>
        <w:pStyle w:val="Akapitzlist"/>
        <w:numPr>
          <w:ilvl w:val="0"/>
          <w:numId w:val="8"/>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lit. </w:t>
      </w:r>
      <w:r w:rsidR="00EC0929">
        <w:rPr>
          <w:rFonts w:ascii="Times New Roman" w:hAnsi="Times New Roman" w:cs="Times New Roman"/>
          <w:sz w:val="24"/>
          <w:szCs w:val="24"/>
        </w:rPr>
        <w:t>j</w:t>
      </w:r>
      <w:r w:rsidR="00EC0929"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zmieniany </w:t>
      </w:r>
      <w:r w:rsidR="00DC0A4D" w:rsidRPr="0030070C">
        <w:rPr>
          <w:rFonts w:ascii="Times New Roman" w:hAnsi="Times New Roman" w:cs="Times New Roman"/>
          <w:sz w:val="24"/>
          <w:szCs w:val="24"/>
        </w:rPr>
        <w:t xml:space="preserve">pkt 20: </w:t>
      </w:r>
      <w:r w:rsidR="001058B6" w:rsidRPr="0030070C">
        <w:rPr>
          <w:rFonts w:ascii="Times New Roman" w:hAnsi="Times New Roman" w:cs="Times New Roman"/>
          <w:i/>
          <w:sz w:val="24"/>
          <w:szCs w:val="24"/>
        </w:rPr>
        <w:t>swobodne bilansowanie</w:t>
      </w:r>
      <w:r w:rsidR="00DC0A4D" w:rsidRPr="0030070C">
        <w:rPr>
          <w:rFonts w:ascii="Times New Roman" w:hAnsi="Times New Roman" w:cs="Times New Roman"/>
          <w:sz w:val="24"/>
          <w:szCs w:val="24"/>
        </w:rPr>
        <w:t xml:space="preserve"> – zmiana polega na rozszerzeniu pojęcia, aby odnosiło się również do zasobów inne niż jednostki wytwórcze.</w:t>
      </w:r>
    </w:p>
    <w:p w14:paraId="2D5E712B" w14:textId="77777777" w:rsidR="001058B6" w:rsidRPr="0030070C" w:rsidRDefault="001058B6">
      <w:pPr>
        <w:spacing w:before="60" w:afterLines="60" w:after="144" w:line="276" w:lineRule="auto"/>
        <w:contextualSpacing/>
        <w:mirrorIndents/>
        <w:jc w:val="both"/>
        <w:rPr>
          <w:rFonts w:ascii="Times New Roman" w:hAnsi="Times New Roman" w:cs="Times New Roman"/>
          <w:sz w:val="24"/>
          <w:szCs w:val="24"/>
        </w:rPr>
      </w:pPr>
    </w:p>
    <w:p w14:paraId="1F63AA63" w14:textId="4AF4087B" w:rsidR="00264C69" w:rsidRPr="0030070C" w:rsidRDefault="00264C69">
      <w:pPr>
        <w:pStyle w:val="Akapitzlist"/>
        <w:numPr>
          <w:ilvl w:val="1"/>
          <w:numId w:val="2"/>
        </w:numPr>
        <w:spacing w:before="60" w:afterLines="60" w:after="144" w:line="276" w:lineRule="auto"/>
        <w:ind w:hanging="578"/>
        <w:mirrorIndents/>
        <w:jc w:val="both"/>
        <w:rPr>
          <w:rFonts w:ascii="Times New Roman" w:hAnsi="Times New Roman" w:cs="Times New Roman"/>
          <w:sz w:val="24"/>
          <w:szCs w:val="24"/>
        </w:rPr>
      </w:pPr>
      <w:r w:rsidRPr="0030070C">
        <w:rPr>
          <w:rFonts w:ascii="Times New Roman" w:hAnsi="Times New Roman" w:cs="Times New Roman"/>
          <w:b/>
          <w:sz w:val="24"/>
          <w:szCs w:val="24"/>
        </w:rPr>
        <w:t>Zmiany w części dot. przyłączeń</w:t>
      </w:r>
    </w:p>
    <w:p w14:paraId="0EF63E03" w14:textId="3448F7B1" w:rsidR="00D747FF" w:rsidRPr="0030070C" w:rsidRDefault="005D4C9D">
      <w:pPr>
        <w:pStyle w:val="Akapitzlist"/>
        <w:numPr>
          <w:ilvl w:val="0"/>
          <w:numId w:val="9"/>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5</w:t>
      </w:r>
      <w:r w:rsidRPr="0030070C">
        <w:rPr>
          <w:rFonts w:ascii="Times New Roman" w:hAnsi="Times New Roman" w:cs="Times New Roman"/>
          <w:sz w:val="24"/>
          <w:szCs w:val="24"/>
        </w:rPr>
        <w:t xml:space="preserve"> – </w:t>
      </w:r>
      <w:r w:rsidR="00D747FF" w:rsidRPr="0030070C">
        <w:rPr>
          <w:rFonts w:ascii="Times New Roman" w:hAnsi="Times New Roman" w:cs="Times New Roman"/>
          <w:sz w:val="24"/>
          <w:szCs w:val="24"/>
        </w:rPr>
        <w:t>§5</w:t>
      </w:r>
      <w:r w:rsidR="00D13F62" w:rsidRPr="0030070C">
        <w:rPr>
          <w:rFonts w:ascii="Times New Roman" w:hAnsi="Times New Roman" w:cs="Times New Roman"/>
          <w:sz w:val="24"/>
          <w:szCs w:val="24"/>
        </w:rPr>
        <w:t xml:space="preserve">: </w:t>
      </w:r>
      <w:r w:rsidR="005A1C3F" w:rsidRPr="0030070C">
        <w:rPr>
          <w:rFonts w:ascii="Times New Roman" w:hAnsi="Times New Roman" w:cs="Times New Roman"/>
          <w:sz w:val="24"/>
          <w:szCs w:val="24"/>
        </w:rPr>
        <w:t>zmienione przepisy paragrafu 5</w:t>
      </w:r>
      <w:r w:rsidR="00D13F62" w:rsidRPr="0030070C">
        <w:rPr>
          <w:rFonts w:ascii="Times New Roman" w:hAnsi="Times New Roman" w:cs="Times New Roman"/>
          <w:sz w:val="24"/>
          <w:szCs w:val="24"/>
        </w:rPr>
        <w:t xml:space="preserve"> </w:t>
      </w:r>
      <w:r w:rsidR="005A1C3F" w:rsidRPr="0030070C">
        <w:rPr>
          <w:rFonts w:ascii="Times New Roman" w:hAnsi="Times New Roman" w:cs="Times New Roman"/>
          <w:sz w:val="24"/>
          <w:szCs w:val="24"/>
        </w:rPr>
        <w:t>zawierają regułę</w:t>
      </w:r>
      <w:r w:rsidR="00D13F62" w:rsidRPr="0030070C">
        <w:rPr>
          <w:rFonts w:ascii="Times New Roman" w:hAnsi="Times New Roman" w:cs="Times New Roman"/>
          <w:sz w:val="24"/>
          <w:szCs w:val="24"/>
        </w:rPr>
        <w:t xml:space="preserve"> kolizyjną wynikającą z konieczności przestrzegania obowiązujących w polskim porządku prawnym rozporządzeń unijnych, w</w:t>
      </w:r>
      <w:r w:rsidR="00464D2E" w:rsidRPr="0030070C">
        <w:rPr>
          <w:rFonts w:ascii="Times New Roman" w:hAnsi="Times New Roman" w:cs="Times New Roman"/>
          <w:sz w:val="24"/>
          <w:szCs w:val="24"/>
        </w:rPr>
        <w:t> </w:t>
      </w:r>
      <w:r w:rsidR="00D13F62" w:rsidRPr="0030070C">
        <w:rPr>
          <w:rFonts w:ascii="Times New Roman" w:hAnsi="Times New Roman" w:cs="Times New Roman"/>
          <w:sz w:val="24"/>
          <w:szCs w:val="24"/>
        </w:rPr>
        <w:t xml:space="preserve">szczególności rozporządzenia Parlamentu Europejskiego i Rady (UE) 2019/943 z dnia 5 czerwca 2019 r. w sprawie rynku wewnętrznego energii elektrycznej (Dz. U. UE. L. z 2019 r. Nr 158, str. 54) oraz rozporządzeń wydanych na podstawie art. 59 i 61 rozporządzenia </w:t>
      </w:r>
      <w:r w:rsidR="00414179" w:rsidRPr="0030070C">
        <w:rPr>
          <w:rFonts w:ascii="Times New Roman" w:hAnsi="Times New Roman" w:cs="Times New Roman"/>
          <w:sz w:val="24"/>
          <w:szCs w:val="24"/>
        </w:rPr>
        <w:t>rynkowego</w:t>
      </w:r>
      <w:r w:rsidR="00D13F62" w:rsidRPr="0030070C">
        <w:rPr>
          <w:rFonts w:ascii="Times New Roman" w:hAnsi="Times New Roman" w:cs="Times New Roman"/>
          <w:sz w:val="24"/>
          <w:szCs w:val="24"/>
        </w:rPr>
        <w:t>, które zawierają przepisy pokrywające się w części materii objętej zakresem niniejszego rozporządzenia, jak również do dokumentów opracowywanych i zatwierdzanych</w:t>
      </w:r>
      <w:r w:rsidR="00B32EE2" w:rsidRPr="0030070C">
        <w:rPr>
          <w:rFonts w:ascii="Times New Roman" w:hAnsi="Times New Roman" w:cs="Times New Roman"/>
          <w:sz w:val="24"/>
          <w:szCs w:val="24"/>
        </w:rPr>
        <w:t xml:space="preserve"> na podstawie tych rozporządzeń;</w:t>
      </w:r>
    </w:p>
    <w:p w14:paraId="4FADDF69" w14:textId="009BF50A" w:rsidR="00D747FF" w:rsidRPr="0030070C" w:rsidRDefault="005D4C9D">
      <w:pPr>
        <w:pStyle w:val="Akapitzlist"/>
        <w:numPr>
          <w:ilvl w:val="0"/>
          <w:numId w:val="9"/>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6</w:t>
      </w:r>
      <w:r w:rsidRPr="0030070C">
        <w:rPr>
          <w:rFonts w:ascii="Times New Roman" w:hAnsi="Times New Roman" w:cs="Times New Roman"/>
          <w:sz w:val="24"/>
          <w:szCs w:val="24"/>
        </w:rPr>
        <w:t xml:space="preserve"> – </w:t>
      </w:r>
      <w:r w:rsidR="00651A1E" w:rsidRPr="0030070C">
        <w:rPr>
          <w:rFonts w:ascii="Times New Roman" w:hAnsi="Times New Roman" w:cs="Times New Roman"/>
          <w:sz w:val="24"/>
          <w:szCs w:val="24"/>
        </w:rPr>
        <w:t>§6</w:t>
      </w:r>
      <w:r w:rsidR="00D13F62" w:rsidRPr="0030070C">
        <w:rPr>
          <w:rFonts w:ascii="Times New Roman" w:hAnsi="Times New Roman" w:cs="Times New Roman"/>
          <w:sz w:val="24"/>
          <w:szCs w:val="24"/>
        </w:rPr>
        <w:t xml:space="preserve">: </w:t>
      </w:r>
      <w:r w:rsidR="005A1C3F" w:rsidRPr="0030070C">
        <w:rPr>
          <w:rFonts w:ascii="Times New Roman" w:hAnsi="Times New Roman" w:cs="Times New Roman"/>
          <w:sz w:val="24"/>
          <w:szCs w:val="24"/>
        </w:rPr>
        <w:t xml:space="preserve">zmieniony </w:t>
      </w:r>
      <w:r w:rsidR="00D13F62" w:rsidRPr="0030070C">
        <w:rPr>
          <w:rFonts w:ascii="Times New Roman" w:hAnsi="Times New Roman" w:cs="Times New Roman"/>
          <w:sz w:val="24"/>
          <w:szCs w:val="24"/>
        </w:rPr>
        <w:t>przepis</w:t>
      </w:r>
      <w:r w:rsidR="00651A1E" w:rsidRPr="0030070C">
        <w:rPr>
          <w:rFonts w:ascii="Times New Roman" w:hAnsi="Times New Roman" w:cs="Times New Roman"/>
          <w:sz w:val="24"/>
          <w:szCs w:val="24"/>
        </w:rPr>
        <w:t xml:space="preserve"> </w:t>
      </w:r>
      <w:r w:rsidR="00D13F62" w:rsidRPr="0030070C">
        <w:rPr>
          <w:rFonts w:ascii="Times New Roman" w:hAnsi="Times New Roman" w:cs="Times New Roman"/>
          <w:sz w:val="24"/>
          <w:szCs w:val="24"/>
        </w:rPr>
        <w:t xml:space="preserve">zawiera </w:t>
      </w:r>
      <w:r w:rsidR="00651A1E" w:rsidRPr="0030070C">
        <w:rPr>
          <w:rFonts w:ascii="Times New Roman" w:hAnsi="Times New Roman" w:cs="Times New Roman"/>
          <w:sz w:val="24"/>
          <w:szCs w:val="24"/>
        </w:rPr>
        <w:t xml:space="preserve">wyłączenie </w:t>
      </w:r>
      <w:r w:rsidR="00D13F62" w:rsidRPr="0030070C">
        <w:rPr>
          <w:rFonts w:ascii="Times New Roman" w:hAnsi="Times New Roman" w:cs="Times New Roman"/>
          <w:sz w:val="24"/>
          <w:szCs w:val="24"/>
        </w:rPr>
        <w:t xml:space="preserve">od stosowania wobec </w:t>
      </w:r>
      <w:proofErr w:type="spellStart"/>
      <w:r w:rsidR="00651A1E" w:rsidRPr="0030070C">
        <w:rPr>
          <w:rFonts w:ascii="Times New Roman" w:hAnsi="Times New Roman" w:cs="Times New Roman"/>
          <w:sz w:val="24"/>
          <w:szCs w:val="24"/>
        </w:rPr>
        <w:t>mikroinstalacji</w:t>
      </w:r>
      <w:proofErr w:type="spellEnd"/>
      <w:r w:rsidR="00D13F62" w:rsidRPr="0030070C">
        <w:rPr>
          <w:rFonts w:ascii="Times New Roman" w:hAnsi="Times New Roman" w:cs="Times New Roman"/>
          <w:sz w:val="24"/>
          <w:szCs w:val="24"/>
        </w:rPr>
        <w:t>, które podlegają obecnie odrębnemu reżimowi prawnemu (art. 7 ust. 8d</w:t>
      </w:r>
      <w:r w:rsidR="00D13F62" w:rsidRPr="0030070C">
        <w:rPr>
          <w:rFonts w:ascii="Times New Roman" w:hAnsi="Times New Roman" w:cs="Times New Roman"/>
          <w:sz w:val="24"/>
          <w:szCs w:val="24"/>
          <w:vertAlign w:val="superscript"/>
        </w:rPr>
        <w:t>4</w:t>
      </w:r>
      <w:r w:rsidR="00D13F62" w:rsidRPr="0030070C">
        <w:rPr>
          <w:rFonts w:ascii="Times New Roman" w:hAnsi="Times New Roman" w:cs="Times New Roman"/>
          <w:sz w:val="24"/>
          <w:szCs w:val="24"/>
        </w:rPr>
        <w:t>-8d</w:t>
      </w:r>
      <w:r w:rsidR="00D13F62" w:rsidRPr="0030070C">
        <w:rPr>
          <w:rFonts w:ascii="Times New Roman" w:hAnsi="Times New Roman" w:cs="Times New Roman"/>
          <w:sz w:val="24"/>
          <w:szCs w:val="24"/>
          <w:vertAlign w:val="superscript"/>
        </w:rPr>
        <w:t>8</w:t>
      </w:r>
      <w:r w:rsidR="00D13F62" w:rsidRPr="0030070C">
        <w:rPr>
          <w:rFonts w:ascii="Times New Roman" w:hAnsi="Times New Roman" w:cs="Times New Roman"/>
          <w:sz w:val="24"/>
          <w:szCs w:val="24"/>
        </w:rPr>
        <w:t xml:space="preserve"> ustawy Prawo energetyczne)</w:t>
      </w:r>
      <w:r w:rsidR="005A1C3F" w:rsidRPr="0030070C">
        <w:rPr>
          <w:rFonts w:ascii="Times New Roman" w:hAnsi="Times New Roman" w:cs="Times New Roman"/>
          <w:sz w:val="24"/>
          <w:szCs w:val="24"/>
        </w:rPr>
        <w:t>, a także doprecyzowanie wymagań formalnych dla podmiotów z I lub II grupy przyłączeniowej ubiegających się o przyłączenie do sieci dystrybucyjnej</w:t>
      </w:r>
      <w:r w:rsidR="00797D0A" w:rsidRPr="0030070C">
        <w:rPr>
          <w:rFonts w:ascii="Times New Roman" w:hAnsi="Times New Roman" w:cs="Times New Roman"/>
          <w:sz w:val="24"/>
          <w:szCs w:val="24"/>
        </w:rPr>
        <w:t>. Ponadto rozstrzygnięto kwestię, w jakim języku sporządza się wniosek oraz warunki przyłączenia – wyłącznie w języku polskim. Przepis wprowadza się ze</w:t>
      </w:r>
      <w:r w:rsidR="00C9773B" w:rsidRPr="0030070C">
        <w:rPr>
          <w:rFonts w:ascii="Times New Roman" w:hAnsi="Times New Roman" w:cs="Times New Roman"/>
          <w:sz w:val="24"/>
          <w:szCs w:val="24"/>
        </w:rPr>
        <w:t> </w:t>
      </w:r>
      <w:r w:rsidR="00797D0A" w:rsidRPr="0030070C">
        <w:rPr>
          <w:rFonts w:ascii="Times New Roman" w:hAnsi="Times New Roman" w:cs="Times New Roman"/>
          <w:sz w:val="24"/>
          <w:szCs w:val="24"/>
        </w:rPr>
        <w:t xml:space="preserve">względu na sygnalizowane przez operatorów systemu problemy z podmiotami zagranicznymi, które żądają możliwości </w:t>
      </w:r>
      <w:r w:rsidR="00797D0A" w:rsidRPr="0030070C">
        <w:rPr>
          <w:rFonts w:ascii="Times New Roman" w:hAnsi="Times New Roman" w:cs="Times New Roman"/>
          <w:sz w:val="24"/>
          <w:szCs w:val="24"/>
        </w:rPr>
        <w:lastRenderedPageBreak/>
        <w:t>składania dokumentacji w językach obcych, co utrudnia rozpatrywanie wniosków w wymaganych terminach</w:t>
      </w:r>
      <w:r w:rsidR="005A1C3F" w:rsidRPr="0030070C">
        <w:rPr>
          <w:rFonts w:ascii="Times New Roman" w:hAnsi="Times New Roman" w:cs="Times New Roman"/>
          <w:sz w:val="24"/>
          <w:szCs w:val="24"/>
        </w:rPr>
        <w:t>;</w:t>
      </w:r>
    </w:p>
    <w:p w14:paraId="3207078D" w14:textId="763C4F87" w:rsidR="00651A1E" w:rsidRPr="0030070C" w:rsidRDefault="005D4C9D">
      <w:pPr>
        <w:pStyle w:val="Akapitzlist"/>
        <w:numPr>
          <w:ilvl w:val="0"/>
          <w:numId w:val="9"/>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7</w:t>
      </w:r>
      <w:r w:rsidRPr="0030070C">
        <w:rPr>
          <w:rFonts w:ascii="Times New Roman" w:hAnsi="Times New Roman" w:cs="Times New Roman"/>
          <w:sz w:val="24"/>
          <w:szCs w:val="24"/>
        </w:rPr>
        <w:t xml:space="preserve"> – </w:t>
      </w:r>
      <w:r w:rsidR="00651A1E" w:rsidRPr="0030070C">
        <w:rPr>
          <w:rFonts w:ascii="Times New Roman" w:hAnsi="Times New Roman" w:cs="Times New Roman"/>
          <w:sz w:val="24"/>
          <w:szCs w:val="24"/>
        </w:rPr>
        <w:t>§7</w:t>
      </w:r>
      <w:r w:rsidR="005A1C3F" w:rsidRPr="0030070C">
        <w:rPr>
          <w:rFonts w:ascii="Times New Roman" w:hAnsi="Times New Roman" w:cs="Times New Roman"/>
          <w:sz w:val="24"/>
          <w:szCs w:val="24"/>
        </w:rPr>
        <w:t xml:space="preserve">: </w:t>
      </w:r>
      <w:r w:rsidR="00FE1B3B" w:rsidRPr="0030070C">
        <w:rPr>
          <w:rFonts w:ascii="Times New Roman" w:hAnsi="Times New Roman" w:cs="Times New Roman"/>
          <w:sz w:val="24"/>
          <w:szCs w:val="24"/>
        </w:rPr>
        <w:t>zmienione przepisy dodają wymagania formalne wniosków niezbędne do spełnienia obowiązków wynikających z przepisów odrębnych</w:t>
      </w:r>
      <w:r w:rsidR="00D713DD">
        <w:rPr>
          <w:rFonts w:ascii="Times New Roman" w:hAnsi="Times New Roman" w:cs="Times New Roman"/>
          <w:sz w:val="24"/>
          <w:szCs w:val="24"/>
        </w:rPr>
        <w:t xml:space="preserve">; uchylenie ust. 5 pkt 4 oraz ust. 6 wynika z niezgodności </w:t>
      </w:r>
      <w:r w:rsidR="00D713DD" w:rsidRPr="00D713DD">
        <w:rPr>
          <w:rFonts w:ascii="Times New Roman" w:hAnsi="Times New Roman" w:cs="Times New Roman"/>
          <w:sz w:val="24"/>
          <w:szCs w:val="24"/>
        </w:rPr>
        <w:t xml:space="preserve">z art. 7 ust. 8e ustawy Prawo energetyczne, który stanowi w ostatnim zdaniu: „Przedsiębiorstwo energetyczne zajmujące się przesyłaniem lub dystrybucją energii elektrycznej zapewnia sporządzenie ekspertyzy.” Przepis rozporządzenia w </w:t>
      </w:r>
      <w:r w:rsidR="00D713DD">
        <w:rPr>
          <w:rFonts w:ascii="Times New Roman" w:hAnsi="Times New Roman" w:cs="Times New Roman"/>
          <w:sz w:val="24"/>
          <w:szCs w:val="24"/>
        </w:rPr>
        <w:t xml:space="preserve">dotychczasowym </w:t>
      </w:r>
      <w:r w:rsidR="00D713DD" w:rsidRPr="00D713DD">
        <w:rPr>
          <w:rFonts w:ascii="Times New Roman" w:hAnsi="Times New Roman" w:cs="Times New Roman"/>
          <w:sz w:val="24"/>
          <w:szCs w:val="24"/>
        </w:rPr>
        <w:t>kształcie, jako niezgodny z ustawą, i tak nie mógłb</w:t>
      </w:r>
      <w:r w:rsidR="00D713DD">
        <w:rPr>
          <w:rFonts w:ascii="Times New Roman" w:hAnsi="Times New Roman" w:cs="Times New Roman"/>
          <w:sz w:val="24"/>
          <w:szCs w:val="24"/>
        </w:rPr>
        <w:t xml:space="preserve">y </w:t>
      </w:r>
      <w:r w:rsidR="005B38B7">
        <w:rPr>
          <w:rFonts w:ascii="Times New Roman" w:hAnsi="Times New Roman" w:cs="Times New Roman"/>
          <w:sz w:val="24"/>
          <w:szCs w:val="24"/>
        </w:rPr>
        <w:t xml:space="preserve">być </w:t>
      </w:r>
      <w:r w:rsidR="00D713DD">
        <w:rPr>
          <w:rFonts w:ascii="Times New Roman" w:hAnsi="Times New Roman" w:cs="Times New Roman"/>
          <w:sz w:val="24"/>
          <w:szCs w:val="24"/>
        </w:rPr>
        <w:t>zastosowany w praktyce</w:t>
      </w:r>
      <w:r w:rsidR="00FE1B3B" w:rsidRPr="0030070C">
        <w:rPr>
          <w:rFonts w:ascii="Times New Roman" w:hAnsi="Times New Roman" w:cs="Times New Roman"/>
          <w:sz w:val="24"/>
          <w:szCs w:val="24"/>
        </w:rPr>
        <w:t>;</w:t>
      </w:r>
    </w:p>
    <w:p w14:paraId="53AED031" w14:textId="3221B26D" w:rsidR="00D747FF" w:rsidRPr="0030070C" w:rsidRDefault="005D4C9D">
      <w:pPr>
        <w:pStyle w:val="Akapitzlist"/>
        <w:numPr>
          <w:ilvl w:val="0"/>
          <w:numId w:val="9"/>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8</w:t>
      </w:r>
      <w:r w:rsidRPr="0030070C">
        <w:rPr>
          <w:rFonts w:ascii="Times New Roman" w:hAnsi="Times New Roman" w:cs="Times New Roman"/>
          <w:sz w:val="24"/>
          <w:szCs w:val="24"/>
        </w:rPr>
        <w:t xml:space="preserve"> – </w:t>
      </w:r>
      <w:r w:rsidR="00651A1E" w:rsidRPr="0030070C">
        <w:rPr>
          <w:rFonts w:ascii="Times New Roman" w:hAnsi="Times New Roman" w:cs="Times New Roman"/>
          <w:sz w:val="24"/>
          <w:szCs w:val="24"/>
        </w:rPr>
        <w:t>§7a</w:t>
      </w:r>
      <w:r w:rsidR="00FE1B3B" w:rsidRPr="0030070C">
        <w:rPr>
          <w:rFonts w:ascii="Times New Roman" w:hAnsi="Times New Roman" w:cs="Times New Roman"/>
          <w:sz w:val="24"/>
          <w:szCs w:val="24"/>
        </w:rPr>
        <w:t>: dodawany przepis określa konsekwencje złożenia wadliwego formalnie wniosku;</w:t>
      </w:r>
    </w:p>
    <w:p w14:paraId="6D74A167" w14:textId="54A4A575" w:rsidR="00651A1E" w:rsidRPr="0030070C" w:rsidRDefault="005D4C9D">
      <w:pPr>
        <w:pStyle w:val="Akapitzlist"/>
        <w:numPr>
          <w:ilvl w:val="0"/>
          <w:numId w:val="9"/>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9</w:t>
      </w:r>
      <w:r w:rsidRPr="0030070C">
        <w:rPr>
          <w:rFonts w:ascii="Times New Roman" w:hAnsi="Times New Roman" w:cs="Times New Roman"/>
          <w:sz w:val="24"/>
          <w:szCs w:val="24"/>
        </w:rPr>
        <w:t xml:space="preserve"> – </w:t>
      </w:r>
      <w:r w:rsidR="00651A1E" w:rsidRPr="0030070C">
        <w:rPr>
          <w:rFonts w:ascii="Times New Roman" w:hAnsi="Times New Roman" w:cs="Times New Roman"/>
          <w:sz w:val="24"/>
          <w:szCs w:val="24"/>
        </w:rPr>
        <w:t>§8</w:t>
      </w:r>
      <w:r w:rsidR="00FE1B3B" w:rsidRPr="0030070C">
        <w:rPr>
          <w:rFonts w:ascii="Times New Roman" w:hAnsi="Times New Roman" w:cs="Times New Roman"/>
          <w:sz w:val="24"/>
          <w:szCs w:val="24"/>
        </w:rPr>
        <w:t>: zmieniony przepis precyzuje zasady dotyczące rozgraniczenia własności przyłączanych urządzeń;</w:t>
      </w:r>
      <w:r w:rsidR="005B38B7">
        <w:rPr>
          <w:rFonts w:ascii="Times New Roman" w:hAnsi="Times New Roman" w:cs="Times New Roman"/>
          <w:sz w:val="24"/>
          <w:szCs w:val="24"/>
        </w:rPr>
        <w:t xml:space="preserve"> ponadto uchyla się ust. 7 z powodu niezgodności</w:t>
      </w:r>
      <w:r w:rsidR="005B38B7" w:rsidRPr="005B38B7">
        <w:rPr>
          <w:rFonts w:ascii="Times New Roman" w:hAnsi="Times New Roman" w:cs="Times New Roman"/>
          <w:sz w:val="24"/>
          <w:szCs w:val="24"/>
        </w:rPr>
        <w:t xml:space="preserve"> z przepisem art. 7 ust. 8i ustawy Prawo energetyczne, który stanowi w pierwszym zdaniu: „Warunki przyłączenia są ważne dwa lata od dnia ich doręczenia.” Jest to zasadnicza różnica, która modyfikuje prawa podmiotu planującego przyłączenie, skracając okres przysługiwania tego prawa w większości przypadków, w których warunki przyłączeni</w:t>
      </w:r>
      <w:r w:rsidR="005B38B7">
        <w:rPr>
          <w:rFonts w:ascii="Times New Roman" w:hAnsi="Times New Roman" w:cs="Times New Roman"/>
          <w:sz w:val="24"/>
          <w:szCs w:val="24"/>
        </w:rPr>
        <w:t>a są nadawane tradycyjną pocztą</w:t>
      </w:r>
      <w:r w:rsidR="005B38B7" w:rsidRPr="005B38B7">
        <w:rPr>
          <w:rFonts w:ascii="Times New Roman" w:hAnsi="Times New Roman" w:cs="Times New Roman"/>
          <w:sz w:val="24"/>
          <w:szCs w:val="24"/>
        </w:rPr>
        <w:t xml:space="preserve">. Przepis rozporządzenia w </w:t>
      </w:r>
      <w:r w:rsidR="005B38B7">
        <w:rPr>
          <w:rFonts w:ascii="Times New Roman" w:hAnsi="Times New Roman" w:cs="Times New Roman"/>
          <w:sz w:val="24"/>
          <w:szCs w:val="24"/>
        </w:rPr>
        <w:t xml:space="preserve">dotychczasowym </w:t>
      </w:r>
      <w:r w:rsidR="005B38B7" w:rsidRPr="005B38B7">
        <w:rPr>
          <w:rFonts w:ascii="Times New Roman" w:hAnsi="Times New Roman" w:cs="Times New Roman"/>
          <w:sz w:val="24"/>
          <w:szCs w:val="24"/>
        </w:rPr>
        <w:t xml:space="preserve">kształcie, jako niezgodny z ustawą, i tak nie mógłby </w:t>
      </w:r>
      <w:r w:rsidR="005B38B7">
        <w:rPr>
          <w:rFonts w:ascii="Times New Roman" w:hAnsi="Times New Roman" w:cs="Times New Roman"/>
          <w:sz w:val="24"/>
          <w:szCs w:val="24"/>
        </w:rPr>
        <w:t xml:space="preserve">być </w:t>
      </w:r>
      <w:r w:rsidR="005B38B7" w:rsidRPr="005B38B7">
        <w:rPr>
          <w:rFonts w:ascii="Times New Roman" w:hAnsi="Times New Roman" w:cs="Times New Roman"/>
          <w:sz w:val="24"/>
          <w:szCs w:val="24"/>
        </w:rPr>
        <w:t>zastosowany w praktyce;</w:t>
      </w:r>
    </w:p>
    <w:p w14:paraId="44000E6C" w14:textId="6E11F4F7" w:rsidR="005D4C9D" w:rsidRPr="0030070C" w:rsidRDefault="005D4C9D">
      <w:pPr>
        <w:pStyle w:val="Akapitzlist"/>
        <w:numPr>
          <w:ilvl w:val="0"/>
          <w:numId w:val="9"/>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10</w:t>
      </w:r>
      <w:r w:rsidRPr="0030070C">
        <w:rPr>
          <w:rFonts w:ascii="Times New Roman" w:hAnsi="Times New Roman" w:cs="Times New Roman"/>
          <w:sz w:val="24"/>
          <w:szCs w:val="24"/>
        </w:rPr>
        <w:t xml:space="preserve"> –</w:t>
      </w:r>
      <w:r w:rsidR="00A32B2D" w:rsidRPr="0030070C">
        <w:rPr>
          <w:rFonts w:ascii="Times New Roman" w:hAnsi="Times New Roman" w:cs="Times New Roman"/>
          <w:sz w:val="24"/>
          <w:szCs w:val="24"/>
        </w:rPr>
        <w:t xml:space="preserve"> uchylony §9 reguluje zagadnienia regulowane obecnie ustawą Prawo energetyczne;</w:t>
      </w:r>
    </w:p>
    <w:p w14:paraId="4C494685" w14:textId="6C94D819" w:rsidR="00651A1E" w:rsidRPr="0030070C" w:rsidRDefault="005D4C9D">
      <w:pPr>
        <w:pStyle w:val="Akapitzlist"/>
        <w:numPr>
          <w:ilvl w:val="0"/>
          <w:numId w:val="9"/>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pkt 1</w:t>
      </w:r>
      <w:r w:rsidR="00F83435">
        <w:rPr>
          <w:rFonts w:ascii="Times New Roman" w:hAnsi="Times New Roman" w:cs="Times New Roman"/>
          <w:sz w:val="24"/>
          <w:szCs w:val="24"/>
        </w:rPr>
        <w:t>1</w:t>
      </w:r>
      <w:r w:rsidRPr="0030070C">
        <w:rPr>
          <w:rFonts w:ascii="Times New Roman" w:hAnsi="Times New Roman" w:cs="Times New Roman"/>
          <w:sz w:val="24"/>
          <w:szCs w:val="24"/>
        </w:rPr>
        <w:t xml:space="preserve"> – </w:t>
      </w:r>
      <w:r w:rsidR="00651A1E" w:rsidRPr="0030070C">
        <w:rPr>
          <w:rFonts w:ascii="Times New Roman" w:hAnsi="Times New Roman" w:cs="Times New Roman"/>
          <w:sz w:val="24"/>
          <w:szCs w:val="24"/>
        </w:rPr>
        <w:t>§10</w:t>
      </w:r>
      <w:r w:rsidR="00FE1B3B" w:rsidRPr="0030070C">
        <w:rPr>
          <w:rFonts w:ascii="Times New Roman" w:hAnsi="Times New Roman" w:cs="Times New Roman"/>
          <w:sz w:val="24"/>
          <w:szCs w:val="24"/>
        </w:rPr>
        <w:t>: zmieniony przepis precyzuje</w:t>
      </w:r>
      <w:r w:rsidR="00651A1E" w:rsidRPr="0030070C">
        <w:rPr>
          <w:rFonts w:ascii="Times New Roman" w:hAnsi="Times New Roman" w:cs="Times New Roman"/>
          <w:sz w:val="24"/>
          <w:szCs w:val="24"/>
        </w:rPr>
        <w:t xml:space="preserve"> warunki </w:t>
      </w:r>
      <w:r w:rsidR="00FE1B3B" w:rsidRPr="0030070C">
        <w:rPr>
          <w:rFonts w:ascii="Times New Roman" w:hAnsi="Times New Roman" w:cs="Times New Roman"/>
          <w:sz w:val="24"/>
          <w:szCs w:val="24"/>
        </w:rPr>
        <w:t xml:space="preserve">tworzenia połączeń koordynowanej sieci 110 </w:t>
      </w:r>
      <w:proofErr w:type="spellStart"/>
      <w:r w:rsidR="00FE1B3B" w:rsidRPr="0030070C">
        <w:rPr>
          <w:rFonts w:ascii="Times New Roman" w:hAnsi="Times New Roman" w:cs="Times New Roman"/>
          <w:sz w:val="24"/>
          <w:szCs w:val="24"/>
        </w:rPr>
        <w:t>kV</w:t>
      </w:r>
      <w:proofErr w:type="spellEnd"/>
      <w:r w:rsidR="00FE1B3B" w:rsidRPr="0030070C">
        <w:rPr>
          <w:rFonts w:ascii="Times New Roman" w:hAnsi="Times New Roman" w:cs="Times New Roman"/>
          <w:sz w:val="24"/>
          <w:szCs w:val="24"/>
        </w:rPr>
        <w:t xml:space="preserve"> pomiędzy operatorami systemów dystrybucyjnych oraz z urządzeniami, instalacjami lub sieciami znajdującymi się w innym kraju. </w:t>
      </w:r>
      <w:r w:rsidR="00DE3166" w:rsidRPr="0030070C">
        <w:rPr>
          <w:rFonts w:ascii="Times New Roman" w:hAnsi="Times New Roman" w:cs="Times New Roman"/>
          <w:sz w:val="24"/>
          <w:szCs w:val="24"/>
        </w:rPr>
        <w:t xml:space="preserve">Zgodnie z przepisami rozporządzenia rynkowego połączenia międzysystemowe są wyłączną domeną </w:t>
      </w:r>
      <w:proofErr w:type="spellStart"/>
      <w:r w:rsidR="00DE3166" w:rsidRPr="0030070C">
        <w:rPr>
          <w:rFonts w:ascii="Times New Roman" w:hAnsi="Times New Roman" w:cs="Times New Roman"/>
          <w:sz w:val="24"/>
          <w:szCs w:val="24"/>
        </w:rPr>
        <w:t>OSPe</w:t>
      </w:r>
      <w:proofErr w:type="spellEnd"/>
      <w:r w:rsidR="00DE3166" w:rsidRPr="0030070C">
        <w:rPr>
          <w:rFonts w:ascii="Times New Roman" w:hAnsi="Times New Roman" w:cs="Times New Roman"/>
          <w:sz w:val="24"/>
          <w:szCs w:val="24"/>
        </w:rPr>
        <w:t>.</w:t>
      </w:r>
      <w:r w:rsidR="00DB4248" w:rsidRPr="0030070C">
        <w:rPr>
          <w:rFonts w:ascii="Times New Roman" w:hAnsi="Times New Roman" w:cs="Times New Roman"/>
          <w:sz w:val="24"/>
          <w:szCs w:val="24"/>
        </w:rPr>
        <w:t xml:space="preserve"> Ewentualne połączenia transgraniczne w sieci 110 </w:t>
      </w:r>
      <w:proofErr w:type="spellStart"/>
      <w:r w:rsidR="00DB4248" w:rsidRPr="0030070C">
        <w:rPr>
          <w:rFonts w:ascii="Times New Roman" w:hAnsi="Times New Roman" w:cs="Times New Roman"/>
          <w:sz w:val="24"/>
          <w:szCs w:val="24"/>
        </w:rPr>
        <w:t>kV</w:t>
      </w:r>
      <w:proofErr w:type="spellEnd"/>
      <w:r w:rsidR="00DB4248" w:rsidRPr="0030070C">
        <w:rPr>
          <w:rFonts w:ascii="Times New Roman" w:hAnsi="Times New Roman" w:cs="Times New Roman"/>
          <w:sz w:val="24"/>
          <w:szCs w:val="24"/>
        </w:rPr>
        <w:t xml:space="preserve"> nie mogą więc służyć do łączenia całych systemów elektroenergetycznych, lecz co najwyżej pracy w układach wydzielonych.</w:t>
      </w:r>
    </w:p>
    <w:p w14:paraId="152A1D87" w14:textId="0BBB805D" w:rsidR="00651A1E" w:rsidRPr="0030070C" w:rsidRDefault="00651A1E">
      <w:pPr>
        <w:spacing w:before="60" w:afterLines="60" w:after="144" w:line="276" w:lineRule="auto"/>
        <w:contextualSpacing/>
        <w:mirrorIndents/>
        <w:jc w:val="both"/>
        <w:rPr>
          <w:rFonts w:ascii="Times New Roman" w:hAnsi="Times New Roman" w:cs="Times New Roman"/>
          <w:sz w:val="24"/>
          <w:szCs w:val="24"/>
        </w:rPr>
      </w:pPr>
    </w:p>
    <w:p w14:paraId="4D8C564E" w14:textId="46381E18" w:rsidR="00264C69" w:rsidRPr="0030070C" w:rsidRDefault="00264C69">
      <w:pPr>
        <w:pStyle w:val="Akapitzlist"/>
        <w:numPr>
          <w:ilvl w:val="1"/>
          <w:numId w:val="2"/>
        </w:numPr>
        <w:spacing w:before="60" w:afterLines="60" w:after="144" w:line="276" w:lineRule="auto"/>
        <w:ind w:hanging="720"/>
        <w:mirrorIndents/>
        <w:jc w:val="both"/>
        <w:rPr>
          <w:rFonts w:ascii="Times New Roman" w:hAnsi="Times New Roman" w:cs="Times New Roman"/>
          <w:sz w:val="24"/>
          <w:szCs w:val="24"/>
        </w:rPr>
      </w:pPr>
      <w:r w:rsidRPr="0030070C">
        <w:rPr>
          <w:rFonts w:ascii="Times New Roman" w:hAnsi="Times New Roman" w:cs="Times New Roman"/>
          <w:b/>
          <w:sz w:val="24"/>
          <w:szCs w:val="24"/>
        </w:rPr>
        <w:t>Zmiany w części dot. warunków wykonywania działalności</w:t>
      </w:r>
    </w:p>
    <w:p w14:paraId="71E75675" w14:textId="79D6ABD6" w:rsidR="00015AB9" w:rsidRPr="0030070C" w:rsidRDefault="00A32B2D">
      <w:pPr>
        <w:pStyle w:val="Akapitzlist"/>
        <w:numPr>
          <w:ilvl w:val="0"/>
          <w:numId w:val="10"/>
        </w:numPr>
        <w:spacing w:before="60" w:afterLines="60" w:after="144" w:line="276" w:lineRule="auto"/>
        <w:ind w:left="426" w:hanging="426"/>
        <w:mirrorIndents/>
        <w:jc w:val="both"/>
        <w:rPr>
          <w:rFonts w:ascii="Times New Roman" w:hAnsi="Times New Roman" w:cs="Times New Roman"/>
          <w:b/>
          <w:sz w:val="24"/>
          <w:szCs w:val="24"/>
        </w:rPr>
      </w:pPr>
      <w:r w:rsidRPr="0030070C">
        <w:rPr>
          <w:rFonts w:ascii="Times New Roman" w:hAnsi="Times New Roman" w:cs="Times New Roman"/>
          <w:sz w:val="24"/>
          <w:szCs w:val="24"/>
        </w:rPr>
        <w:t>pkt 1</w:t>
      </w:r>
      <w:r w:rsidR="00F83435">
        <w:rPr>
          <w:rFonts w:ascii="Times New Roman" w:hAnsi="Times New Roman" w:cs="Times New Roman"/>
          <w:sz w:val="24"/>
          <w:szCs w:val="24"/>
        </w:rPr>
        <w:t>2</w:t>
      </w:r>
      <w:r w:rsidRPr="0030070C">
        <w:rPr>
          <w:rFonts w:ascii="Times New Roman" w:hAnsi="Times New Roman" w:cs="Times New Roman"/>
          <w:sz w:val="24"/>
          <w:szCs w:val="24"/>
        </w:rPr>
        <w:t xml:space="preserve"> –  </w:t>
      </w:r>
      <w:r w:rsidR="00015AB9" w:rsidRPr="0030070C">
        <w:rPr>
          <w:rFonts w:ascii="Times New Roman" w:hAnsi="Times New Roman" w:cs="Times New Roman"/>
          <w:sz w:val="24"/>
          <w:szCs w:val="24"/>
        </w:rPr>
        <w:t>§13</w:t>
      </w:r>
      <w:r w:rsidR="00B32EE2" w:rsidRPr="0030070C">
        <w:rPr>
          <w:rFonts w:ascii="Times New Roman" w:hAnsi="Times New Roman" w:cs="Times New Roman"/>
          <w:sz w:val="24"/>
          <w:szCs w:val="24"/>
        </w:rPr>
        <w:t>: rozszerzenie w pkt. 5 umożliwia spełnienie obowiązków wynikających z przepisów odrębnych, w tym ustawy o rynku mocy;</w:t>
      </w:r>
    </w:p>
    <w:p w14:paraId="1120F73D" w14:textId="14210280" w:rsidR="00073BFD" w:rsidRDefault="00073BFD">
      <w:pPr>
        <w:pStyle w:val="Akapitzlist"/>
        <w:numPr>
          <w:ilvl w:val="0"/>
          <w:numId w:val="10"/>
        </w:numPr>
        <w:spacing w:before="60" w:afterLines="60" w:after="144" w:line="276" w:lineRule="auto"/>
        <w:ind w:left="426" w:hanging="426"/>
        <w:mirrorIndents/>
        <w:jc w:val="both"/>
        <w:rPr>
          <w:rFonts w:ascii="Times New Roman" w:hAnsi="Times New Roman" w:cs="Times New Roman"/>
          <w:sz w:val="24"/>
          <w:szCs w:val="24"/>
        </w:rPr>
      </w:pPr>
      <w:r>
        <w:rPr>
          <w:rFonts w:ascii="Times New Roman" w:hAnsi="Times New Roman" w:cs="Times New Roman"/>
          <w:sz w:val="24"/>
          <w:szCs w:val="24"/>
        </w:rPr>
        <w:t>pkt 1</w:t>
      </w:r>
      <w:r w:rsidR="00F83435">
        <w:rPr>
          <w:rFonts w:ascii="Times New Roman" w:hAnsi="Times New Roman" w:cs="Times New Roman"/>
          <w:sz w:val="24"/>
          <w:szCs w:val="24"/>
        </w:rPr>
        <w:t>3</w:t>
      </w:r>
      <w:r>
        <w:rPr>
          <w:rFonts w:ascii="Times New Roman" w:hAnsi="Times New Roman" w:cs="Times New Roman"/>
          <w:sz w:val="24"/>
          <w:szCs w:val="24"/>
        </w:rPr>
        <w:t xml:space="preserve"> – dodanie §13a określającego sposób publikowania informacji przez </w:t>
      </w:r>
      <w:proofErr w:type="spellStart"/>
      <w:r>
        <w:rPr>
          <w:rFonts w:ascii="Times New Roman" w:hAnsi="Times New Roman" w:cs="Times New Roman"/>
          <w:sz w:val="24"/>
          <w:szCs w:val="24"/>
        </w:rPr>
        <w:t>OSPe</w:t>
      </w:r>
      <w:proofErr w:type="spellEnd"/>
      <w:r>
        <w:rPr>
          <w:rFonts w:ascii="Times New Roman" w:hAnsi="Times New Roman" w:cs="Times New Roman"/>
          <w:sz w:val="24"/>
          <w:szCs w:val="24"/>
        </w:rPr>
        <w:t xml:space="preserve"> zgodnie z delegacją z art. 9 ust. 4 pkt 14 ustawy;</w:t>
      </w:r>
    </w:p>
    <w:p w14:paraId="4C5A843E" w14:textId="5F65CB64" w:rsidR="00A625D5" w:rsidRPr="00A625D5" w:rsidRDefault="00A625D5" w:rsidP="00B77871">
      <w:pPr>
        <w:pStyle w:val="Akapitzlist"/>
        <w:numPr>
          <w:ilvl w:val="0"/>
          <w:numId w:val="10"/>
        </w:numPr>
        <w:ind w:left="426" w:hanging="426"/>
        <w:jc w:val="both"/>
        <w:rPr>
          <w:rFonts w:ascii="Times New Roman" w:hAnsi="Times New Roman" w:cs="Times New Roman"/>
          <w:sz w:val="24"/>
          <w:szCs w:val="24"/>
        </w:rPr>
      </w:pPr>
      <w:r w:rsidRPr="00A625D5">
        <w:rPr>
          <w:rFonts w:ascii="Times New Roman" w:hAnsi="Times New Roman" w:cs="Times New Roman"/>
          <w:sz w:val="24"/>
          <w:szCs w:val="24"/>
        </w:rPr>
        <w:t>pkt 1</w:t>
      </w:r>
      <w:r w:rsidR="00F83435">
        <w:rPr>
          <w:rFonts w:ascii="Times New Roman" w:hAnsi="Times New Roman" w:cs="Times New Roman"/>
          <w:sz w:val="24"/>
          <w:szCs w:val="24"/>
        </w:rPr>
        <w:t>6</w:t>
      </w:r>
      <w:r w:rsidRPr="00A625D5">
        <w:rPr>
          <w:rFonts w:ascii="Times New Roman" w:hAnsi="Times New Roman" w:cs="Times New Roman"/>
          <w:sz w:val="24"/>
          <w:szCs w:val="24"/>
        </w:rPr>
        <w:t xml:space="preserve"> – §17: zmiana z obowiązku uzgodnienia remontów i </w:t>
      </w:r>
      <w:proofErr w:type="spellStart"/>
      <w:r w:rsidRPr="00A625D5">
        <w:rPr>
          <w:rFonts w:ascii="Times New Roman" w:hAnsi="Times New Roman" w:cs="Times New Roman"/>
          <w:sz w:val="24"/>
          <w:szCs w:val="24"/>
        </w:rPr>
        <w:t>wyłączeń</w:t>
      </w:r>
      <w:proofErr w:type="spellEnd"/>
      <w:r w:rsidRPr="00A625D5">
        <w:rPr>
          <w:rFonts w:ascii="Times New Roman" w:hAnsi="Times New Roman" w:cs="Times New Roman"/>
          <w:sz w:val="24"/>
          <w:szCs w:val="24"/>
        </w:rPr>
        <w:t xml:space="preserve"> z operatorem sieci na obowiązek poinformowania go o tym remoncie lub wyłączeniu ma na celu dostosowanie do funkcjonowania rynku mocy – umożliwienie dostawcom mocy zarządzania ryzykiem związanym z niewykonaniem obowiązku </w:t>
      </w:r>
      <w:proofErr w:type="spellStart"/>
      <w:r w:rsidRPr="00A625D5">
        <w:rPr>
          <w:rFonts w:ascii="Times New Roman" w:hAnsi="Times New Roman" w:cs="Times New Roman"/>
          <w:sz w:val="24"/>
          <w:szCs w:val="24"/>
        </w:rPr>
        <w:t>mocowego</w:t>
      </w:r>
      <w:proofErr w:type="spellEnd"/>
      <w:r w:rsidRPr="00A625D5">
        <w:rPr>
          <w:rFonts w:ascii="Times New Roman" w:hAnsi="Times New Roman" w:cs="Times New Roman"/>
          <w:sz w:val="24"/>
          <w:szCs w:val="24"/>
        </w:rPr>
        <w:t>. Jednakże zasada ta doznaje ograniczenia w sytuacji, gdy remont lub wyłączenie koliduje z remontem lub wyłączeniem w sieci tego operatora – jeśli taka kolizja może spowodować zagrożenie bezpieczeństwa pracy sieci elektroenergetycznej, operator musi mieć prawo skutecznie sprzeciw</w:t>
      </w:r>
      <w:r>
        <w:rPr>
          <w:rFonts w:ascii="Times New Roman" w:hAnsi="Times New Roman" w:cs="Times New Roman"/>
          <w:sz w:val="24"/>
          <w:szCs w:val="24"/>
        </w:rPr>
        <w:t>ić się remontowi lub wyłączeniu;</w:t>
      </w:r>
    </w:p>
    <w:p w14:paraId="732B378C" w14:textId="1ACD6CA1" w:rsidR="00015AB9" w:rsidRPr="0030070C" w:rsidRDefault="00A32B2D" w:rsidP="00EB09AD">
      <w:pPr>
        <w:pStyle w:val="Akapitzlist"/>
        <w:numPr>
          <w:ilvl w:val="0"/>
          <w:numId w:val="10"/>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lastRenderedPageBreak/>
        <w:t>pkt 1</w:t>
      </w:r>
      <w:r w:rsidR="00F83435">
        <w:rPr>
          <w:rFonts w:ascii="Times New Roman" w:hAnsi="Times New Roman" w:cs="Times New Roman"/>
          <w:sz w:val="24"/>
          <w:szCs w:val="24"/>
        </w:rPr>
        <w:t>7</w:t>
      </w:r>
      <w:r w:rsidRPr="0030070C">
        <w:rPr>
          <w:rFonts w:ascii="Times New Roman" w:hAnsi="Times New Roman" w:cs="Times New Roman"/>
          <w:sz w:val="24"/>
          <w:szCs w:val="24"/>
        </w:rPr>
        <w:t xml:space="preserve"> – </w:t>
      </w:r>
      <w:r w:rsidR="00015AB9" w:rsidRPr="0030070C">
        <w:rPr>
          <w:rFonts w:ascii="Times New Roman" w:hAnsi="Times New Roman" w:cs="Times New Roman"/>
          <w:sz w:val="24"/>
          <w:szCs w:val="24"/>
        </w:rPr>
        <w:t>§18</w:t>
      </w:r>
      <w:r w:rsidR="00944AE1" w:rsidRPr="0030070C">
        <w:rPr>
          <w:rFonts w:ascii="Times New Roman" w:hAnsi="Times New Roman" w:cs="Times New Roman"/>
          <w:sz w:val="24"/>
          <w:szCs w:val="24"/>
        </w:rPr>
        <w:t xml:space="preserve">: zmieniony przepis wyszczególnia przepisy odrębne regulujące zasady udostępniania połączeń międzysystemowych przez </w:t>
      </w:r>
      <w:proofErr w:type="spellStart"/>
      <w:r w:rsidR="00944AE1" w:rsidRPr="0030070C">
        <w:rPr>
          <w:rFonts w:ascii="Times New Roman" w:hAnsi="Times New Roman" w:cs="Times New Roman"/>
          <w:sz w:val="24"/>
          <w:szCs w:val="24"/>
        </w:rPr>
        <w:t>OSPe</w:t>
      </w:r>
      <w:proofErr w:type="spellEnd"/>
      <w:r w:rsidR="00944AE1" w:rsidRPr="0030070C">
        <w:rPr>
          <w:rFonts w:ascii="Times New Roman" w:hAnsi="Times New Roman" w:cs="Times New Roman"/>
          <w:sz w:val="24"/>
          <w:szCs w:val="24"/>
        </w:rPr>
        <w:t>.</w:t>
      </w:r>
    </w:p>
    <w:p w14:paraId="6B7CFFA3" w14:textId="77777777" w:rsidR="00015AB9" w:rsidRPr="0030070C" w:rsidRDefault="00015AB9">
      <w:pPr>
        <w:pStyle w:val="Akapitzlist"/>
        <w:spacing w:before="60" w:afterLines="60" w:after="144" w:line="276" w:lineRule="auto"/>
        <w:mirrorIndents/>
        <w:jc w:val="both"/>
        <w:rPr>
          <w:rFonts w:ascii="Times New Roman" w:hAnsi="Times New Roman" w:cs="Times New Roman"/>
          <w:sz w:val="24"/>
          <w:szCs w:val="24"/>
        </w:rPr>
      </w:pPr>
    </w:p>
    <w:p w14:paraId="1BD7CCF9" w14:textId="44E981B8" w:rsidR="00264C69" w:rsidRPr="0030070C" w:rsidRDefault="00264C69">
      <w:pPr>
        <w:pStyle w:val="Akapitzlist"/>
        <w:numPr>
          <w:ilvl w:val="1"/>
          <w:numId w:val="2"/>
        </w:numPr>
        <w:spacing w:before="60" w:afterLines="60" w:after="144" w:line="276" w:lineRule="auto"/>
        <w:ind w:hanging="720"/>
        <w:mirrorIndents/>
        <w:jc w:val="both"/>
        <w:rPr>
          <w:rFonts w:ascii="Times New Roman" w:hAnsi="Times New Roman" w:cs="Times New Roman"/>
          <w:b/>
          <w:sz w:val="24"/>
          <w:szCs w:val="24"/>
        </w:rPr>
      </w:pPr>
      <w:r w:rsidRPr="0030070C">
        <w:rPr>
          <w:rFonts w:ascii="Times New Roman" w:hAnsi="Times New Roman" w:cs="Times New Roman"/>
          <w:b/>
          <w:sz w:val="24"/>
          <w:szCs w:val="24"/>
        </w:rPr>
        <w:t>Zmiany w części dot. bilansowania i rozliczeń z tego tytułu</w:t>
      </w:r>
    </w:p>
    <w:p w14:paraId="307EC5AF" w14:textId="38D0128C" w:rsidR="002916B4" w:rsidRPr="0030070C" w:rsidRDefault="00A32B2D">
      <w:pPr>
        <w:pStyle w:val="Akapitzlist"/>
        <w:numPr>
          <w:ilvl w:val="0"/>
          <w:numId w:val="11"/>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t>pkt 1</w:t>
      </w:r>
      <w:r w:rsidR="00F83435">
        <w:rPr>
          <w:rFonts w:ascii="Times New Roman" w:hAnsi="Times New Roman" w:cs="Times New Roman"/>
          <w:sz w:val="24"/>
          <w:szCs w:val="24"/>
        </w:rPr>
        <w:t>8</w:t>
      </w:r>
      <w:r w:rsidRPr="0030070C">
        <w:rPr>
          <w:rFonts w:ascii="Times New Roman" w:hAnsi="Times New Roman" w:cs="Times New Roman"/>
          <w:sz w:val="24"/>
          <w:szCs w:val="24"/>
        </w:rPr>
        <w:t xml:space="preserve"> – </w:t>
      </w:r>
      <w:r w:rsidR="00015AB9" w:rsidRPr="0030070C">
        <w:rPr>
          <w:rFonts w:ascii="Times New Roman" w:hAnsi="Times New Roman" w:cs="Times New Roman"/>
          <w:sz w:val="24"/>
          <w:szCs w:val="24"/>
        </w:rPr>
        <w:t>§19</w:t>
      </w:r>
      <w:r w:rsidR="00224619" w:rsidRPr="0030070C">
        <w:rPr>
          <w:rFonts w:ascii="Times New Roman" w:hAnsi="Times New Roman" w:cs="Times New Roman"/>
          <w:sz w:val="24"/>
          <w:szCs w:val="24"/>
        </w:rPr>
        <w:t>: zmieniony przepis dostosowuje zasady składania ofert bilansujących do nowych ram pojęciowych, a także wprowadza zasadę prawa do aktualizacji oferty bilansującej z zastrzeżeniem ograniczeń zgodnie z EB GL;</w:t>
      </w:r>
    </w:p>
    <w:p w14:paraId="61430C30" w14:textId="219D75B2" w:rsidR="002916B4" w:rsidRPr="0030070C" w:rsidRDefault="00A32B2D">
      <w:pPr>
        <w:pStyle w:val="Akapitzlist"/>
        <w:numPr>
          <w:ilvl w:val="0"/>
          <w:numId w:val="11"/>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BE0867" w:rsidRPr="0030070C">
        <w:rPr>
          <w:rFonts w:ascii="Times New Roman" w:hAnsi="Times New Roman" w:cs="Times New Roman"/>
          <w:sz w:val="24"/>
          <w:szCs w:val="24"/>
        </w:rPr>
        <w:t>1</w:t>
      </w:r>
      <w:r w:rsidR="00F83435">
        <w:rPr>
          <w:rFonts w:ascii="Times New Roman" w:hAnsi="Times New Roman" w:cs="Times New Roman"/>
          <w:sz w:val="24"/>
          <w:szCs w:val="24"/>
        </w:rPr>
        <w:t>9</w:t>
      </w:r>
      <w:r w:rsidR="00BE0867"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w:t>
      </w:r>
      <w:r w:rsidR="00F85057" w:rsidRPr="0030070C">
        <w:rPr>
          <w:rFonts w:ascii="Times New Roman" w:hAnsi="Times New Roman" w:cs="Times New Roman"/>
          <w:sz w:val="24"/>
          <w:szCs w:val="24"/>
        </w:rPr>
        <w:t xml:space="preserve">§20: usunięto możliwość prowadzenia rozliczeń z tytułu bilansowania przez OSD – obecnie zgodnie z prawem UE mogą być one prowadzone wyłącznie przez </w:t>
      </w:r>
      <w:proofErr w:type="spellStart"/>
      <w:r w:rsidR="00F85057" w:rsidRPr="0030070C">
        <w:rPr>
          <w:rFonts w:ascii="Times New Roman" w:hAnsi="Times New Roman" w:cs="Times New Roman"/>
          <w:sz w:val="24"/>
          <w:szCs w:val="24"/>
        </w:rPr>
        <w:t>OSPe</w:t>
      </w:r>
      <w:proofErr w:type="spellEnd"/>
      <w:r w:rsidR="00F85057" w:rsidRPr="0030070C">
        <w:rPr>
          <w:rFonts w:ascii="Times New Roman" w:hAnsi="Times New Roman" w:cs="Times New Roman"/>
          <w:sz w:val="24"/>
          <w:szCs w:val="24"/>
        </w:rPr>
        <w:t>;</w:t>
      </w:r>
    </w:p>
    <w:p w14:paraId="1207B3C5" w14:textId="20740E43" w:rsidR="00AB290B" w:rsidRPr="0030070C" w:rsidRDefault="00A32B2D">
      <w:pPr>
        <w:pStyle w:val="Akapitzlist"/>
        <w:numPr>
          <w:ilvl w:val="0"/>
          <w:numId w:val="11"/>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20</w:t>
      </w:r>
      <w:r w:rsidR="00BE0867"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lit. a-d – </w:t>
      </w:r>
      <w:r w:rsidR="00015AB9" w:rsidRPr="0030070C">
        <w:rPr>
          <w:rFonts w:ascii="Times New Roman" w:hAnsi="Times New Roman" w:cs="Times New Roman"/>
          <w:sz w:val="24"/>
          <w:szCs w:val="24"/>
        </w:rPr>
        <w:t>§21</w:t>
      </w:r>
      <w:r w:rsidR="00C93123" w:rsidRPr="0030070C">
        <w:rPr>
          <w:rFonts w:ascii="Times New Roman" w:hAnsi="Times New Roman" w:cs="Times New Roman"/>
          <w:sz w:val="24"/>
          <w:szCs w:val="24"/>
        </w:rPr>
        <w:t xml:space="preserve"> ust. 1-3</w:t>
      </w:r>
      <w:r w:rsidR="00224619" w:rsidRPr="0030070C">
        <w:rPr>
          <w:rFonts w:ascii="Times New Roman" w:hAnsi="Times New Roman" w:cs="Times New Roman"/>
          <w:sz w:val="24"/>
          <w:szCs w:val="24"/>
        </w:rPr>
        <w:t>:</w:t>
      </w:r>
      <w:r w:rsidR="00015AB9" w:rsidRPr="0030070C">
        <w:rPr>
          <w:rFonts w:ascii="Times New Roman" w:hAnsi="Times New Roman" w:cs="Times New Roman"/>
          <w:sz w:val="24"/>
          <w:szCs w:val="24"/>
        </w:rPr>
        <w:t xml:space="preserve"> zmiany w zakresie ustalania ceny rozliczeniowej dla niezbilansowania</w:t>
      </w:r>
      <w:r w:rsidR="00224619" w:rsidRPr="0030070C">
        <w:rPr>
          <w:rFonts w:ascii="Times New Roman" w:hAnsi="Times New Roman" w:cs="Times New Roman"/>
          <w:sz w:val="24"/>
          <w:szCs w:val="24"/>
        </w:rPr>
        <w:t xml:space="preserve"> energii elektrycznej</w:t>
      </w:r>
      <w:r w:rsidR="0076709A" w:rsidRPr="0030070C">
        <w:rPr>
          <w:rFonts w:ascii="Times New Roman" w:hAnsi="Times New Roman" w:cs="Times New Roman"/>
          <w:sz w:val="24"/>
          <w:szCs w:val="24"/>
        </w:rPr>
        <w:t xml:space="preserve"> dostarczonej do lub pobranej</w:t>
      </w:r>
      <w:r w:rsidR="00224619" w:rsidRPr="0030070C">
        <w:rPr>
          <w:rFonts w:ascii="Times New Roman" w:hAnsi="Times New Roman" w:cs="Times New Roman"/>
          <w:sz w:val="24"/>
          <w:szCs w:val="24"/>
        </w:rPr>
        <w:t xml:space="preserve"> z systemu wprowadzają zasadę, zgodnie z którą cena </w:t>
      </w:r>
      <w:r w:rsidR="00C9773B" w:rsidRPr="0030070C">
        <w:rPr>
          <w:rFonts w:ascii="Times New Roman" w:hAnsi="Times New Roman" w:cs="Times New Roman"/>
          <w:sz w:val="24"/>
          <w:szCs w:val="24"/>
        </w:rPr>
        <w:t xml:space="preserve">niezbilansowania </w:t>
      </w:r>
      <w:r w:rsidR="00224619" w:rsidRPr="0030070C">
        <w:rPr>
          <w:rFonts w:ascii="Times New Roman" w:hAnsi="Times New Roman" w:cs="Times New Roman"/>
          <w:sz w:val="24"/>
          <w:szCs w:val="24"/>
        </w:rPr>
        <w:t xml:space="preserve">nie może być wyższa od rynkowej ceny energii elektrycznej w sytuacji, gdy rynek jest </w:t>
      </w:r>
      <w:proofErr w:type="spellStart"/>
      <w:r w:rsidR="00224619" w:rsidRPr="0030070C">
        <w:rPr>
          <w:rFonts w:ascii="Times New Roman" w:hAnsi="Times New Roman" w:cs="Times New Roman"/>
          <w:sz w:val="24"/>
          <w:szCs w:val="24"/>
        </w:rPr>
        <w:t>przekontraktowany</w:t>
      </w:r>
      <w:proofErr w:type="spellEnd"/>
      <w:r w:rsidR="00224619" w:rsidRPr="0030070C">
        <w:rPr>
          <w:rFonts w:ascii="Times New Roman" w:hAnsi="Times New Roman" w:cs="Times New Roman"/>
          <w:sz w:val="24"/>
          <w:szCs w:val="24"/>
        </w:rPr>
        <w:t xml:space="preserve"> – tzn. </w:t>
      </w:r>
      <w:proofErr w:type="spellStart"/>
      <w:r w:rsidR="001F0031" w:rsidRPr="0030070C">
        <w:rPr>
          <w:rFonts w:ascii="Times New Roman" w:hAnsi="Times New Roman" w:cs="Times New Roman"/>
          <w:sz w:val="24"/>
          <w:szCs w:val="24"/>
        </w:rPr>
        <w:t>OSPe</w:t>
      </w:r>
      <w:proofErr w:type="spellEnd"/>
      <w:r w:rsidR="00516437" w:rsidRPr="0030070C">
        <w:rPr>
          <w:rFonts w:ascii="Times New Roman" w:hAnsi="Times New Roman" w:cs="Times New Roman"/>
          <w:sz w:val="24"/>
          <w:szCs w:val="24"/>
        </w:rPr>
        <w:t xml:space="preserve"> musi</w:t>
      </w:r>
      <w:r w:rsidR="00C93123" w:rsidRPr="0030070C">
        <w:rPr>
          <w:rFonts w:ascii="Times New Roman" w:hAnsi="Times New Roman" w:cs="Times New Roman"/>
          <w:sz w:val="24"/>
          <w:szCs w:val="24"/>
        </w:rPr>
        <w:t xml:space="preserve"> podjąć działanie, aby usunąć z rynku bilansującego nadmiar energii – oraz nie niższa od tej ceny, gdy rynek jest </w:t>
      </w:r>
      <w:proofErr w:type="spellStart"/>
      <w:r w:rsidR="00C93123" w:rsidRPr="0030070C">
        <w:rPr>
          <w:rFonts w:ascii="Times New Roman" w:hAnsi="Times New Roman" w:cs="Times New Roman"/>
          <w:sz w:val="24"/>
          <w:szCs w:val="24"/>
        </w:rPr>
        <w:t>niedokontraktowany</w:t>
      </w:r>
      <w:proofErr w:type="spellEnd"/>
      <w:r w:rsidR="00C93123" w:rsidRPr="0030070C">
        <w:rPr>
          <w:rFonts w:ascii="Times New Roman" w:hAnsi="Times New Roman" w:cs="Times New Roman"/>
          <w:sz w:val="24"/>
          <w:szCs w:val="24"/>
        </w:rPr>
        <w:t xml:space="preserve"> (konieczne były działania w celu zapewnienia dostawy niedoboru energii). Takie rozwiązanie zapewnia, że sprzedaż lub zakup na rynku bilansującym nie będą bardziej korzystne niż sprzedaż lub zakup na rynku hurtowym, co stanowi zachętę dla uczestników rynku do zbilans</w:t>
      </w:r>
      <w:r w:rsidR="0076709A" w:rsidRPr="0030070C">
        <w:rPr>
          <w:rFonts w:ascii="Times New Roman" w:hAnsi="Times New Roman" w:cs="Times New Roman"/>
          <w:sz w:val="24"/>
          <w:szCs w:val="24"/>
        </w:rPr>
        <w:t xml:space="preserve">owania swojej pozycji handlowej. </w:t>
      </w:r>
      <w:r w:rsidR="001F0031" w:rsidRPr="0030070C">
        <w:rPr>
          <w:rFonts w:ascii="Times New Roman" w:hAnsi="Times New Roman" w:cs="Times New Roman"/>
          <w:sz w:val="24"/>
          <w:szCs w:val="24"/>
        </w:rPr>
        <w:t>O</w:t>
      </w:r>
      <w:r w:rsidR="0076709A" w:rsidRPr="0030070C">
        <w:rPr>
          <w:rFonts w:ascii="Times New Roman" w:hAnsi="Times New Roman" w:cs="Times New Roman"/>
          <w:sz w:val="24"/>
          <w:szCs w:val="24"/>
        </w:rPr>
        <w:t xml:space="preserve">stateczną cenę rozliczeniową ustala się jako cenę swobodnego bilansowania powiększoną albo pomniejszoną do rynkowej ceny energii, </w:t>
      </w:r>
      <w:r w:rsidR="001F0031" w:rsidRPr="0030070C">
        <w:rPr>
          <w:rFonts w:ascii="Times New Roman" w:hAnsi="Times New Roman" w:cs="Times New Roman"/>
          <w:sz w:val="24"/>
          <w:szCs w:val="24"/>
        </w:rPr>
        <w:t>w uzasadnionych przypadkach zgodnie z powyższym</w:t>
      </w:r>
      <w:r w:rsidR="0076709A" w:rsidRPr="0030070C">
        <w:rPr>
          <w:rFonts w:ascii="Times New Roman" w:hAnsi="Times New Roman" w:cs="Times New Roman"/>
          <w:sz w:val="24"/>
          <w:szCs w:val="24"/>
        </w:rPr>
        <w:t xml:space="preserve">, a następnie odpowiednio powiększoną albo pomniejszoną o składnik bilansujący, w zależności od tego, czy dany podmiot odpowiedzialny za bilansowanie handlowe pobrał energię z rynku bilansującego czy </w:t>
      </w:r>
      <w:r w:rsidR="00AB290B" w:rsidRPr="0030070C">
        <w:rPr>
          <w:rFonts w:ascii="Times New Roman" w:hAnsi="Times New Roman" w:cs="Times New Roman"/>
          <w:sz w:val="24"/>
          <w:szCs w:val="24"/>
        </w:rPr>
        <w:t>dostarczył ją na ten rynek.</w:t>
      </w:r>
      <w:r w:rsidR="005062E3" w:rsidRPr="0030070C">
        <w:rPr>
          <w:rFonts w:ascii="Times New Roman" w:hAnsi="Times New Roman" w:cs="Times New Roman"/>
          <w:sz w:val="24"/>
          <w:szCs w:val="24"/>
        </w:rPr>
        <w:t xml:space="preserve"> </w:t>
      </w:r>
      <w:r w:rsidR="00AB290B" w:rsidRPr="0030070C">
        <w:rPr>
          <w:rFonts w:ascii="Times New Roman" w:hAnsi="Times New Roman" w:cs="Times New Roman"/>
          <w:sz w:val="24"/>
          <w:szCs w:val="24"/>
        </w:rPr>
        <w:t>Dotychczasowe przepisy dot. składnika bilansującego, tzw. ΔB, zostają zmienione w</w:t>
      </w:r>
      <w:r w:rsidR="00F85057" w:rsidRPr="0030070C">
        <w:rPr>
          <w:rFonts w:ascii="Times New Roman" w:hAnsi="Times New Roman" w:cs="Times New Roman"/>
          <w:sz w:val="24"/>
          <w:szCs w:val="24"/>
        </w:rPr>
        <w:t>yłącznie w zakresie porządkowym;</w:t>
      </w:r>
    </w:p>
    <w:p w14:paraId="33A7CA61" w14:textId="62A9E6E1" w:rsidR="00015AB9" w:rsidRPr="0030070C" w:rsidRDefault="00A32B2D">
      <w:pPr>
        <w:pStyle w:val="Akapitzlist"/>
        <w:numPr>
          <w:ilvl w:val="0"/>
          <w:numId w:val="11"/>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20</w:t>
      </w:r>
      <w:r w:rsidRPr="0030070C">
        <w:rPr>
          <w:rFonts w:ascii="Times New Roman" w:hAnsi="Times New Roman" w:cs="Times New Roman"/>
          <w:sz w:val="24"/>
          <w:szCs w:val="24"/>
        </w:rPr>
        <w:t xml:space="preserve"> lit. e-f – </w:t>
      </w:r>
      <w:r w:rsidR="00015AB9" w:rsidRPr="0030070C">
        <w:rPr>
          <w:rFonts w:ascii="Times New Roman" w:hAnsi="Times New Roman" w:cs="Times New Roman"/>
          <w:sz w:val="24"/>
          <w:szCs w:val="24"/>
        </w:rPr>
        <w:t xml:space="preserve">§21 </w:t>
      </w:r>
      <w:r w:rsidR="00C93123" w:rsidRPr="0030070C">
        <w:rPr>
          <w:rFonts w:ascii="Times New Roman" w:hAnsi="Times New Roman" w:cs="Times New Roman"/>
          <w:sz w:val="24"/>
          <w:szCs w:val="24"/>
        </w:rPr>
        <w:t>ust. 6-6a</w:t>
      </w:r>
      <w:r w:rsidR="00015AB9" w:rsidRPr="0030070C">
        <w:rPr>
          <w:rFonts w:ascii="Times New Roman" w:hAnsi="Times New Roman" w:cs="Times New Roman"/>
          <w:sz w:val="24"/>
          <w:szCs w:val="24"/>
        </w:rPr>
        <w:t xml:space="preserve"> – </w:t>
      </w:r>
      <w:r w:rsidR="00C93123" w:rsidRPr="0030070C">
        <w:rPr>
          <w:rFonts w:ascii="Times New Roman" w:hAnsi="Times New Roman" w:cs="Times New Roman"/>
          <w:sz w:val="24"/>
          <w:szCs w:val="24"/>
        </w:rPr>
        <w:t xml:space="preserve">zmieniony przepis sankcjonuje stosowane na rynku bilansującym </w:t>
      </w:r>
      <w:r w:rsidR="00015AB9" w:rsidRPr="0030070C">
        <w:rPr>
          <w:rFonts w:ascii="Times New Roman" w:hAnsi="Times New Roman" w:cs="Times New Roman"/>
          <w:sz w:val="24"/>
          <w:szCs w:val="24"/>
        </w:rPr>
        <w:t xml:space="preserve">pojęcia </w:t>
      </w:r>
      <w:r w:rsidR="00C93123" w:rsidRPr="0030070C">
        <w:rPr>
          <w:rFonts w:ascii="Times New Roman" w:hAnsi="Times New Roman" w:cs="Times New Roman"/>
          <w:sz w:val="24"/>
          <w:szCs w:val="24"/>
        </w:rPr>
        <w:t>ceny wymuszonej dostawy (</w:t>
      </w:r>
      <w:r w:rsidR="00015AB9" w:rsidRPr="0030070C">
        <w:rPr>
          <w:rFonts w:ascii="Times New Roman" w:hAnsi="Times New Roman" w:cs="Times New Roman"/>
          <w:sz w:val="24"/>
          <w:szCs w:val="24"/>
        </w:rPr>
        <w:t>CWD</w:t>
      </w:r>
      <w:r w:rsidR="00C93123" w:rsidRPr="0030070C">
        <w:rPr>
          <w:rFonts w:ascii="Times New Roman" w:hAnsi="Times New Roman" w:cs="Times New Roman"/>
          <w:sz w:val="24"/>
          <w:szCs w:val="24"/>
        </w:rPr>
        <w:t>)</w:t>
      </w:r>
      <w:r w:rsidR="00015AB9" w:rsidRPr="0030070C">
        <w:rPr>
          <w:rFonts w:ascii="Times New Roman" w:hAnsi="Times New Roman" w:cs="Times New Roman"/>
          <w:sz w:val="24"/>
          <w:szCs w:val="24"/>
        </w:rPr>
        <w:t xml:space="preserve"> i </w:t>
      </w:r>
      <w:r w:rsidR="00C93123" w:rsidRPr="0030070C">
        <w:rPr>
          <w:rFonts w:ascii="Times New Roman" w:hAnsi="Times New Roman" w:cs="Times New Roman"/>
          <w:sz w:val="24"/>
          <w:szCs w:val="24"/>
        </w:rPr>
        <w:t>ceny wymuszonego odbioru (</w:t>
      </w:r>
      <w:r w:rsidR="00015AB9" w:rsidRPr="0030070C">
        <w:rPr>
          <w:rFonts w:ascii="Times New Roman" w:hAnsi="Times New Roman" w:cs="Times New Roman"/>
          <w:sz w:val="24"/>
          <w:szCs w:val="24"/>
        </w:rPr>
        <w:t>CWO</w:t>
      </w:r>
      <w:r w:rsidR="00C93123" w:rsidRPr="0030070C">
        <w:rPr>
          <w:rFonts w:ascii="Times New Roman" w:hAnsi="Times New Roman" w:cs="Times New Roman"/>
          <w:sz w:val="24"/>
          <w:szCs w:val="24"/>
        </w:rPr>
        <w:t xml:space="preserve">), a także ceny uruchomienia (CU). Ust. 6a wyraża zasadę dotyczącą ceny rozliczeniowej dla energii dostarczanej w celu usunięcia tzw. ograniczeń </w:t>
      </w:r>
      <w:proofErr w:type="spellStart"/>
      <w:r w:rsidR="00C93123" w:rsidRPr="0030070C">
        <w:rPr>
          <w:rFonts w:ascii="Times New Roman" w:hAnsi="Times New Roman" w:cs="Times New Roman"/>
          <w:sz w:val="24"/>
          <w:szCs w:val="24"/>
        </w:rPr>
        <w:t>elektrownianych</w:t>
      </w:r>
      <w:proofErr w:type="spellEnd"/>
      <w:r w:rsidR="00C93123" w:rsidRPr="0030070C">
        <w:rPr>
          <w:rFonts w:ascii="Times New Roman" w:hAnsi="Times New Roman" w:cs="Times New Roman"/>
          <w:sz w:val="24"/>
          <w:szCs w:val="24"/>
        </w:rPr>
        <w:t>, dotychczas ujętą w ust. 7 pkt 2, lecz zapisaną w sposób</w:t>
      </w:r>
      <w:r w:rsidR="00B95AEB" w:rsidRPr="0030070C">
        <w:rPr>
          <w:rFonts w:ascii="Times New Roman" w:hAnsi="Times New Roman" w:cs="Times New Roman"/>
          <w:sz w:val="24"/>
          <w:szCs w:val="24"/>
        </w:rPr>
        <w:t xml:space="preserve"> dostosowany do nowych ram pojęciowych</w:t>
      </w:r>
      <w:r w:rsidR="00C93123" w:rsidRPr="0030070C">
        <w:rPr>
          <w:rFonts w:ascii="Times New Roman" w:hAnsi="Times New Roman" w:cs="Times New Roman"/>
          <w:sz w:val="24"/>
          <w:szCs w:val="24"/>
        </w:rPr>
        <w:t>.</w:t>
      </w:r>
    </w:p>
    <w:p w14:paraId="75AA92C1" w14:textId="480D7EB3" w:rsidR="00015AB9" w:rsidRPr="0030070C" w:rsidRDefault="00A32B2D">
      <w:pPr>
        <w:pStyle w:val="Akapitzlist"/>
        <w:numPr>
          <w:ilvl w:val="0"/>
          <w:numId w:val="11"/>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F83435">
        <w:rPr>
          <w:rFonts w:ascii="Times New Roman" w:hAnsi="Times New Roman" w:cs="Times New Roman"/>
          <w:sz w:val="24"/>
          <w:szCs w:val="24"/>
        </w:rPr>
        <w:t>20</w:t>
      </w:r>
      <w:r w:rsidR="00BE0867"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lit g – </w:t>
      </w:r>
      <w:r w:rsidR="00015AB9" w:rsidRPr="0030070C">
        <w:rPr>
          <w:rFonts w:ascii="Times New Roman" w:hAnsi="Times New Roman" w:cs="Times New Roman"/>
          <w:sz w:val="24"/>
          <w:szCs w:val="24"/>
        </w:rPr>
        <w:t xml:space="preserve">§21 </w:t>
      </w:r>
      <w:r w:rsidR="00B95AEB" w:rsidRPr="0030070C">
        <w:rPr>
          <w:rFonts w:ascii="Times New Roman" w:hAnsi="Times New Roman" w:cs="Times New Roman"/>
          <w:sz w:val="24"/>
          <w:szCs w:val="24"/>
        </w:rPr>
        <w:t xml:space="preserve">ust. 7-11: </w:t>
      </w:r>
      <w:r w:rsidR="00904FCC" w:rsidRPr="0030070C">
        <w:rPr>
          <w:rFonts w:ascii="Times New Roman" w:hAnsi="Times New Roman" w:cs="Times New Roman"/>
          <w:sz w:val="24"/>
          <w:szCs w:val="24"/>
        </w:rPr>
        <w:t xml:space="preserve">dotychczasowe </w:t>
      </w:r>
      <w:r w:rsidR="00B95AEB" w:rsidRPr="0030070C">
        <w:rPr>
          <w:rFonts w:ascii="Times New Roman" w:hAnsi="Times New Roman" w:cs="Times New Roman"/>
          <w:sz w:val="24"/>
          <w:szCs w:val="24"/>
        </w:rPr>
        <w:t>przepisy</w:t>
      </w:r>
      <w:r w:rsidR="00904FCC" w:rsidRPr="0030070C">
        <w:rPr>
          <w:rFonts w:ascii="Times New Roman" w:hAnsi="Times New Roman" w:cs="Times New Roman"/>
          <w:sz w:val="24"/>
          <w:szCs w:val="24"/>
        </w:rPr>
        <w:t xml:space="preserve"> dotyczące wyznaczania cen pracy wymuszonej</w:t>
      </w:r>
      <w:r w:rsidR="00B95AEB" w:rsidRPr="0030070C">
        <w:rPr>
          <w:rFonts w:ascii="Times New Roman" w:hAnsi="Times New Roman" w:cs="Times New Roman"/>
          <w:sz w:val="24"/>
          <w:szCs w:val="24"/>
        </w:rPr>
        <w:t xml:space="preserve"> zostają uchylone, a ich materię regulowaną zastępuje rozbudowany</w:t>
      </w:r>
      <w:r w:rsidR="00015AB9" w:rsidRPr="0030070C">
        <w:rPr>
          <w:rFonts w:ascii="Times New Roman" w:hAnsi="Times New Roman" w:cs="Times New Roman"/>
          <w:sz w:val="24"/>
          <w:szCs w:val="24"/>
        </w:rPr>
        <w:t xml:space="preserve"> §21a</w:t>
      </w:r>
      <w:r w:rsidR="00B95AEB" w:rsidRPr="0030070C">
        <w:rPr>
          <w:rFonts w:ascii="Times New Roman" w:hAnsi="Times New Roman" w:cs="Times New Roman"/>
          <w:sz w:val="24"/>
          <w:szCs w:val="24"/>
        </w:rPr>
        <w:t>.</w:t>
      </w:r>
    </w:p>
    <w:p w14:paraId="7BE5EE17" w14:textId="66982200" w:rsidR="00F45275" w:rsidRPr="0030070C" w:rsidRDefault="00A32B2D" w:rsidP="00B77871">
      <w:pPr>
        <w:pStyle w:val="Akapitzlist"/>
        <w:numPr>
          <w:ilvl w:val="0"/>
          <w:numId w:val="11"/>
        </w:numPr>
        <w:spacing w:before="60" w:afterLines="60" w:after="144" w:line="276" w:lineRule="auto"/>
        <w:ind w:left="426" w:hanging="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BE0867">
        <w:rPr>
          <w:rFonts w:ascii="Times New Roman" w:hAnsi="Times New Roman" w:cs="Times New Roman"/>
          <w:sz w:val="24"/>
          <w:szCs w:val="24"/>
        </w:rPr>
        <w:t>2</w:t>
      </w:r>
      <w:r w:rsidR="00F83435">
        <w:rPr>
          <w:rFonts w:ascii="Times New Roman" w:hAnsi="Times New Roman" w:cs="Times New Roman"/>
          <w:sz w:val="24"/>
          <w:szCs w:val="24"/>
        </w:rPr>
        <w:t>1</w:t>
      </w:r>
      <w:r w:rsidR="00BE0867"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w:t>
      </w:r>
      <w:r w:rsidR="00F45275" w:rsidRPr="0030070C">
        <w:rPr>
          <w:rFonts w:ascii="Times New Roman" w:hAnsi="Times New Roman" w:cs="Times New Roman"/>
          <w:sz w:val="24"/>
          <w:szCs w:val="24"/>
        </w:rPr>
        <w:t>§21a:</w:t>
      </w:r>
      <w:r w:rsidR="00015AB9" w:rsidRPr="0030070C">
        <w:rPr>
          <w:rFonts w:ascii="Times New Roman" w:hAnsi="Times New Roman" w:cs="Times New Roman"/>
          <w:sz w:val="24"/>
          <w:szCs w:val="24"/>
        </w:rPr>
        <w:t xml:space="preserve"> nowy, rozbudowany </w:t>
      </w:r>
      <w:r w:rsidR="00F45275" w:rsidRPr="0030070C">
        <w:rPr>
          <w:rFonts w:ascii="Times New Roman" w:hAnsi="Times New Roman" w:cs="Times New Roman"/>
          <w:sz w:val="24"/>
          <w:szCs w:val="24"/>
        </w:rPr>
        <w:t xml:space="preserve">przepis ustanawia </w:t>
      </w:r>
      <w:r w:rsidR="00015AB9" w:rsidRPr="0030070C">
        <w:rPr>
          <w:rFonts w:ascii="Times New Roman" w:hAnsi="Times New Roman" w:cs="Times New Roman"/>
          <w:sz w:val="24"/>
          <w:szCs w:val="24"/>
        </w:rPr>
        <w:t xml:space="preserve">szczegółowe zasady </w:t>
      </w:r>
      <w:r w:rsidR="00F45275" w:rsidRPr="0030070C">
        <w:rPr>
          <w:rFonts w:ascii="Times New Roman" w:hAnsi="Times New Roman" w:cs="Times New Roman"/>
          <w:sz w:val="24"/>
          <w:szCs w:val="24"/>
        </w:rPr>
        <w:t xml:space="preserve">kształtowania CWD, CWO i CU </w:t>
      </w:r>
      <w:r w:rsidR="00015AB9" w:rsidRPr="0030070C">
        <w:rPr>
          <w:rFonts w:ascii="Times New Roman" w:hAnsi="Times New Roman" w:cs="Times New Roman"/>
          <w:sz w:val="24"/>
          <w:szCs w:val="24"/>
        </w:rPr>
        <w:t>odzwierciedlające specyfikę różnych technologii</w:t>
      </w:r>
      <w:r w:rsidR="00F45275" w:rsidRPr="0030070C">
        <w:rPr>
          <w:rFonts w:ascii="Times New Roman" w:hAnsi="Times New Roman" w:cs="Times New Roman"/>
          <w:sz w:val="24"/>
          <w:szCs w:val="24"/>
        </w:rPr>
        <w:t xml:space="preserve"> oraz</w:t>
      </w:r>
      <w:r w:rsidR="00015AB9" w:rsidRPr="0030070C">
        <w:rPr>
          <w:rFonts w:ascii="Times New Roman" w:hAnsi="Times New Roman" w:cs="Times New Roman"/>
          <w:sz w:val="24"/>
          <w:szCs w:val="24"/>
        </w:rPr>
        <w:t xml:space="preserve"> zapewniające większą niż dotychczas </w:t>
      </w:r>
      <w:r w:rsidR="001F0031" w:rsidRPr="0030070C">
        <w:rPr>
          <w:rFonts w:ascii="Times New Roman" w:hAnsi="Times New Roman" w:cs="Times New Roman"/>
          <w:sz w:val="24"/>
          <w:szCs w:val="24"/>
        </w:rPr>
        <w:t xml:space="preserve">poprawność i </w:t>
      </w:r>
      <w:r w:rsidR="00015AB9" w:rsidRPr="0030070C">
        <w:rPr>
          <w:rFonts w:ascii="Times New Roman" w:hAnsi="Times New Roman" w:cs="Times New Roman"/>
          <w:sz w:val="24"/>
          <w:szCs w:val="24"/>
        </w:rPr>
        <w:t>transparentność</w:t>
      </w:r>
      <w:r w:rsidR="00F45275" w:rsidRPr="0030070C">
        <w:rPr>
          <w:rFonts w:ascii="Times New Roman" w:hAnsi="Times New Roman" w:cs="Times New Roman"/>
          <w:sz w:val="24"/>
          <w:szCs w:val="24"/>
        </w:rPr>
        <w:t xml:space="preserve"> procesu ich ustalania. Zmiany obejmują</w:t>
      </w:r>
      <w:r w:rsidR="00FD57AB" w:rsidRPr="0030070C">
        <w:rPr>
          <w:rFonts w:ascii="Times New Roman" w:hAnsi="Times New Roman" w:cs="Times New Roman"/>
          <w:sz w:val="24"/>
          <w:szCs w:val="24"/>
        </w:rPr>
        <w:t xml:space="preserve"> m.in.</w:t>
      </w:r>
      <w:r w:rsidR="00F45275" w:rsidRPr="0030070C">
        <w:rPr>
          <w:rFonts w:ascii="Times New Roman" w:hAnsi="Times New Roman" w:cs="Times New Roman"/>
          <w:sz w:val="24"/>
          <w:szCs w:val="24"/>
        </w:rPr>
        <w:t>:</w:t>
      </w:r>
    </w:p>
    <w:p w14:paraId="0AA743A0" w14:textId="2E64A53C" w:rsidR="00F45275" w:rsidRPr="0030070C" w:rsidRDefault="00F45275" w:rsidP="00B77871">
      <w:pPr>
        <w:pStyle w:val="Akapitzlist"/>
        <w:numPr>
          <w:ilvl w:val="1"/>
          <w:numId w:val="11"/>
        </w:numPr>
        <w:tabs>
          <w:tab w:val="left" w:pos="284"/>
        </w:tabs>
        <w:spacing w:before="60" w:afterLines="60" w:after="144" w:line="276" w:lineRule="auto"/>
        <w:ind w:left="426" w:hanging="426"/>
        <w:mirrorIndents/>
        <w:rPr>
          <w:rFonts w:ascii="Times New Roman" w:hAnsi="Times New Roman" w:cs="Times New Roman"/>
          <w:sz w:val="24"/>
          <w:szCs w:val="24"/>
        </w:rPr>
      </w:pPr>
      <w:r w:rsidRPr="0030070C">
        <w:rPr>
          <w:rFonts w:ascii="Times New Roman" w:hAnsi="Times New Roman" w:cs="Times New Roman"/>
          <w:sz w:val="24"/>
          <w:szCs w:val="24"/>
        </w:rPr>
        <w:t xml:space="preserve">pozostawienie zasady mnożenia *1,05 przy wymuszonej dostawie i *0,95 przy wymuszonym odbiorze </w:t>
      </w:r>
      <w:r w:rsidR="000C49ED" w:rsidRPr="0030070C">
        <w:rPr>
          <w:rFonts w:ascii="Times New Roman" w:hAnsi="Times New Roman" w:cs="Times New Roman"/>
          <w:sz w:val="24"/>
          <w:szCs w:val="24"/>
        </w:rPr>
        <w:t>w odniesieniu</w:t>
      </w:r>
      <w:r w:rsidRPr="0030070C">
        <w:rPr>
          <w:rFonts w:ascii="Times New Roman" w:hAnsi="Times New Roman" w:cs="Times New Roman"/>
          <w:sz w:val="24"/>
          <w:szCs w:val="24"/>
        </w:rPr>
        <w:t xml:space="preserve"> do kosztu paliwa;</w:t>
      </w:r>
    </w:p>
    <w:p w14:paraId="2B227357" w14:textId="77777777" w:rsidR="00F45275" w:rsidRPr="0030070C" w:rsidRDefault="00F45275" w:rsidP="00B77871">
      <w:pPr>
        <w:pStyle w:val="Akapitzlist"/>
        <w:numPr>
          <w:ilvl w:val="1"/>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możliwość określenia różnych CWD i CWO dla różnych punktów pracy jednostek wytwórczych we względu na charakterystykę sprawności;</w:t>
      </w:r>
    </w:p>
    <w:p w14:paraId="2B5BAEDF" w14:textId="7D2ADDF9" w:rsidR="000C49ED" w:rsidRPr="0030070C" w:rsidRDefault="000C49ED" w:rsidP="00B77871">
      <w:pPr>
        <w:pStyle w:val="Akapitzlist"/>
        <w:numPr>
          <w:ilvl w:val="1"/>
          <w:numId w:val="11"/>
        </w:numPr>
        <w:spacing w:before="60" w:afterLines="60" w:after="144" w:line="276" w:lineRule="auto"/>
        <w:ind w:left="567" w:hanging="283"/>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uwzględnienie w metodyce </w:t>
      </w:r>
      <w:r w:rsidR="00F45275" w:rsidRPr="0030070C">
        <w:rPr>
          <w:rFonts w:ascii="Times New Roman" w:hAnsi="Times New Roman" w:cs="Times New Roman"/>
          <w:sz w:val="24"/>
          <w:szCs w:val="24"/>
        </w:rPr>
        <w:t xml:space="preserve">liczenia CWD i CWO </w:t>
      </w:r>
      <w:r w:rsidRPr="0030070C">
        <w:rPr>
          <w:rFonts w:ascii="Times New Roman" w:hAnsi="Times New Roman" w:cs="Times New Roman"/>
          <w:sz w:val="24"/>
          <w:szCs w:val="24"/>
        </w:rPr>
        <w:t xml:space="preserve">uwarunkowań </w:t>
      </w:r>
      <w:r w:rsidR="00F45275" w:rsidRPr="0030070C">
        <w:rPr>
          <w:rFonts w:ascii="Times New Roman" w:hAnsi="Times New Roman" w:cs="Times New Roman"/>
          <w:sz w:val="24"/>
          <w:szCs w:val="24"/>
        </w:rPr>
        <w:t>technologi</w:t>
      </w:r>
      <w:r w:rsidRPr="0030070C">
        <w:rPr>
          <w:rFonts w:ascii="Times New Roman" w:hAnsi="Times New Roman" w:cs="Times New Roman"/>
          <w:sz w:val="24"/>
          <w:szCs w:val="24"/>
        </w:rPr>
        <w:t>i innych</w:t>
      </w:r>
      <w:r w:rsidR="00F45275" w:rsidRPr="0030070C">
        <w:rPr>
          <w:rFonts w:ascii="Times New Roman" w:hAnsi="Times New Roman" w:cs="Times New Roman"/>
          <w:sz w:val="24"/>
          <w:szCs w:val="24"/>
        </w:rPr>
        <w:t xml:space="preserve"> niż elektrownie cieplne opalane węglem, w </w:t>
      </w:r>
      <w:r w:rsidRPr="0030070C">
        <w:rPr>
          <w:rFonts w:ascii="Times New Roman" w:hAnsi="Times New Roman" w:cs="Times New Roman"/>
          <w:sz w:val="24"/>
          <w:szCs w:val="24"/>
        </w:rPr>
        <w:t>szczególności uwzględniono:</w:t>
      </w:r>
    </w:p>
    <w:p w14:paraId="32F93841" w14:textId="12FF6244" w:rsidR="000C49ED" w:rsidRPr="0030070C" w:rsidRDefault="000C49ED" w:rsidP="00B77871">
      <w:pPr>
        <w:pStyle w:val="Akapitzlist"/>
        <w:numPr>
          <w:ilvl w:val="2"/>
          <w:numId w:val="11"/>
        </w:numPr>
        <w:spacing w:before="60" w:afterLines="60" w:after="144" w:line="276" w:lineRule="auto"/>
        <w:ind w:left="993" w:hanging="142"/>
        <w:mirrorIndents/>
        <w:jc w:val="both"/>
        <w:rPr>
          <w:rFonts w:ascii="Times New Roman" w:hAnsi="Times New Roman" w:cs="Times New Roman"/>
          <w:sz w:val="24"/>
          <w:szCs w:val="24"/>
        </w:rPr>
      </w:pPr>
      <w:r w:rsidRPr="0030070C">
        <w:rPr>
          <w:rFonts w:ascii="Times New Roman" w:hAnsi="Times New Roman" w:cs="Times New Roman"/>
          <w:sz w:val="24"/>
          <w:szCs w:val="24"/>
        </w:rPr>
        <w:lastRenderedPageBreak/>
        <w:t>wartość wsparcia uzyskiwanego w zależności od wolumenu generowanej energii (dla OZE i kogeneracji)</w:t>
      </w:r>
    </w:p>
    <w:p w14:paraId="37CE6A1E" w14:textId="16A0F554" w:rsidR="00F45275" w:rsidRPr="0030070C" w:rsidRDefault="00F45275" w:rsidP="00B77871">
      <w:pPr>
        <w:pStyle w:val="Akapitzlist"/>
        <w:numPr>
          <w:ilvl w:val="2"/>
          <w:numId w:val="11"/>
        </w:numPr>
        <w:spacing w:before="60" w:afterLines="60" w:after="144" w:line="276" w:lineRule="auto"/>
        <w:ind w:left="993" w:hanging="142"/>
        <w:mirrorIndents/>
        <w:jc w:val="both"/>
        <w:rPr>
          <w:rFonts w:ascii="Times New Roman" w:hAnsi="Times New Roman" w:cs="Times New Roman"/>
          <w:sz w:val="24"/>
          <w:szCs w:val="24"/>
        </w:rPr>
      </w:pPr>
      <w:r w:rsidRPr="0030070C">
        <w:rPr>
          <w:rFonts w:ascii="Times New Roman" w:hAnsi="Times New Roman" w:cs="Times New Roman"/>
          <w:sz w:val="24"/>
          <w:szCs w:val="24"/>
        </w:rPr>
        <w:t>specyficzne koszty ponoszone przez wytwórców gazowych w związku z bilansowaniem w</w:t>
      </w:r>
      <w:r w:rsidR="000C49ED" w:rsidRPr="0030070C">
        <w:rPr>
          <w:rFonts w:ascii="Times New Roman" w:hAnsi="Times New Roman" w:cs="Times New Roman"/>
          <w:sz w:val="24"/>
          <w:szCs w:val="24"/>
        </w:rPr>
        <w:t> </w:t>
      </w:r>
      <w:r w:rsidRPr="0030070C">
        <w:rPr>
          <w:rFonts w:ascii="Times New Roman" w:hAnsi="Times New Roman" w:cs="Times New Roman"/>
          <w:sz w:val="24"/>
          <w:szCs w:val="24"/>
        </w:rPr>
        <w:t>systemie gazowym;</w:t>
      </w:r>
    </w:p>
    <w:p w14:paraId="04C9D7BF" w14:textId="54F87A35" w:rsidR="00F45275" w:rsidRPr="0030070C" w:rsidRDefault="00F45275" w:rsidP="00B77871">
      <w:pPr>
        <w:pStyle w:val="Akapitzlist"/>
        <w:numPr>
          <w:ilvl w:val="1"/>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uporządkowanie i zobiektywizowanie procesu aktualizacji cen w celu zapewnienia przejrzystego, niedyskryminacyjnego mechanizmu; w przypadku paliw, których cena ustala się rynkowo, stosuje się cenę rynkową;</w:t>
      </w:r>
    </w:p>
    <w:p w14:paraId="5B75154D" w14:textId="160BAD2A" w:rsidR="00F45275" w:rsidRPr="0030070C" w:rsidRDefault="00F45275" w:rsidP="00B77871">
      <w:pPr>
        <w:pStyle w:val="Akapitzlist"/>
        <w:numPr>
          <w:ilvl w:val="1"/>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specyficzne zasady ustalania CWD i CWO dla magazynów energii elektrycznej, w przypadku których należy uwzględnić wartość rynkową energii elektrycznej oraz </w:t>
      </w:r>
      <w:r w:rsidR="00EA5226" w:rsidRPr="0030070C">
        <w:rPr>
          <w:rFonts w:ascii="Times New Roman" w:hAnsi="Times New Roman" w:cs="Times New Roman"/>
          <w:sz w:val="24"/>
          <w:szCs w:val="24"/>
        </w:rPr>
        <w:t>sprawność ładowania;</w:t>
      </w:r>
    </w:p>
    <w:p w14:paraId="58FEDFF9" w14:textId="142D8E4A" w:rsidR="00FD57AB" w:rsidRPr="0030070C" w:rsidRDefault="00FD57AB" w:rsidP="00B77871">
      <w:pPr>
        <w:pStyle w:val="Akapitzlist"/>
        <w:numPr>
          <w:ilvl w:val="1"/>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doprecyzowanie katalogu kosztów, np. wskazanie wprost kosztów składowania ubocznych produktów spalania;</w:t>
      </w:r>
    </w:p>
    <w:p w14:paraId="3E06FF97" w14:textId="15D0D74E" w:rsidR="005D0AAB" w:rsidRPr="0030070C" w:rsidRDefault="00A32B2D">
      <w:pPr>
        <w:pStyle w:val="Akapitzlist"/>
        <w:numPr>
          <w:ilvl w:val="0"/>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BE0867" w:rsidRPr="0030070C">
        <w:rPr>
          <w:rFonts w:ascii="Times New Roman" w:hAnsi="Times New Roman" w:cs="Times New Roman"/>
          <w:sz w:val="24"/>
          <w:szCs w:val="24"/>
        </w:rPr>
        <w:t>2</w:t>
      </w:r>
      <w:r w:rsidR="00F83435">
        <w:rPr>
          <w:rFonts w:ascii="Times New Roman" w:hAnsi="Times New Roman" w:cs="Times New Roman"/>
          <w:sz w:val="24"/>
          <w:szCs w:val="24"/>
        </w:rPr>
        <w:t>2</w:t>
      </w:r>
      <w:r w:rsidR="00BE0867"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w:t>
      </w:r>
      <w:r w:rsidR="005D0AAB" w:rsidRPr="0030070C">
        <w:rPr>
          <w:rFonts w:ascii="Times New Roman" w:hAnsi="Times New Roman" w:cs="Times New Roman"/>
          <w:sz w:val="24"/>
          <w:szCs w:val="24"/>
        </w:rPr>
        <w:t>§22</w:t>
      </w:r>
      <w:r w:rsidR="00516437" w:rsidRPr="0030070C">
        <w:rPr>
          <w:rFonts w:ascii="Times New Roman" w:hAnsi="Times New Roman" w:cs="Times New Roman"/>
          <w:sz w:val="24"/>
          <w:szCs w:val="24"/>
        </w:rPr>
        <w:t xml:space="preserve"> ust. 1-2</w:t>
      </w:r>
      <w:r w:rsidR="005F0A20" w:rsidRPr="0030070C">
        <w:rPr>
          <w:rFonts w:ascii="Times New Roman" w:hAnsi="Times New Roman" w:cs="Times New Roman"/>
          <w:sz w:val="24"/>
          <w:szCs w:val="24"/>
        </w:rPr>
        <w:t>: przepis</w:t>
      </w:r>
      <w:r w:rsidR="005D0AAB" w:rsidRPr="0030070C">
        <w:rPr>
          <w:rFonts w:ascii="Times New Roman" w:hAnsi="Times New Roman" w:cs="Times New Roman"/>
          <w:sz w:val="24"/>
          <w:szCs w:val="24"/>
        </w:rPr>
        <w:t xml:space="preserve"> dotychczas dotyczył wyłącznie tworzenia </w:t>
      </w:r>
      <w:r w:rsidR="005F0A20" w:rsidRPr="0030070C">
        <w:rPr>
          <w:rFonts w:ascii="Times New Roman" w:hAnsi="Times New Roman" w:cs="Times New Roman"/>
          <w:sz w:val="24"/>
          <w:szCs w:val="24"/>
        </w:rPr>
        <w:t xml:space="preserve">na szczególnych zasadach jednostek grafikowych </w:t>
      </w:r>
      <w:r w:rsidR="005D0AAB" w:rsidRPr="0030070C">
        <w:rPr>
          <w:rFonts w:ascii="Times New Roman" w:hAnsi="Times New Roman" w:cs="Times New Roman"/>
          <w:sz w:val="24"/>
          <w:szCs w:val="24"/>
        </w:rPr>
        <w:t>dla źródeł wiatrowych</w:t>
      </w:r>
      <w:r w:rsidR="005F0A20" w:rsidRPr="0030070C">
        <w:rPr>
          <w:rFonts w:ascii="Times New Roman" w:hAnsi="Times New Roman" w:cs="Times New Roman"/>
          <w:sz w:val="24"/>
          <w:szCs w:val="24"/>
        </w:rPr>
        <w:t xml:space="preserve">; zmieniony przepis </w:t>
      </w:r>
      <w:r w:rsidR="005D0AAB" w:rsidRPr="0030070C">
        <w:rPr>
          <w:rFonts w:ascii="Times New Roman" w:hAnsi="Times New Roman" w:cs="Times New Roman"/>
          <w:sz w:val="24"/>
          <w:szCs w:val="24"/>
        </w:rPr>
        <w:t xml:space="preserve">dotyczy tworzenia </w:t>
      </w:r>
      <w:r w:rsidR="005F0A20" w:rsidRPr="0030070C">
        <w:rPr>
          <w:rFonts w:ascii="Times New Roman" w:hAnsi="Times New Roman" w:cs="Times New Roman"/>
          <w:sz w:val="24"/>
          <w:szCs w:val="24"/>
        </w:rPr>
        <w:t xml:space="preserve">jednostek grafikowych </w:t>
      </w:r>
      <w:r w:rsidR="005D0AAB" w:rsidRPr="0030070C">
        <w:rPr>
          <w:rFonts w:ascii="Times New Roman" w:hAnsi="Times New Roman" w:cs="Times New Roman"/>
          <w:sz w:val="24"/>
          <w:szCs w:val="24"/>
        </w:rPr>
        <w:t>ak</w:t>
      </w:r>
      <w:r w:rsidR="005F0A20" w:rsidRPr="0030070C">
        <w:rPr>
          <w:rFonts w:ascii="Times New Roman" w:hAnsi="Times New Roman" w:cs="Times New Roman"/>
          <w:sz w:val="24"/>
          <w:szCs w:val="24"/>
        </w:rPr>
        <w:t>tywnych dla różnych technologii.</w:t>
      </w:r>
      <w:r w:rsidR="005D0AAB" w:rsidRPr="0030070C">
        <w:rPr>
          <w:rFonts w:ascii="Times New Roman" w:hAnsi="Times New Roman" w:cs="Times New Roman"/>
          <w:sz w:val="24"/>
          <w:szCs w:val="24"/>
        </w:rPr>
        <w:t xml:space="preserve"> </w:t>
      </w:r>
      <w:r w:rsidR="005F0A20" w:rsidRPr="0030070C">
        <w:rPr>
          <w:rFonts w:ascii="Times New Roman" w:hAnsi="Times New Roman" w:cs="Times New Roman"/>
          <w:sz w:val="24"/>
          <w:szCs w:val="24"/>
        </w:rPr>
        <w:t xml:space="preserve">Przepis </w:t>
      </w:r>
      <w:r w:rsidR="005D0AAB" w:rsidRPr="0030070C">
        <w:rPr>
          <w:rFonts w:ascii="Times New Roman" w:hAnsi="Times New Roman" w:cs="Times New Roman"/>
          <w:sz w:val="24"/>
          <w:szCs w:val="24"/>
        </w:rPr>
        <w:t xml:space="preserve">ustanawia minimalne wymogi uczestnictwa – </w:t>
      </w:r>
      <w:r w:rsidR="005F0A20" w:rsidRPr="0030070C">
        <w:rPr>
          <w:rFonts w:ascii="Times New Roman" w:hAnsi="Times New Roman" w:cs="Times New Roman"/>
          <w:sz w:val="24"/>
          <w:szCs w:val="24"/>
        </w:rPr>
        <w:t xml:space="preserve">próg </w:t>
      </w:r>
      <w:proofErr w:type="spellStart"/>
      <w:r w:rsidR="005F0A20" w:rsidRPr="0030070C">
        <w:rPr>
          <w:rFonts w:ascii="Times New Roman" w:hAnsi="Times New Roman" w:cs="Times New Roman"/>
          <w:sz w:val="24"/>
          <w:szCs w:val="24"/>
        </w:rPr>
        <w:t>mocowy</w:t>
      </w:r>
      <w:proofErr w:type="spellEnd"/>
      <w:r w:rsidR="005F0A20" w:rsidRPr="0030070C">
        <w:rPr>
          <w:rFonts w:ascii="Times New Roman" w:hAnsi="Times New Roman" w:cs="Times New Roman"/>
          <w:sz w:val="24"/>
          <w:szCs w:val="24"/>
        </w:rPr>
        <w:t xml:space="preserve"> </w:t>
      </w:r>
      <w:r w:rsidR="005D0AAB" w:rsidRPr="0030070C">
        <w:rPr>
          <w:rFonts w:ascii="Times New Roman" w:hAnsi="Times New Roman" w:cs="Times New Roman"/>
          <w:sz w:val="24"/>
          <w:szCs w:val="24"/>
        </w:rPr>
        <w:t>10 MW</w:t>
      </w:r>
      <w:r w:rsidR="005F0A20" w:rsidRPr="0030070C">
        <w:rPr>
          <w:rFonts w:ascii="Times New Roman" w:hAnsi="Times New Roman" w:cs="Times New Roman"/>
          <w:sz w:val="24"/>
          <w:szCs w:val="24"/>
        </w:rPr>
        <w:t xml:space="preserve"> mocy zainstalowanej w przypadku modułów parku energii, a więc jednostek połączonych z systemem niesynchronicznie, oraz mocy osiągalnej w przypadku pozostałych jednostek wytwórczych. Próg 10 MW odpowiada obecnym możliwościom planistycznym </w:t>
      </w:r>
      <w:r w:rsidR="005D0AAB" w:rsidRPr="0030070C">
        <w:rPr>
          <w:rFonts w:ascii="Times New Roman" w:hAnsi="Times New Roman" w:cs="Times New Roman"/>
          <w:sz w:val="24"/>
          <w:szCs w:val="24"/>
        </w:rPr>
        <w:t xml:space="preserve">po stronie </w:t>
      </w:r>
      <w:r w:rsidR="005F0A20" w:rsidRPr="0030070C">
        <w:rPr>
          <w:rFonts w:ascii="Times New Roman" w:hAnsi="Times New Roman" w:cs="Times New Roman"/>
          <w:sz w:val="24"/>
          <w:szCs w:val="24"/>
        </w:rPr>
        <w:t xml:space="preserve">operatorów systemu elektroenergetycznego. </w:t>
      </w:r>
      <w:r w:rsidR="003D0D83" w:rsidRPr="0030070C">
        <w:rPr>
          <w:rFonts w:ascii="Times New Roman" w:hAnsi="Times New Roman" w:cs="Times New Roman"/>
          <w:sz w:val="24"/>
          <w:szCs w:val="24"/>
        </w:rPr>
        <w:t xml:space="preserve">Należy przewidywać, że w miarę rozwoju rynku bilansującego i możliwości technicznych jego prowadzenia wymaganie dotyczące progu </w:t>
      </w:r>
      <w:proofErr w:type="spellStart"/>
      <w:r w:rsidR="003D0D83" w:rsidRPr="0030070C">
        <w:rPr>
          <w:rFonts w:ascii="Times New Roman" w:hAnsi="Times New Roman" w:cs="Times New Roman"/>
          <w:sz w:val="24"/>
          <w:szCs w:val="24"/>
        </w:rPr>
        <w:t>mocowego</w:t>
      </w:r>
      <w:proofErr w:type="spellEnd"/>
      <w:r w:rsidR="003D0D83" w:rsidRPr="0030070C">
        <w:rPr>
          <w:rFonts w:ascii="Times New Roman" w:hAnsi="Times New Roman" w:cs="Times New Roman"/>
          <w:sz w:val="24"/>
          <w:szCs w:val="24"/>
        </w:rPr>
        <w:t xml:space="preserve"> będzie łagodzone. </w:t>
      </w:r>
      <w:r w:rsidR="005F0A20" w:rsidRPr="0030070C">
        <w:rPr>
          <w:rFonts w:ascii="Times New Roman" w:hAnsi="Times New Roman" w:cs="Times New Roman"/>
          <w:sz w:val="24"/>
          <w:szCs w:val="24"/>
        </w:rPr>
        <w:t xml:space="preserve">Przepis ustanawia także zasadę, że agregowanie zasobów w celu utworzenia jednostki grafikowej aktywnej jest dopuszczalne co najwyżej w ramach jednego węzła sieci </w:t>
      </w:r>
      <w:r w:rsidR="003D0D83" w:rsidRPr="0030070C">
        <w:rPr>
          <w:rFonts w:ascii="Times New Roman" w:hAnsi="Times New Roman" w:cs="Times New Roman"/>
          <w:sz w:val="24"/>
          <w:szCs w:val="24"/>
        </w:rPr>
        <w:t xml:space="preserve">przesyłowej, sieci 110kV albo </w:t>
      </w:r>
      <w:r w:rsidR="005D0AAB" w:rsidRPr="0030070C">
        <w:rPr>
          <w:rFonts w:ascii="Times New Roman" w:hAnsi="Times New Roman" w:cs="Times New Roman"/>
          <w:sz w:val="24"/>
          <w:szCs w:val="24"/>
        </w:rPr>
        <w:t xml:space="preserve">110 </w:t>
      </w:r>
      <w:proofErr w:type="spellStart"/>
      <w:r w:rsidR="005D0AAB" w:rsidRPr="0030070C">
        <w:rPr>
          <w:rFonts w:ascii="Times New Roman" w:hAnsi="Times New Roman" w:cs="Times New Roman"/>
          <w:sz w:val="24"/>
          <w:szCs w:val="24"/>
        </w:rPr>
        <w:t>kV</w:t>
      </w:r>
      <w:proofErr w:type="spellEnd"/>
      <w:r w:rsidR="005D0AAB" w:rsidRPr="0030070C">
        <w:rPr>
          <w:rFonts w:ascii="Times New Roman" w:hAnsi="Times New Roman" w:cs="Times New Roman"/>
          <w:sz w:val="24"/>
          <w:szCs w:val="24"/>
        </w:rPr>
        <w:t xml:space="preserve">/SN, </w:t>
      </w:r>
      <w:r w:rsidR="003D0D83" w:rsidRPr="0030070C">
        <w:rPr>
          <w:rFonts w:ascii="Times New Roman" w:hAnsi="Times New Roman" w:cs="Times New Roman"/>
          <w:sz w:val="24"/>
          <w:szCs w:val="24"/>
        </w:rPr>
        <w:t xml:space="preserve">w celu poprawnego zamodelowania zmiany rozpływów mocy w systemie w związku z realizacją polecenia </w:t>
      </w:r>
      <w:proofErr w:type="spellStart"/>
      <w:r w:rsidR="003D0D83" w:rsidRPr="0030070C">
        <w:rPr>
          <w:rFonts w:ascii="Times New Roman" w:hAnsi="Times New Roman" w:cs="Times New Roman"/>
          <w:sz w:val="24"/>
          <w:szCs w:val="24"/>
        </w:rPr>
        <w:t>OSPe</w:t>
      </w:r>
      <w:proofErr w:type="spellEnd"/>
      <w:r w:rsidR="003D0D83" w:rsidRPr="0030070C">
        <w:rPr>
          <w:rFonts w:ascii="Times New Roman" w:hAnsi="Times New Roman" w:cs="Times New Roman"/>
          <w:sz w:val="24"/>
          <w:szCs w:val="24"/>
        </w:rPr>
        <w:t>;</w:t>
      </w:r>
      <w:r w:rsidR="005F0A20" w:rsidRPr="0030070C">
        <w:rPr>
          <w:rFonts w:ascii="Times New Roman" w:hAnsi="Times New Roman" w:cs="Times New Roman"/>
          <w:sz w:val="24"/>
          <w:szCs w:val="24"/>
        </w:rPr>
        <w:t xml:space="preserve"> </w:t>
      </w:r>
    </w:p>
    <w:p w14:paraId="2EBDD487" w14:textId="3A9F22D5" w:rsidR="005D0AAB" w:rsidRPr="0030070C" w:rsidRDefault="00A32B2D">
      <w:pPr>
        <w:pStyle w:val="Akapitzlist"/>
        <w:numPr>
          <w:ilvl w:val="0"/>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pkt 2</w:t>
      </w:r>
      <w:r w:rsidR="006A76EE">
        <w:rPr>
          <w:rFonts w:ascii="Times New Roman" w:hAnsi="Times New Roman" w:cs="Times New Roman"/>
          <w:sz w:val="24"/>
          <w:szCs w:val="24"/>
        </w:rPr>
        <w:t>2</w:t>
      </w:r>
      <w:r w:rsidRPr="0030070C">
        <w:rPr>
          <w:rFonts w:ascii="Times New Roman" w:hAnsi="Times New Roman" w:cs="Times New Roman"/>
          <w:sz w:val="24"/>
          <w:szCs w:val="24"/>
        </w:rPr>
        <w:t xml:space="preserve"> cd. – </w:t>
      </w:r>
      <w:r w:rsidR="005D0AAB" w:rsidRPr="0030070C">
        <w:rPr>
          <w:rFonts w:ascii="Times New Roman" w:hAnsi="Times New Roman" w:cs="Times New Roman"/>
          <w:sz w:val="24"/>
          <w:szCs w:val="24"/>
        </w:rPr>
        <w:t xml:space="preserve">§22 </w:t>
      </w:r>
      <w:r w:rsidR="00516437" w:rsidRPr="0030070C">
        <w:rPr>
          <w:rFonts w:ascii="Times New Roman" w:hAnsi="Times New Roman" w:cs="Times New Roman"/>
          <w:sz w:val="24"/>
          <w:szCs w:val="24"/>
        </w:rPr>
        <w:t>ust. 3-4:</w:t>
      </w:r>
      <w:r w:rsidR="005D0AAB" w:rsidRPr="0030070C">
        <w:rPr>
          <w:rFonts w:ascii="Times New Roman" w:hAnsi="Times New Roman" w:cs="Times New Roman"/>
          <w:sz w:val="24"/>
          <w:szCs w:val="24"/>
        </w:rPr>
        <w:t xml:space="preserve"> utrzymuje się zasadę, </w:t>
      </w:r>
      <w:r w:rsidR="004354FE" w:rsidRPr="0030070C">
        <w:rPr>
          <w:rFonts w:ascii="Times New Roman" w:hAnsi="Times New Roman" w:cs="Times New Roman"/>
          <w:sz w:val="24"/>
          <w:szCs w:val="24"/>
        </w:rPr>
        <w:t>zgodnie z którą</w:t>
      </w:r>
      <w:r w:rsidR="005D0AAB" w:rsidRPr="0030070C">
        <w:rPr>
          <w:rFonts w:ascii="Times New Roman" w:hAnsi="Times New Roman" w:cs="Times New Roman"/>
          <w:sz w:val="24"/>
          <w:szCs w:val="24"/>
        </w:rPr>
        <w:t xml:space="preserve"> JWCD</w:t>
      </w:r>
      <w:r w:rsidR="004354FE" w:rsidRPr="0030070C">
        <w:rPr>
          <w:rFonts w:ascii="Times New Roman" w:hAnsi="Times New Roman" w:cs="Times New Roman"/>
          <w:sz w:val="24"/>
          <w:szCs w:val="24"/>
        </w:rPr>
        <w:t>, ze względu na swoją szczególną rolę w</w:t>
      </w:r>
      <w:r w:rsidR="000C49ED" w:rsidRPr="0030070C">
        <w:rPr>
          <w:rFonts w:ascii="Times New Roman" w:hAnsi="Times New Roman" w:cs="Times New Roman"/>
          <w:sz w:val="24"/>
          <w:szCs w:val="24"/>
        </w:rPr>
        <w:t> </w:t>
      </w:r>
      <w:r w:rsidR="004354FE" w:rsidRPr="0030070C">
        <w:rPr>
          <w:rFonts w:ascii="Times New Roman" w:hAnsi="Times New Roman" w:cs="Times New Roman"/>
          <w:sz w:val="24"/>
          <w:szCs w:val="24"/>
        </w:rPr>
        <w:t>systemie elektroenergetycznym,</w:t>
      </w:r>
      <w:r w:rsidR="005D0AAB" w:rsidRPr="0030070C">
        <w:rPr>
          <w:rFonts w:ascii="Times New Roman" w:hAnsi="Times New Roman" w:cs="Times New Roman"/>
          <w:sz w:val="24"/>
          <w:szCs w:val="24"/>
        </w:rPr>
        <w:t xml:space="preserve"> </w:t>
      </w:r>
      <w:r w:rsidR="004354FE" w:rsidRPr="0030070C">
        <w:rPr>
          <w:rFonts w:ascii="Times New Roman" w:hAnsi="Times New Roman" w:cs="Times New Roman"/>
          <w:sz w:val="24"/>
          <w:szCs w:val="24"/>
        </w:rPr>
        <w:t xml:space="preserve">oferują na rynku bilansującym </w:t>
      </w:r>
      <w:r w:rsidR="005D0AAB" w:rsidRPr="0030070C">
        <w:rPr>
          <w:rFonts w:ascii="Times New Roman" w:hAnsi="Times New Roman" w:cs="Times New Roman"/>
          <w:sz w:val="24"/>
          <w:szCs w:val="24"/>
        </w:rPr>
        <w:t>pełną moc</w:t>
      </w:r>
      <w:r w:rsidR="004354FE" w:rsidRPr="0030070C">
        <w:rPr>
          <w:rFonts w:ascii="Times New Roman" w:hAnsi="Times New Roman" w:cs="Times New Roman"/>
          <w:sz w:val="24"/>
          <w:szCs w:val="24"/>
        </w:rPr>
        <w:t xml:space="preserve"> dyspozycyjną. W</w:t>
      </w:r>
      <w:r w:rsidR="000C49ED" w:rsidRPr="0030070C">
        <w:rPr>
          <w:rFonts w:ascii="Times New Roman" w:hAnsi="Times New Roman" w:cs="Times New Roman"/>
          <w:sz w:val="24"/>
          <w:szCs w:val="24"/>
        </w:rPr>
        <w:t> </w:t>
      </w:r>
      <w:r w:rsidR="004354FE" w:rsidRPr="0030070C">
        <w:rPr>
          <w:rFonts w:ascii="Times New Roman" w:hAnsi="Times New Roman" w:cs="Times New Roman"/>
          <w:sz w:val="24"/>
          <w:szCs w:val="24"/>
        </w:rPr>
        <w:t>przypadku jednostek grafikowych aktywnych reprezentujących inne zasoby takie rozwiązanie nie</w:t>
      </w:r>
      <w:r w:rsidR="000C49ED" w:rsidRPr="0030070C">
        <w:rPr>
          <w:rFonts w:ascii="Times New Roman" w:hAnsi="Times New Roman" w:cs="Times New Roman"/>
          <w:sz w:val="24"/>
          <w:szCs w:val="24"/>
        </w:rPr>
        <w:t> </w:t>
      </w:r>
      <w:r w:rsidR="004354FE" w:rsidRPr="0030070C">
        <w:rPr>
          <w:rFonts w:ascii="Times New Roman" w:hAnsi="Times New Roman" w:cs="Times New Roman"/>
          <w:sz w:val="24"/>
          <w:szCs w:val="24"/>
        </w:rPr>
        <w:t>jest ani technicznie możliwe (np. w przypadku elektrociepłowni), ani uzasadnione (np.</w:t>
      </w:r>
      <w:r w:rsidR="000C49ED" w:rsidRPr="0030070C">
        <w:rPr>
          <w:rFonts w:ascii="Times New Roman" w:hAnsi="Times New Roman" w:cs="Times New Roman"/>
          <w:sz w:val="24"/>
          <w:szCs w:val="24"/>
        </w:rPr>
        <w:t> </w:t>
      </w:r>
      <w:r w:rsidR="004354FE" w:rsidRPr="0030070C">
        <w:rPr>
          <w:rFonts w:ascii="Times New Roman" w:hAnsi="Times New Roman" w:cs="Times New Roman"/>
          <w:sz w:val="24"/>
          <w:szCs w:val="24"/>
        </w:rPr>
        <w:t>w</w:t>
      </w:r>
      <w:r w:rsidR="000C49ED" w:rsidRPr="0030070C">
        <w:rPr>
          <w:rFonts w:ascii="Times New Roman" w:hAnsi="Times New Roman" w:cs="Times New Roman"/>
          <w:sz w:val="24"/>
          <w:szCs w:val="24"/>
        </w:rPr>
        <w:t> </w:t>
      </w:r>
      <w:r w:rsidR="004354FE" w:rsidRPr="0030070C">
        <w:rPr>
          <w:rFonts w:ascii="Times New Roman" w:hAnsi="Times New Roman" w:cs="Times New Roman"/>
          <w:sz w:val="24"/>
          <w:szCs w:val="24"/>
        </w:rPr>
        <w:t xml:space="preserve">przypadku jednostek OZE). W związku z tym </w:t>
      </w:r>
      <w:r w:rsidR="005D0AAB" w:rsidRPr="0030070C">
        <w:rPr>
          <w:rFonts w:ascii="Times New Roman" w:hAnsi="Times New Roman" w:cs="Times New Roman"/>
          <w:sz w:val="24"/>
          <w:szCs w:val="24"/>
        </w:rPr>
        <w:t xml:space="preserve">WDB </w:t>
      </w:r>
      <w:r w:rsidR="004354FE" w:rsidRPr="0030070C">
        <w:rPr>
          <w:rFonts w:ascii="Times New Roman" w:hAnsi="Times New Roman" w:cs="Times New Roman"/>
          <w:sz w:val="24"/>
          <w:szCs w:val="24"/>
        </w:rPr>
        <w:t xml:space="preserve">powinny określać </w:t>
      </w:r>
      <w:r w:rsidR="005D0AAB" w:rsidRPr="0030070C">
        <w:rPr>
          <w:rFonts w:ascii="Times New Roman" w:hAnsi="Times New Roman" w:cs="Times New Roman"/>
          <w:sz w:val="24"/>
          <w:szCs w:val="24"/>
        </w:rPr>
        <w:t>w tym zakresie szczegółowe zasady, w tym zakres aktywności –</w:t>
      </w:r>
      <w:r w:rsidR="004354FE" w:rsidRPr="0030070C">
        <w:rPr>
          <w:rFonts w:ascii="Times New Roman" w:hAnsi="Times New Roman" w:cs="Times New Roman"/>
          <w:sz w:val="24"/>
          <w:szCs w:val="24"/>
        </w:rPr>
        <w:t xml:space="preserve"> a zatem sposób, w jaki </w:t>
      </w:r>
      <w:r w:rsidR="005D0AAB" w:rsidRPr="0030070C">
        <w:rPr>
          <w:rFonts w:ascii="Times New Roman" w:hAnsi="Times New Roman" w:cs="Times New Roman"/>
          <w:sz w:val="24"/>
          <w:szCs w:val="24"/>
        </w:rPr>
        <w:t xml:space="preserve">mniejsze </w:t>
      </w:r>
      <w:r w:rsidR="004354FE" w:rsidRPr="0030070C">
        <w:rPr>
          <w:rFonts w:ascii="Times New Roman" w:hAnsi="Times New Roman" w:cs="Times New Roman"/>
          <w:sz w:val="24"/>
          <w:szCs w:val="24"/>
        </w:rPr>
        <w:t xml:space="preserve">jednostki grafikowe aktywne </w:t>
      </w:r>
      <w:r w:rsidR="005D0AAB" w:rsidRPr="0030070C">
        <w:rPr>
          <w:rFonts w:ascii="Times New Roman" w:hAnsi="Times New Roman" w:cs="Times New Roman"/>
          <w:sz w:val="24"/>
          <w:szCs w:val="24"/>
        </w:rPr>
        <w:t>wykonują obowiązki nałożone na JWCD</w:t>
      </w:r>
      <w:r w:rsidR="004354FE" w:rsidRPr="0030070C">
        <w:rPr>
          <w:rFonts w:ascii="Times New Roman" w:hAnsi="Times New Roman" w:cs="Times New Roman"/>
          <w:sz w:val="24"/>
          <w:szCs w:val="24"/>
        </w:rPr>
        <w:t>;</w:t>
      </w:r>
    </w:p>
    <w:p w14:paraId="7CCE8E73" w14:textId="7F12EAFD" w:rsidR="005D0AAB" w:rsidRPr="0030070C" w:rsidRDefault="00A32B2D">
      <w:pPr>
        <w:pStyle w:val="Akapitzlist"/>
        <w:numPr>
          <w:ilvl w:val="0"/>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pkt 2</w:t>
      </w:r>
      <w:r w:rsidR="006A76EE">
        <w:rPr>
          <w:rFonts w:ascii="Times New Roman" w:hAnsi="Times New Roman" w:cs="Times New Roman"/>
          <w:sz w:val="24"/>
          <w:szCs w:val="24"/>
        </w:rPr>
        <w:t>3</w:t>
      </w:r>
      <w:r w:rsidRPr="0030070C">
        <w:rPr>
          <w:rFonts w:ascii="Times New Roman" w:hAnsi="Times New Roman" w:cs="Times New Roman"/>
          <w:sz w:val="24"/>
          <w:szCs w:val="24"/>
        </w:rPr>
        <w:t xml:space="preserve"> – </w:t>
      </w:r>
      <w:r w:rsidR="005D0AAB" w:rsidRPr="0030070C">
        <w:rPr>
          <w:rFonts w:ascii="Times New Roman" w:hAnsi="Times New Roman" w:cs="Times New Roman"/>
          <w:sz w:val="24"/>
          <w:szCs w:val="24"/>
        </w:rPr>
        <w:t>§23</w:t>
      </w:r>
      <w:r w:rsidR="00516437" w:rsidRPr="0030070C">
        <w:rPr>
          <w:rFonts w:ascii="Times New Roman" w:hAnsi="Times New Roman" w:cs="Times New Roman"/>
          <w:sz w:val="24"/>
          <w:szCs w:val="24"/>
        </w:rPr>
        <w:t>:</w:t>
      </w:r>
      <w:r w:rsidR="005D0AAB" w:rsidRPr="0030070C">
        <w:rPr>
          <w:rFonts w:ascii="Times New Roman" w:hAnsi="Times New Roman" w:cs="Times New Roman"/>
          <w:sz w:val="24"/>
          <w:szCs w:val="24"/>
        </w:rPr>
        <w:t xml:space="preserve"> </w:t>
      </w:r>
      <w:r w:rsidR="00516437" w:rsidRPr="0030070C">
        <w:rPr>
          <w:rFonts w:ascii="Times New Roman" w:hAnsi="Times New Roman" w:cs="Times New Roman"/>
          <w:sz w:val="24"/>
          <w:szCs w:val="24"/>
        </w:rPr>
        <w:t xml:space="preserve">przepis </w:t>
      </w:r>
      <w:r w:rsidR="005D0AAB" w:rsidRPr="0030070C">
        <w:rPr>
          <w:rFonts w:ascii="Times New Roman" w:hAnsi="Times New Roman" w:cs="Times New Roman"/>
          <w:sz w:val="24"/>
          <w:szCs w:val="24"/>
        </w:rPr>
        <w:t xml:space="preserve">uchyla się ze względu na niezgodność pojęć </w:t>
      </w:r>
      <w:r w:rsidR="001A4DFE" w:rsidRPr="0030070C">
        <w:rPr>
          <w:rFonts w:ascii="Times New Roman" w:hAnsi="Times New Roman" w:cs="Times New Roman"/>
          <w:sz w:val="24"/>
          <w:szCs w:val="24"/>
        </w:rPr>
        <w:t xml:space="preserve">(zakres pojęciowy „bilansowania” nie obejmuje </w:t>
      </w:r>
      <w:r w:rsidR="005D0AAB" w:rsidRPr="0030070C">
        <w:rPr>
          <w:rFonts w:ascii="Times New Roman" w:hAnsi="Times New Roman" w:cs="Times New Roman"/>
          <w:sz w:val="24"/>
          <w:szCs w:val="24"/>
        </w:rPr>
        <w:t xml:space="preserve">zarządzanie </w:t>
      </w:r>
      <w:r w:rsidR="001A4DFE" w:rsidRPr="0030070C">
        <w:rPr>
          <w:rFonts w:ascii="Times New Roman" w:hAnsi="Times New Roman" w:cs="Times New Roman"/>
          <w:sz w:val="24"/>
          <w:szCs w:val="24"/>
        </w:rPr>
        <w:t>mocą bierną);</w:t>
      </w:r>
    </w:p>
    <w:p w14:paraId="0DDF201E" w14:textId="5D720BA8" w:rsidR="005D0AAB" w:rsidRPr="0030070C" w:rsidRDefault="00A32B2D">
      <w:pPr>
        <w:pStyle w:val="Akapitzlist"/>
        <w:numPr>
          <w:ilvl w:val="0"/>
          <w:numId w:val="11"/>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sz w:val="24"/>
          <w:szCs w:val="24"/>
        </w:rPr>
        <w:t>pkt 2</w:t>
      </w:r>
      <w:r w:rsidR="006A76EE">
        <w:rPr>
          <w:rFonts w:ascii="Times New Roman" w:hAnsi="Times New Roman" w:cs="Times New Roman"/>
          <w:sz w:val="24"/>
          <w:szCs w:val="24"/>
        </w:rPr>
        <w:t>4</w:t>
      </w:r>
      <w:r w:rsidRPr="0030070C">
        <w:rPr>
          <w:rFonts w:ascii="Times New Roman" w:hAnsi="Times New Roman" w:cs="Times New Roman"/>
          <w:sz w:val="24"/>
          <w:szCs w:val="24"/>
        </w:rPr>
        <w:t xml:space="preserve"> – </w:t>
      </w:r>
      <w:r w:rsidR="005D0AAB" w:rsidRPr="0030070C">
        <w:rPr>
          <w:rFonts w:ascii="Times New Roman" w:hAnsi="Times New Roman" w:cs="Times New Roman"/>
          <w:sz w:val="24"/>
          <w:szCs w:val="24"/>
        </w:rPr>
        <w:t>§23a</w:t>
      </w:r>
      <w:r w:rsidR="004354FE" w:rsidRPr="0030070C">
        <w:rPr>
          <w:rFonts w:ascii="Times New Roman" w:hAnsi="Times New Roman" w:cs="Times New Roman"/>
          <w:sz w:val="24"/>
          <w:szCs w:val="24"/>
        </w:rPr>
        <w:t xml:space="preserve">: przepis nakłada na </w:t>
      </w:r>
      <w:proofErr w:type="spellStart"/>
      <w:r w:rsidR="004354FE" w:rsidRPr="0030070C">
        <w:rPr>
          <w:rFonts w:ascii="Times New Roman" w:hAnsi="Times New Roman" w:cs="Times New Roman"/>
          <w:sz w:val="24"/>
          <w:szCs w:val="24"/>
        </w:rPr>
        <w:t>OSPe</w:t>
      </w:r>
      <w:proofErr w:type="spellEnd"/>
      <w:r w:rsidR="004354FE" w:rsidRPr="0030070C">
        <w:rPr>
          <w:rFonts w:ascii="Times New Roman" w:hAnsi="Times New Roman" w:cs="Times New Roman"/>
          <w:sz w:val="24"/>
          <w:szCs w:val="24"/>
        </w:rPr>
        <w:t xml:space="preserve"> </w:t>
      </w:r>
      <w:r w:rsidR="005D0AAB" w:rsidRPr="0030070C">
        <w:rPr>
          <w:rFonts w:ascii="Times New Roman" w:hAnsi="Times New Roman" w:cs="Times New Roman"/>
          <w:sz w:val="24"/>
          <w:szCs w:val="24"/>
        </w:rPr>
        <w:t xml:space="preserve">obowiązek określenia zasad rozliczeń w sposób zgodny z przepisami rozporządzenia – </w:t>
      </w:r>
      <w:r w:rsidR="004354FE" w:rsidRPr="0030070C">
        <w:rPr>
          <w:rFonts w:ascii="Times New Roman" w:hAnsi="Times New Roman" w:cs="Times New Roman"/>
          <w:sz w:val="24"/>
          <w:szCs w:val="24"/>
        </w:rPr>
        <w:t>tym samym wyznacza</w:t>
      </w:r>
      <w:r w:rsidR="005D0AAB" w:rsidRPr="0030070C">
        <w:rPr>
          <w:rFonts w:ascii="Times New Roman" w:hAnsi="Times New Roman" w:cs="Times New Roman"/>
          <w:sz w:val="24"/>
          <w:szCs w:val="24"/>
        </w:rPr>
        <w:t xml:space="preserve"> ramy, w jakich </w:t>
      </w:r>
      <w:proofErr w:type="spellStart"/>
      <w:r w:rsidR="005D0AAB" w:rsidRPr="0030070C">
        <w:rPr>
          <w:rFonts w:ascii="Times New Roman" w:hAnsi="Times New Roman" w:cs="Times New Roman"/>
          <w:sz w:val="24"/>
          <w:szCs w:val="24"/>
        </w:rPr>
        <w:t>OSPe</w:t>
      </w:r>
      <w:proofErr w:type="spellEnd"/>
      <w:r w:rsidR="005D0AAB" w:rsidRPr="0030070C">
        <w:rPr>
          <w:rFonts w:ascii="Times New Roman" w:hAnsi="Times New Roman" w:cs="Times New Roman"/>
          <w:sz w:val="24"/>
          <w:szCs w:val="24"/>
        </w:rPr>
        <w:t xml:space="preserve"> </w:t>
      </w:r>
      <w:r w:rsidR="00D60759" w:rsidRPr="0030070C">
        <w:rPr>
          <w:rFonts w:ascii="Times New Roman" w:hAnsi="Times New Roman" w:cs="Times New Roman"/>
          <w:sz w:val="24"/>
          <w:szCs w:val="24"/>
        </w:rPr>
        <w:t>ma się poruszać</w:t>
      </w:r>
      <w:r w:rsidR="005D0AAB" w:rsidRPr="0030070C">
        <w:rPr>
          <w:rFonts w:ascii="Times New Roman" w:hAnsi="Times New Roman" w:cs="Times New Roman"/>
          <w:sz w:val="24"/>
          <w:szCs w:val="24"/>
        </w:rPr>
        <w:t xml:space="preserve"> się opracowując WDB</w:t>
      </w:r>
      <w:r w:rsidR="00D60759" w:rsidRPr="0030070C">
        <w:rPr>
          <w:rFonts w:ascii="Times New Roman" w:hAnsi="Times New Roman" w:cs="Times New Roman"/>
          <w:sz w:val="24"/>
          <w:szCs w:val="24"/>
        </w:rPr>
        <w:t xml:space="preserve"> zgodnie z ich </w:t>
      </w:r>
      <w:r w:rsidR="005D0AAB" w:rsidRPr="0030070C">
        <w:rPr>
          <w:rFonts w:ascii="Times New Roman" w:hAnsi="Times New Roman" w:cs="Times New Roman"/>
          <w:sz w:val="24"/>
          <w:szCs w:val="24"/>
        </w:rPr>
        <w:t>zakres</w:t>
      </w:r>
      <w:r w:rsidR="00D60759" w:rsidRPr="0030070C">
        <w:rPr>
          <w:rFonts w:ascii="Times New Roman" w:hAnsi="Times New Roman" w:cs="Times New Roman"/>
          <w:sz w:val="24"/>
          <w:szCs w:val="24"/>
        </w:rPr>
        <w:t>em</w:t>
      </w:r>
      <w:r w:rsidR="005D0AAB" w:rsidRPr="0030070C">
        <w:rPr>
          <w:rFonts w:ascii="Times New Roman" w:hAnsi="Times New Roman" w:cs="Times New Roman"/>
          <w:sz w:val="24"/>
          <w:szCs w:val="24"/>
        </w:rPr>
        <w:t xml:space="preserve"> przedmiotowy</w:t>
      </w:r>
      <w:r w:rsidR="00D60759" w:rsidRPr="0030070C">
        <w:rPr>
          <w:rFonts w:ascii="Times New Roman" w:hAnsi="Times New Roman" w:cs="Times New Roman"/>
          <w:sz w:val="24"/>
          <w:szCs w:val="24"/>
        </w:rPr>
        <w:t>m</w:t>
      </w:r>
      <w:r w:rsidR="005D0AAB" w:rsidRPr="0030070C">
        <w:rPr>
          <w:rFonts w:ascii="Times New Roman" w:hAnsi="Times New Roman" w:cs="Times New Roman"/>
          <w:sz w:val="24"/>
          <w:szCs w:val="24"/>
        </w:rPr>
        <w:t xml:space="preserve"> </w:t>
      </w:r>
      <w:r w:rsidR="00D60759" w:rsidRPr="0030070C">
        <w:rPr>
          <w:rFonts w:ascii="Times New Roman" w:hAnsi="Times New Roman" w:cs="Times New Roman"/>
          <w:sz w:val="24"/>
          <w:szCs w:val="24"/>
        </w:rPr>
        <w:t xml:space="preserve">określonym w </w:t>
      </w:r>
      <w:r w:rsidR="005D0AAB" w:rsidRPr="0030070C">
        <w:rPr>
          <w:rFonts w:ascii="Times New Roman" w:hAnsi="Times New Roman" w:cs="Times New Roman"/>
          <w:sz w:val="24"/>
          <w:szCs w:val="24"/>
        </w:rPr>
        <w:t>EB GL (por. art. 18 ust. 4 lit. f EB GL).</w:t>
      </w:r>
    </w:p>
    <w:p w14:paraId="0EABBA41" w14:textId="77777777" w:rsidR="005D0AAB" w:rsidRPr="0030070C" w:rsidRDefault="005D0AAB">
      <w:pPr>
        <w:pStyle w:val="Akapitzlist"/>
        <w:spacing w:before="60" w:afterLines="60" w:after="144" w:line="276" w:lineRule="auto"/>
        <w:mirrorIndents/>
        <w:jc w:val="both"/>
        <w:rPr>
          <w:rFonts w:ascii="Times New Roman" w:hAnsi="Times New Roman" w:cs="Times New Roman"/>
          <w:b/>
          <w:sz w:val="24"/>
          <w:szCs w:val="24"/>
        </w:rPr>
      </w:pPr>
    </w:p>
    <w:p w14:paraId="40DF2FBE" w14:textId="6D15143F" w:rsidR="00264C69" w:rsidRPr="0030070C" w:rsidRDefault="004028E0">
      <w:pPr>
        <w:pStyle w:val="Akapitzlist"/>
        <w:numPr>
          <w:ilvl w:val="1"/>
          <w:numId w:val="2"/>
        </w:numPr>
        <w:spacing w:before="60" w:afterLines="60" w:after="144" w:line="276" w:lineRule="auto"/>
        <w:ind w:hanging="720"/>
        <w:mirrorIndents/>
        <w:jc w:val="both"/>
        <w:rPr>
          <w:rFonts w:ascii="Times New Roman" w:hAnsi="Times New Roman" w:cs="Times New Roman"/>
          <w:sz w:val="24"/>
          <w:szCs w:val="24"/>
        </w:rPr>
      </w:pPr>
      <w:r w:rsidRPr="0030070C">
        <w:rPr>
          <w:rFonts w:ascii="Times New Roman" w:hAnsi="Times New Roman" w:cs="Times New Roman"/>
          <w:b/>
          <w:sz w:val="24"/>
          <w:szCs w:val="24"/>
        </w:rPr>
        <w:t>Zmiany w części dot. zarządzania ograniczeniami</w:t>
      </w:r>
    </w:p>
    <w:p w14:paraId="5CB69D69" w14:textId="55BA6642" w:rsidR="005D0AAB" w:rsidRPr="0030070C" w:rsidRDefault="00F53713">
      <w:pPr>
        <w:pStyle w:val="Akapitzlist"/>
        <w:numPr>
          <w:ilvl w:val="0"/>
          <w:numId w:val="12"/>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lastRenderedPageBreak/>
        <w:t>pkt 2</w:t>
      </w:r>
      <w:r w:rsidR="006A76EE">
        <w:rPr>
          <w:rFonts w:ascii="Times New Roman" w:hAnsi="Times New Roman" w:cs="Times New Roman"/>
          <w:sz w:val="24"/>
          <w:szCs w:val="24"/>
        </w:rPr>
        <w:t>5</w:t>
      </w:r>
      <w:r w:rsidRPr="0030070C">
        <w:rPr>
          <w:rFonts w:ascii="Times New Roman" w:hAnsi="Times New Roman" w:cs="Times New Roman"/>
          <w:sz w:val="24"/>
          <w:szCs w:val="24"/>
        </w:rPr>
        <w:t>-2</w:t>
      </w:r>
      <w:r w:rsidR="006A76EE">
        <w:rPr>
          <w:rFonts w:ascii="Times New Roman" w:hAnsi="Times New Roman" w:cs="Times New Roman"/>
          <w:sz w:val="24"/>
          <w:szCs w:val="24"/>
        </w:rPr>
        <w:t>7</w:t>
      </w:r>
      <w:r w:rsidRPr="0030070C">
        <w:rPr>
          <w:rFonts w:ascii="Times New Roman" w:hAnsi="Times New Roman" w:cs="Times New Roman"/>
          <w:sz w:val="24"/>
          <w:szCs w:val="24"/>
        </w:rPr>
        <w:t xml:space="preserve"> – </w:t>
      </w:r>
      <w:r w:rsidR="005D0AAB" w:rsidRPr="0030070C">
        <w:rPr>
          <w:rFonts w:ascii="Times New Roman" w:hAnsi="Times New Roman" w:cs="Times New Roman"/>
          <w:sz w:val="24"/>
          <w:szCs w:val="24"/>
        </w:rPr>
        <w:t>§24</w:t>
      </w:r>
      <w:r w:rsidR="002807EB" w:rsidRPr="0030070C">
        <w:rPr>
          <w:rFonts w:ascii="Times New Roman" w:hAnsi="Times New Roman" w:cs="Times New Roman"/>
          <w:sz w:val="24"/>
          <w:szCs w:val="24"/>
        </w:rPr>
        <w:t>-26</w:t>
      </w:r>
      <w:r w:rsidR="003D49BF" w:rsidRPr="0030070C">
        <w:rPr>
          <w:rFonts w:ascii="Times New Roman" w:hAnsi="Times New Roman" w:cs="Times New Roman"/>
          <w:sz w:val="24"/>
          <w:szCs w:val="24"/>
        </w:rPr>
        <w:t xml:space="preserve">: zmienione przepisy aktualizują zasady publikowania danych i opracowania planów koordynacyjnych zgodnie z dzisiejszymi potrzebami systemu elektroenergetycznego. Dodaje się </w:t>
      </w:r>
      <w:r w:rsidR="00F85057" w:rsidRPr="0030070C">
        <w:rPr>
          <w:rFonts w:ascii="Times New Roman" w:hAnsi="Times New Roman" w:cs="Times New Roman"/>
          <w:sz w:val="24"/>
          <w:szCs w:val="24"/>
        </w:rPr>
        <w:t xml:space="preserve">ponadto </w:t>
      </w:r>
      <w:r w:rsidR="003D49BF" w:rsidRPr="0030070C">
        <w:rPr>
          <w:rFonts w:ascii="Times New Roman" w:hAnsi="Times New Roman" w:cs="Times New Roman"/>
          <w:sz w:val="24"/>
          <w:szCs w:val="24"/>
        </w:rPr>
        <w:t>obowiązek po stronie operatoró</w:t>
      </w:r>
      <w:r w:rsidR="005D0AAB" w:rsidRPr="0030070C">
        <w:rPr>
          <w:rFonts w:ascii="Times New Roman" w:hAnsi="Times New Roman" w:cs="Times New Roman"/>
          <w:sz w:val="24"/>
          <w:szCs w:val="24"/>
        </w:rPr>
        <w:t>w</w:t>
      </w:r>
      <w:r w:rsidR="003D49BF" w:rsidRPr="0030070C">
        <w:rPr>
          <w:rFonts w:ascii="Times New Roman" w:hAnsi="Times New Roman" w:cs="Times New Roman"/>
          <w:sz w:val="24"/>
          <w:szCs w:val="24"/>
        </w:rPr>
        <w:t xml:space="preserve"> systemów dystrybucyjnych, aby </w:t>
      </w:r>
      <w:r w:rsidR="00953784" w:rsidRPr="0030070C">
        <w:rPr>
          <w:rFonts w:ascii="Times New Roman" w:hAnsi="Times New Roman" w:cs="Times New Roman"/>
          <w:sz w:val="24"/>
          <w:szCs w:val="24"/>
        </w:rPr>
        <w:t xml:space="preserve">określali ograniczenia sieciowe wpływające na możliwość </w:t>
      </w:r>
      <w:r w:rsidR="00F85057" w:rsidRPr="0030070C">
        <w:rPr>
          <w:rFonts w:ascii="Times New Roman" w:hAnsi="Times New Roman" w:cs="Times New Roman"/>
          <w:sz w:val="24"/>
          <w:szCs w:val="24"/>
        </w:rPr>
        <w:t xml:space="preserve">świadczenia obowiązku </w:t>
      </w:r>
      <w:proofErr w:type="spellStart"/>
      <w:r w:rsidR="00F85057" w:rsidRPr="0030070C">
        <w:rPr>
          <w:rFonts w:ascii="Times New Roman" w:hAnsi="Times New Roman" w:cs="Times New Roman"/>
          <w:sz w:val="24"/>
          <w:szCs w:val="24"/>
        </w:rPr>
        <w:t>mocowego</w:t>
      </w:r>
      <w:proofErr w:type="spellEnd"/>
      <w:r w:rsidR="00F85057" w:rsidRPr="0030070C">
        <w:rPr>
          <w:rFonts w:ascii="Times New Roman" w:hAnsi="Times New Roman" w:cs="Times New Roman"/>
          <w:sz w:val="24"/>
          <w:szCs w:val="24"/>
        </w:rPr>
        <w:t xml:space="preserve"> w rozumieniu ustawy o rynku mocy oraz </w:t>
      </w:r>
      <w:r w:rsidR="00953784" w:rsidRPr="0030070C">
        <w:rPr>
          <w:rFonts w:ascii="Times New Roman" w:hAnsi="Times New Roman" w:cs="Times New Roman"/>
          <w:sz w:val="24"/>
          <w:szCs w:val="24"/>
        </w:rPr>
        <w:t>składania ofert bilansujących przez jednostki grafikowe reprezentujące zasoby w tych systemach.</w:t>
      </w:r>
      <w:r w:rsidR="005D0AAB" w:rsidRPr="0030070C">
        <w:rPr>
          <w:rFonts w:ascii="Times New Roman" w:hAnsi="Times New Roman" w:cs="Times New Roman"/>
          <w:sz w:val="24"/>
          <w:szCs w:val="24"/>
        </w:rPr>
        <w:t xml:space="preserve"> </w:t>
      </w:r>
      <w:r w:rsidR="00953784" w:rsidRPr="0030070C">
        <w:rPr>
          <w:rFonts w:ascii="Times New Roman" w:hAnsi="Times New Roman" w:cs="Times New Roman"/>
          <w:sz w:val="24"/>
          <w:szCs w:val="24"/>
        </w:rPr>
        <w:t>Ponadto</w:t>
      </w:r>
      <w:r w:rsidR="00F85057" w:rsidRPr="0030070C">
        <w:rPr>
          <w:rFonts w:ascii="Times New Roman" w:hAnsi="Times New Roman" w:cs="Times New Roman"/>
          <w:sz w:val="24"/>
          <w:szCs w:val="24"/>
        </w:rPr>
        <w:t xml:space="preserve"> przepisy dostosowuje się do przepisów prawa UE </w:t>
      </w:r>
      <w:r w:rsidR="00953784" w:rsidRPr="0030070C">
        <w:rPr>
          <w:rFonts w:ascii="Times New Roman" w:hAnsi="Times New Roman" w:cs="Times New Roman"/>
          <w:sz w:val="24"/>
          <w:szCs w:val="24"/>
        </w:rPr>
        <w:t xml:space="preserve">w zakresie obowiązków współpracy pomiędzy podmiotami w systemie elektroenergetycznym </w:t>
      </w:r>
      <w:r w:rsidR="00F85057" w:rsidRPr="0030070C">
        <w:rPr>
          <w:rFonts w:ascii="Times New Roman" w:hAnsi="Times New Roman" w:cs="Times New Roman"/>
          <w:sz w:val="24"/>
          <w:szCs w:val="24"/>
        </w:rPr>
        <w:t xml:space="preserve">– </w:t>
      </w:r>
      <w:r w:rsidR="00953784" w:rsidRPr="0030070C">
        <w:rPr>
          <w:rFonts w:ascii="Times New Roman" w:hAnsi="Times New Roman" w:cs="Times New Roman"/>
          <w:sz w:val="24"/>
          <w:szCs w:val="24"/>
        </w:rPr>
        <w:t>obowiązków określonych w art. 40 ust. 5 rozporządzenia Komisji (UE) 2017/1485 z dnia 2 sierpnia 2017 r. ustanawiającego wytyczne dotyczące pracy systemu przesyłowego energii elektrycznej (Dz. Urz. UE L 220 z 25.8.2013, s</w:t>
      </w:r>
      <w:r w:rsidR="004022F0">
        <w:rPr>
          <w:rFonts w:ascii="Times New Roman" w:hAnsi="Times New Roman" w:cs="Times New Roman"/>
          <w:sz w:val="24"/>
          <w:szCs w:val="24"/>
        </w:rPr>
        <w:t>tr</w:t>
      </w:r>
      <w:r w:rsidR="00953784" w:rsidRPr="0030070C">
        <w:rPr>
          <w:rFonts w:ascii="Times New Roman" w:hAnsi="Times New Roman" w:cs="Times New Roman"/>
          <w:sz w:val="24"/>
          <w:szCs w:val="24"/>
        </w:rPr>
        <w:t>. 1)</w:t>
      </w:r>
      <w:r w:rsidR="00F85057" w:rsidRPr="0030070C">
        <w:rPr>
          <w:rFonts w:ascii="Times New Roman" w:hAnsi="Times New Roman" w:cs="Times New Roman"/>
          <w:sz w:val="24"/>
          <w:szCs w:val="24"/>
        </w:rPr>
        <w:t>.</w:t>
      </w:r>
    </w:p>
    <w:p w14:paraId="2243D97A" w14:textId="2D249D73" w:rsidR="002807EB" w:rsidRPr="0030070C" w:rsidRDefault="00F53713">
      <w:pPr>
        <w:pStyle w:val="Akapitzlist"/>
        <w:numPr>
          <w:ilvl w:val="0"/>
          <w:numId w:val="12"/>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pkt 2</w:t>
      </w:r>
      <w:r w:rsidR="006A76EE">
        <w:rPr>
          <w:rFonts w:ascii="Times New Roman" w:hAnsi="Times New Roman" w:cs="Times New Roman"/>
          <w:sz w:val="24"/>
          <w:szCs w:val="24"/>
        </w:rPr>
        <w:t>8</w:t>
      </w:r>
      <w:r w:rsidRPr="0030070C">
        <w:rPr>
          <w:rFonts w:ascii="Times New Roman" w:hAnsi="Times New Roman" w:cs="Times New Roman"/>
          <w:sz w:val="24"/>
          <w:szCs w:val="24"/>
        </w:rPr>
        <w:t xml:space="preserve"> – </w:t>
      </w:r>
      <w:r w:rsidR="002807EB" w:rsidRPr="0030070C">
        <w:rPr>
          <w:rFonts w:ascii="Times New Roman" w:hAnsi="Times New Roman" w:cs="Times New Roman"/>
          <w:sz w:val="24"/>
          <w:szCs w:val="24"/>
        </w:rPr>
        <w:t>§27</w:t>
      </w:r>
      <w:r w:rsidR="00781C85" w:rsidRPr="0030070C">
        <w:rPr>
          <w:rFonts w:ascii="Times New Roman" w:hAnsi="Times New Roman" w:cs="Times New Roman"/>
          <w:sz w:val="24"/>
          <w:szCs w:val="24"/>
        </w:rPr>
        <w:t>: zmiana polega na dostosowaniu</w:t>
      </w:r>
      <w:r w:rsidR="002807EB" w:rsidRPr="0030070C">
        <w:rPr>
          <w:rFonts w:ascii="Times New Roman" w:hAnsi="Times New Roman" w:cs="Times New Roman"/>
          <w:sz w:val="24"/>
          <w:szCs w:val="24"/>
        </w:rPr>
        <w:t xml:space="preserve"> przepisów do modelu, w którym </w:t>
      </w:r>
      <w:r w:rsidR="00781C85" w:rsidRPr="0030070C">
        <w:rPr>
          <w:rFonts w:ascii="Times New Roman" w:hAnsi="Times New Roman" w:cs="Times New Roman"/>
          <w:sz w:val="24"/>
          <w:szCs w:val="24"/>
        </w:rPr>
        <w:t xml:space="preserve">w rynku usług systemowych </w:t>
      </w:r>
      <w:r w:rsidR="002807EB" w:rsidRPr="0030070C">
        <w:rPr>
          <w:rFonts w:ascii="Times New Roman" w:hAnsi="Times New Roman" w:cs="Times New Roman"/>
          <w:sz w:val="24"/>
          <w:szCs w:val="24"/>
        </w:rPr>
        <w:t>uczestniczą nie tylko JWCD</w:t>
      </w:r>
      <w:r w:rsidR="00781C85" w:rsidRPr="0030070C">
        <w:rPr>
          <w:rFonts w:ascii="Times New Roman" w:hAnsi="Times New Roman" w:cs="Times New Roman"/>
          <w:sz w:val="24"/>
          <w:szCs w:val="24"/>
        </w:rPr>
        <w:t>;</w:t>
      </w:r>
    </w:p>
    <w:p w14:paraId="3F7B9EB0" w14:textId="2078CF6E" w:rsidR="002807EB" w:rsidRPr="0030070C" w:rsidRDefault="00F53713">
      <w:pPr>
        <w:pStyle w:val="Akapitzlist"/>
        <w:numPr>
          <w:ilvl w:val="0"/>
          <w:numId w:val="12"/>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BE0867" w:rsidRPr="0030070C">
        <w:rPr>
          <w:rFonts w:ascii="Times New Roman" w:hAnsi="Times New Roman" w:cs="Times New Roman"/>
          <w:sz w:val="24"/>
          <w:szCs w:val="24"/>
        </w:rPr>
        <w:t>2</w:t>
      </w:r>
      <w:r w:rsidR="006A76EE">
        <w:rPr>
          <w:rFonts w:ascii="Times New Roman" w:hAnsi="Times New Roman" w:cs="Times New Roman"/>
          <w:sz w:val="24"/>
          <w:szCs w:val="24"/>
        </w:rPr>
        <w:t>9</w:t>
      </w:r>
      <w:r w:rsidR="00BE0867"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w:t>
      </w:r>
      <w:r w:rsidR="002807EB" w:rsidRPr="0030070C">
        <w:rPr>
          <w:rFonts w:ascii="Times New Roman" w:hAnsi="Times New Roman" w:cs="Times New Roman"/>
          <w:sz w:val="24"/>
          <w:szCs w:val="24"/>
        </w:rPr>
        <w:t>§28</w:t>
      </w:r>
      <w:r w:rsidR="00781C85" w:rsidRPr="0030070C">
        <w:rPr>
          <w:rFonts w:ascii="Times New Roman" w:hAnsi="Times New Roman" w:cs="Times New Roman"/>
          <w:sz w:val="24"/>
          <w:szCs w:val="24"/>
        </w:rPr>
        <w:t>: zmieniony przepis zastępuje dotychczasowe przepisy dot. usługi odbudowy systemu odwołaniem do stosownych przepisów tzw. kodeksu NC ER -</w:t>
      </w:r>
      <w:r w:rsidR="002807EB" w:rsidRPr="0030070C">
        <w:rPr>
          <w:rFonts w:ascii="Times New Roman" w:hAnsi="Times New Roman" w:cs="Times New Roman"/>
          <w:sz w:val="24"/>
          <w:szCs w:val="24"/>
        </w:rPr>
        <w:t xml:space="preserve"> </w:t>
      </w:r>
      <w:r w:rsidR="00781C85" w:rsidRPr="0030070C">
        <w:rPr>
          <w:rFonts w:ascii="Times New Roman" w:hAnsi="Times New Roman" w:cs="Times New Roman"/>
          <w:sz w:val="24"/>
          <w:szCs w:val="24"/>
        </w:rPr>
        <w:t>rozporządzenia Komisji (UE) 2017/2196 z dnia 24 listopada 2017 r. ustanawiającego kodeks sieci dotyczący stanu zagrożenia i</w:t>
      </w:r>
      <w:r w:rsidR="009712EB" w:rsidRPr="0030070C">
        <w:rPr>
          <w:rFonts w:ascii="Times New Roman" w:hAnsi="Times New Roman" w:cs="Times New Roman"/>
          <w:sz w:val="24"/>
          <w:szCs w:val="24"/>
        </w:rPr>
        <w:t> </w:t>
      </w:r>
      <w:r w:rsidR="00781C85" w:rsidRPr="0030070C">
        <w:rPr>
          <w:rFonts w:ascii="Times New Roman" w:hAnsi="Times New Roman" w:cs="Times New Roman"/>
          <w:sz w:val="24"/>
          <w:szCs w:val="24"/>
        </w:rPr>
        <w:t>stanu odbudowy systemów elektroenergetycznych (Dz. Urz. UE L 312</w:t>
      </w:r>
      <w:r w:rsidR="004022F0">
        <w:rPr>
          <w:rFonts w:ascii="Times New Roman" w:hAnsi="Times New Roman" w:cs="Times New Roman"/>
          <w:sz w:val="24"/>
          <w:szCs w:val="24"/>
        </w:rPr>
        <w:t xml:space="preserve"> </w:t>
      </w:r>
      <w:r w:rsidR="00781C85" w:rsidRPr="0030070C">
        <w:rPr>
          <w:rFonts w:ascii="Times New Roman" w:hAnsi="Times New Roman" w:cs="Times New Roman"/>
          <w:sz w:val="24"/>
          <w:szCs w:val="24"/>
        </w:rPr>
        <w:t>z 28.11.2017, s</w:t>
      </w:r>
      <w:r w:rsidR="004022F0">
        <w:rPr>
          <w:rFonts w:ascii="Times New Roman" w:hAnsi="Times New Roman" w:cs="Times New Roman"/>
          <w:sz w:val="24"/>
          <w:szCs w:val="24"/>
        </w:rPr>
        <w:t>tr</w:t>
      </w:r>
      <w:r w:rsidR="00781C85" w:rsidRPr="0030070C">
        <w:rPr>
          <w:rFonts w:ascii="Times New Roman" w:hAnsi="Times New Roman" w:cs="Times New Roman"/>
          <w:sz w:val="24"/>
          <w:szCs w:val="24"/>
        </w:rPr>
        <w:t>. 54-85). Ponadto uchyla się przepisy dotyczące pracy interwencyjnej w związku z wycofaniem tej usługi z</w:t>
      </w:r>
      <w:r w:rsidR="009712EB" w:rsidRPr="0030070C">
        <w:rPr>
          <w:rFonts w:ascii="Times New Roman" w:hAnsi="Times New Roman" w:cs="Times New Roman"/>
          <w:sz w:val="24"/>
          <w:szCs w:val="24"/>
        </w:rPr>
        <w:t> </w:t>
      </w:r>
      <w:r w:rsidR="00781C85" w:rsidRPr="0030070C">
        <w:rPr>
          <w:rFonts w:ascii="Times New Roman" w:hAnsi="Times New Roman" w:cs="Times New Roman"/>
          <w:sz w:val="24"/>
          <w:szCs w:val="24"/>
        </w:rPr>
        <w:t>systemu.</w:t>
      </w:r>
    </w:p>
    <w:p w14:paraId="61420179" w14:textId="77777777" w:rsidR="002807EB" w:rsidRPr="0030070C" w:rsidRDefault="002807EB">
      <w:pPr>
        <w:spacing w:before="60" w:afterLines="60" w:after="144" w:line="276" w:lineRule="auto"/>
        <w:ind w:left="360"/>
        <w:contextualSpacing/>
        <w:mirrorIndents/>
        <w:jc w:val="both"/>
        <w:rPr>
          <w:rFonts w:ascii="Times New Roman" w:hAnsi="Times New Roman" w:cs="Times New Roman"/>
          <w:sz w:val="24"/>
          <w:szCs w:val="24"/>
        </w:rPr>
      </w:pPr>
    </w:p>
    <w:p w14:paraId="2635D566" w14:textId="77777777" w:rsidR="00D71381" w:rsidRPr="0030070C" w:rsidRDefault="004028E0">
      <w:pPr>
        <w:pStyle w:val="Akapitzlist"/>
        <w:numPr>
          <w:ilvl w:val="1"/>
          <w:numId w:val="2"/>
        </w:numPr>
        <w:spacing w:before="60" w:afterLines="60" w:after="144" w:line="276" w:lineRule="auto"/>
        <w:ind w:hanging="720"/>
        <w:mirrorIndents/>
        <w:jc w:val="both"/>
        <w:rPr>
          <w:rFonts w:ascii="Times New Roman" w:hAnsi="Times New Roman" w:cs="Times New Roman"/>
          <w:sz w:val="24"/>
          <w:szCs w:val="24"/>
        </w:rPr>
      </w:pPr>
      <w:r w:rsidRPr="0030070C">
        <w:rPr>
          <w:rFonts w:ascii="Times New Roman" w:hAnsi="Times New Roman" w:cs="Times New Roman"/>
          <w:b/>
          <w:sz w:val="24"/>
          <w:szCs w:val="24"/>
        </w:rPr>
        <w:t>Pozostałe zmiany</w:t>
      </w:r>
      <w:r w:rsidR="001058B6" w:rsidRPr="0030070C">
        <w:rPr>
          <w:rFonts w:ascii="Times New Roman" w:hAnsi="Times New Roman" w:cs="Times New Roman"/>
          <w:b/>
          <w:sz w:val="24"/>
          <w:szCs w:val="24"/>
        </w:rPr>
        <w:t xml:space="preserve"> </w:t>
      </w:r>
    </w:p>
    <w:p w14:paraId="6DB1690F" w14:textId="650E02D8" w:rsidR="005952DB" w:rsidRDefault="005952DB">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Pr>
          <w:rFonts w:ascii="Times New Roman" w:hAnsi="Times New Roman" w:cs="Times New Roman"/>
          <w:sz w:val="24"/>
          <w:szCs w:val="24"/>
        </w:rPr>
        <w:t>pkt 1 uzupełnienie</w:t>
      </w:r>
      <w:r w:rsidRPr="005952DB">
        <w:rPr>
          <w:rFonts w:ascii="Times New Roman" w:hAnsi="Times New Roman" w:cs="Times New Roman"/>
          <w:sz w:val="24"/>
          <w:szCs w:val="24"/>
        </w:rPr>
        <w:t>§</w:t>
      </w:r>
      <w:r>
        <w:rPr>
          <w:rFonts w:ascii="Times New Roman" w:hAnsi="Times New Roman" w:cs="Times New Roman"/>
          <w:sz w:val="24"/>
          <w:szCs w:val="24"/>
        </w:rPr>
        <w:t>1 o punkty 14 i 15 zgodnie z art. 9 ust. 4 pkt 14 i pkt 15</w:t>
      </w:r>
      <w:r w:rsidRPr="005952DB">
        <w:rPr>
          <w:rFonts w:ascii="Times New Roman" w:hAnsi="Times New Roman" w:cs="Times New Roman"/>
          <w:sz w:val="24"/>
          <w:szCs w:val="24"/>
        </w:rPr>
        <w:t>15 ustawy Prawo energetyczne</w:t>
      </w:r>
      <w:r>
        <w:rPr>
          <w:rFonts w:ascii="Times New Roman" w:hAnsi="Times New Roman" w:cs="Times New Roman"/>
          <w:sz w:val="24"/>
          <w:szCs w:val="24"/>
        </w:rPr>
        <w:t>.</w:t>
      </w:r>
    </w:p>
    <w:p w14:paraId="7902435C" w14:textId="7252CDE3" w:rsidR="00D71381" w:rsidRPr="0030070C" w:rsidRDefault="0034338E">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6A76EE">
        <w:rPr>
          <w:rFonts w:ascii="Times New Roman" w:hAnsi="Times New Roman" w:cs="Times New Roman"/>
          <w:sz w:val="24"/>
          <w:szCs w:val="24"/>
        </w:rPr>
        <w:t>7</w:t>
      </w:r>
      <w:r w:rsidRPr="0030070C">
        <w:rPr>
          <w:rFonts w:ascii="Times New Roman" w:hAnsi="Times New Roman" w:cs="Times New Roman"/>
          <w:sz w:val="24"/>
          <w:szCs w:val="24"/>
        </w:rPr>
        <w:t xml:space="preserve"> lit. d </w:t>
      </w:r>
      <w:r w:rsidRPr="00827D1D">
        <w:rPr>
          <w:rFonts w:ascii="Times New Roman" w:hAnsi="Times New Roman" w:cs="Times New Roman"/>
          <w:i/>
          <w:sz w:val="24"/>
          <w:szCs w:val="24"/>
        </w:rPr>
        <w:t>in fine</w:t>
      </w:r>
      <w:r w:rsidRPr="0030070C">
        <w:rPr>
          <w:rFonts w:ascii="Times New Roman" w:hAnsi="Times New Roman" w:cs="Times New Roman"/>
          <w:sz w:val="24"/>
          <w:szCs w:val="24"/>
        </w:rPr>
        <w:t xml:space="preserve">, 8 lit. c, 11 lit. b </w:t>
      </w:r>
      <w:r w:rsidRPr="00827D1D">
        <w:rPr>
          <w:rFonts w:ascii="Times New Roman" w:hAnsi="Times New Roman" w:cs="Times New Roman"/>
          <w:i/>
          <w:sz w:val="24"/>
          <w:szCs w:val="24"/>
        </w:rPr>
        <w:t>in fine</w:t>
      </w:r>
      <w:r w:rsidRPr="0030070C">
        <w:rPr>
          <w:rFonts w:ascii="Times New Roman" w:hAnsi="Times New Roman" w:cs="Times New Roman"/>
          <w:sz w:val="24"/>
          <w:szCs w:val="24"/>
        </w:rPr>
        <w:t xml:space="preserve">, </w:t>
      </w:r>
      <w:r w:rsidR="004A2237">
        <w:rPr>
          <w:rFonts w:ascii="Times New Roman" w:hAnsi="Times New Roman" w:cs="Times New Roman"/>
          <w:sz w:val="24"/>
          <w:szCs w:val="24"/>
        </w:rPr>
        <w:t>13,</w:t>
      </w:r>
      <w:r w:rsidR="004A2237" w:rsidRPr="0030070C">
        <w:rPr>
          <w:rFonts w:ascii="Times New Roman" w:hAnsi="Times New Roman" w:cs="Times New Roman"/>
          <w:sz w:val="24"/>
          <w:szCs w:val="24"/>
        </w:rPr>
        <w:t>1</w:t>
      </w:r>
      <w:r w:rsidR="004A2237">
        <w:rPr>
          <w:rFonts w:ascii="Times New Roman" w:hAnsi="Times New Roman" w:cs="Times New Roman"/>
          <w:sz w:val="24"/>
          <w:szCs w:val="24"/>
        </w:rPr>
        <w:t>4</w:t>
      </w:r>
      <w:r w:rsidRPr="0030070C">
        <w:rPr>
          <w:rFonts w:ascii="Times New Roman" w:hAnsi="Times New Roman" w:cs="Times New Roman"/>
          <w:sz w:val="24"/>
          <w:szCs w:val="24"/>
        </w:rPr>
        <w:t xml:space="preserve">, </w:t>
      </w:r>
      <w:r w:rsidR="00BE0867">
        <w:rPr>
          <w:rFonts w:ascii="Times New Roman" w:hAnsi="Times New Roman" w:cs="Times New Roman"/>
          <w:sz w:val="24"/>
          <w:szCs w:val="24"/>
        </w:rPr>
        <w:t xml:space="preserve">29, </w:t>
      </w:r>
      <w:r w:rsidR="00454A68" w:rsidRPr="0030070C">
        <w:rPr>
          <w:rFonts w:ascii="Times New Roman" w:hAnsi="Times New Roman" w:cs="Times New Roman"/>
          <w:sz w:val="24"/>
          <w:szCs w:val="24"/>
        </w:rPr>
        <w:t>3</w:t>
      </w:r>
      <w:r w:rsidR="00454A68">
        <w:rPr>
          <w:rFonts w:ascii="Times New Roman" w:hAnsi="Times New Roman" w:cs="Times New Roman"/>
          <w:sz w:val="24"/>
          <w:szCs w:val="24"/>
        </w:rPr>
        <w:t>2</w:t>
      </w:r>
      <w:r w:rsidR="00454A68" w:rsidRPr="0030070C">
        <w:rPr>
          <w:rFonts w:ascii="Times New Roman" w:hAnsi="Times New Roman" w:cs="Times New Roman"/>
          <w:sz w:val="24"/>
          <w:szCs w:val="24"/>
        </w:rPr>
        <w:t xml:space="preserve"> </w:t>
      </w:r>
      <w:r w:rsidRPr="0030070C">
        <w:rPr>
          <w:rFonts w:ascii="Times New Roman" w:hAnsi="Times New Roman" w:cs="Times New Roman"/>
          <w:sz w:val="24"/>
          <w:szCs w:val="24"/>
        </w:rPr>
        <w:t xml:space="preserve">– </w:t>
      </w:r>
      <w:r w:rsidR="00344387" w:rsidRPr="0030070C">
        <w:rPr>
          <w:rFonts w:ascii="Times New Roman" w:hAnsi="Times New Roman" w:cs="Times New Roman"/>
          <w:sz w:val="24"/>
          <w:szCs w:val="24"/>
        </w:rPr>
        <w:t>§7 ust. 8</w:t>
      </w:r>
      <w:r w:rsidR="009F174A" w:rsidRPr="0030070C">
        <w:rPr>
          <w:rFonts w:ascii="Times New Roman" w:hAnsi="Times New Roman" w:cs="Times New Roman"/>
          <w:sz w:val="24"/>
          <w:szCs w:val="24"/>
        </w:rPr>
        <w:t xml:space="preserve">, §8 ust. 8, §13 ust. 7, </w:t>
      </w:r>
      <w:r w:rsidR="004A2237">
        <w:rPr>
          <w:rFonts w:ascii="Times New Roman" w:hAnsi="Times New Roman" w:cs="Times New Roman"/>
          <w:sz w:val="24"/>
          <w:szCs w:val="24"/>
        </w:rPr>
        <w:t xml:space="preserve">§14, </w:t>
      </w:r>
      <w:r w:rsidR="009F174A" w:rsidRPr="0030070C">
        <w:rPr>
          <w:rFonts w:ascii="Times New Roman" w:hAnsi="Times New Roman" w:cs="Times New Roman"/>
          <w:sz w:val="24"/>
          <w:szCs w:val="24"/>
        </w:rPr>
        <w:t>§15 ust. 3,</w:t>
      </w:r>
      <w:r w:rsidR="00BE0867">
        <w:rPr>
          <w:rFonts w:ascii="Times New Roman" w:hAnsi="Times New Roman" w:cs="Times New Roman"/>
          <w:sz w:val="24"/>
          <w:szCs w:val="24"/>
        </w:rPr>
        <w:t xml:space="preserve"> §29 ust. 1,</w:t>
      </w:r>
      <w:r w:rsidR="009F174A" w:rsidRPr="0030070C">
        <w:rPr>
          <w:rFonts w:ascii="Times New Roman" w:hAnsi="Times New Roman" w:cs="Times New Roman"/>
          <w:sz w:val="24"/>
          <w:szCs w:val="24"/>
        </w:rPr>
        <w:t xml:space="preserve"> §35 ust. 7: dodawane</w:t>
      </w:r>
      <w:r w:rsidR="00BE0867">
        <w:rPr>
          <w:rFonts w:ascii="Times New Roman" w:hAnsi="Times New Roman" w:cs="Times New Roman"/>
          <w:sz w:val="24"/>
          <w:szCs w:val="24"/>
        </w:rPr>
        <w:t xml:space="preserve"> lub zmieniane</w:t>
      </w:r>
      <w:r w:rsidR="009F174A" w:rsidRPr="0030070C">
        <w:rPr>
          <w:rFonts w:ascii="Times New Roman" w:hAnsi="Times New Roman" w:cs="Times New Roman"/>
          <w:sz w:val="24"/>
          <w:szCs w:val="24"/>
        </w:rPr>
        <w:t xml:space="preserve"> przepisy zapewniają </w:t>
      </w:r>
      <w:r w:rsidR="00651A1E" w:rsidRPr="0030070C">
        <w:rPr>
          <w:rFonts w:ascii="Times New Roman" w:hAnsi="Times New Roman" w:cs="Times New Roman"/>
          <w:sz w:val="24"/>
          <w:szCs w:val="24"/>
        </w:rPr>
        <w:t>odpow</w:t>
      </w:r>
      <w:r w:rsidR="00D71381" w:rsidRPr="0030070C">
        <w:rPr>
          <w:rFonts w:ascii="Times New Roman" w:hAnsi="Times New Roman" w:cs="Times New Roman"/>
          <w:sz w:val="24"/>
          <w:szCs w:val="24"/>
        </w:rPr>
        <w:t xml:space="preserve">iednie stosowanie </w:t>
      </w:r>
      <w:r w:rsidR="009F174A" w:rsidRPr="0030070C">
        <w:rPr>
          <w:rFonts w:ascii="Times New Roman" w:hAnsi="Times New Roman" w:cs="Times New Roman"/>
          <w:sz w:val="24"/>
          <w:szCs w:val="24"/>
        </w:rPr>
        <w:t xml:space="preserve">przepisów dot. wytwórców energii elektrycznej </w:t>
      </w:r>
      <w:r w:rsidR="00D71381" w:rsidRPr="0030070C">
        <w:rPr>
          <w:rFonts w:ascii="Times New Roman" w:hAnsi="Times New Roman" w:cs="Times New Roman"/>
          <w:sz w:val="24"/>
          <w:szCs w:val="24"/>
        </w:rPr>
        <w:t xml:space="preserve">do </w:t>
      </w:r>
      <w:r w:rsidR="009F174A" w:rsidRPr="0030070C">
        <w:rPr>
          <w:rFonts w:ascii="Times New Roman" w:hAnsi="Times New Roman" w:cs="Times New Roman"/>
          <w:sz w:val="24"/>
          <w:szCs w:val="24"/>
        </w:rPr>
        <w:t xml:space="preserve">posiadaczy </w:t>
      </w:r>
      <w:bookmarkStart w:id="1" w:name="_GoBack"/>
      <w:r w:rsidR="00D71381" w:rsidRPr="0030070C">
        <w:rPr>
          <w:rFonts w:ascii="Times New Roman" w:hAnsi="Times New Roman" w:cs="Times New Roman"/>
          <w:sz w:val="24"/>
          <w:szCs w:val="24"/>
        </w:rPr>
        <w:t>magazyn</w:t>
      </w:r>
      <w:bookmarkEnd w:id="1"/>
      <w:r w:rsidR="00D71381" w:rsidRPr="0030070C">
        <w:rPr>
          <w:rFonts w:ascii="Times New Roman" w:hAnsi="Times New Roman" w:cs="Times New Roman"/>
          <w:sz w:val="24"/>
          <w:szCs w:val="24"/>
        </w:rPr>
        <w:t>ów</w:t>
      </w:r>
      <w:r w:rsidRPr="0030070C">
        <w:rPr>
          <w:rFonts w:ascii="Times New Roman" w:hAnsi="Times New Roman" w:cs="Times New Roman"/>
          <w:sz w:val="24"/>
          <w:szCs w:val="24"/>
        </w:rPr>
        <w:t xml:space="preserve"> energii elektrycznej;</w:t>
      </w:r>
    </w:p>
    <w:p w14:paraId="4D376A35" w14:textId="7D9CEA0E" w:rsidR="004028E0" w:rsidRPr="0030070C" w:rsidRDefault="005D4C9D">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6A76EE">
        <w:rPr>
          <w:rFonts w:ascii="Times New Roman" w:hAnsi="Times New Roman" w:cs="Times New Roman"/>
          <w:sz w:val="24"/>
          <w:szCs w:val="24"/>
        </w:rPr>
        <w:t>3</w:t>
      </w:r>
      <w:r w:rsidRPr="0030070C">
        <w:rPr>
          <w:rFonts w:ascii="Times New Roman" w:hAnsi="Times New Roman" w:cs="Times New Roman"/>
          <w:sz w:val="24"/>
          <w:szCs w:val="24"/>
        </w:rPr>
        <w:t xml:space="preserve"> –</w:t>
      </w:r>
      <w:r w:rsidR="006F41FC" w:rsidRPr="0030070C">
        <w:rPr>
          <w:rFonts w:ascii="Times New Roman" w:hAnsi="Times New Roman" w:cs="Times New Roman"/>
          <w:sz w:val="24"/>
          <w:szCs w:val="24"/>
        </w:rPr>
        <w:t xml:space="preserve"> </w:t>
      </w:r>
      <w:r w:rsidR="00D71381" w:rsidRPr="0030070C">
        <w:rPr>
          <w:rFonts w:ascii="Times New Roman" w:hAnsi="Times New Roman" w:cs="Times New Roman"/>
          <w:sz w:val="24"/>
          <w:szCs w:val="24"/>
        </w:rPr>
        <w:t xml:space="preserve">zmiana </w:t>
      </w:r>
      <w:r w:rsidRPr="0030070C">
        <w:rPr>
          <w:rFonts w:ascii="Times New Roman" w:hAnsi="Times New Roman" w:cs="Times New Roman"/>
          <w:sz w:val="24"/>
          <w:szCs w:val="24"/>
        </w:rPr>
        <w:t xml:space="preserve">porządkowa: </w:t>
      </w:r>
      <w:r w:rsidR="006F41FC" w:rsidRPr="0030070C">
        <w:rPr>
          <w:rFonts w:ascii="Times New Roman" w:hAnsi="Times New Roman" w:cs="Times New Roman"/>
          <w:sz w:val="24"/>
          <w:szCs w:val="24"/>
        </w:rPr>
        <w:t>skreśla się używane w rozporządzeniu</w:t>
      </w:r>
      <w:r w:rsidR="001058B6" w:rsidRPr="0030070C">
        <w:rPr>
          <w:rFonts w:ascii="Times New Roman" w:hAnsi="Times New Roman" w:cs="Times New Roman"/>
          <w:sz w:val="24"/>
          <w:szCs w:val="24"/>
        </w:rPr>
        <w:t xml:space="preserve"> </w:t>
      </w:r>
      <w:r w:rsidR="006F41FC" w:rsidRPr="0030070C">
        <w:rPr>
          <w:rFonts w:ascii="Times New Roman" w:hAnsi="Times New Roman" w:cs="Times New Roman"/>
          <w:sz w:val="24"/>
          <w:szCs w:val="24"/>
        </w:rPr>
        <w:t>skróty JWCD i JWC</w:t>
      </w:r>
      <w:r w:rsidR="00D71381" w:rsidRPr="0030070C">
        <w:rPr>
          <w:rFonts w:ascii="Times New Roman" w:hAnsi="Times New Roman" w:cs="Times New Roman"/>
          <w:sz w:val="24"/>
          <w:szCs w:val="24"/>
        </w:rPr>
        <w:t>K</w:t>
      </w:r>
      <w:r w:rsidR="00A71577" w:rsidRPr="0030070C">
        <w:rPr>
          <w:rFonts w:ascii="Times New Roman" w:hAnsi="Times New Roman" w:cs="Times New Roman"/>
          <w:sz w:val="24"/>
          <w:szCs w:val="24"/>
        </w:rPr>
        <w:t xml:space="preserve"> </w:t>
      </w:r>
      <w:r w:rsidR="006F41FC" w:rsidRPr="0030070C">
        <w:rPr>
          <w:rFonts w:ascii="Times New Roman" w:hAnsi="Times New Roman" w:cs="Times New Roman"/>
          <w:sz w:val="24"/>
          <w:szCs w:val="24"/>
        </w:rPr>
        <w:t xml:space="preserve">występujące za każdym razem, gdy użyte jest pojęcie jednostki wytwórczej centralnie dysponowanej lub koordynowanej, co nie ma uzasadnienia w świetle </w:t>
      </w:r>
      <w:r w:rsidRPr="0030070C">
        <w:rPr>
          <w:rFonts w:ascii="Times New Roman" w:hAnsi="Times New Roman" w:cs="Times New Roman"/>
          <w:sz w:val="24"/>
          <w:szCs w:val="24"/>
        </w:rPr>
        <w:t>techniki legislacyjnej;</w:t>
      </w:r>
    </w:p>
    <w:p w14:paraId="7FB6EA21" w14:textId="0CF0A9AA" w:rsidR="0034338E" w:rsidRDefault="0034338E">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pkt </w:t>
      </w:r>
      <w:r w:rsidR="00454A68">
        <w:rPr>
          <w:rFonts w:ascii="Times New Roman" w:hAnsi="Times New Roman" w:cs="Times New Roman"/>
          <w:sz w:val="24"/>
          <w:szCs w:val="24"/>
        </w:rPr>
        <w:t>3</w:t>
      </w:r>
      <w:r w:rsidR="006A76EE">
        <w:rPr>
          <w:rFonts w:ascii="Times New Roman" w:hAnsi="Times New Roman" w:cs="Times New Roman"/>
          <w:sz w:val="24"/>
          <w:szCs w:val="24"/>
        </w:rPr>
        <w:t>1</w:t>
      </w:r>
      <w:r w:rsidRPr="0030070C">
        <w:rPr>
          <w:rFonts w:ascii="Times New Roman" w:hAnsi="Times New Roman" w:cs="Times New Roman"/>
          <w:sz w:val="24"/>
          <w:szCs w:val="24"/>
        </w:rPr>
        <w:t>-3</w:t>
      </w:r>
      <w:r w:rsidR="006A76EE">
        <w:rPr>
          <w:rFonts w:ascii="Times New Roman" w:hAnsi="Times New Roman" w:cs="Times New Roman"/>
          <w:sz w:val="24"/>
          <w:szCs w:val="24"/>
        </w:rPr>
        <w:t>2</w:t>
      </w:r>
      <w:r w:rsidRPr="0030070C">
        <w:rPr>
          <w:rFonts w:ascii="Times New Roman" w:hAnsi="Times New Roman" w:cs="Times New Roman"/>
          <w:sz w:val="24"/>
          <w:szCs w:val="24"/>
        </w:rPr>
        <w:t xml:space="preserve"> – §30, §34 – zmiany w przepisach mają na celu dostosowanie do zasad współpracy wynikających z rozporządzenia Komisji (UE) 2017/1485 z dnia 2 sierpnia 2017 r. ustanawiającego wytyczne dotyczące pracy systemu przesyłowego energii elektrycznej;</w:t>
      </w:r>
    </w:p>
    <w:p w14:paraId="181FFC61" w14:textId="612A9E10" w:rsidR="00932837" w:rsidRPr="0030070C" w:rsidRDefault="00932837">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Pr>
          <w:rFonts w:ascii="Times New Roman" w:hAnsi="Times New Roman" w:cs="Times New Roman"/>
          <w:sz w:val="24"/>
          <w:szCs w:val="24"/>
        </w:rPr>
        <w:t>pkt 3</w:t>
      </w:r>
      <w:r w:rsidR="006A76EE">
        <w:rPr>
          <w:rFonts w:ascii="Times New Roman" w:hAnsi="Times New Roman" w:cs="Times New Roman"/>
          <w:sz w:val="24"/>
          <w:szCs w:val="24"/>
        </w:rPr>
        <w:t>4</w:t>
      </w:r>
      <w:r>
        <w:rPr>
          <w:rFonts w:ascii="Times New Roman" w:hAnsi="Times New Roman" w:cs="Times New Roman"/>
          <w:sz w:val="24"/>
          <w:szCs w:val="24"/>
        </w:rPr>
        <w:t>, 3</w:t>
      </w:r>
      <w:r w:rsidR="006A76EE">
        <w:rPr>
          <w:rFonts w:ascii="Times New Roman" w:hAnsi="Times New Roman" w:cs="Times New Roman"/>
          <w:sz w:val="24"/>
          <w:szCs w:val="24"/>
        </w:rPr>
        <w:t>5</w:t>
      </w:r>
      <w:r>
        <w:rPr>
          <w:rFonts w:ascii="Times New Roman" w:hAnsi="Times New Roman" w:cs="Times New Roman"/>
          <w:sz w:val="24"/>
          <w:szCs w:val="24"/>
        </w:rPr>
        <w:t xml:space="preserve"> oraz </w:t>
      </w:r>
      <w:r w:rsidR="006A76EE">
        <w:rPr>
          <w:rFonts w:ascii="Times New Roman" w:hAnsi="Times New Roman" w:cs="Times New Roman"/>
          <w:sz w:val="24"/>
          <w:szCs w:val="24"/>
        </w:rPr>
        <w:t>4</w:t>
      </w:r>
      <w:r>
        <w:rPr>
          <w:rFonts w:ascii="Times New Roman" w:hAnsi="Times New Roman" w:cs="Times New Roman"/>
          <w:sz w:val="24"/>
          <w:szCs w:val="24"/>
        </w:rPr>
        <w:t xml:space="preserve"> – </w:t>
      </w:r>
      <w:r w:rsidR="00454A68">
        <w:rPr>
          <w:rFonts w:ascii="Times New Roman" w:hAnsi="Times New Roman" w:cs="Times New Roman"/>
          <w:sz w:val="24"/>
          <w:szCs w:val="24"/>
        </w:rPr>
        <w:t xml:space="preserve">tytuł </w:t>
      </w:r>
      <w:r>
        <w:rPr>
          <w:rFonts w:ascii="Times New Roman" w:hAnsi="Times New Roman" w:cs="Times New Roman"/>
          <w:sz w:val="24"/>
          <w:szCs w:val="24"/>
        </w:rPr>
        <w:t>rozdział</w:t>
      </w:r>
      <w:r w:rsidR="00454A68">
        <w:rPr>
          <w:rFonts w:ascii="Times New Roman" w:hAnsi="Times New Roman" w:cs="Times New Roman"/>
          <w:sz w:val="24"/>
          <w:szCs w:val="24"/>
        </w:rPr>
        <w:t>u</w:t>
      </w:r>
      <w:r>
        <w:rPr>
          <w:rFonts w:ascii="Times New Roman" w:hAnsi="Times New Roman" w:cs="Times New Roman"/>
          <w:sz w:val="24"/>
          <w:szCs w:val="24"/>
        </w:rPr>
        <w:t xml:space="preserve"> 9, §37 – zmiany mają na celu wykonanie delegacji z art. 9 ust. 4 pkt 15 ustawy Prawo energetyczne</w:t>
      </w:r>
      <w:r w:rsidR="00454A68">
        <w:rPr>
          <w:rFonts w:ascii="Times New Roman" w:hAnsi="Times New Roman" w:cs="Times New Roman"/>
          <w:sz w:val="24"/>
          <w:szCs w:val="24"/>
        </w:rPr>
        <w:t xml:space="preserve"> dotyczącej obowiązków informacyjnych sprzedawcy energii elektrycznej – dotychczasowe przepisy dot. wyłącznie struktury paliw rozszerza się na m.in. informacje z zakresu efektywności energetycznej</w:t>
      </w:r>
      <w:r>
        <w:rPr>
          <w:rFonts w:ascii="Times New Roman" w:hAnsi="Times New Roman" w:cs="Times New Roman"/>
          <w:sz w:val="24"/>
          <w:szCs w:val="24"/>
        </w:rPr>
        <w:t>;</w:t>
      </w:r>
    </w:p>
    <w:p w14:paraId="6E6F9532" w14:textId="2AA90227" w:rsidR="00F52570" w:rsidRDefault="0034338E">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sidRPr="00932837">
        <w:rPr>
          <w:rFonts w:ascii="Times New Roman" w:hAnsi="Times New Roman" w:cs="Times New Roman"/>
          <w:sz w:val="24"/>
          <w:szCs w:val="24"/>
        </w:rPr>
        <w:t>pkt 3</w:t>
      </w:r>
      <w:r w:rsidR="006A76EE">
        <w:rPr>
          <w:rFonts w:ascii="Times New Roman" w:hAnsi="Times New Roman" w:cs="Times New Roman"/>
          <w:sz w:val="24"/>
          <w:szCs w:val="24"/>
        </w:rPr>
        <w:t>6</w:t>
      </w:r>
      <w:r w:rsidRPr="00932837">
        <w:rPr>
          <w:rFonts w:ascii="Times New Roman" w:hAnsi="Times New Roman" w:cs="Times New Roman"/>
          <w:sz w:val="24"/>
          <w:szCs w:val="24"/>
        </w:rPr>
        <w:t xml:space="preserve"> – </w:t>
      </w:r>
      <w:r w:rsidR="009D4848" w:rsidRPr="00932837">
        <w:rPr>
          <w:rFonts w:ascii="Times New Roman" w:hAnsi="Times New Roman" w:cs="Times New Roman"/>
          <w:sz w:val="24"/>
          <w:szCs w:val="24"/>
        </w:rPr>
        <w:t>§38: z</w:t>
      </w:r>
      <w:r w:rsidR="00F52570" w:rsidRPr="00932837">
        <w:rPr>
          <w:rFonts w:ascii="Times New Roman" w:hAnsi="Times New Roman" w:cs="Times New Roman"/>
          <w:sz w:val="24"/>
          <w:szCs w:val="24"/>
        </w:rPr>
        <w:t xml:space="preserve">miana </w:t>
      </w:r>
      <w:r w:rsidR="009D4848" w:rsidRPr="00932837">
        <w:rPr>
          <w:rFonts w:ascii="Times New Roman" w:hAnsi="Times New Roman" w:cs="Times New Roman"/>
          <w:sz w:val="24"/>
          <w:szCs w:val="24"/>
        </w:rPr>
        <w:t xml:space="preserve">w tabeli w ust. 1 pkt 4 lit. b ma charakter porządkowy: w części „będące krotnością 3” należy skorygować przepis dotyczący rzędu harmonicznych z „&gt;21” na „&gt;15” analogicznie jak wartość tę określono dla grup przyłączeniowych III—V. </w:t>
      </w:r>
      <w:r w:rsidR="00932837" w:rsidRPr="00932837">
        <w:rPr>
          <w:rFonts w:ascii="Times New Roman" w:hAnsi="Times New Roman" w:cs="Times New Roman"/>
          <w:sz w:val="24"/>
          <w:szCs w:val="24"/>
        </w:rPr>
        <w:t xml:space="preserve">W ten </w:t>
      </w:r>
      <w:r w:rsidR="00932837" w:rsidRPr="00932837">
        <w:rPr>
          <w:rFonts w:ascii="Times New Roman" w:hAnsi="Times New Roman" w:cs="Times New Roman"/>
          <w:sz w:val="24"/>
          <w:szCs w:val="24"/>
        </w:rPr>
        <w:lastRenderedPageBreak/>
        <w:t xml:space="preserve">sposób usuwa się oczywisty błąd polegający na pominięciu harmonicznej 21. w wymaganiach jakościowych dla podmiotów z I </w:t>
      </w:r>
      <w:proofErr w:type="spellStart"/>
      <w:r w:rsidR="00932837" w:rsidRPr="00932837">
        <w:rPr>
          <w:rFonts w:ascii="Times New Roman" w:hAnsi="Times New Roman" w:cs="Times New Roman"/>
          <w:sz w:val="24"/>
          <w:szCs w:val="24"/>
        </w:rPr>
        <w:t>i</w:t>
      </w:r>
      <w:proofErr w:type="spellEnd"/>
      <w:r w:rsidR="00932837" w:rsidRPr="00932837">
        <w:rPr>
          <w:rFonts w:ascii="Times New Roman" w:hAnsi="Times New Roman" w:cs="Times New Roman"/>
          <w:sz w:val="24"/>
          <w:szCs w:val="24"/>
        </w:rPr>
        <w:t xml:space="preserve"> II grup przyłączeniowej. Tego błędu nie ma w tabeli dla pozo</w:t>
      </w:r>
      <w:r w:rsidR="00932837">
        <w:rPr>
          <w:rFonts w:ascii="Times New Roman" w:hAnsi="Times New Roman" w:cs="Times New Roman"/>
          <w:sz w:val="24"/>
          <w:szCs w:val="24"/>
        </w:rPr>
        <w:t xml:space="preserve">stałych grup przyłączeniowych, zatem </w:t>
      </w:r>
      <w:r w:rsidR="00932837" w:rsidRPr="00932837">
        <w:rPr>
          <w:rFonts w:ascii="Times New Roman" w:hAnsi="Times New Roman" w:cs="Times New Roman"/>
          <w:sz w:val="24"/>
          <w:szCs w:val="24"/>
        </w:rPr>
        <w:t>przedmiotowa zmiana zapewni ujednolicenie zakresu wymagań.</w:t>
      </w:r>
      <w:r w:rsidR="00932837">
        <w:rPr>
          <w:rFonts w:ascii="Times New Roman" w:hAnsi="Times New Roman" w:cs="Times New Roman"/>
          <w:sz w:val="24"/>
          <w:szCs w:val="24"/>
        </w:rPr>
        <w:t xml:space="preserve"> </w:t>
      </w:r>
    </w:p>
    <w:p w14:paraId="573BB3C5" w14:textId="2D30ACB6" w:rsidR="00454A68" w:rsidRPr="00932837" w:rsidRDefault="00454A68">
      <w:pPr>
        <w:pStyle w:val="Akapitzlist"/>
        <w:numPr>
          <w:ilvl w:val="0"/>
          <w:numId w:val="13"/>
        </w:numPr>
        <w:spacing w:before="60" w:afterLines="60" w:after="144" w:line="276" w:lineRule="auto"/>
        <w:ind w:left="426"/>
        <w:mirrorIndents/>
        <w:jc w:val="both"/>
        <w:rPr>
          <w:rFonts w:ascii="Times New Roman" w:hAnsi="Times New Roman" w:cs="Times New Roman"/>
          <w:sz w:val="24"/>
          <w:szCs w:val="24"/>
        </w:rPr>
      </w:pPr>
      <w:r>
        <w:rPr>
          <w:rFonts w:ascii="Times New Roman" w:hAnsi="Times New Roman" w:cs="Times New Roman"/>
          <w:sz w:val="24"/>
          <w:szCs w:val="24"/>
        </w:rPr>
        <w:t>pkt 3</w:t>
      </w:r>
      <w:r w:rsidR="006A76EE">
        <w:rPr>
          <w:rFonts w:ascii="Times New Roman" w:hAnsi="Times New Roman" w:cs="Times New Roman"/>
          <w:sz w:val="24"/>
          <w:szCs w:val="24"/>
        </w:rPr>
        <w:t>7</w:t>
      </w:r>
      <w:r>
        <w:rPr>
          <w:rFonts w:ascii="Times New Roman" w:hAnsi="Times New Roman" w:cs="Times New Roman"/>
          <w:sz w:val="24"/>
          <w:szCs w:val="24"/>
        </w:rPr>
        <w:t xml:space="preserve"> – załącznik nr 3 – dodaje się załącznik określający zakres informacji podawanych przez sprzedawcę energii elektrycznej zgodnie z delegacją z art. 9 ust. 4 pkt 15 ustawy Prawo energetyczne.</w:t>
      </w:r>
    </w:p>
    <w:p w14:paraId="61F25974" w14:textId="77777777" w:rsidR="00264C69" w:rsidRPr="0030070C" w:rsidRDefault="00264C69">
      <w:pPr>
        <w:pStyle w:val="Akapitzlist"/>
        <w:spacing w:before="60" w:afterLines="60" w:after="144" w:line="276" w:lineRule="auto"/>
        <w:mirrorIndents/>
        <w:jc w:val="both"/>
        <w:rPr>
          <w:rFonts w:ascii="Times New Roman" w:hAnsi="Times New Roman" w:cs="Times New Roman"/>
          <w:sz w:val="24"/>
          <w:szCs w:val="24"/>
        </w:rPr>
      </w:pPr>
    </w:p>
    <w:p w14:paraId="295EAE0E" w14:textId="77777777" w:rsidR="00C31EBA" w:rsidRPr="0030070C" w:rsidRDefault="00642F72">
      <w:pPr>
        <w:pStyle w:val="Akapitzlist"/>
        <w:numPr>
          <w:ilvl w:val="0"/>
          <w:numId w:val="2"/>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b/>
          <w:sz w:val="24"/>
          <w:szCs w:val="24"/>
        </w:rPr>
        <w:t>Ocena przewidywanego wpływu regulacji na działalność mikro</w:t>
      </w:r>
      <w:r w:rsidR="006C6190" w:rsidRPr="0030070C">
        <w:rPr>
          <w:rFonts w:ascii="Times New Roman" w:hAnsi="Times New Roman" w:cs="Times New Roman"/>
          <w:b/>
          <w:sz w:val="24"/>
          <w:szCs w:val="24"/>
        </w:rPr>
        <w:t>-</w:t>
      </w:r>
      <w:r w:rsidRPr="0030070C">
        <w:rPr>
          <w:rFonts w:ascii="Times New Roman" w:hAnsi="Times New Roman" w:cs="Times New Roman"/>
          <w:b/>
          <w:sz w:val="24"/>
          <w:szCs w:val="24"/>
        </w:rPr>
        <w:t>, małych i średnich przedsiębiorców</w:t>
      </w:r>
    </w:p>
    <w:p w14:paraId="571B2E86" w14:textId="1DFF8D15" w:rsidR="00AB7DB4" w:rsidRPr="0030070C" w:rsidRDefault="00942D4A">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Zmiana modelu rynku bilansującego powinna mieć pozytywny wpływ na działalność mikro-, małych i średnich przedsiębiorców. Po pierwsze, dzięki obniżeniu progu rozpoczęcia działalności jako jednostka grafikowa aktywna </w:t>
      </w:r>
      <w:r w:rsidR="00AB7DB4" w:rsidRPr="0030070C">
        <w:rPr>
          <w:rFonts w:ascii="Times New Roman" w:hAnsi="Times New Roman" w:cs="Times New Roman"/>
          <w:sz w:val="24"/>
          <w:szCs w:val="24"/>
        </w:rPr>
        <w:t xml:space="preserve">zmiany umożliwią </w:t>
      </w:r>
      <w:r w:rsidRPr="0030070C">
        <w:rPr>
          <w:rFonts w:ascii="Times New Roman" w:hAnsi="Times New Roman" w:cs="Times New Roman"/>
          <w:sz w:val="24"/>
          <w:szCs w:val="24"/>
        </w:rPr>
        <w:t xml:space="preserve">aktywne uczestnictwo w rynku energii elektrycznej </w:t>
      </w:r>
      <w:r w:rsidR="00AB7DB4" w:rsidRPr="0030070C">
        <w:rPr>
          <w:rFonts w:ascii="Times New Roman" w:hAnsi="Times New Roman" w:cs="Times New Roman"/>
          <w:sz w:val="24"/>
          <w:szCs w:val="24"/>
        </w:rPr>
        <w:t>znacznie mni</w:t>
      </w:r>
      <w:r w:rsidRPr="0030070C">
        <w:rPr>
          <w:rFonts w:ascii="Times New Roman" w:hAnsi="Times New Roman" w:cs="Times New Roman"/>
          <w:sz w:val="24"/>
          <w:szCs w:val="24"/>
        </w:rPr>
        <w:t xml:space="preserve">ejszym niż dotychczas podmiotom. Po drugie, dzięki powyższej możliwości </w:t>
      </w:r>
      <w:r w:rsidR="00AB7DB4" w:rsidRPr="0030070C">
        <w:rPr>
          <w:rFonts w:ascii="Times New Roman" w:hAnsi="Times New Roman" w:cs="Times New Roman"/>
          <w:sz w:val="24"/>
          <w:szCs w:val="24"/>
        </w:rPr>
        <w:t xml:space="preserve">powinien wzrosnąć popyt na usługi </w:t>
      </w:r>
      <w:r w:rsidRPr="0030070C">
        <w:rPr>
          <w:rFonts w:ascii="Times New Roman" w:hAnsi="Times New Roman" w:cs="Times New Roman"/>
          <w:sz w:val="24"/>
          <w:szCs w:val="24"/>
        </w:rPr>
        <w:t xml:space="preserve">świadczone przez wyspecjalizowane firmy z branży elektroenergetycznej na rzecz mniejszych przedsiębiorców – w szczególności usługi </w:t>
      </w:r>
      <w:r w:rsidR="00AB7DB4" w:rsidRPr="0030070C">
        <w:rPr>
          <w:rFonts w:ascii="Times New Roman" w:hAnsi="Times New Roman" w:cs="Times New Roman"/>
          <w:sz w:val="24"/>
          <w:szCs w:val="24"/>
        </w:rPr>
        <w:t xml:space="preserve">bilansowania </w:t>
      </w:r>
      <w:r w:rsidRPr="0030070C">
        <w:rPr>
          <w:rFonts w:ascii="Times New Roman" w:hAnsi="Times New Roman" w:cs="Times New Roman"/>
          <w:sz w:val="24"/>
          <w:szCs w:val="24"/>
        </w:rPr>
        <w:t>handlowego i</w:t>
      </w:r>
      <w:r w:rsidR="00AB7DB4" w:rsidRPr="0030070C">
        <w:rPr>
          <w:rFonts w:ascii="Times New Roman" w:hAnsi="Times New Roman" w:cs="Times New Roman"/>
          <w:sz w:val="24"/>
          <w:szCs w:val="24"/>
        </w:rPr>
        <w:t xml:space="preserve"> agregacji</w:t>
      </w:r>
      <w:r w:rsidRPr="0030070C">
        <w:rPr>
          <w:rFonts w:ascii="Times New Roman" w:hAnsi="Times New Roman" w:cs="Times New Roman"/>
          <w:sz w:val="24"/>
          <w:szCs w:val="24"/>
        </w:rPr>
        <w:t>.</w:t>
      </w:r>
    </w:p>
    <w:p w14:paraId="11A7569D" w14:textId="171F6838" w:rsidR="003B03EA" w:rsidRPr="0030070C" w:rsidRDefault="00642F72">
      <w:pPr>
        <w:pStyle w:val="Akapitzlist"/>
        <w:numPr>
          <w:ilvl w:val="0"/>
          <w:numId w:val="2"/>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b/>
          <w:sz w:val="24"/>
          <w:szCs w:val="24"/>
        </w:rPr>
        <w:t>Notyfikacja przepisów technicznych</w:t>
      </w:r>
    </w:p>
    <w:p w14:paraId="2B7B4274" w14:textId="77777777" w:rsidR="006C00F6" w:rsidRPr="0030070C" w:rsidRDefault="006C00F6">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Projekt nie zawiera przepisów uznawanych za:</w:t>
      </w:r>
    </w:p>
    <w:p w14:paraId="32B12319" w14:textId="0AF2C6FD" w:rsidR="006C00F6" w:rsidRPr="0030070C" w:rsidRDefault="0034338E">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 </w:t>
      </w:r>
      <w:r w:rsidR="006C00F6" w:rsidRPr="0030070C">
        <w:rPr>
          <w:rFonts w:ascii="Times New Roman" w:hAnsi="Times New Roman" w:cs="Times New Roman"/>
          <w:sz w:val="24"/>
          <w:szCs w:val="24"/>
        </w:rPr>
        <w:t>specyfikacje techniczne,</w:t>
      </w:r>
    </w:p>
    <w:p w14:paraId="509C5072" w14:textId="0D36968C" w:rsidR="006C00F6" w:rsidRPr="0030070C" w:rsidRDefault="006C00F6">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w:t>
      </w:r>
      <w:r w:rsidR="0034338E" w:rsidRPr="0030070C">
        <w:rPr>
          <w:rFonts w:ascii="Times New Roman" w:hAnsi="Times New Roman" w:cs="Times New Roman"/>
          <w:sz w:val="24"/>
          <w:szCs w:val="24"/>
        </w:rPr>
        <w:t xml:space="preserve"> </w:t>
      </w:r>
      <w:r w:rsidRPr="0030070C">
        <w:rPr>
          <w:rFonts w:ascii="Times New Roman" w:hAnsi="Times New Roman" w:cs="Times New Roman"/>
          <w:sz w:val="24"/>
          <w:szCs w:val="24"/>
        </w:rPr>
        <w:t>inne wymagania,</w:t>
      </w:r>
    </w:p>
    <w:p w14:paraId="17C70181" w14:textId="4D923A36" w:rsidR="006C00F6" w:rsidRPr="0030070C" w:rsidRDefault="0034338E">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 </w:t>
      </w:r>
      <w:r w:rsidR="006C00F6" w:rsidRPr="0030070C">
        <w:rPr>
          <w:rFonts w:ascii="Times New Roman" w:hAnsi="Times New Roman" w:cs="Times New Roman"/>
          <w:sz w:val="24"/>
          <w:szCs w:val="24"/>
        </w:rPr>
        <w:t>zasady dotyczące usług społeczeństwa informacyjnego,</w:t>
      </w:r>
    </w:p>
    <w:p w14:paraId="48916E68" w14:textId="139533E6" w:rsidR="006C00F6" w:rsidRPr="0030070C" w:rsidRDefault="0034338E">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 </w:t>
      </w:r>
      <w:r w:rsidR="006C00F6" w:rsidRPr="0030070C">
        <w:rPr>
          <w:rFonts w:ascii="Times New Roman" w:hAnsi="Times New Roman" w:cs="Times New Roman"/>
          <w:sz w:val="24"/>
          <w:szCs w:val="24"/>
        </w:rPr>
        <w:t>przepisy zakazujące produkcji, przywozu, wprowadzania do obrotu i stosowania produktu lub zakazujące świadczenia bądź korzystania z usługi lub ustanawiania dostawcy usług</w:t>
      </w:r>
    </w:p>
    <w:p w14:paraId="0E455CA2" w14:textId="0950B8A3" w:rsidR="006C00F6" w:rsidRPr="0030070C" w:rsidRDefault="006C00F6">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w rozumieniu dyrektywy (UE) 2015/1535 Parlamentu Europejskiego i Rady z dnia 9 września 2015 r. ustanawiająca procedurę udzielania informacji w dziedzinie przepisów technicznych oraz zasad dotyczących usług społeczeństwa informacyjnego (ujednolicenie) (Dz. U</w:t>
      </w:r>
      <w:r w:rsidR="004022F0">
        <w:rPr>
          <w:rFonts w:ascii="Times New Roman" w:hAnsi="Times New Roman" w:cs="Times New Roman"/>
          <w:sz w:val="24"/>
          <w:szCs w:val="24"/>
        </w:rPr>
        <w:t>rz</w:t>
      </w:r>
      <w:r w:rsidRPr="0030070C">
        <w:rPr>
          <w:rFonts w:ascii="Times New Roman" w:hAnsi="Times New Roman" w:cs="Times New Roman"/>
          <w:sz w:val="24"/>
          <w:szCs w:val="24"/>
        </w:rPr>
        <w:t>. UE L</w:t>
      </w:r>
      <w:r w:rsidR="004022F0">
        <w:rPr>
          <w:rFonts w:ascii="Times New Roman" w:hAnsi="Times New Roman" w:cs="Times New Roman"/>
          <w:sz w:val="24"/>
          <w:szCs w:val="24"/>
        </w:rPr>
        <w:t xml:space="preserve"> 241</w:t>
      </w:r>
      <w:r w:rsidRPr="0030070C">
        <w:rPr>
          <w:rFonts w:ascii="Times New Roman" w:hAnsi="Times New Roman" w:cs="Times New Roman"/>
          <w:sz w:val="24"/>
          <w:szCs w:val="24"/>
        </w:rPr>
        <w:t xml:space="preserve"> z </w:t>
      </w:r>
      <w:r w:rsidR="004022F0">
        <w:rPr>
          <w:rFonts w:ascii="Times New Roman" w:hAnsi="Times New Roman" w:cs="Times New Roman"/>
          <w:sz w:val="24"/>
          <w:szCs w:val="24"/>
        </w:rPr>
        <w:t>17.09.</w:t>
      </w:r>
      <w:r w:rsidRPr="0030070C">
        <w:rPr>
          <w:rFonts w:ascii="Times New Roman" w:hAnsi="Times New Roman" w:cs="Times New Roman"/>
          <w:sz w:val="24"/>
          <w:szCs w:val="24"/>
        </w:rPr>
        <w:t>2015, str. 1) oraz przepisów ją implementujących.</w:t>
      </w:r>
    </w:p>
    <w:p w14:paraId="7C9EE4A5" w14:textId="15FF65F5" w:rsidR="006C00F6" w:rsidRPr="0030070C" w:rsidRDefault="006C00F6">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Projekt utrzymuje dotychczas obowiązujące wymagania, które mogłyby być przedmiotem notyfikacji technicznej.</w:t>
      </w:r>
    </w:p>
    <w:p w14:paraId="606ADF00" w14:textId="4805C2D7" w:rsidR="001944D8" w:rsidRPr="001944D8" w:rsidRDefault="001944D8">
      <w:pPr>
        <w:spacing w:before="60" w:afterLines="60" w:after="144" w:line="276" w:lineRule="auto"/>
        <w:contextualSpacing/>
        <w:mirrorIndents/>
        <w:jc w:val="both"/>
        <w:rPr>
          <w:rFonts w:ascii="Times New Roman" w:hAnsi="Times New Roman" w:cs="Times New Roman"/>
          <w:sz w:val="24"/>
          <w:szCs w:val="24"/>
        </w:rPr>
      </w:pPr>
      <w:r w:rsidRPr="001944D8">
        <w:rPr>
          <w:rFonts w:ascii="Times New Roman" w:hAnsi="Times New Roman" w:cs="Times New Roman"/>
          <w:sz w:val="24"/>
          <w:szCs w:val="24"/>
        </w:rPr>
        <w:t>Projekt rozporządzenia nie zawiera przepisów technicznych, a zatem nie podlega notyfikacji zgodnie z trybem przewidzianym w rozporządzeniu Rady Ministrów z dnia 23 grudnia 2002 r. w sprawie sposobu funkcjonowania krajowego systemu notyfikacji norm i aktów prawnych (Dz. U. poz. 2039 oraz z 2004 r. poz. 597).</w:t>
      </w:r>
    </w:p>
    <w:p w14:paraId="238413CA" w14:textId="77777777" w:rsidR="00642F72" w:rsidRPr="0030070C" w:rsidRDefault="00642F72">
      <w:pPr>
        <w:pStyle w:val="Akapitzlist"/>
        <w:numPr>
          <w:ilvl w:val="0"/>
          <w:numId w:val="2"/>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b/>
          <w:sz w:val="24"/>
          <w:szCs w:val="24"/>
        </w:rPr>
        <w:t>Zgodność z prawem Unii Europejskiej</w:t>
      </w:r>
    </w:p>
    <w:p w14:paraId="36210B4E" w14:textId="77777777" w:rsidR="001944D8" w:rsidRPr="001944D8" w:rsidRDefault="001944D8">
      <w:pPr>
        <w:spacing w:before="60" w:afterLines="60" w:after="144" w:line="276" w:lineRule="auto"/>
        <w:contextualSpacing/>
        <w:mirrorIndents/>
        <w:jc w:val="both"/>
        <w:rPr>
          <w:rFonts w:ascii="Times New Roman" w:hAnsi="Times New Roman" w:cs="Times New Roman"/>
          <w:sz w:val="24"/>
          <w:szCs w:val="24"/>
        </w:rPr>
      </w:pPr>
      <w:r w:rsidRPr="001944D8">
        <w:rPr>
          <w:rFonts w:ascii="Times New Roman" w:hAnsi="Times New Roman" w:cs="Times New Roman"/>
          <w:sz w:val="24"/>
          <w:szCs w:val="24"/>
        </w:rPr>
        <w:t xml:space="preserve">Projekt rozporządzenia nie jest sprzeczny z prawem Unii Europejskiej. </w:t>
      </w:r>
    </w:p>
    <w:p w14:paraId="2CBB8594" w14:textId="77777777" w:rsidR="001944D8" w:rsidRPr="001944D8" w:rsidRDefault="001944D8">
      <w:pPr>
        <w:spacing w:before="60" w:afterLines="60" w:after="144" w:line="276" w:lineRule="auto"/>
        <w:contextualSpacing/>
        <w:mirrorIndents/>
        <w:jc w:val="both"/>
        <w:rPr>
          <w:rFonts w:ascii="Times New Roman" w:hAnsi="Times New Roman" w:cs="Times New Roman"/>
          <w:sz w:val="24"/>
          <w:szCs w:val="24"/>
        </w:rPr>
      </w:pPr>
      <w:r w:rsidRPr="001944D8">
        <w:rPr>
          <w:rFonts w:ascii="Times New Roman" w:hAnsi="Times New Roman" w:cs="Times New Roman"/>
          <w:sz w:val="24"/>
          <w:szCs w:val="24"/>
        </w:rPr>
        <w:t>Projekt rozporządzenia nie wymaga przedstawienia organom i instytucjom Unii Europejskiej, w tym Europejskiemu Bankowi Centralnemu, w celu uzyskania opinii, dokonania powiadomienia, konsultacji albo uzgodnienia,</w:t>
      </w:r>
    </w:p>
    <w:p w14:paraId="75B89F73" w14:textId="77777777" w:rsidR="001944D8" w:rsidRPr="001944D8" w:rsidRDefault="001944D8">
      <w:pPr>
        <w:spacing w:before="60" w:afterLines="60" w:after="144" w:line="276" w:lineRule="auto"/>
        <w:contextualSpacing/>
        <w:mirrorIndents/>
        <w:jc w:val="both"/>
        <w:rPr>
          <w:rFonts w:ascii="Times New Roman" w:hAnsi="Times New Roman" w:cs="Times New Roman"/>
          <w:sz w:val="24"/>
          <w:szCs w:val="24"/>
        </w:rPr>
      </w:pPr>
      <w:r w:rsidRPr="001944D8">
        <w:rPr>
          <w:rFonts w:ascii="Times New Roman" w:hAnsi="Times New Roman" w:cs="Times New Roman"/>
          <w:sz w:val="24"/>
          <w:szCs w:val="24"/>
        </w:rPr>
        <w:t>Ponadto projekt zgodnie z:</w:t>
      </w:r>
    </w:p>
    <w:p w14:paraId="46CA07BF" w14:textId="02D6673D" w:rsidR="001944D8" w:rsidRPr="001944D8" w:rsidRDefault="005E50AA">
      <w:pPr>
        <w:pStyle w:val="Akapitzlist"/>
        <w:numPr>
          <w:ilvl w:val="0"/>
          <w:numId w:val="18"/>
        </w:numPr>
        <w:spacing w:before="60" w:afterLines="60" w:after="144" w:line="276" w:lineRule="auto"/>
        <w:ind w:left="284" w:hanging="284"/>
        <w:mirrorIndents/>
        <w:jc w:val="both"/>
        <w:rPr>
          <w:rFonts w:ascii="Times New Roman" w:hAnsi="Times New Roman" w:cs="Times New Roman"/>
          <w:sz w:val="24"/>
          <w:szCs w:val="24"/>
        </w:rPr>
      </w:pPr>
      <w:r w:rsidRPr="005E50AA">
        <w:rPr>
          <w:rFonts w:ascii="Times New Roman" w:eastAsia="Times New Roman" w:hAnsi="Times New Roman" w:cs="Times New Roman"/>
          <w:sz w:val="24"/>
          <w:szCs w:val="24"/>
        </w:rPr>
        <w:lastRenderedPageBreak/>
        <w:t>art. 5 ustawy z dnia 7 lipca 2005 r. o działalności lobbingowej w procesie stanowienia prawa (Dz. U. z 2017 r. poz. 248) w związku z</w:t>
      </w:r>
      <w:r w:rsidRPr="005E50AA">
        <w:rPr>
          <w:rFonts w:eastAsia="Times New Roman" w:cs="Times New Roman"/>
          <w:szCs w:val="24"/>
        </w:rPr>
        <w:t xml:space="preserve"> </w:t>
      </w:r>
      <w:r w:rsidR="001944D8" w:rsidRPr="001944D8">
        <w:rPr>
          <w:rFonts w:ascii="Times New Roman" w:hAnsi="Times New Roman" w:cs="Times New Roman"/>
          <w:sz w:val="24"/>
          <w:szCs w:val="24"/>
        </w:rPr>
        <w:t xml:space="preserve">§ 52 ust. 1 uchwały nr 190 Rady Ministrów z dnia 29 października 2013 r. – Regulamin pracy Rady Ministrów (M.P. z 2016 r. poz. 1006, z </w:t>
      </w:r>
      <w:proofErr w:type="spellStart"/>
      <w:r w:rsidR="001944D8" w:rsidRPr="001944D8">
        <w:rPr>
          <w:rFonts w:ascii="Times New Roman" w:hAnsi="Times New Roman" w:cs="Times New Roman"/>
          <w:sz w:val="24"/>
          <w:szCs w:val="24"/>
        </w:rPr>
        <w:t>późn</w:t>
      </w:r>
      <w:proofErr w:type="spellEnd"/>
      <w:r w:rsidR="001944D8" w:rsidRPr="001944D8">
        <w:rPr>
          <w:rFonts w:ascii="Times New Roman" w:hAnsi="Times New Roman" w:cs="Times New Roman"/>
          <w:sz w:val="24"/>
          <w:szCs w:val="24"/>
        </w:rPr>
        <w:t>. zm.) zostanie umieszczony w Biuletynie Informacji Publicznej na stronie podmiotowej Rządowego Centrum Legislacji, w serwisie Rządowy Proces Legislacyjny,</w:t>
      </w:r>
    </w:p>
    <w:p w14:paraId="7FCCD116" w14:textId="2C937958" w:rsidR="001944D8" w:rsidRPr="001944D8" w:rsidRDefault="001944D8">
      <w:pPr>
        <w:pStyle w:val="Akapitzlist"/>
        <w:numPr>
          <w:ilvl w:val="0"/>
          <w:numId w:val="18"/>
        </w:numPr>
        <w:spacing w:before="60" w:afterLines="60" w:after="144" w:line="276" w:lineRule="auto"/>
        <w:ind w:left="284" w:hanging="284"/>
        <w:mirrorIndents/>
        <w:jc w:val="both"/>
        <w:rPr>
          <w:rFonts w:ascii="Times New Roman" w:hAnsi="Times New Roman" w:cs="Times New Roman"/>
          <w:sz w:val="24"/>
          <w:szCs w:val="24"/>
        </w:rPr>
      </w:pPr>
      <w:r w:rsidRPr="001944D8">
        <w:rPr>
          <w:rFonts w:ascii="Times New Roman" w:hAnsi="Times New Roman" w:cs="Times New Roman"/>
          <w:sz w:val="24"/>
          <w:szCs w:val="24"/>
        </w:rPr>
        <w:t>art. 5 ustawy z dnia 7 lipca 2005 r. o działalności lobbingowej w procesie stanowienia prawa  zostanie udostępniony w Biuletynie Informacji Publicznej na stronie podmiotowej Ministerstwa Klimatu.</w:t>
      </w:r>
    </w:p>
    <w:p w14:paraId="5ABDC9CE" w14:textId="77777777" w:rsidR="001944D8" w:rsidRPr="0030070C" w:rsidRDefault="001944D8">
      <w:pPr>
        <w:spacing w:before="60" w:afterLines="60" w:after="144" w:line="276" w:lineRule="auto"/>
        <w:contextualSpacing/>
        <w:mirrorIndents/>
        <w:jc w:val="both"/>
        <w:rPr>
          <w:rFonts w:ascii="Times New Roman" w:hAnsi="Times New Roman" w:cs="Times New Roman"/>
          <w:sz w:val="24"/>
          <w:szCs w:val="24"/>
        </w:rPr>
      </w:pPr>
    </w:p>
    <w:p w14:paraId="6DB55CAF" w14:textId="77777777" w:rsidR="009C4FEE" w:rsidRPr="0030070C" w:rsidRDefault="00183FD6">
      <w:pPr>
        <w:pStyle w:val="Akapitzlist"/>
        <w:numPr>
          <w:ilvl w:val="0"/>
          <w:numId w:val="2"/>
        </w:numPr>
        <w:spacing w:before="60" w:afterLines="60" w:after="144" w:line="276" w:lineRule="auto"/>
        <w:mirrorIndents/>
        <w:jc w:val="both"/>
        <w:rPr>
          <w:rFonts w:ascii="Times New Roman" w:hAnsi="Times New Roman" w:cs="Times New Roman"/>
          <w:sz w:val="24"/>
          <w:szCs w:val="24"/>
        </w:rPr>
      </w:pPr>
      <w:r w:rsidRPr="0030070C">
        <w:rPr>
          <w:rFonts w:ascii="Times New Roman" w:hAnsi="Times New Roman" w:cs="Times New Roman"/>
          <w:b/>
          <w:sz w:val="24"/>
          <w:szCs w:val="24"/>
        </w:rPr>
        <w:t>Wejście w życie</w:t>
      </w:r>
    </w:p>
    <w:p w14:paraId="0743474A" w14:textId="03A139C7" w:rsidR="00E15E4A" w:rsidRPr="0030070C" w:rsidRDefault="006C00F6">
      <w:pPr>
        <w:spacing w:before="60" w:afterLines="60" w:after="144" w:line="276" w:lineRule="auto"/>
        <w:contextualSpacing/>
        <w:mirrorIndents/>
        <w:jc w:val="both"/>
        <w:rPr>
          <w:rFonts w:ascii="Times New Roman" w:hAnsi="Times New Roman" w:cs="Times New Roman"/>
          <w:sz w:val="24"/>
          <w:szCs w:val="24"/>
        </w:rPr>
      </w:pPr>
      <w:r w:rsidRPr="0030070C">
        <w:rPr>
          <w:rFonts w:ascii="Times New Roman" w:hAnsi="Times New Roman" w:cs="Times New Roman"/>
          <w:sz w:val="24"/>
          <w:szCs w:val="24"/>
        </w:rPr>
        <w:t xml:space="preserve">Rozporządzenie wchodzi w życie po upływie </w:t>
      </w:r>
      <w:r w:rsidR="00E15E4A" w:rsidRPr="0030070C">
        <w:rPr>
          <w:rFonts w:ascii="Times New Roman" w:hAnsi="Times New Roman" w:cs="Times New Roman"/>
          <w:sz w:val="24"/>
          <w:szCs w:val="24"/>
        </w:rPr>
        <w:t xml:space="preserve">14 dni od ogłoszenia, </w:t>
      </w:r>
      <w:r w:rsidR="0030070C">
        <w:rPr>
          <w:rFonts w:ascii="Times New Roman" w:hAnsi="Times New Roman" w:cs="Times New Roman"/>
          <w:sz w:val="24"/>
          <w:szCs w:val="24"/>
        </w:rPr>
        <w:t xml:space="preserve">z </w:t>
      </w:r>
      <w:r w:rsidR="000D7BA3">
        <w:rPr>
          <w:rFonts w:ascii="Times New Roman" w:hAnsi="Times New Roman" w:cs="Times New Roman"/>
          <w:sz w:val="24"/>
          <w:szCs w:val="24"/>
        </w:rPr>
        <w:t xml:space="preserve">wyjątkiem </w:t>
      </w:r>
      <w:r w:rsidR="001844A9">
        <w:rPr>
          <w:rFonts w:ascii="Times New Roman" w:hAnsi="Times New Roman" w:cs="Times New Roman"/>
          <w:sz w:val="24"/>
          <w:szCs w:val="24"/>
        </w:rPr>
        <w:t>§1 pkt 18-29, który wchodzi w życie z dniem 1 stycznia 2021 r.</w:t>
      </w:r>
    </w:p>
    <w:p w14:paraId="00D73B13" w14:textId="77777777" w:rsidR="00114516" w:rsidRPr="0030070C" w:rsidRDefault="00114516">
      <w:pPr>
        <w:spacing w:before="60" w:afterLines="60" w:after="144" w:line="276" w:lineRule="auto"/>
        <w:contextualSpacing/>
        <w:mirrorIndents/>
        <w:jc w:val="both"/>
        <w:rPr>
          <w:rFonts w:ascii="Times New Roman" w:hAnsi="Times New Roman" w:cs="Times New Roman"/>
          <w:sz w:val="24"/>
          <w:szCs w:val="24"/>
        </w:rPr>
      </w:pPr>
    </w:p>
    <w:sectPr w:rsidR="00114516" w:rsidRPr="003007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B8E5" w14:textId="77777777" w:rsidR="00715ED8" w:rsidRDefault="00715ED8" w:rsidP="00B456D0">
      <w:pPr>
        <w:spacing w:after="0" w:line="240" w:lineRule="auto"/>
      </w:pPr>
      <w:r>
        <w:separator/>
      </w:r>
    </w:p>
  </w:endnote>
  <w:endnote w:type="continuationSeparator" w:id="0">
    <w:p w14:paraId="7487C79A" w14:textId="77777777" w:rsidR="00715ED8" w:rsidRDefault="00715ED8" w:rsidP="00B456D0">
      <w:pPr>
        <w:spacing w:after="0" w:line="240" w:lineRule="auto"/>
      </w:pPr>
      <w:r>
        <w:continuationSeparator/>
      </w:r>
    </w:p>
  </w:endnote>
  <w:endnote w:type="continuationNotice" w:id="1">
    <w:p w14:paraId="078C67E7" w14:textId="77777777" w:rsidR="00715ED8" w:rsidRDefault="00715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0225" w14:textId="77777777" w:rsidR="00787B0B" w:rsidRDefault="00787B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413A" w14:textId="77777777" w:rsidR="00787B0B" w:rsidRDefault="00787B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AF70" w14:textId="77777777" w:rsidR="00787B0B" w:rsidRDefault="00787B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C090" w14:textId="77777777" w:rsidR="00715ED8" w:rsidRDefault="00715ED8" w:rsidP="00B456D0">
      <w:pPr>
        <w:spacing w:after="0" w:line="240" w:lineRule="auto"/>
      </w:pPr>
      <w:r>
        <w:separator/>
      </w:r>
    </w:p>
  </w:footnote>
  <w:footnote w:type="continuationSeparator" w:id="0">
    <w:p w14:paraId="15B6BE29" w14:textId="77777777" w:rsidR="00715ED8" w:rsidRDefault="00715ED8" w:rsidP="00B456D0">
      <w:pPr>
        <w:spacing w:after="0" w:line="240" w:lineRule="auto"/>
      </w:pPr>
      <w:r>
        <w:continuationSeparator/>
      </w:r>
    </w:p>
  </w:footnote>
  <w:footnote w:type="continuationNotice" w:id="1">
    <w:p w14:paraId="792BACFF" w14:textId="77777777" w:rsidR="00715ED8" w:rsidRDefault="00715ED8">
      <w:pPr>
        <w:spacing w:after="0" w:line="240" w:lineRule="auto"/>
      </w:pPr>
    </w:p>
  </w:footnote>
  <w:footnote w:id="2">
    <w:p w14:paraId="4E5DB5FB" w14:textId="467A44E2" w:rsidR="00B456D0" w:rsidRPr="0030070C" w:rsidRDefault="00B456D0" w:rsidP="00E83CDF">
      <w:pPr>
        <w:pStyle w:val="Tekstprzypisudolnego"/>
        <w:jc w:val="both"/>
        <w:rPr>
          <w:rFonts w:ascii="Times New Roman" w:hAnsi="Times New Roman" w:cs="Times New Roman"/>
        </w:rPr>
      </w:pPr>
      <w:r w:rsidRPr="0030070C">
        <w:rPr>
          <w:rStyle w:val="Odwoanieprzypisudolnego"/>
          <w:rFonts w:ascii="Times New Roman" w:hAnsi="Times New Roman" w:cs="Times New Roman"/>
        </w:rPr>
        <w:footnoteRef/>
      </w:r>
      <w:r w:rsidRPr="0030070C">
        <w:rPr>
          <w:rFonts w:ascii="Times New Roman" w:hAnsi="Times New Roman" w:cs="Times New Roman"/>
        </w:rPr>
        <w:t xml:space="preserve"> Dyrektywa Parlamentu Europejskiego i Rady 2009/72/WE z dnia 13 lipca 2009 dotycząca wspólnych zasad rynku wewnętrznego energii elektrycznej i uchylająca dyrektywę 2003/54/WE Dz. U</w:t>
      </w:r>
      <w:r w:rsidR="0046536C">
        <w:rPr>
          <w:rFonts w:ascii="Times New Roman" w:hAnsi="Times New Roman" w:cs="Times New Roman"/>
        </w:rPr>
        <w:t>rz</w:t>
      </w:r>
      <w:r w:rsidRPr="0030070C">
        <w:rPr>
          <w:rFonts w:ascii="Times New Roman" w:hAnsi="Times New Roman" w:cs="Times New Roman"/>
        </w:rPr>
        <w:t>. UE L</w:t>
      </w:r>
      <w:r w:rsidR="008F7BBC">
        <w:rPr>
          <w:rFonts w:ascii="Times New Roman" w:hAnsi="Times New Roman" w:cs="Times New Roman"/>
        </w:rPr>
        <w:t xml:space="preserve"> </w:t>
      </w:r>
      <w:r w:rsidR="0046536C">
        <w:rPr>
          <w:rFonts w:ascii="Times New Roman" w:hAnsi="Times New Roman" w:cs="Times New Roman"/>
        </w:rPr>
        <w:t>211</w:t>
      </w:r>
      <w:r w:rsidRPr="0030070C">
        <w:rPr>
          <w:rFonts w:ascii="Times New Roman" w:hAnsi="Times New Roman" w:cs="Times New Roman"/>
        </w:rPr>
        <w:t xml:space="preserve"> z </w:t>
      </w:r>
      <w:r w:rsidR="0046536C">
        <w:rPr>
          <w:rFonts w:ascii="Times New Roman" w:hAnsi="Times New Roman" w:cs="Times New Roman"/>
        </w:rPr>
        <w:t>14.08.</w:t>
      </w:r>
      <w:r w:rsidRPr="0030070C">
        <w:rPr>
          <w:rFonts w:ascii="Times New Roman" w:hAnsi="Times New Roman" w:cs="Times New Roman"/>
        </w:rPr>
        <w:t>2009, str. 55</w:t>
      </w:r>
      <w:r w:rsidR="008F7BBC">
        <w:rPr>
          <w:rFonts w:ascii="Times New Roman" w:hAnsi="Times New Roman" w:cs="Times New Roman"/>
        </w:rPr>
        <w:t>,</w:t>
      </w:r>
      <w:r w:rsidR="0046536C">
        <w:rPr>
          <w:rFonts w:ascii="Times New Roman" w:hAnsi="Times New Roman" w:cs="Times New Roman"/>
        </w:rPr>
        <w:t xml:space="preserve"> z </w:t>
      </w:r>
      <w:proofErr w:type="spellStart"/>
      <w:r w:rsidR="0046536C">
        <w:rPr>
          <w:rFonts w:ascii="Times New Roman" w:hAnsi="Times New Roman" w:cs="Times New Roman"/>
        </w:rPr>
        <w:t>późn</w:t>
      </w:r>
      <w:proofErr w:type="spellEnd"/>
      <w:r w:rsidR="0046536C">
        <w:rPr>
          <w:rFonts w:ascii="Times New Roman" w:hAnsi="Times New Roman" w:cs="Times New Roman"/>
        </w:rPr>
        <w:t>. zm</w:t>
      </w:r>
      <w:r w:rsidRPr="0030070C">
        <w:rPr>
          <w:rFonts w:ascii="Times New Roman" w:hAnsi="Times New Roman" w:cs="Times New Roman"/>
        </w:rPr>
        <w:t>.), Rozporządzenie Parlamentu Europejskiego i Rady (WE) nr 714/2009 z dnia 13 lipca 2009 r. w sprawie warunków dostępu do sieci w odniesieniu do transgranicznej wymiany energii elektrycznej i uchylające rozporządzenie (WE) nr 1228/2003 (Dz. U</w:t>
      </w:r>
      <w:r w:rsidR="0046536C">
        <w:rPr>
          <w:rFonts w:ascii="Times New Roman" w:hAnsi="Times New Roman" w:cs="Times New Roman"/>
        </w:rPr>
        <w:t>rz</w:t>
      </w:r>
      <w:r w:rsidRPr="0030070C">
        <w:rPr>
          <w:rFonts w:ascii="Times New Roman" w:hAnsi="Times New Roman" w:cs="Times New Roman"/>
        </w:rPr>
        <w:t>. UE L</w:t>
      </w:r>
      <w:r w:rsidR="0046536C">
        <w:rPr>
          <w:rFonts w:ascii="Times New Roman" w:hAnsi="Times New Roman" w:cs="Times New Roman"/>
        </w:rPr>
        <w:t xml:space="preserve"> 211</w:t>
      </w:r>
      <w:r w:rsidRPr="0030070C">
        <w:rPr>
          <w:rFonts w:ascii="Times New Roman" w:hAnsi="Times New Roman" w:cs="Times New Roman"/>
        </w:rPr>
        <w:t xml:space="preserve"> z </w:t>
      </w:r>
      <w:r w:rsidR="00800147">
        <w:rPr>
          <w:rFonts w:ascii="Times New Roman" w:hAnsi="Times New Roman" w:cs="Times New Roman"/>
        </w:rPr>
        <w:t>14.08.</w:t>
      </w:r>
      <w:r w:rsidRPr="0030070C">
        <w:rPr>
          <w:rFonts w:ascii="Times New Roman" w:hAnsi="Times New Roman" w:cs="Times New Roman"/>
        </w:rPr>
        <w:t>2009, str. 15</w:t>
      </w:r>
      <w:r w:rsidR="008F7BBC">
        <w:rPr>
          <w:rFonts w:ascii="Times New Roman" w:hAnsi="Times New Roman" w:cs="Times New Roman"/>
        </w:rPr>
        <w:t>,</w:t>
      </w:r>
      <w:r w:rsidRPr="0030070C">
        <w:rPr>
          <w:rFonts w:ascii="Times New Roman" w:hAnsi="Times New Roman" w:cs="Times New Roman"/>
        </w:rPr>
        <w:t xml:space="preserve"> z </w:t>
      </w:r>
      <w:proofErr w:type="spellStart"/>
      <w:r w:rsidRPr="0030070C">
        <w:rPr>
          <w:rFonts w:ascii="Times New Roman" w:hAnsi="Times New Roman" w:cs="Times New Roman"/>
        </w:rPr>
        <w:t>późn</w:t>
      </w:r>
      <w:proofErr w:type="spellEnd"/>
      <w:r w:rsidRPr="0030070C">
        <w:rPr>
          <w:rFonts w:ascii="Times New Roman" w:hAnsi="Times New Roman" w:cs="Times New Roman"/>
        </w:rPr>
        <w:t>. zm.), Rozporządzenie Parlamentu Europejskiego i Rady (WE) Nr 713/2009 z dnia 13 lipca ustanawiające Agencję ds. Współpracy Organów Regulacji Energetyki (Dz. U</w:t>
      </w:r>
      <w:r w:rsidR="009C28B0">
        <w:rPr>
          <w:rFonts w:ascii="Times New Roman" w:hAnsi="Times New Roman" w:cs="Times New Roman"/>
        </w:rPr>
        <w:t>rz</w:t>
      </w:r>
      <w:r w:rsidRPr="0030070C">
        <w:rPr>
          <w:rFonts w:ascii="Times New Roman" w:hAnsi="Times New Roman" w:cs="Times New Roman"/>
        </w:rPr>
        <w:t>. UE L</w:t>
      </w:r>
      <w:r w:rsidR="009C28B0">
        <w:rPr>
          <w:rFonts w:ascii="Times New Roman" w:hAnsi="Times New Roman" w:cs="Times New Roman"/>
        </w:rPr>
        <w:t xml:space="preserve"> 211</w:t>
      </w:r>
      <w:r w:rsidRPr="0030070C">
        <w:rPr>
          <w:rFonts w:ascii="Times New Roman" w:hAnsi="Times New Roman" w:cs="Times New Roman"/>
        </w:rPr>
        <w:t xml:space="preserve"> z </w:t>
      </w:r>
      <w:r w:rsidR="009C28B0">
        <w:rPr>
          <w:rFonts w:ascii="Times New Roman" w:hAnsi="Times New Roman" w:cs="Times New Roman"/>
        </w:rPr>
        <w:t>14.08.</w:t>
      </w:r>
      <w:r w:rsidRPr="0030070C">
        <w:rPr>
          <w:rFonts w:ascii="Times New Roman" w:hAnsi="Times New Roman" w:cs="Times New Roman"/>
        </w:rPr>
        <w:t>2009 r. Nr 211, str. 1</w:t>
      </w:r>
      <w:r w:rsidR="008F7BBC">
        <w:rPr>
          <w:rFonts w:ascii="Times New Roman" w:hAnsi="Times New Roman" w:cs="Times New Roman"/>
        </w:rPr>
        <w:t xml:space="preserve">, </w:t>
      </w:r>
      <w:r w:rsidR="009C28B0">
        <w:rPr>
          <w:rFonts w:ascii="Times New Roman" w:hAnsi="Times New Roman" w:cs="Times New Roman"/>
        </w:rPr>
        <w:t xml:space="preserve">z </w:t>
      </w:r>
      <w:proofErr w:type="spellStart"/>
      <w:r w:rsidR="009C28B0">
        <w:rPr>
          <w:rFonts w:ascii="Times New Roman" w:hAnsi="Times New Roman" w:cs="Times New Roman"/>
        </w:rPr>
        <w:t>późn</w:t>
      </w:r>
      <w:proofErr w:type="spellEnd"/>
      <w:r w:rsidR="009C28B0">
        <w:rPr>
          <w:rFonts w:ascii="Times New Roman" w:hAnsi="Times New Roman" w:cs="Times New Roman"/>
        </w:rPr>
        <w:t>. zm</w:t>
      </w:r>
      <w:r w:rsidRPr="0030070C">
        <w:rPr>
          <w:rFonts w:ascii="Times New Roman" w:hAnsi="Times New Roman" w:cs="Times New Roman"/>
        </w:rPr>
        <w:t>.).</w:t>
      </w:r>
    </w:p>
  </w:footnote>
  <w:footnote w:id="3">
    <w:p w14:paraId="44705383" w14:textId="1893668E" w:rsidR="00DE61F6" w:rsidRPr="008F7BBC" w:rsidRDefault="00DE61F6" w:rsidP="00223CD8">
      <w:pPr>
        <w:pStyle w:val="Tekstprzypisudolnego"/>
        <w:jc w:val="both"/>
        <w:rPr>
          <w:rFonts w:ascii="Times New Roman" w:hAnsi="Times New Roman" w:cs="Times New Roman"/>
        </w:rPr>
      </w:pPr>
      <w:r w:rsidRPr="0030070C">
        <w:rPr>
          <w:rStyle w:val="Odwoanieprzypisudolnego"/>
          <w:rFonts w:ascii="Times New Roman" w:hAnsi="Times New Roman" w:cs="Times New Roman"/>
        </w:rPr>
        <w:footnoteRef/>
      </w:r>
      <w:r w:rsidRPr="008F7BBC">
        <w:rPr>
          <w:rFonts w:ascii="Times New Roman" w:hAnsi="Times New Roman" w:cs="Times New Roman"/>
        </w:rPr>
        <w:t xml:space="preserve"> </w:t>
      </w:r>
      <w:r w:rsidR="00223CD8" w:rsidRPr="00223CD8">
        <w:rPr>
          <w:rFonts w:ascii="Times New Roman" w:hAnsi="Times New Roman" w:cs="Times New Roman"/>
        </w:rPr>
        <w:t xml:space="preserve">Komunikat Komisji do Parlamentu Europejskiego, Rady, Europejskiego Komitetu Ekonomiczno-Społecznego, Komitetu Regionów oraz Europejskiego Banku Inwestycyjnego </w:t>
      </w:r>
      <w:r w:rsidR="00223CD8" w:rsidRPr="008F7BBC">
        <w:rPr>
          <w:rFonts w:ascii="Times New Roman" w:hAnsi="Times New Roman" w:cs="Times New Roman"/>
          <w:i/>
        </w:rPr>
        <w:t>Czysta energia dla wszystkich Europejczyków</w:t>
      </w:r>
      <w:r w:rsidR="00223CD8">
        <w:rPr>
          <w:rFonts w:ascii="Times New Roman" w:hAnsi="Times New Roman" w:cs="Times New Roman"/>
        </w:rPr>
        <w:t xml:space="preserve">, </w:t>
      </w:r>
      <w:bookmarkStart w:id="0" w:name="_Hlk48219590"/>
      <w:r w:rsidR="00223CD8" w:rsidRPr="00223CD8">
        <w:rPr>
          <w:rFonts w:ascii="Times New Roman" w:hAnsi="Times New Roman" w:cs="Times New Roman"/>
        </w:rPr>
        <w:t xml:space="preserve">COM/2016/0860 </w:t>
      </w:r>
      <w:proofErr w:type="spellStart"/>
      <w:r w:rsidR="00223CD8" w:rsidRPr="00223CD8">
        <w:rPr>
          <w:rFonts w:ascii="Times New Roman" w:hAnsi="Times New Roman" w:cs="Times New Roman"/>
        </w:rPr>
        <w:t>final</w:t>
      </w:r>
      <w:bookmarkEnd w:id="0"/>
      <w:proofErr w:type="spellEnd"/>
      <w:r w:rsidR="00223CD8">
        <w:rPr>
          <w:rFonts w:ascii="Times New Roman" w:hAnsi="Times New Roman" w:cs="Times New Roman"/>
        </w:rPr>
        <w:t>.</w:t>
      </w:r>
    </w:p>
  </w:footnote>
  <w:footnote w:id="4">
    <w:p w14:paraId="152EE42E" w14:textId="69D201CB" w:rsidR="00E83CDF" w:rsidRPr="0030070C" w:rsidRDefault="00E83CDF" w:rsidP="00E83CDF">
      <w:pPr>
        <w:pStyle w:val="Tekstprzypisudolnego"/>
        <w:jc w:val="both"/>
        <w:rPr>
          <w:rFonts w:ascii="Times New Roman" w:hAnsi="Times New Roman" w:cs="Times New Roman"/>
        </w:rPr>
      </w:pPr>
      <w:r w:rsidRPr="0030070C">
        <w:rPr>
          <w:rStyle w:val="Odwoanieprzypisudolnego"/>
          <w:rFonts w:ascii="Times New Roman" w:hAnsi="Times New Roman" w:cs="Times New Roman"/>
        </w:rPr>
        <w:footnoteRef/>
      </w:r>
      <w:r w:rsidRPr="0030070C">
        <w:rPr>
          <w:rFonts w:ascii="Times New Roman" w:hAnsi="Times New Roman" w:cs="Times New Roman"/>
        </w:rPr>
        <w:t xml:space="preserve"> Dz. U</w:t>
      </w:r>
      <w:r w:rsidR="002058A4">
        <w:rPr>
          <w:rFonts w:ascii="Times New Roman" w:hAnsi="Times New Roman" w:cs="Times New Roman"/>
        </w:rPr>
        <w:t>rz</w:t>
      </w:r>
      <w:r w:rsidRPr="0030070C">
        <w:rPr>
          <w:rFonts w:ascii="Times New Roman" w:hAnsi="Times New Roman" w:cs="Times New Roman"/>
        </w:rPr>
        <w:t>. UE C 462</w:t>
      </w:r>
      <w:r w:rsidR="002058A4">
        <w:rPr>
          <w:rFonts w:ascii="Times New Roman" w:hAnsi="Times New Roman" w:cs="Times New Roman"/>
        </w:rPr>
        <w:t xml:space="preserve"> z</w:t>
      </w:r>
      <w:r w:rsidR="002058A4" w:rsidRPr="0030070C">
        <w:rPr>
          <w:rFonts w:ascii="Times New Roman" w:hAnsi="Times New Roman" w:cs="Times New Roman"/>
        </w:rPr>
        <w:t xml:space="preserve"> </w:t>
      </w:r>
      <w:r w:rsidRPr="0030070C">
        <w:rPr>
          <w:rFonts w:ascii="Times New Roman" w:hAnsi="Times New Roman" w:cs="Times New Roman"/>
        </w:rPr>
        <w:t>21.12.2018, s</w:t>
      </w:r>
      <w:r w:rsidR="002058A4">
        <w:rPr>
          <w:rFonts w:ascii="Times New Roman" w:hAnsi="Times New Roman" w:cs="Times New Roman"/>
        </w:rPr>
        <w:t>tr</w:t>
      </w:r>
      <w:r w:rsidRPr="0030070C">
        <w:rPr>
          <w:rFonts w:ascii="Times New Roman" w:hAnsi="Times New Roman" w:cs="Times New Roman"/>
        </w:rPr>
        <w:t>. 1–8.</w:t>
      </w:r>
    </w:p>
  </w:footnote>
  <w:footnote w:id="5">
    <w:p w14:paraId="3D54FD77" w14:textId="20BE8602" w:rsidR="00E83CDF" w:rsidRPr="00B77871" w:rsidRDefault="00E83CDF" w:rsidP="00E83CDF">
      <w:pPr>
        <w:pStyle w:val="Tekstprzypisudolnego"/>
        <w:jc w:val="both"/>
        <w:rPr>
          <w:rFonts w:ascii="Times New Roman" w:hAnsi="Times New Roman" w:cs="Times New Roman"/>
          <w:lang w:val="en-US"/>
        </w:rPr>
      </w:pPr>
      <w:r w:rsidRPr="0030070C">
        <w:rPr>
          <w:rStyle w:val="Odwoanieprzypisudolnego"/>
          <w:rFonts w:ascii="Times New Roman" w:hAnsi="Times New Roman" w:cs="Times New Roman"/>
        </w:rPr>
        <w:footnoteRef/>
      </w:r>
      <w:r w:rsidRPr="00B77871">
        <w:rPr>
          <w:rFonts w:ascii="Times New Roman" w:hAnsi="Times New Roman" w:cs="Times New Roman"/>
          <w:lang w:val="en-US"/>
        </w:rPr>
        <w:t xml:space="preserve"> </w:t>
      </w:r>
      <w:hyperlink r:id="rId1" w:history="1">
        <w:r w:rsidR="00737C5D" w:rsidRPr="00B77871">
          <w:rPr>
            <w:rStyle w:val="Hipercze"/>
            <w:rFonts w:ascii="Times New Roman" w:hAnsi="Times New Roman" w:cs="Times New Roman"/>
            <w:lang w:val="en-US"/>
          </w:rPr>
          <w:t>https://www.gov.pl/web/klimat/plan-wdrazania-reform-rynku-energii-elektrycznej-przyjety</w:t>
        </w:r>
      </w:hyperlink>
      <w:r w:rsidR="006D65CC" w:rsidRPr="00B77871">
        <w:rPr>
          <w:rFonts w:ascii="Times New Roman" w:hAnsi="Times New Roman" w:cs="Times New Roman"/>
          <w:lang w:val="en-US"/>
        </w:rPr>
        <w:t xml:space="preserve">, </w:t>
      </w:r>
      <w:proofErr w:type="spellStart"/>
      <w:r w:rsidR="006D65CC" w:rsidRPr="00B77871">
        <w:rPr>
          <w:rFonts w:ascii="Times New Roman" w:hAnsi="Times New Roman" w:cs="Times New Roman"/>
          <w:lang w:val="en-US"/>
        </w:rPr>
        <w:t>dostęp</w:t>
      </w:r>
      <w:proofErr w:type="spellEnd"/>
      <w:r w:rsidR="006D65CC" w:rsidRPr="00B77871">
        <w:rPr>
          <w:rFonts w:ascii="Times New Roman" w:hAnsi="Times New Roman" w:cs="Times New Roman"/>
          <w:lang w:val="en-US"/>
        </w:rPr>
        <w:t xml:space="preserve"> online 08/06/2020</w:t>
      </w:r>
    </w:p>
  </w:footnote>
  <w:footnote w:id="6">
    <w:p w14:paraId="35731DA0" w14:textId="77777777" w:rsidR="005B35E2" w:rsidRPr="0030070C" w:rsidRDefault="005B35E2" w:rsidP="005B35E2">
      <w:pPr>
        <w:pStyle w:val="Tekstprzypisudolnego"/>
        <w:rPr>
          <w:rFonts w:ascii="Times New Roman" w:hAnsi="Times New Roman" w:cs="Times New Roman"/>
          <w:lang w:val="en-US"/>
        </w:rPr>
      </w:pPr>
      <w:r w:rsidRPr="0030070C">
        <w:rPr>
          <w:rStyle w:val="Odwoanieprzypisudolnego"/>
          <w:rFonts w:ascii="Times New Roman" w:hAnsi="Times New Roman" w:cs="Times New Roman"/>
        </w:rPr>
        <w:footnoteRef/>
      </w:r>
      <w:r w:rsidRPr="0030070C">
        <w:rPr>
          <w:rFonts w:ascii="Times New Roman" w:hAnsi="Times New Roman" w:cs="Times New Roman"/>
          <w:lang w:val="en-US"/>
        </w:rPr>
        <w:t xml:space="preserve"> </w:t>
      </w:r>
      <w:hyperlink r:id="rId2" w:history="1">
        <w:r w:rsidRPr="0030070C">
          <w:rPr>
            <w:rStyle w:val="Hipercze"/>
            <w:rFonts w:ascii="Times New Roman" w:hAnsi="Times New Roman" w:cs="Times New Roman"/>
            <w:lang w:val="en-US"/>
          </w:rPr>
          <w:t>https://www.pse.pl/biuro-prasowe/aktualnosci/-/asset_publisher/fwWgbbtxcZUt/content/informacja-w-sprawie-procesu-konsultacji-koncepcji-zmian-zasad-funkcjonowania-rynku-bilansujacego</w:t>
        </w:r>
      </w:hyperlink>
      <w:r w:rsidRPr="0030070C">
        <w:rPr>
          <w:rFonts w:ascii="Times New Roman" w:hAnsi="Times New Roman" w:cs="Times New Roman"/>
          <w:lang w:val="en-US"/>
        </w:rPr>
        <w:t xml:space="preserve">, </w:t>
      </w:r>
      <w:proofErr w:type="spellStart"/>
      <w:r w:rsidRPr="0030070C">
        <w:rPr>
          <w:rFonts w:ascii="Times New Roman" w:hAnsi="Times New Roman" w:cs="Times New Roman"/>
          <w:lang w:val="en-US"/>
        </w:rPr>
        <w:t>dostęp</w:t>
      </w:r>
      <w:proofErr w:type="spellEnd"/>
      <w:r w:rsidRPr="0030070C">
        <w:rPr>
          <w:rFonts w:ascii="Times New Roman" w:hAnsi="Times New Roman" w:cs="Times New Roman"/>
          <w:lang w:val="en-US"/>
        </w:rPr>
        <w:t xml:space="preserve"> online 08/06/2020</w:t>
      </w:r>
    </w:p>
  </w:footnote>
  <w:footnote w:id="7">
    <w:p w14:paraId="7D320471" w14:textId="00D95A68" w:rsidR="00E83CDF" w:rsidRPr="0030070C" w:rsidRDefault="00E83CDF" w:rsidP="00E83CDF">
      <w:pPr>
        <w:pStyle w:val="Tekstprzypisudolnego"/>
        <w:jc w:val="both"/>
        <w:rPr>
          <w:rFonts w:ascii="Times New Roman" w:hAnsi="Times New Roman" w:cs="Times New Roman"/>
        </w:rPr>
      </w:pPr>
      <w:r w:rsidRPr="0030070C">
        <w:rPr>
          <w:rStyle w:val="Odwoanieprzypisudolnego"/>
          <w:rFonts w:ascii="Times New Roman" w:hAnsi="Times New Roman" w:cs="Times New Roman"/>
        </w:rPr>
        <w:footnoteRef/>
      </w:r>
      <w:r w:rsidRPr="0030070C">
        <w:rPr>
          <w:rFonts w:ascii="Times New Roman" w:hAnsi="Times New Roman" w:cs="Times New Roman"/>
        </w:rPr>
        <w:t xml:space="preserve"> Rozporządzenie Komisji (UE) 2016/631 z dnia 14 kwietnia 2016 r. ustanawiające kodeks sieci dotyczący wymogów w zakresie przyłączenia jednostek wytwórczych do sieci (Dz. Urz. UE L 112 z 27.04.2016, str. 1), rozporządzenie Komisji (UE) 2016/1388 z dnia 17 sierpnia 2016 r. ustanawiającego kodeks sieci dotyczący przyłączenia odbioru (Dz. Urz. UE L 223 z 18.08.2016, str. 10), rozporządzenie Komisji (UE) 2016/1447 z dnia 26 sierpnia 2016 r. ustanawiające kodeks sieci określający wymogi dotyczące przyłączenia do sieci systemów wysokiego napięcia prądu stałego oraz modułów parku energii z podłączeniem prądu stałego (Dz. Urz. UE L 241 z 08.09.2016,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E2D0" w14:textId="77777777" w:rsidR="00787B0B" w:rsidRDefault="00787B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25E3" w14:textId="77777777" w:rsidR="00787B0B" w:rsidRDefault="00787B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226" w14:textId="77777777" w:rsidR="00787B0B" w:rsidRDefault="00787B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B62"/>
    <w:multiLevelType w:val="hybridMultilevel"/>
    <w:tmpl w:val="A7FCF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065D1"/>
    <w:multiLevelType w:val="hybridMultilevel"/>
    <w:tmpl w:val="AFA60D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D5B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54C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260C9C"/>
    <w:multiLevelType w:val="hybridMultilevel"/>
    <w:tmpl w:val="ED068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48C"/>
    <w:multiLevelType w:val="hybridMultilevel"/>
    <w:tmpl w:val="C5388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3308B6"/>
    <w:multiLevelType w:val="hybridMultilevel"/>
    <w:tmpl w:val="E0AEF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7F0D26"/>
    <w:multiLevelType w:val="hybridMultilevel"/>
    <w:tmpl w:val="4C8E4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4E6EB0"/>
    <w:multiLevelType w:val="hybridMultilevel"/>
    <w:tmpl w:val="2838617A"/>
    <w:lvl w:ilvl="0" w:tplc="04150001">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9" w15:restartNumberingAfterBreak="0">
    <w:nsid w:val="389D18BA"/>
    <w:multiLevelType w:val="multilevel"/>
    <w:tmpl w:val="04741B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354B25"/>
    <w:multiLevelType w:val="hybridMultilevel"/>
    <w:tmpl w:val="FFEED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A51FD3"/>
    <w:multiLevelType w:val="hybridMultilevel"/>
    <w:tmpl w:val="53F2C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E83898"/>
    <w:multiLevelType w:val="multilevel"/>
    <w:tmpl w:val="74D6B98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5ECF6855"/>
    <w:multiLevelType w:val="hybridMultilevel"/>
    <w:tmpl w:val="C5886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FC12E7"/>
    <w:multiLevelType w:val="hybridMultilevel"/>
    <w:tmpl w:val="B85C2D54"/>
    <w:lvl w:ilvl="0" w:tplc="04150003">
      <w:start w:val="1"/>
      <w:numFmt w:val="bullet"/>
      <w:lvlText w:val="o"/>
      <w:lvlJc w:val="left"/>
      <w:pPr>
        <w:ind w:left="1282" w:hanging="360"/>
      </w:pPr>
      <w:rPr>
        <w:rFonts w:ascii="Courier New" w:hAnsi="Courier New" w:cs="Courier New" w:hint="default"/>
      </w:rPr>
    </w:lvl>
    <w:lvl w:ilvl="1" w:tplc="04150003" w:tentative="1">
      <w:start w:val="1"/>
      <w:numFmt w:val="bullet"/>
      <w:lvlText w:val="o"/>
      <w:lvlJc w:val="left"/>
      <w:pPr>
        <w:ind w:left="2002" w:hanging="360"/>
      </w:pPr>
      <w:rPr>
        <w:rFonts w:ascii="Courier New" w:hAnsi="Courier New" w:cs="Courier New" w:hint="default"/>
      </w:rPr>
    </w:lvl>
    <w:lvl w:ilvl="2" w:tplc="04150005" w:tentative="1">
      <w:start w:val="1"/>
      <w:numFmt w:val="bullet"/>
      <w:lvlText w:val=""/>
      <w:lvlJc w:val="left"/>
      <w:pPr>
        <w:ind w:left="2722" w:hanging="360"/>
      </w:pPr>
      <w:rPr>
        <w:rFonts w:ascii="Wingdings" w:hAnsi="Wingdings" w:hint="default"/>
      </w:rPr>
    </w:lvl>
    <w:lvl w:ilvl="3" w:tplc="04150001" w:tentative="1">
      <w:start w:val="1"/>
      <w:numFmt w:val="bullet"/>
      <w:lvlText w:val=""/>
      <w:lvlJc w:val="left"/>
      <w:pPr>
        <w:ind w:left="3442" w:hanging="360"/>
      </w:pPr>
      <w:rPr>
        <w:rFonts w:ascii="Symbol" w:hAnsi="Symbol" w:hint="default"/>
      </w:rPr>
    </w:lvl>
    <w:lvl w:ilvl="4" w:tplc="04150003" w:tentative="1">
      <w:start w:val="1"/>
      <w:numFmt w:val="bullet"/>
      <w:lvlText w:val="o"/>
      <w:lvlJc w:val="left"/>
      <w:pPr>
        <w:ind w:left="4162" w:hanging="360"/>
      </w:pPr>
      <w:rPr>
        <w:rFonts w:ascii="Courier New" w:hAnsi="Courier New" w:cs="Courier New" w:hint="default"/>
      </w:rPr>
    </w:lvl>
    <w:lvl w:ilvl="5" w:tplc="04150005" w:tentative="1">
      <w:start w:val="1"/>
      <w:numFmt w:val="bullet"/>
      <w:lvlText w:val=""/>
      <w:lvlJc w:val="left"/>
      <w:pPr>
        <w:ind w:left="4882" w:hanging="360"/>
      </w:pPr>
      <w:rPr>
        <w:rFonts w:ascii="Wingdings" w:hAnsi="Wingdings" w:hint="default"/>
      </w:rPr>
    </w:lvl>
    <w:lvl w:ilvl="6" w:tplc="04150001" w:tentative="1">
      <w:start w:val="1"/>
      <w:numFmt w:val="bullet"/>
      <w:lvlText w:val=""/>
      <w:lvlJc w:val="left"/>
      <w:pPr>
        <w:ind w:left="5602" w:hanging="360"/>
      </w:pPr>
      <w:rPr>
        <w:rFonts w:ascii="Symbol" w:hAnsi="Symbol" w:hint="default"/>
      </w:rPr>
    </w:lvl>
    <w:lvl w:ilvl="7" w:tplc="04150003" w:tentative="1">
      <w:start w:val="1"/>
      <w:numFmt w:val="bullet"/>
      <w:lvlText w:val="o"/>
      <w:lvlJc w:val="left"/>
      <w:pPr>
        <w:ind w:left="6322" w:hanging="360"/>
      </w:pPr>
      <w:rPr>
        <w:rFonts w:ascii="Courier New" w:hAnsi="Courier New" w:cs="Courier New" w:hint="default"/>
      </w:rPr>
    </w:lvl>
    <w:lvl w:ilvl="8" w:tplc="04150005" w:tentative="1">
      <w:start w:val="1"/>
      <w:numFmt w:val="bullet"/>
      <w:lvlText w:val=""/>
      <w:lvlJc w:val="left"/>
      <w:pPr>
        <w:ind w:left="7042" w:hanging="360"/>
      </w:pPr>
      <w:rPr>
        <w:rFonts w:ascii="Wingdings" w:hAnsi="Wingdings" w:hint="default"/>
      </w:rPr>
    </w:lvl>
  </w:abstractNum>
  <w:abstractNum w:abstractNumId="15" w15:restartNumberingAfterBreak="0">
    <w:nsid w:val="69FF2A13"/>
    <w:multiLevelType w:val="hybridMultilevel"/>
    <w:tmpl w:val="9184F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AC3902"/>
    <w:multiLevelType w:val="hybridMultilevel"/>
    <w:tmpl w:val="81E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992A65"/>
    <w:multiLevelType w:val="hybridMultilevel"/>
    <w:tmpl w:val="3D020544"/>
    <w:lvl w:ilvl="0" w:tplc="C910ECA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4"/>
  </w:num>
  <w:num w:numId="5">
    <w:abstractNumId w:val="16"/>
  </w:num>
  <w:num w:numId="6">
    <w:abstractNumId w:val="5"/>
  </w:num>
  <w:num w:numId="7">
    <w:abstractNumId w:val="4"/>
  </w:num>
  <w:num w:numId="8">
    <w:abstractNumId w:val="15"/>
  </w:num>
  <w:num w:numId="9">
    <w:abstractNumId w:val="7"/>
  </w:num>
  <w:num w:numId="10">
    <w:abstractNumId w:val="11"/>
  </w:num>
  <w:num w:numId="11">
    <w:abstractNumId w:val="1"/>
  </w:num>
  <w:num w:numId="12">
    <w:abstractNumId w:val="13"/>
  </w:num>
  <w:num w:numId="13">
    <w:abstractNumId w:val="6"/>
  </w:num>
  <w:num w:numId="14">
    <w:abstractNumId w:val="2"/>
  </w:num>
  <w:num w:numId="15">
    <w:abstractNumId w:val="3"/>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21"/>
    <w:rsid w:val="00005DB1"/>
    <w:rsid w:val="00015AB9"/>
    <w:rsid w:val="00016681"/>
    <w:rsid w:val="00032164"/>
    <w:rsid w:val="0005730C"/>
    <w:rsid w:val="00063D75"/>
    <w:rsid w:val="00073BFD"/>
    <w:rsid w:val="0008749C"/>
    <w:rsid w:val="000C49ED"/>
    <w:rsid w:val="000D784D"/>
    <w:rsid w:val="000D7BA3"/>
    <w:rsid w:val="000F6C44"/>
    <w:rsid w:val="001058B6"/>
    <w:rsid w:val="00105CA7"/>
    <w:rsid w:val="0011072E"/>
    <w:rsid w:val="00114516"/>
    <w:rsid w:val="0014397A"/>
    <w:rsid w:val="0016052D"/>
    <w:rsid w:val="001605AB"/>
    <w:rsid w:val="00174AC0"/>
    <w:rsid w:val="00183FD6"/>
    <w:rsid w:val="001844A9"/>
    <w:rsid w:val="001863A2"/>
    <w:rsid w:val="001944D8"/>
    <w:rsid w:val="001A4DFE"/>
    <w:rsid w:val="001A5037"/>
    <w:rsid w:val="001C097C"/>
    <w:rsid w:val="001C6E2C"/>
    <w:rsid w:val="001D4209"/>
    <w:rsid w:val="001F0031"/>
    <w:rsid w:val="001F562C"/>
    <w:rsid w:val="002058A4"/>
    <w:rsid w:val="0022127B"/>
    <w:rsid w:val="00223CD8"/>
    <w:rsid w:val="00224619"/>
    <w:rsid w:val="00224BDC"/>
    <w:rsid w:val="00264C69"/>
    <w:rsid w:val="002651C8"/>
    <w:rsid w:val="002807EB"/>
    <w:rsid w:val="002916B4"/>
    <w:rsid w:val="00291827"/>
    <w:rsid w:val="002B4F61"/>
    <w:rsid w:val="002C39B0"/>
    <w:rsid w:val="002C4DBB"/>
    <w:rsid w:val="002D0560"/>
    <w:rsid w:val="0030070C"/>
    <w:rsid w:val="00321F8B"/>
    <w:rsid w:val="003273DE"/>
    <w:rsid w:val="0034338E"/>
    <w:rsid w:val="00344387"/>
    <w:rsid w:val="003517AA"/>
    <w:rsid w:val="00355468"/>
    <w:rsid w:val="003751E1"/>
    <w:rsid w:val="003B03EA"/>
    <w:rsid w:val="003B7C5B"/>
    <w:rsid w:val="003B7C8F"/>
    <w:rsid w:val="003C711D"/>
    <w:rsid w:val="003D0D83"/>
    <w:rsid w:val="003D49BF"/>
    <w:rsid w:val="003D7C52"/>
    <w:rsid w:val="003E4DB9"/>
    <w:rsid w:val="003E723D"/>
    <w:rsid w:val="003F6A62"/>
    <w:rsid w:val="004022F0"/>
    <w:rsid w:val="004028E0"/>
    <w:rsid w:val="0040754E"/>
    <w:rsid w:val="00414179"/>
    <w:rsid w:val="00417D8D"/>
    <w:rsid w:val="00424443"/>
    <w:rsid w:val="004354FE"/>
    <w:rsid w:val="00454A68"/>
    <w:rsid w:val="00464D2E"/>
    <w:rsid w:val="0046536C"/>
    <w:rsid w:val="0046727D"/>
    <w:rsid w:val="00481546"/>
    <w:rsid w:val="004869EC"/>
    <w:rsid w:val="00490BDC"/>
    <w:rsid w:val="004A2237"/>
    <w:rsid w:val="004C50FB"/>
    <w:rsid w:val="004D535D"/>
    <w:rsid w:val="005062E3"/>
    <w:rsid w:val="00506CE4"/>
    <w:rsid w:val="00516437"/>
    <w:rsid w:val="00521CCD"/>
    <w:rsid w:val="00556F7F"/>
    <w:rsid w:val="00561D49"/>
    <w:rsid w:val="00574ED5"/>
    <w:rsid w:val="005770C1"/>
    <w:rsid w:val="00593673"/>
    <w:rsid w:val="005952DB"/>
    <w:rsid w:val="005A1C3F"/>
    <w:rsid w:val="005B35E2"/>
    <w:rsid w:val="005B38B7"/>
    <w:rsid w:val="005C05AD"/>
    <w:rsid w:val="005D0AAB"/>
    <w:rsid w:val="005D4C9D"/>
    <w:rsid w:val="005E50AA"/>
    <w:rsid w:val="005F0A20"/>
    <w:rsid w:val="00637202"/>
    <w:rsid w:val="00642F72"/>
    <w:rsid w:val="00651A1E"/>
    <w:rsid w:val="0067084E"/>
    <w:rsid w:val="006A76EE"/>
    <w:rsid w:val="006C00F6"/>
    <w:rsid w:val="006C1CA6"/>
    <w:rsid w:val="006C6190"/>
    <w:rsid w:val="006D65CC"/>
    <w:rsid w:val="006E273A"/>
    <w:rsid w:val="006F41FC"/>
    <w:rsid w:val="006F6C82"/>
    <w:rsid w:val="006F7D6C"/>
    <w:rsid w:val="007104F3"/>
    <w:rsid w:val="00715ED8"/>
    <w:rsid w:val="00722B12"/>
    <w:rsid w:val="007243BB"/>
    <w:rsid w:val="00737C5D"/>
    <w:rsid w:val="0076709A"/>
    <w:rsid w:val="00775E66"/>
    <w:rsid w:val="00781C85"/>
    <w:rsid w:val="00787B0B"/>
    <w:rsid w:val="00797D0A"/>
    <w:rsid w:val="007B7B04"/>
    <w:rsid w:val="007D5BFD"/>
    <w:rsid w:val="00800147"/>
    <w:rsid w:val="00812BD8"/>
    <w:rsid w:val="00826A9F"/>
    <w:rsid w:val="00827D1D"/>
    <w:rsid w:val="00840BDD"/>
    <w:rsid w:val="008C14EA"/>
    <w:rsid w:val="008E1385"/>
    <w:rsid w:val="008F7BBC"/>
    <w:rsid w:val="00904FCC"/>
    <w:rsid w:val="00932837"/>
    <w:rsid w:val="00942D4A"/>
    <w:rsid w:val="00944AE1"/>
    <w:rsid w:val="00953784"/>
    <w:rsid w:val="0096265E"/>
    <w:rsid w:val="009712EB"/>
    <w:rsid w:val="00977AB5"/>
    <w:rsid w:val="00982146"/>
    <w:rsid w:val="00990FFF"/>
    <w:rsid w:val="009A1D2E"/>
    <w:rsid w:val="009B37C8"/>
    <w:rsid w:val="009C28B0"/>
    <w:rsid w:val="009C4FEE"/>
    <w:rsid w:val="009D4848"/>
    <w:rsid w:val="009E1038"/>
    <w:rsid w:val="009E77BE"/>
    <w:rsid w:val="009F174A"/>
    <w:rsid w:val="00A05421"/>
    <w:rsid w:val="00A20EA6"/>
    <w:rsid w:val="00A23AD2"/>
    <w:rsid w:val="00A32337"/>
    <w:rsid w:val="00A32B2D"/>
    <w:rsid w:val="00A51227"/>
    <w:rsid w:val="00A625D5"/>
    <w:rsid w:val="00A71577"/>
    <w:rsid w:val="00A91AE7"/>
    <w:rsid w:val="00AB290B"/>
    <w:rsid w:val="00AB3FAA"/>
    <w:rsid w:val="00AB7DB4"/>
    <w:rsid w:val="00AD4DE3"/>
    <w:rsid w:val="00B24738"/>
    <w:rsid w:val="00B32EE2"/>
    <w:rsid w:val="00B456D0"/>
    <w:rsid w:val="00B5465D"/>
    <w:rsid w:val="00B71112"/>
    <w:rsid w:val="00B74A9B"/>
    <w:rsid w:val="00B77871"/>
    <w:rsid w:val="00B95AEB"/>
    <w:rsid w:val="00BA4BC3"/>
    <w:rsid w:val="00BC1107"/>
    <w:rsid w:val="00BD421B"/>
    <w:rsid w:val="00BE0867"/>
    <w:rsid w:val="00C17E55"/>
    <w:rsid w:val="00C22055"/>
    <w:rsid w:val="00C24D82"/>
    <w:rsid w:val="00C250B8"/>
    <w:rsid w:val="00C31EBA"/>
    <w:rsid w:val="00C340C2"/>
    <w:rsid w:val="00C50709"/>
    <w:rsid w:val="00C63E2F"/>
    <w:rsid w:val="00C93123"/>
    <w:rsid w:val="00C9773B"/>
    <w:rsid w:val="00CC3738"/>
    <w:rsid w:val="00CE4A73"/>
    <w:rsid w:val="00D13F62"/>
    <w:rsid w:val="00D4451C"/>
    <w:rsid w:val="00D45F79"/>
    <w:rsid w:val="00D60759"/>
    <w:rsid w:val="00D66ED5"/>
    <w:rsid w:val="00D71381"/>
    <w:rsid w:val="00D713DD"/>
    <w:rsid w:val="00D747FF"/>
    <w:rsid w:val="00D8139B"/>
    <w:rsid w:val="00D84753"/>
    <w:rsid w:val="00DA08BC"/>
    <w:rsid w:val="00DB4248"/>
    <w:rsid w:val="00DB6F32"/>
    <w:rsid w:val="00DB7719"/>
    <w:rsid w:val="00DC0A4D"/>
    <w:rsid w:val="00DC3338"/>
    <w:rsid w:val="00DC594C"/>
    <w:rsid w:val="00DE3166"/>
    <w:rsid w:val="00DE61F6"/>
    <w:rsid w:val="00E10F09"/>
    <w:rsid w:val="00E15E4A"/>
    <w:rsid w:val="00E169E3"/>
    <w:rsid w:val="00E16F21"/>
    <w:rsid w:val="00E8127B"/>
    <w:rsid w:val="00E83CDF"/>
    <w:rsid w:val="00E840B0"/>
    <w:rsid w:val="00E9125C"/>
    <w:rsid w:val="00EA5226"/>
    <w:rsid w:val="00EB09AD"/>
    <w:rsid w:val="00EC0929"/>
    <w:rsid w:val="00F121A6"/>
    <w:rsid w:val="00F45275"/>
    <w:rsid w:val="00F52570"/>
    <w:rsid w:val="00F53713"/>
    <w:rsid w:val="00F83435"/>
    <w:rsid w:val="00F839CB"/>
    <w:rsid w:val="00F85057"/>
    <w:rsid w:val="00F96C45"/>
    <w:rsid w:val="00FA5739"/>
    <w:rsid w:val="00FD2A52"/>
    <w:rsid w:val="00FD57AB"/>
    <w:rsid w:val="00FE1B3B"/>
    <w:rsid w:val="00FF3001"/>
    <w:rsid w:val="00FF3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978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74A9B"/>
    <w:pPr>
      <w:numPr>
        <w:numId w:val="16"/>
      </w:numPr>
      <w:shd w:val="clear" w:color="auto" w:fill="E7E6E6" w:themeFill="background2"/>
      <w:spacing w:before="360" w:after="120"/>
      <w:outlineLvl w:val="0"/>
    </w:pPr>
    <w:rPr>
      <w:b/>
      <w:bCs/>
      <w:sz w:val="28"/>
      <w:szCs w:val="28"/>
    </w:rPr>
  </w:style>
  <w:style w:type="paragraph" w:styleId="Nagwek2">
    <w:name w:val="heading 2"/>
    <w:basedOn w:val="Normalny"/>
    <w:next w:val="Normalny"/>
    <w:link w:val="Nagwek2Znak"/>
    <w:uiPriority w:val="9"/>
    <w:unhideWhenUsed/>
    <w:qFormat/>
    <w:rsid w:val="00B74A9B"/>
    <w:pPr>
      <w:keepNext/>
      <w:keepLines/>
      <w:numPr>
        <w:ilvl w:val="1"/>
        <w:numId w:val="16"/>
      </w:numPr>
      <w:pBdr>
        <w:top w:val="single" w:sz="4" w:space="1" w:color="auto"/>
        <w:bottom w:val="single" w:sz="4" w:space="1" w:color="auto"/>
      </w:pBdr>
      <w:spacing w:before="360" w:after="120"/>
      <w:outlineLvl w:val="1"/>
    </w:pPr>
    <w:rPr>
      <w:rFonts w:eastAsiaTheme="majorEastAsia" w:cstheme="minorHAnsi"/>
      <w:b/>
      <w:bCs/>
      <w:sz w:val="26"/>
      <w:szCs w:val="26"/>
    </w:rPr>
  </w:style>
  <w:style w:type="paragraph" w:styleId="Nagwek3">
    <w:name w:val="heading 3"/>
    <w:basedOn w:val="Normalny"/>
    <w:next w:val="Normalny"/>
    <w:link w:val="Nagwek3Znak"/>
    <w:uiPriority w:val="9"/>
    <w:unhideWhenUsed/>
    <w:qFormat/>
    <w:rsid w:val="00B74A9B"/>
    <w:pPr>
      <w:keepNext/>
      <w:keepLines/>
      <w:spacing w:before="40" w:after="0"/>
      <w:ind w:left="720" w:hanging="720"/>
      <w:outlineLvl w:val="2"/>
    </w:pPr>
    <w:rPr>
      <w:rFonts w:eastAsiaTheme="majorEastAsia" w:cstheme="majorBidi"/>
      <w:b/>
      <w:bCs/>
      <w:sz w:val="24"/>
      <w:szCs w:val="24"/>
    </w:rPr>
  </w:style>
  <w:style w:type="paragraph" w:styleId="Nagwek4">
    <w:name w:val="heading 4"/>
    <w:basedOn w:val="Normalny"/>
    <w:next w:val="Normalny"/>
    <w:link w:val="Nagwek4Znak"/>
    <w:uiPriority w:val="9"/>
    <w:semiHidden/>
    <w:unhideWhenUsed/>
    <w:qFormat/>
    <w:rsid w:val="00B74A9B"/>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B74A9B"/>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B74A9B"/>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B74A9B"/>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B74A9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74A9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1EBA"/>
    <w:pPr>
      <w:ind w:left="720"/>
      <w:contextualSpacing/>
    </w:pPr>
  </w:style>
  <w:style w:type="paragraph" w:styleId="Tekstkomentarza">
    <w:name w:val="annotation text"/>
    <w:basedOn w:val="Normalny"/>
    <w:link w:val="TekstkomentarzaZnak"/>
    <w:uiPriority w:val="99"/>
    <w:unhideWhenUsed/>
    <w:rsid w:val="002651C8"/>
    <w:pPr>
      <w:spacing w:line="240" w:lineRule="auto"/>
    </w:pPr>
    <w:rPr>
      <w:sz w:val="20"/>
      <w:szCs w:val="20"/>
    </w:rPr>
  </w:style>
  <w:style w:type="character" w:customStyle="1" w:styleId="TekstkomentarzaZnak">
    <w:name w:val="Tekst komentarza Znak"/>
    <w:basedOn w:val="Domylnaczcionkaakapitu"/>
    <w:link w:val="Tekstkomentarza"/>
    <w:uiPriority w:val="99"/>
    <w:rsid w:val="002651C8"/>
    <w:rPr>
      <w:sz w:val="20"/>
      <w:szCs w:val="20"/>
    </w:rPr>
  </w:style>
  <w:style w:type="character" w:styleId="Odwoaniedokomentarza">
    <w:name w:val="annotation reference"/>
    <w:uiPriority w:val="99"/>
    <w:semiHidden/>
    <w:unhideWhenUsed/>
    <w:rsid w:val="002651C8"/>
    <w:rPr>
      <w:sz w:val="16"/>
      <w:szCs w:val="16"/>
    </w:rPr>
  </w:style>
  <w:style w:type="paragraph" w:styleId="Tematkomentarza">
    <w:name w:val="annotation subject"/>
    <w:basedOn w:val="Tekstkomentarza"/>
    <w:next w:val="Tekstkomentarza"/>
    <w:link w:val="TematkomentarzaZnak"/>
    <w:uiPriority w:val="99"/>
    <w:semiHidden/>
    <w:unhideWhenUsed/>
    <w:rsid w:val="00516437"/>
    <w:rPr>
      <w:b/>
      <w:bCs/>
    </w:rPr>
  </w:style>
  <w:style w:type="character" w:customStyle="1" w:styleId="TematkomentarzaZnak">
    <w:name w:val="Temat komentarza Znak"/>
    <w:basedOn w:val="TekstkomentarzaZnak"/>
    <w:link w:val="Tematkomentarza"/>
    <w:uiPriority w:val="99"/>
    <w:semiHidden/>
    <w:rsid w:val="00516437"/>
    <w:rPr>
      <w:b/>
      <w:bCs/>
      <w:sz w:val="20"/>
      <w:szCs w:val="20"/>
    </w:rPr>
  </w:style>
  <w:style w:type="paragraph" w:styleId="Tekstdymka">
    <w:name w:val="Balloon Text"/>
    <w:basedOn w:val="Normalny"/>
    <w:link w:val="TekstdymkaZnak"/>
    <w:uiPriority w:val="99"/>
    <w:semiHidden/>
    <w:unhideWhenUsed/>
    <w:rsid w:val="005164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43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456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6D0"/>
    <w:rPr>
      <w:sz w:val="20"/>
      <w:szCs w:val="20"/>
    </w:rPr>
  </w:style>
  <w:style w:type="character" w:styleId="Odwoanieprzypisudolnego">
    <w:name w:val="footnote reference"/>
    <w:basedOn w:val="Domylnaczcionkaakapitu"/>
    <w:uiPriority w:val="99"/>
    <w:semiHidden/>
    <w:unhideWhenUsed/>
    <w:rsid w:val="00B456D0"/>
    <w:rPr>
      <w:vertAlign w:val="superscript"/>
    </w:rPr>
  </w:style>
  <w:style w:type="character" w:styleId="Hipercze">
    <w:name w:val="Hyperlink"/>
    <w:basedOn w:val="Domylnaczcionkaakapitu"/>
    <w:uiPriority w:val="99"/>
    <w:unhideWhenUsed/>
    <w:rsid w:val="00E83CDF"/>
    <w:rPr>
      <w:color w:val="0563C1" w:themeColor="hyperlink"/>
      <w:u w:val="single"/>
    </w:rPr>
  </w:style>
  <w:style w:type="paragraph" w:styleId="Nagwek">
    <w:name w:val="header"/>
    <w:basedOn w:val="Normalny"/>
    <w:link w:val="NagwekZnak"/>
    <w:uiPriority w:val="99"/>
    <w:unhideWhenUsed/>
    <w:rsid w:val="00BC1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107"/>
  </w:style>
  <w:style w:type="paragraph" w:styleId="Stopka">
    <w:name w:val="footer"/>
    <w:basedOn w:val="Normalny"/>
    <w:link w:val="StopkaZnak"/>
    <w:uiPriority w:val="99"/>
    <w:unhideWhenUsed/>
    <w:rsid w:val="00BC1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1107"/>
  </w:style>
  <w:style w:type="character" w:customStyle="1" w:styleId="Nagwek1Znak">
    <w:name w:val="Nagłówek 1 Znak"/>
    <w:basedOn w:val="Domylnaczcionkaakapitu"/>
    <w:link w:val="Nagwek1"/>
    <w:uiPriority w:val="9"/>
    <w:rsid w:val="00B74A9B"/>
    <w:rPr>
      <w:b/>
      <w:bCs/>
      <w:sz w:val="28"/>
      <w:szCs w:val="28"/>
      <w:shd w:val="clear" w:color="auto" w:fill="E7E6E6" w:themeFill="background2"/>
    </w:rPr>
  </w:style>
  <w:style w:type="character" w:customStyle="1" w:styleId="Nagwek2Znak">
    <w:name w:val="Nagłówek 2 Znak"/>
    <w:basedOn w:val="Domylnaczcionkaakapitu"/>
    <w:link w:val="Nagwek2"/>
    <w:uiPriority w:val="9"/>
    <w:rsid w:val="00B74A9B"/>
    <w:rPr>
      <w:rFonts w:eastAsiaTheme="majorEastAsia" w:cstheme="minorHAnsi"/>
      <w:b/>
      <w:bCs/>
      <w:sz w:val="26"/>
      <w:szCs w:val="26"/>
    </w:rPr>
  </w:style>
  <w:style w:type="character" w:customStyle="1" w:styleId="Nagwek3Znak">
    <w:name w:val="Nagłówek 3 Znak"/>
    <w:basedOn w:val="Domylnaczcionkaakapitu"/>
    <w:link w:val="Nagwek3"/>
    <w:uiPriority w:val="9"/>
    <w:rsid w:val="00B74A9B"/>
    <w:rPr>
      <w:rFonts w:eastAsiaTheme="majorEastAsia" w:cstheme="majorBidi"/>
      <w:b/>
      <w:bCs/>
      <w:sz w:val="24"/>
      <w:szCs w:val="24"/>
    </w:rPr>
  </w:style>
  <w:style w:type="character" w:customStyle="1" w:styleId="Nagwek4Znak">
    <w:name w:val="Nagłówek 4 Znak"/>
    <w:basedOn w:val="Domylnaczcionkaakapitu"/>
    <w:link w:val="Nagwek4"/>
    <w:uiPriority w:val="9"/>
    <w:semiHidden/>
    <w:rsid w:val="00B74A9B"/>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B74A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B74A9B"/>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B74A9B"/>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B74A9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74A9B"/>
    <w:rPr>
      <w:rFonts w:asciiTheme="majorHAnsi" w:eastAsiaTheme="majorEastAsia" w:hAnsiTheme="majorHAnsi" w:cstheme="majorBidi"/>
      <w:i/>
      <w:iCs/>
      <w:color w:val="272727" w:themeColor="text1" w:themeTint="D8"/>
      <w:sz w:val="21"/>
      <w:szCs w:val="21"/>
    </w:rPr>
  </w:style>
  <w:style w:type="paragraph" w:styleId="Tytu">
    <w:name w:val="Title"/>
    <w:basedOn w:val="Normalny"/>
    <w:next w:val="Normalny"/>
    <w:link w:val="TytuZnak"/>
    <w:uiPriority w:val="10"/>
    <w:qFormat/>
    <w:rsid w:val="00B74A9B"/>
    <w:pPr>
      <w:spacing w:after="840" w:line="240" w:lineRule="auto"/>
      <w:contextualSpacing/>
      <w:jc w:val="center"/>
    </w:pPr>
    <w:rPr>
      <w:rFonts w:eastAsiaTheme="majorEastAsia" w:cstheme="majorBidi"/>
      <w:b/>
      <w:bCs/>
      <w:spacing w:val="-10"/>
      <w:kern w:val="28"/>
      <w:sz w:val="48"/>
      <w:szCs w:val="48"/>
    </w:rPr>
  </w:style>
  <w:style w:type="character" w:customStyle="1" w:styleId="TytuZnak">
    <w:name w:val="Tytuł Znak"/>
    <w:basedOn w:val="Domylnaczcionkaakapitu"/>
    <w:link w:val="Tytu"/>
    <w:uiPriority w:val="10"/>
    <w:rsid w:val="00B74A9B"/>
    <w:rPr>
      <w:rFonts w:eastAsiaTheme="majorEastAsia" w:cstheme="majorBidi"/>
      <w:b/>
      <w:bCs/>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0618">
      <w:bodyDiv w:val="1"/>
      <w:marLeft w:val="0"/>
      <w:marRight w:val="0"/>
      <w:marTop w:val="0"/>
      <w:marBottom w:val="0"/>
      <w:divBdr>
        <w:top w:val="none" w:sz="0" w:space="0" w:color="auto"/>
        <w:left w:val="none" w:sz="0" w:space="0" w:color="auto"/>
        <w:bottom w:val="none" w:sz="0" w:space="0" w:color="auto"/>
        <w:right w:val="none" w:sz="0" w:space="0" w:color="auto"/>
      </w:divBdr>
    </w:div>
    <w:div w:id="1434587658">
      <w:bodyDiv w:val="1"/>
      <w:marLeft w:val="0"/>
      <w:marRight w:val="0"/>
      <w:marTop w:val="0"/>
      <w:marBottom w:val="0"/>
      <w:divBdr>
        <w:top w:val="none" w:sz="0" w:space="0" w:color="auto"/>
        <w:left w:val="none" w:sz="0" w:space="0" w:color="auto"/>
        <w:bottom w:val="none" w:sz="0" w:space="0" w:color="auto"/>
        <w:right w:val="none" w:sz="0" w:space="0" w:color="auto"/>
      </w:divBdr>
    </w:div>
    <w:div w:id="1706057243">
      <w:bodyDiv w:val="1"/>
      <w:marLeft w:val="0"/>
      <w:marRight w:val="0"/>
      <w:marTop w:val="0"/>
      <w:marBottom w:val="0"/>
      <w:divBdr>
        <w:top w:val="none" w:sz="0" w:space="0" w:color="auto"/>
        <w:left w:val="none" w:sz="0" w:space="0" w:color="auto"/>
        <w:bottom w:val="none" w:sz="0" w:space="0" w:color="auto"/>
        <w:right w:val="none" w:sz="0" w:space="0" w:color="auto"/>
      </w:divBdr>
      <w:divsChild>
        <w:div w:id="349338775">
          <w:marLeft w:val="0"/>
          <w:marRight w:val="0"/>
          <w:marTop w:val="0"/>
          <w:marBottom w:val="0"/>
          <w:divBdr>
            <w:top w:val="none" w:sz="0" w:space="0" w:color="auto"/>
            <w:left w:val="none" w:sz="0" w:space="0" w:color="auto"/>
            <w:bottom w:val="none" w:sz="0" w:space="0" w:color="auto"/>
            <w:right w:val="none" w:sz="0" w:space="0" w:color="auto"/>
          </w:divBdr>
          <w:divsChild>
            <w:div w:id="21085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se.pl/biuro-prasowe/aktualnosci/-/asset_publisher/fwWgbbtxcZUt/content/informacja-w-sprawie-procesu-konsultacji-koncepcji-zmian-zasad-funkcjonowania-rynku-bilansujacego" TargetMode="External"/><Relationship Id="rId1" Type="http://schemas.openxmlformats.org/officeDocument/2006/relationships/hyperlink" Target="https://www.gov.pl/web/klimat/plan-wdrazania-reform-rynku-energii-elektrycznej-przyje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3A20-A706-4421-8089-02A2D87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4068</Words>
  <Characters>24414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2020-08-13T12:11:00Z</dcterms:created>
  <dcterms:modified xsi:type="dcterms:W3CDTF">2020-08-14T15:39:00Z</dcterms:modified>
</cp:coreProperties>
</file>