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5F7D" w14:textId="77777777" w:rsidR="002E1077" w:rsidRPr="00A80D46" w:rsidRDefault="002E1077" w:rsidP="006519B6">
      <w:pPr>
        <w:spacing w:after="120"/>
        <w:jc w:val="center"/>
        <w:rPr>
          <w:rFonts w:ascii="Times New Roman" w:hAnsi="Times New Roman" w:cs="Times New Roman"/>
          <w:b/>
          <w:bCs/>
          <w:sz w:val="24"/>
          <w:szCs w:val="24"/>
        </w:rPr>
      </w:pPr>
      <w:r w:rsidRPr="00A80D46">
        <w:rPr>
          <w:rFonts w:ascii="Times New Roman" w:hAnsi="Times New Roman" w:cs="Times New Roman"/>
          <w:b/>
          <w:bCs/>
          <w:sz w:val="24"/>
          <w:szCs w:val="24"/>
        </w:rPr>
        <w:t>UZASADNIENIE</w:t>
      </w:r>
    </w:p>
    <w:p w14:paraId="225E381C" w14:textId="77777777" w:rsidR="00206C26" w:rsidRDefault="00206C26" w:rsidP="006519B6">
      <w:pPr>
        <w:spacing w:after="120"/>
        <w:jc w:val="both"/>
        <w:rPr>
          <w:rFonts w:ascii="Times New Roman" w:hAnsi="Times New Roman" w:cs="Times New Roman"/>
          <w:sz w:val="24"/>
          <w:szCs w:val="24"/>
        </w:rPr>
      </w:pPr>
    </w:p>
    <w:p w14:paraId="1A6BFBEE" w14:textId="27743B22" w:rsidR="00202971" w:rsidRPr="00A80D46" w:rsidRDefault="00202971"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 xml:space="preserve">Projekt rozporządzenia został opracowany na podstawie </w:t>
      </w:r>
      <w:r w:rsidR="00BB629A" w:rsidRPr="00A80D46">
        <w:rPr>
          <w:rFonts w:ascii="Times New Roman" w:hAnsi="Times New Roman" w:cs="Times New Roman"/>
          <w:sz w:val="24"/>
          <w:szCs w:val="24"/>
        </w:rPr>
        <w:t xml:space="preserve">przepisu </w:t>
      </w:r>
      <w:r w:rsidRPr="00A80D46">
        <w:rPr>
          <w:rFonts w:ascii="Times New Roman" w:hAnsi="Times New Roman" w:cs="Times New Roman"/>
          <w:sz w:val="24"/>
          <w:szCs w:val="24"/>
        </w:rPr>
        <w:t>upoważni</w:t>
      </w:r>
      <w:r w:rsidR="00BB629A" w:rsidRPr="00A80D46">
        <w:rPr>
          <w:rFonts w:ascii="Times New Roman" w:hAnsi="Times New Roman" w:cs="Times New Roman"/>
          <w:sz w:val="24"/>
          <w:szCs w:val="24"/>
        </w:rPr>
        <w:t>ającego</w:t>
      </w:r>
      <w:r w:rsidRPr="00A80D46">
        <w:rPr>
          <w:rFonts w:ascii="Times New Roman" w:hAnsi="Times New Roman" w:cs="Times New Roman"/>
          <w:sz w:val="24"/>
          <w:szCs w:val="24"/>
        </w:rPr>
        <w:t xml:space="preserve"> </w:t>
      </w:r>
      <w:r w:rsidR="00BB629A" w:rsidRPr="00A80D46">
        <w:rPr>
          <w:rFonts w:ascii="Times New Roman" w:hAnsi="Times New Roman" w:cs="Times New Roman"/>
          <w:sz w:val="24"/>
          <w:szCs w:val="24"/>
        </w:rPr>
        <w:t>zawartego</w:t>
      </w:r>
      <w:r w:rsidRPr="00A80D46">
        <w:rPr>
          <w:rFonts w:ascii="Times New Roman" w:hAnsi="Times New Roman" w:cs="Times New Roman"/>
          <w:sz w:val="24"/>
          <w:szCs w:val="24"/>
        </w:rPr>
        <w:t xml:space="preserve"> w art. 46 ust. 3 ustawy z dnia 10 kwietnia 1997 r. </w:t>
      </w:r>
      <w:r w:rsidR="00973F91">
        <w:rPr>
          <w:rFonts w:ascii="Times New Roman" w:hAnsi="Times New Roman" w:cs="Times New Roman"/>
          <w:sz w:val="24"/>
          <w:szCs w:val="24"/>
        </w:rPr>
        <w:t>–</w:t>
      </w:r>
      <w:r w:rsidRPr="00A80D46">
        <w:rPr>
          <w:rFonts w:ascii="Times New Roman" w:hAnsi="Times New Roman" w:cs="Times New Roman"/>
          <w:sz w:val="24"/>
          <w:szCs w:val="24"/>
        </w:rPr>
        <w:t xml:space="preserve"> Prawo energetyczne</w:t>
      </w:r>
      <w:r w:rsidR="0070612B">
        <w:rPr>
          <w:rFonts w:ascii="Times New Roman" w:hAnsi="Times New Roman" w:cs="Times New Roman"/>
          <w:sz w:val="24"/>
          <w:szCs w:val="24"/>
        </w:rPr>
        <w:t>,</w:t>
      </w:r>
      <w:r w:rsidRPr="00A80D46">
        <w:rPr>
          <w:rFonts w:ascii="Times New Roman" w:hAnsi="Times New Roman" w:cs="Times New Roman"/>
          <w:sz w:val="24"/>
          <w:szCs w:val="24"/>
        </w:rPr>
        <w:t xml:space="preserve"> </w:t>
      </w:r>
      <w:r w:rsidR="00BB629A" w:rsidRPr="00A80D46">
        <w:rPr>
          <w:rFonts w:ascii="Times New Roman" w:hAnsi="Times New Roman" w:cs="Times New Roman"/>
          <w:sz w:val="24"/>
          <w:szCs w:val="24"/>
        </w:rPr>
        <w:t xml:space="preserve"> zwanej</w:t>
      </w:r>
      <w:r w:rsidRPr="00A80D46">
        <w:rPr>
          <w:rFonts w:ascii="Times New Roman" w:hAnsi="Times New Roman" w:cs="Times New Roman"/>
          <w:sz w:val="24"/>
          <w:szCs w:val="24"/>
        </w:rPr>
        <w:t xml:space="preserve"> dalej „Prawo energetyczne”.</w:t>
      </w:r>
    </w:p>
    <w:p w14:paraId="3BAC91CF" w14:textId="35FB785C" w:rsidR="002E1077" w:rsidRDefault="00202971"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 xml:space="preserve">Na mocy tego przepisu, </w:t>
      </w:r>
      <w:r w:rsidR="0070612B">
        <w:rPr>
          <w:rFonts w:ascii="Times New Roman" w:hAnsi="Times New Roman" w:cs="Times New Roman"/>
          <w:sz w:val="24"/>
          <w:szCs w:val="24"/>
        </w:rPr>
        <w:t>m</w:t>
      </w:r>
      <w:r w:rsidRPr="00A80D46">
        <w:rPr>
          <w:rFonts w:ascii="Times New Roman" w:hAnsi="Times New Roman" w:cs="Times New Roman"/>
          <w:sz w:val="24"/>
          <w:szCs w:val="24"/>
        </w:rPr>
        <w:t>inister właściwy do spraw energii, po zasięgnięciu opinii Prezesa Urzędu Regulacji Energetyki</w:t>
      </w:r>
      <w:r w:rsidR="00A577B5">
        <w:rPr>
          <w:rFonts w:ascii="Times New Roman" w:hAnsi="Times New Roman" w:cs="Times New Roman"/>
          <w:sz w:val="24"/>
          <w:szCs w:val="24"/>
        </w:rPr>
        <w:t xml:space="preserve"> (URE)</w:t>
      </w:r>
      <w:r w:rsidRPr="00A80D46">
        <w:rPr>
          <w:rFonts w:ascii="Times New Roman" w:hAnsi="Times New Roman" w:cs="Times New Roman"/>
          <w:sz w:val="24"/>
          <w:szCs w:val="24"/>
        </w:rPr>
        <w:t>, określi, w drodze rozporządzenia, szczegółowe zasady kształtowania i kalkulacji taryf dla energii elektrycznej oraz</w:t>
      </w:r>
      <w:r w:rsidR="007951C3">
        <w:rPr>
          <w:rFonts w:ascii="Times New Roman" w:hAnsi="Times New Roman" w:cs="Times New Roman"/>
          <w:sz w:val="24"/>
          <w:szCs w:val="24"/>
        </w:rPr>
        <w:t xml:space="preserve"> szczegółowe zasady rozliczeń w </w:t>
      </w:r>
      <w:r w:rsidRPr="00A80D46">
        <w:rPr>
          <w:rFonts w:ascii="Times New Roman" w:hAnsi="Times New Roman" w:cs="Times New Roman"/>
          <w:sz w:val="24"/>
          <w:szCs w:val="24"/>
        </w:rPr>
        <w:t xml:space="preserve">obrocie energią elektryczną, </w:t>
      </w:r>
      <w:bookmarkStart w:id="0" w:name="_GoBack"/>
      <w:bookmarkEnd w:id="0"/>
      <w:r w:rsidRPr="00A80D46">
        <w:rPr>
          <w:rFonts w:ascii="Times New Roman" w:hAnsi="Times New Roman" w:cs="Times New Roman"/>
          <w:sz w:val="24"/>
          <w:szCs w:val="24"/>
        </w:rPr>
        <w:t>biorąc pod uwagę: politykę energetyczną państwa, zapewnienie pokrycia uzasadnionych kosztów przedsiębiorstw energetycznych, w tym kosztów ich rozwoju, ochronę interesów odbiorców przed nieuzasadnionym poziomem cen i opłat, poprawę efektywności dostarczania i wykorzystywania energii elektrycznej, równoprawne traktowanie odbiorców</w:t>
      </w:r>
      <w:r w:rsidR="00C94E22" w:rsidRPr="00A80D46">
        <w:rPr>
          <w:rFonts w:ascii="Times New Roman" w:hAnsi="Times New Roman" w:cs="Times New Roman"/>
          <w:sz w:val="24"/>
          <w:szCs w:val="24"/>
        </w:rPr>
        <w:t xml:space="preserve"> i przedsiębiorstw energetycznych</w:t>
      </w:r>
      <w:r w:rsidRPr="00A80D46">
        <w:rPr>
          <w:rFonts w:ascii="Times New Roman" w:hAnsi="Times New Roman" w:cs="Times New Roman"/>
          <w:sz w:val="24"/>
          <w:szCs w:val="24"/>
        </w:rPr>
        <w:t>, eliminowanie subsydiowania skrośnego, przejrzystość cen i stawek opłat oraz potrzebę rozwoju drogowego elektrycznego transportu publicznego.</w:t>
      </w:r>
    </w:p>
    <w:p w14:paraId="4DF81578" w14:textId="77777777" w:rsidR="00206C26" w:rsidRPr="00A80D46" w:rsidRDefault="00206C26" w:rsidP="006519B6">
      <w:pPr>
        <w:spacing w:after="120"/>
        <w:jc w:val="both"/>
        <w:rPr>
          <w:rFonts w:ascii="Times New Roman" w:hAnsi="Times New Roman" w:cs="Times New Roman"/>
          <w:sz w:val="24"/>
          <w:szCs w:val="24"/>
        </w:rPr>
      </w:pPr>
    </w:p>
    <w:p w14:paraId="66627C73" w14:textId="40EF4AF5" w:rsidR="00BB629A" w:rsidRPr="00A80D46" w:rsidRDefault="007A2FB6" w:rsidP="006519B6">
      <w:pPr>
        <w:spacing w:after="120"/>
        <w:jc w:val="both"/>
        <w:rPr>
          <w:rFonts w:ascii="Times New Roman" w:hAnsi="Times New Roman" w:cs="Times New Roman"/>
          <w:b/>
          <w:bCs/>
          <w:sz w:val="24"/>
          <w:szCs w:val="24"/>
        </w:rPr>
      </w:pPr>
      <w:r>
        <w:rPr>
          <w:rFonts w:ascii="Times New Roman" w:hAnsi="Times New Roman" w:cs="Times New Roman"/>
          <w:b/>
          <w:bCs/>
          <w:sz w:val="24"/>
          <w:szCs w:val="24"/>
        </w:rPr>
        <w:t>Cel i potrzeba zmiany r</w:t>
      </w:r>
      <w:r w:rsidR="00BB629A" w:rsidRPr="00A80D46">
        <w:rPr>
          <w:rFonts w:ascii="Times New Roman" w:hAnsi="Times New Roman" w:cs="Times New Roman"/>
          <w:b/>
          <w:bCs/>
          <w:sz w:val="24"/>
          <w:szCs w:val="24"/>
        </w:rPr>
        <w:t xml:space="preserve">ozporządzenia </w:t>
      </w:r>
    </w:p>
    <w:p w14:paraId="15EAFE92" w14:textId="58F62A23" w:rsidR="00CC0D3F" w:rsidRDefault="00BC67F8"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Celem proponowanych zmian jest wprowadzenie do rozporząd</w:t>
      </w:r>
      <w:r w:rsidR="007951C3">
        <w:rPr>
          <w:rFonts w:ascii="Times New Roman" w:hAnsi="Times New Roman" w:cs="Times New Roman"/>
          <w:sz w:val="24"/>
          <w:szCs w:val="24"/>
        </w:rPr>
        <w:t>zenia Ministra Energii z dnia 6 </w:t>
      </w:r>
      <w:r w:rsidRPr="00A80D46">
        <w:rPr>
          <w:rFonts w:ascii="Times New Roman" w:hAnsi="Times New Roman" w:cs="Times New Roman"/>
          <w:sz w:val="24"/>
          <w:szCs w:val="24"/>
        </w:rPr>
        <w:t>marca 2019 r. w sprawie szczegółowych zasad kształtowania i kalkulacji taryf oraz rozliczeń w obrocie energią elektryczną</w:t>
      </w:r>
      <w:r w:rsidR="0070612B">
        <w:rPr>
          <w:rFonts w:ascii="Times New Roman" w:hAnsi="Times New Roman" w:cs="Times New Roman"/>
          <w:sz w:val="24"/>
          <w:szCs w:val="24"/>
        </w:rPr>
        <w:t>, zwanego dalej</w:t>
      </w:r>
      <w:r w:rsidRPr="00A80D46">
        <w:rPr>
          <w:rFonts w:ascii="Times New Roman" w:hAnsi="Times New Roman" w:cs="Times New Roman"/>
          <w:sz w:val="24"/>
          <w:szCs w:val="24"/>
        </w:rPr>
        <w:t xml:space="preserve"> </w:t>
      </w:r>
      <w:r w:rsidR="007951C3">
        <w:rPr>
          <w:rFonts w:ascii="Times New Roman" w:hAnsi="Times New Roman" w:cs="Times New Roman"/>
          <w:sz w:val="24"/>
          <w:szCs w:val="24"/>
        </w:rPr>
        <w:t>„rozporządzenie</w:t>
      </w:r>
      <w:r w:rsidR="0070612B">
        <w:rPr>
          <w:rFonts w:ascii="Times New Roman" w:hAnsi="Times New Roman" w:cs="Times New Roman"/>
          <w:sz w:val="24"/>
          <w:szCs w:val="24"/>
        </w:rPr>
        <w:t>m</w:t>
      </w:r>
      <w:r w:rsidR="007951C3">
        <w:rPr>
          <w:rFonts w:ascii="Times New Roman" w:hAnsi="Times New Roman" w:cs="Times New Roman"/>
          <w:sz w:val="24"/>
          <w:szCs w:val="24"/>
        </w:rPr>
        <w:t xml:space="preserve"> taryfow</w:t>
      </w:r>
      <w:r w:rsidR="0070612B">
        <w:rPr>
          <w:rFonts w:ascii="Times New Roman" w:hAnsi="Times New Roman" w:cs="Times New Roman"/>
          <w:sz w:val="24"/>
          <w:szCs w:val="24"/>
        </w:rPr>
        <w:t>ym</w:t>
      </w:r>
      <w:r w:rsidR="007951C3">
        <w:rPr>
          <w:rFonts w:ascii="Times New Roman" w:hAnsi="Times New Roman" w:cs="Times New Roman"/>
          <w:sz w:val="24"/>
          <w:szCs w:val="24"/>
        </w:rPr>
        <w:t>”</w:t>
      </w:r>
      <w:r w:rsidR="00CC0D3F">
        <w:rPr>
          <w:rFonts w:ascii="Times New Roman" w:hAnsi="Times New Roman" w:cs="Times New Roman"/>
          <w:sz w:val="24"/>
          <w:szCs w:val="24"/>
        </w:rPr>
        <w:t>:</w:t>
      </w:r>
    </w:p>
    <w:p w14:paraId="08C9BC81" w14:textId="4E94ED02" w:rsidR="00CC0D3F" w:rsidRPr="00CC0D3F" w:rsidRDefault="00CC0D3F" w:rsidP="006519B6">
      <w:pPr>
        <w:pStyle w:val="Akapitzlist"/>
        <w:numPr>
          <w:ilvl w:val="0"/>
          <w:numId w:val="4"/>
        </w:numPr>
        <w:spacing w:after="120"/>
        <w:ind w:left="284" w:hanging="284"/>
        <w:contextualSpacing w:val="0"/>
        <w:jc w:val="both"/>
        <w:rPr>
          <w:rFonts w:ascii="Times New Roman" w:hAnsi="Times New Roman" w:cs="Times New Roman"/>
          <w:sz w:val="24"/>
          <w:szCs w:val="24"/>
        </w:rPr>
      </w:pPr>
      <w:r w:rsidRPr="00CC0D3F">
        <w:rPr>
          <w:rFonts w:ascii="Times New Roman" w:hAnsi="Times New Roman" w:cs="Times New Roman"/>
          <w:sz w:val="24"/>
          <w:szCs w:val="24"/>
        </w:rPr>
        <w:t>możliwoś</w:t>
      </w:r>
      <w:r w:rsidR="00D84EE7">
        <w:rPr>
          <w:rFonts w:ascii="Times New Roman" w:hAnsi="Times New Roman" w:cs="Times New Roman"/>
          <w:sz w:val="24"/>
          <w:szCs w:val="24"/>
        </w:rPr>
        <w:t>ci</w:t>
      </w:r>
      <w:r w:rsidRPr="00CC0D3F">
        <w:rPr>
          <w:rFonts w:ascii="Times New Roman" w:hAnsi="Times New Roman" w:cs="Times New Roman"/>
          <w:sz w:val="24"/>
          <w:szCs w:val="24"/>
        </w:rPr>
        <w:t xml:space="preserve"> utworzenia grupy taryfow</w:t>
      </w:r>
      <w:r w:rsidR="00D84EE7">
        <w:rPr>
          <w:rFonts w:ascii="Times New Roman" w:hAnsi="Times New Roman" w:cs="Times New Roman"/>
          <w:sz w:val="24"/>
          <w:szCs w:val="24"/>
        </w:rPr>
        <w:t>ej</w:t>
      </w:r>
      <w:r w:rsidRPr="00CC0D3F">
        <w:rPr>
          <w:rFonts w:ascii="Times New Roman" w:hAnsi="Times New Roman" w:cs="Times New Roman"/>
          <w:sz w:val="24"/>
          <w:szCs w:val="24"/>
        </w:rPr>
        <w:t xml:space="preserve"> dla odbiorców przyłączonych do sieci, którzy wykorzystują energię elektryczną wyłącznie na potrzeby funkcjonowania ogólnodostępnej stacji ładowania i świadczenia na niej usług ładowania zgodnie z ustawą z dnia 11 stycznia 2018 r. o elektromobilności i paliwach alternatywnych,</w:t>
      </w:r>
    </w:p>
    <w:p w14:paraId="6B4D4834" w14:textId="5C3481F0" w:rsidR="008B2356" w:rsidRDefault="00BC67F8" w:rsidP="006519B6">
      <w:pPr>
        <w:pStyle w:val="Akapitzlist"/>
        <w:numPr>
          <w:ilvl w:val="0"/>
          <w:numId w:val="4"/>
        </w:numPr>
        <w:spacing w:after="120"/>
        <w:ind w:left="284" w:hanging="284"/>
        <w:contextualSpacing w:val="0"/>
        <w:jc w:val="both"/>
        <w:rPr>
          <w:rFonts w:ascii="Times New Roman" w:hAnsi="Times New Roman" w:cs="Times New Roman"/>
          <w:sz w:val="24"/>
          <w:szCs w:val="24"/>
        </w:rPr>
      </w:pPr>
      <w:r w:rsidRPr="00CC0D3F">
        <w:rPr>
          <w:rFonts w:ascii="Times New Roman" w:hAnsi="Times New Roman" w:cs="Times New Roman"/>
          <w:sz w:val="24"/>
          <w:szCs w:val="24"/>
        </w:rPr>
        <w:t>mechanizmu uwzględniania</w:t>
      </w:r>
      <w:r w:rsidR="00BE62DE" w:rsidRPr="00CC0D3F">
        <w:rPr>
          <w:rFonts w:ascii="Times New Roman" w:hAnsi="Times New Roman" w:cs="Times New Roman"/>
          <w:sz w:val="24"/>
          <w:szCs w:val="24"/>
        </w:rPr>
        <w:t xml:space="preserve"> </w:t>
      </w:r>
      <w:r w:rsidRPr="00CC0D3F">
        <w:rPr>
          <w:rFonts w:ascii="Times New Roman" w:hAnsi="Times New Roman" w:cs="Times New Roman"/>
          <w:sz w:val="24"/>
          <w:szCs w:val="24"/>
        </w:rPr>
        <w:t xml:space="preserve">w ramach tzw. </w:t>
      </w:r>
      <w:r w:rsidR="00BE62DE" w:rsidRPr="00CC0D3F">
        <w:rPr>
          <w:rFonts w:ascii="Times New Roman" w:hAnsi="Times New Roman" w:cs="Times New Roman"/>
          <w:sz w:val="24"/>
          <w:szCs w:val="24"/>
        </w:rPr>
        <w:t xml:space="preserve">salda </w:t>
      </w:r>
      <w:r w:rsidRPr="00CC0D3F">
        <w:rPr>
          <w:rFonts w:ascii="Times New Roman" w:hAnsi="Times New Roman" w:cs="Times New Roman"/>
          <w:sz w:val="24"/>
          <w:szCs w:val="24"/>
        </w:rPr>
        <w:t xml:space="preserve">konta regulacyjnego w taryfach operatorów systemów elektroenergetycznych różnic w osiąganych faktycznie przychodach </w:t>
      </w:r>
      <w:r w:rsidR="00C94E22" w:rsidRPr="00CC0D3F">
        <w:rPr>
          <w:rFonts w:ascii="Times New Roman" w:hAnsi="Times New Roman" w:cs="Times New Roman"/>
          <w:sz w:val="24"/>
          <w:szCs w:val="24"/>
        </w:rPr>
        <w:t xml:space="preserve">tych operatorów </w:t>
      </w:r>
      <w:r w:rsidRPr="00CC0D3F">
        <w:rPr>
          <w:rFonts w:ascii="Times New Roman" w:hAnsi="Times New Roman" w:cs="Times New Roman"/>
          <w:sz w:val="24"/>
          <w:szCs w:val="24"/>
        </w:rPr>
        <w:t xml:space="preserve">w stosunku do </w:t>
      </w:r>
      <w:r w:rsidR="002D3D53" w:rsidRPr="00CC0D3F">
        <w:rPr>
          <w:rFonts w:ascii="Times New Roman" w:hAnsi="Times New Roman" w:cs="Times New Roman"/>
          <w:sz w:val="24"/>
          <w:szCs w:val="24"/>
        </w:rPr>
        <w:t xml:space="preserve">planowanych </w:t>
      </w:r>
      <w:r w:rsidRPr="00CC0D3F">
        <w:rPr>
          <w:rFonts w:ascii="Times New Roman" w:hAnsi="Times New Roman" w:cs="Times New Roman"/>
          <w:sz w:val="24"/>
          <w:szCs w:val="24"/>
        </w:rPr>
        <w:t>przychodów</w:t>
      </w:r>
      <w:r w:rsidR="00C94E22" w:rsidRPr="00CC0D3F">
        <w:rPr>
          <w:rFonts w:ascii="Times New Roman" w:hAnsi="Times New Roman" w:cs="Times New Roman"/>
          <w:sz w:val="24"/>
          <w:szCs w:val="24"/>
        </w:rPr>
        <w:t xml:space="preserve"> </w:t>
      </w:r>
      <w:r w:rsidRPr="00CC0D3F">
        <w:rPr>
          <w:rFonts w:ascii="Times New Roman" w:hAnsi="Times New Roman" w:cs="Times New Roman"/>
          <w:sz w:val="24"/>
          <w:szCs w:val="24"/>
        </w:rPr>
        <w:t xml:space="preserve">wynikających z zatwierdzanych dla tych lat taryf, </w:t>
      </w:r>
      <w:r w:rsidR="002D3D53" w:rsidRPr="00CC0D3F">
        <w:rPr>
          <w:rFonts w:ascii="Times New Roman" w:hAnsi="Times New Roman" w:cs="Times New Roman"/>
          <w:sz w:val="24"/>
          <w:szCs w:val="24"/>
        </w:rPr>
        <w:t xml:space="preserve">które to różnice </w:t>
      </w:r>
      <w:r w:rsidR="004442E9" w:rsidRPr="00CC0D3F">
        <w:rPr>
          <w:rFonts w:ascii="Times New Roman" w:hAnsi="Times New Roman" w:cs="Times New Roman"/>
          <w:sz w:val="24"/>
          <w:szCs w:val="24"/>
        </w:rPr>
        <w:t xml:space="preserve">nie zależą od operatorów i </w:t>
      </w:r>
      <w:r w:rsidR="002D3D53" w:rsidRPr="00CC0D3F">
        <w:rPr>
          <w:rFonts w:ascii="Times New Roman" w:hAnsi="Times New Roman" w:cs="Times New Roman"/>
          <w:sz w:val="24"/>
          <w:szCs w:val="24"/>
        </w:rPr>
        <w:t xml:space="preserve">są </w:t>
      </w:r>
      <w:r w:rsidR="00C94E22" w:rsidRPr="00CC0D3F">
        <w:rPr>
          <w:rFonts w:ascii="Times New Roman" w:hAnsi="Times New Roman" w:cs="Times New Roman"/>
          <w:sz w:val="24"/>
          <w:szCs w:val="24"/>
        </w:rPr>
        <w:t xml:space="preserve">przede wszystkim </w:t>
      </w:r>
      <w:r w:rsidRPr="00CC0D3F">
        <w:rPr>
          <w:rFonts w:ascii="Times New Roman" w:hAnsi="Times New Roman" w:cs="Times New Roman"/>
          <w:sz w:val="24"/>
          <w:szCs w:val="24"/>
        </w:rPr>
        <w:t xml:space="preserve">wynikiem </w:t>
      </w:r>
      <w:r w:rsidR="002D3D53" w:rsidRPr="00CC0D3F">
        <w:rPr>
          <w:rFonts w:ascii="Times New Roman" w:hAnsi="Times New Roman" w:cs="Times New Roman"/>
          <w:sz w:val="24"/>
          <w:szCs w:val="24"/>
        </w:rPr>
        <w:t>odchyleń nośników opłat</w:t>
      </w:r>
      <w:r w:rsidR="00C94E22" w:rsidRPr="00CC0D3F">
        <w:rPr>
          <w:rFonts w:ascii="Times New Roman" w:hAnsi="Times New Roman" w:cs="Times New Roman"/>
          <w:sz w:val="24"/>
          <w:szCs w:val="24"/>
        </w:rPr>
        <w:t xml:space="preserve"> takich jak np. wolumen dostaw energii elektrycznej czy poziom mocy umownej</w:t>
      </w:r>
      <w:r w:rsidR="004442E9" w:rsidRPr="00CC0D3F">
        <w:rPr>
          <w:rFonts w:ascii="Times New Roman" w:hAnsi="Times New Roman" w:cs="Times New Roman"/>
          <w:sz w:val="24"/>
          <w:szCs w:val="24"/>
        </w:rPr>
        <w:t>,</w:t>
      </w:r>
      <w:r w:rsidR="002D3D53" w:rsidRPr="00CC0D3F">
        <w:rPr>
          <w:rFonts w:ascii="Times New Roman" w:hAnsi="Times New Roman" w:cs="Times New Roman"/>
          <w:sz w:val="24"/>
          <w:szCs w:val="24"/>
        </w:rPr>
        <w:t xml:space="preserve"> na podstawie których kalkulowane są stawki opłat</w:t>
      </w:r>
      <w:r w:rsidR="00D84EE7">
        <w:rPr>
          <w:rFonts w:ascii="Times New Roman" w:hAnsi="Times New Roman" w:cs="Times New Roman"/>
          <w:sz w:val="24"/>
          <w:szCs w:val="24"/>
        </w:rPr>
        <w:t>,</w:t>
      </w:r>
    </w:p>
    <w:p w14:paraId="0AFBA2F2" w14:textId="6676F0C6" w:rsidR="00B92886" w:rsidRPr="00CC0D3F" w:rsidRDefault="00934D37" w:rsidP="006519B6">
      <w:pPr>
        <w:pStyle w:val="Akapitzlist"/>
        <w:numPr>
          <w:ilvl w:val="0"/>
          <w:numId w:val="4"/>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możliwości otrzymywania przez odbiorców końcowych </w:t>
      </w:r>
      <w:r w:rsidR="00407FAB">
        <w:rPr>
          <w:rFonts w:ascii="Times New Roman" w:hAnsi="Times New Roman" w:cs="Times New Roman"/>
          <w:sz w:val="24"/>
          <w:szCs w:val="24"/>
        </w:rPr>
        <w:t>faktur za energię elektryczną w formie elektronicznej oraz możliwości otrzymywania tą drogą informacji o rozliczeniach za dostarczoną energię.</w:t>
      </w:r>
      <w:r>
        <w:rPr>
          <w:rFonts w:ascii="Times New Roman" w:hAnsi="Times New Roman" w:cs="Times New Roman"/>
          <w:sz w:val="24"/>
          <w:szCs w:val="24"/>
        </w:rPr>
        <w:t xml:space="preserve"> </w:t>
      </w:r>
    </w:p>
    <w:p w14:paraId="0ED7D979" w14:textId="7F5902B4" w:rsidR="002E1077" w:rsidRPr="00A80D46" w:rsidRDefault="00202971"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 xml:space="preserve">W przychodach </w:t>
      </w:r>
      <w:r w:rsidR="00B254C1" w:rsidRPr="00A80D46">
        <w:rPr>
          <w:rFonts w:ascii="Times New Roman" w:hAnsi="Times New Roman" w:cs="Times New Roman"/>
          <w:sz w:val="24"/>
          <w:szCs w:val="24"/>
        </w:rPr>
        <w:t>o</w:t>
      </w:r>
      <w:r w:rsidRPr="00A80D46">
        <w:rPr>
          <w:rFonts w:ascii="Times New Roman" w:hAnsi="Times New Roman" w:cs="Times New Roman"/>
          <w:sz w:val="24"/>
          <w:szCs w:val="24"/>
        </w:rPr>
        <w:t xml:space="preserve">peratorów </w:t>
      </w:r>
      <w:r w:rsidR="00B254C1" w:rsidRPr="00A80D46">
        <w:rPr>
          <w:rFonts w:ascii="Times New Roman" w:hAnsi="Times New Roman" w:cs="Times New Roman"/>
          <w:sz w:val="24"/>
          <w:szCs w:val="24"/>
        </w:rPr>
        <w:t>s</w:t>
      </w:r>
      <w:r w:rsidRPr="00A80D46">
        <w:rPr>
          <w:rFonts w:ascii="Times New Roman" w:hAnsi="Times New Roman" w:cs="Times New Roman"/>
          <w:sz w:val="24"/>
          <w:szCs w:val="24"/>
        </w:rPr>
        <w:t xml:space="preserve">ystemów </w:t>
      </w:r>
      <w:r w:rsidR="00B254C1" w:rsidRPr="00A80D46">
        <w:rPr>
          <w:rFonts w:ascii="Times New Roman" w:hAnsi="Times New Roman" w:cs="Times New Roman"/>
          <w:sz w:val="24"/>
          <w:szCs w:val="24"/>
        </w:rPr>
        <w:t>d</w:t>
      </w:r>
      <w:r w:rsidRPr="00A80D46">
        <w:rPr>
          <w:rFonts w:ascii="Times New Roman" w:hAnsi="Times New Roman" w:cs="Times New Roman"/>
          <w:sz w:val="24"/>
          <w:szCs w:val="24"/>
        </w:rPr>
        <w:t xml:space="preserve">ystrybucyjnych (OSD) </w:t>
      </w:r>
      <w:r w:rsidR="007850B8" w:rsidRPr="00A80D46">
        <w:rPr>
          <w:rFonts w:ascii="Times New Roman" w:hAnsi="Times New Roman" w:cs="Times New Roman"/>
          <w:sz w:val="24"/>
          <w:szCs w:val="24"/>
        </w:rPr>
        <w:t xml:space="preserve">i </w:t>
      </w:r>
      <w:r w:rsidR="00B254C1" w:rsidRPr="00A80D46">
        <w:rPr>
          <w:rFonts w:ascii="Times New Roman" w:hAnsi="Times New Roman" w:cs="Times New Roman"/>
          <w:sz w:val="24"/>
          <w:szCs w:val="24"/>
        </w:rPr>
        <w:t>o</w:t>
      </w:r>
      <w:r w:rsidR="007850B8" w:rsidRPr="00A80D46">
        <w:rPr>
          <w:rFonts w:ascii="Times New Roman" w:hAnsi="Times New Roman" w:cs="Times New Roman"/>
          <w:sz w:val="24"/>
          <w:szCs w:val="24"/>
        </w:rPr>
        <w:t xml:space="preserve">peratora </w:t>
      </w:r>
      <w:r w:rsidR="00B254C1" w:rsidRPr="00A80D46">
        <w:rPr>
          <w:rFonts w:ascii="Times New Roman" w:hAnsi="Times New Roman" w:cs="Times New Roman"/>
          <w:sz w:val="24"/>
          <w:szCs w:val="24"/>
        </w:rPr>
        <w:t>s</w:t>
      </w:r>
      <w:r w:rsidR="007850B8" w:rsidRPr="00A80D46">
        <w:rPr>
          <w:rFonts w:ascii="Times New Roman" w:hAnsi="Times New Roman" w:cs="Times New Roman"/>
          <w:sz w:val="24"/>
          <w:szCs w:val="24"/>
        </w:rPr>
        <w:t xml:space="preserve">ystemu </w:t>
      </w:r>
      <w:r w:rsidR="00B254C1" w:rsidRPr="00A80D46">
        <w:rPr>
          <w:rFonts w:ascii="Times New Roman" w:hAnsi="Times New Roman" w:cs="Times New Roman"/>
          <w:sz w:val="24"/>
          <w:szCs w:val="24"/>
        </w:rPr>
        <w:t>p</w:t>
      </w:r>
      <w:r w:rsidR="007850B8" w:rsidRPr="00A80D46">
        <w:rPr>
          <w:rFonts w:ascii="Times New Roman" w:hAnsi="Times New Roman" w:cs="Times New Roman"/>
          <w:sz w:val="24"/>
          <w:szCs w:val="24"/>
        </w:rPr>
        <w:t xml:space="preserve">rzesyłowego (OSP) </w:t>
      </w:r>
      <w:r w:rsidRPr="00A80D46">
        <w:rPr>
          <w:rFonts w:ascii="Times New Roman" w:hAnsi="Times New Roman" w:cs="Times New Roman"/>
          <w:sz w:val="24"/>
          <w:szCs w:val="24"/>
        </w:rPr>
        <w:t>obserwuje się w</w:t>
      </w:r>
      <w:r w:rsidR="002E1077" w:rsidRPr="00A80D46">
        <w:rPr>
          <w:rFonts w:ascii="Times New Roman" w:hAnsi="Times New Roman" w:cs="Times New Roman"/>
          <w:sz w:val="24"/>
          <w:szCs w:val="24"/>
        </w:rPr>
        <w:t>ystępowanie corocznych rozbieżności pomiędzy przychodem rzeczywistym</w:t>
      </w:r>
      <w:r w:rsidRPr="00A80D46">
        <w:rPr>
          <w:rFonts w:ascii="Times New Roman" w:hAnsi="Times New Roman" w:cs="Times New Roman"/>
          <w:sz w:val="24"/>
          <w:szCs w:val="24"/>
        </w:rPr>
        <w:t>,</w:t>
      </w:r>
      <w:r w:rsidR="002E1077" w:rsidRPr="00A80D46">
        <w:rPr>
          <w:rFonts w:ascii="Times New Roman" w:hAnsi="Times New Roman" w:cs="Times New Roman"/>
          <w:sz w:val="24"/>
          <w:szCs w:val="24"/>
        </w:rPr>
        <w:t xml:space="preserve"> a przychodem regulowanym</w:t>
      </w:r>
      <w:r w:rsidR="00C94E22" w:rsidRPr="00A80D46">
        <w:rPr>
          <w:rFonts w:ascii="Times New Roman" w:hAnsi="Times New Roman" w:cs="Times New Roman"/>
          <w:sz w:val="24"/>
          <w:szCs w:val="24"/>
        </w:rPr>
        <w:t xml:space="preserve"> w części tego przychodu zależnego od </w:t>
      </w:r>
      <w:r w:rsidR="004442E9" w:rsidRPr="00A80D46">
        <w:rPr>
          <w:rFonts w:ascii="Times New Roman" w:hAnsi="Times New Roman" w:cs="Times New Roman"/>
          <w:sz w:val="24"/>
          <w:szCs w:val="24"/>
        </w:rPr>
        <w:t>nośników opłat</w:t>
      </w:r>
      <w:r w:rsidR="00AB5F79" w:rsidRPr="00A80D46">
        <w:rPr>
          <w:rFonts w:ascii="Times New Roman" w:hAnsi="Times New Roman" w:cs="Times New Roman"/>
          <w:sz w:val="24"/>
          <w:szCs w:val="24"/>
        </w:rPr>
        <w:t xml:space="preserve"> i zachowań odbiorców</w:t>
      </w:r>
      <w:r w:rsidRPr="00A80D46">
        <w:rPr>
          <w:rFonts w:ascii="Times New Roman" w:hAnsi="Times New Roman" w:cs="Times New Roman"/>
          <w:sz w:val="24"/>
          <w:szCs w:val="24"/>
        </w:rPr>
        <w:t xml:space="preserve">. </w:t>
      </w:r>
      <w:r w:rsidR="00B86E59" w:rsidRPr="00A80D46">
        <w:rPr>
          <w:rFonts w:ascii="Times New Roman" w:hAnsi="Times New Roman" w:cs="Times New Roman"/>
          <w:sz w:val="24"/>
          <w:szCs w:val="24"/>
        </w:rPr>
        <w:t xml:space="preserve">Należy wskazać, że takie rozbieżności </w:t>
      </w:r>
      <w:r w:rsidR="00E0633A">
        <w:rPr>
          <w:rFonts w:ascii="Times New Roman" w:hAnsi="Times New Roman" w:cs="Times New Roman"/>
          <w:sz w:val="24"/>
          <w:szCs w:val="24"/>
        </w:rPr>
        <w:t>występowały w </w:t>
      </w:r>
      <w:r w:rsidR="009B53DC" w:rsidRPr="00A80D46">
        <w:rPr>
          <w:rFonts w:ascii="Times New Roman" w:hAnsi="Times New Roman" w:cs="Times New Roman"/>
          <w:sz w:val="24"/>
          <w:szCs w:val="24"/>
        </w:rPr>
        <w:t xml:space="preserve">przeszłości </w:t>
      </w:r>
      <w:r w:rsidR="00B86E59" w:rsidRPr="00A80D46">
        <w:rPr>
          <w:rFonts w:ascii="Times New Roman" w:hAnsi="Times New Roman" w:cs="Times New Roman"/>
          <w:sz w:val="24"/>
          <w:szCs w:val="24"/>
        </w:rPr>
        <w:t>i są nie do uniknięcia w</w:t>
      </w:r>
      <w:r w:rsidR="009B53DC" w:rsidRPr="00A80D46">
        <w:rPr>
          <w:rFonts w:ascii="Times New Roman" w:hAnsi="Times New Roman" w:cs="Times New Roman"/>
          <w:sz w:val="24"/>
          <w:szCs w:val="24"/>
        </w:rPr>
        <w:t xml:space="preserve"> przyszłości w</w:t>
      </w:r>
      <w:r w:rsidR="00B86E59" w:rsidRPr="00A80D46">
        <w:rPr>
          <w:rFonts w:ascii="Times New Roman" w:hAnsi="Times New Roman" w:cs="Times New Roman"/>
          <w:sz w:val="24"/>
          <w:szCs w:val="24"/>
        </w:rPr>
        <w:t xml:space="preserve"> odniesieniu do tych opłat, na które wpływają </w:t>
      </w:r>
      <w:r w:rsidR="002D3D53" w:rsidRPr="00A80D46">
        <w:rPr>
          <w:rFonts w:ascii="Times New Roman" w:hAnsi="Times New Roman" w:cs="Times New Roman"/>
          <w:sz w:val="24"/>
          <w:szCs w:val="24"/>
        </w:rPr>
        <w:t>odchylenia</w:t>
      </w:r>
      <w:r w:rsidR="00B86E59" w:rsidRPr="00A80D46">
        <w:rPr>
          <w:rFonts w:ascii="Times New Roman" w:hAnsi="Times New Roman" w:cs="Times New Roman"/>
          <w:sz w:val="24"/>
          <w:szCs w:val="24"/>
        </w:rPr>
        <w:t xml:space="preserve"> wielkości nośników opłat (w szczególności ilości dostarczanej odbiorcom energii elektrycznej</w:t>
      </w:r>
      <w:r w:rsidR="002D3D53" w:rsidRPr="00A80D46">
        <w:rPr>
          <w:rFonts w:ascii="Times New Roman" w:hAnsi="Times New Roman" w:cs="Times New Roman"/>
          <w:sz w:val="24"/>
          <w:szCs w:val="24"/>
        </w:rPr>
        <w:t xml:space="preserve"> oraz zamawianej mocy</w:t>
      </w:r>
      <w:r w:rsidR="00B86E59" w:rsidRPr="00A80D46">
        <w:rPr>
          <w:rFonts w:ascii="Times New Roman" w:hAnsi="Times New Roman" w:cs="Times New Roman"/>
          <w:sz w:val="24"/>
          <w:szCs w:val="24"/>
        </w:rPr>
        <w:t xml:space="preserve">), a także opłat będących skutkiem wyłącznie zachowań odbiorców, m.in. pobieranych z powodu przekroczenia przez odbiorców mocy zamówionej (umownej), czy przekroczenia energii biernej, jak i wszelkich opłat dodatkowo </w:t>
      </w:r>
      <w:r w:rsidR="00B86E59" w:rsidRPr="00A80D46">
        <w:rPr>
          <w:rFonts w:ascii="Times New Roman" w:hAnsi="Times New Roman" w:cs="Times New Roman"/>
          <w:sz w:val="24"/>
          <w:szCs w:val="24"/>
        </w:rPr>
        <w:lastRenderedPageBreak/>
        <w:t xml:space="preserve">pobieranych przez operatorów systemów elektroenergetycznych na </w:t>
      </w:r>
      <w:r w:rsidR="009B53DC" w:rsidRPr="00A80D46">
        <w:rPr>
          <w:rFonts w:ascii="Times New Roman" w:hAnsi="Times New Roman" w:cs="Times New Roman"/>
          <w:sz w:val="24"/>
          <w:szCs w:val="24"/>
        </w:rPr>
        <w:t xml:space="preserve">podstawie </w:t>
      </w:r>
      <w:r w:rsidR="007A2FB6">
        <w:rPr>
          <w:rFonts w:ascii="Times New Roman" w:hAnsi="Times New Roman" w:cs="Times New Roman"/>
          <w:sz w:val="24"/>
          <w:szCs w:val="24"/>
        </w:rPr>
        <w:t>r</w:t>
      </w:r>
      <w:r w:rsidR="00B86E59" w:rsidRPr="00A80D46">
        <w:rPr>
          <w:rFonts w:ascii="Times New Roman" w:hAnsi="Times New Roman" w:cs="Times New Roman"/>
          <w:sz w:val="24"/>
          <w:szCs w:val="24"/>
        </w:rPr>
        <w:t>ozporządzenia taryfowego</w:t>
      </w:r>
      <w:r w:rsidR="00B254C1" w:rsidRPr="00A80D46">
        <w:rPr>
          <w:rFonts w:ascii="Times New Roman" w:hAnsi="Times New Roman" w:cs="Times New Roman"/>
          <w:sz w:val="24"/>
          <w:szCs w:val="24"/>
        </w:rPr>
        <w:t xml:space="preserve">. </w:t>
      </w:r>
      <w:r w:rsidR="00B86E59" w:rsidRPr="00A80D46">
        <w:rPr>
          <w:rFonts w:ascii="Times New Roman" w:hAnsi="Times New Roman" w:cs="Times New Roman"/>
          <w:sz w:val="24"/>
          <w:szCs w:val="24"/>
        </w:rPr>
        <w:t xml:space="preserve"> </w:t>
      </w:r>
    </w:p>
    <w:p w14:paraId="32CA47F9" w14:textId="4255366D" w:rsidR="00612C8A" w:rsidRPr="00A80D46" w:rsidRDefault="002E1077"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 xml:space="preserve">Znaczącym przykładem jest 2019 </w:t>
      </w:r>
      <w:r w:rsidR="00E0633A">
        <w:rPr>
          <w:rFonts w:ascii="Times New Roman" w:hAnsi="Times New Roman" w:cs="Times New Roman"/>
          <w:sz w:val="24"/>
          <w:szCs w:val="24"/>
        </w:rPr>
        <w:t>r.</w:t>
      </w:r>
      <w:r w:rsidRPr="00A80D46">
        <w:rPr>
          <w:rFonts w:ascii="Times New Roman" w:hAnsi="Times New Roman" w:cs="Times New Roman"/>
          <w:sz w:val="24"/>
          <w:szCs w:val="24"/>
        </w:rPr>
        <w:t xml:space="preserve">, w którym w wyniku opóźnionego wejścia w życie taryf </w:t>
      </w:r>
      <w:r w:rsidR="00B254C1" w:rsidRPr="00A80D46">
        <w:rPr>
          <w:rFonts w:ascii="Times New Roman" w:hAnsi="Times New Roman" w:cs="Times New Roman"/>
          <w:sz w:val="24"/>
          <w:szCs w:val="24"/>
        </w:rPr>
        <w:t>o</w:t>
      </w:r>
      <w:r w:rsidR="00612C8A" w:rsidRPr="00A80D46">
        <w:rPr>
          <w:rFonts w:ascii="Times New Roman" w:hAnsi="Times New Roman" w:cs="Times New Roman"/>
          <w:sz w:val="24"/>
          <w:szCs w:val="24"/>
        </w:rPr>
        <w:t xml:space="preserve">peratorów </w:t>
      </w:r>
      <w:r w:rsidR="00AE559C" w:rsidRPr="00A80D46">
        <w:rPr>
          <w:rFonts w:ascii="Times New Roman" w:hAnsi="Times New Roman" w:cs="Times New Roman"/>
          <w:sz w:val="24"/>
          <w:szCs w:val="24"/>
        </w:rPr>
        <w:t>(</w:t>
      </w:r>
      <w:r w:rsidR="00612C8A" w:rsidRPr="00A80D46">
        <w:rPr>
          <w:rFonts w:ascii="Times New Roman" w:hAnsi="Times New Roman" w:cs="Times New Roman"/>
          <w:sz w:val="24"/>
          <w:szCs w:val="24"/>
        </w:rPr>
        <w:t>o ponad</w:t>
      </w:r>
      <w:r w:rsidR="00AE559C" w:rsidRPr="00A80D46">
        <w:rPr>
          <w:rFonts w:ascii="Times New Roman" w:hAnsi="Times New Roman" w:cs="Times New Roman"/>
          <w:sz w:val="24"/>
          <w:szCs w:val="24"/>
        </w:rPr>
        <w:t xml:space="preserve"> 3 miesiące)</w:t>
      </w:r>
      <w:r w:rsidRPr="00A80D46">
        <w:rPr>
          <w:rFonts w:ascii="Times New Roman" w:hAnsi="Times New Roman" w:cs="Times New Roman"/>
          <w:sz w:val="24"/>
          <w:szCs w:val="24"/>
        </w:rPr>
        <w:t xml:space="preserve">, oraz podjętych przez odbiorców działań ograniczających zużycie energii elektrycznej, </w:t>
      </w:r>
      <w:r w:rsidR="00B254C1" w:rsidRPr="00A80D46">
        <w:rPr>
          <w:rFonts w:ascii="Times New Roman" w:hAnsi="Times New Roman" w:cs="Times New Roman"/>
          <w:sz w:val="24"/>
          <w:szCs w:val="24"/>
        </w:rPr>
        <w:t>o</w:t>
      </w:r>
      <w:r w:rsidR="00612C8A" w:rsidRPr="00A80D46">
        <w:rPr>
          <w:rFonts w:ascii="Times New Roman" w:hAnsi="Times New Roman" w:cs="Times New Roman"/>
          <w:sz w:val="24"/>
          <w:szCs w:val="24"/>
        </w:rPr>
        <w:t xml:space="preserve">peratorzy uzyskali przychód </w:t>
      </w:r>
      <w:r w:rsidRPr="00A80D46">
        <w:rPr>
          <w:rFonts w:ascii="Times New Roman" w:hAnsi="Times New Roman" w:cs="Times New Roman"/>
          <w:sz w:val="24"/>
          <w:szCs w:val="24"/>
        </w:rPr>
        <w:t xml:space="preserve">na poziomie </w:t>
      </w:r>
      <w:r w:rsidR="00612C8A" w:rsidRPr="00A80D46">
        <w:rPr>
          <w:rFonts w:ascii="Times New Roman" w:hAnsi="Times New Roman" w:cs="Times New Roman"/>
          <w:sz w:val="24"/>
          <w:szCs w:val="24"/>
        </w:rPr>
        <w:t>nie</w:t>
      </w:r>
      <w:r w:rsidRPr="00A80D46">
        <w:rPr>
          <w:rFonts w:ascii="Times New Roman" w:hAnsi="Times New Roman" w:cs="Times New Roman"/>
          <w:sz w:val="24"/>
          <w:szCs w:val="24"/>
        </w:rPr>
        <w:t xml:space="preserve">pokrywającym </w:t>
      </w:r>
      <w:r w:rsidR="00AB5F79" w:rsidRPr="00A80D46">
        <w:rPr>
          <w:rFonts w:ascii="Times New Roman" w:hAnsi="Times New Roman" w:cs="Times New Roman"/>
          <w:sz w:val="24"/>
          <w:szCs w:val="24"/>
        </w:rPr>
        <w:t xml:space="preserve">kosztów uzasadnionych </w:t>
      </w:r>
      <w:r w:rsidR="00C94E22" w:rsidRPr="00A80D46">
        <w:rPr>
          <w:rFonts w:ascii="Times New Roman" w:hAnsi="Times New Roman" w:cs="Times New Roman"/>
          <w:sz w:val="24"/>
          <w:szCs w:val="24"/>
        </w:rPr>
        <w:t xml:space="preserve">(w tym </w:t>
      </w:r>
      <w:r w:rsidR="00612C8A" w:rsidRPr="00A80D46">
        <w:rPr>
          <w:rFonts w:ascii="Times New Roman" w:hAnsi="Times New Roman" w:cs="Times New Roman"/>
          <w:sz w:val="24"/>
          <w:szCs w:val="24"/>
        </w:rPr>
        <w:t>kosztów operacyjnych</w:t>
      </w:r>
      <w:r w:rsidR="00C94E22" w:rsidRPr="00A80D46">
        <w:rPr>
          <w:rFonts w:ascii="Times New Roman" w:hAnsi="Times New Roman" w:cs="Times New Roman"/>
          <w:sz w:val="24"/>
          <w:szCs w:val="24"/>
        </w:rPr>
        <w:t>)</w:t>
      </w:r>
      <w:r w:rsidRPr="00A80D46">
        <w:rPr>
          <w:rFonts w:ascii="Times New Roman" w:hAnsi="Times New Roman" w:cs="Times New Roman"/>
          <w:sz w:val="24"/>
          <w:szCs w:val="24"/>
        </w:rPr>
        <w:t xml:space="preserve"> oraz poziom</w:t>
      </w:r>
      <w:r w:rsidR="00612C8A" w:rsidRPr="00A80D46">
        <w:rPr>
          <w:rFonts w:ascii="Times New Roman" w:hAnsi="Times New Roman" w:cs="Times New Roman"/>
          <w:sz w:val="24"/>
          <w:szCs w:val="24"/>
        </w:rPr>
        <w:t>u</w:t>
      </w:r>
      <w:r w:rsidR="00E0633A">
        <w:rPr>
          <w:rFonts w:ascii="Times New Roman" w:hAnsi="Times New Roman" w:cs="Times New Roman"/>
          <w:sz w:val="24"/>
          <w:szCs w:val="24"/>
        </w:rPr>
        <w:t xml:space="preserve"> zwrotu z </w:t>
      </w:r>
      <w:r w:rsidR="00C94E22" w:rsidRPr="00A80D46">
        <w:rPr>
          <w:rFonts w:ascii="Times New Roman" w:hAnsi="Times New Roman" w:cs="Times New Roman"/>
          <w:sz w:val="24"/>
          <w:szCs w:val="24"/>
        </w:rPr>
        <w:t xml:space="preserve">zaangażowanego </w:t>
      </w:r>
      <w:r w:rsidRPr="00A80D46">
        <w:rPr>
          <w:rFonts w:ascii="Times New Roman" w:hAnsi="Times New Roman" w:cs="Times New Roman"/>
          <w:sz w:val="24"/>
          <w:szCs w:val="24"/>
        </w:rPr>
        <w:t>kapitału</w:t>
      </w:r>
      <w:r w:rsidR="00612C8A" w:rsidRPr="00A80D46">
        <w:rPr>
          <w:rFonts w:ascii="Times New Roman" w:hAnsi="Times New Roman" w:cs="Times New Roman"/>
          <w:sz w:val="24"/>
          <w:szCs w:val="24"/>
        </w:rPr>
        <w:t xml:space="preserve">, </w:t>
      </w:r>
      <w:r w:rsidR="009B53DC" w:rsidRPr="00A80D46">
        <w:rPr>
          <w:rFonts w:ascii="Times New Roman" w:hAnsi="Times New Roman" w:cs="Times New Roman"/>
          <w:sz w:val="24"/>
          <w:szCs w:val="24"/>
        </w:rPr>
        <w:t xml:space="preserve">w wysokościach uznanych za </w:t>
      </w:r>
      <w:r w:rsidR="00E0633A">
        <w:rPr>
          <w:rFonts w:ascii="Times New Roman" w:hAnsi="Times New Roman" w:cs="Times New Roman"/>
          <w:sz w:val="24"/>
          <w:szCs w:val="24"/>
        </w:rPr>
        <w:t>uzasadnione przez Prezesa URE i </w:t>
      </w:r>
      <w:r w:rsidR="009B53DC" w:rsidRPr="00A80D46">
        <w:rPr>
          <w:rFonts w:ascii="Times New Roman" w:hAnsi="Times New Roman" w:cs="Times New Roman"/>
          <w:sz w:val="24"/>
          <w:szCs w:val="24"/>
        </w:rPr>
        <w:t>przyjętych do kalkulacji taryf na rok 2019</w:t>
      </w:r>
      <w:r w:rsidRPr="00A80D46">
        <w:rPr>
          <w:rFonts w:ascii="Times New Roman" w:hAnsi="Times New Roman" w:cs="Times New Roman"/>
          <w:sz w:val="24"/>
          <w:szCs w:val="24"/>
        </w:rPr>
        <w:t xml:space="preserve">. </w:t>
      </w:r>
    </w:p>
    <w:p w14:paraId="4678AD21" w14:textId="25C96F98" w:rsidR="00BB40BC" w:rsidRPr="00A80D46" w:rsidRDefault="009B53DC"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Przewiduje się, że s</w:t>
      </w:r>
      <w:r w:rsidR="00174006" w:rsidRPr="00A80D46">
        <w:rPr>
          <w:rFonts w:ascii="Times New Roman" w:hAnsi="Times New Roman" w:cs="Times New Roman"/>
          <w:sz w:val="24"/>
          <w:szCs w:val="24"/>
        </w:rPr>
        <w:t>ytuacja o podobnym charakterze</w:t>
      </w:r>
      <w:r w:rsidR="00AB5F79" w:rsidRPr="00A80D46">
        <w:rPr>
          <w:rFonts w:ascii="Times New Roman" w:hAnsi="Times New Roman" w:cs="Times New Roman"/>
          <w:sz w:val="24"/>
          <w:szCs w:val="24"/>
        </w:rPr>
        <w:t>,</w:t>
      </w:r>
      <w:r w:rsidR="00174006" w:rsidRPr="00A80D46">
        <w:rPr>
          <w:rFonts w:ascii="Times New Roman" w:hAnsi="Times New Roman" w:cs="Times New Roman"/>
          <w:sz w:val="24"/>
          <w:szCs w:val="24"/>
        </w:rPr>
        <w:t xml:space="preserve"> lecz o znacznie większej skali,</w:t>
      </w:r>
      <w:r w:rsidR="002E1077" w:rsidRPr="00A80D46">
        <w:rPr>
          <w:rFonts w:ascii="Times New Roman" w:hAnsi="Times New Roman" w:cs="Times New Roman"/>
          <w:sz w:val="24"/>
          <w:szCs w:val="24"/>
        </w:rPr>
        <w:t xml:space="preserve"> będzie miała miejsce w 2020 roku z powodu istotnego ograniczenia poboru energii przez odbiorców</w:t>
      </w:r>
      <w:r w:rsidR="002D3D53" w:rsidRPr="00A80D46">
        <w:rPr>
          <w:rFonts w:ascii="Times New Roman" w:hAnsi="Times New Roman" w:cs="Times New Roman"/>
          <w:sz w:val="24"/>
          <w:szCs w:val="24"/>
        </w:rPr>
        <w:t xml:space="preserve"> </w:t>
      </w:r>
      <w:r w:rsidR="002E1077" w:rsidRPr="00A80D46">
        <w:rPr>
          <w:rFonts w:ascii="Times New Roman" w:hAnsi="Times New Roman" w:cs="Times New Roman"/>
          <w:sz w:val="24"/>
          <w:szCs w:val="24"/>
        </w:rPr>
        <w:t>w okresie epidemii</w:t>
      </w:r>
      <w:r w:rsidR="00C94E22" w:rsidRPr="00A80D46">
        <w:rPr>
          <w:rFonts w:ascii="Times New Roman" w:hAnsi="Times New Roman" w:cs="Times New Roman"/>
          <w:sz w:val="24"/>
          <w:szCs w:val="24"/>
        </w:rPr>
        <w:t xml:space="preserve"> </w:t>
      </w:r>
      <w:r w:rsidR="00F63C78" w:rsidRPr="00A80D46">
        <w:rPr>
          <w:rFonts w:ascii="Times New Roman" w:hAnsi="Times New Roman" w:cs="Times New Roman"/>
          <w:sz w:val="24"/>
          <w:szCs w:val="24"/>
        </w:rPr>
        <w:t>koronawirusa SARS CoV-2</w:t>
      </w:r>
      <w:r w:rsidR="00BB40BC" w:rsidRPr="00A80D46">
        <w:rPr>
          <w:rFonts w:ascii="Times New Roman" w:hAnsi="Times New Roman" w:cs="Times New Roman"/>
          <w:sz w:val="24"/>
          <w:szCs w:val="24"/>
        </w:rPr>
        <w:t xml:space="preserve"> (teza ta w</w:t>
      </w:r>
      <w:r w:rsidR="00E0633A">
        <w:rPr>
          <w:rFonts w:ascii="Times New Roman" w:hAnsi="Times New Roman" w:cs="Times New Roman"/>
          <w:sz w:val="24"/>
          <w:szCs w:val="24"/>
        </w:rPr>
        <w:t>ynika z aktualnych danych np. w </w:t>
      </w:r>
      <w:r w:rsidR="00BB40BC" w:rsidRPr="00A80D46">
        <w:rPr>
          <w:rFonts w:ascii="Times New Roman" w:hAnsi="Times New Roman" w:cs="Times New Roman"/>
          <w:sz w:val="24"/>
          <w:szCs w:val="24"/>
        </w:rPr>
        <w:t>zakresie energii zapotrzebowanej przez odbiorców)</w:t>
      </w:r>
      <w:r w:rsidR="002E1077" w:rsidRPr="00A80D46">
        <w:rPr>
          <w:rFonts w:ascii="Times New Roman" w:hAnsi="Times New Roman" w:cs="Times New Roman"/>
          <w:sz w:val="24"/>
          <w:szCs w:val="24"/>
        </w:rPr>
        <w:t xml:space="preserve">. Jednocześnie uzyskanie </w:t>
      </w:r>
      <w:r w:rsidR="00BB629A" w:rsidRPr="00A80D46">
        <w:rPr>
          <w:rFonts w:ascii="Times New Roman" w:hAnsi="Times New Roman" w:cs="Times New Roman"/>
          <w:sz w:val="24"/>
          <w:szCs w:val="24"/>
        </w:rPr>
        <w:t>przez OSD</w:t>
      </w:r>
      <w:r w:rsidR="00E0633A">
        <w:rPr>
          <w:rFonts w:ascii="Times New Roman" w:hAnsi="Times New Roman" w:cs="Times New Roman"/>
          <w:sz w:val="24"/>
          <w:szCs w:val="24"/>
        </w:rPr>
        <w:t xml:space="preserve"> i </w:t>
      </w:r>
      <w:r w:rsidR="00174006" w:rsidRPr="00A80D46">
        <w:rPr>
          <w:rFonts w:ascii="Times New Roman" w:hAnsi="Times New Roman" w:cs="Times New Roman"/>
          <w:sz w:val="24"/>
          <w:szCs w:val="24"/>
        </w:rPr>
        <w:t>OSP</w:t>
      </w:r>
      <w:r w:rsidR="00BB629A" w:rsidRPr="00A80D46">
        <w:rPr>
          <w:rFonts w:ascii="Times New Roman" w:hAnsi="Times New Roman" w:cs="Times New Roman"/>
          <w:sz w:val="24"/>
          <w:szCs w:val="24"/>
        </w:rPr>
        <w:t xml:space="preserve"> </w:t>
      </w:r>
      <w:r w:rsidR="002E1077" w:rsidRPr="00A80D46">
        <w:rPr>
          <w:rFonts w:ascii="Times New Roman" w:hAnsi="Times New Roman" w:cs="Times New Roman"/>
          <w:sz w:val="24"/>
          <w:szCs w:val="24"/>
        </w:rPr>
        <w:t>wyższego przychodu</w:t>
      </w:r>
      <w:r w:rsidR="00C94E22" w:rsidRPr="00A80D46">
        <w:rPr>
          <w:rFonts w:ascii="Times New Roman" w:hAnsi="Times New Roman" w:cs="Times New Roman"/>
          <w:sz w:val="24"/>
          <w:szCs w:val="24"/>
        </w:rPr>
        <w:t xml:space="preserve"> </w:t>
      </w:r>
      <w:r w:rsidR="002E1077" w:rsidRPr="00A80D46">
        <w:rPr>
          <w:rFonts w:ascii="Times New Roman" w:hAnsi="Times New Roman" w:cs="Times New Roman"/>
          <w:sz w:val="24"/>
          <w:szCs w:val="24"/>
        </w:rPr>
        <w:t>niż planowany w taryfie</w:t>
      </w:r>
      <w:r w:rsidR="00612C8A" w:rsidRPr="00A80D46">
        <w:rPr>
          <w:rFonts w:ascii="Times New Roman" w:hAnsi="Times New Roman" w:cs="Times New Roman"/>
          <w:sz w:val="24"/>
          <w:szCs w:val="24"/>
        </w:rPr>
        <w:t xml:space="preserve"> z opłat zależnych od nośników opłat</w:t>
      </w:r>
      <w:r w:rsidR="00C94E22" w:rsidRPr="00A80D46">
        <w:rPr>
          <w:rFonts w:ascii="Times New Roman" w:hAnsi="Times New Roman" w:cs="Times New Roman"/>
          <w:sz w:val="24"/>
          <w:szCs w:val="24"/>
        </w:rPr>
        <w:t>,</w:t>
      </w:r>
      <w:r w:rsidR="002E1077" w:rsidRPr="00A80D46">
        <w:rPr>
          <w:rFonts w:ascii="Times New Roman" w:hAnsi="Times New Roman" w:cs="Times New Roman"/>
          <w:sz w:val="24"/>
          <w:szCs w:val="24"/>
        </w:rPr>
        <w:t xml:space="preserve"> skutkuje wyższym</w:t>
      </w:r>
      <w:r w:rsidR="00C94E22" w:rsidRPr="00A80D46">
        <w:rPr>
          <w:rFonts w:ascii="Times New Roman" w:hAnsi="Times New Roman" w:cs="Times New Roman"/>
          <w:sz w:val="24"/>
          <w:szCs w:val="24"/>
        </w:rPr>
        <w:t>, nieuzasadnionym</w:t>
      </w:r>
      <w:r w:rsidR="002E1077" w:rsidRPr="00A80D46">
        <w:rPr>
          <w:rFonts w:ascii="Times New Roman" w:hAnsi="Times New Roman" w:cs="Times New Roman"/>
          <w:sz w:val="24"/>
          <w:szCs w:val="24"/>
        </w:rPr>
        <w:t xml:space="preserve"> </w:t>
      </w:r>
      <w:r w:rsidR="00BB40BC" w:rsidRPr="00A80D46">
        <w:rPr>
          <w:rFonts w:ascii="Times New Roman" w:hAnsi="Times New Roman" w:cs="Times New Roman"/>
          <w:sz w:val="24"/>
          <w:szCs w:val="24"/>
        </w:rPr>
        <w:t xml:space="preserve">obciążaniem </w:t>
      </w:r>
      <w:r w:rsidR="002E1077" w:rsidRPr="00A80D46">
        <w:rPr>
          <w:rFonts w:ascii="Times New Roman" w:hAnsi="Times New Roman" w:cs="Times New Roman"/>
          <w:sz w:val="24"/>
          <w:szCs w:val="24"/>
        </w:rPr>
        <w:t>odbiorców</w:t>
      </w:r>
      <w:r w:rsidR="00BB629A" w:rsidRPr="00A80D46">
        <w:rPr>
          <w:rFonts w:ascii="Times New Roman" w:hAnsi="Times New Roman" w:cs="Times New Roman"/>
          <w:sz w:val="24"/>
          <w:szCs w:val="24"/>
        </w:rPr>
        <w:t>,</w:t>
      </w:r>
      <w:r w:rsidR="002E1077" w:rsidRPr="00A80D46">
        <w:rPr>
          <w:rFonts w:ascii="Times New Roman" w:hAnsi="Times New Roman" w:cs="Times New Roman"/>
          <w:sz w:val="24"/>
          <w:szCs w:val="24"/>
        </w:rPr>
        <w:t xml:space="preserve"> niż wynikające z wysokości uzasadnionych kosztów </w:t>
      </w:r>
      <w:r w:rsidR="00612C8A" w:rsidRPr="00A80D46">
        <w:rPr>
          <w:rFonts w:ascii="Times New Roman" w:hAnsi="Times New Roman" w:cs="Times New Roman"/>
          <w:sz w:val="24"/>
          <w:szCs w:val="24"/>
        </w:rPr>
        <w:t xml:space="preserve">działalności </w:t>
      </w:r>
      <w:r w:rsidR="00B254C1" w:rsidRPr="00A80D46">
        <w:rPr>
          <w:rFonts w:ascii="Times New Roman" w:hAnsi="Times New Roman" w:cs="Times New Roman"/>
          <w:sz w:val="24"/>
          <w:szCs w:val="24"/>
        </w:rPr>
        <w:t>o</w:t>
      </w:r>
      <w:r w:rsidR="00612C8A" w:rsidRPr="00A80D46">
        <w:rPr>
          <w:rFonts w:ascii="Times New Roman" w:hAnsi="Times New Roman" w:cs="Times New Roman"/>
          <w:sz w:val="24"/>
          <w:szCs w:val="24"/>
        </w:rPr>
        <w:t>peratorów</w:t>
      </w:r>
      <w:r w:rsidR="002E1077" w:rsidRPr="00A80D46">
        <w:rPr>
          <w:rFonts w:ascii="Times New Roman" w:hAnsi="Times New Roman" w:cs="Times New Roman"/>
          <w:sz w:val="24"/>
          <w:szCs w:val="24"/>
        </w:rPr>
        <w:t xml:space="preserve"> oraz zwrotu</w:t>
      </w:r>
      <w:r w:rsidR="00A769C4" w:rsidRPr="00A80D46">
        <w:rPr>
          <w:rFonts w:ascii="Times New Roman" w:hAnsi="Times New Roman" w:cs="Times New Roman"/>
          <w:sz w:val="24"/>
          <w:szCs w:val="24"/>
        </w:rPr>
        <w:t xml:space="preserve"> </w:t>
      </w:r>
      <w:r w:rsidR="002E1077" w:rsidRPr="00A80D46">
        <w:rPr>
          <w:rFonts w:ascii="Times New Roman" w:hAnsi="Times New Roman" w:cs="Times New Roman"/>
          <w:sz w:val="24"/>
          <w:szCs w:val="24"/>
        </w:rPr>
        <w:t xml:space="preserve">z zaangażowanego kapitału. </w:t>
      </w:r>
    </w:p>
    <w:p w14:paraId="09BE9DB3" w14:textId="2CDE1955" w:rsidR="00E15D80" w:rsidRPr="00A80D46" w:rsidRDefault="00BB629A"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Celowe i uzasadnione jest zatem wprowadzenie mechanizmu wyrównującego</w:t>
      </w:r>
      <w:r w:rsidR="00844E46" w:rsidRPr="00A80D46">
        <w:rPr>
          <w:rFonts w:ascii="Times New Roman" w:hAnsi="Times New Roman" w:cs="Times New Roman"/>
          <w:sz w:val="24"/>
          <w:szCs w:val="24"/>
        </w:rPr>
        <w:t xml:space="preserve"> w dłuższym terminie przychody </w:t>
      </w:r>
      <w:r w:rsidR="00174006" w:rsidRPr="00A80D46">
        <w:rPr>
          <w:rFonts w:ascii="Times New Roman" w:hAnsi="Times New Roman" w:cs="Times New Roman"/>
          <w:sz w:val="24"/>
          <w:szCs w:val="24"/>
        </w:rPr>
        <w:t xml:space="preserve">OSD i OSP </w:t>
      </w:r>
      <w:r w:rsidR="00844E46" w:rsidRPr="00A80D46">
        <w:rPr>
          <w:rFonts w:ascii="Times New Roman" w:hAnsi="Times New Roman" w:cs="Times New Roman"/>
          <w:sz w:val="24"/>
          <w:szCs w:val="24"/>
        </w:rPr>
        <w:t xml:space="preserve">zależne od </w:t>
      </w:r>
      <w:r w:rsidR="00174006" w:rsidRPr="00A80D46">
        <w:rPr>
          <w:rFonts w:ascii="Times New Roman" w:hAnsi="Times New Roman" w:cs="Times New Roman"/>
          <w:sz w:val="24"/>
          <w:szCs w:val="24"/>
        </w:rPr>
        <w:t>nośników opłat</w:t>
      </w:r>
      <w:r w:rsidRPr="00A80D46">
        <w:rPr>
          <w:rFonts w:ascii="Times New Roman" w:hAnsi="Times New Roman" w:cs="Times New Roman"/>
          <w:sz w:val="24"/>
          <w:szCs w:val="24"/>
        </w:rPr>
        <w:t>, który odpowiednio bądź wyrówna OSD</w:t>
      </w:r>
      <w:r w:rsidR="00174006" w:rsidRPr="00A80D46">
        <w:rPr>
          <w:rFonts w:ascii="Times New Roman" w:hAnsi="Times New Roman" w:cs="Times New Roman"/>
          <w:sz w:val="24"/>
          <w:szCs w:val="24"/>
        </w:rPr>
        <w:t xml:space="preserve"> i OSP</w:t>
      </w:r>
      <w:r w:rsidRPr="00A80D46">
        <w:rPr>
          <w:rFonts w:ascii="Times New Roman" w:hAnsi="Times New Roman" w:cs="Times New Roman"/>
          <w:sz w:val="24"/>
          <w:szCs w:val="24"/>
        </w:rPr>
        <w:t xml:space="preserve"> brakujący </w:t>
      </w:r>
      <w:r w:rsidR="00BB40BC" w:rsidRPr="00A80D46">
        <w:rPr>
          <w:rFonts w:ascii="Times New Roman" w:hAnsi="Times New Roman" w:cs="Times New Roman"/>
          <w:sz w:val="24"/>
          <w:szCs w:val="24"/>
        </w:rPr>
        <w:t xml:space="preserve">uzasadniony </w:t>
      </w:r>
      <w:r w:rsidRPr="00A80D46">
        <w:rPr>
          <w:rFonts w:ascii="Times New Roman" w:hAnsi="Times New Roman" w:cs="Times New Roman"/>
          <w:sz w:val="24"/>
          <w:szCs w:val="24"/>
        </w:rPr>
        <w:t xml:space="preserve">przychód, bądź też </w:t>
      </w:r>
      <w:r w:rsidR="002E1077" w:rsidRPr="00A80D46">
        <w:rPr>
          <w:rFonts w:ascii="Times New Roman" w:hAnsi="Times New Roman" w:cs="Times New Roman"/>
          <w:sz w:val="24"/>
          <w:szCs w:val="24"/>
        </w:rPr>
        <w:t>zapewni</w:t>
      </w:r>
      <w:r w:rsidR="005D55E2" w:rsidRPr="00A80D46">
        <w:rPr>
          <w:rFonts w:ascii="Times New Roman" w:hAnsi="Times New Roman" w:cs="Times New Roman"/>
          <w:sz w:val="24"/>
          <w:szCs w:val="24"/>
        </w:rPr>
        <w:t xml:space="preserve"> </w:t>
      </w:r>
      <w:r w:rsidR="002E1077" w:rsidRPr="00A80D46">
        <w:rPr>
          <w:rFonts w:ascii="Times New Roman" w:hAnsi="Times New Roman" w:cs="Times New Roman"/>
          <w:sz w:val="24"/>
          <w:szCs w:val="24"/>
        </w:rPr>
        <w:t xml:space="preserve">ograniczenie nadmiernych </w:t>
      </w:r>
      <w:r w:rsidR="00844E46" w:rsidRPr="00A80D46">
        <w:rPr>
          <w:rFonts w:ascii="Times New Roman" w:hAnsi="Times New Roman" w:cs="Times New Roman"/>
          <w:sz w:val="24"/>
          <w:szCs w:val="24"/>
        </w:rPr>
        <w:t xml:space="preserve">wzrostów </w:t>
      </w:r>
      <w:r w:rsidR="002E1077" w:rsidRPr="00A80D46">
        <w:rPr>
          <w:rFonts w:ascii="Times New Roman" w:hAnsi="Times New Roman" w:cs="Times New Roman"/>
          <w:sz w:val="24"/>
          <w:szCs w:val="24"/>
        </w:rPr>
        <w:t xml:space="preserve">kosztów </w:t>
      </w:r>
      <w:r w:rsidR="00612C8A" w:rsidRPr="00A80D46">
        <w:rPr>
          <w:rFonts w:ascii="Times New Roman" w:hAnsi="Times New Roman" w:cs="Times New Roman"/>
          <w:sz w:val="24"/>
          <w:szCs w:val="24"/>
        </w:rPr>
        <w:t xml:space="preserve">przenoszonych na </w:t>
      </w:r>
      <w:r w:rsidR="002E1077" w:rsidRPr="00A80D46">
        <w:rPr>
          <w:rFonts w:ascii="Times New Roman" w:hAnsi="Times New Roman" w:cs="Times New Roman"/>
          <w:sz w:val="24"/>
          <w:szCs w:val="24"/>
        </w:rPr>
        <w:t>odbiorców w</w:t>
      </w:r>
      <w:r w:rsidR="003D72EE" w:rsidRPr="00A80D46">
        <w:rPr>
          <w:rFonts w:ascii="Times New Roman" w:hAnsi="Times New Roman" w:cs="Times New Roman"/>
          <w:sz w:val="24"/>
          <w:szCs w:val="24"/>
        </w:rPr>
        <w:t> </w:t>
      </w:r>
      <w:r w:rsidR="002E1077" w:rsidRPr="00A80D46">
        <w:rPr>
          <w:rFonts w:ascii="Times New Roman" w:hAnsi="Times New Roman" w:cs="Times New Roman"/>
          <w:sz w:val="24"/>
          <w:szCs w:val="24"/>
        </w:rPr>
        <w:t>przyszłych okresach regulacyjnych</w:t>
      </w:r>
      <w:r w:rsidR="00F63C78" w:rsidRPr="00A80D46">
        <w:rPr>
          <w:rFonts w:ascii="Times New Roman" w:hAnsi="Times New Roman" w:cs="Times New Roman"/>
          <w:sz w:val="24"/>
          <w:szCs w:val="24"/>
        </w:rPr>
        <w:t xml:space="preserve"> -</w:t>
      </w:r>
      <w:r w:rsidR="001D75B7" w:rsidRPr="00A80D46">
        <w:rPr>
          <w:rFonts w:ascii="Times New Roman" w:hAnsi="Times New Roman" w:cs="Times New Roman"/>
          <w:sz w:val="24"/>
          <w:szCs w:val="24"/>
        </w:rPr>
        <w:t xml:space="preserve"> obniżając </w:t>
      </w:r>
      <w:r w:rsidR="00612C8A" w:rsidRPr="00A80D46">
        <w:rPr>
          <w:rFonts w:ascii="Times New Roman" w:hAnsi="Times New Roman" w:cs="Times New Roman"/>
          <w:sz w:val="24"/>
          <w:szCs w:val="24"/>
        </w:rPr>
        <w:t>je</w:t>
      </w:r>
      <w:r w:rsidR="002E1077" w:rsidRPr="00A80D46">
        <w:rPr>
          <w:rFonts w:ascii="Times New Roman" w:hAnsi="Times New Roman" w:cs="Times New Roman"/>
          <w:sz w:val="24"/>
          <w:szCs w:val="24"/>
        </w:rPr>
        <w:t>.</w:t>
      </w:r>
      <w:r w:rsidR="00A769C4" w:rsidRPr="00A80D46">
        <w:rPr>
          <w:rFonts w:ascii="Times New Roman" w:hAnsi="Times New Roman" w:cs="Times New Roman"/>
          <w:sz w:val="24"/>
          <w:szCs w:val="24"/>
        </w:rPr>
        <w:t xml:space="preserve"> </w:t>
      </w:r>
      <w:r w:rsidR="00C92524" w:rsidRPr="00A80D46">
        <w:rPr>
          <w:rFonts w:ascii="Times New Roman" w:hAnsi="Times New Roman" w:cs="Times New Roman"/>
          <w:sz w:val="24"/>
          <w:szCs w:val="24"/>
        </w:rPr>
        <w:t>Takim mechanizmem wyrównującym</w:t>
      </w:r>
      <w:r w:rsidR="00844E46" w:rsidRPr="00A80D46">
        <w:rPr>
          <w:rFonts w:ascii="Times New Roman" w:hAnsi="Times New Roman" w:cs="Times New Roman"/>
          <w:sz w:val="24"/>
          <w:szCs w:val="24"/>
        </w:rPr>
        <w:t xml:space="preserve"> przychód w</w:t>
      </w:r>
      <w:r w:rsidR="003D72EE" w:rsidRPr="00A80D46">
        <w:rPr>
          <w:rFonts w:ascii="Times New Roman" w:hAnsi="Times New Roman" w:cs="Times New Roman"/>
          <w:sz w:val="24"/>
          <w:szCs w:val="24"/>
        </w:rPr>
        <w:t> </w:t>
      </w:r>
      <w:r w:rsidR="00844E46" w:rsidRPr="00A80D46">
        <w:rPr>
          <w:rFonts w:ascii="Times New Roman" w:hAnsi="Times New Roman" w:cs="Times New Roman"/>
          <w:sz w:val="24"/>
          <w:szCs w:val="24"/>
        </w:rPr>
        <w:t>sytuacji uzależnienia jego uzyskania przede wszystkim od opłat zmiennych</w:t>
      </w:r>
      <w:r w:rsidR="002B6426" w:rsidRPr="00A80D46">
        <w:rPr>
          <w:rFonts w:ascii="Times New Roman" w:hAnsi="Times New Roman" w:cs="Times New Roman"/>
          <w:sz w:val="24"/>
          <w:szCs w:val="24"/>
        </w:rPr>
        <w:t xml:space="preserve"> i wolumenu dostarczanej odbiorcom energii</w:t>
      </w:r>
      <w:r w:rsidR="00844E46" w:rsidRPr="00A80D46">
        <w:rPr>
          <w:rFonts w:ascii="Times New Roman" w:hAnsi="Times New Roman" w:cs="Times New Roman"/>
          <w:sz w:val="24"/>
          <w:szCs w:val="24"/>
        </w:rPr>
        <w:t>,</w:t>
      </w:r>
      <w:r w:rsidR="00C92524" w:rsidRPr="00A80D46">
        <w:rPr>
          <w:rFonts w:ascii="Times New Roman" w:hAnsi="Times New Roman" w:cs="Times New Roman"/>
          <w:sz w:val="24"/>
          <w:szCs w:val="24"/>
        </w:rPr>
        <w:t xml:space="preserve"> jest konto regulacyjne. </w:t>
      </w:r>
    </w:p>
    <w:p w14:paraId="70B48BFB" w14:textId="1FAD2D0C" w:rsidR="008B2356" w:rsidRPr="00A80D46" w:rsidRDefault="008B2356"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 xml:space="preserve">Jest to mechanizm znany z regulacji </w:t>
      </w:r>
      <w:r w:rsidR="00B254C1" w:rsidRPr="00A80D46">
        <w:rPr>
          <w:rFonts w:ascii="Times New Roman" w:hAnsi="Times New Roman" w:cs="Times New Roman"/>
          <w:sz w:val="24"/>
          <w:szCs w:val="24"/>
        </w:rPr>
        <w:t>o</w:t>
      </w:r>
      <w:r w:rsidR="00174006" w:rsidRPr="00A80D46">
        <w:rPr>
          <w:rFonts w:ascii="Times New Roman" w:hAnsi="Times New Roman" w:cs="Times New Roman"/>
          <w:sz w:val="24"/>
          <w:szCs w:val="24"/>
        </w:rPr>
        <w:t xml:space="preserve">peratorów </w:t>
      </w:r>
      <w:r w:rsidR="00B254C1" w:rsidRPr="00A80D46">
        <w:rPr>
          <w:rFonts w:ascii="Times New Roman" w:hAnsi="Times New Roman" w:cs="Times New Roman"/>
          <w:sz w:val="24"/>
          <w:szCs w:val="24"/>
        </w:rPr>
        <w:t>s</w:t>
      </w:r>
      <w:r w:rsidR="00174006" w:rsidRPr="00A80D46">
        <w:rPr>
          <w:rFonts w:ascii="Times New Roman" w:hAnsi="Times New Roman" w:cs="Times New Roman"/>
          <w:sz w:val="24"/>
          <w:szCs w:val="24"/>
        </w:rPr>
        <w:t>ystemu</w:t>
      </w:r>
      <w:r w:rsidR="00E0633A">
        <w:rPr>
          <w:rFonts w:ascii="Times New Roman" w:hAnsi="Times New Roman" w:cs="Times New Roman"/>
          <w:sz w:val="24"/>
          <w:szCs w:val="24"/>
        </w:rPr>
        <w:t xml:space="preserve"> w wielu </w:t>
      </w:r>
      <w:r w:rsidR="00D84EE7">
        <w:rPr>
          <w:rFonts w:ascii="Times New Roman" w:hAnsi="Times New Roman" w:cs="Times New Roman"/>
          <w:sz w:val="24"/>
          <w:szCs w:val="24"/>
        </w:rPr>
        <w:t xml:space="preserve">państwach </w:t>
      </w:r>
      <w:r w:rsidR="00E0633A">
        <w:rPr>
          <w:rFonts w:ascii="Times New Roman" w:hAnsi="Times New Roman" w:cs="Times New Roman"/>
          <w:sz w:val="24"/>
          <w:szCs w:val="24"/>
        </w:rPr>
        <w:t>europejskich i </w:t>
      </w:r>
      <w:r w:rsidRPr="00A80D46">
        <w:rPr>
          <w:rFonts w:ascii="Times New Roman" w:hAnsi="Times New Roman" w:cs="Times New Roman"/>
          <w:sz w:val="24"/>
          <w:szCs w:val="24"/>
        </w:rPr>
        <w:t xml:space="preserve">stosowany tam, gdzie tzw. ryzyko wolumenowe związane z niepewnością planowania dostawy energii do odbiorców jest duże i nie jest ograniczone przez następujące zasady/warunki regulacji: </w:t>
      </w:r>
      <w:r w:rsidR="00EE380A" w:rsidRPr="00A80D46">
        <w:rPr>
          <w:rFonts w:ascii="Times New Roman" w:hAnsi="Times New Roman" w:cs="Times New Roman"/>
          <w:sz w:val="24"/>
          <w:szCs w:val="24"/>
        </w:rPr>
        <w:t xml:space="preserve">ustalanie </w:t>
      </w:r>
      <w:r w:rsidRPr="00A80D46">
        <w:rPr>
          <w:rFonts w:ascii="Times New Roman" w:hAnsi="Times New Roman" w:cs="Times New Roman"/>
          <w:sz w:val="24"/>
          <w:szCs w:val="24"/>
        </w:rPr>
        <w:t>przychodu regulowane</w:t>
      </w:r>
      <w:r w:rsidR="00174006" w:rsidRPr="00A80D46">
        <w:rPr>
          <w:rFonts w:ascii="Times New Roman" w:hAnsi="Times New Roman" w:cs="Times New Roman"/>
          <w:sz w:val="24"/>
          <w:szCs w:val="24"/>
        </w:rPr>
        <w:t>go</w:t>
      </w:r>
      <w:r w:rsidRPr="00A80D46">
        <w:rPr>
          <w:rFonts w:ascii="Times New Roman" w:hAnsi="Times New Roman" w:cs="Times New Roman"/>
          <w:sz w:val="24"/>
          <w:szCs w:val="24"/>
        </w:rPr>
        <w:t xml:space="preserve"> w jak największym stopniu </w:t>
      </w:r>
      <w:r w:rsidR="00EE380A" w:rsidRPr="00A80D46">
        <w:rPr>
          <w:rFonts w:ascii="Times New Roman" w:hAnsi="Times New Roman" w:cs="Times New Roman"/>
          <w:sz w:val="24"/>
          <w:szCs w:val="24"/>
        </w:rPr>
        <w:t xml:space="preserve">poprzez </w:t>
      </w:r>
      <w:r w:rsidRPr="00A80D46">
        <w:rPr>
          <w:rFonts w:ascii="Times New Roman" w:hAnsi="Times New Roman" w:cs="Times New Roman"/>
          <w:sz w:val="24"/>
          <w:szCs w:val="24"/>
        </w:rPr>
        <w:t xml:space="preserve">opłaty stałe (np. Holandia, Słowacja), </w:t>
      </w:r>
      <w:r w:rsidR="009B33A3" w:rsidRPr="00A80D46">
        <w:rPr>
          <w:rFonts w:ascii="Times New Roman" w:hAnsi="Times New Roman" w:cs="Times New Roman"/>
          <w:sz w:val="24"/>
          <w:szCs w:val="24"/>
        </w:rPr>
        <w:t xml:space="preserve">czy </w:t>
      </w:r>
      <w:r w:rsidRPr="00A80D46">
        <w:rPr>
          <w:rFonts w:ascii="Times New Roman" w:hAnsi="Times New Roman" w:cs="Times New Roman"/>
          <w:sz w:val="24"/>
          <w:szCs w:val="24"/>
        </w:rPr>
        <w:t xml:space="preserve">model „full revenue cap” (np. Finlandia, Norwegia, Wielka Brytania, Szwecja). </w:t>
      </w:r>
      <w:r w:rsidR="00D84EE7">
        <w:rPr>
          <w:rFonts w:ascii="Times New Roman" w:hAnsi="Times New Roman" w:cs="Times New Roman"/>
          <w:sz w:val="24"/>
          <w:szCs w:val="24"/>
        </w:rPr>
        <w:t>Państwami</w:t>
      </w:r>
      <w:r w:rsidRPr="00A80D46">
        <w:rPr>
          <w:rFonts w:ascii="Times New Roman" w:hAnsi="Times New Roman" w:cs="Times New Roman"/>
          <w:sz w:val="24"/>
          <w:szCs w:val="24"/>
        </w:rPr>
        <w:t>, w których wdrożono mechanizm</w:t>
      </w:r>
      <w:r w:rsidR="00EE380A" w:rsidRPr="00A80D46">
        <w:rPr>
          <w:rFonts w:ascii="Times New Roman" w:hAnsi="Times New Roman" w:cs="Times New Roman"/>
          <w:sz w:val="24"/>
          <w:szCs w:val="24"/>
        </w:rPr>
        <w:t xml:space="preserve"> konta regulacyjnego dla przychodów</w:t>
      </w:r>
      <w:r w:rsidRPr="00A80D46">
        <w:rPr>
          <w:rFonts w:ascii="Times New Roman" w:hAnsi="Times New Roman" w:cs="Times New Roman"/>
          <w:sz w:val="24"/>
          <w:szCs w:val="24"/>
        </w:rPr>
        <w:t>, są np. Austria, Belgia, Czechy, Francja, Niemcy, Irlandia, Portugalia.</w:t>
      </w:r>
    </w:p>
    <w:p w14:paraId="596AFF9D" w14:textId="5A15BF20" w:rsidR="002F6B5D" w:rsidRDefault="009B33A3"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P</w:t>
      </w:r>
      <w:r w:rsidR="002F6B5D" w:rsidRPr="00A80D46">
        <w:rPr>
          <w:rFonts w:ascii="Times New Roman" w:hAnsi="Times New Roman" w:cs="Times New Roman"/>
          <w:sz w:val="24"/>
          <w:szCs w:val="24"/>
        </w:rPr>
        <w:t xml:space="preserve">roponowane zmiany dotyczyć będą </w:t>
      </w:r>
      <w:r w:rsidR="002D3D53" w:rsidRPr="00A80D46">
        <w:rPr>
          <w:rFonts w:ascii="Times New Roman" w:hAnsi="Times New Roman" w:cs="Times New Roman"/>
          <w:sz w:val="24"/>
          <w:szCs w:val="24"/>
        </w:rPr>
        <w:t xml:space="preserve">wszystkich </w:t>
      </w:r>
      <w:r w:rsidR="00B254C1" w:rsidRPr="00A80D46">
        <w:rPr>
          <w:rFonts w:ascii="Times New Roman" w:hAnsi="Times New Roman" w:cs="Times New Roman"/>
          <w:sz w:val="24"/>
          <w:szCs w:val="24"/>
        </w:rPr>
        <w:t>o</w:t>
      </w:r>
      <w:r w:rsidRPr="00A80D46">
        <w:rPr>
          <w:rFonts w:ascii="Times New Roman" w:hAnsi="Times New Roman" w:cs="Times New Roman"/>
          <w:sz w:val="24"/>
          <w:szCs w:val="24"/>
        </w:rPr>
        <w:t xml:space="preserve">peratorów </w:t>
      </w:r>
      <w:r w:rsidR="00B254C1" w:rsidRPr="00A80D46">
        <w:rPr>
          <w:rFonts w:ascii="Times New Roman" w:hAnsi="Times New Roman" w:cs="Times New Roman"/>
          <w:sz w:val="24"/>
          <w:szCs w:val="24"/>
        </w:rPr>
        <w:t>s</w:t>
      </w:r>
      <w:r w:rsidRPr="00A80D46">
        <w:rPr>
          <w:rFonts w:ascii="Times New Roman" w:hAnsi="Times New Roman" w:cs="Times New Roman"/>
          <w:sz w:val="24"/>
          <w:szCs w:val="24"/>
        </w:rPr>
        <w:t xml:space="preserve">ystemu </w:t>
      </w:r>
      <w:r w:rsidR="00257086" w:rsidRPr="00A80D46">
        <w:rPr>
          <w:rFonts w:ascii="Times New Roman" w:hAnsi="Times New Roman" w:cs="Times New Roman"/>
          <w:sz w:val="24"/>
          <w:szCs w:val="24"/>
        </w:rPr>
        <w:t>przedkładających taryfy do zatwierdzenia przez Prezesa URE</w:t>
      </w:r>
      <w:r w:rsidR="002F6B5D" w:rsidRPr="00A80D46">
        <w:rPr>
          <w:rFonts w:ascii="Times New Roman" w:hAnsi="Times New Roman" w:cs="Times New Roman"/>
          <w:sz w:val="24"/>
          <w:szCs w:val="24"/>
        </w:rPr>
        <w:t xml:space="preserve">. </w:t>
      </w:r>
      <w:r w:rsidR="00257086" w:rsidRPr="00A80D46">
        <w:rPr>
          <w:rFonts w:ascii="Times New Roman" w:hAnsi="Times New Roman" w:cs="Times New Roman"/>
          <w:sz w:val="24"/>
          <w:szCs w:val="24"/>
        </w:rPr>
        <w:t xml:space="preserve">Stosowanie </w:t>
      </w:r>
      <w:r w:rsidR="002D3D53" w:rsidRPr="00A80D46">
        <w:rPr>
          <w:rFonts w:ascii="Times New Roman" w:hAnsi="Times New Roman" w:cs="Times New Roman"/>
          <w:sz w:val="24"/>
          <w:szCs w:val="24"/>
        </w:rPr>
        <w:t>kont</w:t>
      </w:r>
      <w:r w:rsidR="00257086" w:rsidRPr="00A80D46">
        <w:rPr>
          <w:rFonts w:ascii="Times New Roman" w:hAnsi="Times New Roman" w:cs="Times New Roman"/>
          <w:sz w:val="24"/>
          <w:szCs w:val="24"/>
        </w:rPr>
        <w:t>a</w:t>
      </w:r>
      <w:r w:rsidR="002D3D53" w:rsidRPr="00A80D46">
        <w:rPr>
          <w:rFonts w:ascii="Times New Roman" w:hAnsi="Times New Roman" w:cs="Times New Roman"/>
          <w:sz w:val="24"/>
          <w:szCs w:val="24"/>
        </w:rPr>
        <w:t xml:space="preserve"> regulacyjnego największy wpływ będzie </w:t>
      </w:r>
      <w:r w:rsidR="00EE380A" w:rsidRPr="00A80D46">
        <w:rPr>
          <w:rFonts w:ascii="Times New Roman" w:hAnsi="Times New Roman" w:cs="Times New Roman"/>
          <w:sz w:val="24"/>
          <w:szCs w:val="24"/>
        </w:rPr>
        <w:t xml:space="preserve">miało </w:t>
      </w:r>
      <w:r w:rsidRPr="00A80D46">
        <w:rPr>
          <w:rFonts w:ascii="Times New Roman" w:hAnsi="Times New Roman" w:cs="Times New Roman"/>
          <w:sz w:val="24"/>
          <w:szCs w:val="24"/>
        </w:rPr>
        <w:t xml:space="preserve">dla </w:t>
      </w:r>
      <w:r w:rsidR="002F6B5D" w:rsidRPr="00A80D46">
        <w:rPr>
          <w:rFonts w:ascii="Times New Roman" w:hAnsi="Times New Roman" w:cs="Times New Roman"/>
          <w:sz w:val="24"/>
          <w:szCs w:val="24"/>
        </w:rPr>
        <w:t>najwięks</w:t>
      </w:r>
      <w:r w:rsidR="002D3D53" w:rsidRPr="00A80D46">
        <w:rPr>
          <w:rFonts w:ascii="Times New Roman" w:hAnsi="Times New Roman" w:cs="Times New Roman"/>
          <w:sz w:val="24"/>
          <w:szCs w:val="24"/>
        </w:rPr>
        <w:t>zych</w:t>
      </w:r>
      <w:r w:rsidR="002F6B5D" w:rsidRPr="00A80D46">
        <w:rPr>
          <w:rFonts w:ascii="Times New Roman" w:hAnsi="Times New Roman" w:cs="Times New Roman"/>
          <w:sz w:val="24"/>
          <w:szCs w:val="24"/>
        </w:rPr>
        <w:t xml:space="preserve"> operator</w:t>
      </w:r>
      <w:r w:rsidR="002D3D53" w:rsidRPr="00A80D46">
        <w:rPr>
          <w:rFonts w:ascii="Times New Roman" w:hAnsi="Times New Roman" w:cs="Times New Roman"/>
          <w:sz w:val="24"/>
          <w:szCs w:val="24"/>
        </w:rPr>
        <w:t>ów</w:t>
      </w:r>
      <w:r w:rsidR="002F6B5D" w:rsidRPr="00A80D46">
        <w:rPr>
          <w:rFonts w:ascii="Times New Roman" w:hAnsi="Times New Roman" w:cs="Times New Roman"/>
          <w:sz w:val="24"/>
          <w:szCs w:val="24"/>
        </w:rPr>
        <w:t xml:space="preserve"> systemów, </w:t>
      </w:r>
      <w:r w:rsidR="00174006" w:rsidRPr="00A80D46">
        <w:rPr>
          <w:rFonts w:ascii="Times New Roman" w:hAnsi="Times New Roman" w:cs="Times New Roman"/>
          <w:sz w:val="24"/>
          <w:szCs w:val="24"/>
        </w:rPr>
        <w:t>tj. op</w:t>
      </w:r>
      <w:r w:rsidR="00E0633A">
        <w:rPr>
          <w:rFonts w:ascii="Times New Roman" w:hAnsi="Times New Roman" w:cs="Times New Roman"/>
          <w:sz w:val="24"/>
          <w:szCs w:val="24"/>
        </w:rPr>
        <w:t>eratorów systemu przesyłowego i </w:t>
      </w:r>
      <w:r w:rsidR="00174006" w:rsidRPr="00A80D46">
        <w:rPr>
          <w:rFonts w:ascii="Times New Roman" w:hAnsi="Times New Roman" w:cs="Times New Roman"/>
          <w:sz w:val="24"/>
          <w:szCs w:val="24"/>
        </w:rPr>
        <w:t>operatów system</w:t>
      </w:r>
      <w:r w:rsidR="00EE380A" w:rsidRPr="00A80D46">
        <w:rPr>
          <w:rFonts w:ascii="Times New Roman" w:hAnsi="Times New Roman" w:cs="Times New Roman"/>
          <w:sz w:val="24"/>
          <w:szCs w:val="24"/>
        </w:rPr>
        <w:t>ów</w:t>
      </w:r>
      <w:r w:rsidR="00174006" w:rsidRPr="00A80D46">
        <w:rPr>
          <w:rFonts w:ascii="Times New Roman" w:hAnsi="Times New Roman" w:cs="Times New Roman"/>
          <w:sz w:val="24"/>
          <w:szCs w:val="24"/>
        </w:rPr>
        <w:t xml:space="preserve"> dystrybucyjnych</w:t>
      </w:r>
      <w:r w:rsidR="00EE380A" w:rsidRPr="00A80D46">
        <w:rPr>
          <w:rFonts w:ascii="Times New Roman" w:hAnsi="Times New Roman" w:cs="Times New Roman"/>
          <w:sz w:val="24"/>
          <w:szCs w:val="24"/>
        </w:rPr>
        <w:t xml:space="preserve"> przyłączonych do sieci przesyłowej, </w:t>
      </w:r>
      <w:r w:rsidR="002F6B5D" w:rsidRPr="00A80D46">
        <w:rPr>
          <w:rFonts w:ascii="Times New Roman" w:hAnsi="Times New Roman" w:cs="Times New Roman"/>
          <w:sz w:val="24"/>
          <w:szCs w:val="24"/>
        </w:rPr>
        <w:t xml:space="preserve">których sieci pokrywają obszar całego kraju. Zgodnie z </w:t>
      </w:r>
      <w:r w:rsidR="00174006" w:rsidRPr="00A80D46">
        <w:rPr>
          <w:rFonts w:ascii="Times New Roman" w:hAnsi="Times New Roman" w:cs="Times New Roman"/>
          <w:sz w:val="24"/>
          <w:szCs w:val="24"/>
        </w:rPr>
        <w:t xml:space="preserve">ustawą </w:t>
      </w:r>
      <w:r w:rsidR="00D84EE7">
        <w:rPr>
          <w:rFonts w:ascii="Times New Roman" w:hAnsi="Times New Roman" w:cs="Times New Roman"/>
          <w:sz w:val="24"/>
          <w:szCs w:val="24"/>
        </w:rPr>
        <w:t>–</w:t>
      </w:r>
      <w:r w:rsidR="007A2FB6">
        <w:rPr>
          <w:rFonts w:ascii="Times New Roman" w:hAnsi="Times New Roman" w:cs="Times New Roman"/>
          <w:sz w:val="24"/>
          <w:szCs w:val="24"/>
        </w:rPr>
        <w:t xml:space="preserve"> </w:t>
      </w:r>
      <w:r w:rsidR="002F6B5D" w:rsidRPr="00A80D46">
        <w:rPr>
          <w:rFonts w:ascii="Times New Roman" w:hAnsi="Times New Roman" w:cs="Times New Roman"/>
          <w:sz w:val="24"/>
          <w:szCs w:val="24"/>
        </w:rPr>
        <w:t>Praw</w:t>
      </w:r>
      <w:r w:rsidR="00174006" w:rsidRPr="00A80D46">
        <w:rPr>
          <w:rFonts w:ascii="Times New Roman" w:hAnsi="Times New Roman" w:cs="Times New Roman"/>
          <w:sz w:val="24"/>
          <w:szCs w:val="24"/>
        </w:rPr>
        <w:t>o</w:t>
      </w:r>
      <w:r w:rsidR="002F6B5D" w:rsidRPr="00A80D46">
        <w:rPr>
          <w:rFonts w:ascii="Times New Roman" w:hAnsi="Times New Roman" w:cs="Times New Roman"/>
          <w:sz w:val="24"/>
          <w:szCs w:val="24"/>
        </w:rPr>
        <w:t xml:space="preserve"> energetyczn</w:t>
      </w:r>
      <w:r w:rsidR="00174006" w:rsidRPr="00A80D46">
        <w:rPr>
          <w:rFonts w:ascii="Times New Roman" w:hAnsi="Times New Roman" w:cs="Times New Roman"/>
          <w:sz w:val="24"/>
          <w:szCs w:val="24"/>
        </w:rPr>
        <w:t>e</w:t>
      </w:r>
      <w:r w:rsidR="007A2FB6">
        <w:rPr>
          <w:rFonts w:ascii="Times New Roman" w:hAnsi="Times New Roman" w:cs="Times New Roman"/>
          <w:sz w:val="24"/>
          <w:szCs w:val="24"/>
        </w:rPr>
        <w:t>, r</w:t>
      </w:r>
      <w:r w:rsidR="002F6B5D" w:rsidRPr="00A80D46">
        <w:rPr>
          <w:rFonts w:ascii="Times New Roman" w:hAnsi="Times New Roman" w:cs="Times New Roman"/>
          <w:sz w:val="24"/>
          <w:szCs w:val="24"/>
        </w:rPr>
        <w:t>ozporządzeniem taryfowym</w:t>
      </w:r>
      <w:r w:rsidR="00174006" w:rsidRPr="00A80D46">
        <w:rPr>
          <w:rFonts w:ascii="Times New Roman" w:hAnsi="Times New Roman" w:cs="Times New Roman"/>
          <w:sz w:val="24"/>
          <w:szCs w:val="24"/>
        </w:rPr>
        <w:t xml:space="preserve"> oraz</w:t>
      </w:r>
      <w:r w:rsidR="002F6B5D" w:rsidRPr="00A80D46">
        <w:rPr>
          <w:rFonts w:ascii="Times New Roman" w:hAnsi="Times New Roman" w:cs="Times New Roman"/>
          <w:sz w:val="24"/>
          <w:szCs w:val="24"/>
        </w:rPr>
        <w:t xml:space="preserve"> rozporządzeniem Ministra Gospodarki z dnia 4 maja 2007 r. w sprawie szczegółowych warunków funkcjonowania systemu elektroenergetycznego, </w:t>
      </w:r>
      <w:r w:rsidR="0077465D" w:rsidRPr="00A80D46">
        <w:rPr>
          <w:rFonts w:ascii="Times New Roman" w:hAnsi="Times New Roman" w:cs="Times New Roman"/>
          <w:sz w:val="24"/>
          <w:szCs w:val="24"/>
        </w:rPr>
        <w:t>powyżej wymienieni</w:t>
      </w:r>
      <w:r w:rsidR="002F6B5D" w:rsidRPr="00A80D46">
        <w:rPr>
          <w:rFonts w:ascii="Times New Roman" w:hAnsi="Times New Roman" w:cs="Times New Roman"/>
          <w:sz w:val="24"/>
          <w:szCs w:val="24"/>
        </w:rPr>
        <w:t xml:space="preserve"> </w:t>
      </w:r>
      <w:r w:rsidR="00B254C1" w:rsidRPr="00A80D46">
        <w:rPr>
          <w:rFonts w:ascii="Times New Roman" w:hAnsi="Times New Roman" w:cs="Times New Roman"/>
          <w:sz w:val="24"/>
          <w:szCs w:val="24"/>
        </w:rPr>
        <w:t>o</w:t>
      </w:r>
      <w:r w:rsidR="002F6B5D" w:rsidRPr="00A80D46">
        <w:rPr>
          <w:rFonts w:ascii="Times New Roman" w:hAnsi="Times New Roman" w:cs="Times New Roman"/>
          <w:sz w:val="24"/>
          <w:szCs w:val="24"/>
        </w:rPr>
        <w:t>peratorzy mają największy wpływ na bezpieczeństwo dostarczania energii elekt</w:t>
      </w:r>
      <w:r w:rsidR="00206C26">
        <w:rPr>
          <w:rFonts w:ascii="Times New Roman" w:hAnsi="Times New Roman" w:cs="Times New Roman"/>
          <w:sz w:val="24"/>
          <w:szCs w:val="24"/>
        </w:rPr>
        <w:t>rycznej do odbiorców końcowych.</w:t>
      </w:r>
    </w:p>
    <w:p w14:paraId="7A033385" w14:textId="77777777" w:rsidR="00206C26" w:rsidRPr="00A80D46" w:rsidRDefault="00206C26" w:rsidP="006519B6">
      <w:pPr>
        <w:spacing w:after="120"/>
        <w:jc w:val="both"/>
        <w:rPr>
          <w:rFonts w:ascii="Times New Roman" w:hAnsi="Times New Roman" w:cs="Times New Roman"/>
          <w:sz w:val="24"/>
          <w:szCs w:val="24"/>
        </w:rPr>
      </w:pPr>
    </w:p>
    <w:p w14:paraId="78DD055F" w14:textId="0F520C10" w:rsidR="00C92524" w:rsidRPr="00206C26" w:rsidRDefault="00C92524" w:rsidP="009406A8">
      <w:pPr>
        <w:keepNext/>
        <w:spacing w:after="120"/>
        <w:jc w:val="both"/>
        <w:rPr>
          <w:rFonts w:ascii="Times New Roman" w:hAnsi="Times New Roman" w:cs="Times New Roman"/>
          <w:b/>
          <w:bCs/>
          <w:sz w:val="24"/>
          <w:szCs w:val="24"/>
        </w:rPr>
      </w:pPr>
      <w:r w:rsidRPr="00206C26">
        <w:rPr>
          <w:rFonts w:ascii="Times New Roman" w:hAnsi="Times New Roman" w:cs="Times New Roman"/>
          <w:b/>
          <w:bCs/>
          <w:sz w:val="24"/>
          <w:szCs w:val="24"/>
        </w:rPr>
        <w:t>Opis proponowanych zmian</w:t>
      </w:r>
      <w:r w:rsidR="00C41838" w:rsidRPr="00206C26">
        <w:rPr>
          <w:rFonts w:ascii="Times New Roman" w:hAnsi="Times New Roman" w:cs="Times New Roman"/>
          <w:b/>
          <w:bCs/>
          <w:sz w:val="24"/>
          <w:szCs w:val="24"/>
        </w:rPr>
        <w:t xml:space="preserve"> oraz wskazanie różnic pomiędzy dotychczasowym a</w:t>
      </w:r>
      <w:r w:rsidR="003D72EE" w:rsidRPr="00206C26">
        <w:rPr>
          <w:rFonts w:ascii="Times New Roman" w:hAnsi="Times New Roman" w:cs="Times New Roman"/>
          <w:b/>
          <w:bCs/>
          <w:sz w:val="24"/>
          <w:szCs w:val="24"/>
        </w:rPr>
        <w:t> </w:t>
      </w:r>
      <w:r w:rsidR="00C41838" w:rsidRPr="00206C26">
        <w:rPr>
          <w:rFonts w:ascii="Times New Roman" w:hAnsi="Times New Roman" w:cs="Times New Roman"/>
          <w:b/>
          <w:bCs/>
          <w:sz w:val="24"/>
          <w:szCs w:val="24"/>
        </w:rPr>
        <w:t>projektowanym stanem prawnym</w:t>
      </w:r>
    </w:p>
    <w:p w14:paraId="442683D2" w14:textId="631D542C" w:rsidR="00CC0D3F" w:rsidRPr="009406A8" w:rsidRDefault="008A321D" w:rsidP="00E237BB">
      <w:pPr>
        <w:pStyle w:val="Akapitzlist"/>
        <w:numPr>
          <w:ilvl w:val="0"/>
          <w:numId w:val="6"/>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Pierwsza z</w:t>
      </w:r>
      <w:r w:rsidR="00CC0D3F" w:rsidRPr="009406A8">
        <w:rPr>
          <w:rFonts w:ascii="Times New Roman" w:hAnsi="Times New Roman" w:cs="Times New Roman"/>
          <w:sz w:val="24"/>
          <w:szCs w:val="24"/>
        </w:rPr>
        <w:t xml:space="preserve">miana w </w:t>
      </w:r>
      <w:r w:rsidR="00377FCD" w:rsidRPr="009406A8">
        <w:rPr>
          <w:rFonts w:ascii="Times New Roman" w:hAnsi="Times New Roman" w:cs="Times New Roman"/>
          <w:sz w:val="24"/>
          <w:szCs w:val="24"/>
        </w:rPr>
        <w:t xml:space="preserve">rozporządzeniu taryfowym </w:t>
      </w:r>
      <w:r w:rsidR="00CC0D3F" w:rsidRPr="009406A8">
        <w:rPr>
          <w:rFonts w:ascii="Times New Roman" w:hAnsi="Times New Roman" w:cs="Times New Roman"/>
          <w:sz w:val="24"/>
          <w:szCs w:val="24"/>
        </w:rPr>
        <w:t xml:space="preserve">ma na celu ułatwienie rozwoju elektromobilności w pierwszym okresie funkcjonowania rynku ładowania pojazdów </w:t>
      </w:r>
      <w:r w:rsidR="00CC0D3F" w:rsidRPr="009406A8">
        <w:rPr>
          <w:rFonts w:ascii="Times New Roman" w:hAnsi="Times New Roman" w:cs="Times New Roman"/>
          <w:sz w:val="24"/>
          <w:szCs w:val="24"/>
        </w:rPr>
        <w:lastRenderedPageBreak/>
        <w:t>elektrycznych, w którym liczba pojazdów elektrycznych korzystających z usług ładowania nie jest proporcjonalna do stałych kosztów związanych z zapewnieniem dostaw energii dla infrastruktury ładowania.</w:t>
      </w:r>
    </w:p>
    <w:p w14:paraId="149BE1A4" w14:textId="77777777" w:rsidR="00CC0D3F" w:rsidRPr="00CC0D3F" w:rsidRDefault="00CC0D3F" w:rsidP="006519B6">
      <w:pPr>
        <w:spacing w:after="120"/>
        <w:jc w:val="both"/>
        <w:rPr>
          <w:rFonts w:ascii="Times New Roman" w:hAnsi="Times New Roman" w:cs="Times New Roman"/>
          <w:sz w:val="24"/>
          <w:szCs w:val="24"/>
        </w:rPr>
      </w:pPr>
      <w:r w:rsidRPr="00CC0D3F">
        <w:rPr>
          <w:rFonts w:ascii="Times New Roman" w:hAnsi="Times New Roman" w:cs="Times New Roman"/>
          <w:sz w:val="24"/>
          <w:szCs w:val="24"/>
        </w:rPr>
        <w:t xml:space="preserve">Proponowana zmiana zakłada przeniesienie ciężaru finansowego ze składnika stałego stawki sieciowej i stawki opłaty przejściowej na składnik zmienny, który powiązany jest z rzeczywistym zakresem wykorzystania infrastruktury ładowania. </w:t>
      </w:r>
    </w:p>
    <w:p w14:paraId="3B2C03FB" w14:textId="77777777" w:rsidR="00CC0D3F" w:rsidRPr="00CC0D3F" w:rsidRDefault="00CC0D3F" w:rsidP="006519B6">
      <w:pPr>
        <w:spacing w:after="120"/>
        <w:jc w:val="both"/>
        <w:rPr>
          <w:rFonts w:ascii="Times New Roman" w:hAnsi="Times New Roman" w:cs="Times New Roman"/>
          <w:sz w:val="24"/>
          <w:szCs w:val="24"/>
        </w:rPr>
      </w:pPr>
      <w:r w:rsidRPr="00CC0D3F">
        <w:rPr>
          <w:rFonts w:ascii="Times New Roman" w:hAnsi="Times New Roman" w:cs="Times New Roman"/>
          <w:sz w:val="24"/>
          <w:szCs w:val="24"/>
        </w:rPr>
        <w:t xml:space="preserve">Powyższe pozwoli na prawidłowe odzwierciedlenie kosztów związanych z funkcjonowaniem stacji ładowania w otoczeniu rynkowym znajdującym się w fazie rozwoju, przy jednoczesnym zapewnieniu operatorom systemu dystrybucyjnego przychodów w zakresie opłat dystrybucyjnych wzrastających proporcjonalnie do przyrostu usług ładowania. </w:t>
      </w:r>
    </w:p>
    <w:p w14:paraId="22A17EE4" w14:textId="1F6D9348" w:rsidR="00CC0D3F" w:rsidRPr="00E237BB" w:rsidRDefault="00CC0D3F" w:rsidP="00837673">
      <w:pPr>
        <w:pStyle w:val="Nagwek2"/>
        <w:jc w:val="both"/>
        <w:rPr>
          <w:b w:val="0"/>
          <w:bCs w:val="0"/>
          <w:sz w:val="24"/>
          <w:szCs w:val="24"/>
        </w:rPr>
      </w:pPr>
      <w:r w:rsidRPr="00E237BB">
        <w:rPr>
          <w:b w:val="0"/>
          <w:bCs w:val="0"/>
          <w:sz w:val="24"/>
          <w:szCs w:val="24"/>
        </w:rPr>
        <w:t xml:space="preserve">W obecnym stanie prawnym, przepisy ustawy </w:t>
      </w:r>
      <w:r w:rsidR="00377FCD" w:rsidRPr="00E237BB">
        <w:rPr>
          <w:b w:val="0"/>
          <w:bCs w:val="0"/>
          <w:sz w:val="24"/>
          <w:szCs w:val="24"/>
        </w:rPr>
        <w:t>- P</w:t>
      </w:r>
      <w:r w:rsidRPr="00E237BB">
        <w:rPr>
          <w:b w:val="0"/>
          <w:bCs w:val="0"/>
          <w:sz w:val="24"/>
          <w:szCs w:val="24"/>
        </w:rPr>
        <w:t xml:space="preserve">rawo energetyczne przewidują w art. 45 ust. 6a, wymóg stworzenia odrębnej taryfy dla energii elektrycznej dla infrastruktury ładowania ale tylko dla drogowego transportu publicznego oraz uwzględniania konieczności rozwoju zbiorowego transportu publicznego wykorzystującego pojazdy elektryczne. Jednocześnie w przypadku pozostałych stacji ładowania, pozostaje możliwość wyodrębnienia zasad rozliczania dla niektórych grup odbiorców, w ramach ogólnych zasad, wynikających z art. 45 ust. 4 ustawy </w:t>
      </w:r>
      <w:r w:rsidR="00377FCD" w:rsidRPr="00E237BB">
        <w:rPr>
          <w:b w:val="0"/>
          <w:bCs w:val="0"/>
          <w:sz w:val="24"/>
          <w:szCs w:val="24"/>
        </w:rPr>
        <w:t>–</w:t>
      </w:r>
      <w:r w:rsidRPr="00E237BB">
        <w:rPr>
          <w:b w:val="0"/>
          <w:bCs w:val="0"/>
          <w:sz w:val="24"/>
          <w:szCs w:val="24"/>
        </w:rPr>
        <w:t xml:space="preserve"> Prawo energetyczne, zgodnie z którym przedsiębiorstwa energetyczne mogą różnicować ceny i stawki opłat określone w taryfach dla paliw gazowych, energii elektrycznej i ciepła dla różnych grup odbiorców także ze względów innych niż koszty uzasadnione spowodowane realizacją świadczenia, o ile przepisy nie stanowią inaczej. Tego rodzaju przepisy zostały zawarte w obecnie obowiązującym rozporządzeniu taryfowym i obejmują odrębną grupę taryfową dla odbiorców w gospodarstwach domowych, a także specjalną grupę taryfową dla odbiorców zużywających energię elektryczną na potrzeby gospodarstw domowych, w celu stymulowania tych odbiorców do zużywania większej ilości energii elektrycznej w godzinach</w:t>
      </w:r>
      <w:r w:rsidR="00837673">
        <w:rPr>
          <w:b w:val="0"/>
          <w:bCs w:val="0"/>
          <w:sz w:val="24"/>
          <w:szCs w:val="24"/>
        </w:rPr>
        <w:t xml:space="preserve"> </w:t>
      </w:r>
      <w:r w:rsidRPr="00E237BB">
        <w:rPr>
          <w:b w:val="0"/>
          <w:bCs w:val="0"/>
          <w:sz w:val="24"/>
          <w:szCs w:val="24"/>
        </w:rPr>
        <w:t>od 22.00 do 6.00 (tzw. taryfa antysmogowa). Analogiczne rozwiązanie przewiduje rozporządzenie Ministra Energii z dnia 22 września 2017 r.</w:t>
      </w:r>
      <w:r w:rsidR="00E237BB" w:rsidRPr="00E237BB">
        <w:rPr>
          <w:b w:val="0"/>
          <w:bCs w:val="0"/>
          <w:sz w:val="24"/>
          <w:szCs w:val="24"/>
        </w:rPr>
        <w:t xml:space="preserve"> w sprawie szczegółowych zasad kształtowania i kalkulacji taryf oraz rozliczeń z tytułu zaopatrzenia w ciepło</w:t>
      </w:r>
      <w:r w:rsidRPr="00CC0D3F">
        <w:rPr>
          <w:sz w:val="24"/>
          <w:szCs w:val="24"/>
        </w:rPr>
        <w:t xml:space="preserve">, </w:t>
      </w:r>
      <w:r w:rsidRPr="00E237BB">
        <w:rPr>
          <w:b w:val="0"/>
          <w:bCs w:val="0"/>
          <w:sz w:val="24"/>
          <w:szCs w:val="24"/>
        </w:rPr>
        <w:t>pozwalające aby przedsiębiorstwo energetyczne mo</w:t>
      </w:r>
      <w:r w:rsidR="000379F3" w:rsidRPr="00E237BB">
        <w:rPr>
          <w:b w:val="0"/>
          <w:bCs w:val="0"/>
          <w:sz w:val="24"/>
          <w:szCs w:val="24"/>
        </w:rPr>
        <w:t>gło</w:t>
      </w:r>
      <w:r w:rsidRPr="00E237BB">
        <w:rPr>
          <w:b w:val="0"/>
          <w:bCs w:val="0"/>
          <w:sz w:val="24"/>
          <w:szCs w:val="24"/>
        </w:rPr>
        <w:t xml:space="preserve"> ustalić w taryfie dla ciepła ceny i stawki opłat w taki sposób, aby łagodzić skutki wprowadzenia w pierwszym roku stosowania taryfy cen i stawek opłat dla tych grup taryfowych, których ochrona interesów tego wymaga, biorąc pod uwagę eliminowanie subsydiowania skrośnego. Wprowadzenie odrębnej grupy taryfowej dla stacji ładowania jest zatem możliwe przez proponowane zmiany. Celowe jest przy tym, w celu uproszczenia modelu ustalania taryf, powiązanie cen i stawek opłat określonych w taryfie, z inną najbliższą rodzajowo grupą taryfową (grupą podstawową). </w:t>
      </w:r>
    </w:p>
    <w:p w14:paraId="288DA7FA" w14:textId="33909590" w:rsidR="00CC0D3F" w:rsidRPr="00CC0D3F" w:rsidRDefault="00CC0D3F" w:rsidP="006519B6">
      <w:pPr>
        <w:spacing w:after="120"/>
        <w:jc w:val="both"/>
        <w:rPr>
          <w:rFonts w:ascii="Times New Roman" w:hAnsi="Times New Roman" w:cs="Times New Roman"/>
          <w:sz w:val="24"/>
          <w:szCs w:val="24"/>
        </w:rPr>
      </w:pPr>
      <w:r w:rsidRPr="00CC0D3F">
        <w:rPr>
          <w:rFonts w:ascii="Times New Roman" w:hAnsi="Times New Roman" w:cs="Times New Roman"/>
          <w:sz w:val="24"/>
          <w:szCs w:val="24"/>
        </w:rPr>
        <w:t>Aktualnie koszty energii i usług dystrybucyjnych dla szybkiej stacji ładowania DC o mocy 50 kW w rozliczeniu miesięcznym i jednostkowym w Polsce są jedn</w:t>
      </w:r>
      <w:r w:rsidR="000379F3">
        <w:rPr>
          <w:rFonts w:ascii="Times New Roman" w:hAnsi="Times New Roman" w:cs="Times New Roman"/>
          <w:sz w:val="24"/>
          <w:szCs w:val="24"/>
        </w:rPr>
        <w:t>ymi</w:t>
      </w:r>
      <w:r w:rsidRPr="00CC0D3F">
        <w:rPr>
          <w:rFonts w:ascii="Times New Roman" w:hAnsi="Times New Roman" w:cs="Times New Roman"/>
          <w:sz w:val="24"/>
          <w:szCs w:val="24"/>
        </w:rPr>
        <w:t xml:space="preserve"> z najwyższych w Europie. Operatorzy ogólnodostępnych stacji ładowania ponoszą bardzo duże koszty związane z płaceniem stałych opłat dystrybucyjnych, które są nieproporcjonalnie duże w porównaniu z rzeczywistymi kosztami ponoszonymi za zużycie energii w ramach ładowania pojazdów elektrycznych. Obecnie w Polsce występują różne taryfy przeznaczone dla różnych odbiorców energii elektrycznej. Do zasilania stacji ładowania pojazdów elektrycznych stosuje się najczęściej taryfy B 21 dla ładowarek szybkich o mocy powyżej 22 kW oraz C 22 dla ładowarek wolnych o mocy poniżej 22 kW. Dla porównania obliczono obecny koszt funkcjonowania ogólnodostępnej stacji ładowania w taryfie B21, który w sumie wynosi 3501,89 zł co miesiąc</w:t>
      </w:r>
      <w:r w:rsidR="000379F3">
        <w:rPr>
          <w:rFonts w:ascii="Times New Roman" w:hAnsi="Times New Roman" w:cs="Times New Roman"/>
          <w:sz w:val="24"/>
          <w:szCs w:val="24"/>
        </w:rPr>
        <w:t>,</w:t>
      </w:r>
      <w:r w:rsidRPr="00CC0D3F">
        <w:rPr>
          <w:rFonts w:ascii="Times New Roman" w:hAnsi="Times New Roman" w:cs="Times New Roman"/>
          <w:sz w:val="24"/>
          <w:szCs w:val="24"/>
        </w:rPr>
        <w:t xml:space="preserve"> z </w:t>
      </w:r>
      <w:r w:rsidR="000379F3">
        <w:rPr>
          <w:rFonts w:ascii="Times New Roman" w:hAnsi="Times New Roman" w:cs="Times New Roman"/>
          <w:sz w:val="24"/>
          <w:szCs w:val="24"/>
        </w:rPr>
        <w:t>czego</w:t>
      </w:r>
      <w:r w:rsidR="000379F3" w:rsidRPr="00CC0D3F">
        <w:rPr>
          <w:rFonts w:ascii="Times New Roman" w:hAnsi="Times New Roman" w:cs="Times New Roman"/>
          <w:sz w:val="24"/>
          <w:szCs w:val="24"/>
        </w:rPr>
        <w:t xml:space="preserve"> </w:t>
      </w:r>
      <w:r w:rsidRPr="00CC0D3F">
        <w:rPr>
          <w:rFonts w:ascii="Times New Roman" w:hAnsi="Times New Roman" w:cs="Times New Roman"/>
          <w:sz w:val="24"/>
          <w:szCs w:val="24"/>
        </w:rPr>
        <w:t xml:space="preserve">opłata stała to (standardowa) 3124 zł. </w:t>
      </w:r>
    </w:p>
    <w:p w14:paraId="5D71EFAB" w14:textId="6262AA37" w:rsidR="00CC0D3F" w:rsidRPr="00CC0D3F" w:rsidRDefault="00CC0D3F" w:rsidP="006519B6">
      <w:pPr>
        <w:spacing w:after="120"/>
        <w:jc w:val="both"/>
        <w:rPr>
          <w:rFonts w:ascii="Times New Roman" w:hAnsi="Times New Roman" w:cs="Times New Roman"/>
          <w:sz w:val="24"/>
          <w:szCs w:val="24"/>
        </w:rPr>
      </w:pPr>
      <w:r w:rsidRPr="00CC0D3F">
        <w:rPr>
          <w:rFonts w:ascii="Times New Roman" w:hAnsi="Times New Roman" w:cs="Times New Roman"/>
          <w:sz w:val="24"/>
          <w:szCs w:val="24"/>
        </w:rPr>
        <w:lastRenderedPageBreak/>
        <w:t>Proponowana taryfa zakłada wprowadzenie do grupy taryfowej z jednostrefowym rozliczeniem zmiany, w której nie stosuje się składnika stałego stawki sieciowej oraz stawki opłaty przejściowej, natomiast stosuje się składnik zmienny stawki sieciowej w wysokości 300</w:t>
      </w:r>
      <w:r w:rsidR="000379F3">
        <w:rPr>
          <w:rFonts w:ascii="Times New Roman" w:hAnsi="Times New Roman" w:cs="Times New Roman"/>
          <w:sz w:val="24"/>
          <w:szCs w:val="24"/>
        </w:rPr>
        <w:t> </w:t>
      </w:r>
      <w:r w:rsidRPr="00CC0D3F">
        <w:rPr>
          <w:rFonts w:ascii="Times New Roman" w:hAnsi="Times New Roman" w:cs="Times New Roman"/>
          <w:sz w:val="24"/>
          <w:szCs w:val="24"/>
        </w:rPr>
        <w:t>% składnika zmiennego stawki sieciowej obowiązującego w grupie taryfowej z rozliczeniem jednostrefowym. Po wprowadzeniu zmian koszt funkcjonowania stacji w tej taryfie wynosiłby 688,39 zł</w:t>
      </w:r>
      <w:r>
        <w:rPr>
          <w:rFonts w:ascii="Times New Roman" w:hAnsi="Times New Roman" w:cs="Times New Roman"/>
          <w:sz w:val="24"/>
          <w:szCs w:val="24"/>
        </w:rPr>
        <w:t>/m-c</w:t>
      </w:r>
      <w:r w:rsidRPr="00CC0D3F">
        <w:rPr>
          <w:rFonts w:ascii="Times New Roman" w:hAnsi="Times New Roman" w:cs="Times New Roman"/>
          <w:sz w:val="24"/>
          <w:szCs w:val="24"/>
        </w:rPr>
        <w:t>.</w:t>
      </w:r>
    </w:p>
    <w:p w14:paraId="06942688" w14:textId="059A0105" w:rsidR="00CC0D3F" w:rsidRDefault="00CC0D3F" w:rsidP="006519B6">
      <w:pPr>
        <w:spacing w:after="120"/>
        <w:jc w:val="both"/>
        <w:rPr>
          <w:rFonts w:ascii="Times New Roman" w:hAnsi="Times New Roman" w:cs="Times New Roman"/>
          <w:sz w:val="24"/>
          <w:szCs w:val="24"/>
        </w:rPr>
      </w:pPr>
      <w:r w:rsidRPr="00CC0D3F">
        <w:rPr>
          <w:rFonts w:ascii="Times New Roman" w:hAnsi="Times New Roman" w:cs="Times New Roman"/>
          <w:sz w:val="24"/>
          <w:szCs w:val="24"/>
        </w:rPr>
        <w:t>Proponowana taryfa jest korzystna dla operatorów stacji ładowania. Z obliczeń opracowanych przez Polskie Stowarzyszenie Paliw Alternatywnych wynika, że OSD w pierwszym roku funkcjonowania powyższej t</w:t>
      </w:r>
      <w:r>
        <w:rPr>
          <w:rFonts w:ascii="Times New Roman" w:hAnsi="Times New Roman" w:cs="Times New Roman"/>
          <w:sz w:val="24"/>
          <w:szCs w:val="24"/>
        </w:rPr>
        <w:t>aryfy straciłoby ok. 11 mln. zł</w:t>
      </w:r>
      <w:r w:rsidRPr="00CC0D3F">
        <w:rPr>
          <w:rFonts w:ascii="Times New Roman" w:hAnsi="Times New Roman" w:cs="Times New Roman"/>
          <w:sz w:val="24"/>
          <w:szCs w:val="24"/>
        </w:rPr>
        <w:t>. Strata ta zmniejszałaby się wraz ze wzrostem liczby pojazdów elektrycznych i przy liczbie ok. 80 tys. zostałaby zniwelowana. Znaczący zysk wystąpiłby przy liczbie około 150 tys. poj</w:t>
      </w:r>
      <w:r>
        <w:rPr>
          <w:rFonts w:ascii="Times New Roman" w:hAnsi="Times New Roman" w:cs="Times New Roman"/>
          <w:sz w:val="24"/>
          <w:szCs w:val="24"/>
        </w:rPr>
        <w:t>azdów i wynosiłby ok. 50 mln. zł</w:t>
      </w:r>
      <w:r w:rsidRPr="00CC0D3F">
        <w:rPr>
          <w:rFonts w:ascii="Times New Roman" w:hAnsi="Times New Roman" w:cs="Times New Roman"/>
          <w:sz w:val="24"/>
          <w:szCs w:val="24"/>
        </w:rPr>
        <w:t>. Wprowadzenie E-taryfy będzie miało bardzo duży wpływ na dalsze wprowadzanie elektromobilności w Polsce i jest zgodne z polityką krajową, w szczególności z określonym w Krajowych ramach polityki rozwoju infrastruktury paliw alternatywnych celem w postaci budowy 400 punktów ładowania o dużej mocy. Przedsiębiorca prowadzący stacje ładowania w dalszym ciągu ponosić będzie na tych samych zasadach co inni przedsiębiorcy opłaty dodatkowe obciążające odbiorców o charakterze quasi-publicznoprawnym, tj. opłatę przejściową oraz opłatę OZE w stopniu analogicznym do innych przedsiębiorców. W efekcie projektowany mechanizm nie może stanowić pomocy publicznej, gdyż nawet gdyby prowadził do różnego obciążania przedsiębiorców opłatami dystrybucyjnymi nie będzie udzielany ze środków Państwa.</w:t>
      </w:r>
    </w:p>
    <w:p w14:paraId="5223F776" w14:textId="12970CD4" w:rsidR="002F6B5D" w:rsidRPr="00E237BB" w:rsidRDefault="008A321D" w:rsidP="00E237BB">
      <w:pPr>
        <w:pStyle w:val="Akapitzlist"/>
        <w:numPr>
          <w:ilvl w:val="0"/>
          <w:numId w:val="6"/>
        </w:numPr>
        <w:spacing w:after="120"/>
        <w:ind w:left="0" w:firstLine="284"/>
        <w:jc w:val="both"/>
        <w:rPr>
          <w:rFonts w:ascii="Times New Roman" w:hAnsi="Times New Roman" w:cs="Times New Roman"/>
          <w:sz w:val="24"/>
          <w:szCs w:val="24"/>
        </w:rPr>
      </w:pPr>
      <w:r>
        <w:rPr>
          <w:rFonts w:ascii="Times New Roman" w:hAnsi="Times New Roman" w:cs="Times New Roman"/>
          <w:sz w:val="24"/>
          <w:szCs w:val="24"/>
        </w:rPr>
        <w:t>W</w:t>
      </w:r>
      <w:r w:rsidR="00BC67F8" w:rsidRPr="00E237BB">
        <w:rPr>
          <w:rFonts w:ascii="Times New Roman" w:hAnsi="Times New Roman" w:cs="Times New Roman"/>
          <w:sz w:val="24"/>
          <w:szCs w:val="24"/>
        </w:rPr>
        <w:t>drożenie mechanizmu wyrównującego odbywa się poprzez wprowadzenie</w:t>
      </w:r>
      <w:r w:rsidR="00E0633A" w:rsidRPr="00E237BB">
        <w:rPr>
          <w:rFonts w:ascii="Times New Roman" w:hAnsi="Times New Roman" w:cs="Times New Roman"/>
          <w:sz w:val="24"/>
          <w:szCs w:val="24"/>
        </w:rPr>
        <w:t xml:space="preserve"> w </w:t>
      </w:r>
      <w:r w:rsidR="00CC0D3F" w:rsidRPr="00E237BB">
        <w:rPr>
          <w:rFonts w:ascii="Times New Roman" w:hAnsi="Times New Roman" w:cs="Times New Roman"/>
          <w:sz w:val="24"/>
          <w:szCs w:val="24"/>
        </w:rPr>
        <w:t>r</w:t>
      </w:r>
      <w:r w:rsidR="00A769C4" w:rsidRPr="00E237BB">
        <w:rPr>
          <w:rFonts w:ascii="Times New Roman" w:hAnsi="Times New Roman" w:cs="Times New Roman"/>
          <w:sz w:val="24"/>
          <w:szCs w:val="24"/>
        </w:rPr>
        <w:t>ozporządzeni</w:t>
      </w:r>
      <w:r w:rsidR="00BC67F8" w:rsidRPr="00E237BB">
        <w:rPr>
          <w:rFonts w:ascii="Times New Roman" w:hAnsi="Times New Roman" w:cs="Times New Roman"/>
          <w:sz w:val="24"/>
          <w:szCs w:val="24"/>
        </w:rPr>
        <w:t>u</w:t>
      </w:r>
      <w:r w:rsidR="00A769C4" w:rsidRPr="00E237BB">
        <w:rPr>
          <w:rFonts w:ascii="Times New Roman" w:hAnsi="Times New Roman" w:cs="Times New Roman"/>
          <w:sz w:val="24"/>
          <w:szCs w:val="24"/>
        </w:rPr>
        <w:t xml:space="preserve"> mechanizm</w:t>
      </w:r>
      <w:r w:rsidR="00BC67F8" w:rsidRPr="00E237BB">
        <w:rPr>
          <w:rFonts w:ascii="Times New Roman" w:hAnsi="Times New Roman" w:cs="Times New Roman"/>
          <w:sz w:val="24"/>
          <w:szCs w:val="24"/>
        </w:rPr>
        <w:t>u</w:t>
      </w:r>
      <w:r w:rsidR="00A769C4" w:rsidRPr="00E237BB">
        <w:rPr>
          <w:rFonts w:ascii="Times New Roman" w:hAnsi="Times New Roman" w:cs="Times New Roman"/>
          <w:sz w:val="24"/>
          <w:szCs w:val="24"/>
        </w:rPr>
        <w:t xml:space="preserve"> </w:t>
      </w:r>
      <w:r w:rsidR="002F6B5D" w:rsidRPr="00E237BB">
        <w:rPr>
          <w:rFonts w:ascii="Times New Roman" w:hAnsi="Times New Roman" w:cs="Times New Roman"/>
          <w:sz w:val="24"/>
          <w:szCs w:val="24"/>
        </w:rPr>
        <w:t xml:space="preserve">tzw. </w:t>
      </w:r>
      <w:r w:rsidR="00A769C4" w:rsidRPr="00E237BB">
        <w:rPr>
          <w:rFonts w:ascii="Times New Roman" w:hAnsi="Times New Roman" w:cs="Times New Roman"/>
          <w:sz w:val="24"/>
          <w:szCs w:val="24"/>
        </w:rPr>
        <w:t xml:space="preserve">konta regulacyjnego. </w:t>
      </w:r>
    </w:p>
    <w:p w14:paraId="48D93DB6" w14:textId="196E7034" w:rsidR="002F6B5D" w:rsidRPr="00A80D46" w:rsidRDefault="002F6B5D"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 xml:space="preserve">Konto regulacyjne </w:t>
      </w:r>
      <w:r w:rsidR="0077465D" w:rsidRPr="00A80D46">
        <w:rPr>
          <w:rFonts w:ascii="Times New Roman" w:hAnsi="Times New Roman" w:cs="Times New Roman"/>
          <w:sz w:val="24"/>
          <w:szCs w:val="24"/>
        </w:rPr>
        <w:t>jest</w:t>
      </w:r>
      <w:r w:rsidRPr="00A80D46">
        <w:rPr>
          <w:rFonts w:ascii="Times New Roman" w:hAnsi="Times New Roman" w:cs="Times New Roman"/>
          <w:sz w:val="24"/>
          <w:szCs w:val="24"/>
        </w:rPr>
        <w:t xml:space="preserve"> instrumentem pozwalającym na uzyskanie przez operatorów systemów przychodów pokrywających uznane za uzasadnione przez Prezesa URE koszty wykonywanej działalności gospodarczej </w:t>
      </w:r>
      <w:r w:rsidR="00423533" w:rsidRPr="00A80D46">
        <w:rPr>
          <w:rFonts w:ascii="Times New Roman" w:hAnsi="Times New Roman" w:cs="Times New Roman"/>
          <w:sz w:val="24"/>
          <w:szCs w:val="24"/>
        </w:rPr>
        <w:t>wraz z uzasadnionym zwrotem z zaangażowanego kapitału</w:t>
      </w:r>
      <w:r w:rsidR="00257086" w:rsidRPr="00A80D46">
        <w:rPr>
          <w:rFonts w:ascii="Times New Roman" w:hAnsi="Times New Roman" w:cs="Times New Roman"/>
          <w:sz w:val="24"/>
          <w:szCs w:val="24"/>
        </w:rPr>
        <w:t>,</w:t>
      </w:r>
      <w:r w:rsidR="00423533" w:rsidRPr="00A80D46">
        <w:rPr>
          <w:rFonts w:ascii="Times New Roman" w:hAnsi="Times New Roman" w:cs="Times New Roman"/>
          <w:sz w:val="24"/>
          <w:szCs w:val="24"/>
        </w:rPr>
        <w:t xml:space="preserve"> </w:t>
      </w:r>
      <w:r w:rsidRPr="00A80D46">
        <w:rPr>
          <w:rFonts w:ascii="Times New Roman" w:hAnsi="Times New Roman" w:cs="Times New Roman"/>
          <w:sz w:val="24"/>
          <w:szCs w:val="24"/>
        </w:rPr>
        <w:t>wynikające z zatwierdzonych taryf, które mog</w:t>
      </w:r>
      <w:r w:rsidR="00F8117A" w:rsidRPr="00A80D46">
        <w:rPr>
          <w:rFonts w:ascii="Times New Roman" w:hAnsi="Times New Roman" w:cs="Times New Roman"/>
          <w:sz w:val="24"/>
          <w:szCs w:val="24"/>
        </w:rPr>
        <w:t>ą</w:t>
      </w:r>
      <w:r w:rsidRPr="00A80D46">
        <w:rPr>
          <w:rFonts w:ascii="Times New Roman" w:hAnsi="Times New Roman" w:cs="Times New Roman"/>
          <w:sz w:val="24"/>
          <w:szCs w:val="24"/>
        </w:rPr>
        <w:t xml:space="preserve"> nie być przez tych operatorów faktycznie osiągane </w:t>
      </w:r>
      <w:r w:rsidR="004B69F5" w:rsidRPr="00A80D46">
        <w:rPr>
          <w:rFonts w:ascii="Times New Roman" w:hAnsi="Times New Roman" w:cs="Times New Roman"/>
          <w:sz w:val="24"/>
          <w:szCs w:val="24"/>
        </w:rPr>
        <w:t xml:space="preserve">lub są osiągane w wielkościach wyższych niż przyjmowane do kalkulacji taryf, </w:t>
      </w:r>
      <w:r w:rsidR="00E0633A">
        <w:rPr>
          <w:rFonts w:ascii="Times New Roman" w:hAnsi="Times New Roman" w:cs="Times New Roman"/>
          <w:sz w:val="24"/>
          <w:szCs w:val="24"/>
        </w:rPr>
        <w:t>z </w:t>
      </w:r>
      <w:r w:rsidRPr="00A80D46">
        <w:rPr>
          <w:rFonts w:ascii="Times New Roman" w:hAnsi="Times New Roman" w:cs="Times New Roman"/>
          <w:sz w:val="24"/>
          <w:szCs w:val="24"/>
        </w:rPr>
        <w:t xml:space="preserve">uwagi </w:t>
      </w:r>
      <w:r w:rsidR="006A609E" w:rsidRPr="00A80D46">
        <w:rPr>
          <w:rFonts w:ascii="Times New Roman" w:hAnsi="Times New Roman" w:cs="Times New Roman"/>
          <w:sz w:val="24"/>
          <w:szCs w:val="24"/>
        </w:rPr>
        <w:t xml:space="preserve">w szczególności </w:t>
      </w:r>
      <w:r w:rsidRPr="00A80D46">
        <w:rPr>
          <w:rFonts w:ascii="Times New Roman" w:hAnsi="Times New Roman" w:cs="Times New Roman"/>
          <w:sz w:val="24"/>
          <w:szCs w:val="24"/>
        </w:rPr>
        <w:t xml:space="preserve">na </w:t>
      </w:r>
      <w:r w:rsidR="002A7928" w:rsidRPr="00A80D46">
        <w:rPr>
          <w:rFonts w:ascii="Times New Roman" w:hAnsi="Times New Roman" w:cs="Times New Roman"/>
          <w:sz w:val="24"/>
          <w:szCs w:val="24"/>
        </w:rPr>
        <w:t xml:space="preserve">inne wielkości wykonanych nośników opłat niż przyjmowane do kalkulacji taryf. </w:t>
      </w:r>
    </w:p>
    <w:p w14:paraId="512152C5" w14:textId="0025BE77" w:rsidR="00714A33" w:rsidRPr="00A80D46" w:rsidRDefault="002F6B5D"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W założeniu konto regulacyjne umożliwi ujęcie w kalkulacji taryfy na dany rok obowiązywania taryfy "</w:t>
      </w:r>
      <w:r w:rsidR="00714A33" w:rsidRPr="00A80D46">
        <w:rPr>
          <w:rFonts w:ascii="Times New Roman" w:hAnsi="Times New Roman" w:cs="Times New Roman"/>
          <w:sz w:val="24"/>
          <w:szCs w:val="24"/>
        </w:rPr>
        <w:t>t+2</w:t>
      </w:r>
      <w:r w:rsidRPr="00A80D46">
        <w:rPr>
          <w:rFonts w:ascii="Times New Roman" w:hAnsi="Times New Roman" w:cs="Times New Roman"/>
          <w:sz w:val="24"/>
          <w:szCs w:val="24"/>
        </w:rPr>
        <w:t xml:space="preserve">" </w:t>
      </w:r>
      <w:r w:rsidR="00714A33" w:rsidRPr="00A80D46">
        <w:rPr>
          <w:rFonts w:ascii="Times New Roman" w:hAnsi="Times New Roman" w:cs="Times New Roman"/>
          <w:sz w:val="24"/>
          <w:szCs w:val="24"/>
        </w:rPr>
        <w:t>przychodu</w:t>
      </w:r>
      <w:r w:rsidRPr="00A80D46">
        <w:rPr>
          <w:rFonts w:ascii="Times New Roman" w:hAnsi="Times New Roman" w:cs="Times New Roman"/>
          <w:sz w:val="24"/>
          <w:szCs w:val="24"/>
        </w:rPr>
        <w:t xml:space="preserve"> </w:t>
      </w:r>
      <w:r w:rsidR="00714A33" w:rsidRPr="00A80D46">
        <w:rPr>
          <w:rFonts w:ascii="Times New Roman" w:hAnsi="Times New Roman" w:cs="Times New Roman"/>
          <w:sz w:val="24"/>
          <w:szCs w:val="24"/>
        </w:rPr>
        <w:t xml:space="preserve">uwzględniającego </w:t>
      </w:r>
      <w:r w:rsidR="00714A33" w:rsidRPr="00E0633A">
        <w:rPr>
          <w:rFonts w:ascii="Times New Roman" w:hAnsi="Times New Roman" w:cs="Times New Roman"/>
          <w:sz w:val="24"/>
          <w:szCs w:val="24"/>
          <w:u w:val="single"/>
        </w:rPr>
        <w:t>saldo konta regulacyjnego</w:t>
      </w:r>
      <w:r w:rsidR="00F8117A" w:rsidRPr="00A80D46">
        <w:rPr>
          <w:rFonts w:ascii="Times New Roman" w:hAnsi="Times New Roman" w:cs="Times New Roman"/>
          <w:sz w:val="24"/>
          <w:szCs w:val="24"/>
        </w:rPr>
        <w:t xml:space="preserve"> dotyczącego roku „t”</w:t>
      </w:r>
      <w:r w:rsidR="00714A33" w:rsidRPr="00A80D46">
        <w:rPr>
          <w:rFonts w:ascii="Times New Roman" w:hAnsi="Times New Roman" w:cs="Times New Roman"/>
          <w:sz w:val="24"/>
          <w:szCs w:val="24"/>
        </w:rPr>
        <w:t xml:space="preserve">, jednak w ograniczonej wysokości. </w:t>
      </w:r>
      <w:r w:rsidR="00727222" w:rsidRPr="00A80D46">
        <w:rPr>
          <w:rFonts w:ascii="Times New Roman" w:hAnsi="Times New Roman" w:cs="Times New Roman"/>
          <w:sz w:val="24"/>
          <w:szCs w:val="24"/>
        </w:rPr>
        <w:t>W roku t+1 zostanie wyznaczona różnica pomiędzy planowanymi (na rok t) a rzeczywistymi przychodami (w roku t) z tytułu składnika zmiennego stawki sieciowej, składnika stałego stawki sieciowej, opłat abonamentowych oraz przychodami, o któr</w:t>
      </w:r>
      <w:r w:rsidR="00216ED2">
        <w:rPr>
          <w:rFonts w:ascii="Times New Roman" w:hAnsi="Times New Roman" w:cs="Times New Roman"/>
          <w:sz w:val="24"/>
          <w:szCs w:val="24"/>
        </w:rPr>
        <w:t>ych mowa w § 22 ust. 1 pkt 2-5</w:t>
      </w:r>
      <w:r w:rsidR="00423533" w:rsidRPr="00A80D46">
        <w:rPr>
          <w:rFonts w:ascii="Times New Roman" w:hAnsi="Times New Roman" w:cs="Times New Roman"/>
          <w:sz w:val="24"/>
          <w:szCs w:val="24"/>
        </w:rPr>
        <w:t xml:space="preserve"> </w:t>
      </w:r>
      <w:r w:rsidR="007A2FB6">
        <w:rPr>
          <w:rFonts w:ascii="Times New Roman" w:hAnsi="Times New Roman" w:cs="Times New Roman"/>
          <w:sz w:val="24"/>
          <w:szCs w:val="24"/>
        </w:rPr>
        <w:t>r</w:t>
      </w:r>
      <w:r w:rsidR="00423533" w:rsidRPr="00A80D46">
        <w:rPr>
          <w:rFonts w:ascii="Times New Roman" w:hAnsi="Times New Roman" w:cs="Times New Roman"/>
          <w:sz w:val="24"/>
          <w:szCs w:val="24"/>
        </w:rPr>
        <w:t>ozporządzenia</w:t>
      </w:r>
      <w:r w:rsidR="000379F3">
        <w:rPr>
          <w:rFonts w:ascii="Times New Roman" w:hAnsi="Times New Roman" w:cs="Times New Roman"/>
          <w:sz w:val="24"/>
          <w:szCs w:val="24"/>
        </w:rPr>
        <w:t xml:space="preserve"> taryfowego</w:t>
      </w:r>
      <w:r w:rsidR="00AA044F" w:rsidRPr="00A80D46">
        <w:rPr>
          <w:rFonts w:ascii="Times New Roman" w:hAnsi="Times New Roman" w:cs="Times New Roman"/>
          <w:sz w:val="24"/>
          <w:szCs w:val="24"/>
        </w:rPr>
        <w:t>, a dla OSP także przychodu z opłaty jakościowej</w:t>
      </w:r>
      <w:r w:rsidR="00727222" w:rsidRPr="00A80D46">
        <w:rPr>
          <w:rFonts w:ascii="Times New Roman" w:hAnsi="Times New Roman" w:cs="Times New Roman"/>
          <w:sz w:val="24"/>
          <w:szCs w:val="24"/>
        </w:rPr>
        <w:t>.</w:t>
      </w:r>
      <w:r w:rsidR="003D72EE" w:rsidRPr="00A80D46">
        <w:rPr>
          <w:rFonts w:ascii="Times New Roman" w:hAnsi="Times New Roman" w:cs="Times New Roman"/>
          <w:sz w:val="24"/>
          <w:szCs w:val="24"/>
        </w:rPr>
        <w:t xml:space="preserve"> </w:t>
      </w:r>
      <w:r w:rsidR="00727222" w:rsidRPr="00A80D46">
        <w:rPr>
          <w:rFonts w:ascii="Times New Roman" w:hAnsi="Times New Roman" w:cs="Times New Roman"/>
          <w:sz w:val="24"/>
          <w:szCs w:val="24"/>
        </w:rPr>
        <w:t xml:space="preserve">Różnica zostanie uwzględniona przy kalkulacji wysokości przychodu regulowanego na rok t+2. </w:t>
      </w:r>
    </w:p>
    <w:p w14:paraId="06713FBD" w14:textId="211FBE53" w:rsidR="00714A33" w:rsidRPr="00A80D46" w:rsidRDefault="00714A33" w:rsidP="00E237BB">
      <w:pPr>
        <w:keepNext/>
        <w:spacing w:after="120"/>
        <w:jc w:val="both"/>
        <w:rPr>
          <w:rFonts w:ascii="Times New Roman" w:hAnsi="Times New Roman" w:cs="Times New Roman"/>
          <w:sz w:val="24"/>
          <w:szCs w:val="24"/>
        </w:rPr>
      </w:pPr>
      <w:r w:rsidRPr="00A80D46">
        <w:rPr>
          <w:rFonts w:ascii="Times New Roman" w:hAnsi="Times New Roman" w:cs="Times New Roman"/>
          <w:sz w:val="24"/>
          <w:szCs w:val="24"/>
        </w:rPr>
        <w:lastRenderedPageBreak/>
        <w:t>Graficzna prezentacja mechanizmu:</w:t>
      </w:r>
    </w:p>
    <w:p w14:paraId="41A6E5EA" w14:textId="77777777" w:rsidR="00727222" w:rsidRPr="00A80D46" w:rsidRDefault="00727222" w:rsidP="00E237BB">
      <w:pPr>
        <w:keepNext/>
        <w:spacing w:after="120"/>
        <w:jc w:val="both"/>
        <w:rPr>
          <w:rFonts w:ascii="Times New Roman" w:hAnsi="Times New Roman" w:cs="Times New Roman"/>
          <w:sz w:val="24"/>
          <w:szCs w:val="24"/>
        </w:rPr>
      </w:pPr>
    </w:p>
    <w:p w14:paraId="3ACF1AF3" w14:textId="77777777" w:rsidR="00727222" w:rsidRPr="00A80D46" w:rsidRDefault="00727222" w:rsidP="006519B6">
      <w:pPr>
        <w:spacing w:after="120"/>
        <w:ind w:firstLine="1276"/>
        <w:jc w:val="both"/>
        <w:rPr>
          <w:rFonts w:ascii="Times New Roman" w:hAnsi="Times New Roman" w:cs="Times New Roman"/>
          <w:sz w:val="24"/>
          <w:szCs w:val="24"/>
        </w:rPr>
      </w:pPr>
      <w:r w:rsidRPr="00A80D46">
        <w:rPr>
          <w:rFonts w:ascii="Times New Roman" w:hAnsi="Times New Roman" w:cs="Times New Roman"/>
          <w:noProof/>
          <w:sz w:val="24"/>
          <w:szCs w:val="24"/>
          <w:lang w:eastAsia="pl-PL"/>
        </w:rPr>
        <w:drawing>
          <wp:inline distT="0" distB="0" distL="0" distR="0" wp14:anchorId="40C5A65A" wp14:editId="798BA462">
            <wp:extent cx="3852353" cy="1005757"/>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zm wyrównujący.png"/>
                    <pic:cNvPicPr/>
                  </pic:nvPicPr>
                  <pic:blipFill>
                    <a:blip r:embed="rId7">
                      <a:extLst>
                        <a:ext uri="{28A0092B-C50C-407E-A947-70E740481C1C}">
                          <a14:useLocalDpi xmlns:a14="http://schemas.microsoft.com/office/drawing/2010/main" val="0"/>
                        </a:ext>
                      </a:extLst>
                    </a:blip>
                    <a:stretch>
                      <a:fillRect/>
                    </a:stretch>
                  </pic:blipFill>
                  <pic:spPr>
                    <a:xfrm>
                      <a:off x="0" y="0"/>
                      <a:ext cx="3852353" cy="1005757"/>
                    </a:xfrm>
                    <a:prstGeom prst="rect">
                      <a:avLst/>
                    </a:prstGeom>
                  </pic:spPr>
                </pic:pic>
              </a:graphicData>
            </a:graphic>
          </wp:inline>
        </w:drawing>
      </w:r>
    </w:p>
    <w:p w14:paraId="3649A70F" w14:textId="02836332" w:rsidR="002F6B5D" w:rsidRPr="00A80D46" w:rsidRDefault="002A7928"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 xml:space="preserve">Dotychczas </w:t>
      </w:r>
      <w:r w:rsidR="00423533" w:rsidRPr="00A80D46">
        <w:rPr>
          <w:rFonts w:ascii="Times New Roman" w:hAnsi="Times New Roman" w:cs="Times New Roman"/>
          <w:sz w:val="24"/>
          <w:szCs w:val="24"/>
        </w:rPr>
        <w:t xml:space="preserve">stosowane w Polsce </w:t>
      </w:r>
      <w:r w:rsidR="002F6B5D" w:rsidRPr="00A80D46">
        <w:rPr>
          <w:rFonts w:ascii="Times New Roman" w:hAnsi="Times New Roman" w:cs="Times New Roman"/>
          <w:sz w:val="24"/>
          <w:szCs w:val="24"/>
        </w:rPr>
        <w:t xml:space="preserve">mechanizmy regulacyjne nie zapewniały możliwości </w:t>
      </w:r>
      <w:r w:rsidR="006A609E" w:rsidRPr="00A80D46">
        <w:rPr>
          <w:rFonts w:ascii="Times New Roman" w:hAnsi="Times New Roman" w:cs="Times New Roman"/>
          <w:sz w:val="24"/>
          <w:szCs w:val="24"/>
        </w:rPr>
        <w:t xml:space="preserve">dokonywania </w:t>
      </w:r>
      <w:r w:rsidR="002F6B5D" w:rsidRPr="00A80D46">
        <w:rPr>
          <w:rFonts w:ascii="Times New Roman" w:hAnsi="Times New Roman" w:cs="Times New Roman"/>
          <w:sz w:val="24"/>
          <w:szCs w:val="24"/>
        </w:rPr>
        <w:t xml:space="preserve">takiej korekty, uniemożliwiając uwzględnianie </w:t>
      </w:r>
      <w:r w:rsidRPr="00A80D46">
        <w:rPr>
          <w:rFonts w:ascii="Times New Roman" w:hAnsi="Times New Roman" w:cs="Times New Roman"/>
          <w:sz w:val="24"/>
          <w:szCs w:val="24"/>
        </w:rPr>
        <w:t xml:space="preserve">w </w:t>
      </w:r>
      <w:r w:rsidR="002F6B5D" w:rsidRPr="00A80D46">
        <w:rPr>
          <w:rFonts w:ascii="Times New Roman" w:hAnsi="Times New Roman" w:cs="Times New Roman"/>
          <w:sz w:val="24"/>
          <w:szCs w:val="24"/>
        </w:rPr>
        <w:t>kalkulacji taryfy</w:t>
      </w:r>
      <w:r w:rsidR="0077465D" w:rsidRPr="00A80D46">
        <w:rPr>
          <w:rFonts w:ascii="Times New Roman" w:hAnsi="Times New Roman" w:cs="Times New Roman"/>
          <w:sz w:val="24"/>
          <w:szCs w:val="24"/>
        </w:rPr>
        <w:t xml:space="preserve"> na kolejny rok</w:t>
      </w:r>
      <w:r w:rsidR="002F6B5D" w:rsidRPr="00A80D46">
        <w:rPr>
          <w:rFonts w:ascii="Times New Roman" w:hAnsi="Times New Roman" w:cs="Times New Roman"/>
          <w:sz w:val="24"/>
          <w:szCs w:val="24"/>
        </w:rPr>
        <w:t xml:space="preserve"> </w:t>
      </w:r>
      <w:r w:rsidRPr="00A80D46">
        <w:rPr>
          <w:rFonts w:ascii="Times New Roman" w:hAnsi="Times New Roman" w:cs="Times New Roman"/>
          <w:sz w:val="24"/>
          <w:szCs w:val="24"/>
        </w:rPr>
        <w:t xml:space="preserve">uzyskanych </w:t>
      </w:r>
      <w:r w:rsidR="002F6B5D" w:rsidRPr="00A80D46">
        <w:rPr>
          <w:rFonts w:ascii="Times New Roman" w:hAnsi="Times New Roman" w:cs="Times New Roman"/>
          <w:sz w:val="24"/>
          <w:szCs w:val="24"/>
        </w:rPr>
        <w:t xml:space="preserve">wyższych lub niższych niż planowane przychodów uzyskanych przez operatora systemu elektroenergetycznego w poprzednich latach taryfowych. </w:t>
      </w:r>
      <w:r w:rsidR="00F8117A" w:rsidRPr="00A80D46">
        <w:rPr>
          <w:rFonts w:ascii="Times New Roman" w:hAnsi="Times New Roman" w:cs="Times New Roman"/>
          <w:sz w:val="24"/>
          <w:szCs w:val="24"/>
        </w:rPr>
        <w:t xml:space="preserve">Skutkowało to przeniesieniem wyłącznie na OSD </w:t>
      </w:r>
      <w:r w:rsidR="007850B8" w:rsidRPr="00A80D46">
        <w:rPr>
          <w:rFonts w:ascii="Times New Roman" w:hAnsi="Times New Roman" w:cs="Times New Roman"/>
          <w:sz w:val="24"/>
          <w:szCs w:val="24"/>
        </w:rPr>
        <w:t xml:space="preserve">i OSP </w:t>
      </w:r>
      <w:r w:rsidR="00F8117A" w:rsidRPr="00A80D46">
        <w:rPr>
          <w:rFonts w:ascii="Times New Roman" w:hAnsi="Times New Roman" w:cs="Times New Roman"/>
          <w:sz w:val="24"/>
          <w:szCs w:val="24"/>
        </w:rPr>
        <w:t xml:space="preserve">tzw. ryzyka </w:t>
      </w:r>
      <w:r w:rsidR="00423533" w:rsidRPr="00A80D46">
        <w:rPr>
          <w:rFonts w:ascii="Times New Roman" w:hAnsi="Times New Roman" w:cs="Times New Roman"/>
          <w:sz w:val="24"/>
          <w:szCs w:val="24"/>
        </w:rPr>
        <w:t>wolumenowego oraz</w:t>
      </w:r>
      <w:r w:rsidR="006A1264" w:rsidRPr="00A80D46">
        <w:rPr>
          <w:rFonts w:ascii="Times New Roman" w:hAnsi="Times New Roman" w:cs="Times New Roman"/>
          <w:sz w:val="24"/>
          <w:szCs w:val="24"/>
        </w:rPr>
        <w:t xml:space="preserve"> przeważnie</w:t>
      </w:r>
      <w:r w:rsidR="00423533" w:rsidRPr="00A80D46">
        <w:rPr>
          <w:rFonts w:ascii="Times New Roman" w:hAnsi="Times New Roman" w:cs="Times New Roman"/>
          <w:sz w:val="24"/>
          <w:szCs w:val="24"/>
        </w:rPr>
        <w:t xml:space="preserve"> prowadziło do braku pokrywania </w:t>
      </w:r>
      <w:r w:rsidR="006A609E" w:rsidRPr="00A80D46">
        <w:rPr>
          <w:rFonts w:ascii="Times New Roman" w:hAnsi="Times New Roman" w:cs="Times New Roman"/>
          <w:sz w:val="24"/>
          <w:szCs w:val="24"/>
        </w:rPr>
        <w:t xml:space="preserve">uznanych przez Prezesa URE i przyjętych do kalkulacji taryf </w:t>
      </w:r>
      <w:r w:rsidR="00EC2135" w:rsidRPr="00A80D46">
        <w:rPr>
          <w:rFonts w:ascii="Times New Roman" w:hAnsi="Times New Roman" w:cs="Times New Roman"/>
          <w:sz w:val="24"/>
          <w:szCs w:val="24"/>
        </w:rPr>
        <w:t xml:space="preserve">uzasadnionych </w:t>
      </w:r>
      <w:r w:rsidR="00423533" w:rsidRPr="00A80D46">
        <w:rPr>
          <w:rFonts w:ascii="Times New Roman" w:hAnsi="Times New Roman" w:cs="Times New Roman"/>
          <w:sz w:val="24"/>
          <w:szCs w:val="24"/>
        </w:rPr>
        <w:t xml:space="preserve">kosztów i zwrotu z zaangażowanego kapitału </w:t>
      </w:r>
      <w:r w:rsidR="007B0A69" w:rsidRPr="00A80D46">
        <w:rPr>
          <w:rFonts w:ascii="Times New Roman" w:hAnsi="Times New Roman" w:cs="Times New Roman"/>
          <w:sz w:val="24"/>
          <w:szCs w:val="24"/>
        </w:rPr>
        <w:t>(a więc jednej z podstawowych</w:t>
      </w:r>
      <w:r w:rsidR="00E52CDC">
        <w:rPr>
          <w:rFonts w:ascii="Times New Roman" w:hAnsi="Times New Roman" w:cs="Times New Roman"/>
          <w:sz w:val="24"/>
          <w:szCs w:val="24"/>
        </w:rPr>
        <w:t xml:space="preserve"> zasad regulacji wynikającej z u</w:t>
      </w:r>
      <w:r w:rsidR="007B0A69" w:rsidRPr="00A80D46">
        <w:rPr>
          <w:rFonts w:ascii="Times New Roman" w:hAnsi="Times New Roman" w:cs="Times New Roman"/>
          <w:sz w:val="24"/>
          <w:szCs w:val="24"/>
        </w:rPr>
        <w:t xml:space="preserve">stawy </w:t>
      </w:r>
      <w:r w:rsidR="00373F4B">
        <w:rPr>
          <w:rFonts w:ascii="Times New Roman" w:hAnsi="Times New Roman" w:cs="Times New Roman"/>
          <w:sz w:val="24"/>
          <w:szCs w:val="24"/>
        </w:rPr>
        <w:t>–</w:t>
      </w:r>
      <w:r w:rsidR="00E52CDC">
        <w:rPr>
          <w:rFonts w:ascii="Times New Roman" w:hAnsi="Times New Roman" w:cs="Times New Roman"/>
          <w:sz w:val="24"/>
          <w:szCs w:val="24"/>
        </w:rPr>
        <w:t xml:space="preserve"> </w:t>
      </w:r>
      <w:r w:rsidR="007B0A69" w:rsidRPr="00A80D46">
        <w:rPr>
          <w:rFonts w:ascii="Times New Roman" w:hAnsi="Times New Roman" w:cs="Times New Roman"/>
          <w:sz w:val="24"/>
          <w:szCs w:val="24"/>
        </w:rPr>
        <w:t>Prawo energetyczne</w:t>
      </w:r>
      <w:r w:rsidR="00F63C78" w:rsidRPr="00A80D46">
        <w:rPr>
          <w:rFonts w:ascii="Times New Roman" w:hAnsi="Times New Roman" w:cs="Times New Roman"/>
          <w:sz w:val="24"/>
          <w:szCs w:val="24"/>
        </w:rPr>
        <w:t>,</w:t>
      </w:r>
      <w:r w:rsidR="007B0A69" w:rsidRPr="00A80D46">
        <w:rPr>
          <w:rFonts w:ascii="Times New Roman" w:hAnsi="Times New Roman" w:cs="Times New Roman"/>
          <w:sz w:val="24"/>
          <w:szCs w:val="24"/>
        </w:rPr>
        <w:t xml:space="preserve"> gwarantującej OSD</w:t>
      </w:r>
      <w:r w:rsidR="007850B8" w:rsidRPr="00A80D46">
        <w:rPr>
          <w:rFonts w:ascii="Times New Roman" w:hAnsi="Times New Roman" w:cs="Times New Roman"/>
          <w:sz w:val="24"/>
          <w:szCs w:val="24"/>
        </w:rPr>
        <w:t xml:space="preserve"> i OSP</w:t>
      </w:r>
      <w:r w:rsidR="007B0A69" w:rsidRPr="00A80D46">
        <w:rPr>
          <w:rFonts w:ascii="Times New Roman" w:hAnsi="Times New Roman" w:cs="Times New Roman"/>
          <w:sz w:val="24"/>
          <w:szCs w:val="24"/>
        </w:rPr>
        <w:t xml:space="preserve"> stabilność przychodów i ich działalności) </w:t>
      </w:r>
      <w:r w:rsidR="00423533" w:rsidRPr="00A80D46">
        <w:rPr>
          <w:rFonts w:ascii="Times New Roman" w:hAnsi="Times New Roman" w:cs="Times New Roman"/>
          <w:sz w:val="24"/>
          <w:szCs w:val="24"/>
        </w:rPr>
        <w:t xml:space="preserve">oraz niemożności ich odzyskania przez </w:t>
      </w:r>
      <w:r w:rsidR="00EC2135" w:rsidRPr="00A80D46">
        <w:rPr>
          <w:rFonts w:ascii="Times New Roman" w:hAnsi="Times New Roman" w:cs="Times New Roman"/>
          <w:sz w:val="24"/>
          <w:szCs w:val="24"/>
        </w:rPr>
        <w:t>operatorów</w:t>
      </w:r>
      <w:r w:rsidR="00423533" w:rsidRPr="00A80D46">
        <w:rPr>
          <w:rFonts w:ascii="Times New Roman" w:hAnsi="Times New Roman" w:cs="Times New Roman"/>
          <w:sz w:val="24"/>
          <w:szCs w:val="24"/>
        </w:rPr>
        <w:t xml:space="preserve"> w przyszłości</w:t>
      </w:r>
      <w:r w:rsidR="00F8117A" w:rsidRPr="00A80D46">
        <w:rPr>
          <w:rFonts w:ascii="Times New Roman" w:hAnsi="Times New Roman" w:cs="Times New Roman"/>
          <w:sz w:val="24"/>
          <w:szCs w:val="24"/>
        </w:rPr>
        <w:t>.</w:t>
      </w:r>
      <w:r w:rsidR="006A1264" w:rsidRPr="00A80D46">
        <w:rPr>
          <w:rFonts w:ascii="Times New Roman" w:hAnsi="Times New Roman" w:cs="Times New Roman"/>
          <w:sz w:val="24"/>
          <w:szCs w:val="24"/>
        </w:rPr>
        <w:t xml:space="preserve"> Oczywiście zdarzały się przypadki odwrotne. </w:t>
      </w:r>
    </w:p>
    <w:p w14:paraId="429AA891" w14:textId="566702E6" w:rsidR="00714A33" w:rsidRPr="00A80D46" w:rsidRDefault="00714A33"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Mając</w:t>
      </w:r>
      <w:r w:rsidR="00216ED2">
        <w:rPr>
          <w:rFonts w:ascii="Times New Roman" w:hAnsi="Times New Roman" w:cs="Times New Roman"/>
          <w:sz w:val="24"/>
          <w:szCs w:val="24"/>
        </w:rPr>
        <w:t xml:space="preserve"> na względzie powyższe, w § 22 r</w:t>
      </w:r>
      <w:r w:rsidRPr="00A80D46">
        <w:rPr>
          <w:rFonts w:ascii="Times New Roman" w:hAnsi="Times New Roman" w:cs="Times New Roman"/>
          <w:sz w:val="24"/>
          <w:szCs w:val="24"/>
        </w:rPr>
        <w:t xml:space="preserve">ozporządzenia </w:t>
      </w:r>
      <w:r w:rsidR="00373F4B">
        <w:rPr>
          <w:rFonts w:ascii="Times New Roman" w:hAnsi="Times New Roman" w:cs="Times New Roman"/>
          <w:sz w:val="24"/>
          <w:szCs w:val="24"/>
        </w:rPr>
        <w:t xml:space="preserve">taryfowego </w:t>
      </w:r>
      <w:r w:rsidRPr="00A80D46">
        <w:rPr>
          <w:rFonts w:ascii="Times New Roman" w:hAnsi="Times New Roman" w:cs="Times New Roman"/>
          <w:sz w:val="24"/>
          <w:szCs w:val="24"/>
        </w:rPr>
        <w:t xml:space="preserve">dodaje się nowy </w:t>
      </w:r>
      <w:r w:rsidR="007B0A69" w:rsidRPr="00A80D46">
        <w:rPr>
          <w:rFonts w:ascii="Times New Roman" w:hAnsi="Times New Roman" w:cs="Times New Roman"/>
          <w:sz w:val="24"/>
          <w:szCs w:val="24"/>
        </w:rPr>
        <w:t xml:space="preserve">ust. </w:t>
      </w:r>
      <w:r w:rsidRPr="00A80D46">
        <w:rPr>
          <w:rFonts w:ascii="Times New Roman" w:hAnsi="Times New Roman" w:cs="Times New Roman"/>
          <w:sz w:val="24"/>
          <w:szCs w:val="24"/>
        </w:rPr>
        <w:t>4 wskazujący, iż „</w:t>
      </w:r>
      <w:r w:rsidR="00AA044F" w:rsidRPr="00A80D46">
        <w:rPr>
          <w:rFonts w:ascii="Times New Roman" w:hAnsi="Times New Roman" w:cs="Times New Roman"/>
          <w:sz w:val="24"/>
          <w:szCs w:val="24"/>
        </w:rPr>
        <w:t>Ustalając przychód pokrywający koszty uzasadnion</w:t>
      </w:r>
      <w:r w:rsidR="00E0633A">
        <w:rPr>
          <w:rFonts w:ascii="Times New Roman" w:hAnsi="Times New Roman" w:cs="Times New Roman"/>
          <w:sz w:val="24"/>
          <w:szCs w:val="24"/>
        </w:rPr>
        <w:t>e wraz z uzasadnionym zwrotem z </w:t>
      </w:r>
      <w:r w:rsidR="00AA044F" w:rsidRPr="00A80D46">
        <w:rPr>
          <w:rFonts w:ascii="Times New Roman" w:hAnsi="Times New Roman" w:cs="Times New Roman"/>
          <w:sz w:val="24"/>
          <w:szCs w:val="24"/>
        </w:rPr>
        <w:t>zaangażowanego kapitału dla operatorów systemów dystrybucyjnych oraz operatora systemu przesyłowego, uwzględnia się saldo konta regulacyjnego, o którym mowa w § 22a.</w:t>
      </w:r>
      <w:r w:rsidR="006138E6">
        <w:rPr>
          <w:rFonts w:ascii="Times New Roman" w:hAnsi="Times New Roman" w:cs="Times New Roman"/>
          <w:sz w:val="24"/>
          <w:szCs w:val="24"/>
        </w:rPr>
        <w:t>”</w:t>
      </w:r>
    </w:p>
    <w:p w14:paraId="42418C68" w14:textId="77777777" w:rsidR="00714A33" w:rsidRPr="00A80D46" w:rsidRDefault="00714A33"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 xml:space="preserve">Jednocześnie dodaje się nowy § 22a, wskazujący w ust. sposób obliczenia salda konta regulacyjnego. </w:t>
      </w:r>
    </w:p>
    <w:p w14:paraId="67B4416E" w14:textId="77777777" w:rsidR="00714A33" w:rsidRPr="00A80D46" w:rsidRDefault="00714A33"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Saldo konta oblicza się według wzoru:</w:t>
      </w:r>
    </w:p>
    <w:p w14:paraId="093EF607" w14:textId="77777777" w:rsidR="00714A33" w:rsidRPr="00A80D46" w:rsidRDefault="00EF261C" w:rsidP="006519B6">
      <w:pPr>
        <w:spacing w:after="120" w:line="276"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KR</m:t>
              </m:r>
            </m:e>
            <m:sub>
              <m:r>
                <w:rPr>
                  <w:rFonts w:ascii="Cambria Math" w:hAnsi="Cambria Math" w:cs="Times New Roman"/>
                  <w:sz w:val="24"/>
                  <w:szCs w:val="24"/>
                </w:rPr>
                <m:t>n</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dp</m:t>
                      </m:r>
                      <m:r>
                        <m:rPr>
                          <m:sty m:val="p"/>
                        </m:rPr>
                        <w:rPr>
                          <w:rFonts w:ascii="Cambria Math" w:hAnsi="Cambria Math" w:cs="Times New Roman"/>
                          <w:sz w:val="24"/>
                          <w:szCs w:val="24"/>
                        </w:rPr>
                        <m:t xml:space="preserve">  </m:t>
                      </m:r>
                      <m:r>
                        <w:rPr>
                          <w:rFonts w:ascii="Cambria Math" w:hAnsi="Cambria Math" w:cs="Times New Roman"/>
                          <w:sz w:val="24"/>
                          <w:szCs w:val="24"/>
                        </w:rPr>
                        <m:t>n</m:t>
                      </m:r>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O</m:t>
                  </m:r>
                </m:e>
                <m:sub>
                  <m:r>
                    <w:rPr>
                      <w:rFonts w:ascii="Cambria Math" w:hAnsi="Cambria Math" w:cs="Times New Roman"/>
                      <w:sz w:val="24"/>
                      <w:szCs w:val="24"/>
                    </w:rPr>
                    <m:t>dr</m:t>
                  </m:r>
                  <m:r>
                    <m:rPr>
                      <m:sty m:val="p"/>
                    </m:rPr>
                    <w:rPr>
                      <w:rFonts w:ascii="Cambria Math" w:hAnsi="Cambria Math" w:cs="Times New Roman"/>
                      <w:sz w:val="24"/>
                      <w:szCs w:val="24"/>
                    </w:rPr>
                    <m:t xml:space="preserve">  </m:t>
                  </m:r>
                  <m:r>
                    <w:rPr>
                      <w:rFonts w:ascii="Cambria Math" w:hAnsi="Cambria Math" w:cs="Times New Roman"/>
                      <w:sz w:val="24"/>
                      <w:szCs w:val="24"/>
                    </w:rPr>
                    <m:t>n</m:t>
                  </m:r>
                  <m:r>
                    <m:rPr>
                      <m:sty m:val="p"/>
                    </m:rPr>
                    <w:rPr>
                      <w:rFonts w:ascii="Cambria Math" w:hAnsi="Cambria Math" w:cs="Times New Roman"/>
                      <w:sz w:val="24"/>
                      <w:szCs w:val="24"/>
                    </w:rPr>
                    <m:t>-2</m:t>
                  </m:r>
                </m:sub>
              </m:sSub>
            </m:e>
          </m:d>
        </m:oMath>
      </m:oMathPara>
    </w:p>
    <w:p w14:paraId="4F710E95" w14:textId="77777777" w:rsidR="00714A33" w:rsidRPr="00A80D46" w:rsidRDefault="00714A33"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gdzie poszczególne symbole oznaczają:</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
        <w:gridCol w:w="351"/>
        <w:gridCol w:w="7672"/>
      </w:tblGrid>
      <w:tr w:rsidR="00714A33" w:rsidRPr="00A80D46" w14:paraId="647485EA" w14:textId="77777777" w:rsidTr="00437727">
        <w:tc>
          <w:tcPr>
            <w:tcW w:w="1118" w:type="dxa"/>
          </w:tcPr>
          <w:p w14:paraId="3F495221" w14:textId="77777777" w:rsidR="00714A33" w:rsidRPr="00A80D46" w:rsidRDefault="00714A33" w:rsidP="006519B6">
            <w:pPr>
              <w:spacing w:after="120" w:line="276" w:lineRule="auto"/>
              <w:jc w:val="both"/>
              <w:rPr>
                <w:rFonts w:ascii="Times New Roman" w:hAnsi="Times New Roman" w:cs="Times New Roman"/>
                <w:i/>
                <w:iCs/>
                <w:sz w:val="24"/>
                <w:szCs w:val="24"/>
              </w:rPr>
            </w:pPr>
            <w:r w:rsidRPr="00A80D46">
              <w:rPr>
                <w:rFonts w:ascii="Times New Roman" w:hAnsi="Times New Roman" w:cs="Times New Roman"/>
                <w:i/>
                <w:iCs/>
                <w:sz w:val="24"/>
                <w:szCs w:val="24"/>
              </w:rPr>
              <w:t>KR</w:t>
            </w:r>
            <w:r w:rsidRPr="00A80D46">
              <w:rPr>
                <w:rFonts w:ascii="Times New Roman" w:hAnsi="Times New Roman" w:cs="Times New Roman"/>
                <w:i/>
                <w:iCs/>
                <w:sz w:val="24"/>
                <w:szCs w:val="24"/>
                <w:vertAlign w:val="subscript"/>
              </w:rPr>
              <w:t>n</w:t>
            </w:r>
          </w:p>
        </w:tc>
        <w:tc>
          <w:tcPr>
            <w:tcW w:w="425" w:type="dxa"/>
          </w:tcPr>
          <w:p w14:paraId="7AE09A52" w14:textId="77777777" w:rsidR="00714A33" w:rsidRPr="00A80D46" w:rsidRDefault="00714A33"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w:t>
            </w:r>
          </w:p>
        </w:tc>
        <w:tc>
          <w:tcPr>
            <w:tcW w:w="15331" w:type="dxa"/>
          </w:tcPr>
          <w:p w14:paraId="158D2FEE" w14:textId="4C168D2E" w:rsidR="00714A33" w:rsidRPr="00A80D46" w:rsidRDefault="00714A33"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saldo konta regulacyjnego dla taryfy na r</w:t>
            </w:r>
            <w:r w:rsidR="006138E6">
              <w:rPr>
                <w:rFonts w:ascii="Times New Roman" w:hAnsi="Times New Roman" w:cs="Times New Roman"/>
                <w:sz w:val="24"/>
                <w:szCs w:val="24"/>
              </w:rPr>
              <w:t>ok okresu regulacji „n”</w:t>
            </w:r>
            <w:r w:rsidRPr="00A80D46">
              <w:rPr>
                <w:rFonts w:ascii="Times New Roman" w:hAnsi="Times New Roman" w:cs="Times New Roman"/>
                <w:sz w:val="24"/>
                <w:szCs w:val="24"/>
              </w:rPr>
              <w:t xml:space="preserve"> [zł], </w:t>
            </w:r>
          </w:p>
        </w:tc>
      </w:tr>
      <w:tr w:rsidR="00714A33" w:rsidRPr="00A80D46" w14:paraId="52C0A1F4" w14:textId="77777777" w:rsidTr="00437727">
        <w:tc>
          <w:tcPr>
            <w:tcW w:w="1118" w:type="dxa"/>
          </w:tcPr>
          <w:p w14:paraId="654254A5" w14:textId="77777777" w:rsidR="00714A33" w:rsidRPr="00A80D46" w:rsidRDefault="00EF261C" w:rsidP="006519B6">
            <w:pPr>
              <w:spacing w:after="120" w:line="276"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dp</m:t>
                    </m:r>
                    <m:r>
                      <m:rPr>
                        <m:sty m:val="p"/>
                      </m:rPr>
                      <w:rPr>
                        <w:rFonts w:ascii="Cambria Math" w:hAnsi="Cambria Math" w:cs="Times New Roman"/>
                        <w:sz w:val="24"/>
                        <w:szCs w:val="24"/>
                      </w:rPr>
                      <m:t xml:space="preserve">  </m:t>
                    </m:r>
                    <m:r>
                      <w:rPr>
                        <w:rFonts w:ascii="Cambria Math" w:hAnsi="Cambria Math" w:cs="Times New Roman"/>
                        <w:sz w:val="24"/>
                        <w:szCs w:val="24"/>
                      </w:rPr>
                      <m:t>n</m:t>
                    </m:r>
                    <m:r>
                      <m:rPr>
                        <m:sty m:val="p"/>
                      </m:rPr>
                      <w:rPr>
                        <w:rFonts w:ascii="Cambria Math" w:hAnsi="Cambria Math" w:cs="Times New Roman"/>
                        <w:sz w:val="24"/>
                        <w:szCs w:val="24"/>
                      </w:rPr>
                      <m:t>-2</m:t>
                    </m:r>
                  </m:sub>
                </m:sSub>
              </m:oMath>
            </m:oMathPara>
          </w:p>
        </w:tc>
        <w:tc>
          <w:tcPr>
            <w:tcW w:w="425" w:type="dxa"/>
          </w:tcPr>
          <w:p w14:paraId="3CB63AB3" w14:textId="77777777" w:rsidR="00714A33" w:rsidRPr="00A80D46" w:rsidRDefault="00714A33"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w:t>
            </w:r>
          </w:p>
        </w:tc>
        <w:tc>
          <w:tcPr>
            <w:tcW w:w="15331" w:type="dxa"/>
          </w:tcPr>
          <w:p w14:paraId="35F6A910" w14:textId="6CC33BC9" w:rsidR="00714A33" w:rsidRPr="00A80D46" w:rsidRDefault="00714A33"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sumę przyjętego w taryf</w:t>
            </w:r>
            <w:r w:rsidR="006138E6">
              <w:rPr>
                <w:rFonts w:ascii="Times New Roman" w:hAnsi="Times New Roman" w:cs="Times New Roman"/>
                <w:sz w:val="24"/>
                <w:szCs w:val="24"/>
              </w:rPr>
              <w:t>ie na rok okresu regulacji „n-2”</w:t>
            </w:r>
            <w:r w:rsidRPr="00A80D46">
              <w:rPr>
                <w:rFonts w:ascii="Times New Roman" w:hAnsi="Times New Roman" w:cs="Times New Roman"/>
                <w:sz w:val="24"/>
                <w:szCs w:val="24"/>
              </w:rPr>
              <w:t xml:space="preserve"> planowanego przychodu, będącego podstawą kalkulacji stawek opłat na 12 kolejnych miesięcy kalendarzowych, w części wynikającej z poboru składnika zmiennego stawki sieciowej, składnika stałego stawki sieciowej, opłat abonamentowych oraz planowanych na ten okres przychodów, o któryc</w:t>
            </w:r>
            <w:r w:rsidR="007C2955">
              <w:rPr>
                <w:rFonts w:ascii="Times New Roman" w:hAnsi="Times New Roman" w:cs="Times New Roman"/>
                <w:sz w:val="24"/>
                <w:szCs w:val="24"/>
              </w:rPr>
              <w:t>h mowa w § 22 ust. 1 pkt 2-5</w:t>
            </w:r>
            <w:r w:rsidRPr="00A80D46">
              <w:rPr>
                <w:rFonts w:ascii="Times New Roman" w:hAnsi="Times New Roman" w:cs="Times New Roman"/>
                <w:sz w:val="24"/>
                <w:szCs w:val="24"/>
              </w:rPr>
              <w:t xml:space="preserve">, </w:t>
            </w:r>
            <w:r w:rsidR="00AA044F" w:rsidRPr="00A80D46">
              <w:rPr>
                <w:rFonts w:ascii="Times New Roman" w:hAnsi="Times New Roman" w:cs="Times New Roman"/>
                <w:sz w:val="24"/>
                <w:szCs w:val="24"/>
              </w:rPr>
              <w:t>a dla operatora systemu przesyłowego także przychodu  z opłaty jakościowej, łącznie dla wszystkich odbiorców [zł],</w:t>
            </w:r>
          </w:p>
        </w:tc>
      </w:tr>
      <w:tr w:rsidR="00714A33" w:rsidRPr="00A80D46" w14:paraId="539BA2C1" w14:textId="77777777" w:rsidTr="00206C26">
        <w:trPr>
          <w:trHeight w:val="1418"/>
        </w:trPr>
        <w:tc>
          <w:tcPr>
            <w:tcW w:w="1118" w:type="dxa"/>
          </w:tcPr>
          <w:p w14:paraId="4311F0FF" w14:textId="77777777" w:rsidR="00714A33" w:rsidRPr="00A80D46" w:rsidRDefault="00EF261C" w:rsidP="006519B6">
            <w:pPr>
              <w:spacing w:after="120" w:line="276"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dr</m:t>
                    </m:r>
                    <m:r>
                      <m:rPr>
                        <m:sty m:val="p"/>
                      </m:rPr>
                      <w:rPr>
                        <w:rFonts w:ascii="Cambria Math" w:hAnsi="Cambria Math" w:cs="Times New Roman"/>
                        <w:sz w:val="24"/>
                        <w:szCs w:val="24"/>
                      </w:rPr>
                      <m:t xml:space="preserve">  </m:t>
                    </m:r>
                    <m:r>
                      <w:rPr>
                        <w:rFonts w:ascii="Cambria Math" w:hAnsi="Cambria Math" w:cs="Times New Roman"/>
                        <w:sz w:val="24"/>
                        <w:szCs w:val="24"/>
                      </w:rPr>
                      <m:t>n</m:t>
                    </m:r>
                    <m:r>
                      <m:rPr>
                        <m:sty m:val="p"/>
                      </m:rPr>
                      <w:rPr>
                        <w:rFonts w:ascii="Cambria Math" w:hAnsi="Cambria Math" w:cs="Times New Roman"/>
                        <w:sz w:val="24"/>
                        <w:szCs w:val="24"/>
                      </w:rPr>
                      <m:t>-2</m:t>
                    </m:r>
                  </m:sub>
                </m:sSub>
              </m:oMath>
            </m:oMathPara>
          </w:p>
        </w:tc>
        <w:tc>
          <w:tcPr>
            <w:tcW w:w="425" w:type="dxa"/>
          </w:tcPr>
          <w:p w14:paraId="22573AEF" w14:textId="77777777" w:rsidR="00714A33" w:rsidRPr="00A80D46" w:rsidRDefault="00714A33"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w:t>
            </w:r>
          </w:p>
        </w:tc>
        <w:tc>
          <w:tcPr>
            <w:tcW w:w="15331" w:type="dxa"/>
          </w:tcPr>
          <w:p w14:paraId="077CA391" w14:textId="3CA6F7BF" w:rsidR="00714A33" w:rsidRPr="00A80D46" w:rsidRDefault="00714A33"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sumę rzeczywiście uzys</w:t>
            </w:r>
            <w:r w:rsidR="006138E6">
              <w:rPr>
                <w:rFonts w:ascii="Times New Roman" w:hAnsi="Times New Roman" w:cs="Times New Roman"/>
                <w:sz w:val="24"/>
                <w:szCs w:val="24"/>
              </w:rPr>
              <w:t>kanego w roku okresu regulacji „n-2”</w:t>
            </w:r>
            <w:r w:rsidRPr="00A80D46">
              <w:rPr>
                <w:rFonts w:ascii="Times New Roman" w:hAnsi="Times New Roman" w:cs="Times New Roman"/>
                <w:sz w:val="24"/>
                <w:szCs w:val="24"/>
              </w:rPr>
              <w:t xml:space="preserve"> przychodu w</w:t>
            </w:r>
            <w:r w:rsidR="00E0633A">
              <w:rPr>
                <w:rFonts w:ascii="Times New Roman" w:hAnsi="Times New Roman" w:cs="Times New Roman"/>
                <w:sz w:val="24"/>
                <w:szCs w:val="24"/>
              </w:rPr>
              <w:t> </w:t>
            </w:r>
            <w:r w:rsidRPr="00A80D46">
              <w:rPr>
                <w:rFonts w:ascii="Times New Roman" w:hAnsi="Times New Roman" w:cs="Times New Roman"/>
                <w:sz w:val="24"/>
                <w:szCs w:val="24"/>
              </w:rPr>
              <w:t xml:space="preserve">części wynikającej z poboru składnika zmiennego stawki sieciowej, składnika stałego stawki sieciowej, opłat abonamentowych oraz przychodów, o których mowa w § 22 ust. 1 pkt 2) - 5), </w:t>
            </w:r>
            <w:r w:rsidR="00AA044F" w:rsidRPr="00A80D46">
              <w:rPr>
                <w:rFonts w:ascii="Times New Roman" w:hAnsi="Times New Roman" w:cs="Times New Roman"/>
                <w:sz w:val="24"/>
                <w:szCs w:val="24"/>
              </w:rPr>
              <w:t>a dla operatora systemu przesyłowego także przychodu  z opłaty jakościowej, w okresie 12 kolejnych miesięcy kalendarzowych łącznie od wszystkich odbiorców [zł].</w:t>
            </w:r>
          </w:p>
        </w:tc>
      </w:tr>
    </w:tbl>
    <w:p w14:paraId="14BF9EFB" w14:textId="48E7167C" w:rsidR="00714A33" w:rsidRPr="00A80D46" w:rsidRDefault="00714A33"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lastRenderedPageBreak/>
        <w:t xml:space="preserve">Jednocześnie w § 22a ust. 2 wprowadzony zostaje mechanizm chroniący odbiorców przed </w:t>
      </w:r>
      <w:r w:rsidR="00266AD3" w:rsidRPr="00A80D46">
        <w:rPr>
          <w:rFonts w:ascii="Times New Roman" w:hAnsi="Times New Roman" w:cs="Times New Roman"/>
          <w:sz w:val="24"/>
          <w:szCs w:val="24"/>
        </w:rPr>
        <w:t xml:space="preserve">zbyt dużym </w:t>
      </w:r>
      <w:r w:rsidRPr="00A80D46">
        <w:rPr>
          <w:rFonts w:ascii="Times New Roman" w:hAnsi="Times New Roman" w:cs="Times New Roman"/>
          <w:sz w:val="24"/>
          <w:szCs w:val="24"/>
        </w:rPr>
        <w:t>wzrostem stawek</w:t>
      </w:r>
      <w:r w:rsidR="00266AD3" w:rsidRPr="00A80D46">
        <w:rPr>
          <w:rFonts w:ascii="Times New Roman" w:hAnsi="Times New Roman" w:cs="Times New Roman"/>
          <w:sz w:val="24"/>
          <w:szCs w:val="24"/>
        </w:rPr>
        <w:t xml:space="preserve">, który wprowadził graniczną </w:t>
      </w:r>
      <w:r w:rsidRPr="00A80D46">
        <w:rPr>
          <w:rFonts w:ascii="Times New Roman" w:hAnsi="Times New Roman" w:cs="Times New Roman"/>
          <w:sz w:val="24"/>
          <w:szCs w:val="24"/>
        </w:rPr>
        <w:t>wartość</w:t>
      </w:r>
      <w:r w:rsidR="00266AD3" w:rsidRPr="00A80D46">
        <w:rPr>
          <w:rFonts w:ascii="Times New Roman" w:hAnsi="Times New Roman" w:cs="Times New Roman"/>
          <w:sz w:val="24"/>
          <w:szCs w:val="24"/>
        </w:rPr>
        <w:t xml:space="preserve"> takiego wzrostu</w:t>
      </w:r>
      <w:r w:rsidRPr="00A80D46">
        <w:rPr>
          <w:rFonts w:ascii="Times New Roman" w:hAnsi="Times New Roman" w:cs="Times New Roman"/>
          <w:sz w:val="24"/>
          <w:szCs w:val="24"/>
        </w:rPr>
        <w:t xml:space="preserve"> w przypadku, gdy</w:t>
      </w:r>
      <w:r w:rsidR="00EE2174" w:rsidRPr="00A80D46">
        <w:rPr>
          <w:rFonts w:ascii="Times New Roman" w:hAnsi="Times New Roman" w:cs="Times New Roman"/>
          <w:sz w:val="24"/>
          <w:szCs w:val="24"/>
        </w:rPr>
        <w:t>by</w:t>
      </w:r>
      <w:r w:rsidRPr="00A80D46">
        <w:rPr>
          <w:rFonts w:ascii="Times New Roman" w:hAnsi="Times New Roman" w:cs="Times New Roman"/>
          <w:sz w:val="24"/>
          <w:szCs w:val="24"/>
        </w:rPr>
        <w:t xml:space="preserve"> uwzględnienie salda konta regulacyjnego miałoby spowodować zmianę jednostkowego planowanego przychodu, wyrażonego w zł/MWh, określoneg</w:t>
      </w:r>
      <w:r w:rsidR="00E0633A">
        <w:rPr>
          <w:rFonts w:ascii="Times New Roman" w:hAnsi="Times New Roman" w:cs="Times New Roman"/>
          <w:sz w:val="24"/>
          <w:szCs w:val="24"/>
        </w:rPr>
        <w:t>o na rok okresu regulacji „n” w </w:t>
      </w:r>
      <w:r w:rsidRPr="00A80D46">
        <w:rPr>
          <w:rFonts w:ascii="Times New Roman" w:hAnsi="Times New Roman" w:cs="Times New Roman"/>
          <w:sz w:val="24"/>
          <w:szCs w:val="24"/>
        </w:rPr>
        <w:t>sposób wskazany w § 22</w:t>
      </w:r>
      <w:r w:rsidR="00373F4B">
        <w:rPr>
          <w:rFonts w:ascii="Times New Roman" w:hAnsi="Times New Roman" w:cs="Times New Roman"/>
          <w:sz w:val="24"/>
          <w:szCs w:val="24"/>
        </w:rPr>
        <w:t>,</w:t>
      </w:r>
      <w:r w:rsidRPr="00A80D46">
        <w:rPr>
          <w:rFonts w:ascii="Times New Roman" w:hAnsi="Times New Roman" w:cs="Times New Roman"/>
          <w:sz w:val="24"/>
          <w:szCs w:val="24"/>
        </w:rPr>
        <w:t xml:space="preserve"> z uwzględnieniem planowanego na ten okres wolumenu dostaw energii elektrycznej, o więcej niż </w:t>
      </w:r>
      <w:r w:rsidR="00460BFE" w:rsidRPr="00A80D46">
        <w:rPr>
          <w:rFonts w:ascii="Times New Roman" w:hAnsi="Times New Roman" w:cs="Times New Roman"/>
          <w:sz w:val="24"/>
          <w:szCs w:val="24"/>
        </w:rPr>
        <w:t>2</w:t>
      </w:r>
      <w:r w:rsidRPr="00A80D46">
        <w:rPr>
          <w:rFonts w:ascii="Times New Roman" w:hAnsi="Times New Roman" w:cs="Times New Roman"/>
          <w:sz w:val="24"/>
          <w:szCs w:val="24"/>
        </w:rPr>
        <w:t xml:space="preserve"> % w roku okresu regulacji „n</w:t>
      </w:r>
      <w:r w:rsidR="00EE2174" w:rsidRPr="00A80D46">
        <w:rPr>
          <w:rFonts w:ascii="Times New Roman" w:hAnsi="Times New Roman" w:cs="Times New Roman"/>
          <w:sz w:val="24"/>
          <w:szCs w:val="24"/>
        </w:rPr>
        <w:t xml:space="preserve">”. W takim przypadku na rok n okresu regulacji </w:t>
      </w:r>
      <w:r w:rsidRPr="00A80D46">
        <w:rPr>
          <w:rFonts w:ascii="Times New Roman" w:hAnsi="Times New Roman" w:cs="Times New Roman"/>
          <w:sz w:val="24"/>
          <w:szCs w:val="24"/>
        </w:rPr>
        <w:t xml:space="preserve">uwzględnia się część salda tego konta w wysokości odpowiadającej </w:t>
      </w:r>
      <w:r w:rsidR="00460BFE" w:rsidRPr="00A80D46">
        <w:rPr>
          <w:rFonts w:ascii="Times New Roman" w:hAnsi="Times New Roman" w:cs="Times New Roman"/>
          <w:sz w:val="24"/>
          <w:szCs w:val="24"/>
        </w:rPr>
        <w:t>2</w:t>
      </w:r>
      <w:r w:rsidRPr="00A80D46">
        <w:rPr>
          <w:rFonts w:ascii="Times New Roman" w:hAnsi="Times New Roman" w:cs="Times New Roman"/>
          <w:sz w:val="24"/>
          <w:szCs w:val="24"/>
        </w:rPr>
        <w:t xml:space="preserve"> % </w:t>
      </w:r>
      <w:r w:rsidRPr="00973F91">
        <w:rPr>
          <w:rFonts w:ascii="Times New Roman" w:hAnsi="Times New Roman" w:cs="Times New Roman"/>
          <w:sz w:val="24"/>
          <w:szCs w:val="24"/>
        </w:rPr>
        <w:t>przychodu określonego na rok okresu regulacji „n” wyraż</w:t>
      </w:r>
      <w:r w:rsidR="00E0633A" w:rsidRPr="00973F91">
        <w:rPr>
          <w:rFonts w:ascii="Times New Roman" w:hAnsi="Times New Roman" w:cs="Times New Roman"/>
          <w:sz w:val="24"/>
          <w:szCs w:val="24"/>
        </w:rPr>
        <w:t xml:space="preserve">onego w zł. Zgodnie natomiast </w:t>
      </w:r>
      <w:r w:rsidR="00E0633A" w:rsidRPr="00E237BB">
        <w:rPr>
          <w:rFonts w:ascii="Times New Roman" w:hAnsi="Times New Roman" w:cs="Times New Roman"/>
          <w:sz w:val="24"/>
          <w:szCs w:val="24"/>
        </w:rPr>
        <w:t>z</w:t>
      </w:r>
      <w:r w:rsidR="006138E6" w:rsidRPr="00E237BB">
        <w:rPr>
          <w:rFonts w:ascii="Times New Roman" w:hAnsi="Times New Roman" w:cs="Times New Roman"/>
          <w:sz w:val="24"/>
          <w:szCs w:val="24"/>
        </w:rPr>
        <w:t> </w:t>
      </w:r>
      <w:r w:rsidR="00266AD3" w:rsidRPr="00E237BB">
        <w:rPr>
          <w:rFonts w:ascii="Times New Roman" w:hAnsi="Times New Roman" w:cs="Times New Roman"/>
          <w:sz w:val="24"/>
          <w:szCs w:val="24"/>
        </w:rPr>
        <w:t>regulacją</w:t>
      </w:r>
      <w:r w:rsidR="00266AD3" w:rsidRPr="00973F91">
        <w:rPr>
          <w:rFonts w:ascii="Times New Roman" w:hAnsi="Times New Roman" w:cs="Times New Roman"/>
          <w:sz w:val="24"/>
          <w:szCs w:val="24"/>
        </w:rPr>
        <w:t xml:space="preserve"> zawartą w </w:t>
      </w:r>
      <w:r w:rsidR="00F8117A" w:rsidRPr="00973F91">
        <w:rPr>
          <w:rFonts w:ascii="Times New Roman" w:hAnsi="Times New Roman" w:cs="Times New Roman"/>
          <w:sz w:val="24"/>
          <w:szCs w:val="24"/>
        </w:rPr>
        <w:t>§</w:t>
      </w:r>
      <w:r w:rsidRPr="002E19B1">
        <w:rPr>
          <w:rFonts w:ascii="Times New Roman" w:hAnsi="Times New Roman" w:cs="Times New Roman"/>
          <w:sz w:val="24"/>
          <w:szCs w:val="24"/>
        </w:rPr>
        <w:t xml:space="preserve"> 22</w:t>
      </w:r>
      <w:r w:rsidR="00266AD3" w:rsidRPr="002E19B1">
        <w:rPr>
          <w:rFonts w:ascii="Times New Roman" w:hAnsi="Times New Roman" w:cs="Times New Roman"/>
          <w:sz w:val="24"/>
          <w:szCs w:val="24"/>
        </w:rPr>
        <w:t xml:space="preserve"> ust. 3</w:t>
      </w:r>
      <w:r w:rsidRPr="00A577B5">
        <w:rPr>
          <w:rFonts w:ascii="Times New Roman" w:hAnsi="Times New Roman" w:cs="Times New Roman"/>
          <w:sz w:val="24"/>
          <w:szCs w:val="24"/>
        </w:rPr>
        <w:t xml:space="preserve">, pozostałą część salda konta </w:t>
      </w:r>
      <w:r w:rsidRPr="007B0DD3">
        <w:rPr>
          <w:rFonts w:ascii="Times New Roman" w:hAnsi="Times New Roman" w:cs="Times New Roman"/>
          <w:sz w:val="24"/>
          <w:szCs w:val="24"/>
        </w:rPr>
        <w:t>regulacyjnego nieuwzględnionego</w:t>
      </w:r>
      <w:r w:rsidRPr="00373F4B">
        <w:rPr>
          <w:rFonts w:ascii="Times New Roman" w:hAnsi="Times New Roman" w:cs="Times New Roman"/>
          <w:sz w:val="24"/>
          <w:szCs w:val="24"/>
        </w:rPr>
        <w:t xml:space="preserve"> w przychodzie, określonym</w:t>
      </w:r>
      <w:r w:rsidRPr="00A80D46">
        <w:rPr>
          <w:rFonts w:ascii="Times New Roman" w:hAnsi="Times New Roman" w:cs="Times New Roman"/>
          <w:sz w:val="24"/>
          <w:szCs w:val="24"/>
        </w:rPr>
        <w:t xml:space="preserve"> na rok okresu regulacji „n” w sposób wskazany w § 22, uwzględnia się w taryfie na kolejny rok okresu regulacji „n+1”. Jeśli na podstawie ust. 3 wzrost jednostkowego planowanego przychodu miałby być wyższy niż wartość % wskazana w ust. 2, mechanizm ujęcia salda opisany w ust. 2 ponawia się. </w:t>
      </w:r>
    </w:p>
    <w:p w14:paraId="1642C6FF" w14:textId="5AC92087" w:rsidR="00D612A2" w:rsidRPr="00A80D46" w:rsidRDefault="00D612A2"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Dla okresu przejściowego przewidziane jest wprowadzenie przepisów incydentalnych dla taryf ustalan</w:t>
      </w:r>
      <w:r w:rsidR="00144BD7" w:rsidRPr="00A80D46">
        <w:rPr>
          <w:rFonts w:ascii="Times New Roman" w:hAnsi="Times New Roman" w:cs="Times New Roman"/>
          <w:sz w:val="24"/>
          <w:szCs w:val="24"/>
        </w:rPr>
        <w:t>ych</w:t>
      </w:r>
      <w:r w:rsidRPr="00A80D46">
        <w:rPr>
          <w:rFonts w:ascii="Times New Roman" w:hAnsi="Times New Roman" w:cs="Times New Roman"/>
          <w:sz w:val="24"/>
          <w:szCs w:val="24"/>
        </w:rPr>
        <w:t xml:space="preserve"> na rok 2021 i rok 2022</w:t>
      </w:r>
      <w:r w:rsidR="007B0A69" w:rsidRPr="00A80D46">
        <w:rPr>
          <w:rFonts w:ascii="Times New Roman" w:hAnsi="Times New Roman" w:cs="Times New Roman"/>
          <w:sz w:val="24"/>
          <w:szCs w:val="24"/>
        </w:rPr>
        <w:t xml:space="preserve"> uwzględniających rozliczenia roku 2020, co ma związek z obserwowanym istotnym ograniczeniem poboru energii przez odbiorców w okresie epidemii koronawirusa </w:t>
      </w:r>
      <w:r w:rsidR="00F63C78" w:rsidRPr="00A80D46">
        <w:rPr>
          <w:rFonts w:ascii="Times New Roman" w:hAnsi="Times New Roman" w:cs="Times New Roman"/>
          <w:sz w:val="24"/>
          <w:szCs w:val="24"/>
        </w:rPr>
        <w:t>SARS CoV-2</w:t>
      </w:r>
      <w:r w:rsidR="00EE2174" w:rsidRPr="00A80D46">
        <w:rPr>
          <w:rFonts w:ascii="Times New Roman" w:hAnsi="Times New Roman" w:cs="Times New Roman"/>
          <w:sz w:val="24"/>
          <w:szCs w:val="24"/>
        </w:rPr>
        <w:t>,</w:t>
      </w:r>
      <w:r w:rsidR="007850B8" w:rsidRPr="00A80D46">
        <w:rPr>
          <w:rFonts w:ascii="Times New Roman" w:hAnsi="Times New Roman" w:cs="Times New Roman"/>
          <w:sz w:val="24"/>
          <w:szCs w:val="24"/>
        </w:rPr>
        <w:t xml:space="preserve"> </w:t>
      </w:r>
      <w:r w:rsidR="007B0A69" w:rsidRPr="00A80D46">
        <w:rPr>
          <w:rFonts w:ascii="Times New Roman" w:hAnsi="Times New Roman" w:cs="Times New Roman"/>
          <w:sz w:val="24"/>
          <w:szCs w:val="24"/>
        </w:rPr>
        <w:t xml:space="preserve">wpływającym na </w:t>
      </w:r>
      <w:r w:rsidR="00EE2174" w:rsidRPr="00A80D46">
        <w:rPr>
          <w:rFonts w:ascii="Times New Roman" w:hAnsi="Times New Roman" w:cs="Times New Roman"/>
          <w:sz w:val="24"/>
          <w:szCs w:val="24"/>
        </w:rPr>
        <w:t xml:space="preserve">obniżenie przychodów </w:t>
      </w:r>
      <w:r w:rsidR="007B0A69" w:rsidRPr="00A80D46">
        <w:rPr>
          <w:rFonts w:ascii="Times New Roman" w:hAnsi="Times New Roman" w:cs="Times New Roman"/>
          <w:sz w:val="24"/>
          <w:szCs w:val="24"/>
        </w:rPr>
        <w:t>OSD</w:t>
      </w:r>
      <w:r w:rsidR="00AA044F" w:rsidRPr="00A80D46">
        <w:rPr>
          <w:rFonts w:ascii="Times New Roman" w:hAnsi="Times New Roman" w:cs="Times New Roman"/>
          <w:sz w:val="24"/>
          <w:szCs w:val="24"/>
        </w:rPr>
        <w:t xml:space="preserve"> i OSP</w:t>
      </w:r>
      <w:r w:rsidRPr="00A80D46">
        <w:rPr>
          <w:rFonts w:ascii="Times New Roman" w:hAnsi="Times New Roman" w:cs="Times New Roman"/>
          <w:sz w:val="24"/>
          <w:szCs w:val="24"/>
        </w:rPr>
        <w:t xml:space="preserve">. </w:t>
      </w:r>
    </w:p>
    <w:p w14:paraId="1AD8E6E0" w14:textId="09F6DCA5" w:rsidR="00D612A2" w:rsidRPr="00A80D46" w:rsidRDefault="006519B6" w:rsidP="006519B6">
      <w:pPr>
        <w:spacing w:after="120"/>
        <w:jc w:val="both"/>
        <w:rPr>
          <w:rFonts w:ascii="Times New Roman" w:hAnsi="Times New Roman" w:cs="Times New Roman"/>
          <w:sz w:val="24"/>
          <w:szCs w:val="24"/>
        </w:rPr>
      </w:pPr>
      <w:r>
        <w:rPr>
          <w:rFonts w:ascii="Times New Roman" w:hAnsi="Times New Roman" w:cs="Times New Roman"/>
          <w:sz w:val="24"/>
          <w:szCs w:val="24"/>
        </w:rPr>
        <w:t>Do r</w:t>
      </w:r>
      <w:r w:rsidR="00D612A2" w:rsidRPr="00A80D46">
        <w:rPr>
          <w:rFonts w:ascii="Times New Roman" w:hAnsi="Times New Roman" w:cs="Times New Roman"/>
          <w:sz w:val="24"/>
          <w:szCs w:val="24"/>
        </w:rPr>
        <w:t xml:space="preserve">ozporządzenia </w:t>
      </w:r>
      <w:r w:rsidR="0046191A">
        <w:rPr>
          <w:rFonts w:ascii="Times New Roman" w:hAnsi="Times New Roman" w:cs="Times New Roman"/>
          <w:sz w:val="24"/>
          <w:szCs w:val="24"/>
        </w:rPr>
        <w:t xml:space="preserve">nowelizującego </w:t>
      </w:r>
      <w:r w:rsidR="00D612A2" w:rsidRPr="00A80D46">
        <w:rPr>
          <w:rFonts w:ascii="Times New Roman" w:hAnsi="Times New Roman" w:cs="Times New Roman"/>
          <w:sz w:val="24"/>
          <w:szCs w:val="24"/>
        </w:rPr>
        <w:t xml:space="preserve">wprowadzony zostaje § </w:t>
      </w:r>
      <w:r w:rsidR="0046191A">
        <w:rPr>
          <w:rFonts w:ascii="Times New Roman" w:hAnsi="Times New Roman" w:cs="Times New Roman"/>
          <w:sz w:val="24"/>
          <w:szCs w:val="24"/>
        </w:rPr>
        <w:t>2</w:t>
      </w:r>
      <w:r w:rsidR="00D612A2" w:rsidRPr="00A80D46">
        <w:rPr>
          <w:rFonts w:ascii="Times New Roman" w:hAnsi="Times New Roman" w:cs="Times New Roman"/>
          <w:sz w:val="24"/>
          <w:szCs w:val="24"/>
        </w:rPr>
        <w:t xml:space="preserve"> dotyczący taryfy ustalanej na rok 2021</w:t>
      </w:r>
      <w:r w:rsidR="00EE2174" w:rsidRPr="00A80D46">
        <w:rPr>
          <w:rFonts w:ascii="Times New Roman" w:hAnsi="Times New Roman" w:cs="Times New Roman"/>
          <w:sz w:val="24"/>
          <w:szCs w:val="24"/>
        </w:rPr>
        <w:t>. Z</w:t>
      </w:r>
      <w:r w:rsidR="00D612A2" w:rsidRPr="00A80D46">
        <w:rPr>
          <w:rFonts w:ascii="Times New Roman" w:hAnsi="Times New Roman" w:cs="Times New Roman"/>
          <w:sz w:val="24"/>
          <w:szCs w:val="24"/>
        </w:rPr>
        <w:t xml:space="preserve">godnie z ust. 1 „ustalając przychód, o którym mowa w § 22, będący podstawą kalkulacji stawek opłat dystrybucyjnych </w:t>
      </w:r>
      <w:r w:rsidR="00AA044F" w:rsidRPr="00A80D46">
        <w:rPr>
          <w:rFonts w:ascii="Times New Roman" w:hAnsi="Times New Roman" w:cs="Times New Roman"/>
          <w:sz w:val="24"/>
          <w:szCs w:val="24"/>
        </w:rPr>
        <w:t xml:space="preserve">lub przesyłowych </w:t>
      </w:r>
      <w:r w:rsidR="00D612A2" w:rsidRPr="00A80D46">
        <w:rPr>
          <w:rFonts w:ascii="Times New Roman" w:hAnsi="Times New Roman" w:cs="Times New Roman"/>
          <w:sz w:val="24"/>
          <w:szCs w:val="24"/>
        </w:rPr>
        <w:t>dla energii elektrycznej, na 12 kolejnych miesięcy kalendarzowych obejmujących w całości lub w części rok 2021, ustala się zaliczkę na saldo konta regulacyjnego na 2022 rok wynikającą z wykonania przychodu w 2020 roku.</w:t>
      </w:r>
      <w:r w:rsidR="00E0633A">
        <w:rPr>
          <w:rFonts w:ascii="Times New Roman" w:hAnsi="Times New Roman" w:cs="Times New Roman"/>
          <w:sz w:val="24"/>
          <w:szCs w:val="24"/>
        </w:rPr>
        <w:t>” W </w:t>
      </w:r>
      <w:r w:rsidR="00D612A2" w:rsidRPr="00A80D46">
        <w:rPr>
          <w:rFonts w:ascii="Times New Roman" w:hAnsi="Times New Roman" w:cs="Times New Roman"/>
          <w:sz w:val="24"/>
          <w:szCs w:val="24"/>
        </w:rPr>
        <w:t>ust. 2 określony zostaje wzór na obliczenie wysokości zaliczki na rok 2021:</w:t>
      </w:r>
    </w:p>
    <w:p w14:paraId="0E1DE8BC" w14:textId="77777777" w:rsidR="00D612A2" w:rsidRPr="00A80D46" w:rsidRDefault="00EF261C" w:rsidP="006519B6">
      <w:pPr>
        <w:spacing w:after="120"/>
        <w:jc w:val="both"/>
        <w:rPr>
          <w:rFonts w:ascii="Times New Roman" w:eastAsiaTheme="minorEastAsia" w:hAnsi="Times New Roman" w:cs="Times New Roman"/>
          <w:bCs/>
          <w:sz w:val="24"/>
          <w:szCs w:val="24"/>
        </w:rPr>
      </w:pPr>
      <m:oMathPara>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KR</m:t>
              </m:r>
            </m:e>
            <m:sub>
              <m:r>
                <w:rPr>
                  <w:rFonts w:ascii="Cambria Math" w:eastAsia="Calibri" w:hAnsi="Cambria Math" w:cs="Times New Roman"/>
                  <w:sz w:val="24"/>
                  <w:szCs w:val="24"/>
                </w:rPr>
                <m:t>z2022</m:t>
              </m:r>
            </m:sub>
          </m:sSub>
          <m:r>
            <w:rPr>
              <w:rFonts w:ascii="Cambria Math" w:eastAsia="Calibri" w:hAnsi="Cambria Math" w:cs="Times New Roman"/>
              <w:sz w:val="24"/>
              <w:szCs w:val="24"/>
            </w:rPr>
            <m:t>=</m:t>
          </m:r>
          <m:d>
            <m:dPr>
              <m:ctrlPr>
                <w:rPr>
                  <w:rFonts w:ascii="Cambria Math" w:eastAsia="Calibri" w:hAnsi="Cambria Math" w:cs="Times New Roman"/>
                  <w:bCs/>
                  <w:i/>
                  <w:sz w:val="24"/>
                  <w:szCs w:val="24"/>
                </w:rPr>
              </m:ctrlPr>
            </m:dPr>
            <m:e>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O</m:t>
                      </m:r>
                    </m:e>
                    <m:sub>
                      <m:r>
                        <w:rPr>
                          <w:rFonts w:ascii="Cambria Math" w:eastAsia="Calibri" w:hAnsi="Cambria Math" w:cs="Times New Roman"/>
                          <w:sz w:val="24"/>
                          <w:szCs w:val="24"/>
                        </w:rPr>
                        <m:t>dp xm2020</m:t>
                      </m:r>
                    </m:sub>
                  </m:sSub>
                  <m:r>
                    <w:rPr>
                      <w:rFonts w:ascii="Cambria Math" w:eastAsia="Calibri" w:hAnsi="Cambria Math" w:cs="Times New Roman"/>
                      <w:sz w:val="24"/>
                      <w:szCs w:val="24"/>
                    </w:rPr>
                    <m:t>-O</m:t>
                  </m:r>
                </m:e>
                <m:sub>
                  <m:r>
                    <w:rPr>
                      <w:rFonts w:ascii="Cambria Math" w:eastAsia="Calibri" w:hAnsi="Cambria Math" w:cs="Times New Roman"/>
                      <w:sz w:val="24"/>
                      <w:szCs w:val="24"/>
                    </w:rPr>
                    <m:t>dr  xm2020</m:t>
                  </m:r>
                </m:sub>
              </m:sSub>
            </m:e>
          </m:d>
        </m:oMath>
      </m:oMathPara>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46"/>
        <w:gridCol w:w="7388"/>
      </w:tblGrid>
      <w:tr w:rsidR="00D612A2" w:rsidRPr="00A80D46" w14:paraId="6E38D06B" w14:textId="77777777" w:rsidTr="00437727">
        <w:tc>
          <w:tcPr>
            <w:tcW w:w="1348" w:type="dxa"/>
          </w:tcPr>
          <w:p w14:paraId="2C76211B" w14:textId="77777777" w:rsidR="00D612A2" w:rsidRPr="00A80D46" w:rsidRDefault="00D612A2" w:rsidP="006519B6">
            <w:pPr>
              <w:spacing w:after="120" w:line="276" w:lineRule="auto"/>
              <w:jc w:val="both"/>
              <w:rPr>
                <w:rFonts w:ascii="Times New Roman" w:eastAsia="Calibri" w:hAnsi="Times New Roman" w:cs="Times New Roman"/>
                <w:bCs/>
                <w:i/>
                <w:iCs/>
                <w:sz w:val="24"/>
                <w:szCs w:val="24"/>
              </w:rPr>
            </w:pPr>
            <w:r w:rsidRPr="00A80D46">
              <w:rPr>
                <w:rFonts w:ascii="Times New Roman" w:eastAsia="Calibri" w:hAnsi="Times New Roman" w:cs="Times New Roman"/>
                <w:bCs/>
                <w:i/>
                <w:iCs/>
                <w:sz w:val="24"/>
                <w:szCs w:val="24"/>
              </w:rPr>
              <w:t>KR</w:t>
            </w:r>
            <w:r w:rsidRPr="00A80D46">
              <w:rPr>
                <w:rFonts w:ascii="Times New Roman" w:eastAsia="Calibri" w:hAnsi="Times New Roman" w:cs="Times New Roman"/>
                <w:bCs/>
                <w:i/>
                <w:iCs/>
                <w:sz w:val="24"/>
                <w:szCs w:val="24"/>
                <w:vertAlign w:val="subscript"/>
              </w:rPr>
              <w:t>z2022</w:t>
            </w:r>
          </w:p>
        </w:tc>
        <w:tc>
          <w:tcPr>
            <w:tcW w:w="425" w:type="dxa"/>
          </w:tcPr>
          <w:p w14:paraId="4AE0D41C" w14:textId="77777777" w:rsidR="00D612A2" w:rsidRPr="00A80D46" w:rsidRDefault="00D612A2" w:rsidP="006519B6">
            <w:pPr>
              <w:spacing w:after="120" w:line="276" w:lineRule="auto"/>
              <w:jc w:val="both"/>
              <w:rPr>
                <w:rFonts w:ascii="Times New Roman" w:eastAsia="Calibri" w:hAnsi="Times New Roman" w:cs="Times New Roman"/>
                <w:bCs/>
                <w:sz w:val="24"/>
                <w:szCs w:val="24"/>
              </w:rPr>
            </w:pPr>
            <w:r w:rsidRPr="00A80D46">
              <w:rPr>
                <w:rFonts w:ascii="Times New Roman" w:eastAsia="Calibri" w:hAnsi="Times New Roman" w:cs="Times New Roman"/>
                <w:bCs/>
                <w:sz w:val="24"/>
                <w:szCs w:val="24"/>
              </w:rPr>
              <w:t>-</w:t>
            </w:r>
          </w:p>
        </w:tc>
        <w:tc>
          <w:tcPr>
            <w:tcW w:w="15951" w:type="dxa"/>
          </w:tcPr>
          <w:p w14:paraId="2E362511" w14:textId="77777777" w:rsidR="00D612A2" w:rsidRPr="00A80D46" w:rsidRDefault="00D612A2" w:rsidP="006519B6">
            <w:pPr>
              <w:spacing w:after="120" w:line="276" w:lineRule="auto"/>
              <w:jc w:val="both"/>
              <w:rPr>
                <w:rFonts w:ascii="Times New Roman" w:hAnsi="Times New Roman" w:cs="Times New Roman"/>
                <w:bCs/>
                <w:sz w:val="24"/>
                <w:szCs w:val="24"/>
              </w:rPr>
            </w:pPr>
            <w:r w:rsidRPr="00A80D46">
              <w:rPr>
                <w:rFonts w:ascii="Times New Roman" w:hAnsi="Times New Roman" w:cs="Times New Roman"/>
                <w:bCs/>
                <w:sz w:val="24"/>
                <w:szCs w:val="24"/>
              </w:rPr>
              <w:t xml:space="preserve">zaliczka na poczet salda konta regulacyjnego na rok okresu regulacji obejmujący 2022 rok do uwzględnienia w przychodzie będącym podstawą kalkulacji stawek opłat, na 12 kolejnych miesięcy kalendarzowych obejmujących w całości lub w części 2021 rok wynikająca z wykonania przychodu w 2020 roku [zł], </w:t>
            </w:r>
          </w:p>
        </w:tc>
      </w:tr>
      <w:tr w:rsidR="00D612A2" w:rsidRPr="00A80D46" w14:paraId="5301406C" w14:textId="77777777" w:rsidTr="00437727">
        <w:tc>
          <w:tcPr>
            <w:tcW w:w="1348" w:type="dxa"/>
          </w:tcPr>
          <w:p w14:paraId="14A09182" w14:textId="77777777" w:rsidR="00D612A2" w:rsidRPr="00A80D46" w:rsidRDefault="00D612A2" w:rsidP="006519B6">
            <w:pPr>
              <w:spacing w:after="120" w:line="276" w:lineRule="auto"/>
              <w:jc w:val="both"/>
              <w:rPr>
                <w:rFonts w:ascii="Times New Roman" w:eastAsia="Calibri" w:hAnsi="Times New Roman" w:cs="Times New Roman"/>
                <w:bCs/>
                <w:sz w:val="24"/>
                <w:szCs w:val="24"/>
              </w:rPr>
            </w:pPr>
            <m:oMathPara>
              <m:oMath>
                <m:r>
                  <w:rPr>
                    <w:rFonts w:ascii="Cambria Math" w:eastAsia="Calibri" w:hAnsi="Cambria Math" w:cs="Times New Roman"/>
                    <w:sz w:val="24"/>
                    <w:szCs w:val="24"/>
                  </w:rPr>
                  <m:t xml:space="preserve"> </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O</m:t>
                    </m:r>
                  </m:e>
                  <m:sub>
                    <m:r>
                      <w:rPr>
                        <w:rFonts w:ascii="Cambria Math" w:eastAsia="Calibri" w:hAnsi="Cambria Math" w:cs="Times New Roman"/>
                        <w:sz w:val="24"/>
                        <w:szCs w:val="24"/>
                      </w:rPr>
                      <m:t>dp xm2020</m:t>
                    </m:r>
                  </m:sub>
                </m:sSub>
              </m:oMath>
            </m:oMathPara>
          </w:p>
        </w:tc>
        <w:tc>
          <w:tcPr>
            <w:tcW w:w="425" w:type="dxa"/>
          </w:tcPr>
          <w:p w14:paraId="6EFAECC9" w14:textId="77777777" w:rsidR="00D612A2" w:rsidRPr="00A80D46" w:rsidRDefault="00D612A2" w:rsidP="006519B6">
            <w:pPr>
              <w:spacing w:after="120" w:line="276" w:lineRule="auto"/>
              <w:jc w:val="both"/>
              <w:rPr>
                <w:rFonts w:ascii="Times New Roman" w:eastAsia="Calibri" w:hAnsi="Times New Roman" w:cs="Times New Roman"/>
                <w:bCs/>
                <w:sz w:val="24"/>
                <w:szCs w:val="24"/>
              </w:rPr>
            </w:pPr>
            <w:r w:rsidRPr="00A80D46">
              <w:rPr>
                <w:rFonts w:ascii="Times New Roman" w:eastAsia="Calibri" w:hAnsi="Times New Roman" w:cs="Times New Roman"/>
                <w:bCs/>
                <w:sz w:val="24"/>
                <w:szCs w:val="24"/>
              </w:rPr>
              <w:t>-</w:t>
            </w:r>
          </w:p>
        </w:tc>
        <w:tc>
          <w:tcPr>
            <w:tcW w:w="15951" w:type="dxa"/>
          </w:tcPr>
          <w:p w14:paraId="2B5ABC94" w14:textId="41545064" w:rsidR="00D612A2" w:rsidRPr="00A80D46" w:rsidRDefault="00D612A2" w:rsidP="006519B6">
            <w:pPr>
              <w:spacing w:after="120" w:line="276" w:lineRule="auto"/>
              <w:jc w:val="both"/>
              <w:rPr>
                <w:rFonts w:ascii="Times New Roman" w:hAnsi="Times New Roman" w:cs="Times New Roman"/>
                <w:bCs/>
                <w:sz w:val="24"/>
                <w:szCs w:val="24"/>
              </w:rPr>
            </w:pPr>
            <w:r w:rsidRPr="00A80D46">
              <w:rPr>
                <w:rFonts w:ascii="Times New Roman" w:hAnsi="Times New Roman" w:cs="Times New Roman"/>
                <w:bCs/>
                <w:sz w:val="24"/>
                <w:szCs w:val="24"/>
              </w:rPr>
              <w:t>suma planowanego w kalkulacji taryfy na rok okresu regulacji obejmujący</w:t>
            </w:r>
            <w:r w:rsidRPr="00A80D46" w:rsidDel="00FD3A9B">
              <w:rPr>
                <w:rFonts w:ascii="Times New Roman" w:hAnsi="Times New Roman" w:cs="Times New Roman"/>
                <w:bCs/>
                <w:sz w:val="24"/>
                <w:szCs w:val="24"/>
              </w:rPr>
              <w:t xml:space="preserve"> </w:t>
            </w:r>
            <w:r w:rsidRPr="00A80D46">
              <w:rPr>
                <w:rFonts w:ascii="Times New Roman" w:hAnsi="Times New Roman" w:cs="Times New Roman"/>
                <w:bCs/>
                <w:sz w:val="24"/>
                <w:szCs w:val="24"/>
              </w:rPr>
              <w:t xml:space="preserve">2020 rok przychodu, w części wynikającej z poboru składnika zmiennego stawki sieciowej, składnika stałego stawki sieciowej, opłat abonamentowych oraz przychodów, o których mowa w § 22 ust. 1 pkt 2) - 5), </w:t>
            </w:r>
            <w:r w:rsidR="00AA044F" w:rsidRPr="00A80D46">
              <w:rPr>
                <w:rFonts w:ascii="Times New Roman" w:hAnsi="Times New Roman" w:cs="Times New Roman"/>
                <w:bCs/>
                <w:sz w:val="24"/>
                <w:szCs w:val="24"/>
              </w:rPr>
              <w:t>a dla operatora systemu przesyłowego także przychodu  z opłaty jakościowej, łącz</w:t>
            </w:r>
            <w:r w:rsidR="00EB17A9">
              <w:rPr>
                <w:rFonts w:ascii="Times New Roman" w:hAnsi="Times New Roman" w:cs="Times New Roman"/>
                <w:bCs/>
                <w:sz w:val="24"/>
                <w:szCs w:val="24"/>
              </w:rPr>
              <w:t>nie dla wszystkich odbiorców [</w:t>
            </w:r>
            <w:r w:rsidR="00AA044F" w:rsidRPr="00A80D46">
              <w:rPr>
                <w:rFonts w:ascii="Times New Roman" w:hAnsi="Times New Roman" w:cs="Times New Roman"/>
                <w:bCs/>
                <w:sz w:val="24"/>
                <w:szCs w:val="24"/>
              </w:rPr>
              <w:t>zł],</w:t>
            </w:r>
            <w:r w:rsidRPr="00A80D46">
              <w:rPr>
                <w:rFonts w:ascii="Times New Roman" w:hAnsi="Times New Roman" w:cs="Times New Roman"/>
                <w:bCs/>
                <w:sz w:val="24"/>
                <w:szCs w:val="24"/>
              </w:rPr>
              <w:t xml:space="preserve"> w wysokości przypisanej dla okresu „x”, za który w całości lub w części 2020 roku został ustalony wykonany przychód z tego tytułu; planowany przychód na okres „x” ustala się jako iloczyn planowanego przychodu będącego podstawą kalkulacji na 12 kolejnych miesięcy kalendarzowych obejmujących w</w:t>
            </w:r>
            <w:r w:rsidR="00E0633A">
              <w:rPr>
                <w:rFonts w:ascii="Times New Roman" w:hAnsi="Times New Roman" w:cs="Times New Roman"/>
                <w:bCs/>
                <w:sz w:val="24"/>
                <w:szCs w:val="24"/>
              </w:rPr>
              <w:t> </w:t>
            </w:r>
            <w:r w:rsidRPr="00A80D46">
              <w:rPr>
                <w:rFonts w:ascii="Times New Roman" w:hAnsi="Times New Roman" w:cs="Times New Roman"/>
                <w:bCs/>
                <w:sz w:val="24"/>
                <w:szCs w:val="24"/>
              </w:rPr>
              <w:t>całości lub w części 2020 rok i proporcji wykonania sumy wyżej wymienionych elementów przychodu w okresie „x” jako średniej w</w:t>
            </w:r>
            <w:r w:rsidR="00E0633A">
              <w:rPr>
                <w:rFonts w:ascii="Times New Roman" w:hAnsi="Times New Roman" w:cs="Times New Roman"/>
                <w:bCs/>
                <w:sz w:val="24"/>
                <w:szCs w:val="24"/>
              </w:rPr>
              <w:t> </w:t>
            </w:r>
            <w:r w:rsidRPr="00A80D46">
              <w:rPr>
                <w:rFonts w:ascii="Times New Roman" w:hAnsi="Times New Roman" w:cs="Times New Roman"/>
                <w:bCs/>
                <w:sz w:val="24"/>
                <w:szCs w:val="24"/>
              </w:rPr>
              <w:t>analogicznych okresach lat 2017-2019 do średniej wartości rocznych w</w:t>
            </w:r>
            <w:r w:rsidR="00E0633A">
              <w:rPr>
                <w:rFonts w:ascii="Times New Roman" w:hAnsi="Times New Roman" w:cs="Times New Roman"/>
                <w:bCs/>
                <w:sz w:val="24"/>
                <w:szCs w:val="24"/>
              </w:rPr>
              <w:t> </w:t>
            </w:r>
            <w:r w:rsidRPr="00A80D46">
              <w:rPr>
                <w:rFonts w:ascii="Times New Roman" w:hAnsi="Times New Roman" w:cs="Times New Roman"/>
                <w:bCs/>
                <w:sz w:val="24"/>
                <w:szCs w:val="24"/>
              </w:rPr>
              <w:t>latach 2017-2019</w:t>
            </w:r>
            <w:r w:rsidR="00CC0D3F">
              <w:rPr>
                <w:rFonts w:ascii="Times New Roman" w:hAnsi="Times New Roman" w:cs="Times New Roman"/>
                <w:bCs/>
                <w:sz w:val="24"/>
                <w:szCs w:val="24"/>
              </w:rPr>
              <w:t xml:space="preserve"> [zł]</w:t>
            </w:r>
            <w:r w:rsidRPr="00A80D46">
              <w:rPr>
                <w:rFonts w:ascii="Times New Roman" w:hAnsi="Times New Roman" w:cs="Times New Roman"/>
                <w:bCs/>
                <w:sz w:val="24"/>
                <w:szCs w:val="24"/>
              </w:rPr>
              <w:t>.</w:t>
            </w:r>
          </w:p>
        </w:tc>
      </w:tr>
      <w:tr w:rsidR="00D612A2" w:rsidRPr="00A80D46" w14:paraId="15186EA7" w14:textId="77777777" w:rsidTr="00437727">
        <w:trPr>
          <w:trHeight w:val="1408"/>
        </w:trPr>
        <w:tc>
          <w:tcPr>
            <w:tcW w:w="1348" w:type="dxa"/>
          </w:tcPr>
          <w:p w14:paraId="72115416" w14:textId="77777777" w:rsidR="00D612A2" w:rsidRPr="00A80D46" w:rsidRDefault="00EF261C" w:rsidP="006519B6">
            <w:pPr>
              <w:spacing w:after="120" w:line="276" w:lineRule="auto"/>
              <w:jc w:val="both"/>
              <w:rPr>
                <w:rFonts w:ascii="Times New Roman" w:eastAsia="Calibri" w:hAnsi="Times New Roman" w:cs="Times New Roman"/>
                <w:bCs/>
                <w:sz w:val="24"/>
                <w:szCs w:val="24"/>
              </w:rPr>
            </w:pPr>
            <m:oMathPara>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O</m:t>
                    </m:r>
                  </m:e>
                  <m:sub>
                    <m:r>
                      <w:rPr>
                        <w:rFonts w:ascii="Cambria Math" w:eastAsia="Calibri" w:hAnsi="Cambria Math" w:cs="Times New Roman"/>
                        <w:sz w:val="24"/>
                        <w:szCs w:val="24"/>
                      </w:rPr>
                      <m:t>dr xm2020</m:t>
                    </m:r>
                  </m:sub>
                </m:sSub>
              </m:oMath>
            </m:oMathPara>
          </w:p>
        </w:tc>
        <w:tc>
          <w:tcPr>
            <w:tcW w:w="425" w:type="dxa"/>
          </w:tcPr>
          <w:p w14:paraId="1DD3BC91" w14:textId="77777777" w:rsidR="00D612A2" w:rsidRPr="00A80D46" w:rsidRDefault="00D612A2" w:rsidP="006519B6">
            <w:pPr>
              <w:spacing w:after="120" w:line="276" w:lineRule="auto"/>
              <w:jc w:val="both"/>
              <w:rPr>
                <w:rFonts w:ascii="Times New Roman" w:eastAsia="Calibri" w:hAnsi="Times New Roman" w:cs="Times New Roman"/>
                <w:bCs/>
                <w:sz w:val="24"/>
                <w:szCs w:val="24"/>
              </w:rPr>
            </w:pPr>
            <w:r w:rsidRPr="00A80D46">
              <w:rPr>
                <w:rFonts w:ascii="Times New Roman" w:eastAsia="Calibri" w:hAnsi="Times New Roman" w:cs="Times New Roman"/>
                <w:bCs/>
                <w:sz w:val="24"/>
                <w:szCs w:val="24"/>
              </w:rPr>
              <w:t>-</w:t>
            </w:r>
          </w:p>
        </w:tc>
        <w:tc>
          <w:tcPr>
            <w:tcW w:w="15951" w:type="dxa"/>
          </w:tcPr>
          <w:p w14:paraId="5EF5C1CB" w14:textId="6BF832E5" w:rsidR="00D612A2" w:rsidRPr="00A80D46" w:rsidRDefault="00D612A2" w:rsidP="006519B6">
            <w:pPr>
              <w:spacing w:after="120" w:line="276" w:lineRule="auto"/>
              <w:jc w:val="both"/>
              <w:rPr>
                <w:rFonts w:ascii="Times New Roman" w:eastAsia="Calibri" w:hAnsi="Times New Roman" w:cs="Times New Roman"/>
                <w:bCs/>
                <w:sz w:val="24"/>
                <w:szCs w:val="24"/>
              </w:rPr>
            </w:pPr>
            <w:r w:rsidRPr="00A80D46">
              <w:rPr>
                <w:rFonts w:ascii="Times New Roman" w:hAnsi="Times New Roman" w:cs="Times New Roman"/>
                <w:bCs/>
                <w:sz w:val="24"/>
                <w:szCs w:val="24"/>
              </w:rPr>
              <w:t>suma rzeczywiście uzyskanego w okresie „x” w roku okresu regulacji obejmującego 2020 rok przychodu z tytułu poboru składnika zmiennego stawki sieciowej, składnika stałego stawki sieciowej, opłat abonamentowych oraz przychodów, o któryc</w:t>
            </w:r>
            <w:r w:rsidR="00EB17A9">
              <w:rPr>
                <w:rFonts w:ascii="Times New Roman" w:hAnsi="Times New Roman" w:cs="Times New Roman"/>
                <w:bCs/>
                <w:sz w:val="24"/>
                <w:szCs w:val="24"/>
              </w:rPr>
              <w:t>h mowa w § 22 ust. 1 pkt 2-5</w:t>
            </w:r>
            <w:r w:rsidRPr="00A80D46">
              <w:rPr>
                <w:rFonts w:ascii="Times New Roman" w:hAnsi="Times New Roman" w:cs="Times New Roman"/>
                <w:bCs/>
                <w:sz w:val="24"/>
                <w:szCs w:val="24"/>
              </w:rPr>
              <w:t xml:space="preserve">, </w:t>
            </w:r>
            <w:r w:rsidR="00AA044F" w:rsidRPr="00A80D46">
              <w:rPr>
                <w:rFonts w:ascii="Times New Roman" w:hAnsi="Times New Roman" w:cs="Times New Roman"/>
                <w:bCs/>
                <w:sz w:val="24"/>
                <w:szCs w:val="24"/>
              </w:rPr>
              <w:t>a dla operatora systemu przesyłowego także przychodu  z opłaty jakościowej, łącznie od wszystkich odbiorców</w:t>
            </w:r>
            <w:r w:rsidR="008B66D0" w:rsidRPr="00A80D46">
              <w:rPr>
                <w:rFonts w:ascii="Times New Roman" w:hAnsi="Times New Roman" w:cs="Times New Roman"/>
                <w:bCs/>
                <w:sz w:val="24"/>
                <w:szCs w:val="24"/>
              </w:rPr>
              <w:t xml:space="preserve"> </w:t>
            </w:r>
            <w:r w:rsidR="00AA044F" w:rsidRPr="00A80D46">
              <w:rPr>
                <w:rFonts w:ascii="Times New Roman" w:hAnsi="Times New Roman" w:cs="Times New Roman"/>
                <w:bCs/>
                <w:sz w:val="24"/>
                <w:szCs w:val="24"/>
              </w:rPr>
              <w:t>[zł].</w:t>
            </w:r>
          </w:p>
        </w:tc>
      </w:tr>
    </w:tbl>
    <w:p w14:paraId="6559B157" w14:textId="77777777" w:rsidR="00D612A2" w:rsidRPr="00A80D46" w:rsidRDefault="00D612A2" w:rsidP="006519B6">
      <w:pPr>
        <w:spacing w:after="120"/>
        <w:jc w:val="both"/>
        <w:rPr>
          <w:rFonts w:ascii="Times New Roman" w:hAnsi="Times New Roman" w:cs="Times New Roman"/>
          <w:bCs/>
          <w:sz w:val="24"/>
          <w:szCs w:val="24"/>
        </w:rPr>
      </w:pPr>
      <w:r w:rsidRPr="00A80D46">
        <w:rPr>
          <w:rFonts w:ascii="Times New Roman" w:hAnsi="Times New Roman" w:cs="Times New Roman"/>
          <w:bCs/>
          <w:sz w:val="24"/>
          <w:szCs w:val="24"/>
        </w:rPr>
        <w:t xml:space="preserve">Zaliczka ma być obniżona o koszty wynikające z </w:t>
      </w:r>
      <w:r w:rsidR="00F8117A" w:rsidRPr="00A80D46">
        <w:rPr>
          <w:rFonts w:ascii="Times New Roman" w:hAnsi="Times New Roman" w:cs="Times New Roman"/>
          <w:bCs/>
          <w:sz w:val="24"/>
          <w:szCs w:val="24"/>
        </w:rPr>
        <w:t xml:space="preserve">ewentualnego </w:t>
      </w:r>
      <w:r w:rsidRPr="00A80D46">
        <w:rPr>
          <w:rFonts w:ascii="Times New Roman" w:hAnsi="Times New Roman" w:cs="Times New Roman"/>
          <w:bCs/>
          <w:sz w:val="24"/>
          <w:szCs w:val="24"/>
        </w:rPr>
        <w:t xml:space="preserve">niewykonania przez operatorów systemów dystrybucyjnych </w:t>
      </w:r>
      <w:r w:rsidR="00D22D70" w:rsidRPr="00A80D46">
        <w:rPr>
          <w:rFonts w:ascii="Times New Roman" w:hAnsi="Times New Roman" w:cs="Times New Roman"/>
          <w:bCs/>
          <w:sz w:val="24"/>
          <w:szCs w:val="24"/>
        </w:rPr>
        <w:t xml:space="preserve">lub operatora systemu przesyłowego </w:t>
      </w:r>
      <w:r w:rsidRPr="00A80D46">
        <w:rPr>
          <w:rFonts w:ascii="Times New Roman" w:hAnsi="Times New Roman" w:cs="Times New Roman"/>
          <w:bCs/>
          <w:sz w:val="24"/>
          <w:szCs w:val="24"/>
        </w:rPr>
        <w:t xml:space="preserve">planowanych </w:t>
      </w:r>
      <w:r w:rsidR="00BB5E08" w:rsidRPr="00A80D46">
        <w:rPr>
          <w:rFonts w:ascii="Times New Roman" w:hAnsi="Times New Roman" w:cs="Times New Roman"/>
          <w:bCs/>
          <w:sz w:val="24"/>
          <w:szCs w:val="24"/>
        </w:rPr>
        <w:t xml:space="preserve">nakładów inwestycyjnych </w:t>
      </w:r>
      <w:r w:rsidRPr="00A80D46">
        <w:rPr>
          <w:rFonts w:ascii="Times New Roman" w:hAnsi="Times New Roman" w:cs="Times New Roman"/>
          <w:bCs/>
          <w:sz w:val="24"/>
          <w:szCs w:val="24"/>
        </w:rPr>
        <w:t xml:space="preserve">na rok okresu regulacji obejmującego </w:t>
      </w:r>
      <w:r w:rsidR="00BB5E08" w:rsidRPr="00A80D46">
        <w:rPr>
          <w:rFonts w:ascii="Times New Roman" w:hAnsi="Times New Roman" w:cs="Times New Roman"/>
          <w:bCs/>
          <w:sz w:val="24"/>
          <w:szCs w:val="24"/>
        </w:rPr>
        <w:t xml:space="preserve">rok </w:t>
      </w:r>
      <w:r w:rsidRPr="00A80D46">
        <w:rPr>
          <w:rFonts w:ascii="Times New Roman" w:hAnsi="Times New Roman" w:cs="Times New Roman"/>
          <w:bCs/>
          <w:sz w:val="24"/>
          <w:szCs w:val="24"/>
        </w:rPr>
        <w:t>2020, kalkulowanych analogicznie jak przychód regulowany w okresie „x” jako średni</w:t>
      </w:r>
      <w:r w:rsidR="00BB5E08" w:rsidRPr="00A80D46">
        <w:rPr>
          <w:rFonts w:ascii="Times New Roman" w:hAnsi="Times New Roman" w:cs="Times New Roman"/>
          <w:bCs/>
          <w:sz w:val="24"/>
          <w:szCs w:val="24"/>
        </w:rPr>
        <w:t>ej</w:t>
      </w:r>
      <w:r w:rsidRPr="00A80D46">
        <w:rPr>
          <w:rFonts w:ascii="Times New Roman" w:hAnsi="Times New Roman" w:cs="Times New Roman"/>
          <w:bCs/>
          <w:sz w:val="24"/>
          <w:szCs w:val="24"/>
        </w:rPr>
        <w:t xml:space="preserve"> w analogicznych okresach lat 2017-2019 do średniej wartości rocznych w latach 2017-2019.</w:t>
      </w:r>
    </w:p>
    <w:p w14:paraId="3CF54B0B" w14:textId="490C15B7" w:rsidR="00D612A2" w:rsidRPr="00A80D46" w:rsidRDefault="00D612A2" w:rsidP="006519B6">
      <w:pPr>
        <w:spacing w:after="120"/>
        <w:jc w:val="both"/>
        <w:rPr>
          <w:rFonts w:ascii="Times New Roman" w:hAnsi="Times New Roman" w:cs="Times New Roman"/>
          <w:bCs/>
          <w:sz w:val="24"/>
          <w:szCs w:val="24"/>
        </w:rPr>
      </w:pPr>
      <w:r w:rsidRPr="00A80D46">
        <w:rPr>
          <w:rFonts w:ascii="Times New Roman" w:hAnsi="Times New Roman" w:cs="Times New Roman"/>
          <w:bCs/>
          <w:sz w:val="24"/>
          <w:szCs w:val="24"/>
        </w:rPr>
        <w:t>W przypadku gdy uwzględnienie zaliczki, o której mowa w ust. 1, miałoby spowodować zmianę z tego tytułu jednostkowego planowanego przychodu, wyrażonego w zł/MWh, określonego w sposób wskazany w § 22 na 12 kolejnych miesięcy kalendarzowych obejmujących w całości lub w części 2021 rok, z uwzględnieniem planowanego na ten okres wolumenu dostaw</w:t>
      </w:r>
      <w:r w:rsidR="00C12EF5" w:rsidRPr="00A80D46">
        <w:rPr>
          <w:rFonts w:ascii="Times New Roman" w:hAnsi="Times New Roman" w:cs="Times New Roman"/>
          <w:bCs/>
          <w:sz w:val="24"/>
          <w:szCs w:val="24"/>
        </w:rPr>
        <w:t>/zużycia</w:t>
      </w:r>
      <w:r w:rsidRPr="00A80D46">
        <w:rPr>
          <w:rFonts w:ascii="Times New Roman" w:hAnsi="Times New Roman" w:cs="Times New Roman"/>
          <w:bCs/>
          <w:sz w:val="24"/>
          <w:szCs w:val="24"/>
        </w:rPr>
        <w:t xml:space="preserve"> energii elektrycznej, o więcej niż </w:t>
      </w:r>
      <w:r w:rsidR="00460BFE" w:rsidRPr="00A80D46">
        <w:rPr>
          <w:rFonts w:ascii="Times New Roman" w:hAnsi="Times New Roman" w:cs="Times New Roman"/>
          <w:bCs/>
          <w:sz w:val="24"/>
          <w:szCs w:val="24"/>
        </w:rPr>
        <w:t>4</w:t>
      </w:r>
      <w:r w:rsidR="006138E6">
        <w:rPr>
          <w:rFonts w:ascii="Times New Roman" w:hAnsi="Times New Roman" w:cs="Times New Roman"/>
          <w:bCs/>
          <w:sz w:val="24"/>
          <w:szCs w:val="24"/>
        </w:rPr>
        <w:t xml:space="preserve"> </w:t>
      </w:r>
      <w:r w:rsidRPr="00A80D46">
        <w:rPr>
          <w:rFonts w:ascii="Times New Roman" w:hAnsi="Times New Roman" w:cs="Times New Roman"/>
          <w:bCs/>
          <w:sz w:val="24"/>
          <w:szCs w:val="24"/>
        </w:rPr>
        <w:t xml:space="preserve">%, to wówczas uwzględnia się część salda tego konta w wysokości odpowiadającej </w:t>
      </w:r>
      <w:r w:rsidR="00460BFE" w:rsidRPr="00A80D46">
        <w:rPr>
          <w:rFonts w:ascii="Times New Roman" w:hAnsi="Times New Roman" w:cs="Times New Roman"/>
          <w:bCs/>
          <w:sz w:val="24"/>
          <w:szCs w:val="24"/>
        </w:rPr>
        <w:t>4</w:t>
      </w:r>
      <w:r w:rsidRPr="00A80D46">
        <w:rPr>
          <w:rFonts w:ascii="Times New Roman" w:hAnsi="Times New Roman" w:cs="Times New Roman"/>
          <w:bCs/>
          <w:sz w:val="24"/>
          <w:szCs w:val="24"/>
        </w:rPr>
        <w:t xml:space="preserve"> % przychodu określonego na 12 kolejnych miesięcy kalendarzowych obejmujących w całości lub w części 2021 rok, wyrażonego w zł.</w:t>
      </w:r>
    </w:p>
    <w:p w14:paraId="294CC92D" w14:textId="5E7B6554" w:rsidR="00D612A2" w:rsidRPr="00A80D46" w:rsidRDefault="00D612A2" w:rsidP="006519B6">
      <w:pPr>
        <w:spacing w:after="120"/>
        <w:jc w:val="both"/>
        <w:rPr>
          <w:rFonts w:ascii="Times New Roman" w:hAnsi="Times New Roman" w:cs="Times New Roman"/>
          <w:bCs/>
          <w:sz w:val="24"/>
          <w:szCs w:val="24"/>
        </w:rPr>
      </w:pPr>
      <w:r w:rsidRPr="00A80D46">
        <w:rPr>
          <w:rFonts w:ascii="Times New Roman" w:hAnsi="Times New Roman" w:cs="Times New Roman"/>
          <w:bCs/>
          <w:sz w:val="24"/>
          <w:szCs w:val="24"/>
        </w:rPr>
        <w:t xml:space="preserve">Z kolei w nowym § </w:t>
      </w:r>
      <w:r w:rsidR="00335025">
        <w:rPr>
          <w:rFonts w:ascii="Times New Roman" w:hAnsi="Times New Roman" w:cs="Times New Roman"/>
          <w:bCs/>
          <w:sz w:val="24"/>
          <w:szCs w:val="24"/>
        </w:rPr>
        <w:t>3</w:t>
      </w:r>
      <w:r w:rsidRPr="00A80D46">
        <w:rPr>
          <w:rFonts w:ascii="Times New Roman" w:hAnsi="Times New Roman" w:cs="Times New Roman"/>
          <w:bCs/>
          <w:sz w:val="24"/>
          <w:szCs w:val="24"/>
        </w:rPr>
        <w:t xml:space="preserve"> </w:t>
      </w:r>
      <w:r w:rsidR="00335025">
        <w:rPr>
          <w:rFonts w:ascii="Times New Roman" w:hAnsi="Times New Roman" w:cs="Times New Roman"/>
          <w:bCs/>
          <w:sz w:val="24"/>
          <w:szCs w:val="24"/>
        </w:rPr>
        <w:t xml:space="preserve">rozporządzenia nowelizującego </w:t>
      </w:r>
      <w:r w:rsidRPr="00A80D46">
        <w:rPr>
          <w:rFonts w:ascii="Times New Roman" w:hAnsi="Times New Roman" w:cs="Times New Roman"/>
          <w:bCs/>
          <w:sz w:val="24"/>
          <w:szCs w:val="24"/>
        </w:rPr>
        <w:t>określone zostały zasady dotyczące określenia salda konta regulacyjnego w roku 2022. Saldo określa się według wzoru:</w:t>
      </w:r>
    </w:p>
    <w:p w14:paraId="01CE9792" w14:textId="620779BE" w:rsidR="00D612A2" w:rsidRPr="00A80D46" w:rsidRDefault="00EF261C" w:rsidP="006519B6">
      <w:pPr>
        <w:spacing w:after="120" w:line="276" w:lineRule="auto"/>
        <w:jc w:val="center"/>
        <w:rPr>
          <w:rFonts w:ascii="Times New Roman" w:eastAsia="Calibri" w:hAnsi="Times New Roman" w:cs="Times New Roman"/>
          <w:bCs/>
          <w:sz w:val="24"/>
          <w:szCs w:val="24"/>
        </w:rPr>
      </w:pP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KR</m:t>
            </m:r>
          </m:e>
          <m:sub>
            <m:r>
              <w:rPr>
                <w:rFonts w:ascii="Cambria Math" w:eastAsia="Calibri" w:hAnsi="Cambria Math" w:cs="Times New Roman"/>
                <w:sz w:val="24"/>
                <w:szCs w:val="24"/>
              </w:rPr>
              <m:t>2022</m:t>
            </m:r>
          </m:sub>
        </m:sSub>
        <m:r>
          <w:rPr>
            <w:rFonts w:ascii="Cambria Math" w:eastAsia="Calibri" w:hAnsi="Cambria Math" w:cs="Times New Roman"/>
            <w:sz w:val="24"/>
            <w:szCs w:val="24"/>
          </w:rPr>
          <m:t>=</m:t>
        </m:r>
        <m:d>
          <m:dPr>
            <m:ctrlPr>
              <w:rPr>
                <w:rFonts w:ascii="Cambria Math" w:eastAsia="Calibri" w:hAnsi="Cambria Math" w:cs="Times New Roman"/>
                <w:bCs/>
                <w:i/>
                <w:sz w:val="24"/>
                <w:szCs w:val="24"/>
              </w:rPr>
            </m:ctrlPr>
          </m:dPr>
          <m:e>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O</m:t>
                    </m:r>
                  </m:e>
                  <m:sub>
                    <m:r>
                      <w:rPr>
                        <w:rFonts w:ascii="Cambria Math" w:eastAsia="Calibri" w:hAnsi="Cambria Math" w:cs="Times New Roman"/>
                        <w:sz w:val="24"/>
                        <w:szCs w:val="24"/>
                      </w:rPr>
                      <m:t>dp  2020</m:t>
                    </m:r>
                  </m:sub>
                </m:sSub>
                <m:r>
                  <w:rPr>
                    <w:rFonts w:ascii="Cambria Math" w:eastAsia="Calibri" w:hAnsi="Cambria Math" w:cs="Times New Roman"/>
                    <w:sz w:val="24"/>
                    <w:szCs w:val="24"/>
                  </w:rPr>
                  <m:t>-O</m:t>
                </m:r>
              </m:e>
              <m:sub>
                <m:r>
                  <w:rPr>
                    <w:rFonts w:ascii="Cambria Math" w:eastAsia="Calibri" w:hAnsi="Cambria Math" w:cs="Times New Roman"/>
                    <w:sz w:val="24"/>
                    <w:szCs w:val="24"/>
                  </w:rPr>
                  <m:t>dr  2020</m:t>
                </m:r>
              </m:sub>
            </m:sSub>
          </m:e>
        </m:d>
        <m:r>
          <w:rPr>
            <w:rFonts w:ascii="Cambria Math" w:eastAsia="Calibri" w:hAnsi="Cambria Math" w:cs="Times New Roman"/>
            <w:sz w:val="24"/>
            <w:szCs w:val="24"/>
          </w:rPr>
          <m:t>-</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KR</m:t>
            </m:r>
          </m:e>
          <m:sub>
            <m:r>
              <w:rPr>
                <w:rFonts w:ascii="Cambria Math" w:eastAsia="Calibri" w:hAnsi="Cambria Math" w:cs="Times New Roman"/>
                <w:sz w:val="24"/>
                <w:szCs w:val="24"/>
              </w:rPr>
              <m:t>z2022re</m:t>
            </m:r>
          </m:sub>
        </m:sSub>
      </m:oMath>
      <w:r w:rsidR="00D612A2" w:rsidRPr="00A80D46">
        <w:rPr>
          <w:rFonts w:ascii="Times New Roman" w:eastAsia="Calibri" w:hAnsi="Times New Roman" w:cs="Times New Roman"/>
          <w:bCs/>
          <w:sz w:val="24"/>
          <w:szCs w:val="24"/>
        </w:rPr>
        <w:t>,</w:t>
      </w:r>
    </w:p>
    <w:p w14:paraId="6D9975CE" w14:textId="77777777"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gdzie poszczególne symbole oznaczają:</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349"/>
        <w:gridCol w:w="7405"/>
      </w:tblGrid>
      <w:tr w:rsidR="00D612A2" w:rsidRPr="00A80D46" w14:paraId="427486C9" w14:textId="77777777" w:rsidTr="00437727">
        <w:tc>
          <w:tcPr>
            <w:tcW w:w="1272" w:type="dxa"/>
          </w:tcPr>
          <w:p w14:paraId="334961C4" w14:textId="77777777"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KR2022</w:t>
            </w:r>
          </w:p>
        </w:tc>
        <w:tc>
          <w:tcPr>
            <w:tcW w:w="425" w:type="dxa"/>
          </w:tcPr>
          <w:p w14:paraId="21386569" w14:textId="77777777"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w:t>
            </w:r>
          </w:p>
        </w:tc>
        <w:tc>
          <w:tcPr>
            <w:tcW w:w="15318" w:type="dxa"/>
          </w:tcPr>
          <w:p w14:paraId="0B973262" w14:textId="77777777"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 xml:space="preserve">saldo konta regulacyjnego dla taryfy na rok okresu regulacji obejmujący 2022 rok [zł], </w:t>
            </w:r>
          </w:p>
        </w:tc>
      </w:tr>
      <w:tr w:rsidR="00D612A2" w:rsidRPr="00A80D46" w14:paraId="25F7DD08" w14:textId="77777777" w:rsidTr="00437727">
        <w:tc>
          <w:tcPr>
            <w:tcW w:w="1272" w:type="dxa"/>
          </w:tcPr>
          <w:p w14:paraId="0B6394CE" w14:textId="77777777"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KRz2022re</w:t>
            </w:r>
          </w:p>
        </w:tc>
        <w:tc>
          <w:tcPr>
            <w:tcW w:w="425" w:type="dxa"/>
          </w:tcPr>
          <w:p w14:paraId="065056C4" w14:textId="77777777"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w:t>
            </w:r>
          </w:p>
        </w:tc>
        <w:tc>
          <w:tcPr>
            <w:tcW w:w="15318" w:type="dxa"/>
          </w:tcPr>
          <w:p w14:paraId="531D4BF5" w14:textId="61428580"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 xml:space="preserve">zaliczka na poczet salda konta regulacyjnego na rok okresu regulacji obejmujący 2022 rok uwzględniona w przychodzie będącym podstawą kalkulacji stawek opłat na 12 kolejnych miesięcy kalendarzowych obejmujących w całości lub w części 2021 rok, obliczona w sposób określony w § </w:t>
            </w:r>
            <w:r w:rsidR="0046191A">
              <w:rPr>
                <w:rFonts w:ascii="Times New Roman" w:hAnsi="Times New Roman" w:cs="Times New Roman"/>
                <w:sz w:val="24"/>
                <w:szCs w:val="24"/>
              </w:rPr>
              <w:t>2</w:t>
            </w:r>
            <w:r w:rsidRPr="00A80D46">
              <w:rPr>
                <w:rFonts w:ascii="Times New Roman" w:hAnsi="Times New Roman" w:cs="Times New Roman"/>
                <w:sz w:val="24"/>
                <w:szCs w:val="24"/>
              </w:rPr>
              <w:t xml:space="preserve"> ust. 2</w:t>
            </w:r>
            <w:r w:rsidR="00CC0D3F">
              <w:rPr>
                <w:rFonts w:ascii="Times New Roman" w:hAnsi="Times New Roman" w:cs="Times New Roman"/>
                <w:sz w:val="24"/>
                <w:szCs w:val="24"/>
              </w:rPr>
              <w:t xml:space="preserve"> </w:t>
            </w:r>
            <w:r w:rsidR="0046191A">
              <w:rPr>
                <w:rFonts w:ascii="Times New Roman" w:hAnsi="Times New Roman" w:cs="Times New Roman"/>
                <w:sz w:val="24"/>
                <w:szCs w:val="24"/>
              </w:rPr>
              <w:t xml:space="preserve">rozporządzenia nowelizującego </w:t>
            </w:r>
            <w:r w:rsidR="00CC0D3F" w:rsidRPr="00A80D46">
              <w:rPr>
                <w:rFonts w:ascii="Times New Roman" w:hAnsi="Times New Roman" w:cs="Times New Roman"/>
                <w:sz w:val="24"/>
                <w:szCs w:val="24"/>
              </w:rPr>
              <w:t>[zł]</w:t>
            </w:r>
            <w:r w:rsidRPr="00A80D46">
              <w:rPr>
                <w:rFonts w:ascii="Times New Roman" w:hAnsi="Times New Roman" w:cs="Times New Roman"/>
                <w:sz w:val="24"/>
                <w:szCs w:val="24"/>
              </w:rPr>
              <w:t>,</w:t>
            </w:r>
          </w:p>
        </w:tc>
      </w:tr>
      <w:tr w:rsidR="00D612A2" w:rsidRPr="00A80D46" w14:paraId="09D8F6FD" w14:textId="77777777" w:rsidTr="00437727">
        <w:tc>
          <w:tcPr>
            <w:tcW w:w="1272" w:type="dxa"/>
          </w:tcPr>
          <w:p w14:paraId="30E74C61" w14:textId="77777777" w:rsidR="00D612A2" w:rsidRPr="00A80D46" w:rsidRDefault="00EF261C" w:rsidP="006519B6">
            <w:pPr>
              <w:spacing w:after="120" w:line="276"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dp</m:t>
                    </m:r>
                    <m:r>
                      <m:rPr>
                        <m:sty m:val="p"/>
                      </m:rPr>
                      <w:rPr>
                        <w:rFonts w:ascii="Cambria Math" w:hAnsi="Cambria Math" w:cs="Times New Roman"/>
                        <w:sz w:val="24"/>
                        <w:szCs w:val="24"/>
                      </w:rPr>
                      <m:t xml:space="preserve">  2020</m:t>
                    </m:r>
                  </m:sub>
                </m:sSub>
              </m:oMath>
            </m:oMathPara>
          </w:p>
        </w:tc>
        <w:tc>
          <w:tcPr>
            <w:tcW w:w="425" w:type="dxa"/>
          </w:tcPr>
          <w:p w14:paraId="346A023A" w14:textId="77777777"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w:t>
            </w:r>
          </w:p>
        </w:tc>
        <w:tc>
          <w:tcPr>
            <w:tcW w:w="15318" w:type="dxa"/>
          </w:tcPr>
          <w:p w14:paraId="61E42E81" w14:textId="42026964"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suma przyjętego planowanego przychodu będącego podstawą kalkulacji stawek opłat na 12 kolejnych miesięcy kalendarzowych obejmujących w</w:t>
            </w:r>
            <w:r w:rsidR="00E0633A">
              <w:rPr>
                <w:rFonts w:ascii="Times New Roman" w:hAnsi="Times New Roman" w:cs="Times New Roman"/>
                <w:sz w:val="24"/>
                <w:szCs w:val="24"/>
              </w:rPr>
              <w:t> </w:t>
            </w:r>
            <w:r w:rsidRPr="00A80D46">
              <w:rPr>
                <w:rFonts w:ascii="Times New Roman" w:hAnsi="Times New Roman" w:cs="Times New Roman"/>
                <w:sz w:val="24"/>
                <w:szCs w:val="24"/>
              </w:rPr>
              <w:t>całości lub w części 2020 rok, w części wynikającej z poboru składnika zmiennego stawki sieciowej, składnika stałego stawki sieciowej, opłat abonamentowych oraz przychodów, o któryc</w:t>
            </w:r>
            <w:r w:rsidR="00EB17A9">
              <w:rPr>
                <w:rFonts w:ascii="Times New Roman" w:hAnsi="Times New Roman" w:cs="Times New Roman"/>
                <w:sz w:val="24"/>
                <w:szCs w:val="24"/>
              </w:rPr>
              <w:t>h mowa w § 22 ust. 1 pkt 2-5</w:t>
            </w:r>
            <w:r w:rsidRPr="00A80D46">
              <w:rPr>
                <w:rFonts w:ascii="Times New Roman" w:hAnsi="Times New Roman" w:cs="Times New Roman"/>
                <w:sz w:val="24"/>
                <w:szCs w:val="24"/>
              </w:rPr>
              <w:t xml:space="preserve">, </w:t>
            </w:r>
            <w:r w:rsidR="00D22D70" w:rsidRPr="00A80D46">
              <w:rPr>
                <w:rFonts w:ascii="Times New Roman" w:hAnsi="Times New Roman" w:cs="Times New Roman"/>
                <w:sz w:val="24"/>
                <w:szCs w:val="24"/>
              </w:rPr>
              <w:t>a dla operatora systemu przesyłowego także przychodu  z opłaty jakościowej, łącznie dla wszystkich odbiorców [zł],</w:t>
            </w:r>
          </w:p>
        </w:tc>
      </w:tr>
      <w:tr w:rsidR="00D612A2" w:rsidRPr="00A80D46" w14:paraId="1038B7B0" w14:textId="77777777" w:rsidTr="00437727">
        <w:trPr>
          <w:trHeight w:val="1408"/>
        </w:trPr>
        <w:tc>
          <w:tcPr>
            <w:tcW w:w="1272" w:type="dxa"/>
          </w:tcPr>
          <w:p w14:paraId="6387FF81" w14:textId="77777777" w:rsidR="00D612A2" w:rsidRPr="00A80D46" w:rsidRDefault="00EF261C" w:rsidP="006519B6">
            <w:pPr>
              <w:spacing w:after="120" w:line="276"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dr</m:t>
                    </m:r>
                    <m:r>
                      <m:rPr>
                        <m:sty m:val="p"/>
                      </m:rPr>
                      <w:rPr>
                        <w:rFonts w:ascii="Cambria Math" w:hAnsi="Cambria Math" w:cs="Times New Roman"/>
                        <w:sz w:val="24"/>
                        <w:szCs w:val="24"/>
                      </w:rPr>
                      <m:t xml:space="preserve">  2020</m:t>
                    </m:r>
                  </m:sub>
                </m:sSub>
              </m:oMath>
            </m:oMathPara>
          </w:p>
        </w:tc>
        <w:tc>
          <w:tcPr>
            <w:tcW w:w="425" w:type="dxa"/>
          </w:tcPr>
          <w:p w14:paraId="7361EF85" w14:textId="77777777"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w:t>
            </w:r>
          </w:p>
        </w:tc>
        <w:tc>
          <w:tcPr>
            <w:tcW w:w="15318" w:type="dxa"/>
          </w:tcPr>
          <w:p w14:paraId="0F2EC498" w14:textId="6FA9E8BB" w:rsidR="00D612A2" w:rsidRPr="00A80D46" w:rsidRDefault="00D612A2"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 xml:space="preserve">suma rzeczywiście uzyskanego w 12 kolejnych miesiącach kalendarzowych obejmujących w całości lub w części 2020 rok przychodu w części wynikającej z poboru składnika zmiennego stawki sieciowej, składnika stałego stawki sieciowej, opłat abonamentowych oraz </w:t>
            </w:r>
            <w:r w:rsidRPr="00A80D46">
              <w:rPr>
                <w:rFonts w:ascii="Times New Roman" w:hAnsi="Times New Roman" w:cs="Times New Roman"/>
                <w:sz w:val="24"/>
                <w:szCs w:val="24"/>
              </w:rPr>
              <w:lastRenderedPageBreak/>
              <w:t>przychodów, o któryc</w:t>
            </w:r>
            <w:r w:rsidR="00EB17A9">
              <w:rPr>
                <w:rFonts w:ascii="Times New Roman" w:hAnsi="Times New Roman" w:cs="Times New Roman"/>
                <w:sz w:val="24"/>
                <w:szCs w:val="24"/>
              </w:rPr>
              <w:t>h mowa w § 22 ust. 1 pkt 2-5</w:t>
            </w:r>
            <w:r w:rsidRPr="00A80D46">
              <w:rPr>
                <w:rFonts w:ascii="Times New Roman" w:hAnsi="Times New Roman" w:cs="Times New Roman"/>
                <w:sz w:val="24"/>
                <w:szCs w:val="24"/>
              </w:rPr>
              <w:t xml:space="preserve">, </w:t>
            </w:r>
            <w:r w:rsidR="00D22D70" w:rsidRPr="00A80D46">
              <w:rPr>
                <w:rFonts w:ascii="Times New Roman" w:hAnsi="Times New Roman" w:cs="Times New Roman"/>
                <w:sz w:val="24"/>
                <w:szCs w:val="24"/>
              </w:rPr>
              <w:t>a dla operatora systemu przesyłowego także przychodu z opłaty jakościowej, łącznie od wszystkich odbiorców [zł].</w:t>
            </w:r>
          </w:p>
        </w:tc>
      </w:tr>
    </w:tbl>
    <w:p w14:paraId="6AEBA4D1" w14:textId="29967E5C" w:rsidR="00E203BD" w:rsidRPr="00A80D46" w:rsidRDefault="00266AD3"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lastRenderedPageBreak/>
        <w:t>Należy podkreślić, że z</w:t>
      </w:r>
      <w:r w:rsidR="00E203BD" w:rsidRPr="00A80D46">
        <w:rPr>
          <w:rFonts w:ascii="Times New Roman" w:hAnsi="Times New Roman" w:cs="Times New Roman"/>
          <w:sz w:val="24"/>
          <w:szCs w:val="24"/>
        </w:rPr>
        <w:t xml:space="preserve">godnie z </w:t>
      </w:r>
      <w:r w:rsidRPr="00A80D46">
        <w:rPr>
          <w:rFonts w:ascii="Times New Roman" w:hAnsi="Times New Roman" w:cs="Times New Roman"/>
          <w:sz w:val="24"/>
          <w:szCs w:val="24"/>
        </w:rPr>
        <w:t xml:space="preserve">regulacją zawartą w </w:t>
      </w:r>
      <w:r w:rsidR="00E203BD" w:rsidRPr="00A80D46">
        <w:rPr>
          <w:rFonts w:ascii="Times New Roman" w:hAnsi="Times New Roman" w:cs="Times New Roman"/>
          <w:sz w:val="24"/>
          <w:szCs w:val="24"/>
        </w:rPr>
        <w:t xml:space="preserve">§ </w:t>
      </w:r>
      <w:r w:rsidR="00AD54CA">
        <w:rPr>
          <w:rFonts w:ascii="Times New Roman" w:hAnsi="Times New Roman" w:cs="Times New Roman"/>
          <w:sz w:val="24"/>
          <w:szCs w:val="24"/>
        </w:rPr>
        <w:t>4</w:t>
      </w:r>
      <w:r w:rsidR="00C802FD">
        <w:rPr>
          <w:rFonts w:ascii="Times New Roman" w:hAnsi="Times New Roman" w:cs="Times New Roman"/>
          <w:sz w:val="24"/>
          <w:szCs w:val="24"/>
        </w:rPr>
        <w:t xml:space="preserve"> rozporządzenia nowelizującego</w:t>
      </w:r>
      <w:r w:rsidRPr="00A80D46">
        <w:rPr>
          <w:rFonts w:ascii="Times New Roman" w:hAnsi="Times New Roman" w:cs="Times New Roman"/>
          <w:sz w:val="24"/>
          <w:szCs w:val="24"/>
        </w:rPr>
        <w:t>,</w:t>
      </w:r>
      <w:r w:rsidR="00E203BD" w:rsidRPr="00A80D46">
        <w:rPr>
          <w:rFonts w:ascii="Times New Roman" w:hAnsi="Times New Roman" w:cs="Times New Roman"/>
          <w:sz w:val="24"/>
          <w:szCs w:val="24"/>
        </w:rPr>
        <w:t xml:space="preserve"> </w:t>
      </w:r>
      <w:r w:rsidRPr="00A80D46">
        <w:rPr>
          <w:rFonts w:ascii="Times New Roman" w:hAnsi="Times New Roman" w:cs="Times New Roman"/>
          <w:sz w:val="24"/>
          <w:szCs w:val="24"/>
        </w:rPr>
        <w:t>p</w:t>
      </w:r>
      <w:r w:rsidR="00E203BD" w:rsidRPr="00A80D46">
        <w:rPr>
          <w:rFonts w:ascii="Times New Roman" w:hAnsi="Times New Roman" w:cs="Times New Roman"/>
          <w:sz w:val="24"/>
          <w:szCs w:val="24"/>
        </w:rPr>
        <w:t>rzepisów § 22a nie stosuje się do rzeczywiście uzyskanego przed 1 stycznia 2020 r. przychodu</w:t>
      </w:r>
      <w:r w:rsidRPr="00A80D46">
        <w:rPr>
          <w:rFonts w:ascii="Times New Roman" w:hAnsi="Times New Roman" w:cs="Times New Roman"/>
          <w:sz w:val="24"/>
          <w:szCs w:val="24"/>
        </w:rPr>
        <w:t xml:space="preserve">, co oznacza, że konto regulacyjne obejmuje okres od </w:t>
      </w:r>
      <w:r w:rsidR="005F75E4">
        <w:rPr>
          <w:rFonts w:ascii="Times New Roman" w:hAnsi="Times New Roman" w:cs="Times New Roman"/>
          <w:sz w:val="24"/>
          <w:szCs w:val="24"/>
        </w:rPr>
        <w:t xml:space="preserve">1 stycznia </w:t>
      </w:r>
      <w:r w:rsidRPr="00A80D46">
        <w:rPr>
          <w:rFonts w:ascii="Times New Roman" w:hAnsi="Times New Roman" w:cs="Times New Roman"/>
          <w:sz w:val="24"/>
          <w:szCs w:val="24"/>
        </w:rPr>
        <w:t>2020 r</w:t>
      </w:r>
      <w:r w:rsidR="00E203BD" w:rsidRPr="00A80D46">
        <w:rPr>
          <w:rFonts w:ascii="Times New Roman" w:hAnsi="Times New Roman" w:cs="Times New Roman"/>
          <w:sz w:val="24"/>
          <w:szCs w:val="24"/>
        </w:rPr>
        <w:t>.</w:t>
      </w:r>
    </w:p>
    <w:p w14:paraId="6D1EC382" w14:textId="645247FD" w:rsidR="00F8117A" w:rsidRPr="00A80D46" w:rsidRDefault="00F8117A" w:rsidP="006519B6">
      <w:pPr>
        <w:spacing w:after="120"/>
        <w:jc w:val="both"/>
        <w:rPr>
          <w:rFonts w:ascii="Times New Roman" w:hAnsi="Times New Roman" w:cs="Times New Roman"/>
          <w:sz w:val="24"/>
          <w:szCs w:val="24"/>
        </w:rPr>
      </w:pPr>
      <w:r w:rsidRPr="00A80D46">
        <w:rPr>
          <w:rFonts w:ascii="Times New Roman" w:hAnsi="Times New Roman" w:cs="Times New Roman"/>
          <w:sz w:val="24"/>
          <w:szCs w:val="24"/>
        </w:rPr>
        <w:t xml:space="preserve">Wprowadzenie przepisów </w:t>
      </w:r>
      <w:r w:rsidR="005F75E4">
        <w:rPr>
          <w:rFonts w:ascii="Times New Roman" w:hAnsi="Times New Roman" w:cs="Times New Roman"/>
          <w:sz w:val="24"/>
          <w:szCs w:val="24"/>
        </w:rPr>
        <w:t>czasowych</w:t>
      </w:r>
      <w:r w:rsidR="00266AD3" w:rsidRPr="00A80D46">
        <w:rPr>
          <w:rFonts w:ascii="Times New Roman" w:hAnsi="Times New Roman" w:cs="Times New Roman"/>
          <w:sz w:val="24"/>
          <w:szCs w:val="24"/>
        </w:rPr>
        <w:t xml:space="preserve"> </w:t>
      </w:r>
      <w:r w:rsidRPr="00A80D46">
        <w:rPr>
          <w:rFonts w:ascii="Times New Roman" w:hAnsi="Times New Roman" w:cs="Times New Roman"/>
          <w:sz w:val="24"/>
          <w:szCs w:val="24"/>
        </w:rPr>
        <w:t>w szczególności umożliwi</w:t>
      </w:r>
      <w:r w:rsidR="00266AD3" w:rsidRPr="00A80D46">
        <w:rPr>
          <w:rFonts w:ascii="Times New Roman" w:hAnsi="Times New Roman" w:cs="Times New Roman"/>
          <w:sz w:val="24"/>
          <w:szCs w:val="24"/>
        </w:rPr>
        <w:t>a</w:t>
      </w:r>
      <w:r w:rsidRPr="00A80D46">
        <w:rPr>
          <w:rFonts w:ascii="Times New Roman" w:hAnsi="Times New Roman" w:cs="Times New Roman"/>
          <w:sz w:val="24"/>
          <w:szCs w:val="24"/>
        </w:rPr>
        <w:t xml:space="preserve"> OSD </w:t>
      </w:r>
      <w:r w:rsidR="00E203BD" w:rsidRPr="00A80D46">
        <w:rPr>
          <w:rFonts w:ascii="Times New Roman" w:hAnsi="Times New Roman" w:cs="Times New Roman"/>
          <w:sz w:val="24"/>
          <w:szCs w:val="24"/>
        </w:rPr>
        <w:t xml:space="preserve">i OSP </w:t>
      </w:r>
      <w:r w:rsidRPr="00A80D46">
        <w:rPr>
          <w:rFonts w:ascii="Times New Roman" w:hAnsi="Times New Roman" w:cs="Times New Roman"/>
          <w:sz w:val="24"/>
          <w:szCs w:val="24"/>
        </w:rPr>
        <w:t>zachowanie niezbędnych parametrów finansowych w związku ze spodziewanym istotnym obniżeniem rzeczywiście wykonanych przychodów</w:t>
      </w:r>
      <w:r w:rsidR="006A1264" w:rsidRPr="00A80D46">
        <w:rPr>
          <w:rFonts w:ascii="Times New Roman" w:hAnsi="Times New Roman" w:cs="Times New Roman"/>
          <w:sz w:val="24"/>
          <w:szCs w:val="24"/>
        </w:rPr>
        <w:t xml:space="preserve"> i zaliczkow</w:t>
      </w:r>
      <w:r w:rsidR="00266AD3" w:rsidRPr="00A80D46">
        <w:rPr>
          <w:rFonts w:ascii="Times New Roman" w:hAnsi="Times New Roman" w:cs="Times New Roman"/>
          <w:sz w:val="24"/>
          <w:szCs w:val="24"/>
        </w:rPr>
        <w:t>e</w:t>
      </w:r>
      <w:r w:rsidR="006A1264" w:rsidRPr="00A80D46">
        <w:rPr>
          <w:rFonts w:ascii="Times New Roman" w:hAnsi="Times New Roman" w:cs="Times New Roman"/>
          <w:sz w:val="24"/>
          <w:szCs w:val="24"/>
        </w:rPr>
        <w:t xml:space="preserve"> rozlicz</w:t>
      </w:r>
      <w:r w:rsidR="00266AD3" w:rsidRPr="00A80D46">
        <w:rPr>
          <w:rFonts w:ascii="Times New Roman" w:hAnsi="Times New Roman" w:cs="Times New Roman"/>
          <w:sz w:val="24"/>
          <w:szCs w:val="24"/>
        </w:rPr>
        <w:t>enie</w:t>
      </w:r>
      <w:r w:rsidR="006A1264" w:rsidRPr="00A80D46">
        <w:rPr>
          <w:rFonts w:ascii="Times New Roman" w:hAnsi="Times New Roman" w:cs="Times New Roman"/>
          <w:sz w:val="24"/>
          <w:szCs w:val="24"/>
        </w:rPr>
        <w:t xml:space="preserve"> sald</w:t>
      </w:r>
      <w:r w:rsidR="00266AD3" w:rsidRPr="00A80D46">
        <w:rPr>
          <w:rFonts w:ascii="Times New Roman" w:hAnsi="Times New Roman" w:cs="Times New Roman"/>
          <w:sz w:val="24"/>
          <w:szCs w:val="24"/>
        </w:rPr>
        <w:t>a</w:t>
      </w:r>
      <w:r w:rsidR="006A1264" w:rsidRPr="00A80D46">
        <w:rPr>
          <w:rFonts w:ascii="Times New Roman" w:hAnsi="Times New Roman" w:cs="Times New Roman"/>
          <w:sz w:val="24"/>
          <w:szCs w:val="24"/>
        </w:rPr>
        <w:t xml:space="preserve"> konta regulacyjnego już w 2021 </w:t>
      </w:r>
      <w:r w:rsidR="006138E6">
        <w:rPr>
          <w:rFonts w:ascii="Times New Roman" w:hAnsi="Times New Roman" w:cs="Times New Roman"/>
          <w:sz w:val="24"/>
          <w:szCs w:val="24"/>
        </w:rPr>
        <w:t>r</w:t>
      </w:r>
      <w:r w:rsidR="006A1264" w:rsidRPr="00A80D46">
        <w:rPr>
          <w:rFonts w:ascii="Times New Roman" w:hAnsi="Times New Roman" w:cs="Times New Roman"/>
          <w:sz w:val="24"/>
          <w:szCs w:val="24"/>
        </w:rPr>
        <w:t xml:space="preserve">. </w:t>
      </w:r>
      <w:r w:rsidR="00EE2174" w:rsidRPr="00A80D46">
        <w:rPr>
          <w:rFonts w:ascii="Times New Roman" w:hAnsi="Times New Roman" w:cs="Times New Roman"/>
          <w:sz w:val="24"/>
          <w:szCs w:val="24"/>
        </w:rPr>
        <w:t xml:space="preserve">Powyższe rozwiązanie wynika </w:t>
      </w:r>
      <w:r w:rsidR="00B17412" w:rsidRPr="00A80D46">
        <w:rPr>
          <w:rFonts w:ascii="Times New Roman" w:hAnsi="Times New Roman" w:cs="Times New Roman"/>
          <w:sz w:val="24"/>
          <w:szCs w:val="24"/>
        </w:rPr>
        <w:t xml:space="preserve">przede wszystkim </w:t>
      </w:r>
      <w:r w:rsidR="00EE2174" w:rsidRPr="00A80D46">
        <w:rPr>
          <w:rFonts w:ascii="Times New Roman" w:hAnsi="Times New Roman" w:cs="Times New Roman"/>
          <w:sz w:val="24"/>
          <w:szCs w:val="24"/>
        </w:rPr>
        <w:t xml:space="preserve">z przewidywanej skali </w:t>
      </w:r>
      <w:r w:rsidR="00B17412" w:rsidRPr="00A80D46">
        <w:rPr>
          <w:rFonts w:ascii="Times New Roman" w:hAnsi="Times New Roman" w:cs="Times New Roman"/>
          <w:sz w:val="24"/>
          <w:szCs w:val="24"/>
        </w:rPr>
        <w:t xml:space="preserve">skutków </w:t>
      </w:r>
      <w:r w:rsidR="008A321D">
        <w:rPr>
          <w:rFonts w:ascii="Times New Roman" w:hAnsi="Times New Roman" w:cs="Times New Roman"/>
          <w:sz w:val="24"/>
          <w:szCs w:val="24"/>
        </w:rPr>
        <w:t xml:space="preserve">epidemii </w:t>
      </w:r>
      <w:r w:rsidR="00B17412" w:rsidRPr="00A80D46">
        <w:rPr>
          <w:rFonts w:ascii="Times New Roman" w:hAnsi="Times New Roman" w:cs="Times New Roman"/>
          <w:sz w:val="24"/>
          <w:szCs w:val="24"/>
        </w:rPr>
        <w:t xml:space="preserve">i </w:t>
      </w:r>
      <w:r w:rsidR="00EE2174" w:rsidRPr="00A80D46">
        <w:rPr>
          <w:rFonts w:ascii="Times New Roman" w:hAnsi="Times New Roman" w:cs="Times New Roman"/>
          <w:sz w:val="24"/>
          <w:szCs w:val="24"/>
        </w:rPr>
        <w:t xml:space="preserve">znaczącego obniżenia przychodów </w:t>
      </w:r>
      <w:r w:rsidR="00B17412" w:rsidRPr="00A80D46">
        <w:rPr>
          <w:rFonts w:ascii="Times New Roman" w:hAnsi="Times New Roman" w:cs="Times New Roman"/>
          <w:sz w:val="24"/>
          <w:szCs w:val="24"/>
        </w:rPr>
        <w:t>operatorów systemów</w:t>
      </w:r>
      <w:r w:rsidR="00EE2174" w:rsidRPr="00A80D46">
        <w:rPr>
          <w:rFonts w:ascii="Times New Roman" w:hAnsi="Times New Roman" w:cs="Times New Roman"/>
          <w:sz w:val="24"/>
          <w:szCs w:val="24"/>
        </w:rPr>
        <w:t xml:space="preserve"> w 2020 do poziomu</w:t>
      </w:r>
      <w:r w:rsidR="00DE01DD" w:rsidRPr="00A80D46">
        <w:rPr>
          <w:rFonts w:ascii="Times New Roman" w:hAnsi="Times New Roman" w:cs="Times New Roman"/>
          <w:sz w:val="24"/>
          <w:szCs w:val="24"/>
        </w:rPr>
        <w:t>,</w:t>
      </w:r>
      <w:r w:rsidR="00EE2174" w:rsidRPr="00A80D46">
        <w:rPr>
          <w:rFonts w:ascii="Times New Roman" w:hAnsi="Times New Roman" w:cs="Times New Roman"/>
          <w:sz w:val="24"/>
          <w:szCs w:val="24"/>
        </w:rPr>
        <w:t xml:space="preserve"> </w:t>
      </w:r>
      <w:r w:rsidR="00514959" w:rsidRPr="00A80D46">
        <w:rPr>
          <w:rFonts w:ascii="Times New Roman" w:hAnsi="Times New Roman" w:cs="Times New Roman"/>
          <w:sz w:val="24"/>
          <w:szCs w:val="24"/>
        </w:rPr>
        <w:t>który nie pozwoli na pokrycie uzasadnionych kosztów działalności i zwrotu z zaangażowanego kapitału</w:t>
      </w:r>
      <w:r w:rsidR="00B17412" w:rsidRPr="00A80D46">
        <w:rPr>
          <w:rFonts w:ascii="Times New Roman" w:hAnsi="Times New Roman" w:cs="Times New Roman"/>
          <w:sz w:val="24"/>
          <w:szCs w:val="24"/>
        </w:rPr>
        <w:t xml:space="preserve">. Rok 2021 będzie czasem odbudowy gospodarczej, a to będzie wymagało szeregu działań ze strony operatorów </w:t>
      </w:r>
      <w:r w:rsidR="00266AD3" w:rsidRPr="00A80D46">
        <w:rPr>
          <w:rFonts w:ascii="Times New Roman" w:hAnsi="Times New Roman" w:cs="Times New Roman"/>
          <w:sz w:val="24"/>
          <w:szCs w:val="24"/>
        </w:rPr>
        <w:t xml:space="preserve">systemu </w:t>
      </w:r>
      <w:r w:rsidR="00514959" w:rsidRPr="00A80D46">
        <w:rPr>
          <w:rFonts w:ascii="Times New Roman" w:hAnsi="Times New Roman" w:cs="Times New Roman"/>
          <w:sz w:val="24"/>
          <w:szCs w:val="24"/>
        </w:rPr>
        <w:t xml:space="preserve">i </w:t>
      </w:r>
      <w:r w:rsidR="00B17412" w:rsidRPr="00A80D46">
        <w:rPr>
          <w:rFonts w:ascii="Times New Roman" w:hAnsi="Times New Roman" w:cs="Times New Roman"/>
          <w:sz w:val="24"/>
          <w:szCs w:val="24"/>
        </w:rPr>
        <w:t xml:space="preserve">środków na wsparcie tego procesu (nowe przyłączenia, rozbudowa sieci, wsparcie dla OZE czy elektromobilności). Konto </w:t>
      </w:r>
      <w:r w:rsidR="00266AD3" w:rsidRPr="00A80D46">
        <w:rPr>
          <w:rFonts w:ascii="Times New Roman" w:hAnsi="Times New Roman" w:cs="Times New Roman"/>
          <w:sz w:val="24"/>
          <w:szCs w:val="24"/>
        </w:rPr>
        <w:t xml:space="preserve">regulacyjne </w:t>
      </w:r>
      <w:r w:rsidR="00514959" w:rsidRPr="00A80D46">
        <w:rPr>
          <w:rFonts w:ascii="Times New Roman" w:hAnsi="Times New Roman" w:cs="Times New Roman"/>
          <w:sz w:val="24"/>
          <w:szCs w:val="24"/>
        </w:rPr>
        <w:t xml:space="preserve">będzie </w:t>
      </w:r>
      <w:r w:rsidR="00266AD3" w:rsidRPr="00A80D46">
        <w:rPr>
          <w:rFonts w:ascii="Times New Roman" w:hAnsi="Times New Roman" w:cs="Times New Roman"/>
          <w:sz w:val="24"/>
          <w:szCs w:val="24"/>
        </w:rPr>
        <w:t>podstawowym</w:t>
      </w:r>
      <w:r w:rsidR="00B17412" w:rsidRPr="00A80D46">
        <w:rPr>
          <w:rFonts w:ascii="Times New Roman" w:hAnsi="Times New Roman" w:cs="Times New Roman"/>
          <w:sz w:val="24"/>
          <w:szCs w:val="24"/>
        </w:rPr>
        <w:t xml:space="preserve"> rozwiązaniem </w:t>
      </w:r>
      <w:r w:rsidR="00C835FA" w:rsidRPr="00A80D46">
        <w:rPr>
          <w:rFonts w:ascii="Times New Roman" w:hAnsi="Times New Roman" w:cs="Times New Roman"/>
          <w:sz w:val="24"/>
          <w:szCs w:val="24"/>
        </w:rPr>
        <w:t xml:space="preserve">wspierającym </w:t>
      </w:r>
      <w:r w:rsidR="00514959" w:rsidRPr="00A80D46">
        <w:rPr>
          <w:rFonts w:ascii="Times New Roman" w:hAnsi="Times New Roman" w:cs="Times New Roman"/>
          <w:sz w:val="24"/>
          <w:szCs w:val="24"/>
        </w:rPr>
        <w:t xml:space="preserve">operatorów </w:t>
      </w:r>
      <w:r w:rsidR="00C835FA" w:rsidRPr="00A80D46">
        <w:rPr>
          <w:rFonts w:ascii="Times New Roman" w:hAnsi="Times New Roman" w:cs="Times New Roman"/>
          <w:sz w:val="24"/>
          <w:szCs w:val="24"/>
        </w:rPr>
        <w:t>w tym trudnym okresie</w:t>
      </w:r>
      <w:r w:rsidR="00F63C78" w:rsidRPr="00A80D46">
        <w:rPr>
          <w:rFonts w:ascii="Times New Roman" w:hAnsi="Times New Roman" w:cs="Times New Roman"/>
          <w:sz w:val="24"/>
          <w:szCs w:val="24"/>
        </w:rPr>
        <w:t>.</w:t>
      </w:r>
      <w:r w:rsidR="00B17412" w:rsidRPr="00A80D46">
        <w:rPr>
          <w:rFonts w:ascii="Times New Roman" w:hAnsi="Times New Roman" w:cs="Times New Roman"/>
          <w:sz w:val="24"/>
          <w:szCs w:val="24"/>
        </w:rPr>
        <w:t xml:space="preserve"> </w:t>
      </w:r>
      <w:r w:rsidRPr="00A80D46">
        <w:rPr>
          <w:rFonts w:ascii="Times New Roman" w:hAnsi="Times New Roman" w:cs="Times New Roman"/>
          <w:sz w:val="24"/>
          <w:szCs w:val="24"/>
        </w:rPr>
        <w:t xml:space="preserve"> </w:t>
      </w:r>
    </w:p>
    <w:p w14:paraId="503F4D7C" w14:textId="43A0B111" w:rsidR="00460BFE" w:rsidRDefault="00460BFE" w:rsidP="006519B6">
      <w:pPr>
        <w:spacing w:after="120" w:line="276" w:lineRule="auto"/>
        <w:jc w:val="both"/>
        <w:rPr>
          <w:rFonts w:ascii="Times New Roman" w:hAnsi="Times New Roman" w:cs="Times New Roman"/>
          <w:sz w:val="24"/>
          <w:szCs w:val="24"/>
        </w:rPr>
      </w:pPr>
      <w:r w:rsidRPr="00A80D46">
        <w:rPr>
          <w:rFonts w:ascii="Times New Roman" w:hAnsi="Times New Roman" w:cs="Times New Roman"/>
          <w:sz w:val="24"/>
          <w:szCs w:val="24"/>
        </w:rPr>
        <w:t>W</w:t>
      </w:r>
      <w:r w:rsidR="004310BB" w:rsidRPr="00A80D46">
        <w:rPr>
          <w:rFonts w:ascii="Times New Roman" w:hAnsi="Times New Roman" w:cs="Times New Roman"/>
          <w:sz w:val="24"/>
          <w:szCs w:val="24"/>
        </w:rPr>
        <w:t>edłu</w:t>
      </w:r>
      <w:r w:rsidRPr="00A80D46">
        <w:rPr>
          <w:rFonts w:ascii="Times New Roman" w:hAnsi="Times New Roman" w:cs="Times New Roman"/>
          <w:sz w:val="24"/>
          <w:szCs w:val="24"/>
        </w:rPr>
        <w:t xml:space="preserve">g szacunków </w:t>
      </w:r>
      <w:r w:rsidR="00514959" w:rsidRPr="00A80D46">
        <w:rPr>
          <w:rFonts w:ascii="Times New Roman" w:hAnsi="Times New Roman" w:cs="Times New Roman"/>
          <w:sz w:val="24"/>
          <w:szCs w:val="24"/>
        </w:rPr>
        <w:t xml:space="preserve">wynikających z </w:t>
      </w:r>
      <w:r w:rsidRPr="00A80D46">
        <w:rPr>
          <w:rFonts w:ascii="Times New Roman" w:hAnsi="Times New Roman" w:cs="Times New Roman"/>
          <w:sz w:val="24"/>
          <w:szCs w:val="24"/>
        </w:rPr>
        <w:t>prognoz OSD</w:t>
      </w:r>
      <w:r w:rsidR="00266AD3" w:rsidRPr="00A80D46">
        <w:rPr>
          <w:rFonts w:ascii="Times New Roman" w:hAnsi="Times New Roman" w:cs="Times New Roman"/>
          <w:sz w:val="24"/>
          <w:szCs w:val="24"/>
        </w:rPr>
        <w:t xml:space="preserve"> i OSP</w:t>
      </w:r>
      <w:r w:rsidRPr="00A80D46">
        <w:rPr>
          <w:rFonts w:ascii="Times New Roman" w:hAnsi="Times New Roman" w:cs="Times New Roman"/>
          <w:sz w:val="24"/>
          <w:szCs w:val="24"/>
        </w:rPr>
        <w:t xml:space="preserve"> dot</w:t>
      </w:r>
      <w:r w:rsidR="004310BB" w:rsidRPr="00A80D46">
        <w:rPr>
          <w:rFonts w:ascii="Times New Roman" w:hAnsi="Times New Roman" w:cs="Times New Roman"/>
          <w:sz w:val="24"/>
          <w:szCs w:val="24"/>
        </w:rPr>
        <w:t>yczących</w:t>
      </w:r>
      <w:r w:rsidRPr="00A80D46">
        <w:rPr>
          <w:rFonts w:ascii="Times New Roman" w:hAnsi="Times New Roman" w:cs="Times New Roman"/>
          <w:sz w:val="24"/>
          <w:szCs w:val="24"/>
        </w:rPr>
        <w:t xml:space="preserve"> obniżenia </w:t>
      </w:r>
      <w:r w:rsidR="00266AD3" w:rsidRPr="00A80D46">
        <w:rPr>
          <w:rFonts w:ascii="Times New Roman" w:hAnsi="Times New Roman" w:cs="Times New Roman"/>
          <w:sz w:val="24"/>
          <w:szCs w:val="24"/>
        </w:rPr>
        <w:t xml:space="preserve">wielkości </w:t>
      </w:r>
      <w:r w:rsidRPr="00A80D46">
        <w:rPr>
          <w:rFonts w:ascii="Times New Roman" w:hAnsi="Times New Roman" w:cs="Times New Roman"/>
          <w:sz w:val="24"/>
          <w:szCs w:val="24"/>
        </w:rPr>
        <w:t xml:space="preserve">dostawy </w:t>
      </w:r>
      <w:r w:rsidR="00266AD3" w:rsidRPr="00A80D46">
        <w:rPr>
          <w:rFonts w:ascii="Times New Roman" w:hAnsi="Times New Roman" w:cs="Times New Roman"/>
          <w:sz w:val="24"/>
          <w:szCs w:val="24"/>
        </w:rPr>
        <w:t xml:space="preserve">energii elektrycznej do odbiorców w kraju </w:t>
      </w:r>
      <w:r w:rsidRPr="00A80D46">
        <w:rPr>
          <w:rFonts w:ascii="Times New Roman" w:hAnsi="Times New Roman" w:cs="Times New Roman"/>
          <w:sz w:val="24"/>
          <w:szCs w:val="24"/>
        </w:rPr>
        <w:t>w 2020 roku, zmiana średniej ceny za świadczoną usługę dystrybucji w 2021, wynikająca z konta regulacyjnego (przy założeniu niezmiennych elementów kalkulacji Taryfy na 2020 rok</w:t>
      </w:r>
      <w:r w:rsidR="00DA428F" w:rsidRPr="00A80D46">
        <w:rPr>
          <w:rFonts w:ascii="Times New Roman" w:hAnsi="Times New Roman" w:cs="Times New Roman"/>
          <w:sz w:val="24"/>
          <w:szCs w:val="24"/>
        </w:rPr>
        <w:t>,</w:t>
      </w:r>
      <w:r w:rsidRPr="00A80D46">
        <w:rPr>
          <w:rFonts w:ascii="Times New Roman" w:hAnsi="Times New Roman" w:cs="Times New Roman"/>
          <w:sz w:val="24"/>
          <w:szCs w:val="24"/>
        </w:rPr>
        <w:t xml:space="preserve"> tj. przychód regulowany 2021 = przychód regulowany 2020 oraz wolumen 2021 = wolumen 2020), będzie mieściła się</w:t>
      </w:r>
      <w:r w:rsidR="004E30AB" w:rsidRPr="00A80D46">
        <w:rPr>
          <w:rFonts w:ascii="Times New Roman" w:hAnsi="Times New Roman" w:cs="Times New Roman"/>
          <w:sz w:val="24"/>
          <w:szCs w:val="24"/>
        </w:rPr>
        <w:t>,</w:t>
      </w:r>
      <w:r w:rsidRPr="00A80D46">
        <w:rPr>
          <w:rFonts w:ascii="Times New Roman" w:hAnsi="Times New Roman" w:cs="Times New Roman"/>
          <w:sz w:val="24"/>
          <w:szCs w:val="24"/>
        </w:rPr>
        <w:t xml:space="preserve"> </w:t>
      </w:r>
      <w:r w:rsidR="004E30AB" w:rsidRPr="00A80D46">
        <w:rPr>
          <w:rFonts w:ascii="Times New Roman" w:hAnsi="Times New Roman" w:cs="Times New Roman"/>
          <w:sz w:val="24"/>
          <w:szCs w:val="24"/>
        </w:rPr>
        <w:t>w</w:t>
      </w:r>
      <w:r w:rsidR="006138E6">
        <w:rPr>
          <w:rFonts w:ascii="Times New Roman" w:hAnsi="Times New Roman" w:cs="Times New Roman"/>
          <w:sz w:val="24"/>
          <w:szCs w:val="24"/>
        </w:rPr>
        <w:t> </w:t>
      </w:r>
      <w:r w:rsidRPr="00A80D46">
        <w:rPr>
          <w:rFonts w:ascii="Times New Roman" w:hAnsi="Times New Roman" w:cs="Times New Roman"/>
          <w:sz w:val="24"/>
          <w:szCs w:val="24"/>
        </w:rPr>
        <w:t xml:space="preserve">zależności od </w:t>
      </w:r>
      <w:r w:rsidR="00080C23" w:rsidRPr="00A80D46">
        <w:rPr>
          <w:rFonts w:ascii="Times New Roman" w:hAnsi="Times New Roman" w:cs="Times New Roman"/>
          <w:sz w:val="24"/>
          <w:szCs w:val="24"/>
        </w:rPr>
        <w:t>OSD</w:t>
      </w:r>
      <w:r w:rsidRPr="00A80D46">
        <w:rPr>
          <w:rFonts w:ascii="Times New Roman" w:hAnsi="Times New Roman" w:cs="Times New Roman"/>
          <w:sz w:val="24"/>
          <w:szCs w:val="24"/>
        </w:rPr>
        <w:t>, w przedziale 1,4</w:t>
      </w:r>
      <w:r w:rsidR="006138E6">
        <w:rPr>
          <w:rFonts w:ascii="Times New Roman" w:hAnsi="Times New Roman" w:cs="Times New Roman"/>
          <w:sz w:val="24"/>
          <w:szCs w:val="24"/>
        </w:rPr>
        <w:t xml:space="preserve"> </w:t>
      </w:r>
      <w:r w:rsidRPr="00A80D46">
        <w:rPr>
          <w:rFonts w:ascii="Times New Roman" w:hAnsi="Times New Roman" w:cs="Times New Roman"/>
          <w:sz w:val="24"/>
          <w:szCs w:val="24"/>
        </w:rPr>
        <w:t>% do 2,4</w:t>
      </w:r>
      <w:r w:rsidR="006138E6">
        <w:rPr>
          <w:rFonts w:ascii="Times New Roman" w:hAnsi="Times New Roman" w:cs="Times New Roman"/>
          <w:sz w:val="24"/>
          <w:szCs w:val="24"/>
        </w:rPr>
        <w:t xml:space="preserve"> </w:t>
      </w:r>
      <w:r w:rsidRPr="00A80D46">
        <w:rPr>
          <w:rFonts w:ascii="Times New Roman" w:hAnsi="Times New Roman" w:cs="Times New Roman"/>
          <w:sz w:val="24"/>
          <w:szCs w:val="24"/>
        </w:rPr>
        <w:t>%.</w:t>
      </w:r>
      <w:r w:rsidR="00777D54" w:rsidRPr="00A80D46">
        <w:rPr>
          <w:rFonts w:ascii="Times New Roman" w:hAnsi="Times New Roman" w:cs="Times New Roman"/>
          <w:sz w:val="24"/>
          <w:szCs w:val="24"/>
        </w:rPr>
        <w:t xml:space="preserve"> Dla OSP szacowan</w:t>
      </w:r>
      <w:r w:rsidR="00080C23" w:rsidRPr="00A80D46">
        <w:rPr>
          <w:rFonts w:ascii="Times New Roman" w:hAnsi="Times New Roman" w:cs="Times New Roman"/>
          <w:sz w:val="24"/>
          <w:szCs w:val="24"/>
        </w:rPr>
        <w:t>a</w:t>
      </w:r>
      <w:r w:rsidR="00777D54" w:rsidRPr="00A80D46">
        <w:rPr>
          <w:rFonts w:ascii="Times New Roman" w:hAnsi="Times New Roman" w:cs="Times New Roman"/>
          <w:sz w:val="24"/>
          <w:szCs w:val="24"/>
        </w:rPr>
        <w:t xml:space="preserve"> </w:t>
      </w:r>
      <w:r w:rsidR="006A609E" w:rsidRPr="00A80D46">
        <w:rPr>
          <w:rFonts w:ascii="Times New Roman" w:hAnsi="Times New Roman" w:cs="Times New Roman"/>
          <w:sz w:val="24"/>
          <w:szCs w:val="24"/>
        </w:rPr>
        <w:t xml:space="preserve">zmiana </w:t>
      </w:r>
      <w:r w:rsidR="00777D54" w:rsidRPr="00A80D46">
        <w:rPr>
          <w:rFonts w:ascii="Times New Roman" w:hAnsi="Times New Roman" w:cs="Times New Roman"/>
          <w:sz w:val="24"/>
          <w:szCs w:val="24"/>
        </w:rPr>
        <w:t xml:space="preserve">średniej ceny za świadczone usługi przesyłania </w:t>
      </w:r>
      <w:r w:rsidR="00080C23" w:rsidRPr="00A80D46">
        <w:rPr>
          <w:rFonts w:ascii="Times New Roman" w:hAnsi="Times New Roman" w:cs="Times New Roman"/>
          <w:sz w:val="24"/>
          <w:szCs w:val="24"/>
        </w:rPr>
        <w:t>wyniesie 1,9</w:t>
      </w:r>
      <w:r w:rsidR="006138E6">
        <w:rPr>
          <w:rFonts w:ascii="Times New Roman" w:hAnsi="Times New Roman" w:cs="Times New Roman"/>
          <w:sz w:val="24"/>
          <w:szCs w:val="24"/>
        </w:rPr>
        <w:t xml:space="preserve"> </w:t>
      </w:r>
      <w:r w:rsidR="00080C23" w:rsidRPr="00A80D46">
        <w:rPr>
          <w:rFonts w:ascii="Times New Roman" w:hAnsi="Times New Roman" w:cs="Times New Roman"/>
          <w:sz w:val="24"/>
          <w:szCs w:val="24"/>
        </w:rPr>
        <w:t>%</w:t>
      </w:r>
      <w:r w:rsidR="00E02F9B" w:rsidRPr="00A80D46">
        <w:rPr>
          <w:rFonts w:ascii="Times New Roman" w:hAnsi="Times New Roman" w:cs="Times New Roman"/>
          <w:sz w:val="24"/>
          <w:szCs w:val="24"/>
        </w:rPr>
        <w:t xml:space="preserve">. </w:t>
      </w:r>
    </w:p>
    <w:p w14:paraId="3777D575" w14:textId="02910623" w:rsidR="00407FAB" w:rsidRPr="009406A8" w:rsidRDefault="00407FAB" w:rsidP="009406A8">
      <w:pPr>
        <w:pStyle w:val="Akapitzlist"/>
        <w:numPr>
          <w:ilvl w:val="0"/>
          <w:numId w:val="6"/>
        </w:numPr>
        <w:spacing w:after="120" w:line="276" w:lineRule="auto"/>
        <w:ind w:left="0" w:firstLine="284"/>
        <w:jc w:val="both"/>
        <w:rPr>
          <w:rFonts w:ascii="Times New Roman" w:hAnsi="Times New Roman" w:cs="Times New Roman"/>
          <w:sz w:val="24"/>
          <w:szCs w:val="24"/>
        </w:rPr>
      </w:pPr>
      <w:r w:rsidRPr="009406A8">
        <w:rPr>
          <w:rFonts w:ascii="Times New Roman" w:hAnsi="Times New Roman" w:cs="Times New Roman"/>
          <w:sz w:val="24"/>
          <w:szCs w:val="24"/>
        </w:rPr>
        <w:t xml:space="preserve">Zapewnienie odbiorcom końcowym energii elektrycznej możliwości otrzymywania faktur oraz rozliczeń w formie elektronicznej wynika z konieczności implementacji do Polskiego porządku prawnego postanowień </w:t>
      </w:r>
      <w:r w:rsidR="008A321D">
        <w:rPr>
          <w:rFonts w:ascii="Times New Roman" w:hAnsi="Times New Roman" w:cs="Times New Roman"/>
          <w:sz w:val="24"/>
          <w:szCs w:val="24"/>
        </w:rPr>
        <w:t>a</w:t>
      </w:r>
      <w:r w:rsidRPr="009406A8">
        <w:rPr>
          <w:rFonts w:ascii="Times New Roman" w:hAnsi="Times New Roman" w:cs="Times New Roman"/>
          <w:sz w:val="24"/>
          <w:szCs w:val="24"/>
        </w:rPr>
        <w:t>rt. 10 ust</w:t>
      </w:r>
      <w:r w:rsidR="008A321D">
        <w:rPr>
          <w:rFonts w:ascii="Times New Roman" w:hAnsi="Times New Roman" w:cs="Times New Roman"/>
          <w:sz w:val="24"/>
          <w:szCs w:val="24"/>
        </w:rPr>
        <w:t>.</w:t>
      </w:r>
      <w:r w:rsidRPr="009406A8">
        <w:rPr>
          <w:rFonts w:ascii="Times New Roman" w:hAnsi="Times New Roman" w:cs="Times New Roman"/>
          <w:sz w:val="24"/>
          <w:szCs w:val="24"/>
        </w:rPr>
        <w:t xml:space="preserve"> 3 lit</w:t>
      </w:r>
      <w:r w:rsidR="00BC19BE">
        <w:rPr>
          <w:rFonts w:ascii="Times New Roman" w:hAnsi="Times New Roman" w:cs="Times New Roman"/>
          <w:sz w:val="24"/>
          <w:szCs w:val="24"/>
        </w:rPr>
        <w:t>.</w:t>
      </w:r>
      <w:r w:rsidRPr="009406A8">
        <w:rPr>
          <w:rFonts w:ascii="Times New Roman" w:hAnsi="Times New Roman" w:cs="Times New Roman"/>
          <w:sz w:val="24"/>
          <w:szCs w:val="24"/>
        </w:rPr>
        <w:t xml:space="preserve"> b </w:t>
      </w:r>
      <w:bookmarkStart w:id="1" w:name="_Hlk45802918"/>
      <w:r w:rsidR="008A321D">
        <w:rPr>
          <w:rFonts w:ascii="Times New Roman" w:hAnsi="Times New Roman" w:cs="Times New Roman"/>
          <w:sz w:val="24"/>
          <w:szCs w:val="24"/>
        </w:rPr>
        <w:t>d</w:t>
      </w:r>
      <w:r w:rsidRPr="009406A8">
        <w:rPr>
          <w:rFonts w:ascii="Times New Roman" w:hAnsi="Times New Roman" w:cs="Times New Roman"/>
          <w:sz w:val="24"/>
          <w:szCs w:val="24"/>
        </w:rPr>
        <w:t xml:space="preserve">yrektywy </w:t>
      </w:r>
      <w:r w:rsidR="000F3B9B" w:rsidRPr="000F3B9B">
        <w:rPr>
          <w:rFonts w:ascii="Times New Roman" w:hAnsi="Times New Roman" w:cs="Times New Roman"/>
          <w:sz w:val="24"/>
          <w:szCs w:val="24"/>
        </w:rPr>
        <w:t>2012/27</w:t>
      </w:r>
      <w:r w:rsidR="000F3B9B">
        <w:rPr>
          <w:rFonts w:ascii="Times New Roman" w:hAnsi="Times New Roman" w:cs="Times New Roman"/>
          <w:sz w:val="24"/>
          <w:szCs w:val="24"/>
        </w:rPr>
        <w:t>/</w:t>
      </w:r>
      <w:r w:rsidR="000F3B9B" w:rsidRPr="000F3B9B">
        <w:rPr>
          <w:rFonts w:ascii="Times New Roman" w:hAnsi="Times New Roman" w:cs="Times New Roman"/>
          <w:sz w:val="24"/>
          <w:szCs w:val="24"/>
        </w:rPr>
        <w:t xml:space="preserve">UE </w:t>
      </w:r>
      <w:r w:rsidR="00183BBD" w:rsidRPr="009406A8">
        <w:rPr>
          <w:rFonts w:ascii="Times New Roman" w:hAnsi="Times New Roman" w:cs="Times New Roman"/>
          <w:sz w:val="24"/>
          <w:szCs w:val="24"/>
        </w:rPr>
        <w:t xml:space="preserve">Parlamentu Europejskiego i Rady </w:t>
      </w:r>
      <w:r w:rsidR="00522F4E" w:rsidRPr="009406A8">
        <w:rPr>
          <w:rFonts w:ascii="Times New Roman" w:hAnsi="Times New Roman" w:cs="Times New Roman"/>
          <w:sz w:val="24"/>
          <w:szCs w:val="24"/>
        </w:rPr>
        <w:t>z dnia 25 października 2012 r. w sprawie efektywności energetycznej, zmiany dyrektyw 2009/125/WE i 2010/30/UE oraz uchylenia dyrektyw 2004/8/WE i 2006/32/WE</w:t>
      </w:r>
      <w:bookmarkEnd w:id="1"/>
      <w:r w:rsidR="008A321D">
        <w:rPr>
          <w:rFonts w:ascii="Times New Roman" w:hAnsi="Times New Roman" w:cs="Times New Roman"/>
          <w:sz w:val="24"/>
          <w:szCs w:val="24"/>
        </w:rPr>
        <w:t>, zwanej dalej „dyrektywą 2012/27”</w:t>
      </w:r>
      <w:r w:rsidR="005F4A04" w:rsidRPr="009406A8">
        <w:rPr>
          <w:rFonts w:ascii="Times New Roman" w:hAnsi="Times New Roman" w:cs="Times New Roman"/>
          <w:sz w:val="24"/>
          <w:szCs w:val="24"/>
        </w:rPr>
        <w:t xml:space="preserve">. </w:t>
      </w:r>
      <w:r w:rsidR="00522F4E" w:rsidRPr="009406A8">
        <w:rPr>
          <w:rFonts w:ascii="Times New Roman" w:hAnsi="Times New Roman" w:cs="Times New Roman"/>
          <w:sz w:val="24"/>
          <w:szCs w:val="24"/>
        </w:rPr>
        <w:t>Zgodnie z brzmieniem tego przepisu:</w:t>
      </w:r>
    </w:p>
    <w:p w14:paraId="2E86B10C" w14:textId="4642B096" w:rsidR="00407FAB" w:rsidRPr="009406A8" w:rsidRDefault="00407FAB" w:rsidP="006519B6">
      <w:pPr>
        <w:spacing w:after="120" w:line="276" w:lineRule="auto"/>
        <w:jc w:val="both"/>
        <w:rPr>
          <w:rFonts w:ascii="Times New Roman" w:hAnsi="Times New Roman" w:cs="Times New Roman"/>
          <w:i/>
          <w:iCs/>
          <w:sz w:val="24"/>
          <w:szCs w:val="24"/>
        </w:rPr>
      </w:pPr>
      <w:r w:rsidRPr="009406A8">
        <w:rPr>
          <w:rFonts w:ascii="Times New Roman" w:hAnsi="Times New Roman" w:cs="Times New Roman"/>
          <w:i/>
          <w:iCs/>
          <w:sz w:val="24"/>
          <w:szCs w:val="24"/>
        </w:rPr>
        <w:t>3.Niezależnie od tego, czy inteligentne liczniki zostały zamontowane, państwa członkowskie:</w:t>
      </w:r>
    </w:p>
    <w:p w14:paraId="1204F3E4" w14:textId="52DC20BD" w:rsidR="00407FAB" w:rsidRPr="009406A8" w:rsidRDefault="00407FAB" w:rsidP="006519B6">
      <w:pPr>
        <w:spacing w:after="120" w:line="276" w:lineRule="auto"/>
        <w:jc w:val="both"/>
        <w:rPr>
          <w:rFonts w:ascii="Times New Roman" w:hAnsi="Times New Roman" w:cs="Times New Roman"/>
          <w:i/>
          <w:iCs/>
          <w:sz w:val="24"/>
          <w:szCs w:val="24"/>
        </w:rPr>
      </w:pPr>
      <w:r w:rsidRPr="009406A8">
        <w:rPr>
          <w:rFonts w:ascii="Times New Roman" w:hAnsi="Times New Roman" w:cs="Times New Roman"/>
          <w:i/>
          <w:iCs/>
          <w:sz w:val="24"/>
          <w:szCs w:val="24"/>
        </w:rPr>
        <w:t>b) zapewniają, aby odbiorcom końcowym zaoferowano opcję elektronicznej formy informacji o rozliczeniach i rachunków oraz aby odbiorcy końcowi otrzymywali, na żądanie, jasne i zrozumiałe wyjaśnienie, w jaki sposób wyliczono ich rachunek, szczególnie w przypadkach, gdy rachunki nie są oparte na rzeczywistym zużyciu;</w:t>
      </w:r>
    </w:p>
    <w:p w14:paraId="74DB7087" w14:textId="06B5B232" w:rsidR="002B7297" w:rsidRDefault="002B7297" w:rsidP="006519B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Państwa członkowskie UE były zobowiązane do transpozycji postanowień </w:t>
      </w:r>
      <w:r w:rsidR="008A321D" w:rsidRPr="008A321D">
        <w:rPr>
          <w:rFonts w:ascii="Times New Roman" w:hAnsi="Times New Roman" w:cs="Times New Roman"/>
          <w:sz w:val="24"/>
          <w:szCs w:val="24"/>
        </w:rPr>
        <w:t>dyrektyw</w:t>
      </w:r>
      <w:r w:rsidR="008A321D">
        <w:rPr>
          <w:rFonts w:ascii="Times New Roman" w:hAnsi="Times New Roman" w:cs="Times New Roman"/>
          <w:sz w:val="24"/>
          <w:szCs w:val="24"/>
        </w:rPr>
        <w:t>y</w:t>
      </w:r>
      <w:r w:rsidR="008A321D" w:rsidRPr="008A321D">
        <w:rPr>
          <w:rFonts w:ascii="Times New Roman" w:hAnsi="Times New Roman" w:cs="Times New Roman"/>
          <w:sz w:val="24"/>
          <w:szCs w:val="24"/>
        </w:rPr>
        <w:t xml:space="preserve"> 2012/27</w:t>
      </w:r>
      <w:r>
        <w:rPr>
          <w:rFonts w:ascii="Times New Roman" w:hAnsi="Times New Roman" w:cs="Times New Roman"/>
          <w:sz w:val="24"/>
          <w:szCs w:val="24"/>
        </w:rPr>
        <w:t xml:space="preserve"> do dnia 5 czerwca 2014 r. Dokonując implementacji </w:t>
      </w:r>
      <w:bookmarkStart w:id="2" w:name="_Hlk45791516"/>
      <w:r w:rsidR="008A321D" w:rsidRPr="008A321D">
        <w:rPr>
          <w:rFonts w:ascii="Times New Roman" w:hAnsi="Times New Roman" w:cs="Times New Roman"/>
          <w:sz w:val="24"/>
          <w:szCs w:val="24"/>
        </w:rPr>
        <w:t>dyrektyw</w:t>
      </w:r>
      <w:r w:rsidR="008A321D">
        <w:rPr>
          <w:rFonts w:ascii="Times New Roman" w:hAnsi="Times New Roman" w:cs="Times New Roman"/>
          <w:sz w:val="24"/>
          <w:szCs w:val="24"/>
        </w:rPr>
        <w:t>y</w:t>
      </w:r>
      <w:r w:rsidR="008A321D" w:rsidRPr="008A321D">
        <w:rPr>
          <w:rFonts w:ascii="Times New Roman" w:hAnsi="Times New Roman" w:cs="Times New Roman"/>
          <w:sz w:val="24"/>
          <w:szCs w:val="24"/>
        </w:rPr>
        <w:t xml:space="preserve"> 2012/27</w:t>
      </w:r>
      <w:r>
        <w:rPr>
          <w:rFonts w:ascii="Times New Roman" w:hAnsi="Times New Roman" w:cs="Times New Roman"/>
          <w:sz w:val="24"/>
          <w:szCs w:val="24"/>
        </w:rPr>
        <w:t xml:space="preserve"> </w:t>
      </w:r>
      <w:bookmarkEnd w:id="2"/>
      <w:r>
        <w:rPr>
          <w:rFonts w:ascii="Times New Roman" w:hAnsi="Times New Roman" w:cs="Times New Roman"/>
          <w:sz w:val="24"/>
          <w:szCs w:val="24"/>
        </w:rPr>
        <w:t>do porządku prawnego</w:t>
      </w:r>
      <w:r w:rsidR="008A321D">
        <w:rPr>
          <w:rFonts w:ascii="Times New Roman" w:hAnsi="Times New Roman" w:cs="Times New Roman"/>
          <w:sz w:val="24"/>
          <w:szCs w:val="24"/>
        </w:rPr>
        <w:t>,</w:t>
      </w:r>
      <w:r>
        <w:rPr>
          <w:rFonts w:ascii="Times New Roman" w:hAnsi="Times New Roman" w:cs="Times New Roman"/>
          <w:sz w:val="24"/>
          <w:szCs w:val="24"/>
        </w:rPr>
        <w:t xml:space="preserve"> </w:t>
      </w:r>
      <w:r w:rsidR="008A321D">
        <w:rPr>
          <w:rFonts w:ascii="Times New Roman" w:hAnsi="Times New Roman" w:cs="Times New Roman"/>
          <w:sz w:val="24"/>
          <w:szCs w:val="24"/>
        </w:rPr>
        <w:t>Rząd RP</w:t>
      </w:r>
      <w:r>
        <w:rPr>
          <w:rFonts w:ascii="Times New Roman" w:hAnsi="Times New Roman" w:cs="Times New Roman"/>
          <w:sz w:val="24"/>
          <w:szCs w:val="24"/>
        </w:rPr>
        <w:t xml:space="preserve"> uznał, że istniejące regulacje zawarte w:</w:t>
      </w:r>
    </w:p>
    <w:p w14:paraId="345891BD" w14:textId="261C1098" w:rsidR="002B7297" w:rsidRPr="00D554C3" w:rsidRDefault="002B7297" w:rsidP="00D554C3">
      <w:pPr>
        <w:pStyle w:val="Akapitzlist"/>
        <w:numPr>
          <w:ilvl w:val="0"/>
          <w:numId w:val="5"/>
        </w:numPr>
        <w:spacing w:after="120" w:line="276" w:lineRule="auto"/>
        <w:jc w:val="both"/>
        <w:rPr>
          <w:rFonts w:ascii="Times New Roman" w:hAnsi="Times New Roman" w:cs="Times New Roman"/>
          <w:sz w:val="24"/>
          <w:szCs w:val="24"/>
        </w:rPr>
      </w:pPr>
      <w:r w:rsidRPr="00D554C3">
        <w:rPr>
          <w:rFonts w:ascii="Times New Roman" w:hAnsi="Times New Roman" w:cs="Times New Roman"/>
          <w:sz w:val="24"/>
          <w:szCs w:val="24"/>
        </w:rPr>
        <w:lastRenderedPageBreak/>
        <w:t xml:space="preserve">§ 35 ust. 1–2 i § 42 ust. 10 </w:t>
      </w:r>
      <w:r w:rsidR="009406A8">
        <w:rPr>
          <w:rFonts w:ascii="Times New Roman" w:hAnsi="Times New Roman" w:cs="Times New Roman"/>
          <w:sz w:val="24"/>
          <w:szCs w:val="24"/>
        </w:rPr>
        <w:t>R</w:t>
      </w:r>
      <w:r w:rsidRPr="00D554C3">
        <w:rPr>
          <w:rFonts w:ascii="Times New Roman" w:hAnsi="Times New Roman" w:cs="Times New Roman"/>
          <w:sz w:val="24"/>
          <w:szCs w:val="24"/>
        </w:rPr>
        <w:t xml:space="preserve">ozporządzenia </w:t>
      </w:r>
      <w:r w:rsidR="009406A8">
        <w:rPr>
          <w:rFonts w:ascii="Times New Roman" w:hAnsi="Times New Roman" w:cs="Times New Roman"/>
          <w:sz w:val="24"/>
          <w:szCs w:val="24"/>
        </w:rPr>
        <w:t xml:space="preserve">Ministra Energii z dnia 6 marca 2019 r. </w:t>
      </w:r>
      <w:r w:rsidRPr="00D554C3">
        <w:rPr>
          <w:rFonts w:ascii="Times New Roman" w:hAnsi="Times New Roman" w:cs="Times New Roman"/>
          <w:sz w:val="24"/>
          <w:szCs w:val="24"/>
        </w:rPr>
        <w:t xml:space="preserve">w sprawie </w:t>
      </w:r>
      <w:r w:rsidR="009406A8">
        <w:rPr>
          <w:rFonts w:ascii="Times New Roman" w:hAnsi="Times New Roman" w:cs="Times New Roman"/>
          <w:sz w:val="24"/>
          <w:szCs w:val="24"/>
        </w:rPr>
        <w:t>szczegółowych zasad kształtowania i kalkulacji taryf oraz rozliczeń w obrocie energią elektryczną</w:t>
      </w:r>
      <w:r w:rsidRPr="00D554C3">
        <w:rPr>
          <w:rFonts w:ascii="Times New Roman" w:hAnsi="Times New Roman" w:cs="Times New Roman"/>
          <w:sz w:val="24"/>
          <w:szCs w:val="24"/>
        </w:rPr>
        <w:t xml:space="preserve">; </w:t>
      </w:r>
    </w:p>
    <w:p w14:paraId="17EC5F39" w14:textId="546F3E49" w:rsidR="002B7297" w:rsidRDefault="002B7297" w:rsidP="002B7297">
      <w:pPr>
        <w:pStyle w:val="Akapitzlist"/>
        <w:numPr>
          <w:ilvl w:val="0"/>
          <w:numId w:val="5"/>
        </w:numPr>
        <w:spacing w:after="120" w:line="276" w:lineRule="auto"/>
        <w:jc w:val="both"/>
        <w:rPr>
          <w:rFonts w:ascii="Times New Roman" w:hAnsi="Times New Roman" w:cs="Times New Roman"/>
          <w:sz w:val="24"/>
          <w:szCs w:val="24"/>
        </w:rPr>
      </w:pPr>
      <w:r w:rsidRPr="00D554C3">
        <w:rPr>
          <w:rFonts w:ascii="Times New Roman" w:hAnsi="Times New Roman" w:cs="Times New Roman"/>
          <w:sz w:val="24"/>
          <w:szCs w:val="24"/>
        </w:rPr>
        <w:t>art. 5 ust. 6c ustawy –</w:t>
      </w:r>
      <w:r w:rsidR="00EB533C">
        <w:rPr>
          <w:rFonts w:ascii="Times New Roman" w:hAnsi="Times New Roman" w:cs="Times New Roman"/>
          <w:sz w:val="24"/>
          <w:szCs w:val="24"/>
        </w:rPr>
        <w:t xml:space="preserve"> </w:t>
      </w:r>
      <w:r w:rsidRPr="00D554C3">
        <w:rPr>
          <w:rFonts w:ascii="Times New Roman" w:hAnsi="Times New Roman" w:cs="Times New Roman"/>
          <w:sz w:val="24"/>
          <w:szCs w:val="24"/>
        </w:rPr>
        <w:t>Prawo energetyczne</w:t>
      </w:r>
      <w:r w:rsidR="00BC5C79">
        <w:rPr>
          <w:rFonts w:ascii="Times New Roman" w:hAnsi="Times New Roman" w:cs="Times New Roman"/>
          <w:sz w:val="24"/>
          <w:szCs w:val="24"/>
        </w:rPr>
        <w:t>,</w:t>
      </w:r>
    </w:p>
    <w:p w14:paraId="66B9A0D3" w14:textId="2A986636" w:rsidR="002B7297" w:rsidRDefault="002B7297" w:rsidP="002B7297">
      <w:pPr>
        <w:pStyle w:val="Akapitzlist"/>
        <w:numPr>
          <w:ilvl w:val="0"/>
          <w:numId w:val="5"/>
        </w:numPr>
        <w:spacing w:after="120" w:line="276" w:lineRule="auto"/>
        <w:jc w:val="both"/>
        <w:rPr>
          <w:rFonts w:ascii="Times New Roman" w:hAnsi="Times New Roman" w:cs="Times New Roman"/>
          <w:sz w:val="24"/>
          <w:szCs w:val="24"/>
        </w:rPr>
      </w:pPr>
      <w:r w:rsidRPr="00D554C3">
        <w:rPr>
          <w:rFonts w:ascii="Times New Roman" w:hAnsi="Times New Roman" w:cs="Times New Roman"/>
          <w:sz w:val="24"/>
          <w:szCs w:val="24"/>
        </w:rPr>
        <w:t>ustaw</w:t>
      </w:r>
      <w:r w:rsidR="008A321D">
        <w:rPr>
          <w:rFonts w:ascii="Times New Roman" w:hAnsi="Times New Roman" w:cs="Times New Roman"/>
          <w:sz w:val="24"/>
          <w:szCs w:val="24"/>
        </w:rPr>
        <w:t>ie</w:t>
      </w:r>
      <w:r w:rsidRPr="00D554C3">
        <w:rPr>
          <w:rFonts w:ascii="Times New Roman" w:hAnsi="Times New Roman" w:cs="Times New Roman"/>
          <w:sz w:val="24"/>
          <w:szCs w:val="24"/>
        </w:rPr>
        <w:t xml:space="preserve"> z dnia 11 marca 2004 r. o opodatkowaniu towarów i usług</w:t>
      </w:r>
      <w:r w:rsidR="00BC5C79">
        <w:rPr>
          <w:rFonts w:ascii="Times New Roman" w:hAnsi="Times New Roman" w:cs="Times New Roman"/>
          <w:sz w:val="24"/>
          <w:szCs w:val="24"/>
        </w:rPr>
        <w:t>,</w:t>
      </w:r>
    </w:p>
    <w:p w14:paraId="61E0C382" w14:textId="0381D38D" w:rsidR="002B7297" w:rsidRDefault="002B7297" w:rsidP="002B7297">
      <w:pPr>
        <w:pStyle w:val="Akapitzlist"/>
        <w:numPr>
          <w:ilvl w:val="0"/>
          <w:numId w:val="5"/>
        </w:numPr>
        <w:spacing w:after="120" w:line="276" w:lineRule="auto"/>
        <w:jc w:val="both"/>
        <w:rPr>
          <w:rFonts w:ascii="Times New Roman" w:hAnsi="Times New Roman" w:cs="Times New Roman"/>
          <w:sz w:val="24"/>
          <w:szCs w:val="24"/>
        </w:rPr>
      </w:pPr>
      <w:r w:rsidRPr="00D554C3">
        <w:rPr>
          <w:rFonts w:ascii="Times New Roman" w:hAnsi="Times New Roman" w:cs="Times New Roman"/>
          <w:sz w:val="24"/>
          <w:szCs w:val="24"/>
        </w:rPr>
        <w:t>rozporządzeni</w:t>
      </w:r>
      <w:r w:rsidR="008A321D">
        <w:rPr>
          <w:rFonts w:ascii="Times New Roman" w:hAnsi="Times New Roman" w:cs="Times New Roman"/>
          <w:sz w:val="24"/>
          <w:szCs w:val="24"/>
        </w:rPr>
        <w:t>u</w:t>
      </w:r>
      <w:r>
        <w:rPr>
          <w:rFonts w:ascii="Times New Roman" w:hAnsi="Times New Roman" w:cs="Times New Roman"/>
          <w:sz w:val="24"/>
          <w:szCs w:val="24"/>
        </w:rPr>
        <w:t xml:space="preserve"> </w:t>
      </w:r>
      <w:r w:rsidRPr="00D554C3">
        <w:rPr>
          <w:rFonts w:ascii="Times New Roman" w:hAnsi="Times New Roman" w:cs="Times New Roman"/>
          <w:sz w:val="24"/>
          <w:szCs w:val="24"/>
        </w:rPr>
        <w:t>Ministra Finansów z dnia 20 grudnia 2012 r. w sprawie przesyłania faktur w formie elektronicznej</w:t>
      </w:r>
    </w:p>
    <w:p w14:paraId="5E0E9601" w14:textId="1937428E" w:rsidR="00BC19BE" w:rsidRDefault="008A321D" w:rsidP="002B729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297">
        <w:rPr>
          <w:rFonts w:ascii="Times New Roman" w:hAnsi="Times New Roman" w:cs="Times New Roman"/>
          <w:sz w:val="24"/>
          <w:szCs w:val="24"/>
        </w:rPr>
        <w:t xml:space="preserve">w sposób dostateczny zapewniają wykonanie wskazanego powyżej przepisu </w:t>
      </w:r>
      <w:r w:rsidRPr="008A321D">
        <w:rPr>
          <w:rFonts w:ascii="Times New Roman" w:hAnsi="Times New Roman" w:cs="Times New Roman"/>
          <w:sz w:val="24"/>
          <w:szCs w:val="24"/>
        </w:rPr>
        <w:t>dyrektywy 2012/27</w:t>
      </w:r>
      <w:r w:rsidR="002B7297">
        <w:rPr>
          <w:rFonts w:ascii="Times New Roman" w:hAnsi="Times New Roman" w:cs="Times New Roman"/>
          <w:sz w:val="24"/>
          <w:szCs w:val="24"/>
        </w:rPr>
        <w:t>, a zatem ni</w:t>
      </w:r>
      <w:r w:rsidR="00D56E19">
        <w:rPr>
          <w:rFonts w:ascii="Times New Roman" w:hAnsi="Times New Roman" w:cs="Times New Roman"/>
          <w:sz w:val="24"/>
          <w:szCs w:val="24"/>
        </w:rPr>
        <w:t>e stwierdzono</w:t>
      </w:r>
      <w:r w:rsidR="002B7297">
        <w:rPr>
          <w:rFonts w:ascii="Times New Roman" w:hAnsi="Times New Roman" w:cs="Times New Roman"/>
          <w:sz w:val="24"/>
          <w:szCs w:val="24"/>
        </w:rPr>
        <w:t xml:space="preserve"> potrzeby wprowadzania </w:t>
      </w:r>
      <w:r w:rsidR="005F4A04">
        <w:rPr>
          <w:rFonts w:ascii="Times New Roman" w:hAnsi="Times New Roman" w:cs="Times New Roman"/>
          <w:sz w:val="24"/>
          <w:szCs w:val="24"/>
        </w:rPr>
        <w:t>dodatkowych regulacji w tym zakresie.</w:t>
      </w:r>
    </w:p>
    <w:p w14:paraId="1D60AC10" w14:textId="034D5BC3" w:rsidR="002B7297" w:rsidRPr="00D554C3" w:rsidRDefault="008A321D" w:rsidP="002B729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Komisja Europejska przedstawiła jednakże</w:t>
      </w:r>
      <w:r w:rsidR="005F4A04">
        <w:rPr>
          <w:rFonts w:ascii="Times New Roman" w:hAnsi="Times New Roman" w:cs="Times New Roman"/>
          <w:sz w:val="24"/>
          <w:szCs w:val="24"/>
        </w:rPr>
        <w:t xml:space="preserve"> </w:t>
      </w:r>
      <w:r>
        <w:rPr>
          <w:rFonts w:ascii="Times New Roman" w:hAnsi="Times New Roman" w:cs="Times New Roman"/>
          <w:sz w:val="24"/>
          <w:szCs w:val="24"/>
        </w:rPr>
        <w:t xml:space="preserve">w dniu 7 lipca 2020 r. </w:t>
      </w:r>
      <w:r w:rsidR="004107EE">
        <w:rPr>
          <w:rFonts w:ascii="Times New Roman" w:hAnsi="Times New Roman" w:cs="Times New Roman"/>
          <w:sz w:val="24"/>
          <w:szCs w:val="24"/>
        </w:rPr>
        <w:t xml:space="preserve">uzasadnioną opinię wydaną </w:t>
      </w:r>
      <w:r w:rsidR="005F4A04">
        <w:rPr>
          <w:rFonts w:ascii="Times New Roman" w:hAnsi="Times New Roman" w:cs="Times New Roman"/>
          <w:sz w:val="24"/>
          <w:szCs w:val="24"/>
        </w:rPr>
        <w:t>na p</w:t>
      </w:r>
      <w:r w:rsidR="005F4A04" w:rsidRPr="00D554C3">
        <w:rPr>
          <w:rFonts w:ascii="Times New Roman" w:hAnsi="Times New Roman" w:cs="Times New Roman"/>
          <w:sz w:val="24"/>
          <w:szCs w:val="24"/>
        </w:rPr>
        <w:t>odstawie art. 258 Traktatu o funkcjonowaniu Unii Europejskiej w związku z nieprawidłową transpozycją i nieprawidłowym stosowaniem dyrektywy Parlamentu Europejskiego i Rady 2012/27/UE z dnia 25 października 2012 r. w sprawie efektywności energetycznej</w:t>
      </w:r>
      <w:r w:rsidR="005F4A04">
        <w:rPr>
          <w:rFonts w:ascii="Times New Roman" w:hAnsi="Times New Roman" w:cs="Times New Roman"/>
          <w:sz w:val="24"/>
          <w:szCs w:val="24"/>
        </w:rPr>
        <w:t>, w któr</w:t>
      </w:r>
      <w:r w:rsidR="004107EE">
        <w:rPr>
          <w:rFonts w:ascii="Times New Roman" w:hAnsi="Times New Roman" w:cs="Times New Roman"/>
          <w:sz w:val="24"/>
          <w:szCs w:val="24"/>
        </w:rPr>
        <w:t>ej</w:t>
      </w:r>
      <w:r w:rsidR="005F4A04">
        <w:rPr>
          <w:rFonts w:ascii="Times New Roman" w:hAnsi="Times New Roman" w:cs="Times New Roman"/>
          <w:sz w:val="24"/>
          <w:szCs w:val="24"/>
        </w:rPr>
        <w:t xml:space="preserve"> uznała, że Polska nie dokonała prawidłowej transpozycji postanowień art. 10 ust</w:t>
      </w:r>
      <w:r w:rsidR="00BC19BE">
        <w:rPr>
          <w:rFonts w:ascii="Times New Roman" w:hAnsi="Times New Roman" w:cs="Times New Roman"/>
          <w:sz w:val="24"/>
          <w:szCs w:val="24"/>
        </w:rPr>
        <w:t>.</w:t>
      </w:r>
      <w:r w:rsidR="005F4A04">
        <w:rPr>
          <w:rFonts w:ascii="Times New Roman" w:hAnsi="Times New Roman" w:cs="Times New Roman"/>
          <w:sz w:val="24"/>
          <w:szCs w:val="24"/>
        </w:rPr>
        <w:t xml:space="preserve"> 3 lit</w:t>
      </w:r>
      <w:r w:rsidR="00BC19BE">
        <w:rPr>
          <w:rFonts w:ascii="Times New Roman" w:hAnsi="Times New Roman" w:cs="Times New Roman"/>
          <w:sz w:val="24"/>
          <w:szCs w:val="24"/>
        </w:rPr>
        <w:t>.</w:t>
      </w:r>
      <w:r w:rsidR="005F4A04">
        <w:rPr>
          <w:rFonts w:ascii="Times New Roman" w:hAnsi="Times New Roman" w:cs="Times New Roman"/>
          <w:sz w:val="24"/>
          <w:szCs w:val="24"/>
        </w:rPr>
        <w:t xml:space="preserve"> b </w:t>
      </w:r>
      <w:r w:rsidR="00875F82">
        <w:rPr>
          <w:rFonts w:ascii="Times New Roman" w:hAnsi="Times New Roman" w:cs="Times New Roman"/>
          <w:sz w:val="24"/>
          <w:szCs w:val="24"/>
        </w:rPr>
        <w:t>d</w:t>
      </w:r>
      <w:r w:rsidR="005F4A04">
        <w:rPr>
          <w:rFonts w:ascii="Times New Roman" w:hAnsi="Times New Roman" w:cs="Times New Roman"/>
          <w:sz w:val="24"/>
          <w:szCs w:val="24"/>
        </w:rPr>
        <w:t>yrektywy</w:t>
      </w:r>
      <w:r w:rsidR="0012505B">
        <w:rPr>
          <w:rFonts w:ascii="Times New Roman" w:hAnsi="Times New Roman" w:cs="Times New Roman"/>
          <w:sz w:val="24"/>
          <w:szCs w:val="24"/>
        </w:rPr>
        <w:t xml:space="preserve"> </w:t>
      </w:r>
      <w:r w:rsidR="0012505B" w:rsidRPr="008A321D">
        <w:rPr>
          <w:rFonts w:ascii="Times New Roman" w:hAnsi="Times New Roman" w:cs="Times New Roman"/>
          <w:sz w:val="24"/>
          <w:szCs w:val="24"/>
        </w:rPr>
        <w:t>2012/27</w:t>
      </w:r>
      <w:r w:rsidR="00875F82">
        <w:rPr>
          <w:rFonts w:ascii="Times New Roman" w:hAnsi="Times New Roman" w:cs="Times New Roman"/>
          <w:sz w:val="24"/>
          <w:szCs w:val="24"/>
        </w:rPr>
        <w:t>. W związku z tym</w:t>
      </w:r>
      <w:r w:rsidR="005F4A04">
        <w:rPr>
          <w:rFonts w:ascii="Times New Roman" w:hAnsi="Times New Roman" w:cs="Times New Roman"/>
          <w:sz w:val="24"/>
          <w:szCs w:val="24"/>
        </w:rPr>
        <w:t xml:space="preserve"> zasadnym jest wprowadzenie do </w:t>
      </w:r>
      <w:r w:rsidR="00875F82">
        <w:rPr>
          <w:rFonts w:ascii="Times New Roman" w:hAnsi="Times New Roman" w:cs="Times New Roman"/>
          <w:sz w:val="24"/>
          <w:szCs w:val="24"/>
        </w:rPr>
        <w:t>r</w:t>
      </w:r>
      <w:r w:rsidR="005F4A04">
        <w:rPr>
          <w:rFonts w:ascii="Times New Roman" w:hAnsi="Times New Roman" w:cs="Times New Roman"/>
          <w:sz w:val="24"/>
          <w:szCs w:val="24"/>
        </w:rPr>
        <w:t xml:space="preserve">ozporządzenia taryfowego dodatkowych przepisów, jednoznacznie regulujących tą kwestię. </w:t>
      </w:r>
      <w:r w:rsidR="00893D2D">
        <w:rPr>
          <w:rFonts w:ascii="Times New Roman" w:hAnsi="Times New Roman" w:cs="Times New Roman"/>
          <w:sz w:val="24"/>
          <w:szCs w:val="24"/>
        </w:rPr>
        <w:t>Zaproponowane rozwiązanie zawarte planowanym w § 32 ust</w:t>
      </w:r>
      <w:r w:rsidR="00875F82">
        <w:rPr>
          <w:rFonts w:ascii="Times New Roman" w:hAnsi="Times New Roman" w:cs="Times New Roman"/>
          <w:sz w:val="24"/>
          <w:szCs w:val="24"/>
        </w:rPr>
        <w:t>.</w:t>
      </w:r>
      <w:r w:rsidR="00893D2D">
        <w:rPr>
          <w:rFonts w:ascii="Times New Roman" w:hAnsi="Times New Roman" w:cs="Times New Roman"/>
          <w:sz w:val="24"/>
          <w:szCs w:val="24"/>
        </w:rPr>
        <w:t xml:space="preserve"> 6 implementuje </w:t>
      </w:r>
      <w:r w:rsidR="00D56E19">
        <w:rPr>
          <w:rFonts w:ascii="Times New Roman" w:hAnsi="Times New Roman" w:cs="Times New Roman"/>
          <w:sz w:val="24"/>
          <w:szCs w:val="24"/>
        </w:rPr>
        <w:t xml:space="preserve">wprost </w:t>
      </w:r>
      <w:r w:rsidR="00893D2D">
        <w:rPr>
          <w:rFonts w:ascii="Times New Roman" w:hAnsi="Times New Roman" w:cs="Times New Roman"/>
          <w:sz w:val="24"/>
          <w:szCs w:val="24"/>
        </w:rPr>
        <w:t xml:space="preserve">wskazany powyżej przepis </w:t>
      </w:r>
      <w:r w:rsidR="00875F82">
        <w:rPr>
          <w:rFonts w:ascii="Times New Roman" w:hAnsi="Times New Roman" w:cs="Times New Roman"/>
          <w:sz w:val="24"/>
          <w:szCs w:val="24"/>
        </w:rPr>
        <w:t xml:space="preserve">dyrektywy </w:t>
      </w:r>
      <w:r w:rsidR="00875F82" w:rsidRPr="00D554C3">
        <w:rPr>
          <w:rFonts w:ascii="Times New Roman" w:hAnsi="Times New Roman" w:cs="Times New Roman"/>
          <w:sz w:val="24"/>
          <w:szCs w:val="24"/>
        </w:rPr>
        <w:t>2012/27/UE</w:t>
      </w:r>
      <w:r w:rsidR="00893D2D">
        <w:rPr>
          <w:rFonts w:ascii="Times New Roman" w:hAnsi="Times New Roman" w:cs="Times New Roman"/>
          <w:sz w:val="24"/>
          <w:szCs w:val="24"/>
        </w:rPr>
        <w:t xml:space="preserve"> </w:t>
      </w:r>
      <w:r w:rsidR="00D56E19">
        <w:rPr>
          <w:rFonts w:ascii="Times New Roman" w:hAnsi="Times New Roman" w:cs="Times New Roman"/>
          <w:sz w:val="24"/>
          <w:szCs w:val="24"/>
        </w:rPr>
        <w:t>do polskiego porządku prawnego</w:t>
      </w:r>
      <w:r w:rsidR="00875F82">
        <w:rPr>
          <w:rFonts w:ascii="Times New Roman" w:hAnsi="Times New Roman" w:cs="Times New Roman"/>
          <w:sz w:val="24"/>
          <w:szCs w:val="24"/>
        </w:rPr>
        <w:t>,</w:t>
      </w:r>
      <w:r w:rsidR="00D56E19">
        <w:rPr>
          <w:rFonts w:ascii="Times New Roman" w:hAnsi="Times New Roman" w:cs="Times New Roman"/>
          <w:sz w:val="24"/>
          <w:szCs w:val="24"/>
        </w:rPr>
        <w:t xml:space="preserve"> usuwając tym samym jakiekolwiek wątpliwości co do możliwości stosowania takiego rozwiązania w rozliczeniach pomiędzy przedsiębiorstwami energetycznymi a odbiorcami energii elektrycznej.</w:t>
      </w:r>
    </w:p>
    <w:p w14:paraId="3093D822" w14:textId="174D430E" w:rsidR="007B0DD3" w:rsidRDefault="007B0DD3" w:rsidP="006519B6">
      <w:pPr>
        <w:spacing w:after="120" w:line="276" w:lineRule="auto"/>
        <w:jc w:val="both"/>
        <w:rPr>
          <w:rFonts w:ascii="Times New Roman" w:hAnsi="Times New Roman" w:cs="Times New Roman"/>
          <w:sz w:val="24"/>
          <w:szCs w:val="24"/>
        </w:rPr>
      </w:pPr>
    </w:p>
    <w:p w14:paraId="77F33A10" w14:textId="2D69B4B3" w:rsidR="007B0DD3" w:rsidRPr="00206C26" w:rsidRDefault="007B0DD3" w:rsidP="007B0DD3">
      <w:pPr>
        <w:keepNext/>
        <w:spacing w:after="120"/>
        <w:jc w:val="both"/>
        <w:rPr>
          <w:rFonts w:ascii="Times New Roman" w:hAnsi="Times New Roman" w:cs="Times New Roman"/>
          <w:b/>
          <w:bCs/>
          <w:sz w:val="24"/>
          <w:szCs w:val="24"/>
        </w:rPr>
      </w:pPr>
      <w:r>
        <w:rPr>
          <w:rFonts w:ascii="Times New Roman" w:hAnsi="Times New Roman" w:cs="Times New Roman"/>
          <w:b/>
          <w:bCs/>
          <w:sz w:val="24"/>
          <w:szCs w:val="24"/>
        </w:rPr>
        <w:t>Zgodność z prawem polskim i Unii Europejskiej</w:t>
      </w:r>
    </w:p>
    <w:p w14:paraId="5437AB9A" w14:textId="6FC266E9" w:rsidR="00206C26" w:rsidRPr="00D357EA" w:rsidRDefault="00206C26" w:rsidP="006519B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w:t>
      </w:r>
      <w:r w:rsidRPr="00D357EA">
        <w:rPr>
          <w:rFonts w:ascii="Times New Roman" w:hAnsi="Times New Roman" w:cs="Times New Roman"/>
          <w:sz w:val="24"/>
          <w:szCs w:val="24"/>
        </w:rPr>
        <w:t xml:space="preserve">rojekt rozporządzenia </w:t>
      </w:r>
      <w:r w:rsidR="0012505B">
        <w:rPr>
          <w:rFonts w:ascii="Times New Roman" w:hAnsi="Times New Roman" w:cs="Times New Roman"/>
          <w:sz w:val="24"/>
          <w:szCs w:val="24"/>
        </w:rPr>
        <w:t>jest zgodny</w:t>
      </w:r>
      <w:r>
        <w:rPr>
          <w:rFonts w:ascii="Times New Roman" w:hAnsi="Times New Roman" w:cs="Times New Roman"/>
          <w:sz w:val="24"/>
          <w:szCs w:val="24"/>
        </w:rPr>
        <w:t xml:space="preserve"> z prawem Unii Europejskiej. </w:t>
      </w:r>
    </w:p>
    <w:p w14:paraId="76BF133A" w14:textId="269D8238" w:rsidR="00206C26" w:rsidRPr="000B6C4B" w:rsidRDefault="00206C26" w:rsidP="006519B6">
      <w:pPr>
        <w:spacing w:after="120" w:line="276" w:lineRule="auto"/>
        <w:jc w:val="both"/>
        <w:rPr>
          <w:rFonts w:ascii="Times New Roman" w:hAnsi="Times New Roman" w:cs="Times New Roman"/>
          <w:sz w:val="24"/>
          <w:szCs w:val="24"/>
        </w:rPr>
      </w:pPr>
      <w:r w:rsidRPr="000B6C4B">
        <w:rPr>
          <w:rFonts w:ascii="Times New Roman" w:hAnsi="Times New Roman" w:cs="Times New Roman"/>
          <w:sz w:val="24"/>
          <w:szCs w:val="24"/>
        </w:rPr>
        <w:t>Projekt rozporządzenia nie wymaga przedstawienia organom i instytucjom Unii Europejskiej, w tym Europejskiemu Bankowi Centralnemu, w celu uzyskania opinii, dokonania powiadomienia, konsultacji albo uzgodnienia</w:t>
      </w:r>
      <w:r w:rsidR="00125795">
        <w:rPr>
          <w:rFonts w:ascii="Times New Roman" w:hAnsi="Times New Roman" w:cs="Times New Roman"/>
          <w:sz w:val="24"/>
          <w:szCs w:val="24"/>
        </w:rPr>
        <w:t>.</w:t>
      </w:r>
    </w:p>
    <w:p w14:paraId="1B518192" w14:textId="63D60502" w:rsidR="00206C26" w:rsidRDefault="00206C26" w:rsidP="006519B6">
      <w:pPr>
        <w:spacing w:after="120" w:line="276" w:lineRule="auto"/>
        <w:jc w:val="both"/>
        <w:rPr>
          <w:rFonts w:ascii="Times New Roman" w:hAnsi="Times New Roman" w:cs="Times New Roman"/>
          <w:sz w:val="24"/>
          <w:szCs w:val="24"/>
        </w:rPr>
      </w:pPr>
      <w:r w:rsidRPr="000B6C4B">
        <w:rPr>
          <w:rFonts w:ascii="Times New Roman" w:hAnsi="Times New Roman" w:cs="Times New Roman"/>
          <w:sz w:val="24"/>
          <w:szCs w:val="24"/>
        </w:rPr>
        <w:t>Projekt rozporządzenia nie zawiera przepisów technicznych, a zatem nie podlega notyfikacji zgodnie z trybem przewidzianym w rozporządzeniu Rady Ministrów z dnia 23 grudnia 2002 r. w sprawie sposobu funkcjonowania krajowego systemu notyfikacji norm i aktów prawnych</w:t>
      </w:r>
      <w:r w:rsidR="008106CB">
        <w:rPr>
          <w:rFonts w:ascii="Times New Roman" w:hAnsi="Times New Roman" w:cs="Times New Roman"/>
          <w:sz w:val="24"/>
          <w:szCs w:val="24"/>
        </w:rPr>
        <w:t>.</w:t>
      </w:r>
    </w:p>
    <w:p w14:paraId="064CD0BC" w14:textId="26F08D40" w:rsidR="006C16A4" w:rsidRPr="006C40D6" w:rsidRDefault="006C16A4" w:rsidP="006519B6">
      <w:pPr>
        <w:spacing w:after="120" w:line="276" w:lineRule="auto"/>
        <w:jc w:val="both"/>
        <w:rPr>
          <w:rFonts w:ascii="Times New Roman" w:hAnsi="Times New Roman" w:cs="Times New Roman"/>
          <w:sz w:val="24"/>
          <w:szCs w:val="24"/>
        </w:rPr>
      </w:pPr>
      <w:r w:rsidRPr="006C40D6">
        <w:rPr>
          <w:rFonts w:ascii="Times New Roman" w:hAnsi="Times New Roman" w:cs="Times New Roman"/>
          <w:sz w:val="24"/>
          <w:szCs w:val="24"/>
        </w:rPr>
        <w:t xml:space="preserve">Wpływ </w:t>
      </w:r>
      <w:r w:rsidRPr="006C40D6">
        <w:rPr>
          <w:rFonts w:ascii="Times New Roman" w:hAnsi="Times New Roman"/>
          <w:color w:val="000000"/>
          <w:spacing w:val="-2"/>
          <w:sz w:val="24"/>
          <w:szCs w:val="24"/>
        </w:rPr>
        <w:t>projektowanego rozporządzenia na sektor mikro-, małych i średnich przedsiębiorstw został określony w OSR.</w:t>
      </w:r>
    </w:p>
    <w:p w14:paraId="0D138443" w14:textId="175CBFBD" w:rsidR="00A769C4" w:rsidRPr="00A80D46" w:rsidRDefault="00206C26" w:rsidP="006C40D6">
      <w:pPr>
        <w:spacing w:after="120" w:line="276" w:lineRule="auto"/>
        <w:jc w:val="both"/>
      </w:pPr>
      <w:r w:rsidRPr="00CE67BF">
        <w:rPr>
          <w:rFonts w:ascii="Times New Roman" w:hAnsi="Times New Roman" w:cs="Times New Roman"/>
          <w:sz w:val="24"/>
          <w:szCs w:val="24"/>
        </w:rPr>
        <w:t>Ponadto</w:t>
      </w:r>
      <w:r>
        <w:rPr>
          <w:rFonts w:ascii="Times New Roman" w:hAnsi="Times New Roman" w:cs="Times New Roman"/>
          <w:b/>
          <w:sz w:val="24"/>
          <w:szCs w:val="24"/>
        </w:rPr>
        <w:t xml:space="preserve"> </w:t>
      </w:r>
      <w:r w:rsidRPr="002D4F96">
        <w:rPr>
          <w:rFonts w:ascii="Times New Roman" w:hAnsi="Times New Roman" w:cs="Times New Roman"/>
          <w:sz w:val="24"/>
          <w:szCs w:val="24"/>
        </w:rPr>
        <w:t>p</w:t>
      </w:r>
      <w:r>
        <w:rPr>
          <w:rFonts w:ascii="Times New Roman" w:hAnsi="Times New Roman" w:cs="Times New Roman"/>
          <w:sz w:val="24"/>
          <w:szCs w:val="24"/>
        </w:rPr>
        <w:t>rojekt</w:t>
      </w:r>
      <w:r w:rsidRPr="00D357EA">
        <w:rPr>
          <w:rFonts w:ascii="Times New Roman" w:hAnsi="Times New Roman" w:cs="Times New Roman"/>
          <w:sz w:val="24"/>
          <w:szCs w:val="24"/>
        </w:rPr>
        <w:t xml:space="preserve"> </w:t>
      </w:r>
      <w:r w:rsidRPr="002D4F96">
        <w:rPr>
          <w:rFonts w:ascii="Times New Roman" w:hAnsi="Times New Roman" w:cs="Times New Roman"/>
          <w:sz w:val="24"/>
          <w:szCs w:val="24"/>
        </w:rPr>
        <w:t>zgodnie z</w:t>
      </w:r>
      <w:r w:rsidR="00E23249">
        <w:rPr>
          <w:rFonts w:ascii="Times New Roman" w:hAnsi="Times New Roman" w:cs="Times New Roman"/>
          <w:sz w:val="24"/>
          <w:szCs w:val="24"/>
        </w:rPr>
        <w:t xml:space="preserve"> </w:t>
      </w:r>
      <w:r w:rsidR="008106CB" w:rsidRPr="009406A8">
        <w:rPr>
          <w:rFonts w:ascii="Times New Roman" w:hAnsi="Times New Roman" w:cs="Times New Roman"/>
          <w:sz w:val="24"/>
          <w:szCs w:val="24"/>
        </w:rPr>
        <w:t xml:space="preserve">art. 5 ustawy z dnia 7 lipca 2005 r. o działalności lobbingowej w procesie stanowienia prawa </w:t>
      </w:r>
      <w:r w:rsidR="00E23249" w:rsidRPr="009406A8">
        <w:rPr>
          <w:rFonts w:ascii="Times New Roman" w:hAnsi="Times New Roman" w:cs="Times New Roman"/>
          <w:sz w:val="24"/>
          <w:szCs w:val="24"/>
        </w:rPr>
        <w:t xml:space="preserve">i </w:t>
      </w:r>
      <w:r w:rsidRPr="009406A8">
        <w:rPr>
          <w:rFonts w:ascii="Times New Roman" w:hAnsi="Times New Roman" w:cs="Times New Roman"/>
          <w:sz w:val="24"/>
          <w:szCs w:val="24"/>
        </w:rPr>
        <w:t>§ 52 ust. 1 uchwały nr 190 Rady Ministrów z dnia 29 października 2013 r. – Regulamin pracy Rady Ministrów zostanie umieszczony w Biuletynie Informacji Publicznej na stronie podmiotowej Rządowego Centrum Legislacji, w serwisie Rządowy Proces Legislacyjny</w:t>
      </w:r>
      <w:r w:rsidR="00E23249" w:rsidRPr="009406A8">
        <w:rPr>
          <w:rFonts w:ascii="Times New Roman" w:hAnsi="Times New Roman" w:cs="Times New Roman"/>
          <w:sz w:val="24"/>
          <w:szCs w:val="24"/>
        </w:rPr>
        <w:t>.</w:t>
      </w:r>
      <w:r w:rsidR="002E19B1">
        <w:rPr>
          <w:rFonts w:ascii="Times New Roman" w:hAnsi="Times New Roman" w:cs="Times New Roman"/>
          <w:sz w:val="24"/>
          <w:szCs w:val="24"/>
        </w:rPr>
        <w:t xml:space="preserve"> Do Ministerstwa Klimatu nie wpłynęły zgłoszenia lobbingowe w trybie </w:t>
      </w:r>
      <w:r w:rsidR="002E19B1" w:rsidRPr="00152BF9">
        <w:rPr>
          <w:rFonts w:ascii="Times New Roman" w:hAnsi="Times New Roman" w:cs="Times New Roman"/>
          <w:sz w:val="24"/>
          <w:szCs w:val="24"/>
        </w:rPr>
        <w:t>ustawy z dnia 7 lipca 2005 r. o działalności lobbingowej w procesie stanowienia prawa</w:t>
      </w:r>
      <w:r w:rsidR="002E19B1">
        <w:rPr>
          <w:rFonts w:ascii="Times New Roman" w:hAnsi="Times New Roman" w:cs="Times New Roman"/>
          <w:sz w:val="24"/>
          <w:szCs w:val="24"/>
        </w:rPr>
        <w:t>.</w:t>
      </w:r>
    </w:p>
    <w:sectPr w:rsidR="00A769C4" w:rsidRPr="00A80D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B0D5" w14:textId="77777777" w:rsidR="00EF261C" w:rsidRDefault="00EF261C" w:rsidP="00D27907">
      <w:pPr>
        <w:spacing w:after="0" w:line="240" w:lineRule="auto"/>
      </w:pPr>
      <w:r>
        <w:separator/>
      </w:r>
    </w:p>
  </w:endnote>
  <w:endnote w:type="continuationSeparator" w:id="0">
    <w:p w14:paraId="76923E75" w14:textId="77777777" w:rsidR="00EF261C" w:rsidRDefault="00EF261C" w:rsidP="00D2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476954"/>
      <w:docPartObj>
        <w:docPartGallery w:val="Page Numbers (Bottom of Page)"/>
        <w:docPartUnique/>
      </w:docPartObj>
    </w:sdtPr>
    <w:sdtEndPr>
      <w:rPr>
        <w:rFonts w:ascii="Times New Roman" w:hAnsi="Times New Roman" w:cs="Times New Roman"/>
        <w:sz w:val="24"/>
        <w:szCs w:val="24"/>
      </w:rPr>
    </w:sdtEndPr>
    <w:sdtContent>
      <w:p w14:paraId="1E3A78DE" w14:textId="0EDCB349" w:rsidR="00D27907" w:rsidRPr="00A80D46" w:rsidRDefault="00D27907">
        <w:pPr>
          <w:pStyle w:val="Stopka"/>
          <w:jc w:val="right"/>
          <w:rPr>
            <w:rFonts w:ascii="Times New Roman" w:hAnsi="Times New Roman" w:cs="Times New Roman"/>
            <w:sz w:val="24"/>
            <w:szCs w:val="24"/>
          </w:rPr>
        </w:pPr>
        <w:r w:rsidRPr="00A80D46">
          <w:rPr>
            <w:rFonts w:ascii="Times New Roman" w:hAnsi="Times New Roman" w:cs="Times New Roman"/>
            <w:sz w:val="24"/>
            <w:szCs w:val="24"/>
          </w:rPr>
          <w:fldChar w:fldCharType="begin"/>
        </w:r>
        <w:r w:rsidRPr="00A80D46">
          <w:rPr>
            <w:rFonts w:ascii="Times New Roman" w:hAnsi="Times New Roman" w:cs="Times New Roman"/>
            <w:sz w:val="24"/>
            <w:szCs w:val="24"/>
          </w:rPr>
          <w:instrText>PAGE   \* MERGEFORMAT</w:instrText>
        </w:r>
        <w:r w:rsidRPr="00A80D46">
          <w:rPr>
            <w:rFonts w:ascii="Times New Roman" w:hAnsi="Times New Roman" w:cs="Times New Roman"/>
            <w:sz w:val="24"/>
            <w:szCs w:val="24"/>
          </w:rPr>
          <w:fldChar w:fldCharType="separate"/>
        </w:r>
        <w:r w:rsidR="00C84C44">
          <w:rPr>
            <w:rFonts w:ascii="Times New Roman" w:hAnsi="Times New Roman" w:cs="Times New Roman"/>
            <w:noProof/>
            <w:sz w:val="24"/>
            <w:szCs w:val="24"/>
          </w:rPr>
          <w:t>10</w:t>
        </w:r>
        <w:r w:rsidRPr="00A80D46">
          <w:rPr>
            <w:rFonts w:ascii="Times New Roman" w:hAnsi="Times New Roman" w:cs="Times New Roman"/>
            <w:sz w:val="24"/>
            <w:szCs w:val="24"/>
          </w:rPr>
          <w:fldChar w:fldCharType="end"/>
        </w:r>
      </w:p>
    </w:sdtContent>
  </w:sdt>
  <w:p w14:paraId="4403292F" w14:textId="77777777" w:rsidR="00D27907" w:rsidRDefault="00D27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81B6" w14:textId="77777777" w:rsidR="00EF261C" w:rsidRDefault="00EF261C" w:rsidP="00D27907">
      <w:pPr>
        <w:spacing w:after="0" w:line="240" w:lineRule="auto"/>
      </w:pPr>
      <w:r>
        <w:separator/>
      </w:r>
    </w:p>
  </w:footnote>
  <w:footnote w:type="continuationSeparator" w:id="0">
    <w:p w14:paraId="7BCA15A7" w14:textId="77777777" w:rsidR="00EF261C" w:rsidRDefault="00EF261C" w:rsidP="00D2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14A"/>
    <w:multiLevelType w:val="hybridMultilevel"/>
    <w:tmpl w:val="417CC0F8"/>
    <w:lvl w:ilvl="0" w:tplc="C910ECA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15362B"/>
    <w:multiLevelType w:val="hybridMultilevel"/>
    <w:tmpl w:val="B8E0ED7C"/>
    <w:lvl w:ilvl="0" w:tplc="C910ECA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9E6621"/>
    <w:multiLevelType w:val="hybridMultilevel"/>
    <w:tmpl w:val="AFF84ECA"/>
    <w:lvl w:ilvl="0" w:tplc="C910ECA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B4777A"/>
    <w:multiLevelType w:val="hybridMultilevel"/>
    <w:tmpl w:val="64F46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B433CE"/>
    <w:multiLevelType w:val="hybridMultilevel"/>
    <w:tmpl w:val="7EECA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207579"/>
    <w:multiLevelType w:val="hybridMultilevel"/>
    <w:tmpl w:val="4386F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A1"/>
    <w:rsid w:val="00027D49"/>
    <w:rsid w:val="000379F3"/>
    <w:rsid w:val="0007528B"/>
    <w:rsid w:val="00080C23"/>
    <w:rsid w:val="000871CC"/>
    <w:rsid w:val="000B1383"/>
    <w:rsid w:val="000B7C11"/>
    <w:rsid w:val="000F3B9B"/>
    <w:rsid w:val="00112B1B"/>
    <w:rsid w:val="00116C58"/>
    <w:rsid w:val="001170E2"/>
    <w:rsid w:val="0012505B"/>
    <w:rsid w:val="00125795"/>
    <w:rsid w:val="00143A1B"/>
    <w:rsid w:val="00144BD7"/>
    <w:rsid w:val="00174006"/>
    <w:rsid w:val="00183BBD"/>
    <w:rsid w:val="00196960"/>
    <w:rsid w:val="001A3D64"/>
    <w:rsid w:val="001C6551"/>
    <w:rsid w:val="001D75B7"/>
    <w:rsid w:val="00202971"/>
    <w:rsid w:val="00205CF8"/>
    <w:rsid w:val="00206C26"/>
    <w:rsid w:val="00216ED2"/>
    <w:rsid w:val="00242BB0"/>
    <w:rsid w:val="00257086"/>
    <w:rsid w:val="002604C4"/>
    <w:rsid w:val="002624CB"/>
    <w:rsid w:val="00266AD3"/>
    <w:rsid w:val="002A7928"/>
    <w:rsid w:val="002B6426"/>
    <w:rsid w:val="002B7297"/>
    <w:rsid w:val="002C5CB2"/>
    <w:rsid w:val="002D3D53"/>
    <w:rsid w:val="002E1077"/>
    <w:rsid w:val="002E19B1"/>
    <w:rsid w:val="002F6B5D"/>
    <w:rsid w:val="0030101B"/>
    <w:rsid w:val="00335025"/>
    <w:rsid w:val="00335CD4"/>
    <w:rsid w:val="00336335"/>
    <w:rsid w:val="00343C47"/>
    <w:rsid w:val="0037320B"/>
    <w:rsid w:val="00373F4B"/>
    <w:rsid w:val="00377FCD"/>
    <w:rsid w:val="0039002E"/>
    <w:rsid w:val="003A4CCD"/>
    <w:rsid w:val="003D72EE"/>
    <w:rsid w:val="003D7CCF"/>
    <w:rsid w:val="003F2E30"/>
    <w:rsid w:val="00406FD4"/>
    <w:rsid w:val="00407FAB"/>
    <w:rsid w:val="004107EE"/>
    <w:rsid w:val="00416AEA"/>
    <w:rsid w:val="00423533"/>
    <w:rsid w:val="004310BB"/>
    <w:rsid w:val="004442E9"/>
    <w:rsid w:val="00452750"/>
    <w:rsid w:val="00460BFE"/>
    <w:rsid w:val="0046191A"/>
    <w:rsid w:val="004B69F5"/>
    <w:rsid w:val="004E30AB"/>
    <w:rsid w:val="00514959"/>
    <w:rsid w:val="00522F4E"/>
    <w:rsid w:val="005367B9"/>
    <w:rsid w:val="005C5056"/>
    <w:rsid w:val="005D55E2"/>
    <w:rsid w:val="005E45A0"/>
    <w:rsid w:val="005F4A04"/>
    <w:rsid w:val="005F75E4"/>
    <w:rsid w:val="006053C9"/>
    <w:rsid w:val="00612C8A"/>
    <w:rsid w:val="006138E6"/>
    <w:rsid w:val="00615006"/>
    <w:rsid w:val="0062289C"/>
    <w:rsid w:val="006519B6"/>
    <w:rsid w:val="00655298"/>
    <w:rsid w:val="006A1264"/>
    <w:rsid w:val="006A609E"/>
    <w:rsid w:val="006C16A4"/>
    <w:rsid w:val="006C40D6"/>
    <w:rsid w:val="00705F1C"/>
    <w:rsid w:val="0070612B"/>
    <w:rsid w:val="00713089"/>
    <w:rsid w:val="00714A33"/>
    <w:rsid w:val="00714DF3"/>
    <w:rsid w:val="00715234"/>
    <w:rsid w:val="00727222"/>
    <w:rsid w:val="0073365C"/>
    <w:rsid w:val="007722B9"/>
    <w:rsid w:val="0077465D"/>
    <w:rsid w:val="00777D54"/>
    <w:rsid w:val="007850B8"/>
    <w:rsid w:val="007951C3"/>
    <w:rsid w:val="007A2FB6"/>
    <w:rsid w:val="007B0A69"/>
    <w:rsid w:val="007B0DD3"/>
    <w:rsid w:val="007B4842"/>
    <w:rsid w:val="007B4C11"/>
    <w:rsid w:val="007C2955"/>
    <w:rsid w:val="008023CE"/>
    <w:rsid w:val="008106CB"/>
    <w:rsid w:val="00837673"/>
    <w:rsid w:val="00844E46"/>
    <w:rsid w:val="00875F82"/>
    <w:rsid w:val="00893D2D"/>
    <w:rsid w:val="00894ABB"/>
    <w:rsid w:val="008A321D"/>
    <w:rsid w:val="008B2356"/>
    <w:rsid w:val="008B66D0"/>
    <w:rsid w:val="008E1BE4"/>
    <w:rsid w:val="00917D03"/>
    <w:rsid w:val="00934D37"/>
    <w:rsid w:val="009406A8"/>
    <w:rsid w:val="0094386E"/>
    <w:rsid w:val="00973F91"/>
    <w:rsid w:val="009A7973"/>
    <w:rsid w:val="009B33A3"/>
    <w:rsid w:val="009B53DC"/>
    <w:rsid w:val="00A577B5"/>
    <w:rsid w:val="00A769C4"/>
    <w:rsid w:val="00A80D46"/>
    <w:rsid w:val="00AA044F"/>
    <w:rsid w:val="00AB3A36"/>
    <w:rsid w:val="00AB5F79"/>
    <w:rsid w:val="00AD54CA"/>
    <w:rsid w:val="00AE559C"/>
    <w:rsid w:val="00AF5AF7"/>
    <w:rsid w:val="00B17412"/>
    <w:rsid w:val="00B254C1"/>
    <w:rsid w:val="00B86E59"/>
    <w:rsid w:val="00B92886"/>
    <w:rsid w:val="00BB40BC"/>
    <w:rsid w:val="00BB5E08"/>
    <w:rsid w:val="00BB629A"/>
    <w:rsid w:val="00BC19BE"/>
    <w:rsid w:val="00BC5C79"/>
    <w:rsid w:val="00BC67F8"/>
    <w:rsid w:val="00BE62DE"/>
    <w:rsid w:val="00C11C46"/>
    <w:rsid w:val="00C12EF5"/>
    <w:rsid w:val="00C41838"/>
    <w:rsid w:val="00C802FD"/>
    <w:rsid w:val="00C835FA"/>
    <w:rsid w:val="00C84C44"/>
    <w:rsid w:val="00C92524"/>
    <w:rsid w:val="00C94E22"/>
    <w:rsid w:val="00CC0D3F"/>
    <w:rsid w:val="00D0198C"/>
    <w:rsid w:val="00D04338"/>
    <w:rsid w:val="00D22D70"/>
    <w:rsid w:val="00D27907"/>
    <w:rsid w:val="00D554C3"/>
    <w:rsid w:val="00D56E19"/>
    <w:rsid w:val="00D612A2"/>
    <w:rsid w:val="00D73293"/>
    <w:rsid w:val="00D84EE7"/>
    <w:rsid w:val="00DA428F"/>
    <w:rsid w:val="00DE01DD"/>
    <w:rsid w:val="00E02F9B"/>
    <w:rsid w:val="00E0633A"/>
    <w:rsid w:val="00E15D80"/>
    <w:rsid w:val="00E203BD"/>
    <w:rsid w:val="00E23249"/>
    <w:rsid w:val="00E237BB"/>
    <w:rsid w:val="00E41D3A"/>
    <w:rsid w:val="00E52CDC"/>
    <w:rsid w:val="00E53AD2"/>
    <w:rsid w:val="00E928FA"/>
    <w:rsid w:val="00EB17A9"/>
    <w:rsid w:val="00EB533C"/>
    <w:rsid w:val="00EC2135"/>
    <w:rsid w:val="00EE12B6"/>
    <w:rsid w:val="00EE2174"/>
    <w:rsid w:val="00EE380A"/>
    <w:rsid w:val="00EF261C"/>
    <w:rsid w:val="00F047AF"/>
    <w:rsid w:val="00F16241"/>
    <w:rsid w:val="00F63C78"/>
    <w:rsid w:val="00F776A1"/>
    <w:rsid w:val="00F8117A"/>
    <w:rsid w:val="00FB1D56"/>
    <w:rsid w:val="00FD1A7B"/>
    <w:rsid w:val="00FD4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369"/>
  <w15:docId w15:val="{E97F02BF-E28F-4E88-B826-4D195E2D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237B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629A"/>
    <w:pPr>
      <w:ind w:left="720"/>
      <w:contextualSpacing/>
    </w:pPr>
  </w:style>
  <w:style w:type="paragraph" w:styleId="NormalnyWeb">
    <w:name w:val="Normal (Web)"/>
    <w:basedOn w:val="Normalny"/>
    <w:uiPriority w:val="99"/>
    <w:semiHidden/>
    <w:unhideWhenUsed/>
    <w:rsid w:val="0072722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7272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7222"/>
    <w:rPr>
      <w:rFonts w:ascii="Tahoma" w:hAnsi="Tahoma" w:cs="Tahoma"/>
      <w:sz w:val="16"/>
      <w:szCs w:val="16"/>
    </w:rPr>
  </w:style>
  <w:style w:type="table" w:styleId="Tabela-Siatka">
    <w:name w:val="Table Grid"/>
    <w:basedOn w:val="Standardowy"/>
    <w:uiPriority w:val="59"/>
    <w:rsid w:val="0071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14A33"/>
    <w:rPr>
      <w:sz w:val="16"/>
      <w:szCs w:val="16"/>
    </w:rPr>
  </w:style>
  <w:style w:type="paragraph" w:styleId="Tekstkomentarza">
    <w:name w:val="annotation text"/>
    <w:basedOn w:val="Normalny"/>
    <w:link w:val="TekstkomentarzaZnak"/>
    <w:uiPriority w:val="99"/>
    <w:semiHidden/>
    <w:unhideWhenUsed/>
    <w:rsid w:val="00714A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4A33"/>
    <w:rPr>
      <w:sz w:val="20"/>
      <w:szCs w:val="20"/>
    </w:rPr>
  </w:style>
  <w:style w:type="paragraph" w:styleId="Tematkomentarza">
    <w:name w:val="annotation subject"/>
    <w:basedOn w:val="Tekstkomentarza"/>
    <w:next w:val="Tekstkomentarza"/>
    <w:link w:val="TematkomentarzaZnak"/>
    <w:uiPriority w:val="99"/>
    <w:semiHidden/>
    <w:unhideWhenUsed/>
    <w:rsid w:val="00714A33"/>
    <w:rPr>
      <w:b/>
      <w:bCs/>
    </w:rPr>
  </w:style>
  <w:style w:type="character" w:customStyle="1" w:styleId="TematkomentarzaZnak">
    <w:name w:val="Temat komentarza Znak"/>
    <w:basedOn w:val="TekstkomentarzaZnak"/>
    <w:link w:val="Tematkomentarza"/>
    <w:uiPriority w:val="99"/>
    <w:semiHidden/>
    <w:rsid w:val="00714A33"/>
    <w:rPr>
      <w:b/>
      <w:bCs/>
      <w:sz w:val="20"/>
      <w:szCs w:val="20"/>
    </w:rPr>
  </w:style>
  <w:style w:type="paragraph" w:styleId="Nagwek">
    <w:name w:val="header"/>
    <w:basedOn w:val="Normalny"/>
    <w:link w:val="NagwekZnak"/>
    <w:uiPriority w:val="99"/>
    <w:unhideWhenUsed/>
    <w:rsid w:val="00D27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907"/>
  </w:style>
  <w:style w:type="paragraph" w:styleId="Stopka">
    <w:name w:val="footer"/>
    <w:basedOn w:val="Normalny"/>
    <w:link w:val="StopkaZnak"/>
    <w:uiPriority w:val="99"/>
    <w:unhideWhenUsed/>
    <w:rsid w:val="00D27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907"/>
  </w:style>
  <w:style w:type="character" w:customStyle="1" w:styleId="Nagwek2Znak">
    <w:name w:val="Nagłówek 2 Znak"/>
    <w:basedOn w:val="Domylnaczcionkaakapitu"/>
    <w:link w:val="Nagwek2"/>
    <w:uiPriority w:val="9"/>
    <w:rsid w:val="00E237BB"/>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16405">
      <w:bodyDiv w:val="1"/>
      <w:marLeft w:val="0"/>
      <w:marRight w:val="0"/>
      <w:marTop w:val="0"/>
      <w:marBottom w:val="0"/>
      <w:divBdr>
        <w:top w:val="none" w:sz="0" w:space="0" w:color="auto"/>
        <w:left w:val="none" w:sz="0" w:space="0" w:color="auto"/>
        <w:bottom w:val="none" w:sz="0" w:space="0" w:color="auto"/>
        <w:right w:val="none" w:sz="0" w:space="0" w:color="auto"/>
      </w:divBdr>
    </w:div>
    <w:div w:id="11602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3915</Words>
  <Characters>23491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ROJOWSKA-SKALSKA Joanna</cp:lastModifiedBy>
  <cp:revision>12</cp:revision>
  <cp:lastPrinted>2020-04-27T12:09:00Z</cp:lastPrinted>
  <dcterms:created xsi:type="dcterms:W3CDTF">2020-07-22T11:23:00Z</dcterms:created>
  <dcterms:modified xsi:type="dcterms:W3CDTF">2020-08-19T06:56:00Z</dcterms:modified>
</cp:coreProperties>
</file>