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2"/>
        <w:gridCol w:w="648"/>
        <w:gridCol w:w="592"/>
        <w:gridCol w:w="297"/>
        <w:gridCol w:w="414"/>
        <w:gridCol w:w="177"/>
        <w:gridCol w:w="108"/>
        <w:gridCol w:w="484"/>
        <w:gridCol w:w="592"/>
        <w:gridCol w:w="7"/>
        <w:gridCol w:w="196"/>
        <w:gridCol w:w="276"/>
        <w:gridCol w:w="113"/>
        <w:gridCol w:w="445"/>
        <w:gridCol w:w="147"/>
        <w:gridCol w:w="539"/>
        <w:gridCol w:w="53"/>
        <w:gridCol w:w="291"/>
        <w:gridCol w:w="259"/>
        <w:gridCol w:w="42"/>
        <w:gridCol w:w="592"/>
        <w:gridCol w:w="88"/>
        <w:gridCol w:w="49"/>
        <w:gridCol w:w="455"/>
        <w:gridCol w:w="575"/>
        <w:gridCol w:w="17"/>
        <w:gridCol w:w="592"/>
        <w:gridCol w:w="567"/>
        <w:gridCol w:w="992"/>
      </w:tblGrid>
      <w:tr w:rsidR="006A701A" w:rsidRPr="008B4FE6" w14:paraId="20F70030" w14:textId="77777777" w:rsidTr="00704C3A">
        <w:trPr>
          <w:trHeight w:val="1611"/>
        </w:trPr>
        <w:tc>
          <w:tcPr>
            <w:tcW w:w="6627" w:type="dxa"/>
            <w:gridSpan w:val="16"/>
          </w:tcPr>
          <w:p w14:paraId="4C7B5093" w14:textId="77777777" w:rsidR="006A701A" w:rsidRPr="008B4FE6" w:rsidRDefault="006A701A" w:rsidP="00704C3A">
            <w:pPr>
              <w:spacing w:before="120" w:line="240" w:lineRule="auto"/>
              <w:rPr>
                <w:rFonts w:ascii="Times New Roman" w:hAnsi="Times New Roman"/>
                <w:color w:val="000000"/>
              </w:rPr>
            </w:pPr>
            <w:bookmarkStart w:id="0" w:name="t1"/>
            <w:r w:rsidRPr="008B4FE6">
              <w:rPr>
                <w:rFonts w:ascii="Times New Roman" w:hAnsi="Times New Roman"/>
                <w:b/>
                <w:color w:val="000000"/>
              </w:rPr>
              <w:t xml:space="preserve">Nazwa </w:t>
            </w:r>
            <w:r w:rsidR="001B75D8">
              <w:rPr>
                <w:rFonts w:ascii="Times New Roman" w:hAnsi="Times New Roman"/>
                <w:b/>
                <w:color w:val="000000"/>
              </w:rPr>
              <w:t>projektu</w:t>
            </w:r>
          </w:p>
          <w:p w14:paraId="31CEFC7B" w14:textId="4418DEC2" w:rsidR="006A701A" w:rsidRPr="008B4FE6" w:rsidRDefault="008E0A8C" w:rsidP="00704C3A">
            <w:pPr>
              <w:spacing w:line="240" w:lineRule="auto"/>
              <w:rPr>
                <w:rFonts w:ascii="Times New Roman" w:hAnsi="Times New Roman"/>
                <w:color w:val="000000"/>
              </w:rPr>
            </w:pPr>
            <w:r>
              <w:rPr>
                <w:rFonts w:ascii="Times New Roman" w:hAnsi="Times New Roman"/>
                <w:color w:val="000000"/>
              </w:rPr>
              <w:t xml:space="preserve">Projekt </w:t>
            </w:r>
            <w:r w:rsidR="009D7B6E">
              <w:rPr>
                <w:rFonts w:ascii="Times New Roman" w:hAnsi="Times New Roman"/>
                <w:color w:val="000000"/>
              </w:rPr>
              <w:t>r</w:t>
            </w:r>
            <w:r w:rsidR="00C3751F">
              <w:rPr>
                <w:rFonts w:ascii="Times New Roman" w:hAnsi="Times New Roman"/>
                <w:color w:val="000000"/>
              </w:rPr>
              <w:t xml:space="preserve">ozporządzenia </w:t>
            </w:r>
            <w:r w:rsidR="00310ACF">
              <w:rPr>
                <w:rFonts w:ascii="Times New Roman" w:hAnsi="Times New Roman"/>
                <w:color w:val="000000"/>
              </w:rPr>
              <w:t>Ministra Klimatu</w:t>
            </w:r>
            <w:r w:rsidR="000359C1">
              <w:rPr>
                <w:rFonts w:ascii="Times New Roman" w:hAnsi="Times New Roman"/>
                <w:color w:val="000000"/>
              </w:rPr>
              <w:t xml:space="preserve"> </w:t>
            </w:r>
            <w:r w:rsidR="000359C1" w:rsidRPr="000359C1">
              <w:rPr>
                <w:rFonts w:ascii="Times New Roman" w:hAnsi="Times New Roman"/>
                <w:color w:val="000000"/>
              </w:rPr>
              <w:t xml:space="preserve">zmieniającego </w:t>
            </w:r>
            <w:r w:rsidR="009D7B6E">
              <w:rPr>
                <w:rFonts w:ascii="Times New Roman" w:hAnsi="Times New Roman"/>
                <w:color w:val="000000"/>
              </w:rPr>
              <w:t>r</w:t>
            </w:r>
            <w:r w:rsidR="000359C1" w:rsidRPr="000359C1">
              <w:rPr>
                <w:rFonts w:ascii="Times New Roman" w:hAnsi="Times New Roman"/>
                <w:color w:val="000000"/>
              </w:rPr>
              <w:t xml:space="preserve">ozporządzenie </w:t>
            </w:r>
            <w:r w:rsidR="00C3751F" w:rsidRPr="00C3751F">
              <w:rPr>
                <w:rFonts w:ascii="Times New Roman" w:hAnsi="Times New Roman"/>
                <w:color w:val="000000"/>
              </w:rPr>
              <w:t>w sprawie szczegółowych zasad kształtowania i kalkulacji taryf oraz rozliczeń w obrocie energią elektryczną</w:t>
            </w:r>
          </w:p>
          <w:p w14:paraId="6CB8D5CB" w14:textId="77777777" w:rsidR="006A701A" w:rsidRPr="008B4FE6" w:rsidRDefault="006A701A" w:rsidP="00704C3A">
            <w:pPr>
              <w:spacing w:before="120" w:line="240" w:lineRule="auto"/>
              <w:rPr>
                <w:rFonts w:ascii="Times New Roman" w:hAnsi="Times New Roman"/>
                <w:b/>
                <w:color w:val="000000"/>
              </w:rPr>
            </w:pPr>
            <w:r w:rsidRPr="008B4FE6">
              <w:rPr>
                <w:rFonts w:ascii="Times New Roman" w:hAnsi="Times New Roman"/>
                <w:b/>
                <w:color w:val="000000"/>
              </w:rPr>
              <w:t>Ministerstwo wiodące i ministerstwa współpracujące</w:t>
            </w:r>
          </w:p>
          <w:bookmarkEnd w:id="0"/>
          <w:p w14:paraId="09EEC828" w14:textId="77777777" w:rsidR="006A701A" w:rsidRDefault="008E0A8C" w:rsidP="00704C3A">
            <w:pPr>
              <w:spacing w:line="240" w:lineRule="auto"/>
              <w:rPr>
                <w:rFonts w:ascii="Times New Roman" w:hAnsi="Times New Roman"/>
                <w:color w:val="000000"/>
              </w:rPr>
            </w:pPr>
            <w:r>
              <w:rPr>
                <w:rFonts w:ascii="Times New Roman" w:hAnsi="Times New Roman"/>
                <w:color w:val="000000"/>
              </w:rPr>
              <w:t xml:space="preserve">Ministerstwo </w:t>
            </w:r>
            <w:r w:rsidR="00310ACF">
              <w:rPr>
                <w:rFonts w:ascii="Times New Roman" w:hAnsi="Times New Roman"/>
                <w:color w:val="000000"/>
              </w:rPr>
              <w:t>Klimatu</w:t>
            </w:r>
          </w:p>
          <w:p w14:paraId="2881604D" w14:textId="77777777" w:rsidR="00C3751F" w:rsidRDefault="00C3751F" w:rsidP="00704C3A">
            <w:pPr>
              <w:spacing w:line="240" w:lineRule="auto"/>
              <w:rPr>
                <w:rFonts w:ascii="Times New Roman" w:hAnsi="Times New Roman"/>
                <w:color w:val="000000"/>
              </w:rPr>
            </w:pPr>
          </w:p>
          <w:p w14:paraId="0658458A" w14:textId="77777777" w:rsidR="001B3460" w:rsidRPr="00704C3A" w:rsidRDefault="001B3460" w:rsidP="00704C3A">
            <w:pPr>
              <w:spacing w:line="240" w:lineRule="auto"/>
              <w:rPr>
                <w:rFonts w:ascii="Times New Roman" w:hAnsi="Times New Roman"/>
                <w:b/>
                <w:szCs w:val="21"/>
              </w:rPr>
            </w:pPr>
            <w:r w:rsidRPr="00704C3A">
              <w:rPr>
                <w:rFonts w:ascii="Times New Roman" w:hAnsi="Times New Roman"/>
                <w:b/>
                <w:szCs w:val="24"/>
              </w:rPr>
              <w:t>Osoba odpowiedzialna za projekt w randze Ministra, Sekretarza Stanu lub Podsekretarza Stanu</w:t>
            </w:r>
            <w:r w:rsidRPr="00704C3A">
              <w:rPr>
                <w:rFonts w:ascii="Times New Roman" w:hAnsi="Times New Roman"/>
                <w:b/>
                <w:szCs w:val="21"/>
              </w:rPr>
              <w:t xml:space="preserve"> </w:t>
            </w:r>
          </w:p>
          <w:p w14:paraId="03707144" w14:textId="77EFE5E4" w:rsidR="001B3460" w:rsidRPr="00704C3A" w:rsidRDefault="000726DC" w:rsidP="00704C3A">
            <w:pPr>
              <w:spacing w:line="240" w:lineRule="auto"/>
              <w:rPr>
                <w:rFonts w:ascii="Times New Roman" w:hAnsi="Times New Roman"/>
                <w:szCs w:val="21"/>
              </w:rPr>
            </w:pPr>
            <w:r>
              <w:rPr>
                <w:rFonts w:ascii="Times New Roman" w:hAnsi="Times New Roman"/>
                <w:szCs w:val="21"/>
              </w:rPr>
              <w:t xml:space="preserve">Pan </w:t>
            </w:r>
            <w:r w:rsidR="00CD41EF">
              <w:rPr>
                <w:rFonts w:ascii="Times New Roman" w:hAnsi="Times New Roman"/>
                <w:szCs w:val="21"/>
              </w:rPr>
              <w:t>Piotr Dziadzio</w:t>
            </w:r>
            <w:r w:rsidR="00B246CA">
              <w:t xml:space="preserve"> </w:t>
            </w:r>
            <w:r w:rsidR="009D7B6E">
              <w:t>–</w:t>
            </w:r>
            <w:r w:rsidR="00B246CA">
              <w:t xml:space="preserve"> </w:t>
            </w:r>
            <w:r w:rsidR="00B246CA" w:rsidRPr="00B246CA">
              <w:rPr>
                <w:rFonts w:ascii="Times New Roman" w:hAnsi="Times New Roman"/>
                <w:szCs w:val="21"/>
              </w:rPr>
              <w:t>Sekretarz Stanu w Ministerstwie Klimatu</w:t>
            </w:r>
          </w:p>
          <w:p w14:paraId="0BB5DEAD" w14:textId="77777777" w:rsidR="006A701A" w:rsidRPr="008B4FE6" w:rsidRDefault="006A701A" w:rsidP="00704C3A">
            <w:pPr>
              <w:spacing w:before="120" w:line="240" w:lineRule="auto"/>
              <w:rPr>
                <w:rFonts w:ascii="Times New Roman" w:hAnsi="Times New Roman"/>
                <w:b/>
                <w:color w:val="000000"/>
              </w:rPr>
            </w:pPr>
            <w:r w:rsidRPr="008B4FE6">
              <w:rPr>
                <w:rFonts w:ascii="Times New Roman" w:hAnsi="Times New Roman"/>
                <w:b/>
                <w:color w:val="000000"/>
              </w:rPr>
              <w:t>Kontakt do opiekuna merytorycznego projektu</w:t>
            </w:r>
          </w:p>
          <w:p w14:paraId="5B2C4353" w14:textId="5E0455AB" w:rsidR="006A701A" w:rsidRDefault="000726DC" w:rsidP="00704C3A">
            <w:pPr>
              <w:spacing w:line="240" w:lineRule="auto"/>
              <w:rPr>
                <w:rFonts w:ascii="Times New Roman" w:hAnsi="Times New Roman"/>
                <w:color w:val="000000"/>
              </w:rPr>
            </w:pPr>
            <w:r>
              <w:rPr>
                <w:rFonts w:ascii="Times New Roman" w:hAnsi="Times New Roman"/>
                <w:color w:val="000000"/>
              </w:rPr>
              <w:t xml:space="preserve">Pan </w:t>
            </w:r>
            <w:r w:rsidR="006C4046">
              <w:rPr>
                <w:rFonts w:ascii="Times New Roman" w:hAnsi="Times New Roman"/>
                <w:color w:val="000000"/>
              </w:rPr>
              <w:t>Sławomir Ka</w:t>
            </w:r>
            <w:r w:rsidR="00CD41EF">
              <w:rPr>
                <w:rFonts w:ascii="Times New Roman" w:hAnsi="Times New Roman"/>
                <w:color w:val="000000"/>
              </w:rPr>
              <w:t>czorek</w:t>
            </w:r>
            <w:r w:rsidR="009D7B6E">
              <w:rPr>
                <w:rFonts w:ascii="Times New Roman" w:hAnsi="Times New Roman"/>
                <w:color w:val="000000"/>
              </w:rPr>
              <w:t>, Departament Elektroenergetyki</w:t>
            </w:r>
          </w:p>
          <w:p w14:paraId="4C1FB4FF" w14:textId="4A6C4BAD" w:rsidR="009C4EB7" w:rsidRPr="000C3E60" w:rsidRDefault="00F81A04" w:rsidP="00704C3A">
            <w:pPr>
              <w:spacing w:line="240" w:lineRule="auto"/>
              <w:rPr>
                <w:rFonts w:ascii="Times New Roman" w:hAnsi="Times New Roman"/>
                <w:color w:val="000000"/>
                <w:lang w:val="de-DE"/>
              </w:rPr>
            </w:pPr>
            <w:r w:rsidRPr="000C3E60">
              <w:rPr>
                <w:rFonts w:ascii="Times New Roman" w:hAnsi="Times New Roman"/>
                <w:color w:val="000000"/>
                <w:lang w:val="de-DE"/>
              </w:rPr>
              <w:t>t</w:t>
            </w:r>
            <w:r w:rsidR="00AE4536" w:rsidRPr="000C3E60">
              <w:rPr>
                <w:rFonts w:ascii="Times New Roman" w:hAnsi="Times New Roman"/>
                <w:color w:val="000000"/>
                <w:lang w:val="de-DE"/>
              </w:rPr>
              <w:t xml:space="preserve">el. </w:t>
            </w:r>
            <w:r w:rsidR="006C4046">
              <w:rPr>
                <w:rFonts w:ascii="Times New Roman" w:hAnsi="Times New Roman"/>
                <w:color w:val="000000"/>
                <w:lang w:val="de-DE"/>
              </w:rPr>
              <w:t>22 695 89 45</w:t>
            </w:r>
          </w:p>
          <w:p w14:paraId="776F7F6A" w14:textId="4D5B2B8C" w:rsidR="009C4EB7" w:rsidRPr="000C3E60" w:rsidRDefault="009C4EB7" w:rsidP="0023698F">
            <w:pPr>
              <w:spacing w:line="240" w:lineRule="auto"/>
              <w:rPr>
                <w:rFonts w:ascii="Times New Roman" w:hAnsi="Times New Roman"/>
                <w:color w:val="000000"/>
                <w:lang w:val="de-DE"/>
              </w:rPr>
            </w:pPr>
            <w:r w:rsidRPr="000C3E60">
              <w:rPr>
                <w:rFonts w:ascii="Times New Roman" w:hAnsi="Times New Roman"/>
                <w:color w:val="000000"/>
                <w:lang w:val="de-DE"/>
              </w:rPr>
              <w:t>e</w:t>
            </w:r>
            <w:r w:rsidR="00AE4536" w:rsidRPr="000C3E60">
              <w:rPr>
                <w:rFonts w:ascii="Times New Roman" w:hAnsi="Times New Roman"/>
                <w:color w:val="000000"/>
                <w:lang w:val="de-DE"/>
              </w:rPr>
              <w:t xml:space="preserve">-mail: </w:t>
            </w:r>
            <w:r w:rsidR="0023698F">
              <w:rPr>
                <w:rFonts w:ascii="Times New Roman" w:hAnsi="Times New Roman"/>
                <w:color w:val="000000"/>
                <w:lang w:val="de-DE"/>
              </w:rPr>
              <w:t>slawomir.k</w:t>
            </w:r>
            <w:r w:rsidR="00CD41EF">
              <w:rPr>
                <w:rFonts w:ascii="Times New Roman" w:hAnsi="Times New Roman"/>
                <w:color w:val="000000"/>
                <w:lang w:val="de-DE"/>
              </w:rPr>
              <w:t>aczorek</w:t>
            </w:r>
            <w:r w:rsidR="0068527D" w:rsidRPr="000C3E60">
              <w:rPr>
                <w:rFonts w:ascii="Times New Roman" w:hAnsi="Times New Roman"/>
                <w:color w:val="000000"/>
                <w:lang w:val="de-DE"/>
              </w:rPr>
              <w:t>@klimat.gov.pl</w:t>
            </w:r>
          </w:p>
        </w:tc>
        <w:tc>
          <w:tcPr>
            <w:tcW w:w="4572" w:type="dxa"/>
            <w:gridSpan w:val="13"/>
            <w:shd w:val="clear" w:color="auto" w:fill="FFFFFF"/>
          </w:tcPr>
          <w:p w14:paraId="0B77EB1D" w14:textId="12A78CA4" w:rsidR="001B3460" w:rsidRPr="00642825" w:rsidRDefault="001B3460" w:rsidP="001B3460">
            <w:pPr>
              <w:spacing w:line="240" w:lineRule="auto"/>
              <w:rPr>
                <w:rFonts w:ascii="Times New Roman" w:hAnsi="Times New Roman"/>
                <w:b/>
                <w:sz w:val="21"/>
                <w:szCs w:val="21"/>
              </w:rPr>
            </w:pPr>
            <w:r w:rsidRPr="00642825">
              <w:rPr>
                <w:rFonts w:ascii="Times New Roman" w:hAnsi="Times New Roman"/>
                <w:b/>
                <w:sz w:val="21"/>
                <w:szCs w:val="21"/>
              </w:rPr>
              <w:t>Data sporządzenia</w:t>
            </w:r>
            <w:r w:rsidRPr="00642825">
              <w:rPr>
                <w:rFonts w:ascii="Times New Roman" w:hAnsi="Times New Roman"/>
                <w:b/>
                <w:sz w:val="21"/>
                <w:szCs w:val="21"/>
              </w:rPr>
              <w:br/>
            </w:r>
            <w:r w:rsidR="003178B1">
              <w:rPr>
                <w:rFonts w:ascii="Times New Roman" w:hAnsi="Times New Roman"/>
                <w:sz w:val="21"/>
                <w:szCs w:val="21"/>
              </w:rPr>
              <w:t>04.08</w:t>
            </w:r>
            <w:r w:rsidR="00B72984">
              <w:rPr>
                <w:rFonts w:ascii="Times New Roman" w:hAnsi="Times New Roman"/>
                <w:sz w:val="21"/>
                <w:szCs w:val="21"/>
              </w:rPr>
              <w:t>.20</w:t>
            </w:r>
            <w:r w:rsidR="00310ACF">
              <w:rPr>
                <w:rFonts w:ascii="Times New Roman" w:hAnsi="Times New Roman"/>
                <w:sz w:val="21"/>
                <w:szCs w:val="21"/>
              </w:rPr>
              <w:t>20</w:t>
            </w:r>
            <w:r w:rsidR="009254B5">
              <w:rPr>
                <w:rFonts w:ascii="Times New Roman" w:hAnsi="Times New Roman"/>
                <w:sz w:val="21"/>
                <w:szCs w:val="21"/>
              </w:rPr>
              <w:t xml:space="preserve"> r. </w:t>
            </w:r>
          </w:p>
          <w:p w14:paraId="128376B4" w14:textId="77777777" w:rsidR="00F76884" w:rsidRDefault="00F76884" w:rsidP="00F76884">
            <w:pPr>
              <w:spacing w:line="240" w:lineRule="auto"/>
              <w:rPr>
                <w:rFonts w:ascii="Times New Roman" w:hAnsi="Times New Roman"/>
                <w:b/>
              </w:rPr>
            </w:pPr>
          </w:p>
          <w:p w14:paraId="586D8F96" w14:textId="77777777" w:rsidR="00F76884" w:rsidRPr="0065019F" w:rsidRDefault="00F76884" w:rsidP="00F76884">
            <w:pPr>
              <w:spacing w:line="240" w:lineRule="auto"/>
              <w:rPr>
                <w:rFonts w:ascii="Times New Roman" w:hAnsi="Times New Roman"/>
                <w:b/>
              </w:rPr>
            </w:pPr>
            <w:r w:rsidRPr="0065019F">
              <w:rPr>
                <w:rFonts w:ascii="Times New Roman" w:hAnsi="Times New Roman"/>
                <w:b/>
              </w:rPr>
              <w:t xml:space="preserve">Źródło: </w:t>
            </w:r>
            <w:bookmarkStart w:id="1" w:name="Lista1"/>
          </w:p>
          <w:bookmarkEnd w:id="1"/>
          <w:p w14:paraId="7EA6083E" w14:textId="2318AC54" w:rsidR="00457E89" w:rsidRDefault="00457E89" w:rsidP="00457E89">
            <w:pPr>
              <w:spacing w:line="240" w:lineRule="auto"/>
              <w:rPr>
                <w:rFonts w:ascii="Times New Roman" w:hAnsi="Times New Roman"/>
              </w:rPr>
            </w:pPr>
            <w:r w:rsidRPr="00457E89">
              <w:rPr>
                <w:rFonts w:ascii="Times New Roman" w:hAnsi="Times New Roman"/>
              </w:rPr>
              <w:t>Art. 46 ust. 3 i 4 ustawy z dnia 10 kwietnia 1997</w:t>
            </w:r>
            <w:r w:rsidR="00B36170">
              <w:rPr>
                <w:rFonts w:ascii="Times New Roman" w:hAnsi="Times New Roman"/>
              </w:rPr>
              <w:t> </w:t>
            </w:r>
            <w:r w:rsidRPr="00457E89">
              <w:rPr>
                <w:rFonts w:ascii="Times New Roman" w:hAnsi="Times New Roman"/>
              </w:rPr>
              <w:t xml:space="preserve">r. </w:t>
            </w:r>
            <w:r w:rsidR="009D7B6E">
              <w:rPr>
                <w:rFonts w:ascii="Times New Roman" w:hAnsi="Times New Roman"/>
              </w:rPr>
              <w:t>–</w:t>
            </w:r>
            <w:r w:rsidRPr="00457E89">
              <w:rPr>
                <w:rFonts w:ascii="Times New Roman" w:hAnsi="Times New Roman"/>
              </w:rPr>
              <w:t xml:space="preserve"> P</w:t>
            </w:r>
            <w:r>
              <w:rPr>
                <w:rFonts w:ascii="Times New Roman" w:hAnsi="Times New Roman"/>
              </w:rPr>
              <w:t xml:space="preserve">rawo energetyczne </w:t>
            </w:r>
          </w:p>
          <w:p w14:paraId="38528A4B" w14:textId="754F4F67" w:rsidR="006A701A" w:rsidRPr="008B4FE6" w:rsidRDefault="006A701A" w:rsidP="007943E2">
            <w:pPr>
              <w:spacing w:before="120" w:line="240" w:lineRule="auto"/>
              <w:rPr>
                <w:rFonts w:ascii="Times New Roman" w:hAnsi="Times New Roman"/>
                <w:b/>
                <w:color w:val="000000"/>
              </w:rPr>
            </w:pPr>
            <w:r w:rsidRPr="008B4FE6">
              <w:rPr>
                <w:rFonts w:ascii="Times New Roman" w:hAnsi="Times New Roman"/>
                <w:b/>
                <w:color w:val="000000"/>
              </w:rPr>
              <w:t xml:space="preserve">Nr </w:t>
            </w:r>
            <w:r w:rsidR="0057668E">
              <w:rPr>
                <w:rFonts w:ascii="Times New Roman" w:hAnsi="Times New Roman"/>
                <w:b/>
                <w:color w:val="000000"/>
              </w:rPr>
              <w:t>w</w:t>
            </w:r>
            <w:r w:rsidRPr="008B4FE6">
              <w:rPr>
                <w:rFonts w:ascii="Times New Roman" w:hAnsi="Times New Roman"/>
                <w:b/>
                <w:color w:val="000000"/>
              </w:rPr>
              <w:t xml:space="preserve"> wykaz</w:t>
            </w:r>
            <w:r w:rsidR="0057668E">
              <w:rPr>
                <w:rFonts w:ascii="Times New Roman" w:hAnsi="Times New Roman"/>
                <w:b/>
                <w:color w:val="000000"/>
              </w:rPr>
              <w:t>ie</w:t>
            </w:r>
            <w:r w:rsidRPr="008B4FE6">
              <w:rPr>
                <w:rFonts w:ascii="Times New Roman" w:hAnsi="Times New Roman"/>
                <w:b/>
                <w:color w:val="000000"/>
              </w:rPr>
              <w:t xml:space="preserve"> prac </w:t>
            </w:r>
            <w:r w:rsidR="00356E0F">
              <w:rPr>
                <w:rFonts w:ascii="Times New Roman" w:hAnsi="Times New Roman"/>
                <w:b/>
                <w:color w:val="000000"/>
              </w:rPr>
              <w:t>legislacyjnych M</w:t>
            </w:r>
            <w:r w:rsidR="00310ACF">
              <w:rPr>
                <w:rFonts w:ascii="Times New Roman" w:hAnsi="Times New Roman"/>
                <w:b/>
                <w:color w:val="000000"/>
              </w:rPr>
              <w:t>K</w:t>
            </w:r>
          </w:p>
          <w:p w14:paraId="51901EB6" w14:textId="2228E8EA" w:rsidR="006A701A" w:rsidRPr="009D7B6E" w:rsidRDefault="009D7B6E" w:rsidP="00A17CB2">
            <w:pPr>
              <w:spacing w:line="240" w:lineRule="auto"/>
              <w:rPr>
                <w:rFonts w:ascii="Times New Roman" w:hAnsi="Times New Roman"/>
                <w:color w:val="000000"/>
                <w:sz w:val="24"/>
                <w:szCs w:val="24"/>
              </w:rPr>
            </w:pPr>
            <w:r w:rsidRPr="00DD6E03">
              <w:rPr>
                <w:rFonts w:ascii="Times New Roman" w:hAnsi="Times New Roman"/>
                <w:color w:val="000000"/>
              </w:rPr>
              <w:t>50</w:t>
            </w:r>
          </w:p>
        </w:tc>
      </w:tr>
      <w:tr w:rsidR="006A701A" w:rsidRPr="0022687A" w14:paraId="26CB41A8" w14:textId="77777777" w:rsidTr="00704C3A">
        <w:trPr>
          <w:trHeight w:val="142"/>
        </w:trPr>
        <w:tc>
          <w:tcPr>
            <w:tcW w:w="11199" w:type="dxa"/>
            <w:gridSpan w:val="29"/>
            <w:shd w:val="clear" w:color="auto" w:fill="99CCFF"/>
          </w:tcPr>
          <w:p w14:paraId="3ECF03A2" w14:textId="77777777" w:rsidR="006A701A" w:rsidRPr="00627221" w:rsidRDefault="006A701A" w:rsidP="001B4CA1">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6A701A" w:rsidRPr="008B4FE6" w14:paraId="2024F74F" w14:textId="77777777" w:rsidTr="00704C3A">
        <w:trPr>
          <w:trHeight w:val="333"/>
        </w:trPr>
        <w:tc>
          <w:tcPr>
            <w:tcW w:w="11199" w:type="dxa"/>
            <w:gridSpan w:val="29"/>
            <w:shd w:val="clear" w:color="auto" w:fill="99CCFF"/>
            <w:vAlign w:val="center"/>
          </w:tcPr>
          <w:p w14:paraId="5EA2A1C5" w14:textId="77777777" w:rsidR="006A701A" w:rsidRPr="008B4FE6" w:rsidRDefault="003D12F6" w:rsidP="006A701A">
            <w:pPr>
              <w:numPr>
                <w:ilvl w:val="0"/>
                <w:numId w:val="3"/>
              </w:numPr>
              <w:spacing w:before="60" w:after="60" w:line="240" w:lineRule="auto"/>
              <w:ind w:left="318" w:hanging="284"/>
              <w:jc w:val="both"/>
              <w:rPr>
                <w:rFonts w:ascii="Times New Roman" w:hAnsi="Times New Roman"/>
                <w:b/>
                <w:color w:val="000000"/>
              </w:rPr>
            </w:pPr>
            <w:r w:rsidRPr="001812C7">
              <w:rPr>
                <w:rFonts w:ascii="Times New Roman" w:hAnsi="Times New Roman"/>
                <w:b/>
              </w:rPr>
              <w:t xml:space="preserve">Jaki problem jest </w:t>
            </w:r>
            <w:r w:rsidR="00CC6305" w:rsidRPr="001812C7">
              <w:rPr>
                <w:rFonts w:ascii="Times New Roman" w:hAnsi="Times New Roman"/>
                <w:b/>
              </w:rPr>
              <w:t>rozwiązywany</w:t>
            </w:r>
            <w:r w:rsidR="00CC6305">
              <w:rPr>
                <w:rFonts w:ascii="Times New Roman" w:hAnsi="Times New Roman"/>
                <w:b/>
              </w:rPr>
              <w:t>?</w:t>
            </w:r>
            <w:bookmarkStart w:id="2" w:name="Wybór1"/>
            <w:bookmarkEnd w:id="2"/>
          </w:p>
        </w:tc>
      </w:tr>
      <w:tr w:rsidR="006A701A" w:rsidRPr="008B4FE6" w14:paraId="67D4E147" w14:textId="77777777" w:rsidTr="00704C3A">
        <w:trPr>
          <w:trHeight w:val="142"/>
        </w:trPr>
        <w:tc>
          <w:tcPr>
            <w:tcW w:w="11199" w:type="dxa"/>
            <w:gridSpan w:val="29"/>
            <w:shd w:val="clear" w:color="auto" w:fill="FFFFFF"/>
          </w:tcPr>
          <w:p w14:paraId="72B3A8F8" w14:textId="1932A6E4" w:rsidR="00E33CC4" w:rsidRDefault="00312A74" w:rsidP="00DD6E03">
            <w:pPr>
              <w:jc w:val="both"/>
              <w:rPr>
                <w:rFonts w:ascii="Times New Roman" w:hAnsi="Times New Roman"/>
                <w:color w:val="000000"/>
              </w:rPr>
            </w:pPr>
            <w:r w:rsidRPr="00312A74">
              <w:rPr>
                <w:rFonts w:ascii="Times New Roman" w:hAnsi="Times New Roman"/>
                <w:color w:val="000000"/>
              </w:rPr>
              <w:t xml:space="preserve">Przygotowanie </w:t>
            </w:r>
            <w:r w:rsidR="00310ACF">
              <w:rPr>
                <w:rFonts w:ascii="Times New Roman" w:hAnsi="Times New Roman"/>
                <w:color w:val="000000"/>
              </w:rPr>
              <w:t xml:space="preserve">nowelizacji </w:t>
            </w:r>
            <w:r w:rsidRPr="00312A74">
              <w:rPr>
                <w:rFonts w:ascii="Times New Roman" w:hAnsi="Times New Roman"/>
                <w:color w:val="000000"/>
              </w:rPr>
              <w:t xml:space="preserve">rozporządzenia </w:t>
            </w:r>
            <w:r w:rsidR="00306537" w:rsidRPr="00306537">
              <w:rPr>
                <w:rFonts w:ascii="Times New Roman" w:hAnsi="Times New Roman"/>
                <w:color w:val="000000"/>
              </w:rPr>
              <w:t>Ministra Energii z dnia 6 marca 2019 r.</w:t>
            </w:r>
            <w:r w:rsidR="00306537">
              <w:rPr>
                <w:rFonts w:ascii="Times New Roman" w:hAnsi="Times New Roman"/>
                <w:color w:val="000000"/>
              </w:rPr>
              <w:t xml:space="preserve"> </w:t>
            </w:r>
            <w:r w:rsidRPr="00112A0C">
              <w:rPr>
                <w:rFonts w:ascii="Times New Roman" w:hAnsi="Times New Roman"/>
                <w:color w:val="000000"/>
              </w:rPr>
              <w:t>w sprawie szczegółowych zasad kształtowania i kalkulacji taryf oraz rozliczeń w obrocie energią elektryczną</w:t>
            </w:r>
            <w:r>
              <w:rPr>
                <w:rFonts w:ascii="Times New Roman" w:hAnsi="Times New Roman"/>
                <w:color w:val="000000"/>
              </w:rPr>
              <w:t>,</w:t>
            </w:r>
            <w:r w:rsidR="00703533">
              <w:rPr>
                <w:rFonts w:ascii="Times New Roman" w:hAnsi="Times New Roman"/>
                <w:color w:val="000000"/>
              </w:rPr>
              <w:t xml:space="preserve"> zwanego dalej „rozporządzeniem taryfowym”</w:t>
            </w:r>
            <w:r>
              <w:rPr>
                <w:rFonts w:ascii="Times New Roman" w:hAnsi="Times New Roman"/>
                <w:color w:val="000000"/>
              </w:rPr>
              <w:t>,</w:t>
            </w:r>
            <w:r w:rsidRPr="00112A0C">
              <w:rPr>
                <w:rFonts w:ascii="Times New Roman" w:hAnsi="Times New Roman"/>
                <w:color w:val="000000"/>
              </w:rPr>
              <w:t xml:space="preserve"> </w:t>
            </w:r>
            <w:r w:rsidRPr="00312A74">
              <w:rPr>
                <w:rFonts w:ascii="Times New Roman" w:hAnsi="Times New Roman"/>
                <w:color w:val="000000"/>
              </w:rPr>
              <w:t xml:space="preserve">jest konieczne </w:t>
            </w:r>
            <w:r w:rsidR="00310ACF">
              <w:rPr>
                <w:rFonts w:ascii="Times New Roman" w:hAnsi="Times New Roman"/>
                <w:color w:val="000000"/>
              </w:rPr>
              <w:t xml:space="preserve">w szczególności ze względu na potrzebę ograniczenia negatywnych skutków ekonomicznych dla Operatorów Systemów Dystrybucyjnych </w:t>
            </w:r>
            <w:r w:rsidR="000F70D4">
              <w:rPr>
                <w:rFonts w:ascii="Times New Roman" w:hAnsi="Times New Roman"/>
                <w:color w:val="000000"/>
              </w:rPr>
              <w:t xml:space="preserve">(OSD) i Operatora Systemu Przesyłowego (OSP) </w:t>
            </w:r>
            <w:r w:rsidR="00310ACF">
              <w:rPr>
                <w:rFonts w:ascii="Times New Roman" w:hAnsi="Times New Roman"/>
                <w:color w:val="000000"/>
              </w:rPr>
              <w:t xml:space="preserve">w związku z ogłoszeniem stanu zagrożenia epidemicznego, a następnie stanu epidemii wirusa SARS-CoV-2 i związanym z tym zmniejszeniem poboru energii elektrycznej przez odbiorców. </w:t>
            </w:r>
            <w:r w:rsidR="00281E06">
              <w:rPr>
                <w:rFonts w:ascii="Times New Roman" w:hAnsi="Times New Roman"/>
                <w:color w:val="000000"/>
              </w:rPr>
              <w:t>Jednak mechanizm ten powinien</w:t>
            </w:r>
            <w:r w:rsidR="00EF302E">
              <w:rPr>
                <w:rFonts w:ascii="Times New Roman" w:hAnsi="Times New Roman"/>
                <w:color w:val="000000"/>
              </w:rPr>
              <w:t xml:space="preserve"> </w:t>
            </w:r>
            <w:r w:rsidR="006C3A8D">
              <w:rPr>
                <w:rFonts w:ascii="Times New Roman" w:hAnsi="Times New Roman"/>
                <w:color w:val="000000"/>
              </w:rPr>
              <w:t xml:space="preserve">- </w:t>
            </w:r>
            <w:r w:rsidR="00EF302E">
              <w:rPr>
                <w:rFonts w:ascii="Times New Roman" w:hAnsi="Times New Roman"/>
                <w:color w:val="000000"/>
              </w:rPr>
              <w:t xml:space="preserve">wzorem wielu krajów europejskich </w:t>
            </w:r>
            <w:r w:rsidR="006C3A8D">
              <w:rPr>
                <w:rFonts w:ascii="Times New Roman" w:hAnsi="Times New Roman"/>
                <w:color w:val="000000"/>
              </w:rPr>
              <w:t xml:space="preserve">- </w:t>
            </w:r>
            <w:r w:rsidR="00EF302E">
              <w:rPr>
                <w:rFonts w:ascii="Times New Roman" w:hAnsi="Times New Roman"/>
                <w:color w:val="000000"/>
              </w:rPr>
              <w:t>funkcjonować nie tylko w czasach pandemii, ale powinien stanowić standardowe rozwiązanie regulacyjne.</w:t>
            </w:r>
            <w:r w:rsidR="00281E06">
              <w:rPr>
                <w:rFonts w:ascii="Times New Roman" w:hAnsi="Times New Roman"/>
                <w:color w:val="000000"/>
              </w:rPr>
              <w:t xml:space="preserve"> </w:t>
            </w:r>
            <w:r w:rsidR="00DD01AD">
              <w:rPr>
                <w:rFonts w:ascii="Times New Roman" w:hAnsi="Times New Roman"/>
                <w:color w:val="000000"/>
              </w:rPr>
              <w:t xml:space="preserve">Brak jest w przepisach dotyczących kształtowania i kalkulacji taryf </w:t>
            </w:r>
            <w:r w:rsidR="00BD374A">
              <w:rPr>
                <w:rFonts w:ascii="Times New Roman" w:hAnsi="Times New Roman"/>
                <w:color w:val="000000"/>
              </w:rPr>
              <w:t xml:space="preserve">Operatorów </w:t>
            </w:r>
            <w:r w:rsidR="00DD01AD" w:rsidRPr="00DD01AD">
              <w:rPr>
                <w:rFonts w:ascii="Times New Roman" w:hAnsi="Times New Roman"/>
                <w:color w:val="000000"/>
              </w:rPr>
              <w:t xml:space="preserve">mechanizmu </w:t>
            </w:r>
            <w:r w:rsidR="00DD01AD">
              <w:rPr>
                <w:rFonts w:ascii="Times New Roman" w:hAnsi="Times New Roman"/>
                <w:color w:val="000000"/>
              </w:rPr>
              <w:t>wyrównującego</w:t>
            </w:r>
            <w:r w:rsidR="00281E06">
              <w:rPr>
                <w:rFonts w:ascii="Times New Roman" w:hAnsi="Times New Roman"/>
                <w:color w:val="000000"/>
              </w:rPr>
              <w:t xml:space="preserve"> saldem (bez względu na kierunek wzrost/obniżenie)</w:t>
            </w:r>
            <w:r w:rsidR="00DD01AD">
              <w:rPr>
                <w:rFonts w:ascii="Times New Roman" w:hAnsi="Times New Roman"/>
                <w:color w:val="000000"/>
              </w:rPr>
              <w:t xml:space="preserve"> </w:t>
            </w:r>
            <w:r w:rsidR="00DD01AD" w:rsidRPr="00DD01AD">
              <w:rPr>
                <w:rFonts w:ascii="Times New Roman" w:hAnsi="Times New Roman"/>
                <w:color w:val="000000"/>
              </w:rPr>
              <w:t>przych</w:t>
            </w:r>
            <w:r w:rsidR="00DD01AD">
              <w:rPr>
                <w:rFonts w:ascii="Times New Roman" w:hAnsi="Times New Roman"/>
                <w:color w:val="000000"/>
              </w:rPr>
              <w:t>ód</w:t>
            </w:r>
            <w:r w:rsidR="00DD01AD" w:rsidRPr="00DD01AD">
              <w:rPr>
                <w:rFonts w:ascii="Times New Roman" w:hAnsi="Times New Roman"/>
                <w:color w:val="000000"/>
              </w:rPr>
              <w:t xml:space="preserve"> rzeczywisty</w:t>
            </w:r>
            <w:r w:rsidR="00DD01AD">
              <w:rPr>
                <w:rFonts w:ascii="Times New Roman" w:hAnsi="Times New Roman"/>
                <w:color w:val="000000"/>
              </w:rPr>
              <w:t xml:space="preserve"> z</w:t>
            </w:r>
            <w:r w:rsidR="00DD01AD" w:rsidRPr="00DD01AD">
              <w:rPr>
                <w:rFonts w:ascii="Times New Roman" w:hAnsi="Times New Roman"/>
                <w:color w:val="000000"/>
              </w:rPr>
              <w:t xml:space="preserve"> </w:t>
            </w:r>
            <w:r w:rsidR="00F63A02">
              <w:rPr>
                <w:rFonts w:ascii="Times New Roman" w:hAnsi="Times New Roman"/>
                <w:color w:val="000000"/>
              </w:rPr>
              <w:t xml:space="preserve">planowanym </w:t>
            </w:r>
            <w:r w:rsidR="00DD01AD" w:rsidRPr="00DD01AD">
              <w:rPr>
                <w:rFonts w:ascii="Times New Roman" w:hAnsi="Times New Roman"/>
                <w:color w:val="000000"/>
              </w:rPr>
              <w:t>przychodem regulowanym</w:t>
            </w:r>
            <w:r w:rsidR="00BD374A">
              <w:rPr>
                <w:rFonts w:ascii="Times New Roman" w:hAnsi="Times New Roman"/>
                <w:color w:val="000000"/>
              </w:rPr>
              <w:t xml:space="preserve"> </w:t>
            </w:r>
            <w:r w:rsidR="00281E06">
              <w:rPr>
                <w:rFonts w:ascii="Times New Roman" w:hAnsi="Times New Roman"/>
                <w:color w:val="000000"/>
              </w:rPr>
              <w:t xml:space="preserve">zatwierdzonym przez Prezesa URE na podstawie uzasadnionych </w:t>
            </w:r>
            <w:r w:rsidR="00F63A02">
              <w:rPr>
                <w:rFonts w:ascii="Times New Roman" w:hAnsi="Times New Roman"/>
                <w:color w:val="000000"/>
              </w:rPr>
              <w:t xml:space="preserve">planowanych </w:t>
            </w:r>
            <w:r w:rsidR="00281E06">
              <w:rPr>
                <w:rFonts w:ascii="Times New Roman" w:hAnsi="Times New Roman"/>
                <w:color w:val="000000"/>
              </w:rPr>
              <w:t>kosztów i zwrotu z WRA</w:t>
            </w:r>
            <w:r w:rsidR="00DD01AD">
              <w:rPr>
                <w:rFonts w:ascii="Times New Roman" w:hAnsi="Times New Roman"/>
                <w:color w:val="000000"/>
              </w:rPr>
              <w:t>, w którym</w:t>
            </w:r>
            <w:r w:rsidR="00DD01AD" w:rsidRPr="00DD01AD">
              <w:rPr>
                <w:rFonts w:ascii="Times New Roman" w:hAnsi="Times New Roman"/>
                <w:color w:val="000000"/>
              </w:rPr>
              <w:t xml:space="preserve"> </w:t>
            </w:r>
            <w:r w:rsidR="00F63A02">
              <w:rPr>
                <w:rFonts w:ascii="Times New Roman" w:hAnsi="Times New Roman"/>
                <w:color w:val="000000"/>
              </w:rPr>
              <w:t xml:space="preserve">kalkulowane </w:t>
            </w:r>
            <w:r w:rsidR="00DD01AD" w:rsidRPr="00DD01AD">
              <w:rPr>
                <w:rFonts w:ascii="Times New Roman" w:hAnsi="Times New Roman"/>
                <w:color w:val="000000"/>
              </w:rPr>
              <w:t xml:space="preserve">stawki </w:t>
            </w:r>
            <w:r w:rsidR="00F63A02">
              <w:rPr>
                <w:rFonts w:ascii="Times New Roman" w:hAnsi="Times New Roman"/>
                <w:color w:val="000000"/>
              </w:rPr>
              <w:t xml:space="preserve">opłat w taryfach </w:t>
            </w:r>
            <w:r w:rsidR="00DD01AD" w:rsidRPr="00DD01AD">
              <w:rPr>
                <w:rFonts w:ascii="Times New Roman" w:hAnsi="Times New Roman"/>
                <w:color w:val="000000"/>
              </w:rPr>
              <w:t xml:space="preserve">bazują na prognozie nośników (np. wolumen dostawy energii elektrycznej, </w:t>
            </w:r>
            <w:r w:rsidR="00D93E9B">
              <w:rPr>
                <w:rFonts w:ascii="Times New Roman" w:hAnsi="Times New Roman"/>
                <w:color w:val="000000"/>
              </w:rPr>
              <w:t xml:space="preserve">wolumen zużycia energii elektrycznej przez odbiorców końcowych, </w:t>
            </w:r>
            <w:r w:rsidR="00DD01AD" w:rsidRPr="00DD01AD">
              <w:rPr>
                <w:rFonts w:ascii="Times New Roman" w:hAnsi="Times New Roman"/>
                <w:color w:val="000000"/>
              </w:rPr>
              <w:t xml:space="preserve">moc umowna, planowane przychody z przekroczeń mocy itd.). </w:t>
            </w:r>
            <w:r w:rsidR="00DD01AD">
              <w:rPr>
                <w:rFonts w:ascii="Times New Roman" w:hAnsi="Times New Roman"/>
                <w:color w:val="000000"/>
              </w:rPr>
              <w:t xml:space="preserve">Jeśli te prognozy się nie spełniają, jak </w:t>
            </w:r>
            <w:r w:rsidR="005C5954">
              <w:rPr>
                <w:rFonts w:ascii="Times New Roman" w:hAnsi="Times New Roman"/>
                <w:color w:val="000000"/>
              </w:rPr>
              <w:t xml:space="preserve">np. </w:t>
            </w:r>
            <w:r w:rsidR="00F63A02">
              <w:rPr>
                <w:rFonts w:ascii="Times New Roman" w:hAnsi="Times New Roman"/>
                <w:color w:val="000000"/>
              </w:rPr>
              <w:t xml:space="preserve">prognozowany i uwzględniany w kalkulacji taryf na rok 2020 wolumen dostawy energii </w:t>
            </w:r>
            <w:r w:rsidR="00DD01AD">
              <w:rPr>
                <w:rFonts w:ascii="Times New Roman" w:hAnsi="Times New Roman"/>
                <w:color w:val="000000"/>
              </w:rPr>
              <w:t xml:space="preserve">dla roku 2020, </w:t>
            </w:r>
            <w:r w:rsidR="00DD01AD" w:rsidRPr="00DD01AD">
              <w:rPr>
                <w:rFonts w:ascii="Times New Roman" w:hAnsi="Times New Roman"/>
                <w:color w:val="000000"/>
              </w:rPr>
              <w:t xml:space="preserve">OSD </w:t>
            </w:r>
            <w:r w:rsidR="000F70D4">
              <w:rPr>
                <w:rFonts w:ascii="Times New Roman" w:hAnsi="Times New Roman"/>
                <w:color w:val="000000"/>
              </w:rPr>
              <w:t xml:space="preserve">i OSP </w:t>
            </w:r>
            <w:r w:rsidR="00DD01AD" w:rsidRPr="00DD01AD">
              <w:rPr>
                <w:rFonts w:ascii="Times New Roman" w:hAnsi="Times New Roman"/>
                <w:color w:val="000000"/>
              </w:rPr>
              <w:t xml:space="preserve">nie </w:t>
            </w:r>
            <w:r w:rsidR="00D93E9B" w:rsidRPr="00DD01AD">
              <w:rPr>
                <w:rFonts w:ascii="Times New Roman" w:hAnsi="Times New Roman"/>
                <w:color w:val="000000"/>
              </w:rPr>
              <w:t>uzysk</w:t>
            </w:r>
            <w:r w:rsidR="00D93E9B">
              <w:rPr>
                <w:rFonts w:ascii="Times New Roman" w:hAnsi="Times New Roman"/>
                <w:color w:val="000000"/>
              </w:rPr>
              <w:t>ają</w:t>
            </w:r>
            <w:r w:rsidR="00D93E9B" w:rsidRPr="00DD01AD">
              <w:rPr>
                <w:rFonts w:ascii="Times New Roman" w:hAnsi="Times New Roman"/>
                <w:color w:val="000000"/>
              </w:rPr>
              <w:t xml:space="preserve"> </w:t>
            </w:r>
            <w:r w:rsidR="00DD01AD" w:rsidRPr="00DD01AD">
              <w:rPr>
                <w:rFonts w:ascii="Times New Roman" w:hAnsi="Times New Roman"/>
                <w:color w:val="000000"/>
              </w:rPr>
              <w:t xml:space="preserve">przychodu na poziomie pokrywającym </w:t>
            </w:r>
            <w:r w:rsidR="00B55088">
              <w:rPr>
                <w:rFonts w:ascii="Times New Roman" w:hAnsi="Times New Roman"/>
                <w:color w:val="000000"/>
              </w:rPr>
              <w:t xml:space="preserve">zatwierdzone przez Prezesa URE w tej taryfie </w:t>
            </w:r>
            <w:r w:rsidR="00BD374A" w:rsidRPr="00BD374A">
              <w:rPr>
                <w:rFonts w:ascii="Times New Roman" w:hAnsi="Times New Roman"/>
                <w:color w:val="000000"/>
              </w:rPr>
              <w:t xml:space="preserve">koszty uzasadnione (w tym koszty operacyjne) oraz </w:t>
            </w:r>
            <w:r w:rsidR="00F63A02">
              <w:rPr>
                <w:rFonts w:ascii="Times New Roman" w:hAnsi="Times New Roman"/>
                <w:color w:val="000000"/>
              </w:rPr>
              <w:t xml:space="preserve">nie uzyskają wymaganego </w:t>
            </w:r>
            <w:r w:rsidR="00BD374A" w:rsidRPr="00BD374A">
              <w:rPr>
                <w:rFonts w:ascii="Times New Roman" w:hAnsi="Times New Roman"/>
                <w:color w:val="000000"/>
              </w:rPr>
              <w:t>zwrotu z zaangażowanego kapitału</w:t>
            </w:r>
            <w:r w:rsidR="00F63A02">
              <w:rPr>
                <w:rFonts w:ascii="Times New Roman" w:hAnsi="Times New Roman"/>
                <w:color w:val="000000"/>
              </w:rPr>
              <w:t>, przeznaczanego głównie na realizację niezbędnych inwestycji sieciowych</w:t>
            </w:r>
            <w:r w:rsidR="005C5954">
              <w:rPr>
                <w:rFonts w:ascii="Times New Roman" w:hAnsi="Times New Roman"/>
                <w:color w:val="000000"/>
              </w:rPr>
              <w:t>.</w:t>
            </w:r>
            <w:r w:rsidR="006C3A8D">
              <w:rPr>
                <w:rFonts w:ascii="Times New Roman" w:hAnsi="Times New Roman"/>
                <w:color w:val="000000"/>
              </w:rPr>
              <w:t xml:space="preserve"> </w:t>
            </w:r>
            <w:r w:rsidR="00F04D7D" w:rsidRPr="00F04D7D">
              <w:rPr>
                <w:rFonts w:ascii="Times New Roman" w:hAnsi="Times New Roman"/>
                <w:color w:val="000000"/>
              </w:rPr>
              <w:t xml:space="preserve">Jednocześnie uzyskanie przez </w:t>
            </w:r>
            <w:r w:rsidR="00F63A02">
              <w:rPr>
                <w:rFonts w:ascii="Times New Roman" w:hAnsi="Times New Roman"/>
                <w:color w:val="000000"/>
              </w:rPr>
              <w:t xml:space="preserve">operatorów </w:t>
            </w:r>
            <w:r w:rsidR="00F04D7D" w:rsidRPr="00F04D7D">
              <w:rPr>
                <w:rFonts w:ascii="Times New Roman" w:hAnsi="Times New Roman"/>
                <w:color w:val="000000"/>
              </w:rPr>
              <w:t>wyższego przychodu niż planowany w taryfie</w:t>
            </w:r>
            <w:r w:rsidR="00F63A02" w:rsidRPr="00F04D7D">
              <w:rPr>
                <w:rFonts w:ascii="Times New Roman" w:hAnsi="Times New Roman"/>
                <w:color w:val="000000"/>
              </w:rPr>
              <w:t xml:space="preserve"> z opłat zależnych od </w:t>
            </w:r>
            <w:r w:rsidR="00F63A02">
              <w:rPr>
                <w:rFonts w:ascii="Times New Roman" w:hAnsi="Times New Roman"/>
                <w:color w:val="000000"/>
              </w:rPr>
              <w:t>nośników opłat</w:t>
            </w:r>
            <w:r w:rsidR="00F04D7D" w:rsidRPr="00F04D7D">
              <w:rPr>
                <w:rFonts w:ascii="Times New Roman" w:hAnsi="Times New Roman"/>
                <w:color w:val="000000"/>
              </w:rPr>
              <w:t xml:space="preserve">, skutkuje wyższym </w:t>
            </w:r>
            <w:r w:rsidR="00F63A02">
              <w:rPr>
                <w:rFonts w:ascii="Times New Roman" w:hAnsi="Times New Roman"/>
                <w:color w:val="000000"/>
              </w:rPr>
              <w:t xml:space="preserve">przychodem </w:t>
            </w:r>
            <w:r w:rsidR="00F04D7D" w:rsidRPr="00F04D7D">
              <w:rPr>
                <w:rFonts w:ascii="Times New Roman" w:hAnsi="Times New Roman"/>
                <w:color w:val="000000"/>
              </w:rPr>
              <w:t>niż wynikające z wysokości uzasadnionych kosztów OSD</w:t>
            </w:r>
            <w:r w:rsidR="00B55088">
              <w:rPr>
                <w:rFonts w:ascii="Times New Roman" w:hAnsi="Times New Roman"/>
                <w:color w:val="000000"/>
              </w:rPr>
              <w:t xml:space="preserve"> i OSP</w:t>
            </w:r>
            <w:r w:rsidR="00F04D7D" w:rsidRPr="00F04D7D">
              <w:rPr>
                <w:rFonts w:ascii="Times New Roman" w:hAnsi="Times New Roman"/>
                <w:color w:val="000000"/>
              </w:rPr>
              <w:t xml:space="preserve"> oraz zwrotu z zaangażowanego kapitału</w:t>
            </w:r>
            <w:r w:rsidR="00F63A02">
              <w:rPr>
                <w:rFonts w:ascii="Times New Roman" w:hAnsi="Times New Roman"/>
                <w:color w:val="000000"/>
              </w:rPr>
              <w:t xml:space="preserve"> i tym samym </w:t>
            </w:r>
            <w:r w:rsidR="00F63A02" w:rsidRPr="00F04D7D">
              <w:rPr>
                <w:rFonts w:ascii="Times New Roman" w:hAnsi="Times New Roman"/>
                <w:color w:val="000000"/>
              </w:rPr>
              <w:t>nieuzasadnionym obciążeniem dla odbiorców</w:t>
            </w:r>
            <w:r w:rsidR="00F04D7D" w:rsidRPr="00F04D7D">
              <w:rPr>
                <w:rFonts w:ascii="Times New Roman" w:hAnsi="Times New Roman"/>
                <w:color w:val="000000"/>
              </w:rPr>
              <w:t>.</w:t>
            </w:r>
            <w:r w:rsidR="006C3A8D">
              <w:rPr>
                <w:rFonts w:ascii="Times New Roman" w:hAnsi="Times New Roman"/>
                <w:color w:val="000000"/>
              </w:rPr>
              <w:t xml:space="preserve"> Dla zniwelowania tego efektu i zapewnienia stabilności regulacji, konieczne są zmiany w prawie i wprowadzenie właściwego mechanizmu wyrównującego</w:t>
            </w:r>
            <w:r w:rsidR="00F63A02">
              <w:rPr>
                <w:rFonts w:ascii="Times New Roman" w:hAnsi="Times New Roman"/>
                <w:color w:val="000000"/>
              </w:rPr>
              <w:t xml:space="preserve"> w postaci konta regulacyjnego</w:t>
            </w:r>
            <w:r w:rsidR="006C3A8D">
              <w:rPr>
                <w:rFonts w:ascii="Times New Roman" w:hAnsi="Times New Roman"/>
                <w:color w:val="000000"/>
              </w:rPr>
              <w:t>.</w:t>
            </w:r>
          </w:p>
          <w:p w14:paraId="6FE14BDC" w14:textId="77777777" w:rsidR="00320E7B" w:rsidRDefault="00320E7B" w:rsidP="00DD6E03">
            <w:pPr>
              <w:jc w:val="both"/>
              <w:rPr>
                <w:rFonts w:ascii="Times New Roman" w:hAnsi="Times New Roman"/>
                <w:color w:val="000000"/>
              </w:rPr>
            </w:pPr>
            <w:r w:rsidRPr="00320E7B">
              <w:rPr>
                <w:rFonts w:ascii="Times New Roman" w:hAnsi="Times New Roman"/>
                <w:color w:val="000000"/>
              </w:rPr>
              <w:t xml:space="preserve">Zmiana ma </w:t>
            </w:r>
            <w:r>
              <w:rPr>
                <w:rFonts w:ascii="Times New Roman" w:hAnsi="Times New Roman"/>
                <w:color w:val="000000"/>
              </w:rPr>
              <w:t xml:space="preserve">również </w:t>
            </w:r>
            <w:r w:rsidRPr="00320E7B">
              <w:rPr>
                <w:rFonts w:ascii="Times New Roman" w:hAnsi="Times New Roman"/>
                <w:color w:val="000000"/>
              </w:rPr>
              <w:t>na celu ułatwienie rozwoju elektromobilności w pierwszym okresie funkcjonowania rynku ładowania pojazdów elektrycznych, w którym liczba pojazdów elektrycznych korzystających z usług ładowania nie jest proporcjonalna do stałych kosztów związanych z zapewnieniem dostaw energii dla infrastruktury ładowania.</w:t>
            </w:r>
          </w:p>
          <w:p w14:paraId="45304506" w14:textId="0497D4E8" w:rsidR="00E52171" w:rsidRPr="00E52171" w:rsidRDefault="00E52171" w:rsidP="00DD6E03">
            <w:pPr>
              <w:jc w:val="both"/>
              <w:rPr>
                <w:rFonts w:ascii="Times New Roman" w:hAnsi="Times New Roman"/>
                <w:color w:val="000000"/>
              </w:rPr>
            </w:pPr>
            <w:r w:rsidRPr="00E52171">
              <w:rPr>
                <w:rFonts w:ascii="Times New Roman" w:hAnsi="Times New Roman"/>
                <w:color w:val="000000"/>
              </w:rPr>
              <w:t xml:space="preserve">Nowelizacja dokonuje również transpozycji do polskiego porządku prawnego postanowień zawartych w </w:t>
            </w:r>
            <w:r>
              <w:rPr>
                <w:rFonts w:ascii="Times New Roman" w:hAnsi="Times New Roman"/>
                <w:color w:val="000000"/>
              </w:rPr>
              <w:t>art. 10 ust</w:t>
            </w:r>
            <w:r w:rsidR="00306537">
              <w:rPr>
                <w:rFonts w:ascii="Times New Roman" w:hAnsi="Times New Roman"/>
                <w:color w:val="000000"/>
              </w:rPr>
              <w:t>.</w:t>
            </w:r>
            <w:r>
              <w:rPr>
                <w:rFonts w:ascii="Times New Roman" w:hAnsi="Times New Roman"/>
                <w:color w:val="000000"/>
              </w:rPr>
              <w:t xml:space="preserve"> 3 lit</w:t>
            </w:r>
            <w:r w:rsidR="00306537">
              <w:rPr>
                <w:rFonts w:ascii="Times New Roman" w:hAnsi="Times New Roman"/>
                <w:color w:val="000000"/>
              </w:rPr>
              <w:t>.</w:t>
            </w:r>
            <w:r>
              <w:rPr>
                <w:rFonts w:ascii="Times New Roman" w:hAnsi="Times New Roman"/>
                <w:color w:val="000000"/>
              </w:rPr>
              <w:t xml:space="preserve"> b) </w:t>
            </w:r>
            <w:r w:rsidR="00306537">
              <w:rPr>
                <w:rFonts w:ascii="Times New Roman" w:hAnsi="Times New Roman"/>
                <w:color w:val="000000"/>
              </w:rPr>
              <w:t>d</w:t>
            </w:r>
            <w:r w:rsidRPr="00E52171">
              <w:rPr>
                <w:rFonts w:ascii="Times New Roman" w:hAnsi="Times New Roman"/>
                <w:color w:val="000000"/>
              </w:rPr>
              <w:t>yrektyw</w:t>
            </w:r>
            <w:r>
              <w:rPr>
                <w:rFonts w:ascii="Times New Roman" w:hAnsi="Times New Roman"/>
                <w:color w:val="000000"/>
              </w:rPr>
              <w:t>y</w:t>
            </w:r>
            <w:r w:rsidRPr="00E52171">
              <w:rPr>
                <w:rFonts w:ascii="Times New Roman" w:hAnsi="Times New Roman"/>
                <w:color w:val="000000"/>
              </w:rPr>
              <w:t xml:space="preserve"> </w:t>
            </w:r>
            <w:r w:rsidRPr="00A64BCF">
              <w:rPr>
                <w:rFonts w:ascii="Times New Roman" w:hAnsi="Times New Roman"/>
              </w:rPr>
              <w:t>Parlamentu Europejskiego i Rady 2012/27/UE z dnia 25 października 2012 r. w sprawie efektywności energetycznej</w:t>
            </w:r>
            <w:r w:rsidR="00306537">
              <w:rPr>
                <w:rFonts w:ascii="Times New Roman" w:hAnsi="Times New Roman"/>
              </w:rPr>
              <w:t>,</w:t>
            </w:r>
            <w:r>
              <w:rPr>
                <w:rFonts w:ascii="Times New Roman" w:hAnsi="Times New Roman"/>
              </w:rPr>
              <w:t xml:space="preserve"> wprowadzających możliwość dostarczania odbiorcom końcowym faktur i informacji o rozliczeniach w formie elektronicznej. </w:t>
            </w:r>
          </w:p>
        </w:tc>
      </w:tr>
      <w:tr w:rsidR="006A701A" w:rsidRPr="008B4FE6" w14:paraId="7FA81D12" w14:textId="77777777" w:rsidTr="00704C3A">
        <w:trPr>
          <w:trHeight w:val="142"/>
        </w:trPr>
        <w:tc>
          <w:tcPr>
            <w:tcW w:w="11199" w:type="dxa"/>
            <w:gridSpan w:val="29"/>
            <w:shd w:val="clear" w:color="auto" w:fill="99CCFF"/>
            <w:vAlign w:val="center"/>
          </w:tcPr>
          <w:p w14:paraId="6CD3426C" w14:textId="77777777" w:rsidR="006A701A" w:rsidRPr="008B4FE6" w:rsidRDefault="0013216E" w:rsidP="00C53F26">
            <w:pPr>
              <w:numPr>
                <w:ilvl w:val="0"/>
                <w:numId w:val="3"/>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6A701A" w:rsidRPr="008B4FE6" w14:paraId="16814D6C" w14:textId="77777777" w:rsidTr="00704C3A">
        <w:trPr>
          <w:trHeight w:val="142"/>
        </w:trPr>
        <w:tc>
          <w:tcPr>
            <w:tcW w:w="11199" w:type="dxa"/>
            <w:gridSpan w:val="29"/>
            <w:shd w:val="clear" w:color="auto" w:fill="auto"/>
          </w:tcPr>
          <w:p w14:paraId="6F7034D8" w14:textId="684329A7" w:rsidR="006A701A" w:rsidRPr="009D7B6E" w:rsidRDefault="00F04D7D" w:rsidP="00DD6E03">
            <w:pPr>
              <w:jc w:val="both"/>
              <w:rPr>
                <w:rFonts w:ascii="Times New Roman" w:hAnsi="Times New Roman"/>
                <w:color w:val="000000"/>
                <w:spacing w:val="-2"/>
              </w:rPr>
            </w:pPr>
            <w:r w:rsidRPr="009D7B6E">
              <w:rPr>
                <w:rFonts w:ascii="Times New Roman" w:hAnsi="Times New Roman"/>
                <w:color w:val="000000"/>
                <w:spacing w:val="-2"/>
              </w:rPr>
              <w:t xml:space="preserve">Celowe i uzasadnione jest wprowadzenie mechanizmu wyrównującego w dłuższym terminie przychody </w:t>
            </w:r>
            <w:r w:rsidR="00B55088" w:rsidRPr="009D7B6E">
              <w:rPr>
                <w:rFonts w:ascii="Times New Roman" w:hAnsi="Times New Roman"/>
                <w:color w:val="000000"/>
                <w:spacing w:val="-2"/>
              </w:rPr>
              <w:t xml:space="preserve">OSD i OSP </w:t>
            </w:r>
            <w:r w:rsidRPr="009D7B6E">
              <w:rPr>
                <w:rFonts w:ascii="Times New Roman" w:hAnsi="Times New Roman"/>
                <w:color w:val="000000"/>
                <w:spacing w:val="-2"/>
              </w:rPr>
              <w:t xml:space="preserve">zależne od </w:t>
            </w:r>
            <w:r w:rsidR="00B55088" w:rsidRPr="009D7B6E">
              <w:rPr>
                <w:rFonts w:ascii="Times New Roman" w:hAnsi="Times New Roman"/>
                <w:color w:val="000000"/>
                <w:spacing w:val="-2"/>
              </w:rPr>
              <w:t xml:space="preserve">czynnika niezależnego od </w:t>
            </w:r>
            <w:r w:rsidR="000C3E60" w:rsidRPr="009D7B6E">
              <w:rPr>
                <w:rFonts w:ascii="Times New Roman" w:hAnsi="Times New Roman"/>
                <w:color w:val="000000"/>
                <w:spacing w:val="-2"/>
              </w:rPr>
              <w:t>o</w:t>
            </w:r>
            <w:r w:rsidR="000F70D4" w:rsidRPr="009D7B6E">
              <w:rPr>
                <w:rFonts w:ascii="Times New Roman" w:hAnsi="Times New Roman"/>
                <w:color w:val="000000"/>
                <w:spacing w:val="-2"/>
              </w:rPr>
              <w:t>peratorów</w:t>
            </w:r>
            <w:r w:rsidRPr="009D7B6E">
              <w:rPr>
                <w:rFonts w:ascii="Times New Roman" w:hAnsi="Times New Roman"/>
                <w:color w:val="000000"/>
                <w:spacing w:val="-2"/>
              </w:rPr>
              <w:t xml:space="preserve">, </w:t>
            </w:r>
            <w:r w:rsidR="00B55088" w:rsidRPr="009D7B6E">
              <w:rPr>
                <w:rFonts w:ascii="Times New Roman" w:hAnsi="Times New Roman"/>
                <w:color w:val="000000"/>
                <w:spacing w:val="-2"/>
              </w:rPr>
              <w:t xml:space="preserve">tj. nośników opłat, </w:t>
            </w:r>
            <w:r w:rsidRPr="009D7B6E">
              <w:rPr>
                <w:rFonts w:ascii="Times New Roman" w:hAnsi="Times New Roman"/>
                <w:color w:val="000000"/>
                <w:spacing w:val="-2"/>
              </w:rPr>
              <w:t xml:space="preserve">który odpowiednio bądź wyrówna </w:t>
            </w:r>
            <w:r w:rsidR="000C3E60" w:rsidRPr="009D7B6E">
              <w:rPr>
                <w:rFonts w:ascii="Times New Roman" w:hAnsi="Times New Roman"/>
                <w:color w:val="000000"/>
                <w:spacing w:val="-2"/>
              </w:rPr>
              <w:t>o</w:t>
            </w:r>
            <w:r w:rsidR="000F70D4" w:rsidRPr="009D7B6E">
              <w:rPr>
                <w:rFonts w:ascii="Times New Roman" w:hAnsi="Times New Roman"/>
                <w:color w:val="000000"/>
                <w:spacing w:val="-2"/>
              </w:rPr>
              <w:t xml:space="preserve">peratorom </w:t>
            </w:r>
            <w:r w:rsidRPr="009D7B6E">
              <w:rPr>
                <w:rFonts w:ascii="Times New Roman" w:hAnsi="Times New Roman"/>
                <w:color w:val="000000"/>
                <w:spacing w:val="-2"/>
              </w:rPr>
              <w:t xml:space="preserve">brakujący przychód, bądź też zapewni ograniczenie nadmiernych wzrostów kosztów odbiorców w przyszłych </w:t>
            </w:r>
            <w:r w:rsidR="00BD374A" w:rsidRPr="009D7B6E">
              <w:rPr>
                <w:rFonts w:ascii="Times New Roman" w:hAnsi="Times New Roman"/>
                <w:color w:val="000000"/>
                <w:spacing w:val="-2"/>
              </w:rPr>
              <w:t>latach/</w:t>
            </w:r>
            <w:r w:rsidRPr="009D7B6E">
              <w:rPr>
                <w:rFonts w:ascii="Times New Roman" w:hAnsi="Times New Roman"/>
                <w:color w:val="000000"/>
                <w:spacing w:val="-2"/>
              </w:rPr>
              <w:t>okresach regulacyjnych. Takim mechanizmem</w:t>
            </w:r>
            <w:r w:rsidR="00282E20" w:rsidRPr="009D7B6E">
              <w:rPr>
                <w:rFonts w:ascii="Times New Roman" w:hAnsi="Times New Roman"/>
                <w:color w:val="000000"/>
                <w:spacing w:val="-2"/>
              </w:rPr>
              <w:t>,</w:t>
            </w:r>
            <w:r w:rsidRPr="009D7B6E">
              <w:rPr>
                <w:rFonts w:ascii="Times New Roman" w:hAnsi="Times New Roman"/>
                <w:color w:val="000000"/>
                <w:spacing w:val="-2"/>
              </w:rPr>
              <w:t xml:space="preserve"> wyrównującym przychód w sytuacji uzależnienia jego uzyskania przede wszystkim od opłat zmiennych i wolumenu dostarczanej odbiorcom energii, jest konto regulacyjne. Proponuje się zatem u</w:t>
            </w:r>
            <w:r w:rsidR="005C5954" w:rsidRPr="009D7B6E">
              <w:rPr>
                <w:rFonts w:ascii="Times New Roman" w:hAnsi="Times New Roman"/>
                <w:color w:val="000000"/>
                <w:spacing w:val="-2"/>
              </w:rPr>
              <w:t xml:space="preserve">zupełnienie przepisów dotyczących kształtowania i kalkulacji taryf OSD </w:t>
            </w:r>
            <w:r w:rsidR="000F70D4" w:rsidRPr="009D7B6E">
              <w:rPr>
                <w:rFonts w:ascii="Times New Roman" w:hAnsi="Times New Roman"/>
                <w:color w:val="000000"/>
                <w:spacing w:val="-2"/>
              </w:rPr>
              <w:t xml:space="preserve">i OSP </w:t>
            </w:r>
            <w:r w:rsidR="005C5954" w:rsidRPr="009D7B6E">
              <w:rPr>
                <w:rFonts w:ascii="Times New Roman" w:hAnsi="Times New Roman"/>
                <w:color w:val="000000"/>
                <w:spacing w:val="-2"/>
              </w:rPr>
              <w:t xml:space="preserve">o </w:t>
            </w:r>
            <w:r w:rsidR="00757812" w:rsidRPr="009D7B6E">
              <w:rPr>
                <w:rFonts w:ascii="Times New Roman" w:hAnsi="Times New Roman"/>
                <w:color w:val="000000"/>
                <w:spacing w:val="-2"/>
              </w:rPr>
              <w:t xml:space="preserve">konto regulacyjne, </w:t>
            </w:r>
            <w:r w:rsidR="005C5954" w:rsidRPr="009D7B6E">
              <w:rPr>
                <w:rFonts w:ascii="Times New Roman" w:hAnsi="Times New Roman"/>
                <w:color w:val="000000"/>
                <w:spacing w:val="-2"/>
              </w:rPr>
              <w:t xml:space="preserve">poprzez </w:t>
            </w:r>
            <w:r w:rsidR="00757812" w:rsidRPr="009D7B6E">
              <w:rPr>
                <w:rFonts w:ascii="Times New Roman" w:hAnsi="Times New Roman"/>
                <w:color w:val="000000"/>
                <w:spacing w:val="-2"/>
              </w:rPr>
              <w:t xml:space="preserve">wprowadzenie możliwości </w:t>
            </w:r>
            <w:r w:rsidR="005C5954" w:rsidRPr="009D7B6E">
              <w:rPr>
                <w:rFonts w:ascii="Times New Roman" w:hAnsi="Times New Roman"/>
                <w:color w:val="000000"/>
                <w:spacing w:val="-2"/>
              </w:rPr>
              <w:t>uwzględnieni</w:t>
            </w:r>
            <w:r w:rsidR="00757812" w:rsidRPr="009D7B6E">
              <w:rPr>
                <w:rFonts w:ascii="Times New Roman" w:hAnsi="Times New Roman"/>
                <w:color w:val="000000"/>
                <w:spacing w:val="-2"/>
              </w:rPr>
              <w:t>a</w:t>
            </w:r>
            <w:r w:rsidR="005C5954" w:rsidRPr="009D7B6E">
              <w:rPr>
                <w:rFonts w:ascii="Times New Roman" w:hAnsi="Times New Roman"/>
                <w:color w:val="000000"/>
                <w:spacing w:val="-2"/>
              </w:rPr>
              <w:t xml:space="preserve"> w </w:t>
            </w:r>
            <w:r w:rsidR="003D77C4" w:rsidRPr="009D7B6E">
              <w:rPr>
                <w:rFonts w:ascii="Times New Roman" w:hAnsi="Times New Roman"/>
                <w:color w:val="000000"/>
                <w:spacing w:val="-2"/>
              </w:rPr>
              <w:t xml:space="preserve">jego </w:t>
            </w:r>
            <w:r w:rsidR="005C5954" w:rsidRPr="009D7B6E">
              <w:rPr>
                <w:rFonts w:ascii="Times New Roman" w:hAnsi="Times New Roman"/>
                <w:color w:val="000000"/>
                <w:spacing w:val="-2"/>
              </w:rPr>
              <w:t xml:space="preserve">ramach różnic w osiąganych faktycznie przychodach w latach poprzednich - w stosunku do </w:t>
            </w:r>
            <w:r w:rsidR="006E76E4" w:rsidRPr="009D7B6E">
              <w:rPr>
                <w:rFonts w:ascii="Times New Roman" w:hAnsi="Times New Roman"/>
                <w:color w:val="000000"/>
                <w:spacing w:val="-2"/>
              </w:rPr>
              <w:t xml:space="preserve">przychodów uznanych </w:t>
            </w:r>
            <w:r w:rsidR="005C5954" w:rsidRPr="009D7B6E">
              <w:rPr>
                <w:rFonts w:ascii="Times New Roman" w:hAnsi="Times New Roman"/>
                <w:color w:val="000000"/>
                <w:spacing w:val="-2"/>
              </w:rPr>
              <w:t>przez P</w:t>
            </w:r>
            <w:r w:rsidR="00B55088" w:rsidRPr="009D7B6E">
              <w:rPr>
                <w:rFonts w:ascii="Times New Roman" w:hAnsi="Times New Roman"/>
                <w:color w:val="000000"/>
                <w:spacing w:val="-2"/>
              </w:rPr>
              <w:t xml:space="preserve">rezesa </w:t>
            </w:r>
            <w:r w:rsidR="005C5954" w:rsidRPr="009D7B6E">
              <w:rPr>
                <w:rFonts w:ascii="Times New Roman" w:hAnsi="Times New Roman"/>
                <w:color w:val="000000"/>
                <w:spacing w:val="-2"/>
              </w:rPr>
              <w:t xml:space="preserve">URE </w:t>
            </w:r>
            <w:r w:rsidR="006E76E4" w:rsidRPr="009D7B6E">
              <w:rPr>
                <w:rFonts w:ascii="Times New Roman" w:hAnsi="Times New Roman"/>
                <w:color w:val="000000"/>
                <w:spacing w:val="-2"/>
              </w:rPr>
              <w:t xml:space="preserve">za uzasadnione, </w:t>
            </w:r>
            <w:r w:rsidR="005C5954" w:rsidRPr="009D7B6E">
              <w:rPr>
                <w:rFonts w:ascii="Times New Roman" w:hAnsi="Times New Roman"/>
                <w:color w:val="000000"/>
                <w:spacing w:val="-2"/>
              </w:rPr>
              <w:t>wynikających z zatwierdzanych dla tych lat taryf</w:t>
            </w:r>
            <w:r w:rsidR="00B55088" w:rsidRPr="009D7B6E">
              <w:rPr>
                <w:rFonts w:ascii="Times New Roman" w:hAnsi="Times New Roman"/>
                <w:color w:val="000000"/>
                <w:spacing w:val="-2"/>
              </w:rPr>
              <w:t xml:space="preserve">, </w:t>
            </w:r>
            <w:r w:rsidR="006E76E4" w:rsidRPr="009D7B6E">
              <w:rPr>
                <w:rFonts w:ascii="Times New Roman" w:hAnsi="Times New Roman"/>
                <w:color w:val="000000"/>
                <w:spacing w:val="-2"/>
              </w:rPr>
              <w:t xml:space="preserve">a </w:t>
            </w:r>
            <w:r w:rsidR="00B55088" w:rsidRPr="009D7B6E">
              <w:rPr>
                <w:rFonts w:ascii="Times New Roman" w:hAnsi="Times New Roman"/>
                <w:color w:val="000000"/>
                <w:spacing w:val="-2"/>
              </w:rPr>
              <w:t xml:space="preserve">wynikających z różnic planowanych i wykonanych wielkości nośników opłat, czyli czynnika niezależnego od </w:t>
            </w:r>
            <w:r w:rsidR="006E76E4" w:rsidRPr="009D7B6E">
              <w:rPr>
                <w:rFonts w:ascii="Times New Roman" w:hAnsi="Times New Roman"/>
                <w:color w:val="000000"/>
                <w:spacing w:val="-2"/>
              </w:rPr>
              <w:t>o</w:t>
            </w:r>
            <w:r w:rsidR="00B55088" w:rsidRPr="009D7B6E">
              <w:rPr>
                <w:rFonts w:ascii="Times New Roman" w:hAnsi="Times New Roman"/>
                <w:color w:val="000000"/>
                <w:spacing w:val="-2"/>
              </w:rPr>
              <w:t>peratorów</w:t>
            </w:r>
            <w:r w:rsidRPr="009D7B6E">
              <w:rPr>
                <w:rFonts w:ascii="Times New Roman" w:hAnsi="Times New Roman"/>
                <w:color w:val="000000"/>
                <w:spacing w:val="-2"/>
              </w:rPr>
              <w:t>.</w:t>
            </w:r>
            <w:r w:rsidR="005C5954" w:rsidRPr="009D7B6E">
              <w:rPr>
                <w:rFonts w:ascii="Times New Roman" w:hAnsi="Times New Roman"/>
                <w:color w:val="000000"/>
                <w:spacing w:val="-2"/>
              </w:rPr>
              <w:t xml:space="preserve"> </w:t>
            </w:r>
          </w:p>
          <w:p w14:paraId="3EA845AB" w14:textId="73A1CBF3" w:rsidR="00F04D7D" w:rsidRPr="009D7B6E" w:rsidRDefault="00F04D7D" w:rsidP="00DD6E03">
            <w:pPr>
              <w:jc w:val="both"/>
              <w:rPr>
                <w:rFonts w:ascii="Times New Roman" w:hAnsi="Times New Roman"/>
                <w:color w:val="000000"/>
                <w:spacing w:val="-2"/>
              </w:rPr>
            </w:pPr>
            <w:r w:rsidRPr="009D7B6E">
              <w:rPr>
                <w:rFonts w:ascii="Times New Roman" w:hAnsi="Times New Roman"/>
                <w:color w:val="000000"/>
                <w:spacing w:val="-2"/>
              </w:rPr>
              <w:lastRenderedPageBreak/>
              <w:t>W założeniu, konto regulacyjne umożliwi ujęcie w kalkulacji taryfy na dany rok obowiązywania taryfy "t+2" przychodu uwzględniającego saldo konta regulacyjnego dotyczącego roku „t”, jednak w ograniczonej wysokości</w:t>
            </w:r>
            <w:r w:rsidR="006C3A8D" w:rsidRPr="009D7B6E">
              <w:rPr>
                <w:rFonts w:ascii="Times New Roman" w:hAnsi="Times New Roman"/>
                <w:color w:val="000000"/>
                <w:spacing w:val="-2"/>
              </w:rPr>
              <w:t>,</w:t>
            </w:r>
            <w:r w:rsidR="003D77C4" w:rsidRPr="009D7B6E">
              <w:rPr>
                <w:rFonts w:ascii="Times New Roman" w:hAnsi="Times New Roman"/>
                <w:color w:val="000000"/>
                <w:spacing w:val="-2"/>
              </w:rPr>
              <w:t xml:space="preserve"> określonej w rozporządzeniu</w:t>
            </w:r>
            <w:r w:rsidRPr="009D7B6E">
              <w:rPr>
                <w:rFonts w:ascii="Times New Roman" w:hAnsi="Times New Roman"/>
                <w:color w:val="000000"/>
                <w:spacing w:val="-2"/>
              </w:rPr>
              <w:t>. W roku t+1 zostanie wyznaczona różnica pomiędzy planowanymi (na rok t) a rzeczywistymi przychodami (w roku t) z tytułu składnika zmiennego stawki sieciowej, składnika stałego stawki sieciowej, opłat abonamentowych oraz przychodami, o których mowa w § 22 ust. 1 pkt 2) - 5) Rozporządzenia</w:t>
            </w:r>
            <w:r w:rsidR="00D93E9B" w:rsidRPr="009D7B6E">
              <w:rPr>
                <w:rFonts w:ascii="Times New Roman" w:hAnsi="Times New Roman"/>
                <w:color w:val="000000"/>
                <w:spacing w:val="-2"/>
              </w:rPr>
              <w:t>, a dla operatora systemu przesyłowego także przychodu  z opłaty jakościowej</w:t>
            </w:r>
            <w:r w:rsidRPr="009D7B6E">
              <w:rPr>
                <w:rFonts w:ascii="Times New Roman" w:hAnsi="Times New Roman"/>
                <w:color w:val="000000"/>
                <w:spacing w:val="-2"/>
              </w:rPr>
              <w:t>. Różnica zostanie uwzględniona przy kalkulacji wysokości przychodu regulowanego na rok t+2.</w:t>
            </w:r>
          </w:p>
          <w:p w14:paraId="5E4AA63E" w14:textId="77777777" w:rsidR="00F04D7D" w:rsidRPr="009D7B6E" w:rsidRDefault="00F04D7D" w:rsidP="00DD6E03">
            <w:pPr>
              <w:jc w:val="both"/>
              <w:rPr>
                <w:rFonts w:ascii="Times New Roman" w:hAnsi="Times New Roman"/>
                <w:color w:val="000000"/>
                <w:spacing w:val="-2"/>
              </w:rPr>
            </w:pPr>
            <w:r w:rsidRPr="009D7B6E">
              <w:rPr>
                <w:rFonts w:ascii="Times New Roman" w:hAnsi="Times New Roman"/>
                <w:color w:val="000000"/>
                <w:spacing w:val="-2"/>
              </w:rPr>
              <w:t>Dla okresu przejściowego przewidziane jest wprowadzenie przepisów incydentalnych dla taryf ustalanych na rok 2021 i rok 2022, uwzględniających rozliczenia roku 2020, co ma związek z obserwowanym istotnym ograniczeniem poboru energii przez odbiorców w okresie epidemii koronawirusa SARS CoV-2 wpływającym na przychody OSD</w:t>
            </w:r>
            <w:r w:rsidR="000F70D4" w:rsidRPr="009D7B6E">
              <w:rPr>
                <w:rFonts w:ascii="Times New Roman" w:hAnsi="Times New Roman"/>
                <w:color w:val="000000"/>
                <w:spacing w:val="-2"/>
              </w:rPr>
              <w:t xml:space="preserve"> i OSP</w:t>
            </w:r>
            <w:r w:rsidRPr="009D7B6E">
              <w:rPr>
                <w:rFonts w:ascii="Times New Roman" w:hAnsi="Times New Roman"/>
                <w:color w:val="000000"/>
                <w:spacing w:val="-2"/>
              </w:rPr>
              <w:t>.</w:t>
            </w:r>
            <w:r w:rsidR="006A6AB5" w:rsidRPr="009D7B6E">
              <w:rPr>
                <w:rFonts w:ascii="Times New Roman" w:hAnsi="Times New Roman"/>
                <w:color w:val="000000"/>
                <w:spacing w:val="-2"/>
              </w:rPr>
              <w:t xml:space="preserve"> Według szacunków </w:t>
            </w:r>
            <w:r w:rsidR="006E76E4" w:rsidRPr="009D7B6E">
              <w:rPr>
                <w:rFonts w:ascii="Times New Roman" w:hAnsi="Times New Roman"/>
                <w:color w:val="000000"/>
                <w:spacing w:val="-2"/>
              </w:rPr>
              <w:t xml:space="preserve">bazujących </w:t>
            </w:r>
            <w:r w:rsidR="006A6AB5" w:rsidRPr="009D7B6E">
              <w:rPr>
                <w:rFonts w:ascii="Times New Roman" w:hAnsi="Times New Roman"/>
                <w:color w:val="000000"/>
                <w:spacing w:val="-2"/>
              </w:rPr>
              <w:t xml:space="preserve">na prognozach </w:t>
            </w:r>
            <w:r w:rsidR="006F1436" w:rsidRPr="009D7B6E">
              <w:rPr>
                <w:rFonts w:ascii="Times New Roman" w:hAnsi="Times New Roman"/>
                <w:color w:val="000000"/>
                <w:spacing w:val="-2"/>
              </w:rPr>
              <w:t xml:space="preserve">pięciu największych </w:t>
            </w:r>
            <w:r w:rsidR="006A6AB5" w:rsidRPr="009D7B6E">
              <w:rPr>
                <w:rFonts w:ascii="Times New Roman" w:hAnsi="Times New Roman"/>
                <w:color w:val="000000"/>
                <w:spacing w:val="-2"/>
              </w:rPr>
              <w:t>OSD</w:t>
            </w:r>
            <w:r w:rsidR="006E76E4" w:rsidRPr="009D7B6E">
              <w:rPr>
                <w:rFonts w:ascii="Times New Roman" w:hAnsi="Times New Roman"/>
                <w:color w:val="000000"/>
                <w:spacing w:val="-2"/>
              </w:rPr>
              <w:t>,</w:t>
            </w:r>
            <w:r w:rsidR="006A6AB5" w:rsidRPr="009D7B6E">
              <w:rPr>
                <w:rFonts w:ascii="Times New Roman" w:hAnsi="Times New Roman"/>
                <w:color w:val="000000"/>
                <w:spacing w:val="-2"/>
              </w:rPr>
              <w:t xml:space="preserve"> dotyczących obniżenia wolumenu dostaw energii elektrycznej w 2020 roku, zmiana średniej ceny za świadczoną usługę dystrybucji w 2021, wynikająca z konta regulacyjnego (przy założeniu niezmiennych elementów kalkulacji taryfy na 2020 rok, tj. przychód regulowany 2021 = przychód regulowany 2020 oraz wolumen 2021 = wolumen 2020), będzie mieściła się w zależności od </w:t>
            </w:r>
            <w:r w:rsidR="006F1436" w:rsidRPr="009D7B6E">
              <w:rPr>
                <w:rFonts w:ascii="Times New Roman" w:hAnsi="Times New Roman"/>
                <w:color w:val="000000"/>
                <w:spacing w:val="-2"/>
              </w:rPr>
              <w:t>OSD</w:t>
            </w:r>
            <w:r w:rsidR="006A6AB5" w:rsidRPr="009D7B6E">
              <w:rPr>
                <w:rFonts w:ascii="Times New Roman" w:hAnsi="Times New Roman"/>
                <w:color w:val="000000"/>
                <w:spacing w:val="-2"/>
              </w:rPr>
              <w:t xml:space="preserve"> w przedziale od 1,4% do 2,4%.</w:t>
            </w:r>
            <w:r w:rsidR="006E76E4" w:rsidRPr="009D7B6E">
              <w:rPr>
                <w:rFonts w:ascii="Times New Roman" w:hAnsi="Times New Roman"/>
                <w:color w:val="000000"/>
                <w:spacing w:val="-2"/>
              </w:rPr>
              <w:t xml:space="preserve"> </w:t>
            </w:r>
            <w:r w:rsidR="006E76E4" w:rsidRPr="00DD6E03">
              <w:rPr>
                <w:rFonts w:ascii="Times New Roman" w:hAnsi="Times New Roman"/>
              </w:rPr>
              <w:t xml:space="preserve"> </w:t>
            </w:r>
            <w:r w:rsidR="006E76E4" w:rsidRPr="009D7B6E">
              <w:rPr>
                <w:rFonts w:ascii="Times New Roman" w:hAnsi="Times New Roman"/>
                <w:color w:val="000000"/>
                <w:spacing w:val="-2"/>
              </w:rPr>
              <w:t>Dla OSP szacowan</w:t>
            </w:r>
            <w:r w:rsidR="006F1436" w:rsidRPr="009D7B6E">
              <w:rPr>
                <w:rFonts w:ascii="Times New Roman" w:hAnsi="Times New Roman"/>
                <w:color w:val="000000"/>
                <w:spacing w:val="-2"/>
              </w:rPr>
              <w:t>a</w:t>
            </w:r>
            <w:r w:rsidR="006E76E4" w:rsidRPr="009D7B6E">
              <w:rPr>
                <w:rFonts w:ascii="Times New Roman" w:hAnsi="Times New Roman"/>
                <w:color w:val="000000"/>
                <w:spacing w:val="-2"/>
              </w:rPr>
              <w:t xml:space="preserve"> zmiana średniej ceny za świadczone usługi przesyłania </w:t>
            </w:r>
            <w:r w:rsidR="006F1436" w:rsidRPr="009D7B6E">
              <w:rPr>
                <w:rFonts w:ascii="Times New Roman" w:hAnsi="Times New Roman"/>
                <w:color w:val="000000"/>
                <w:spacing w:val="-2"/>
              </w:rPr>
              <w:t>wyniesie około 1,9</w:t>
            </w:r>
            <w:r w:rsidR="006E76E4" w:rsidRPr="009D7B6E">
              <w:rPr>
                <w:rFonts w:ascii="Times New Roman" w:hAnsi="Times New Roman"/>
                <w:color w:val="000000"/>
                <w:spacing w:val="-2"/>
              </w:rPr>
              <w:t>%.</w:t>
            </w:r>
          </w:p>
          <w:p w14:paraId="5724F917" w14:textId="6569D78B" w:rsidR="00320E7B" w:rsidRPr="009D7B6E" w:rsidRDefault="00320E7B" w:rsidP="00DD6E03">
            <w:pPr>
              <w:jc w:val="both"/>
              <w:rPr>
                <w:rFonts w:ascii="Times New Roman" w:hAnsi="Times New Roman"/>
                <w:color w:val="000000"/>
                <w:spacing w:val="-2"/>
              </w:rPr>
            </w:pPr>
            <w:r w:rsidRPr="009D7B6E">
              <w:rPr>
                <w:rFonts w:ascii="Times New Roman" w:hAnsi="Times New Roman"/>
                <w:color w:val="000000"/>
                <w:spacing w:val="-2"/>
              </w:rPr>
              <w:t xml:space="preserve">Proponowana zmiana </w:t>
            </w:r>
            <w:r w:rsidR="00D67575" w:rsidRPr="009D7B6E">
              <w:rPr>
                <w:rFonts w:ascii="Times New Roman" w:hAnsi="Times New Roman"/>
                <w:color w:val="000000"/>
                <w:spacing w:val="-2"/>
              </w:rPr>
              <w:t xml:space="preserve">w </w:t>
            </w:r>
            <w:r w:rsidR="00306537">
              <w:rPr>
                <w:rFonts w:ascii="Times New Roman" w:hAnsi="Times New Roman"/>
                <w:color w:val="000000"/>
                <w:spacing w:val="-2"/>
              </w:rPr>
              <w:t>§</w:t>
            </w:r>
            <w:r w:rsidR="00306537" w:rsidRPr="009D7B6E">
              <w:rPr>
                <w:rFonts w:ascii="Times New Roman" w:hAnsi="Times New Roman"/>
                <w:color w:val="000000"/>
                <w:spacing w:val="-2"/>
              </w:rPr>
              <w:t xml:space="preserve"> </w:t>
            </w:r>
            <w:r w:rsidR="00D67575" w:rsidRPr="009D7B6E">
              <w:rPr>
                <w:rFonts w:ascii="Times New Roman" w:hAnsi="Times New Roman"/>
                <w:color w:val="000000"/>
                <w:spacing w:val="-2"/>
              </w:rPr>
              <w:t xml:space="preserve">6 </w:t>
            </w:r>
            <w:r w:rsidR="00306537">
              <w:rPr>
                <w:rFonts w:ascii="Times New Roman" w:hAnsi="Times New Roman"/>
                <w:color w:val="000000"/>
                <w:spacing w:val="-2"/>
              </w:rPr>
              <w:t xml:space="preserve">rozporządzenia taryfowego </w:t>
            </w:r>
            <w:r w:rsidRPr="009D7B6E">
              <w:rPr>
                <w:rFonts w:ascii="Times New Roman" w:hAnsi="Times New Roman"/>
                <w:color w:val="000000"/>
                <w:spacing w:val="-2"/>
              </w:rPr>
              <w:t>zakłada przeniesienie ciężaru finansowego ze składnika stałego stawki sieciowej i stawki opłaty przejściowej na składnik zmienny, który powiązany jest z rzeczywistym zakresem wykorzyst</w:t>
            </w:r>
            <w:r w:rsidR="00D67575" w:rsidRPr="009D7B6E">
              <w:rPr>
                <w:rFonts w:ascii="Times New Roman" w:hAnsi="Times New Roman"/>
                <w:color w:val="000000"/>
                <w:spacing w:val="-2"/>
              </w:rPr>
              <w:t xml:space="preserve">ania infrastruktury ładowania. </w:t>
            </w:r>
            <w:r w:rsidRPr="009D7B6E">
              <w:rPr>
                <w:rFonts w:ascii="Times New Roman" w:hAnsi="Times New Roman"/>
                <w:color w:val="000000"/>
                <w:spacing w:val="-2"/>
              </w:rPr>
              <w:t>Powyższe pozwoli na prawidłowe odzwierciedlenie kosztów związanych z funkcjonowaniem stacji ładowania w otoczeniu rynkowym znajdującym się w fazie rozwoju, przy jednoczesnym zapewnieniu operatorom systemu dystrybucyjnego przychodów w zakresie opłat dystrybucyjnych wzrastających proporcjonalnie do przyrostu usług ładowania.</w:t>
            </w:r>
          </w:p>
          <w:p w14:paraId="58858D0F" w14:textId="2880279F" w:rsidR="00923621" w:rsidRPr="00B37C80" w:rsidRDefault="00923621" w:rsidP="00DD6E03">
            <w:pPr>
              <w:jc w:val="both"/>
              <w:rPr>
                <w:rFonts w:ascii="Times New Roman" w:hAnsi="Times New Roman"/>
                <w:color w:val="000000"/>
                <w:spacing w:val="-2"/>
              </w:rPr>
            </w:pPr>
            <w:r w:rsidRPr="009D7B6E">
              <w:rPr>
                <w:rFonts w:ascii="Times New Roman" w:hAnsi="Times New Roman"/>
                <w:color w:val="000000"/>
                <w:spacing w:val="-2"/>
              </w:rPr>
              <w:t>Proponowana zmiana w § 32 ust</w:t>
            </w:r>
            <w:r w:rsidR="009D7B6E">
              <w:rPr>
                <w:rFonts w:ascii="Times New Roman" w:hAnsi="Times New Roman"/>
                <w:color w:val="000000"/>
                <w:spacing w:val="-2"/>
              </w:rPr>
              <w:t>.</w:t>
            </w:r>
            <w:r w:rsidRPr="009D7B6E">
              <w:rPr>
                <w:rFonts w:ascii="Times New Roman" w:hAnsi="Times New Roman"/>
                <w:color w:val="000000"/>
                <w:spacing w:val="-2"/>
              </w:rPr>
              <w:t xml:space="preserve"> 6 wzmacnia uprawnienia </w:t>
            </w:r>
            <w:r w:rsidRPr="00DD6E03">
              <w:rPr>
                <w:rFonts w:ascii="Times New Roman" w:hAnsi="Times New Roman"/>
              </w:rPr>
              <w:t>odbiorców końcowych w odniesieniu do dostępu do informacji na temat opomiarowania i rozliczeń ich indywidualnego zużycia energii</w:t>
            </w:r>
            <w:r w:rsidR="009D7B6E">
              <w:rPr>
                <w:rFonts w:ascii="Times New Roman" w:hAnsi="Times New Roman"/>
              </w:rPr>
              <w:t>.</w:t>
            </w:r>
          </w:p>
        </w:tc>
      </w:tr>
      <w:tr w:rsidR="006A701A" w:rsidRPr="008B4FE6" w14:paraId="5273E815" w14:textId="77777777" w:rsidTr="00704C3A">
        <w:trPr>
          <w:trHeight w:val="307"/>
        </w:trPr>
        <w:tc>
          <w:tcPr>
            <w:tcW w:w="11199" w:type="dxa"/>
            <w:gridSpan w:val="29"/>
            <w:shd w:val="clear" w:color="auto" w:fill="99CCFF"/>
            <w:vAlign w:val="center"/>
          </w:tcPr>
          <w:p w14:paraId="7983DAF5" w14:textId="77777777" w:rsidR="006A701A" w:rsidRPr="008B4FE6" w:rsidRDefault="009E3C4B" w:rsidP="00F5730B">
            <w:pPr>
              <w:numPr>
                <w:ilvl w:val="0"/>
                <w:numId w:val="3"/>
              </w:numPr>
              <w:spacing w:before="60" w:after="60" w:line="360" w:lineRule="auto"/>
              <w:ind w:left="318" w:hanging="284"/>
              <w:jc w:val="both"/>
              <w:rPr>
                <w:rFonts w:ascii="Times New Roman" w:hAnsi="Times New Roman"/>
                <w:b/>
                <w:color w:val="000000"/>
              </w:rPr>
            </w:pPr>
            <w:r>
              <w:rPr>
                <w:rFonts w:ascii="Times New Roman" w:hAnsi="Times New Roman"/>
                <w:b/>
                <w:spacing w:val="-2"/>
              </w:rPr>
              <w:lastRenderedPageBreak/>
              <w:t>Jak problem został rozwiązany</w:t>
            </w:r>
            <w:r w:rsidRPr="001812C7">
              <w:rPr>
                <w:rFonts w:ascii="Times New Roman" w:hAnsi="Times New Roman"/>
                <w:b/>
                <w:spacing w:val="-2"/>
              </w:rPr>
              <w:t xml:space="preserve"> w innych krajach, w szczególności krajach członkowskich OECD/UE</w:t>
            </w:r>
            <w:r w:rsidR="006A701A" w:rsidRPr="008B4FE6">
              <w:rPr>
                <w:rFonts w:ascii="Times New Roman" w:hAnsi="Times New Roman"/>
                <w:b/>
                <w:color w:val="000000"/>
              </w:rPr>
              <w:t>?</w:t>
            </w:r>
            <w:r w:rsidR="006A701A" w:rsidRPr="008B4FE6">
              <w:rPr>
                <w:rFonts w:ascii="Times New Roman" w:hAnsi="Times New Roman"/>
                <w:i/>
                <w:color w:val="000000"/>
              </w:rPr>
              <w:t xml:space="preserve"> </w:t>
            </w:r>
          </w:p>
        </w:tc>
      </w:tr>
      <w:tr w:rsidR="006A701A" w:rsidRPr="008B4FE6" w14:paraId="6C86ECD8" w14:textId="77777777" w:rsidTr="00704C3A">
        <w:trPr>
          <w:trHeight w:val="142"/>
        </w:trPr>
        <w:tc>
          <w:tcPr>
            <w:tcW w:w="11199" w:type="dxa"/>
            <w:gridSpan w:val="29"/>
            <w:shd w:val="clear" w:color="auto" w:fill="auto"/>
          </w:tcPr>
          <w:p w14:paraId="439B49DE" w14:textId="619B1CC9" w:rsidR="00C627A0" w:rsidRDefault="00643203" w:rsidP="00DD6E03">
            <w:pPr>
              <w:jc w:val="both"/>
              <w:rPr>
                <w:rFonts w:ascii="Times New Roman" w:hAnsi="Times New Roman"/>
                <w:color w:val="000000"/>
                <w:spacing w:val="-2"/>
              </w:rPr>
            </w:pPr>
            <w:r>
              <w:rPr>
                <w:rFonts w:ascii="Times New Roman" w:hAnsi="Times New Roman"/>
                <w:color w:val="000000"/>
                <w:spacing w:val="-2"/>
              </w:rPr>
              <w:t>M</w:t>
            </w:r>
            <w:r w:rsidR="00310ACF">
              <w:rPr>
                <w:rFonts w:ascii="Times New Roman" w:hAnsi="Times New Roman"/>
                <w:color w:val="000000"/>
                <w:spacing w:val="-2"/>
              </w:rPr>
              <w:t xml:space="preserve">echanizm konta regulacyjnego jest stosowany </w:t>
            </w:r>
            <w:r w:rsidR="00BD374A">
              <w:rPr>
                <w:rFonts w:ascii="Times New Roman" w:hAnsi="Times New Roman"/>
                <w:color w:val="000000"/>
                <w:spacing w:val="-2"/>
              </w:rPr>
              <w:t xml:space="preserve">od lat </w:t>
            </w:r>
            <w:r w:rsidR="00310ACF">
              <w:rPr>
                <w:rFonts w:ascii="Times New Roman" w:hAnsi="Times New Roman"/>
                <w:color w:val="000000"/>
                <w:spacing w:val="-2"/>
              </w:rPr>
              <w:t xml:space="preserve">w innych krajach </w:t>
            </w:r>
            <w:r w:rsidR="00BD374A">
              <w:rPr>
                <w:rFonts w:ascii="Times New Roman" w:hAnsi="Times New Roman"/>
                <w:color w:val="000000"/>
                <w:spacing w:val="-2"/>
              </w:rPr>
              <w:t xml:space="preserve">europejskich </w:t>
            </w:r>
            <w:r w:rsidR="00310ACF">
              <w:rPr>
                <w:rFonts w:ascii="Times New Roman" w:hAnsi="Times New Roman"/>
                <w:color w:val="000000"/>
                <w:spacing w:val="-2"/>
              </w:rPr>
              <w:t xml:space="preserve">dla </w:t>
            </w:r>
            <w:r w:rsidR="00DD01AD">
              <w:rPr>
                <w:rFonts w:ascii="Times New Roman" w:hAnsi="Times New Roman"/>
                <w:color w:val="000000"/>
                <w:spacing w:val="-2"/>
              </w:rPr>
              <w:t xml:space="preserve">wyrównania przychodów </w:t>
            </w:r>
            <w:r w:rsidR="006E76E4">
              <w:rPr>
                <w:rFonts w:ascii="Times New Roman" w:hAnsi="Times New Roman"/>
                <w:color w:val="000000"/>
                <w:spacing w:val="-2"/>
              </w:rPr>
              <w:t>operatorów systemów</w:t>
            </w:r>
            <w:r w:rsidR="000317C2">
              <w:rPr>
                <w:rFonts w:ascii="Times New Roman" w:hAnsi="Times New Roman"/>
                <w:color w:val="000000"/>
                <w:spacing w:val="-2"/>
              </w:rPr>
              <w:t>, niezależnie od zmniejszenia dostaw energii związane</w:t>
            </w:r>
            <w:r w:rsidR="00330811">
              <w:rPr>
                <w:rFonts w:ascii="Times New Roman" w:hAnsi="Times New Roman"/>
                <w:color w:val="000000"/>
                <w:spacing w:val="-2"/>
              </w:rPr>
              <w:t>go</w:t>
            </w:r>
            <w:r w:rsidR="000317C2">
              <w:rPr>
                <w:rFonts w:ascii="Times New Roman" w:hAnsi="Times New Roman"/>
                <w:color w:val="000000"/>
                <w:spacing w:val="-2"/>
              </w:rPr>
              <w:t xml:space="preserve"> ze stanem pandemii wirusa </w:t>
            </w:r>
            <w:r w:rsidR="000317C2" w:rsidRPr="000317C2">
              <w:rPr>
                <w:rFonts w:ascii="Times New Roman" w:hAnsi="Times New Roman"/>
                <w:color w:val="000000"/>
                <w:spacing w:val="-2"/>
              </w:rPr>
              <w:t>SARS-CoV-2</w:t>
            </w:r>
            <w:r w:rsidR="000317C2">
              <w:rPr>
                <w:rFonts w:ascii="Times New Roman" w:hAnsi="Times New Roman"/>
                <w:color w:val="000000"/>
                <w:spacing w:val="-2"/>
              </w:rPr>
              <w:t xml:space="preserve">. </w:t>
            </w:r>
            <w:r w:rsidR="008F33D0" w:rsidRPr="008F33D0">
              <w:rPr>
                <w:rFonts w:ascii="Times New Roman" w:hAnsi="Times New Roman"/>
                <w:color w:val="000000"/>
                <w:spacing w:val="-2"/>
              </w:rPr>
              <w:t xml:space="preserve">Jest stosowany tam, gdzie tzw. ryzyko wolumenowe związane z niepewnością planowania dostawy energii do odbiorców jest duże i nie jest ograniczone przez </w:t>
            </w:r>
            <w:r w:rsidR="00BD374A">
              <w:rPr>
                <w:rFonts w:ascii="Times New Roman" w:hAnsi="Times New Roman"/>
                <w:color w:val="000000"/>
                <w:spacing w:val="-2"/>
              </w:rPr>
              <w:t xml:space="preserve">inne </w:t>
            </w:r>
            <w:r w:rsidR="008F33D0" w:rsidRPr="008F33D0">
              <w:rPr>
                <w:rFonts w:ascii="Times New Roman" w:hAnsi="Times New Roman"/>
                <w:color w:val="000000"/>
                <w:spacing w:val="-2"/>
              </w:rPr>
              <w:t>zasady/warunki regulacji</w:t>
            </w:r>
            <w:r w:rsidR="008F33D0">
              <w:rPr>
                <w:rFonts w:ascii="Times New Roman" w:hAnsi="Times New Roman"/>
                <w:color w:val="000000"/>
                <w:spacing w:val="-2"/>
              </w:rPr>
              <w:t xml:space="preserve">. </w:t>
            </w:r>
          </w:p>
          <w:p w14:paraId="376D9421" w14:textId="77777777" w:rsidR="00BD374A" w:rsidRDefault="00BD374A" w:rsidP="00DD6E03">
            <w:pPr>
              <w:jc w:val="both"/>
              <w:rPr>
                <w:rFonts w:ascii="Times New Roman" w:hAnsi="Times New Roman"/>
                <w:color w:val="000000"/>
                <w:spacing w:val="-2"/>
              </w:rPr>
            </w:pPr>
            <w:r>
              <w:rPr>
                <w:rFonts w:ascii="Times New Roman" w:hAnsi="Times New Roman"/>
                <w:color w:val="000000"/>
                <w:spacing w:val="-2"/>
              </w:rPr>
              <w:t>Wybrane kraje z funkcjonującym mechanizmem konta regulacyjnego:</w:t>
            </w:r>
          </w:p>
          <w:p w14:paraId="01D87E99" w14:textId="77777777" w:rsidR="00280854" w:rsidRDefault="00280854" w:rsidP="00DD6E03">
            <w:pPr>
              <w:jc w:val="both"/>
              <w:rPr>
                <w:rFonts w:ascii="Times New Roman" w:hAnsi="Times New Roman"/>
                <w:color w:val="000000"/>
                <w:spacing w:val="-2"/>
              </w:rPr>
            </w:pPr>
            <w:r w:rsidRPr="00280854">
              <w:rPr>
                <w:rFonts w:ascii="Times New Roman" w:hAnsi="Times New Roman"/>
                <w:color w:val="000000"/>
                <w:spacing w:val="-2"/>
              </w:rPr>
              <w:t>Austria</w:t>
            </w:r>
            <w:r>
              <w:rPr>
                <w:rFonts w:ascii="Times New Roman" w:hAnsi="Times New Roman"/>
                <w:color w:val="000000"/>
                <w:spacing w:val="-2"/>
              </w:rPr>
              <w:t xml:space="preserve">: występuje </w:t>
            </w:r>
            <w:r w:rsidRPr="00280854">
              <w:rPr>
                <w:rFonts w:ascii="Times New Roman" w:hAnsi="Times New Roman"/>
                <w:color w:val="000000"/>
                <w:spacing w:val="-2"/>
              </w:rPr>
              <w:t>konto regulacyjne z „opóźnieniem” dwuletnim (czyli za rok t w roku t+2)</w:t>
            </w:r>
            <w:r>
              <w:rPr>
                <w:rFonts w:ascii="Times New Roman" w:hAnsi="Times New Roman"/>
                <w:color w:val="000000"/>
                <w:spacing w:val="-2"/>
              </w:rPr>
              <w:t>,</w:t>
            </w:r>
          </w:p>
          <w:p w14:paraId="697D676E" w14:textId="77777777" w:rsidR="00280854" w:rsidRDefault="00280854" w:rsidP="00DD6E03">
            <w:pPr>
              <w:jc w:val="both"/>
              <w:rPr>
                <w:rFonts w:ascii="Times New Roman" w:hAnsi="Times New Roman"/>
                <w:color w:val="000000"/>
                <w:spacing w:val="-2"/>
              </w:rPr>
            </w:pPr>
            <w:r w:rsidRPr="00280854">
              <w:rPr>
                <w:rFonts w:ascii="Times New Roman" w:hAnsi="Times New Roman"/>
                <w:color w:val="000000"/>
                <w:spacing w:val="-2"/>
              </w:rPr>
              <w:t>Belgia</w:t>
            </w:r>
            <w:r>
              <w:rPr>
                <w:rFonts w:ascii="Times New Roman" w:hAnsi="Times New Roman"/>
                <w:color w:val="000000"/>
                <w:spacing w:val="-2"/>
              </w:rPr>
              <w:t>: występuje konto regulacyjne z rozliczeniem po roku,</w:t>
            </w:r>
          </w:p>
          <w:p w14:paraId="0AF5DB7B" w14:textId="77777777" w:rsidR="00280854" w:rsidRDefault="00280854" w:rsidP="00DD6E03">
            <w:pPr>
              <w:jc w:val="both"/>
              <w:rPr>
                <w:rFonts w:ascii="Times New Roman" w:hAnsi="Times New Roman"/>
                <w:color w:val="000000"/>
                <w:spacing w:val="-2"/>
              </w:rPr>
            </w:pPr>
            <w:r w:rsidRPr="00280854">
              <w:rPr>
                <w:rFonts w:ascii="Times New Roman" w:hAnsi="Times New Roman"/>
                <w:color w:val="000000"/>
                <w:spacing w:val="-2"/>
              </w:rPr>
              <w:t>Czechy</w:t>
            </w:r>
            <w:r>
              <w:rPr>
                <w:rFonts w:ascii="Times New Roman" w:hAnsi="Times New Roman"/>
                <w:color w:val="000000"/>
                <w:spacing w:val="-2"/>
              </w:rPr>
              <w:t xml:space="preserve">: występuje </w:t>
            </w:r>
            <w:r w:rsidRPr="00280854">
              <w:rPr>
                <w:rFonts w:ascii="Times New Roman" w:hAnsi="Times New Roman"/>
                <w:color w:val="000000"/>
                <w:spacing w:val="-2"/>
              </w:rPr>
              <w:t>konto regulacyjne z opóźnieniem dwuletnim (czyli za rok t w roku t+2)</w:t>
            </w:r>
            <w:r>
              <w:rPr>
                <w:rFonts w:ascii="Times New Roman" w:hAnsi="Times New Roman"/>
                <w:color w:val="000000"/>
                <w:spacing w:val="-2"/>
              </w:rPr>
              <w:t>,</w:t>
            </w:r>
          </w:p>
          <w:p w14:paraId="14F1B31C" w14:textId="77777777" w:rsidR="00280854" w:rsidRDefault="00280854" w:rsidP="00DD6E03">
            <w:pPr>
              <w:jc w:val="both"/>
              <w:rPr>
                <w:rFonts w:ascii="Times New Roman" w:hAnsi="Times New Roman"/>
                <w:color w:val="000000"/>
                <w:spacing w:val="-2"/>
              </w:rPr>
            </w:pPr>
            <w:r w:rsidRPr="00280854">
              <w:rPr>
                <w:rFonts w:ascii="Times New Roman" w:hAnsi="Times New Roman"/>
                <w:color w:val="000000"/>
                <w:spacing w:val="-2"/>
              </w:rPr>
              <w:t>Francja</w:t>
            </w:r>
            <w:r>
              <w:rPr>
                <w:rFonts w:ascii="Times New Roman" w:hAnsi="Times New Roman"/>
                <w:color w:val="000000"/>
                <w:spacing w:val="-2"/>
              </w:rPr>
              <w:t xml:space="preserve">: występuje </w:t>
            </w:r>
            <w:r w:rsidRPr="00280854">
              <w:rPr>
                <w:rFonts w:ascii="Times New Roman" w:hAnsi="Times New Roman"/>
                <w:color w:val="000000"/>
                <w:spacing w:val="-2"/>
              </w:rPr>
              <w:t xml:space="preserve">konto regulacyjne rozliczane po roku z </w:t>
            </w:r>
            <w:r>
              <w:rPr>
                <w:rFonts w:ascii="Times New Roman" w:hAnsi="Times New Roman"/>
                <w:color w:val="000000"/>
                <w:spacing w:val="-2"/>
              </w:rPr>
              <w:t>poziomem</w:t>
            </w:r>
            <w:r w:rsidRPr="00280854">
              <w:rPr>
                <w:rFonts w:ascii="Times New Roman" w:hAnsi="Times New Roman"/>
                <w:color w:val="000000"/>
                <w:spacing w:val="-2"/>
              </w:rPr>
              <w:t xml:space="preserve"> procentowym co do wysokości</w:t>
            </w:r>
            <w:r>
              <w:rPr>
                <w:rFonts w:ascii="Times New Roman" w:hAnsi="Times New Roman"/>
                <w:color w:val="000000"/>
                <w:spacing w:val="-2"/>
              </w:rPr>
              <w:t>,</w:t>
            </w:r>
          </w:p>
          <w:p w14:paraId="17710035" w14:textId="77777777" w:rsidR="00280854" w:rsidRDefault="00280854" w:rsidP="00DD6E03">
            <w:pPr>
              <w:jc w:val="both"/>
              <w:rPr>
                <w:rFonts w:ascii="Times New Roman" w:hAnsi="Times New Roman"/>
                <w:color w:val="000000"/>
                <w:spacing w:val="-2"/>
              </w:rPr>
            </w:pPr>
            <w:r w:rsidRPr="00280854">
              <w:rPr>
                <w:rFonts w:ascii="Times New Roman" w:hAnsi="Times New Roman"/>
                <w:color w:val="000000"/>
                <w:spacing w:val="-2"/>
              </w:rPr>
              <w:t>Niemcy</w:t>
            </w:r>
            <w:r>
              <w:rPr>
                <w:rFonts w:ascii="Times New Roman" w:hAnsi="Times New Roman"/>
                <w:color w:val="000000"/>
                <w:spacing w:val="-2"/>
              </w:rPr>
              <w:t xml:space="preserve">: występuje </w:t>
            </w:r>
            <w:r w:rsidRPr="00280854">
              <w:rPr>
                <w:rFonts w:ascii="Times New Roman" w:hAnsi="Times New Roman"/>
                <w:color w:val="000000"/>
                <w:spacing w:val="-2"/>
              </w:rPr>
              <w:t>konto regulacyjne rozliczane na koniec okresu regulacyjnego</w:t>
            </w:r>
            <w:r>
              <w:rPr>
                <w:rFonts w:ascii="Times New Roman" w:hAnsi="Times New Roman"/>
                <w:color w:val="000000"/>
                <w:spacing w:val="-2"/>
              </w:rPr>
              <w:t>,</w:t>
            </w:r>
          </w:p>
          <w:p w14:paraId="6521AC38" w14:textId="77777777" w:rsidR="00280854" w:rsidRDefault="00280854" w:rsidP="00DD6E03">
            <w:pPr>
              <w:jc w:val="both"/>
              <w:rPr>
                <w:rFonts w:ascii="Times New Roman" w:hAnsi="Times New Roman"/>
                <w:color w:val="000000"/>
                <w:spacing w:val="-2"/>
              </w:rPr>
            </w:pPr>
            <w:r w:rsidRPr="00280854">
              <w:rPr>
                <w:rFonts w:ascii="Times New Roman" w:hAnsi="Times New Roman"/>
                <w:color w:val="000000"/>
                <w:spacing w:val="-2"/>
              </w:rPr>
              <w:t>Irlandia</w:t>
            </w:r>
            <w:r>
              <w:rPr>
                <w:rFonts w:ascii="Times New Roman" w:hAnsi="Times New Roman"/>
                <w:color w:val="000000"/>
                <w:spacing w:val="-2"/>
              </w:rPr>
              <w:t>: występuje konto regulacyjne rozliczane po roku,</w:t>
            </w:r>
          </w:p>
          <w:p w14:paraId="57D8DEAC" w14:textId="77777777" w:rsidR="00280854" w:rsidRDefault="00280854" w:rsidP="00DD6E03">
            <w:pPr>
              <w:jc w:val="both"/>
              <w:rPr>
                <w:rFonts w:ascii="Times New Roman" w:hAnsi="Times New Roman"/>
                <w:color w:val="000000"/>
                <w:spacing w:val="-2"/>
              </w:rPr>
            </w:pPr>
            <w:r w:rsidRPr="00280854">
              <w:rPr>
                <w:rFonts w:ascii="Times New Roman" w:hAnsi="Times New Roman"/>
                <w:color w:val="000000"/>
                <w:spacing w:val="-2"/>
              </w:rPr>
              <w:t>Irlandia Północna</w:t>
            </w:r>
            <w:r>
              <w:rPr>
                <w:rFonts w:ascii="Times New Roman" w:hAnsi="Times New Roman"/>
                <w:color w:val="000000"/>
                <w:spacing w:val="-2"/>
              </w:rPr>
              <w:t xml:space="preserve">: </w:t>
            </w:r>
            <w:r w:rsidRPr="00280854">
              <w:rPr>
                <w:rFonts w:ascii="Times New Roman" w:hAnsi="Times New Roman"/>
                <w:color w:val="000000"/>
                <w:spacing w:val="-2"/>
              </w:rPr>
              <w:t>występuje konto regulacyjne rozliczane po roku,</w:t>
            </w:r>
          </w:p>
          <w:p w14:paraId="35E34FC4" w14:textId="77777777" w:rsidR="00280854" w:rsidRDefault="00280854" w:rsidP="00DD6E03">
            <w:pPr>
              <w:jc w:val="both"/>
              <w:rPr>
                <w:rFonts w:ascii="Times New Roman" w:hAnsi="Times New Roman"/>
                <w:color w:val="000000"/>
                <w:spacing w:val="-2"/>
              </w:rPr>
            </w:pPr>
            <w:r w:rsidRPr="00280854">
              <w:rPr>
                <w:rFonts w:ascii="Times New Roman" w:hAnsi="Times New Roman"/>
                <w:color w:val="000000"/>
                <w:spacing w:val="-2"/>
              </w:rPr>
              <w:t>Włochy</w:t>
            </w:r>
            <w:r>
              <w:rPr>
                <w:rFonts w:ascii="Times New Roman" w:hAnsi="Times New Roman"/>
                <w:color w:val="000000"/>
                <w:spacing w:val="-2"/>
              </w:rPr>
              <w:t>: występuje korekta wolumenu ex post,</w:t>
            </w:r>
          </w:p>
          <w:p w14:paraId="6C77DF87" w14:textId="77777777" w:rsidR="00280854" w:rsidRDefault="002C0962" w:rsidP="00DD6E03">
            <w:pPr>
              <w:jc w:val="both"/>
              <w:rPr>
                <w:rFonts w:ascii="Times New Roman" w:hAnsi="Times New Roman"/>
                <w:color w:val="000000"/>
                <w:spacing w:val="-2"/>
              </w:rPr>
            </w:pPr>
            <w:r w:rsidRPr="002C0962">
              <w:rPr>
                <w:rFonts w:ascii="Times New Roman" w:hAnsi="Times New Roman"/>
                <w:color w:val="000000"/>
                <w:spacing w:val="-2"/>
              </w:rPr>
              <w:t>Portugalia</w:t>
            </w:r>
            <w:r>
              <w:rPr>
                <w:rFonts w:ascii="Times New Roman" w:hAnsi="Times New Roman"/>
                <w:color w:val="000000"/>
                <w:spacing w:val="-2"/>
              </w:rPr>
              <w:t xml:space="preserve">: </w:t>
            </w:r>
            <w:r w:rsidRPr="002C0962">
              <w:rPr>
                <w:rFonts w:ascii="Times New Roman" w:hAnsi="Times New Roman"/>
                <w:color w:val="000000"/>
                <w:spacing w:val="-2"/>
              </w:rPr>
              <w:t>konto regulacyjne rozliczane po roku</w:t>
            </w:r>
            <w:r>
              <w:rPr>
                <w:rFonts w:ascii="Times New Roman" w:hAnsi="Times New Roman"/>
                <w:color w:val="000000"/>
                <w:spacing w:val="-2"/>
              </w:rPr>
              <w:t>.</w:t>
            </w:r>
          </w:p>
          <w:p w14:paraId="0A1F51AE" w14:textId="1BF35F1F" w:rsidR="00280854" w:rsidRDefault="002C0962" w:rsidP="00DD6E03">
            <w:pPr>
              <w:jc w:val="both"/>
              <w:rPr>
                <w:rFonts w:ascii="Times New Roman" w:hAnsi="Times New Roman"/>
                <w:color w:val="000000"/>
                <w:spacing w:val="-2"/>
              </w:rPr>
            </w:pPr>
            <w:r>
              <w:rPr>
                <w:rFonts w:ascii="Times New Roman" w:hAnsi="Times New Roman"/>
                <w:color w:val="000000"/>
                <w:spacing w:val="-2"/>
              </w:rPr>
              <w:t xml:space="preserve">W części państw konto nie jest konieczne z </w:t>
            </w:r>
            <w:r w:rsidR="003D77C4">
              <w:rPr>
                <w:rFonts w:ascii="Times New Roman" w:hAnsi="Times New Roman"/>
                <w:color w:val="000000"/>
                <w:spacing w:val="-2"/>
              </w:rPr>
              <w:t xml:space="preserve">uwagi </w:t>
            </w:r>
            <w:r>
              <w:rPr>
                <w:rFonts w:ascii="Times New Roman" w:hAnsi="Times New Roman"/>
                <w:color w:val="000000"/>
                <w:spacing w:val="-2"/>
              </w:rPr>
              <w:t xml:space="preserve">na </w:t>
            </w:r>
            <w:r w:rsidRPr="002C0962">
              <w:rPr>
                <w:rFonts w:ascii="Times New Roman" w:hAnsi="Times New Roman"/>
                <w:color w:val="000000"/>
                <w:spacing w:val="-2"/>
              </w:rPr>
              <w:t>brak ryzyka wolumenowego ze względu na</w:t>
            </w:r>
            <w:r w:rsidR="003D77C4">
              <w:rPr>
                <w:rFonts w:ascii="Times New Roman" w:hAnsi="Times New Roman"/>
                <w:color w:val="000000"/>
                <w:spacing w:val="-2"/>
              </w:rPr>
              <w:t xml:space="preserve"> system</w:t>
            </w:r>
            <w:r w:rsidR="00DD02F6">
              <w:rPr>
                <w:rFonts w:ascii="Times New Roman" w:hAnsi="Times New Roman"/>
                <w:color w:val="000000"/>
                <w:spacing w:val="-2"/>
              </w:rPr>
              <w:t xml:space="preserve"> </w:t>
            </w:r>
            <w:r w:rsidRPr="002C0962">
              <w:rPr>
                <w:rFonts w:ascii="Times New Roman" w:hAnsi="Times New Roman"/>
                <w:color w:val="000000"/>
                <w:spacing w:val="-2"/>
              </w:rPr>
              <w:t>„</w:t>
            </w:r>
            <w:r w:rsidR="00FF5A8D">
              <w:rPr>
                <w:rFonts w:ascii="Times New Roman" w:hAnsi="Times New Roman"/>
                <w:color w:val="000000"/>
                <w:spacing w:val="-2"/>
              </w:rPr>
              <w:t>f</w:t>
            </w:r>
            <w:r w:rsidRPr="002C0962">
              <w:rPr>
                <w:rFonts w:ascii="Times New Roman" w:hAnsi="Times New Roman"/>
                <w:color w:val="000000"/>
                <w:spacing w:val="-2"/>
              </w:rPr>
              <w:t>ull revenue cap”</w:t>
            </w:r>
            <w:r>
              <w:rPr>
                <w:rFonts w:ascii="Times New Roman" w:hAnsi="Times New Roman"/>
                <w:color w:val="000000"/>
                <w:spacing w:val="-2"/>
              </w:rPr>
              <w:t xml:space="preserve"> (np. Finlandia, Wielka Brytania, Norwegia, Szwecja) bądź rozliczenie w całości lub dużej części </w:t>
            </w:r>
            <w:r w:rsidR="00BD374A">
              <w:rPr>
                <w:rFonts w:ascii="Times New Roman" w:hAnsi="Times New Roman"/>
                <w:color w:val="000000"/>
                <w:spacing w:val="-2"/>
              </w:rPr>
              <w:t xml:space="preserve">przychodu </w:t>
            </w:r>
            <w:r>
              <w:rPr>
                <w:rFonts w:ascii="Times New Roman" w:hAnsi="Times New Roman"/>
                <w:color w:val="000000"/>
                <w:spacing w:val="-2"/>
              </w:rPr>
              <w:t xml:space="preserve">na podstawie opłat stałych (Holandia, Słowacja).  </w:t>
            </w:r>
          </w:p>
          <w:p w14:paraId="4DC72944" w14:textId="16AC38F1" w:rsidR="005E2CDC" w:rsidRPr="00B37C80" w:rsidRDefault="005E2CDC" w:rsidP="00DD6E03">
            <w:pPr>
              <w:jc w:val="both"/>
              <w:rPr>
                <w:rFonts w:ascii="Times New Roman" w:hAnsi="Times New Roman"/>
                <w:color w:val="000000"/>
                <w:spacing w:val="-2"/>
              </w:rPr>
            </w:pPr>
            <w:r w:rsidRPr="005E2CDC">
              <w:rPr>
                <w:rFonts w:ascii="Times New Roman" w:hAnsi="Times New Roman"/>
                <w:color w:val="000000"/>
                <w:spacing w:val="-2"/>
              </w:rPr>
              <w:t>Liczba osób posiadających samochody elektryczne w Polsce jest w dalszym ciągu niewielka, a barierą dla jej zwiększenia jest niska liczba stacji ładowania. Równocześnie wysokie opłaty stałe w stosunku do opłat zmiennych, hamują powstawanie stacji ładowania, w tym w szczególności tzw. szybkich stacji, tj. punktów ładowania o dużej mocy w rozumieniu ustawy z dnia 11 stycznia 2018 r. o elektromobilności i paliwach alternatywnych. Takie skutki na rynku elektromobilności występują również na innych rynkach. Przykładowo włoski regulator zdecydował o stworzeniu specjalnej jednoskładnikowej taryfy dla stacji ładowania.</w:t>
            </w:r>
          </w:p>
        </w:tc>
      </w:tr>
      <w:tr w:rsidR="006A701A" w:rsidRPr="008B4FE6" w14:paraId="186E5C19" w14:textId="77777777" w:rsidTr="00704C3A">
        <w:trPr>
          <w:trHeight w:val="359"/>
        </w:trPr>
        <w:tc>
          <w:tcPr>
            <w:tcW w:w="11199" w:type="dxa"/>
            <w:gridSpan w:val="29"/>
            <w:shd w:val="clear" w:color="auto" w:fill="99CCFF"/>
            <w:vAlign w:val="center"/>
          </w:tcPr>
          <w:p w14:paraId="0F38FDD4" w14:textId="77777777" w:rsidR="006A701A" w:rsidRPr="008B4FE6" w:rsidRDefault="006A701A" w:rsidP="00213EF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Podmioty, na które oddziałuje projekt</w:t>
            </w:r>
          </w:p>
        </w:tc>
      </w:tr>
      <w:tr w:rsidR="00260F33" w:rsidRPr="008B4FE6" w14:paraId="7005ED63" w14:textId="77777777" w:rsidTr="00704C3A">
        <w:trPr>
          <w:trHeight w:val="142"/>
        </w:trPr>
        <w:tc>
          <w:tcPr>
            <w:tcW w:w="2832" w:type="dxa"/>
            <w:gridSpan w:val="3"/>
            <w:shd w:val="clear" w:color="auto" w:fill="auto"/>
          </w:tcPr>
          <w:p w14:paraId="5CCFF9C1"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2551" w:type="dxa"/>
            <w:gridSpan w:val="9"/>
            <w:shd w:val="clear" w:color="auto" w:fill="auto"/>
          </w:tcPr>
          <w:p w14:paraId="31AD56AD" w14:textId="77777777" w:rsidR="00260F33" w:rsidRPr="008B4FE6" w:rsidRDefault="00563199" w:rsidP="0072636A">
            <w:pPr>
              <w:spacing w:before="40" w:line="240" w:lineRule="auto"/>
              <w:jc w:val="center"/>
              <w:rPr>
                <w:rFonts w:ascii="Times New Roman" w:hAnsi="Times New Roman"/>
                <w:color w:val="000000"/>
                <w:spacing w:val="-2"/>
              </w:rPr>
            </w:pPr>
            <w:r>
              <w:rPr>
                <w:rFonts w:ascii="Times New Roman" w:hAnsi="Times New Roman"/>
                <w:color w:val="000000"/>
                <w:spacing w:val="-2"/>
              </w:rPr>
              <w:t>Wielkość</w:t>
            </w:r>
          </w:p>
        </w:tc>
        <w:tc>
          <w:tcPr>
            <w:tcW w:w="2569" w:type="dxa"/>
            <w:gridSpan w:val="10"/>
            <w:shd w:val="clear" w:color="auto" w:fill="auto"/>
          </w:tcPr>
          <w:p w14:paraId="61E30476"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3247" w:type="dxa"/>
            <w:gridSpan w:val="7"/>
            <w:shd w:val="clear" w:color="auto" w:fill="auto"/>
          </w:tcPr>
          <w:p w14:paraId="5D2F05FF"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260F33" w:rsidRPr="008B4FE6" w14:paraId="652F89C2" w14:textId="77777777" w:rsidTr="00704C3A">
        <w:trPr>
          <w:trHeight w:val="142"/>
        </w:trPr>
        <w:tc>
          <w:tcPr>
            <w:tcW w:w="2832" w:type="dxa"/>
            <w:gridSpan w:val="3"/>
            <w:shd w:val="clear" w:color="auto" w:fill="auto"/>
          </w:tcPr>
          <w:p w14:paraId="2E70E26E" w14:textId="77777777" w:rsidR="00260F33" w:rsidRPr="008B4FE6" w:rsidRDefault="00F610DD" w:rsidP="00A17CB2">
            <w:pPr>
              <w:spacing w:line="240" w:lineRule="auto"/>
              <w:rPr>
                <w:rFonts w:ascii="Times New Roman" w:hAnsi="Times New Roman"/>
                <w:color w:val="000000"/>
                <w:spacing w:val="-2"/>
              </w:rPr>
            </w:pPr>
            <w:r>
              <w:rPr>
                <w:rFonts w:ascii="Times New Roman" w:hAnsi="Times New Roman"/>
                <w:color w:val="000000"/>
              </w:rPr>
              <w:t>Operatorzy Systemów Elektroenergetycznych</w:t>
            </w:r>
          </w:p>
        </w:tc>
        <w:tc>
          <w:tcPr>
            <w:tcW w:w="2551" w:type="dxa"/>
            <w:gridSpan w:val="9"/>
            <w:shd w:val="clear" w:color="auto" w:fill="auto"/>
          </w:tcPr>
          <w:p w14:paraId="3BAB6C5B" w14:textId="433DE122" w:rsidR="000F70D4" w:rsidRDefault="000F70D4" w:rsidP="005D036E">
            <w:pPr>
              <w:spacing w:line="240" w:lineRule="auto"/>
              <w:rPr>
                <w:rFonts w:ascii="Times New Roman" w:hAnsi="Times New Roman"/>
                <w:color w:val="000000"/>
                <w:spacing w:val="-2"/>
              </w:rPr>
            </w:pPr>
            <w:r>
              <w:rPr>
                <w:rFonts w:ascii="Times New Roman" w:hAnsi="Times New Roman"/>
                <w:color w:val="000000"/>
                <w:spacing w:val="-2"/>
              </w:rPr>
              <w:t xml:space="preserve">Operator Systemu Przesyłowego </w:t>
            </w:r>
          </w:p>
          <w:p w14:paraId="3A68A318" w14:textId="77777777" w:rsidR="00260F33" w:rsidRPr="00B37C80" w:rsidRDefault="00F610DD" w:rsidP="005D036E">
            <w:pPr>
              <w:spacing w:line="240" w:lineRule="auto"/>
              <w:rPr>
                <w:rFonts w:ascii="Times New Roman" w:hAnsi="Times New Roman"/>
                <w:color w:val="000000"/>
                <w:spacing w:val="-2"/>
              </w:rPr>
            </w:pPr>
            <w:r>
              <w:rPr>
                <w:rFonts w:ascii="Times New Roman" w:hAnsi="Times New Roman"/>
                <w:color w:val="000000"/>
                <w:spacing w:val="-2"/>
              </w:rPr>
              <w:t>Operator</w:t>
            </w:r>
            <w:r w:rsidR="00C865C8">
              <w:rPr>
                <w:rFonts w:ascii="Times New Roman" w:hAnsi="Times New Roman"/>
                <w:color w:val="000000"/>
                <w:spacing w:val="-2"/>
              </w:rPr>
              <w:t>zy</w:t>
            </w:r>
            <w:r>
              <w:rPr>
                <w:rFonts w:ascii="Times New Roman" w:hAnsi="Times New Roman"/>
                <w:color w:val="000000"/>
                <w:spacing w:val="-2"/>
              </w:rPr>
              <w:t xml:space="preserve"> Systemów Dystrybucyjnych (OSD)</w:t>
            </w:r>
            <w:r w:rsidR="00A622A1">
              <w:rPr>
                <w:rFonts w:ascii="Times New Roman" w:hAnsi="Times New Roman"/>
                <w:color w:val="000000"/>
                <w:spacing w:val="-2"/>
              </w:rPr>
              <w:t>: OSDp i OSDn</w:t>
            </w:r>
          </w:p>
        </w:tc>
        <w:tc>
          <w:tcPr>
            <w:tcW w:w="2569" w:type="dxa"/>
            <w:gridSpan w:val="10"/>
            <w:shd w:val="clear" w:color="auto" w:fill="auto"/>
          </w:tcPr>
          <w:p w14:paraId="5B45A6DC" w14:textId="6A73801B" w:rsidR="00260F33" w:rsidRPr="00B37C80" w:rsidRDefault="00A874CE" w:rsidP="00A17CB2">
            <w:pPr>
              <w:spacing w:line="240" w:lineRule="auto"/>
              <w:rPr>
                <w:rFonts w:ascii="Times New Roman" w:hAnsi="Times New Roman"/>
                <w:color w:val="000000"/>
                <w:spacing w:val="-2"/>
              </w:rPr>
            </w:pPr>
            <w:r w:rsidRPr="00A874CE">
              <w:rPr>
                <w:rFonts w:ascii="Times New Roman" w:hAnsi="Times New Roman"/>
                <w:color w:val="000000"/>
                <w:spacing w:val="-2"/>
              </w:rPr>
              <w:t>Dane Prezesa Urzędu Regulacji Energetyki</w:t>
            </w:r>
            <w:r w:rsidR="002D4B59">
              <w:rPr>
                <w:rFonts w:ascii="Times New Roman" w:hAnsi="Times New Roman"/>
                <w:color w:val="000000"/>
                <w:spacing w:val="-2"/>
              </w:rPr>
              <w:t xml:space="preserve"> </w:t>
            </w:r>
            <w:r w:rsidR="00C211A0">
              <w:rPr>
                <w:rFonts w:ascii="Times New Roman" w:hAnsi="Times New Roman"/>
                <w:color w:val="000000"/>
                <w:spacing w:val="-2"/>
              </w:rPr>
              <w:t xml:space="preserve">(URE) </w:t>
            </w:r>
            <w:r w:rsidR="002D4B59">
              <w:rPr>
                <w:rFonts w:ascii="Times New Roman" w:hAnsi="Times New Roman"/>
                <w:color w:val="000000"/>
                <w:spacing w:val="-2"/>
              </w:rPr>
              <w:t>oraz Polskiego Stowarzyszenia Paliw Alternatywnych (PSPA)</w:t>
            </w:r>
          </w:p>
        </w:tc>
        <w:tc>
          <w:tcPr>
            <w:tcW w:w="3247" w:type="dxa"/>
            <w:gridSpan w:val="7"/>
            <w:shd w:val="clear" w:color="auto" w:fill="auto"/>
          </w:tcPr>
          <w:p w14:paraId="1A1F2948" w14:textId="77777777" w:rsidR="00A622A1" w:rsidRDefault="00180C5A" w:rsidP="00F5730B">
            <w:pPr>
              <w:spacing w:line="240" w:lineRule="auto"/>
              <w:rPr>
                <w:rFonts w:ascii="Times New Roman" w:hAnsi="Times New Roman"/>
                <w:color w:val="000000"/>
                <w:spacing w:val="-2"/>
              </w:rPr>
            </w:pPr>
            <w:r>
              <w:rPr>
                <w:rFonts w:ascii="Times New Roman" w:hAnsi="Times New Roman"/>
                <w:color w:val="000000"/>
                <w:spacing w:val="-2"/>
              </w:rPr>
              <w:t xml:space="preserve">Przeciwdziałanie negatywnym skutkom stanu zagrożenia i stanu epidemii oraz </w:t>
            </w:r>
            <w:r w:rsidR="001E13CD">
              <w:rPr>
                <w:rFonts w:ascii="Times New Roman" w:hAnsi="Times New Roman"/>
                <w:color w:val="000000"/>
                <w:spacing w:val="-2"/>
              </w:rPr>
              <w:t>spowolnienia gospodarczego</w:t>
            </w:r>
            <w:r w:rsidR="003D77C4">
              <w:rPr>
                <w:rFonts w:ascii="Times New Roman" w:hAnsi="Times New Roman"/>
                <w:color w:val="000000"/>
                <w:spacing w:val="-2"/>
              </w:rPr>
              <w:t xml:space="preserve">, a także ograniczenie kosztów odbiorców w przypadku uzyskiwania przez </w:t>
            </w:r>
            <w:r w:rsidR="003D77C4">
              <w:rPr>
                <w:rFonts w:ascii="Times New Roman" w:hAnsi="Times New Roman"/>
                <w:color w:val="000000"/>
                <w:spacing w:val="-2"/>
              </w:rPr>
              <w:lastRenderedPageBreak/>
              <w:t>OSD</w:t>
            </w:r>
            <w:r w:rsidR="00045CFF">
              <w:rPr>
                <w:rFonts w:ascii="Times New Roman" w:hAnsi="Times New Roman"/>
                <w:color w:val="000000"/>
                <w:spacing w:val="-2"/>
              </w:rPr>
              <w:t xml:space="preserve"> i OSP</w:t>
            </w:r>
            <w:r w:rsidR="003D77C4">
              <w:rPr>
                <w:rFonts w:ascii="Times New Roman" w:hAnsi="Times New Roman"/>
                <w:color w:val="000000"/>
                <w:spacing w:val="-2"/>
              </w:rPr>
              <w:t xml:space="preserve"> przychodów przekraczających poziom uznany przez Prezesa URE za uzasadniony</w:t>
            </w:r>
            <w:r w:rsidR="00A622A1">
              <w:rPr>
                <w:rFonts w:ascii="Times New Roman" w:hAnsi="Times New Roman"/>
                <w:color w:val="000000"/>
                <w:spacing w:val="-2"/>
              </w:rPr>
              <w:t>.</w:t>
            </w:r>
          </w:p>
          <w:p w14:paraId="387F5D17" w14:textId="77777777" w:rsidR="00180C5A" w:rsidRDefault="00F5730B" w:rsidP="00F5730B">
            <w:pPr>
              <w:spacing w:line="240" w:lineRule="auto"/>
              <w:rPr>
                <w:rFonts w:ascii="Times New Roman" w:hAnsi="Times New Roman"/>
                <w:color w:val="000000"/>
                <w:spacing w:val="-2"/>
              </w:rPr>
            </w:pPr>
            <w:r>
              <w:rPr>
                <w:rFonts w:ascii="Times New Roman" w:hAnsi="Times New Roman"/>
                <w:color w:val="000000"/>
                <w:spacing w:val="-2"/>
              </w:rPr>
              <w:t>Zwiększenie pewności</w:t>
            </w:r>
            <w:r w:rsidR="00A622A1">
              <w:rPr>
                <w:rFonts w:ascii="Times New Roman" w:hAnsi="Times New Roman"/>
                <w:color w:val="000000"/>
                <w:spacing w:val="-2"/>
              </w:rPr>
              <w:t xml:space="preserve"> i przewidywalności </w:t>
            </w:r>
            <w:r>
              <w:rPr>
                <w:rFonts w:ascii="Times New Roman" w:hAnsi="Times New Roman"/>
                <w:color w:val="000000"/>
                <w:spacing w:val="-2"/>
              </w:rPr>
              <w:t xml:space="preserve">regulacyjnej oraz uzupełnienie </w:t>
            </w:r>
            <w:r w:rsidR="00A622A1">
              <w:rPr>
                <w:rFonts w:ascii="Times New Roman" w:hAnsi="Times New Roman"/>
                <w:color w:val="000000"/>
                <w:spacing w:val="-2"/>
              </w:rPr>
              <w:t xml:space="preserve">istniejącego </w:t>
            </w:r>
            <w:r>
              <w:rPr>
                <w:rFonts w:ascii="Times New Roman" w:hAnsi="Times New Roman"/>
                <w:color w:val="000000"/>
                <w:spacing w:val="-2"/>
              </w:rPr>
              <w:t xml:space="preserve">modelu regulacji. </w:t>
            </w:r>
          </w:p>
          <w:p w14:paraId="0922FC19" w14:textId="77777777" w:rsidR="00260F33" w:rsidRDefault="00180C5A" w:rsidP="003D77C4">
            <w:pPr>
              <w:spacing w:line="240" w:lineRule="auto"/>
              <w:rPr>
                <w:rFonts w:ascii="Times New Roman" w:hAnsi="Times New Roman"/>
                <w:color w:val="000000"/>
                <w:spacing w:val="-2"/>
              </w:rPr>
            </w:pPr>
            <w:r w:rsidRPr="00180C5A">
              <w:rPr>
                <w:rFonts w:ascii="Times New Roman" w:hAnsi="Times New Roman"/>
                <w:color w:val="000000"/>
                <w:spacing w:val="-2"/>
              </w:rPr>
              <w:t>Zapewnienie stabilności działania systemu elektroenergetycznego w Polsce poprzez zapewnienie stabilności inwestycyjnej (finansowej i operacyjnej) OSD</w:t>
            </w:r>
            <w:r w:rsidR="00DD02F6">
              <w:rPr>
                <w:rFonts w:ascii="Times New Roman" w:hAnsi="Times New Roman"/>
                <w:color w:val="000000"/>
                <w:spacing w:val="-2"/>
              </w:rPr>
              <w:t xml:space="preserve"> i OSP</w:t>
            </w:r>
            <w:r w:rsidRPr="00180C5A">
              <w:rPr>
                <w:rFonts w:ascii="Times New Roman" w:hAnsi="Times New Roman"/>
                <w:color w:val="000000"/>
                <w:spacing w:val="-2"/>
              </w:rPr>
              <w:t xml:space="preserve"> </w:t>
            </w:r>
            <w:r>
              <w:rPr>
                <w:rFonts w:ascii="Times New Roman" w:hAnsi="Times New Roman"/>
                <w:color w:val="000000"/>
                <w:spacing w:val="-2"/>
              </w:rPr>
              <w:t>dzięki</w:t>
            </w:r>
            <w:r w:rsidRPr="00180C5A">
              <w:rPr>
                <w:rFonts w:ascii="Times New Roman" w:hAnsi="Times New Roman"/>
                <w:color w:val="000000"/>
                <w:spacing w:val="-2"/>
              </w:rPr>
              <w:t xml:space="preserve"> przewidywalnoś</w:t>
            </w:r>
            <w:r>
              <w:rPr>
                <w:rFonts w:ascii="Times New Roman" w:hAnsi="Times New Roman"/>
                <w:color w:val="000000"/>
                <w:spacing w:val="-2"/>
              </w:rPr>
              <w:t>ci</w:t>
            </w:r>
            <w:r w:rsidRPr="00180C5A">
              <w:rPr>
                <w:rFonts w:ascii="Times New Roman" w:hAnsi="Times New Roman"/>
                <w:color w:val="000000"/>
                <w:spacing w:val="-2"/>
              </w:rPr>
              <w:t xml:space="preserve"> obciążeń finansowych tych podmiotów</w:t>
            </w:r>
            <w:r>
              <w:rPr>
                <w:rFonts w:ascii="Times New Roman" w:hAnsi="Times New Roman"/>
                <w:color w:val="000000"/>
                <w:spacing w:val="-2"/>
              </w:rPr>
              <w:t>.</w:t>
            </w:r>
          </w:p>
          <w:p w14:paraId="54EBD357" w14:textId="77777777" w:rsidR="00A622A1" w:rsidRDefault="00A622A1" w:rsidP="00045CFF">
            <w:pPr>
              <w:spacing w:line="240" w:lineRule="auto"/>
              <w:rPr>
                <w:rFonts w:ascii="Times New Roman" w:hAnsi="Times New Roman"/>
                <w:color w:val="000000"/>
                <w:spacing w:val="-2"/>
              </w:rPr>
            </w:pPr>
            <w:r>
              <w:rPr>
                <w:rFonts w:ascii="Times New Roman" w:hAnsi="Times New Roman"/>
                <w:color w:val="000000"/>
                <w:spacing w:val="-2"/>
              </w:rPr>
              <w:t xml:space="preserve">Równoważenie interesów </w:t>
            </w:r>
            <w:r w:rsidR="000C3E60">
              <w:rPr>
                <w:rFonts w:ascii="Times New Roman" w:hAnsi="Times New Roman"/>
                <w:color w:val="000000"/>
                <w:spacing w:val="-2"/>
              </w:rPr>
              <w:t>o</w:t>
            </w:r>
            <w:r w:rsidR="00045CFF">
              <w:rPr>
                <w:rFonts w:ascii="Times New Roman" w:hAnsi="Times New Roman"/>
                <w:color w:val="000000"/>
                <w:spacing w:val="-2"/>
              </w:rPr>
              <w:t>peratorów (regulowanych przedsiębiorstw energetycznych)</w:t>
            </w:r>
            <w:r>
              <w:rPr>
                <w:rFonts w:ascii="Times New Roman" w:hAnsi="Times New Roman"/>
                <w:color w:val="000000"/>
                <w:spacing w:val="-2"/>
              </w:rPr>
              <w:t xml:space="preserve"> i odbiorców</w:t>
            </w:r>
            <w:r w:rsidR="00DD02F6">
              <w:rPr>
                <w:rFonts w:ascii="Times New Roman" w:hAnsi="Times New Roman"/>
                <w:color w:val="000000"/>
                <w:spacing w:val="-2"/>
              </w:rPr>
              <w:t>.</w:t>
            </w:r>
          </w:p>
          <w:p w14:paraId="09BB4F80" w14:textId="6294E759" w:rsidR="002D4B59" w:rsidRDefault="002D4B59" w:rsidP="002D4B59">
            <w:pPr>
              <w:spacing w:line="240" w:lineRule="auto"/>
              <w:rPr>
                <w:rFonts w:ascii="Times New Roman" w:hAnsi="Times New Roman"/>
                <w:color w:val="000000"/>
                <w:spacing w:val="-2"/>
              </w:rPr>
            </w:pPr>
            <w:r w:rsidRPr="002D4B59">
              <w:rPr>
                <w:rFonts w:ascii="Times New Roman" w:hAnsi="Times New Roman"/>
                <w:color w:val="000000"/>
                <w:spacing w:val="-2"/>
              </w:rPr>
              <w:t xml:space="preserve">W przypadku kiedy </w:t>
            </w:r>
            <w:r>
              <w:rPr>
                <w:rFonts w:ascii="Times New Roman" w:hAnsi="Times New Roman"/>
                <w:color w:val="000000"/>
                <w:spacing w:val="-2"/>
              </w:rPr>
              <w:t>liczba</w:t>
            </w:r>
            <w:r w:rsidRPr="002D4B59">
              <w:rPr>
                <w:rFonts w:ascii="Times New Roman" w:hAnsi="Times New Roman"/>
                <w:color w:val="000000"/>
                <w:spacing w:val="-2"/>
              </w:rPr>
              <w:t xml:space="preserve"> pojazdów elektrycznych w Polsce nie osiągnie liczby ponad 80 tys. OSD będzie ponosiło straty w wysokości  od 11 mln </w:t>
            </w:r>
            <w:r>
              <w:rPr>
                <w:rFonts w:ascii="Times New Roman" w:hAnsi="Times New Roman"/>
                <w:color w:val="000000"/>
                <w:spacing w:val="-2"/>
              </w:rPr>
              <w:t>zł</w:t>
            </w:r>
            <w:r w:rsidRPr="002D4B59">
              <w:rPr>
                <w:rFonts w:ascii="Times New Roman" w:hAnsi="Times New Roman"/>
                <w:color w:val="000000"/>
                <w:spacing w:val="-2"/>
              </w:rPr>
              <w:t>/ rocznie (przy 25 tys. pojazdów elektrycznych) , związane z utrzymywaniem odpowiedniej mocy dla szybkich punktów ładowania pojazdów elektrycznych. Straty, te mogą zostać rozłożone na innych odbiorców energii elektrycznej i będą skutkowały wzrostem cen energii przez kilka lub kilkanaście lat.</w:t>
            </w:r>
          </w:p>
          <w:p w14:paraId="1E2DFC2A" w14:textId="3B9838EC" w:rsidR="00374FD7" w:rsidRPr="00B37C80" w:rsidRDefault="00374FD7" w:rsidP="002D4B59">
            <w:pPr>
              <w:spacing w:line="240" w:lineRule="auto"/>
              <w:rPr>
                <w:rFonts w:ascii="Times New Roman" w:hAnsi="Times New Roman"/>
                <w:color w:val="000000"/>
                <w:spacing w:val="-2"/>
              </w:rPr>
            </w:pPr>
            <w:r>
              <w:rPr>
                <w:rFonts w:ascii="Times New Roman" w:hAnsi="Times New Roman"/>
                <w:color w:val="000000"/>
                <w:spacing w:val="-2"/>
              </w:rPr>
              <w:t xml:space="preserve">Obecne regulacje prawne dopuszczają możliwość przesyłania do odbiorców końcowych rozliczeń i faktur za energię w formie elektronicznej. Przedsiębiorstwa energetyczne oferują taką możliwość. Wprowadzenie proponowanego przepisu nie będzie miało więc wpływu na zachowania odbiorców </w:t>
            </w:r>
            <w:r w:rsidR="002A2C34">
              <w:rPr>
                <w:rFonts w:ascii="Times New Roman" w:hAnsi="Times New Roman"/>
                <w:color w:val="000000"/>
                <w:spacing w:val="-2"/>
              </w:rPr>
              <w:t xml:space="preserve">a przez to </w:t>
            </w:r>
            <w:r>
              <w:rPr>
                <w:rFonts w:ascii="Times New Roman" w:hAnsi="Times New Roman"/>
                <w:color w:val="000000"/>
                <w:spacing w:val="-2"/>
              </w:rPr>
              <w:t>działalność przedsiębiorstw energetycznych</w:t>
            </w:r>
          </w:p>
        </w:tc>
      </w:tr>
      <w:tr w:rsidR="00260F33" w:rsidRPr="008B4FE6" w14:paraId="4017DC5C" w14:textId="77777777" w:rsidTr="00704C3A">
        <w:trPr>
          <w:trHeight w:val="142"/>
        </w:trPr>
        <w:tc>
          <w:tcPr>
            <w:tcW w:w="2832" w:type="dxa"/>
            <w:gridSpan w:val="3"/>
            <w:shd w:val="clear" w:color="auto" w:fill="auto"/>
          </w:tcPr>
          <w:p w14:paraId="6BC4C1A6" w14:textId="77777777" w:rsidR="00260F33" w:rsidRPr="008B4FE6" w:rsidRDefault="00F610DD" w:rsidP="00A17CB2">
            <w:pPr>
              <w:spacing w:line="240" w:lineRule="auto"/>
              <w:rPr>
                <w:rFonts w:ascii="Times New Roman" w:hAnsi="Times New Roman"/>
                <w:color w:val="000000"/>
                <w:spacing w:val="-2"/>
              </w:rPr>
            </w:pPr>
            <w:r>
              <w:rPr>
                <w:rFonts w:ascii="Times New Roman" w:hAnsi="Times New Roman"/>
                <w:color w:val="000000"/>
              </w:rPr>
              <w:lastRenderedPageBreak/>
              <w:t xml:space="preserve">Odbiorcy końcowi energii elektrycznej </w:t>
            </w:r>
          </w:p>
        </w:tc>
        <w:tc>
          <w:tcPr>
            <w:tcW w:w="2551" w:type="dxa"/>
            <w:gridSpan w:val="9"/>
            <w:shd w:val="clear" w:color="auto" w:fill="auto"/>
          </w:tcPr>
          <w:p w14:paraId="7645E5E7" w14:textId="77777777" w:rsidR="00260F33" w:rsidRPr="00B37C80" w:rsidRDefault="00F610DD" w:rsidP="00796B0C">
            <w:pPr>
              <w:spacing w:line="240" w:lineRule="auto"/>
              <w:rPr>
                <w:rFonts w:ascii="Times New Roman" w:hAnsi="Times New Roman"/>
                <w:color w:val="000000"/>
                <w:spacing w:val="-2"/>
              </w:rPr>
            </w:pPr>
            <w:r>
              <w:rPr>
                <w:rFonts w:ascii="Times New Roman" w:hAnsi="Times New Roman"/>
                <w:color w:val="000000"/>
                <w:spacing w:val="-2"/>
              </w:rPr>
              <w:t>ok. 17</w:t>
            </w:r>
            <w:r w:rsidR="00EA41CD">
              <w:rPr>
                <w:rFonts w:ascii="Times New Roman" w:hAnsi="Times New Roman"/>
                <w:color w:val="000000"/>
                <w:spacing w:val="-2"/>
              </w:rPr>
              <w:t>,</w:t>
            </w:r>
            <w:r w:rsidR="006441E7">
              <w:rPr>
                <w:rFonts w:ascii="Times New Roman" w:hAnsi="Times New Roman"/>
                <w:color w:val="000000"/>
                <w:spacing w:val="-2"/>
              </w:rPr>
              <w:t>9</w:t>
            </w:r>
            <w:r>
              <w:rPr>
                <w:rFonts w:ascii="Times New Roman" w:hAnsi="Times New Roman"/>
                <w:color w:val="000000"/>
                <w:spacing w:val="-2"/>
              </w:rPr>
              <w:t xml:space="preserve"> mln</w:t>
            </w:r>
          </w:p>
        </w:tc>
        <w:tc>
          <w:tcPr>
            <w:tcW w:w="2569" w:type="dxa"/>
            <w:gridSpan w:val="10"/>
            <w:shd w:val="clear" w:color="auto" w:fill="auto"/>
          </w:tcPr>
          <w:p w14:paraId="7291BEA2" w14:textId="77777777" w:rsidR="00260F33" w:rsidRPr="00B37C80" w:rsidRDefault="006C2DC5" w:rsidP="00A17CB2">
            <w:pPr>
              <w:spacing w:line="240" w:lineRule="auto"/>
              <w:rPr>
                <w:rFonts w:ascii="Times New Roman" w:hAnsi="Times New Roman"/>
                <w:color w:val="000000"/>
                <w:spacing w:val="-2"/>
              </w:rPr>
            </w:pPr>
            <w:r w:rsidRPr="006C2DC5">
              <w:rPr>
                <w:rFonts w:ascii="Times New Roman" w:hAnsi="Times New Roman"/>
                <w:color w:val="000000"/>
                <w:spacing w:val="-2"/>
              </w:rPr>
              <w:t xml:space="preserve">Szacunki własne Ministerstwa </w:t>
            </w:r>
            <w:r w:rsidR="00180C5A">
              <w:rPr>
                <w:rFonts w:ascii="Times New Roman" w:hAnsi="Times New Roman"/>
                <w:color w:val="000000"/>
                <w:spacing w:val="-2"/>
              </w:rPr>
              <w:t>Klimatu</w:t>
            </w:r>
            <w:r w:rsidRPr="006C2DC5">
              <w:rPr>
                <w:rFonts w:ascii="Times New Roman" w:hAnsi="Times New Roman"/>
                <w:color w:val="000000"/>
                <w:spacing w:val="-2"/>
              </w:rPr>
              <w:t>, dane Prezesa Urzędu Regulacji Energetyki</w:t>
            </w:r>
          </w:p>
        </w:tc>
        <w:tc>
          <w:tcPr>
            <w:tcW w:w="3247" w:type="dxa"/>
            <w:gridSpan w:val="7"/>
            <w:shd w:val="clear" w:color="auto" w:fill="auto"/>
          </w:tcPr>
          <w:p w14:paraId="5C4B4675" w14:textId="77777777" w:rsidR="004C3F84" w:rsidRDefault="00CE5CD3" w:rsidP="00294DA1">
            <w:pPr>
              <w:spacing w:line="240" w:lineRule="auto"/>
              <w:rPr>
                <w:rFonts w:ascii="Times New Roman" w:hAnsi="Times New Roman"/>
                <w:color w:val="000000"/>
                <w:spacing w:val="-2"/>
              </w:rPr>
            </w:pPr>
            <w:r>
              <w:rPr>
                <w:rFonts w:ascii="Times New Roman" w:hAnsi="Times New Roman"/>
                <w:color w:val="000000"/>
                <w:spacing w:val="-2"/>
              </w:rPr>
              <w:t>Wzrost</w:t>
            </w:r>
            <w:r w:rsidR="00646CFE">
              <w:rPr>
                <w:rFonts w:ascii="Times New Roman" w:hAnsi="Times New Roman"/>
                <w:color w:val="000000"/>
                <w:spacing w:val="-2"/>
              </w:rPr>
              <w:t xml:space="preserve"> jakości i ciągłości dostaw energii elektrycznej</w:t>
            </w:r>
            <w:r w:rsidR="006C2DC5">
              <w:rPr>
                <w:rFonts w:ascii="Times New Roman" w:hAnsi="Times New Roman"/>
                <w:color w:val="000000"/>
                <w:spacing w:val="-2"/>
              </w:rPr>
              <w:t>;</w:t>
            </w:r>
            <w:r w:rsidR="006C2DC5">
              <w:t xml:space="preserve"> </w:t>
            </w:r>
            <w:r w:rsidR="005E4312" w:rsidRPr="005E4312">
              <w:rPr>
                <w:rFonts w:ascii="Times New Roman" w:hAnsi="Times New Roman"/>
                <w:color w:val="000000"/>
                <w:spacing w:val="-2"/>
              </w:rPr>
              <w:t xml:space="preserve">większa przewidywalność </w:t>
            </w:r>
            <w:r w:rsidR="005E4312">
              <w:rPr>
                <w:rFonts w:ascii="Times New Roman" w:hAnsi="Times New Roman"/>
                <w:color w:val="000000"/>
                <w:spacing w:val="-2"/>
              </w:rPr>
              <w:t>stawek opłat</w:t>
            </w:r>
            <w:r w:rsidR="005E4312" w:rsidRPr="005E4312">
              <w:rPr>
                <w:rFonts w:ascii="Times New Roman" w:hAnsi="Times New Roman"/>
                <w:color w:val="000000"/>
                <w:spacing w:val="-2"/>
              </w:rPr>
              <w:t xml:space="preserve"> za usługi dystrybucji</w:t>
            </w:r>
            <w:r w:rsidR="005E4312">
              <w:rPr>
                <w:rFonts w:ascii="Times New Roman" w:hAnsi="Times New Roman"/>
                <w:color w:val="000000"/>
                <w:spacing w:val="-2"/>
              </w:rPr>
              <w:t xml:space="preserve"> </w:t>
            </w:r>
            <w:r w:rsidR="00045CFF">
              <w:rPr>
                <w:rFonts w:ascii="Times New Roman" w:hAnsi="Times New Roman"/>
                <w:color w:val="000000"/>
                <w:spacing w:val="-2"/>
              </w:rPr>
              <w:t xml:space="preserve">i przesyłu </w:t>
            </w:r>
            <w:r w:rsidR="005E4312" w:rsidRPr="005E4312">
              <w:rPr>
                <w:rFonts w:ascii="Times New Roman" w:hAnsi="Times New Roman"/>
                <w:color w:val="000000"/>
                <w:spacing w:val="-2"/>
              </w:rPr>
              <w:t>energii elektrycznej</w:t>
            </w:r>
            <w:r w:rsidR="005E4312">
              <w:rPr>
                <w:rFonts w:ascii="Times New Roman" w:hAnsi="Times New Roman"/>
                <w:color w:val="000000"/>
                <w:spacing w:val="-2"/>
              </w:rPr>
              <w:t>.</w:t>
            </w:r>
          </w:p>
          <w:p w14:paraId="4EDAEF36" w14:textId="41EF8CCB" w:rsidR="00A622A1" w:rsidRPr="00B37C80" w:rsidRDefault="00A622A1" w:rsidP="00045CFF">
            <w:pPr>
              <w:spacing w:line="240" w:lineRule="auto"/>
              <w:rPr>
                <w:rFonts w:ascii="Times New Roman" w:hAnsi="Times New Roman"/>
                <w:color w:val="000000"/>
                <w:spacing w:val="-2"/>
              </w:rPr>
            </w:pPr>
            <w:r>
              <w:rPr>
                <w:rFonts w:ascii="Times New Roman" w:hAnsi="Times New Roman"/>
                <w:color w:val="000000"/>
                <w:spacing w:val="-2"/>
              </w:rPr>
              <w:t xml:space="preserve">Równoważenie interesów </w:t>
            </w:r>
            <w:r w:rsidR="000C3E60">
              <w:rPr>
                <w:rFonts w:ascii="Times New Roman" w:hAnsi="Times New Roman"/>
                <w:color w:val="000000"/>
                <w:spacing w:val="-2"/>
              </w:rPr>
              <w:t>o</w:t>
            </w:r>
            <w:r w:rsidR="00045CFF">
              <w:rPr>
                <w:rFonts w:ascii="Times New Roman" w:hAnsi="Times New Roman"/>
                <w:color w:val="000000"/>
                <w:spacing w:val="-2"/>
              </w:rPr>
              <w:t>peratorów (regulowanych przedsiębiorstw energetycznych)</w:t>
            </w:r>
            <w:r>
              <w:rPr>
                <w:rFonts w:ascii="Times New Roman" w:hAnsi="Times New Roman"/>
                <w:color w:val="000000"/>
                <w:spacing w:val="-2"/>
              </w:rPr>
              <w:t xml:space="preserve"> i odbiorców</w:t>
            </w:r>
            <w:r w:rsidR="00DD02F6">
              <w:rPr>
                <w:rFonts w:ascii="Times New Roman" w:hAnsi="Times New Roman"/>
                <w:color w:val="000000"/>
                <w:spacing w:val="-2"/>
              </w:rPr>
              <w:t>.</w:t>
            </w:r>
          </w:p>
        </w:tc>
      </w:tr>
      <w:tr w:rsidR="002D4B59" w:rsidRPr="008B4FE6" w14:paraId="3D65090A" w14:textId="77777777" w:rsidTr="00704C3A">
        <w:trPr>
          <w:trHeight w:val="142"/>
        </w:trPr>
        <w:tc>
          <w:tcPr>
            <w:tcW w:w="2832" w:type="dxa"/>
            <w:gridSpan w:val="3"/>
            <w:shd w:val="clear" w:color="auto" w:fill="auto"/>
          </w:tcPr>
          <w:p w14:paraId="599A70F7" w14:textId="671D2FAF" w:rsidR="002D4B59" w:rsidRPr="002D4B59" w:rsidRDefault="002D4B59" w:rsidP="002D4B59">
            <w:pPr>
              <w:spacing w:line="240" w:lineRule="auto"/>
              <w:rPr>
                <w:rFonts w:ascii="Times New Roman" w:hAnsi="Times New Roman"/>
                <w:color w:val="000000"/>
              </w:rPr>
            </w:pPr>
            <w:r w:rsidRPr="002D4B59">
              <w:rPr>
                <w:rFonts w:ascii="Times New Roman" w:hAnsi="Times New Roman"/>
              </w:rPr>
              <w:t>Operatorzy stacji ładowania</w:t>
            </w:r>
          </w:p>
        </w:tc>
        <w:tc>
          <w:tcPr>
            <w:tcW w:w="2551" w:type="dxa"/>
            <w:gridSpan w:val="9"/>
            <w:shd w:val="clear" w:color="auto" w:fill="auto"/>
          </w:tcPr>
          <w:p w14:paraId="14ECA2DA" w14:textId="55748C17" w:rsidR="002D4B59" w:rsidRPr="002D4B59" w:rsidRDefault="002D4B59" w:rsidP="002D4B59">
            <w:pPr>
              <w:spacing w:line="240" w:lineRule="auto"/>
              <w:rPr>
                <w:rFonts w:ascii="Times New Roman" w:hAnsi="Times New Roman"/>
                <w:color w:val="000000"/>
                <w:spacing w:val="-2"/>
              </w:rPr>
            </w:pPr>
            <w:r w:rsidRPr="002D4B59">
              <w:rPr>
                <w:rFonts w:ascii="Times New Roman" w:hAnsi="Times New Roman"/>
              </w:rPr>
              <w:t xml:space="preserve">Brak możliwości precyzyjnego oszacowania liczby operatorów </w:t>
            </w:r>
            <w:r w:rsidRPr="002D4B59">
              <w:rPr>
                <w:rFonts w:ascii="Times New Roman" w:hAnsi="Times New Roman"/>
              </w:rPr>
              <w:lastRenderedPageBreak/>
              <w:t>ogólnodostępnych stacji ładowania</w:t>
            </w:r>
            <w:r w:rsidR="00C211A0">
              <w:rPr>
                <w:rFonts w:ascii="Times New Roman" w:hAnsi="Times New Roman"/>
              </w:rPr>
              <w:t>,</w:t>
            </w:r>
            <w:r w:rsidRPr="002D4B59">
              <w:rPr>
                <w:rFonts w:ascii="Times New Roman" w:hAnsi="Times New Roman"/>
              </w:rPr>
              <w:t xml:space="preserve"> ponieważ wiele z nich jest w fazie budowy. Przewiduj</w:t>
            </w:r>
            <w:r w:rsidR="00C211A0">
              <w:rPr>
                <w:rFonts w:ascii="Times New Roman" w:hAnsi="Times New Roman"/>
              </w:rPr>
              <w:t>e</w:t>
            </w:r>
            <w:r w:rsidRPr="002D4B59">
              <w:rPr>
                <w:rFonts w:ascii="Times New Roman" w:hAnsi="Times New Roman"/>
              </w:rPr>
              <w:t xml:space="preserve"> się powstanie ponad 400 ogólnodostępnych punktów ładowania wyposażonych w ładowarki szybkie o mocy ponad 50 kW. oraz ponad 6000 do 22 kW w Polsce</w:t>
            </w:r>
          </w:p>
        </w:tc>
        <w:tc>
          <w:tcPr>
            <w:tcW w:w="2569" w:type="dxa"/>
            <w:gridSpan w:val="10"/>
            <w:shd w:val="clear" w:color="auto" w:fill="auto"/>
          </w:tcPr>
          <w:p w14:paraId="553046FB" w14:textId="36A68234" w:rsidR="002D4B59" w:rsidRPr="002D4B59" w:rsidRDefault="002D4B59" w:rsidP="002D4B59">
            <w:pPr>
              <w:spacing w:line="240" w:lineRule="auto"/>
              <w:rPr>
                <w:rFonts w:ascii="Times New Roman" w:hAnsi="Times New Roman"/>
                <w:color w:val="000000"/>
                <w:spacing w:val="-2"/>
              </w:rPr>
            </w:pPr>
            <w:r w:rsidRPr="002D4B59">
              <w:rPr>
                <w:rFonts w:ascii="Times New Roman" w:hAnsi="Times New Roman"/>
              </w:rPr>
              <w:lastRenderedPageBreak/>
              <w:t xml:space="preserve">Dane własne </w:t>
            </w:r>
            <w:r w:rsidR="00C211A0">
              <w:rPr>
                <w:rFonts w:ascii="Times New Roman" w:hAnsi="Times New Roman"/>
              </w:rPr>
              <w:t xml:space="preserve"> Ministerstwa Klimatu </w:t>
            </w:r>
            <w:r w:rsidRPr="002D4B59">
              <w:rPr>
                <w:rFonts w:ascii="Times New Roman" w:hAnsi="Times New Roman"/>
              </w:rPr>
              <w:t>oraz Licznik elektromobilności PSPA</w:t>
            </w:r>
          </w:p>
        </w:tc>
        <w:tc>
          <w:tcPr>
            <w:tcW w:w="3247" w:type="dxa"/>
            <w:gridSpan w:val="7"/>
            <w:shd w:val="clear" w:color="auto" w:fill="auto"/>
          </w:tcPr>
          <w:p w14:paraId="381FF775" w14:textId="057C3F4A" w:rsidR="002D4B59" w:rsidRPr="002D4B59" w:rsidRDefault="002D4B59" w:rsidP="002D4B59">
            <w:pPr>
              <w:spacing w:line="240" w:lineRule="auto"/>
              <w:rPr>
                <w:rFonts w:ascii="Times New Roman" w:hAnsi="Times New Roman"/>
                <w:color w:val="000000"/>
                <w:spacing w:val="-2"/>
              </w:rPr>
            </w:pPr>
            <w:r w:rsidRPr="002D4B59">
              <w:rPr>
                <w:rFonts w:ascii="Times New Roman" w:hAnsi="Times New Roman"/>
              </w:rPr>
              <w:t>W pierwszej fazie rozwijania elektromobilności w Polsce pozwoli utrzymać wybudowane ogólnodostępne punkt</w:t>
            </w:r>
            <w:r w:rsidR="00C211A0">
              <w:rPr>
                <w:rFonts w:ascii="Times New Roman" w:hAnsi="Times New Roman"/>
              </w:rPr>
              <w:t>y</w:t>
            </w:r>
            <w:r w:rsidRPr="002D4B59">
              <w:rPr>
                <w:rFonts w:ascii="Times New Roman" w:hAnsi="Times New Roman"/>
              </w:rPr>
              <w:t xml:space="preserve"> ładowania </w:t>
            </w:r>
            <w:r w:rsidRPr="002D4B59">
              <w:rPr>
                <w:rFonts w:ascii="Times New Roman" w:hAnsi="Times New Roman"/>
              </w:rPr>
              <w:lastRenderedPageBreak/>
              <w:t>wyposażon</w:t>
            </w:r>
            <w:r w:rsidR="00C211A0">
              <w:rPr>
                <w:rFonts w:ascii="Times New Roman" w:hAnsi="Times New Roman"/>
              </w:rPr>
              <w:t>e</w:t>
            </w:r>
            <w:r w:rsidRPr="002D4B59">
              <w:rPr>
                <w:rFonts w:ascii="Times New Roman" w:hAnsi="Times New Roman"/>
              </w:rPr>
              <w:t xml:space="preserve"> w ładowarki szybkie o mocy powyżej 50 kW.</w:t>
            </w:r>
          </w:p>
        </w:tc>
      </w:tr>
      <w:tr w:rsidR="002D4B59" w:rsidRPr="008B4FE6" w14:paraId="383E61F6" w14:textId="77777777" w:rsidTr="00704C3A">
        <w:trPr>
          <w:trHeight w:val="142"/>
        </w:trPr>
        <w:tc>
          <w:tcPr>
            <w:tcW w:w="2832" w:type="dxa"/>
            <w:gridSpan w:val="3"/>
            <w:shd w:val="clear" w:color="auto" w:fill="auto"/>
          </w:tcPr>
          <w:p w14:paraId="1B13EBD5" w14:textId="042C3FA3" w:rsidR="002D4B59" w:rsidRPr="002D4B59" w:rsidRDefault="002D4B59" w:rsidP="002D4B59">
            <w:pPr>
              <w:spacing w:line="240" w:lineRule="auto"/>
              <w:rPr>
                <w:rFonts w:ascii="Times New Roman" w:hAnsi="Times New Roman"/>
                <w:color w:val="000000"/>
              </w:rPr>
            </w:pPr>
            <w:r w:rsidRPr="002D4B59">
              <w:rPr>
                <w:rFonts w:ascii="Times New Roman" w:hAnsi="Times New Roman"/>
              </w:rPr>
              <w:lastRenderedPageBreak/>
              <w:t>Posiadacze pojazdów elektrycznych</w:t>
            </w:r>
          </w:p>
        </w:tc>
        <w:tc>
          <w:tcPr>
            <w:tcW w:w="2551" w:type="dxa"/>
            <w:gridSpan w:val="9"/>
            <w:shd w:val="clear" w:color="auto" w:fill="auto"/>
          </w:tcPr>
          <w:p w14:paraId="664AFBFB" w14:textId="3092123A" w:rsidR="002D4B59" w:rsidRPr="002D4B59" w:rsidRDefault="002D4B59" w:rsidP="002D4B59">
            <w:pPr>
              <w:spacing w:line="240" w:lineRule="auto"/>
              <w:rPr>
                <w:rFonts w:ascii="Times New Roman" w:hAnsi="Times New Roman"/>
                <w:color w:val="000000"/>
                <w:spacing w:val="-2"/>
              </w:rPr>
            </w:pPr>
            <w:r w:rsidRPr="002D4B59">
              <w:rPr>
                <w:rFonts w:ascii="Times New Roman" w:hAnsi="Times New Roman"/>
              </w:rPr>
              <w:t>11 tys. właścicieli</w:t>
            </w:r>
          </w:p>
        </w:tc>
        <w:tc>
          <w:tcPr>
            <w:tcW w:w="2569" w:type="dxa"/>
            <w:gridSpan w:val="10"/>
            <w:shd w:val="clear" w:color="auto" w:fill="auto"/>
          </w:tcPr>
          <w:p w14:paraId="65B1BAF7" w14:textId="6ED215E2" w:rsidR="002D4B59" w:rsidRPr="002D4B59" w:rsidRDefault="002D4B59" w:rsidP="002D4B59">
            <w:pPr>
              <w:spacing w:line="240" w:lineRule="auto"/>
              <w:rPr>
                <w:rFonts w:ascii="Times New Roman" w:hAnsi="Times New Roman"/>
                <w:color w:val="000000"/>
                <w:spacing w:val="-2"/>
              </w:rPr>
            </w:pPr>
            <w:r w:rsidRPr="002D4B59">
              <w:rPr>
                <w:rFonts w:ascii="Times New Roman" w:hAnsi="Times New Roman"/>
              </w:rPr>
              <w:t>Licznik elektromobilności PSPA</w:t>
            </w:r>
          </w:p>
        </w:tc>
        <w:tc>
          <w:tcPr>
            <w:tcW w:w="3247" w:type="dxa"/>
            <w:gridSpan w:val="7"/>
            <w:shd w:val="clear" w:color="auto" w:fill="auto"/>
          </w:tcPr>
          <w:p w14:paraId="6E5E71BD" w14:textId="0C9E5EA3" w:rsidR="002D4B59" w:rsidRPr="002D4B59" w:rsidRDefault="002D4B59" w:rsidP="002D4B59">
            <w:pPr>
              <w:spacing w:line="240" w:lineRule="auto"/>
              <w:rPr>
                <w:rFonts w:ascii="Times New Roman" w:hAnsi="Times New Roman"/>
                <w:color w:val="000000"/>
                <w:spacing w:val="-2"/>
              </w:rPr>
            </w:pPr>
            <w:r w:rsidRPr="002D4B59">
              <w:rPr>
                <w:rFonts w:ascii="Times New Roman" w:hAnsi="Times New Roman"/>
              </w:rPr>
              <w:t xml:space="preserve">Koszty ładowania na punktach ładowania wyposażonych w ładowarki szybkie może być wysoki.   </w:t>
            </w:r>
          </w:p>
        </w:tc>
      </w:tr>
      <w:tr w:rsidR="002D4B59" w:rsidRPr="008B4FE6" w14:paraId="71FEBDE7" w14:textId="77777777" w:rsidTr="00704C3A">
        <w:trPr>
          <w:trHeight w:val="142"/>
        </w:trPr>
        <w:tc>
          <w:tcPr>
            <w:tcW w:w="2832" w:type="dxa"/>
            <w:gridSpan w:val="3"/>
            <w:shd w:val="clear" w:color="auto" w:fill="auto"/>
          </w:tcPr>
          <w:p w14:paraId="748A0938" w14:textId="32A15D78" w:rsidR="002D4B59" w:rsidRPr="002D4B59" w:rsidRDefault="002D4B59" w:rsidP="002D4B59">
            <w:pPr>
              <w:spacing w:line="240" w:lineRule="auto"/>
              <w:rPr>
                <w:rFonts w:ascii="Times New Roman" w:hAnsi="Times New Roman"/>
                <w:color w:val="000000"/>
              </w:rPr>
            </w:pPr>
            <w:r w:rsidRPr="002D4B59">
              <w:rPr>
                <w:rFonts w:ascii="Times New Roman" w:hAnsi="Times New Roman"/>
              </w:rPr>
              <w:t>Inni odbiorcy energii elektrycznej w Polsce</w:t>
            </w:r>
          </w:p>
        </w:tc>
        <w:tc>
          <w:tcPr>
            <w:tcW w:w="2551" w:type="dxa"/>
            <w:gridSpan w:val="9"/>
            <w:shd w:val="clear" w:color="auto" w:fill="auto"/>
          </w:tcPr>
          <w:p w14:paraId="6E90A5F3" w14:textId="0A94BA53" w:rsidR="002D4B59" w:rsidRPr="002D4B59" w:rsidRDefault="0078286D" w:rsidP="002D4B59">
            <w:pPr>
              <w:spacing w:line="240" w:lineRule="auto"/>
              <w:rPr>
                <w:rFonts w:ascii="Times New Roman" w:hAnsi="Times New Roman"/>
                <w:color w:val="000000"/>
                <w:spacing w:val="-2"/>
              </w:rPr>
            </w:pPr>
            <w:r w:rsidRPr="002D4B59">
              <w:rPr>
                <w:rFonts w:ascii="Times New Roman" w:hAnsi="Times New Roman"/>
              </w:rPr>
              <w:t>17,6 mln odbiorców końcowych</w:t>
            </w:r>
          </w:p>
        </w:tc>
        <w:tc>
          <w:tcPr>
            <w:tcW w:w="2569" w:type="dxa"/>
            <w:gridSpan w:val="10"/>
            <w:shd w:val="clear" w:color="auto" w:fill="auto"/>
          </w:tcPr>
          <w:p w14:paraId="3E3B4EBE" w14:textId="40B317C3" w:rsidR="002D4B59" w:rsidRPr="002D4B59" w:rsidRDefault="0078286D" w:rsidP="002D4B59">
            <w:pPr>
              <w:spacing w:line="240" w:lineRule="auto"/>
              <w:rPr>
                <w:rFonts w:ascii="Times New Roman" w:hAnsi="Times New Roman"/>
                <w:color w:val="000000"/>
                <w:spacing w:val="-2"/>
              </w:rPr>
            </w:pPr>
            <w:r>
              <w:rPr>
                <w:rFonts w:ascii="Times New Roman" w:hAnsi="Times New Roman"/>
              </w:rPr>
              <w:t>Dane URE z 2018 r.</w:t>
            </w:r>
          </w:p>
        </w:tc>
        <w:tc>
          <w:tcPr>
            <w:tcW w:w="3247" w:type="dxa"/>
            <w:gridSpan w:val="7"/>
            <w:shd w:val="clear" w:color="auto" w:fill="auto"/>
          </w:tcPr>
          <w:p w14:paraId="0448A56B" w14:textId="3A47E00B" w:rsidR="002D4B59" w:rsidRPr="002D4B59" w:rsidRDefault="0078286D" w:rsidP="002D4B59">
            <w:pPr>
              <w:spacing w:line="240" w:lineRule="auto"/>
              <w:rPr>
                <w:rFonts w:ascii="Times New Roman" w:hAnsi="Times New Roman"/>
                <w:color w:val="000000"/>
                <w:spacing w:val="-2"/>
              </w:rPr>
            </w:pPr>
            <w:r w:rsidRPr="0078286D">
              <w:rPr>
                <w:rFonts w:ascii="Times New Roman" w:hAnsi="Times New Roman"/>
                <w:color w:val="000000"/>
                <w:spacing w:val="-2"/>
              </w:rPr>
              <w:t>Straty OSD mogą zostać rozłożone na innych odbiorców energii elektrycznej w Polsce.</w:t>
            </w:r>
          </w:p>
        </w:tc>
      </w:tr>
      <w:tr w:rsidR="006A701A" w:rsidRPr="008B4FE6" w14:paraId="7A9120DB" w14:textId="77777777" w:rsidTr="00704C3A">
        <w:trPr>
          <w:trHeight w:val="302"/>
        </w:trPr>
        <w:tc>
          <w:tcPr>
            <w:tcW w:w="11199" w:type="dxa"/>
            <w:gridSpan w:val="29"/>
            <w:shd w:val="clear" w:color="auto" w:fill="99CCFF"/>
            <w:vAlign w:val="center"/>
          </w:tcPr>
          <w:p w14:paraId="6E6D84EB" w14:textId="77777777" w:rsidR="006A701A" w:rsidRPr="008B4FE6" w:rsidRDefault="001B3460" w:rsidP="00213EF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Informacje na temat</w:t>
            </w:r>
            <w:r>
              <w:rPr>
                <w:rFonts w:ascii="Times New Roman" w:hAnsi="Times New Roman"/>
                <w:b/>
                <w:color w:val="000000"/>
              </w:rPr>
              <w:t xml:space="preserve"> zakresu</w:t>
            </w:r>
            <w:r w:rsidR="0076658F">
              <w:rPr>
                <w:rFonts w:ascii="Times New Roman" w:hAnsi="Times New Roman"/>
                <w:b/>
                <w:color w:val="000000"/>
              </w:rPr>
              <w:t>,</w:t>
            </w:r>
            <w:r>
              <w:rPr>
                <w:rFonts w:ascii="Times New Roman" w:hAnsi="Times New Roman"/>
                <w:b/>
                <w:color w:val="000000"/>
              </w:rPr>
              <w:t xml:space="preserve"> czasu trwania </w:t>
            </w:r>
            <w:r w:rsidR="0076658F">
              <w:rPr>
                <w:rFonts w:ascii="Times New Roman" w:hAnsi="Times New Roman"/>
                <w:b/>
                <w:color w:val="000000"/>
              </w:rPr>
              <w:t xml:space="preserve">i podsumowanie wyników </w:t>
            </w:r>
            <w:r w:rsidRPr="008B4FE6">
              <w:rPr>
                <w:rFonts w:ascii="Times New Roman" w:hAnsi="Times New Roman"/>
                <w:b/>
                <w:color w:val="000000"/>
              </w:rPr>
              <w:t>konsultacji</w:t>
            </w:r>
          </w:p>
        </w:tc>
      </w:tr>
      <w:tr w:rsidR="006A701A" w:rsidRPr="008B4FE6" w14:paraId="1B990059" w14:textId="77777777" w:rsidTr="00704C3A">
        <w:trPr>
          <w:trHeight w:val="342"/>
        </w:trPr>
        <w:tc>
          <w:tcPr>
            <w:tcW w:w="11199" w:type="dxa"/>
            <w:gridSpan w:val="29"/>
            <w:shd w:val="clear" w:color="auto" w:fill="FFFFFF"/>
          </w:tcPr>
          <w:p w14:paraId="2CA66A92" w14:textId="182A79EE" w:rsidR="00B95C6B" w:rsidRDefault="005A3CA9" w:rsidP="00312A74">
            <w:pPr>
              <w:spacing w:line="240" w:lineRule="auto"/>
              <w:jc w:val="both"/>
              <w:rPr>
                <w:rFonts w:ascii="Times New Roman" w:hAnsi="Times New Roman"/>
                <w:color w:val="000000"/>
                <w:spacing w:val="-2"/>
              </w:rPr>
            </w:pPr>
            <w:r>
              <w:rPr>
                <w:rFonts w:ascii="Times New Roman" w:hAnsi="Times New Roman"/>
                <w:color w:val="000000"/>
                <w:spacing w:val="-2"/>
              </w:rPr>
              <w:t xml:space="preserve">Na etapie przygotowywania był konsultowany na roboczo z Polskim Towarzystwem Przesyłu i Rozdziału Energii Elektrycznej, Prezesem Urzędu Regulacji Energetyki oraz </w:t>
            </w:r>
            <w:r w:rsidRPr="005A3CA9">
              <w:rPr>
                <w:rFonts w:ascii="Times New Roman" w:hAnsi="Times New Roman"/>
                <w:color w:val="000000"/>
                <w:spacing w:val="-2"/>
              </w:rPr>
              <w:t>Polski</w:t>
            </w:r>
            <w:r w:rsidR="00306537">
              <w:rPr>
                <w:rFonts w:ascii="Times New Roman" w:hAnsi="Times New Roman"/>
                <w:color w:val="000000"/>
                <w:spacing w:val="-2"/>
              </w:rPr>
              <w:t>m</w:t>
            </w:r>
            <w:r w:rsidRPr="005A3CA9">
              <w:rPr>
                <w:rFonts w:ascii="Times New Roman" w:hAnsi="Times New Roman"/>
                <w:color w:val="000000"/>
                <w:spacing w:val="-2"/>
              </w:rPr>
              <w:t xml:space="preserve"> Stowarzyszenie</w:t>
            </w:r>
            <w:r w:rsidR="00306537">
              <w:rPr>
                <w:rFonts w:ascii="Times New Roman" w:hAnsi="Times New Roman"/>
                <w:color w:val="000000"/>
                <w:spacing w:val="-2"/>
              </w:rPr>
              <w:t>m</w:t>
            </w:r>
            <w:r w:rsidRPr="005A3CA9">
              <w:rPr>
                <w:rFonts w:ascii="Times New Roman" w:hAnsi="Times New Roman"/>
                <w:color w:val="000000"/>
                <w:spacing w:val="-2"/>
              </w:rPr>
              <w:t xml:space="preserve"> Paliw Alternatywnych</w:t>
            </w:r>
            <w:r>
              <w:rPr>
                <w:rFonts w:ascii="Times New Roman" w:hAnsi="Times New Roman"/>
                <w:color w:val="000000"/>
                <w:spacing w:val="-2"/>
              </w:rPr>
              <w:t>.</w:t>
            </w:r>
          </w:p>
          <w:p w14:paraId="4B6ECC3E" w14:textId="0CEF78B7" w:rsidR="00603583" w:rsidRDefault="00603583" w:rsidP="00312A74">
            <w:pPr>
              <w:spacing w:line="240" w:lineRule="auto"/>
              <w:jc w:val="both"/>
              <w:rPr>
                <w:rFonts w:ascii="Times New Roman" w:hAnsi="Times New Roman"/>
                <w:color w:val="000000"/>
                <w:spacing w:val="-2"/>
              </w:rPr>
            </w:pPr>
          </w:p>
          <w:p w14:paraId="2B48EE9B" w14:textId="2FEE1B87" w:rsidR="00603583" w:rsidRDefault="00603583" w:rsidP="00603583">
            <w:pPr>
              <w:spacing w:line="240" w:lineRule="auto"/>
              <w:jc w:val="both"/>
              <w:rPr>
                <w:rFonts w:ascii="Times New Roman" w:hAnsi="Times New Roman"/>
                <w:color w:val="000000"/>
                <w:spacing w:val="-2"/>
              </w:rPr>
            </w:pPr>
            <w:r w:rsidRPr="00603583">
              <w:rPr>
                <w:rFonts w:ascii="Times New Roman" w:hAnsi="Times New Roman"/>
                <w:color w:val="000000"/>
                <w:spacing w:val="-2"/>
              </w:rPr>
              <w:t>Zgodnie z art. 5 ustawy z dnia 7 lipca 2005 r. o działalności lobbingowej w procesie stanowienia prawa projekt zostanie zamieszczony na stronie Biuletynu Informacji Publicznej Rządowego Centrum Legislacji w zakładce Rządowy Proces Legislacyjny (</w:t>
            </w:r>
            <w:hyperlink r:id="rId7" w:history="1">
              <w:r w:rsidR="00FA530D" w:rsidRPr="005B2492">
                <w:rPr>
                  <w:rStyle w:val="Hipercze"/>
                  <w:rFonts w:ascii="Times New Roman" w:hAnsi="Times New Roman"/>
                  <w:spacing w:val="-2"/>
                </w:rPr>
                <w:t>www.rcl.gov.pl</w:t>
              </w:r>
            </w:hyperlink>
            <w:r w:rsidRPr="00603583">
              <w:rPr>
                <w:rFonts w:ascii="Times New Roman" w:hAnsi="Times New Roman"/>
                <w:color w:val="000000"/>
                <w:spacing w:val="-2"/>
              </w:rPr>
              <w:t>).</w:t>
            </w:r>
          </w:p>
          <w:p w14:paraId="6BC4E39A" w14:textId="012D1342" w:rsidR="00FA530D" w:rsidRDefault="00FA530D" w:rsidP="00603583">
            <w:pPr>
              <w:spacing w:line="240" w:lineRule="auto"/>
              <w:jc w:val="both"/>
              <w:rPr>
                <w:rFonts w:ascii="Times New Roman" w:hAnsi="Times New Roman"/>
                <w:color w:val="000000"/>
                <w:spacing w:val="-2"/>
              </w:rPr>
            </w:pPr>
          </w:p>
          <w:p w14:paraId="4A84CE34" w14:textId="77777777" w:rsidR="00FA530D" w:rsidRDefault="00FA530D" w:rsidP="00FA530D">
            <w:pPr>
              <w:spacing w:line="240" w:lineRule="auto"/>
              <w:jc w:val="both"/>
              <w:rPr>
                <w:rFonts w:ascii="Times New Roman" w:hAnsi="Times New Roman"/>
                <w:color w:val="000000"/>
                <w:spacing w:val="-2"/>
              </w:rPr>
            </w:pPr>
            <w:r>
              <w:rPr>
                <w:rFonts w:ascii="Times New Roman" w:hAnsi="Times New Roman"/>
                <w:color w:val="000000"/>
                <w:spacing w:val="-2"/>
              </w:rPr>
              <w:t xml:space="preserve">Projekt zostanie przekazany do zaopiniowania w trybie art. 16 </w:t>
            </w:r>
            <w:r>
              <w:rPr>
                <w:rFonts w:ascii="Times New Roman" w:hAnsi="Times New Roman"/>
              </w:rPr>
              <w:t xml:space="preserve">ustawy z dnia 23 maja 1991 r. o organizacjach pracodawców </w:t>
            </w:r>
            <w:r>
              <w:rPr>
                <w:rFonts w:ascii="Times New Roman" w:hAnsi="Times New Roman"/>
              </w:rPr>
              <w:br/>
              <w:t xml:space="preserve">(Dz. U. z 2015 r. poz. 2029 oraz z 2018 r. poz. 1608) </w:t>
            </w:r>
            <w:r>
              <w:rPr>
                <w:rFonts w:ascii="Times New Roman" w:eastAsia="Times New Roman" w:hAnsi="Times New Roman"/>
                <w:bCs/>
                <w:lang w:eastAsia="pl-PL"/>
              </w:rPr>
              <w:t>do następujących podmiotów</w:t>
            </w:r>
            <w:r>
              <w:rPr>
                <w:rFonts w:ascii="Times New Roman" w:hAnsi="Times New Roman"/>
              </w:rPr>
              <w:t>:</w:t>
            </w:r>
          </w:p>
          <w:p w14:paraId="63E77E53" w14:textId="77777777" w:rsidR="00FA530D" w:rsidRDefault="00FA530D" w:rsidP="00FA530D">
            <w:pPr>
              <w:ind w:left="344"/>
              <w:jc w:val="both"/>
              <w:rPr>
                <w:rFonts w:ascii="Times New Roman" w:eastAsia="Times New Roman" w:hAnsi="Times New Roman" w:cstheme="minorBidi"/>
                <w:bCs/>
                <w:lang w:eastAsia="pl-PL"/>
              </w:rPr>
            </w:pPr>
            <w:r>
              <w:rPr>
                <w:rFonts w:ascii="Times New Roman" w:eastAsia="Times New Roman" w:hAnsi="Times New Roman"/>
                <w:bCs/>
                <w:lang w:eastAsia="pl-PL"/>
              </w:rPr>
              <w:t>1. Konfederacja „Lewiatan”,</w:t>
            </w:r>
          </w:p>
          <w:p w14:paraId="42E62366" w14:textId="77777777" w:rsidR="00FA530D" w:rsidRDefault="00FA530D" w:rsidP="00FA530D">
            <w:pPr>
              <w:ind w:left="344"/>
              <w:jc w:val="both"/>
              <w:rPr>
                <w:rFonts w:ascii="Times New Roman" w:eastAsia="Times New Roman" w:hAnsi="Times New Roman"/>
                <w:bCs/>
                <w:lang w:eastAsia="pl-PL"/>
              </w:rPr>
            </w:pPr>
            <w:r>
              <w:rPr>
                <w:rFonts w:ascii="Times New Roman" w:eastAsia="Times New Roman" w:hAnsi="Times New Roman"/>
                <w:bCs/>
                <w:lang w:eastAsia="pl-PL"/>
              </w:rPr>
              <w:t>2. Pracodawcy Rzeczypospolitej Polskiej,</w:t>
            </w:r>
          </w:p>
          <w:p w14:paraId="11E8D374" w14:textId="77777777" w:rsidR="00FA530D" w:rsidRDefault="00FA530D" w:rsidP="00FA530D">
            <w:pPr>
              <w:ind w:left="344"/>
              <w:jc w:val="both"/>
              <w:rPr>
                <w:rFonts w:ascii="Times New Roman" w:eastAsia="Times New Roman" w:hAnsi="Times New Roman"/>
                <w:bCs/>
                <w:lang w:eastAsia="pl-PL"/>
              </w:rPr>
            </w:pPr>
            <w:r>
              <w:rPr>
                <w:rFonts w:ascii="Times New Roman" w:eastAsia="Times New Roman" w:hAnsi="Times New Roman"/>
                <w:bCs/>
                <w:lang w:eastAsia="pl-PL"/>
              </w:rPr>
              <w:t>3. Związek Pracodawców Business Centre Club,</w:t>
            </w:r>
          </w:p>
          <w:p w14:paraId="2C04C2FD" w14:textId="77777777" w:rsidR="00FA530D" w:rsidRDefault="00FA530D" w:rsidP="00FA530D">
            <w:pPr>
              <w:ind w:left="344"/>
              <w:jc w:val="both"/>
              <w:rPr>
                <w:rFonts w:ascii="Times New Roman" w:eastAsia="Times New Roman" w:hAnsi="Times New Roman"/>
                <w:bCs/>
                <w:lang w:eastAsia="pl-PL"/>
              </w:rPr>
            </w:pPr>
            <w:r>
              <w:rPr>
                <w:rFonts w:ascii="Times New Roman" w:eastAsia="Times New Roman" w:hAnsi="Times New Roman"/>
                <w:bCs/>
                <w:lang w:eastAsia="pl-PL"/>
              </w:rPr>
              <w:t>4. Związek Rzemiosła Polskiego,</w:t>
            </w:r>
          </w:p>
          <w:p w14:paraId="4DB92014" w14:textId="77777777" w:rsidR="00FA530D" w:rsidRDefault="00FA530D" w:rsidP="00FA530D">
            <w:pPr>
              <w:spacing w:after="120"/>
              <w:ind w:left="346"/>
              <w:jc w:val="both"/>
              <w:rPr>
                <w:rFonts w:ascii="Times New Roman" w:eastAsia="Times New Roman" w:hAnsi="Times New Roman"/>
                <w:bCs/>
                <w:lang w:eastAsia="pl-PL"/>
              </w:rPr>
            </w:pPr>
            <w:r>
              <w:rPr>
                <w:rFonts w:ascii="Times New Roman" w:eastAsia="Times New Roman" w:hAnsi="Times New Roman"/>
                <w:bCs/>
                <w:lang w:eastAsia="pl-PL"/>
              </w:rPr>
              <w:t>5. Związek Przedsiębiorców i Pracodawców;</w:t>
            </w:r>
          </w:p>
          <w:p w14:paraId="521073A2" w14:textId="77777777" w:rsidR="00FA530D" w:rsidRDefault="00FA530D" w:rsidP="00FA530D">
            <w:pPr>
              <w:autoSpaceDE w:val="0"/>
              <w:autoSpaceDN w:val="0"/>
              <w:adjustRightInd w:val="0"/>
              <w:jc w:val="both"/>
              <w:rPr>
                <w:rFonts w:ascii="Times New Roman" w:eastAsiaTheme="minorHAnsi" w:hAnsi="Times New Roman"/>
                <w:color w:val="000000"/>
                <w:spacing w:val="-2"/>
              </w:rPr>
            </w:pPr>
            <w:r>
              <w:rPr>
                <w:rFonts w:ascii="Times New Roman" w:hAnsi="Times New Roman"/>
                <w:color w:val="000000"/>
                <w:spacing w:val="-2"/>
              </w:rPr>
              <w:t>Projekt zostanie również przekazany do zaopiniowania w trybie art. 23 ustawy z dnia 23 maja 1991 r. o związkach zawodowych (Dz. U. z 2015 r. poz. 1881, z późn. zm.) do następujących reprezentatywnych organizacji związkowych:</w:t>
            </w:r>
          </w:p>
          <w:p w14:paraId="5C30FBEB" w14:textId="77777777" w:rsidR="00FA530D" w:rsidRDefault="00FA530D" w:rsidP="00FA530D">
            <w:pPr>
              <w:autoSpaceDE w:val="0"/>
              <w:autoSpaceDN w:val="0"/>
              <w:adjustRightInd w:val="0"/>
              <w:ind w:left="344"/>
              <w:jc w:val="both"/>
              <w:rPr>
                <w:rFonts w:ascii="Times New Roman" w:hAnsi="Times New Roman"/>
                <w:color w:val="000000"/>
                <w:spacing w:val="-2"/>
              </w:rPr>
            </w:pPr>
            <w:r>
              <w:rPr>
                <w:rFonts w:ascii="Times New Roman" w:hAnsi="Times New Roman"/>
                <w:color w:val="000000"/>
                <w:spacing w:val="-2"/>
              </w:rPr>
              <w:t>1. Niezależny Samorządny Związek Zawodowy „Solidarność”,</w:t>
            </w:r>
          </w:p>
          <w:p w14:paraId="5E3D600E" w14:textId="77777777" w:rsidR="00FA530D" w:rsidRDefault="00FA530D" w:rsidP="00FA530D">
            <w:pPr>
              <w:autoSpaceDE w:val="0"/>
              <w:autoSpaceDN w:val="0"/>
              <w:adjustRightInd w:val="0"/>
              <w:ind w:left="344"/>
              <w:jc w:val="both"/>
              <w:rPr>
                <w:rFonts w:ascii="Times New Roman" w:hAnsi="Times New Roman"/>
                <w:color w:val="000000"/>
                <w:spacing w:val="-2"/>
              </w:rPr>
            </w:pPr>
            <w:r>
              <w:rPr>
                <w:rFonts w:ascii="Times New Roman" w:hAnsi="Times New Roman"/>
                <w:color w:val="000000"/>
                <w:spacing w:val="-2"/>
              </w:rPr>
              <w:t>2. Ogólnopolskie Porozumienie Związków Zawodowych,</w:t>
            </w:r>
          </w:p>
          <w:p w14:paraId="739AD253" w14:textId="77777777" w:rsidR="00FA530D" w:rsidRDefault="00FA530D" w:rsidP="00FA530D">
            <w:pPr>
              <w:autoSpaceDE w:val="0"/>
              <w:autoSpaceDN w:val="0"/>
              <w:adjustRightInd w:val="0"/>
              <w:ind w:left="344"/>
              <w:jc w:val="both"/>
              <w:rPr>
                <w:rFonts w:ascii="Times New Roman" w:hAnsi="Times New Roman"/>
                <w:color w:val="000000"/>
                <w:spacing w:val="-2"/>
              </w:rPr>
            </w:pPr>
            <w:r>
              <w:rPr>
                <w:rFonts w:ascii="Times New Roman" w:hAnsi="Times New Roman"/>
                <w:color w:val="000000"/>
                <w:spacing w:val="-2"/>
              </w:rPr>
              <w:t>3. Forum Związków Zawodowych,</w:t>
            </w:r>
          </w:p>
          <w:p w14:paraId="39488413" w14:textId="003DF62B" w:rsidR="00FA530D" w:rsidRPr="00603583" w:rsidRDefault="00FA530D" w:rsidP="00FA530D">
            <w:pPr>
              <w:autoSpaceDE w:val="0"/>
              <w:autoSpaceDN w:val="0"/>
              <w:adjustRightInd w:val="0"/>
              <w:spacing w:after="120"/>
              <w:jc w:val="both"/>
              <w:rPr>
                <w:rFonts w:ascii="Times New Roman" w:hAnsi="Times New Roman"/>
                <w:color w:val="000000"/>
                <w:spacing w:val="-2"/>
              </w:rPr>
            </w:pPr>
            <w:r>
              <w:rPr>
                <w:rFonts w:ascii="Times New Roman" w:hAnsi="Times New Roman"/>
                <w:color w:val="000000"/>
                <w:spacing w:val="-2"/>
              </w:rPr>
              <w:t xml:space="preserve">oraz skierowany do zaopiniowania przez Radę Dialogu Społecznego zgodnie z art. 2 ustawy z dnia 24 lipca 2015 r. </w:t>
            </w:r>
            <w:r>
              <w:rPr>
                <w:rFonts w:ascii="Times New Roman" w:hAnsi="Times New Roman"/>
                <w:color w:val="000000"/>
                <w:spacing w:val="-2"/>
              </w:rPr>
              <w:br/>
              <w:t>o Radzie Dialogu Społecznego i innych instytucjach dialogu społecznego (Dz. U. poz. 1240, z późn. zm).</w:t>
            </w:r>
          </w:p>
          <w:p w14:paraId="27F66B34" w14:textId="6608E895" w:rsidR="00603583" w:rsidRPr="00603583" w:rsidRDefault="00603583" w:rsidP="00603583">
            <w:pPr>
              <w:spacing w:line="240" w:lineRule="auto"/>
              <w:jc w:val="both"/>
              <w:rPr>
                <w:rFonts w:ascii="Times New Roman" w:hAnsi="Times New Roman"/>
                <w:color w:val="000000"/>
                <w:spacing w:val="-2"/>
              </w:rPr>
            </w:pPr>
            <w:r w:rsidRPr="00603583">
              <w:rPr>
                <w:rFonts w:ascii="Times New Roman" w:hAnsi="Times New Roman"/>
                <w:color w:val="000000"/>
                <w:spacing w:val="-2"/>
              </w:rPr>
              <w:t>W ramach konsultacji publicznych projekt zostanie przekazany do konsultacji z terminem</w:t>
            </w:r>
            <w:r w:rsidR="00FE1763">
              <w:rPr>
                <w:rFonts w:ascii="Times New Roman" w:hAnsi="Times New Roman"/>
                <w:color w:val="000000"/>
                <w:spacing w:val="-2"/>
              </w:rPr>
              <w:t xml:space="preserve"> </w:t>
            </w:r>
            <w:r w:rsidR="00FA530D">
              <w:rPr>
                <w:rFonts w:ascii="Times New Roman" w:hAnsi="Times New Roman"/>
                <w:color w:val="000000"/>
                <w:spacing w:val="-2"/>
              </w:rPr>
              <w:t>10</w:t>
            </w:r>
            <w:bookmarkStart w:id="3" w:name="_GoBack"/>
            <w:bookmarkEnd w:id="3"/>
            <w:r w:rsidRPr="00603583">
              <w:rPr>
                <w:rFonts w:ascii="Times New Roman" w:hAnsi="Times New Roman"/>
                <w:color w:val="000000"/>
                <w:spacing w:val="-2"/>
              </w:rPr>
              <w:t xml:space="preserve"> dni następującym podmiotom:</w:t>
            </w:r>
          </w:p>
          <w:p w14:paraId="286B05B0" w14:textId="3EFB0AC0" w:rsidR="00796B0C" w:rsidRPr="00FA530D" w:rsidRDefault="00796B0C" w:rsidP="00FA530D">
            <w:pPr>
              <w:pStyle w:val="Akapitzlist"/>
              <w:numPr>
                <w:ilvl w:val="0"/>
                <w:numId w:val="30"/>
              </w:numPr>
              <w:spacing w:line="240" w:lineRule="auto"/>
              <w:rPr>
                <w:rFonts w:ascii="Times New Roman" w:eastAsia="Times New Roman" w:hAnsi="Times New Roman"/>
                <w:lang w:eastAsia="pl-PL"/>
              </w:rPr>
            </w:pPr>
            <w:r w:rsidRPr="00FA530D">
              <w:rPr>
                <w:rFonts w:ascii="Times New Roman" w:eastAsia="Times New Roman" w:hAnsi="Times New Roman"/>
                <w:lang w:eastAsia="pl-PL"/>
              </w:rPr>
              <w:t>Izba Gospodarcza Ciepłownictwo Polskie,</w:t>
            </w:r>
          </w:p>
          <w:p w14:paraId="2CC5F0EE" w14:textId="5909A409" w:rsidR="00796B0C" w:rsidRPr="00FA530D" w:rsidRDefault="00796B0C" w:rsidP="00FA530D">
            <w:pPr>
              <w:pStyle w:val="Akapitzlist"/>
              <w:numPr>
                <w:ilvl w:val="0"/>
                <w:numId w:val="30"/>
              </w:numPr>
              <w:spacing w:line="240" w:lineRule="auto"/>
              <w:rPr>
                <w:rFonts w:ascii="Times New Roman" w:eastAsia="Times New Roman" w:hAnsi="Times New Roman"/>
                <w:lang w:eastAsia="pl-PL"/>
              </w:rPr>
            </w:pPr>
            <w:r w:rsidRPr="00FA530D">
              <w:rPr>
                <w:rFonts w:ascii="Times New Roman" w:eastAsia="Times New Roman" w:hAnsi="Times New Roman"/>
                <w:lang w:eastAsia="pl-PL"/>
              </w:rPr>
              <w:t>Polskie Towarzystwo Elektrociepłowni Zawodowych,</w:t>
            </w:r>
          </w:p>
          <w:p w14:paraId="40B89295" w14:textId="56CECB7D" w:rsidR="00796B0C" w:rsidRPr="00FA530D" w:rsidRDefault="00796B0C" w:rsidP="00FA530D">
            <w:pPr>
              <w:pStyle w:val="Akapitzlist"/>
              <w:numPr>
                <w:ilvl w:val="0"/>
                <w:numId w:val="30"/>
              </w:numPr>
              <w:spacing w:line="240" w:lineRule="auto"/>
              <w:rPr>
                <w:rFonts w:ascii="Times New Roman" w:eastAsia="Times New Roman" w:hAnsi="Times New Roman"/>
                <w:lang w:eastAsia="pl-PL"/>
              </w:rPr>
            </w:pPr>
            <w:r w:rsidRPr="00FA530D">
              <w:rPr>
                <w:rFonts w:ascii="Times New Roman" w:eastAsia="Times New Roman" w:hAnsi="Times New Roman"/>
                <w:lang w:eastAsia="pl-PL"/>
              </w:rPr>
              <w:t>Towarzystwo Gospodarcze Polskie Elektrownie,</w:t>
            </w:r>
          </w:p>
          <w:p w14:paraId="03DC39D8" w14:textId="071348AC" w:rsidR="00796B0C" w:rsidRPr="00FA530D" w:rsidRDefault="00796B0C" w:rsidP="00FA530D">
            <w:pPr>
              <w:pStyle w:val="Akapitzlist"/>
              <w:numPr>
                <w:ilvl w:val="0"/>
                <w:numId w:val="30"/>
              </w:numPr>
              <w:spacing w:line="240" w:lineRule="auto"/>
              <w:rPr>
                <w:rFonts w:ascii="Times New Roman" w:eastAsia="Times New Roman" w:hAnsi="Times New Roman"/>
                <w:lang w:eastAsia="pl-PL"/>
              </w:rPr>
            </w:pPr>
            <w:r w:rsidRPr="00FA530D">
              <w:rPr>
                <w:rFonts w:ascii="Times New Roman" w:eastAsia="Times New Roman" w:hAnsi="Times New Roman"/>
                <w:lang w:eastAsia="pl-PL"/>
              </w:rPr>
              <w:t>Polski Komitet Energii Elektrycznej (PKEE),</w:t>
            </w:r>
          </w:p>
          <w:p w14:paraId="32A3D389" w14:textId="0D1C05B2" w:rsidR="00796B0C" w:rsidRPr="00FA530D" w:rsidRDefault="00796B0C" w:rsidP="00FA530D">
            <w:pPr>
              <w:pStyle w:val="Akapitzlist"/>
              <w:numPr>
                <w:ilvl w:val="0"/>
                <w:numId w:val="30"/>
              </w:numPr>
              <w:spacing w:line="240" w:lineRule="auto"/>
              <w:rPr>
                <w:rFonts w:ascii="Times New Roman" w:eastAsia="Times New Roman" w:hAnsi="Times New Roman"/>
                <w:lang w:eastAsia="pl-PL"/>
              </w:rPr>
            </w:pPr>
            <w:r w:rsidRPr="00FA530D">
              <w:rPr>
                <w:rFonts w:ascii="Times New Roman" w:eastAsia="Times New Roman" w:hAnsi="Times New Roman"/>
                <w:lang w:eastAsia="pl-PL"/>
              </w:rPr>
              <w:t>Stowarzyszenie Elektryków Polskich,</w:t>
            </w:r>
          </w:p>
          <w:p w14:paraId="51F6EDDC" w14:textId="09D79B25" w:rsidR="00796B0C" w:rsidRPr="00FA530D" w:rsidRDefault="00796B0C" w:rsidP="00FA530D">
            <w:pPr>
              <w:pStyle w:val="Akapitzlist"/>
              <w:numPr>
                <w:ilvl w:val="0"/>
                <w:numId w:val="30"/>
              </w:numPr>
              <w:spacing w:line="240" w:lineRule="auto"/>
              <w:rPr>
                <w:rFonts w:ascii="Times New Roman" w:eastAsia="Times New Roman" w:hAnsi="Times New Roman"/>
                <w:lang w:eastAsia="pl-PL"/>
              </w:rPr>
            </w:pPr>
            <w:r w:rsidRPr="00FA530D">
              <w:rPr>
                <w:rFonts w:ascii="Times New Roman" w:eastAsia="Times New Roman" w:hAnsi="Times New Roman"/>
                <w:lang w:eastAsia="pl-PL"/>
              </w:rPr>
              <w:t>Stowarzyszenie Inżynierów i Techników Przemysłu Naftowego i Gazowniczego,</w:t>
            </w:r>
          </w:p>
          <w:p w14:paraId="090FE884" w14:textId="2F6797CF" w:rsidR="00796B0C" w:rsidRPr="00FA530D" w:rsidRDefault="00796B0C" w:rsidP="00FA530D">
            <w:pPr>
              <w:pStyle w:val="Akapitzlist"/>
              <w:numPr>
                <w:ilvl w:val="0"/>
                <w:numId w:val="30"/>
              </w:numPr>
              <w:spacing w:line="240" w:lineRule="auto"/>
              <w:rPr>
                <w:rFonts w:ascii="Times New Roman" w:eastAsia="Times New Roman" w:hAnsi="Times New Roman"/>
                <w:lang w:eastAsia="pl-PL"/>
              </w:rPr>
            </w:pPr>
            <w:r w:rsidRPr="00FA530D">
              <w:rPr>
                <w:rFonts w:ascii="Times New Roman" w:eastAsia="Times New Roman" w:hAnsi="Times New Roman"/>
                <w:lang w:eastAsia="pl-PL"/>
              </w:rPr>
              <w:t>Krajowa Izba Gospodarcza Elektroniki i Telekomunikacji (KIGEiT)</w:t>
            </w:r>
          </w:p>
          <w:p w14:paraId="4257D064" w14:textId="3437B0F9" w:rsidR="00796B0C" w:rsidRPr="00FA530D" w:rsidRDefault="00796B0C" w:rsidP="00FA530D">
            <w:pPr>
              <w:pStyle w:val="Akapitzlist"/>
              <w:numPr>
                <w:ilvl w:val="0"/>
                <w:numId w:val="30"/>
              </w:numPr>
              <w:spacing w:line="240" w:lineRule="auto"/>
              <w:rPr>
                <w:rFonts w:ascii="Times New Roman" w:eastAsia="Times New Roman" w:hAnsi="Times New Roman"/>
                <w:lang w:eastAsia="pl-PL"/>
              </w:rPr>
            </w:pPr>
            <w:r w:rsidRPr="00FA530D">
              <w:rPr>
                <w:rFonts w:ascii="Times New Roman" w:eastAsia="Times New Roman" w:hAnsi="Times New Roman"/>
                <w:lang w:eastAsia="pl-PL"/>
              </w:rPr>
              <w:t>Izba Energetyki Przemysłowej i Odbiorców Energii,</w:t>
            </w:r>
          </w:p>
          <w:p w14:paraId="3DE26E43" w14:textId="578D12F4" w:rsidR="00796B0C" w:rsidRPr="00FA530D" w:rsidRDefault="00796B0C" w:rsidP="00FA530D">
            <w:pPr>
              <w:pStyle w:val="Akapitzlist"/>
              <w:numPr>
                <w:ilvl w:val="0"/>
                <w:numId w:val="30"/>
              </w:numPr>
              <w:spacing w:line="240" w:lineRule="auto"/>
              <w:rPr>
                <w:rFonts w:ascii="Times New Roman" w:eastAsia="Times New Roman" w:hAnsi="Times New Roman"/>
                <w:lang w:eastAsia="pl-PL"/>
              </w:rPr>
            </w:pPr>
            <w:r w:rsidRPr="00FA530D">
              <w:rPr>
                <w:rFonts w:ascii="Times New Roman" w:eastAsia="Times New Roman" w:hAnsi="Times New Roman"/>
                <w:lang w:eastAsia="pl-PL"/>
              </w:rPr>
              <w:t>Ogólnokrajowe Stowarzyszenie Poszanowanie Energii i Środowiska SAPE-POLSKA,</w:t>
            </w:r>
          </w:p>
          <w:p w14:paraId="32ACC354" w14:textId="5A1CF3F4" w:rsidR="00796B0C" w:rsidRPr="00FA530D" w:rsidRDefault="00796B0C" w:rsidP="00FA530D">
            <w:pPr>
              <w:pStyle w:val="Akapitzlist"/>
              <w:numPr>
                <w:ilvl w:val="0"/>
                <w:numId w:val="30"/>
              </w:numPr>
              <w:spacing w:line="240" w:lineRule="auto"/>
              <w:rPr>
                <w:rFonts w:ascii="Times New Roman" w:eastAsia="Times New Roman" w:hAnsi="Times New Roman"/>
                <w:lang w:eastAsia="pl-PL"/>
              </w:rPr>
            </w:pPr>
            <w:r w:rsidRPr="00FA530D">
              <w:rPr>
                <w:rFonts w:ascii="Times New Roman" w:eastAsia="Times New Roman" w:hAnsi="Times New Roman"/>
                <w:lang w:eastAsia="pl-PL"/>
              </w:rPr>
              <w:t>Krajowa Agencja Poszanowania Energii S.A.,</w:t>
            </w:r>
          </w:p>
          <w:p w14:paraId="28CE2FD4" w14:textId="4895279B" w:rsidR="00796B0C" w:rsidRPr="00FA530D" w:rsidRDefault="00796B0C" w:rsidP="00FA530D">
            <w:pPr>
              <w:pStyle w:val="Akapitzlist"/>
              <w:numPr>
                <w:ilvl w:val="0"/>
                <w:numId w:val="30"/>
              </w:numPr>
              <w:spacing w:line="240" w:lineRule="auto"/>
              <w:rPr>
                <w:rFonts w:ascii="Times New Roman" w:eastAsia="Times New Roman" w:hAnsi="Times New Roman"/>
                <w:lang w:eastAsia="pl-PL"/>
              </w:rPr>
            </w:pPr>
            <w:r w:rsidRPr="00FA530D">
              <w:rPr>
                <w:rFonts w:ascii="Times New Roman" w:eastAsia="Times New Roman" w:hAnsi="Times New Roman"/>
                <w:lang w:eastAsia="pl-PL"/>
              </w:rPr>
              <w:t>Krajowa Izba Gospodarcza,</w:t>
            </w:r>
          </w:p>
          <w:p w14:paraId="090DA858" w14:textId="1D1D4BF6" w:rsidR="00796B0C" w:rsidRPr="00FA530D" w:rsidRDefault="00796B0C" w:rsidP="00FA530D">
            <w:pPr>
              <w:pStyle w:val="Akapitzlist"/>
              <w:numPr>
                <w:ilvl w:val="0"/>
                <w:numId w:val="30"/>
              </w:numPr>
              <w:spacing w:line="240" w:lineRule="auto"/>
              <w:rPr>
                <w:rFonts w:ascii="Times New Roman" w:eastAsia="Times New Roman" w:hAnsi="Times New Roman"/>
                <w:lang w:eastAsia="pl-PL"/>
              </w:rPr>
            </w:pPr>
            <w:r w:rsidRPr="00FA530D">
              <w:rPr>
                <w:rFonts w:ascii="Times New Roman" w:eastAsia="Times New Roman" w:hAnsi="Times New Roman"/>
                <w:lang w:eastAsia="pl-PL"/>
              </w:rPr>
              <w:t>Instytut Ekonomii Środowiska,</w:t>
            </w:r>
          </w:p>
          <w:p w14:paraId="6BFFE0A7" w14:textId="07F7F05E" w:rsidR="00796B0C" w:rsidRPr="00FA530D" w:rsidRDefault="00796B0C" w:rsidP="00FA530D">
            <w:pPr>
              <w:pStyle w:val="Akapitzlist"/>
              <w:numPr>
                <w:ilvl w:val="0"/>
                <w:numId w:val="30"/>
              </w:numPr>
              <w:spacing w:line="240" w:lineRule="auto"/>
              <w:rPr>
                <w:rFonts w:ascii="Times New Roman" w:eastAsia="Times New Roman" w:hAnsi="Times New Roman"/>
                <w:lang w:eastAsia="pl-PL"/>
              </w:rPr>
            </w:pPr>
            <w:r w:rsidRPr="00FA530D">
              <w:rPr>
                <w:rFonts w:ascii="Times New Roman" w:eastAsia="Times New Roman" w:hAnsi="Times New Roman"/>
                <w:lang w:eastAsia="pl-PL"/>
              </w:rPr>
              <w:t>Fundacja - Instytut na rzecz Ekorozwoju,</w:t>
            </w:r>
          </w:p>
          <w:p w14:paraId="525A58B5" w14:textId="4DCCEB03" w:rsidR="00796B0C" w:rsidRPr="00FA530D" w:rsidRDefault="00796B0C" w:rsidP="00FA530D">
            <w:pPr>
              <w:pStyle w:val="Akapitzlist"/>
              <w:numPr>
                <w:ilvl w:val="0"/>
                <w:numId w:val="30"/>
              </w:numPr>
              <w:spacing w:line="240" w:lineRule="auto"/>
              <w:rPr>
                <w:rFonts w:ascii="Times New Roman" w:eastAsia="Times New Roman" w:hAnsi="Times New Roman"/>
                <w:lang w:eastAsia="pl-PL"/>
              </w:rPr>
            </w:pPr>
            <w:r w:rsidRPr="00FA530D">
              <w:rPr>
                <w:rFonts w:ascii="Times New Roman" w:eastAsia="Times New Roman" w:hAnsi="Times New Roman"/>
                <w:lang w:eastAsia="pl-PL"/>
              </w:rPr>
              <w:t>Client Earth Prawnicy dla Ziemi,</w:t>
            </w:r>
          </w:p>
          <w:p w14:paraId="6F0A0346" w14:textId="4960BA04" w:rsidR="00796B0C" w:rsidRPr="00FA530D" w:rsidRDefault="00796B0C" w:rsidP="00FA530D">
            <w:pPr>
              <w:pStyle w:val="Akapitzlist"/>
              <w:numPr>
                <w:ilvl w:val="0"/>
                <w:numId w:val="30"/>
              </w:numPr>
              <w:spacing w:line="240" w:lineRule="auto"/>
              <w:rPr>
                <w:rFonts w:ascii="Times New Roman" w:eastAsia="Times New Roman" w:hAnsi="Times New Roman"/>
                <w:lang w:eastAsia="pl-PL"/>
              </w:rPr>
            </w:pPr>
            <w:r w:rsidRPr="00FA530D">
              <w:rPr>
                <w:rFonts w:ascii="Times New Roman" w:eastAsia="Times New Roman" w:hAnsi="Times New Roman"/>
                <w:lang w:eastAsia="pl-PL"/>
              </w:rPr>
              <w:t>Polskie Towarzystwo Przesyłu i Rozdziału Energii Elektrycznej (PTPiREE),</w:t>
            </w:r>
          </w:p>
          <w:p w14:paraId="6E2C875E" w14:textId="1ECD02D2" w:rsidR="00796B0C" w:rsidRPr="00FA530D" w:rsidRDefault="00796B0C" w:rsidP="00FA530D">
            <w:pPr>
              <w:pStyle w:val="Akapitzlist"/>
              <w:numPr>
                <w:ilvl w:val="0"/>
                <w:numId w:val="30"/>
              </w:numPr>
              <w:spacing w:line="240" w:lineRule="auto"/>
              <w:rPr>
                <w:rFonts w:ascii="Times New Roman" w:eastAsia="Times New Roman" w:hAnsi="Times New Roman"/>
                <w:lang w:eastAsia="pl-PL"/>
              </w:rPr>
            </w:pPr>
            <w:r w:rsidRPr="00FA530D">
              <w:rPr>
                <w:rFonts w:ascii="Times New Roman" w:eastAsia="Times New Roman" w:hAnsi="Times New Roman"/>
                <w:lang w:eastAsia="pl-PL"/>
              </w:rPr>
              <w:t>Towarzystwo Obrotu Energią (TOE),</w:t>
            </w:r>
          </w:p>
          <w:p w14:paraId="3D521390" w14:textId="14976D5F" w:rsidR="00796B0C" w:rsidRPr="00FA530D" w:rsidRDefault="00796B0C" w:rsidP="00FA530D">
            <w:pPr>
              <w:pStyle w:val="Akapitzlist"/>
              <w:numPr>
                <w:ilvl w:val="0"/>
                <w:numId w:val="30"/>
              </w:numPr>
              <w:spacing w:line="240" w:lineRule="auto"/>
              <w:rPr>
                <w:rFonts w:ascii="Times New Roman" w:eastAsia="Times New Roman" w:hAnsi="Times New Roman"/>
                <w:lang w:eastAsia="pl-PL"/>
              </w:rPr>
            </w:pPr>
            <w:r w:rsidRPr="00FA530D">
              <w:rPr>
                <w:rFonts w:ascii="Times New Roman" w:eastAsia="Times New Roman" w:hAnsi="Times New Roman"/>
                <w:lang w:eastAsia="pl-PL"/>
              </w:rPr>
              <w:t>Polska Izba Magazynów Energii (PIME),</w:t>
            </w:r>
          </w:p>
          <w:p w14:paraId="10C5633E" w14:textId="104B9760" w:rsidR="00796B0C" w:rsidRPr="00FA530D" w:rsidRDefault="00796B0C" w:rsidP="00FA530D">
            <w:pPr>
              <w:pStyle w:val="Akapitzlist"/>
              <w:numPr>
                <w:ilvl w:val="0"/>
                <w:numId w:val="30"/>
              </w:numPr>
              <w:spacing w:line="240" w:lineRule="auto"/>
              <w:rPr>
                <w:rFonts w:ascii="Times New Roman" w:eastAsia="Times New Roman" w:hAnsi="Times New Roman"/>
                <w:sz w:val="24"/>
                <w:szCs w:val="24"/>
                <w:lang w:eastAsia="pl-PL"/>
              </w:rPr>
            </w:pPr>
            <w:r w:rsidRPr="00FA530D">
              <w:rPr>
                <w:rFonts w:ascii="Times New Roman" w:eastAsia="Times New Roman" w:hAnsi="Times New Roman"/>
                <w:lang w:eastAsia="pl-PL"/>
              </w:rPr>
              <w:lastRenderedPageBreak/>
              <w:t>Ogólnopolskie Stowarzyszenie Dystrybutorów Niezależnych Energii Elektrycznej</w:t>
            </w:r>
            <w:r w:rsidRPr="00FA530D">
              <w:rPr>
                <w:rFonts w:ascii="Times New Roman" w:eastAsia="Times New Roman" w:hAnsi="Times New Roman"/>
                <w:sz w:val="24"/>
                <w:szCs w:val="24"/>
                <w:lang w:eastAsia="pl-PL"/>
              </w:rPr>
              <w:t>.</w:t>
            </w:r>
          </w:p>
          <w:p w14:paraId="0AB3CCD1" w14:textId="026A866F" w:rsidR="00603583" w:rsidRPr="00603583" w:rsidRDefault="00603583" w:rsidP="00796B0C">
            <w:pPr>
              <w:spacing w:line="240" w:lineRule="auto"/>
              <w:jc w:val="both"/>
              <w:rPr>
                <w:rFonts w:ascii="Times New Roman" w:hAnsi="Times New Roman"/>
                <w:color w:val="000000"/>
                <w:spacing w:val="-2"/>
              </w:rPr>
            </w:pPr>
            <w:r w:rsidRPr="00603583">
              <w:rPr>
                <w:rFonts w:ascii="Times New Roman" w:hAnsi="Times New Roman"/>
                <w:color w:val="000000"/>
                <w:spacing w:val="-2"/>
              </w:rPr>
              <w:t xml:space="preserve">Z uwagi na zakres projektu, który dotyczy  praw i interesów związków pracodawców oraz zadań związków zawodowych, projekt podlega opiniowaniu przez reprezentatywne organizacje pracodawców i związki zawodowe </w:t>
            </w:r>
          </w:p>
          <w:p w14:paraId="2EC512F1" w14:textId="0A6B949E" w:rsidR="00603583" w:rsidRPr="00603583" w:rsidRDefault="00603583" w:rsidP="00603583">
            <w:pPr>
              <w:spacing w:line="240" w:lineRule="auto"/>
              <w:jc w:val="both"/>
              <w:rPr>
                <w:rFonts w:ascii="Times New Roman" w:hAnsi="Times New Roman"/>
                <w:color w:val="000000"/>
                <w:spacing w:val="-2"/>
              </w:rPr>
            </w:pPr>
            <w:r w:rsidRPr="00603583">
              <w:rPr>
                <w:rFonts w:ascii="Times New Roman" w:hAnsi="Times New Roman"/>
                <w:color w:val="000000"/>
                <w:spacing w:val="-2"/>
              </w:rPr>
              <w:t xml:space="preserve">Projekt nie podlega opiniowaniu przez Komisję Wspólną Rządu i Samorządu Terytorialnego, gdyż nie dotyczy spraw związanych z samorządem terytorialnym, o których mowa w ustawie z dnia 6 maja 2005 r. o Komisji Wspólnej Rządu i Samorządu Terytorialnego oraz o przedstawicielach Rzeczypospolitej Polskiej w Komitecie Regionów Unii Europejskiej. </w:t>
            </w:r>
          </w:p>
          <w:p w14:paraId="5974770C" w14:textId="1BCF8AE6" w:rsidR="00603583" w:rsidRPr="00603583" w:rsidRDefault="00603583" w:rsidP="00603583">
            <w:pPr>
              <w:spacing w:line="240" w:lineRule="auto"/>
              <w:jc w:val="both"/>
              <w:rPr>
                <w:rFonts w:ascii="Times New Roman" w:hAnsi="Times New Roman"/>
                <w:color w:val="000000"/>
                <w:spacing w:val="-2"/>
              </w:rPr>
            </w:pPr>
            <w:r w:rsidRPr="00603583">
              <w:rPr>
                <w:rFonts w:ascii="Times New Roman" w:hAnsi="Times New Roman"/>
                <w:color w:val="000000"/>
                <w:spacing w:val="-2"/>
              </w:rPr>
              <w:t>Projekt dotyczy spraw, o których mowa w art. 1 ustawy z dnia 24 lipca 2015 r. o Radzie Dialogu Społecznego i innych instytucji dialogu społecznego, wobec czego wymaga zaopiniowania przez RDS.</w:t>
            </w:r>
          </w:p>
          <w:p w14:paraId="6407FCD8" w14:textId="77777777" w:rsidR="00603583" w:rsidRPr="00603583" w:rsidRDefault="00603583" w:rsidP="00603583">
            <w:pPr>
              <w:spacing w:line="240" w:lineRule="auto"/>
              <w:jc w:val="both"/>
              <w:rPr>
                <w:rFonts w:ascii="Times New Roman" w:hAnsi="Times New Roman"/>
                <w:color w:val="000000"/>
                <w:spacing w:val="-2"/>
              </w:rPr>
            </w:pPr>
            <w:r w:rsidRPr="00603583">
              <w:rPr>
                <w:rFonts w:ascii="Times New Roman" w:hAnsi="Times New Roman"/>
                <w:color w:val="000000"/>
                <w:spacing w:val="-2"/>
              </w:rPr>
              <w:t>Projekt rozporządzenia nie wymaga przedłożenia instytucjom i organom Unii Europejskiej, w tym Europejskiemu Bankowi Centralnemu, w celu uzyskania opinii, dokonania powiadomienia, konsultacji albo uzgodnień, o których mowa w § 39 uchwały nr 190 Rady Ministrów z dnia 29 października 2013 r. – Regulamin pracy Rady Ministrów.</w:t>
            </w:r>
          </w:p>
          <w:p w14:paraId="7645FF63" w14:textId="217BE37B" w:rsidR="00603583" w:rsidRDefault="00603583" w:rsidP="00603583">
            <w:pPr>
              <w:spacing w:line="240" w:lineRule="auto"/>
              <w:jc w:val="both"/>
              <w:rPr>
                <w:rFonts w:ascii="Times New Roman" w:hAnsi="Times New Roman"/>
                <w:color w:val="000000"/>
                <w:spacing w:val="-2"/>
              </w:rPr>
            </w:pPr>
            <w:r w:rsidRPr="00603583">
              <w:rPr>
                <w:rFonts w:ascii="Times New Roman" w:hAnsi="Times New Roman"/>
                <w:color w:val="000000"/>
                <w:spacing w:val="-2"/>
              </w:rPr>
              <w:t>Wyniki opiniowania i konsultacji publicznych zostaną omówione w raporcie z opiniowania i konsultacji publicznych udostępnionym na stronie Rządowego Centrum Legislacji, w zakładce Rządowy Proces Legislacyjny.</w:t>
            </w:r>
          </w:p>
          <w:p w14:paraId="07532401" w14:textId="77777777" w:rsidR="00F81A04" w:rsidRPr="00B37C80" w:rsidRDefault="00F81A04" w:rsidP="00674691">
            <w:pPr>
              <w:spacing w:line="240" w:lineRule="auto"/>
              <w:jc w:val="both"/>
              <w:rPr>
                <w:rFonts w:ascii="Times New Roman" w:hAnsi="Times New Roman"/>
                <w:color w:val="000000"/>
                <w:spacing w:val="-2"/>
              </w:rPr>
            </w:pPr>
          </w:p>
        </w:tc>
      </w:tr>
      <w:tr w:rsidR="006A701A" w:rsidRPr="008B4FE6" w14:paraId="74D830AC" w14:textId="77777777" w:rsidTr="00704C3A">
        <w:trPr>
          <w:trHeight w:val="363"/>
        </w:trPr>
        <w:tc>
          <w:tcPr>
            <w:tcW w:w="11199" w:type="dxa"/>
            <w:gridSpan w:val="29"/>
            <w:shd w:val="clear" w:color="auto" w:fill="99CCFF"/>
            <w:vAlign w:val="center"/>
          </w:tcPr>
          <w:p w14:paraId="57AF22D5" w14:textId="77777777" w:rsidR="006A701A" w:rsidRPr="008B4FE6" w:rsidRDefault="006A701A" w:rsidP="0072636A">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 xml:space="preserve"> Wpływ na sektor finansów publicznych</w:t>
            </w:r>
          </w:p>
        </w:tc>
      </w:tr>
      <w:tr w:rsidR="00260F33" w:rsidRPr="008B4FE6" w14:paraId="526976CF" w14:textId="77777777" w:rsidTr="00704C3A">
        <w:trPr>
          <w:trHeight w:val="142"/>
        </w:trPr>
        <w:tc>
          <w:tcPr>
            <w:tcW w:w="3129" w:type="dxa"/>
            <w:gridSpan w:val="4"/>
            <w:vMerge w:val="restart"/>
            <w:shd w:val="clear" w:color="auto" w:fill="FFFFFF"/>
          </w:tcPr>
          <w:p w14:paraId="24D03AE2" w14:textId="07F69B4F" w:rsidR="00260F33" w:rsidRPr="00C53F26" w:rsidRDefault="00821717" w:rsidP="00821717">
            <w:pPr>
              <w:spacing w:before="40" w:after="40"/>
              <w:rPr>
                <w:rFonts w:ascii="Times New Roman" w:hAnsi="Times New Roman"/>
                <w:i/>
                <w:color w:val="000000"/>
                <w:sz w:val="21"/>
                <w:szCs w:val="21"/>
              </w:rPr>
            </w:pPr>
            <w:r w:rsidRPr="006F78C4">
              <w:rPr>
                <w:rFonts w:ascii="Times New Roman" w:hAnsi="Times New Roman"/>
                <w:color w:val="000000"/>
                <w:sz w:val="21"/>
                <w:szCs w:val="21"/>
              </w:rPr>
              <w:t xml:space="preserve">(ceny </w:t>
            </w:r>
            <w:r w:rsidR="00CF5F4F">
              <w:rPr>
                <w:rFonts w:ascii="Times New Roman" w:hAnsi="Times New Roman"/>
                <w:color w:val="000000"/>
                <w:sz w:val="21"/>
                <w:szCs w:val="21"/>
              </w:rPr>
              <w:t>stałe</w:t>
            </w:r>
            <w:r w:rsidR="00CA5C4E">
              <w:rPr>
                <w:rFonts w:ascii="Times New Roman" w:hAnsi="Times New Roman"/>
                <w:color w:val="000000"/>
                <w:sz w:val="21"/>
                <w:szCs w:val="21"/>
              </w:rPr>
              <w:t xml:space="preserve"> z </w:t>
            </w:r>
            <w:r w:rsidR="008502D1">
              <w:rPr>
                <w:rFonts w:ascii="Times New Roman" w:hAnsi="Times New Roman"/>
                <w:color w:val="000000"/>
                <w:sz w:val="21"/>
                <w:szCs w:val="21"/>
              </w:rPr>
              <w:t>2020</w:t>
            </w:r>
            <w:r w:rsidR="008502D1" w:rsidRPr="006F78C4">
              <w:rPr>
                <w:rFonts w:ascii="Times New Roman" w:hAnsi="Times New Roman"/>
                <w:color w:val="000000"/>
                <w:sz w:val="21"/>
                <w:szCs w:val="21"/>
              </w:rPr>
              <w:t xml:space="preserve"> </w:t>
            </w:r>
            <w:r w:rsidRPr="006F78C4">
              <w:rPr>
                <w:rFonts w:ascii="Times New Roman" w:hAnsi="Times New Roman"/>
                <w:color w:val="000000"/>
                <w:sz w:val="21"/>
                <w:szCs w:val="21"/>
              </w:rPr>
              <w:t>r.)</w:t>
            </w:r>
          </w:p>
        </w:tc>
        <w:tc>
          <w:tcPr>
            <w:tcW w:w="8070" w:type="dxa"/>
            <w:gridSpan w:val="25"/>
            <w:shd w:val="clear" w:color="auto" w:fill="FFFFFF"/>
          </w:tcPr>
          <w:p w14:paraId="636FC871" w14:textId="77777777" w:rsidR="00260F33" w:rsidRPr="00C53F26" w:rsidRDefault="00260F33" w:rsidP="00260F33">
            <w:pPr>
              <w:spacing w:before="40" w:after="40"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sidR="00A056CB">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57668E" w:rsidRPr="008B4FE6" w14:paraId="56574DD1" w14:textId="77777777" w:rsidTr="00717473">
        <w:trPr>
          <w:trHeight w:val="142"/>
        </w:trPr>
        <w:tc>
          <w:tcPr>
            <w:tcW w:w="3129" w:type="dxa"/>
            <w:gridSpan w:val="4"/>
            <w:vMerge/>
            <w:shd w:val="clear" w:color="auto" w:fill="FFFFFF"/>
          </w:tcPr>
          <w:p w14:paraId="32FFC249" w14:textId="77777777" w:rsidR="0057668E" w:rsidRPr="00C53F26" w:rsidRDefault="0057668E" w:rsidP="00A52ADB">
            <w:pPr>
              <w:spacing w:before="40" w:after="40" w:line="240" w:lineRule="auto"/>
              <w:rPr>
                <w:rFonts w:ascii="Times New Roman" w:hAnsi="Times New Roman"/>
                <w:i/>
                <w:color w:val="000000"/>
                <w:sz w:val="21"/>
                <w:szCs w:val="21"/>
              </w:rPr>
            </w:pPr>
          </w:p>
        </w:tc>
        <w:tc>
          <w:tcPr>
            <w:tcW w:w="591" w:type="dxa"/>
            <w:gridSpan w:val="2"/>
            <w:shd w:val="clear" w:color="auto" w:fill="FFFFFF"/>
          </w:tcPr>
          <w:p w14:paraId="18CD3141"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0</w:t>
            </w:r>
          </w:p>
        </w:tc>
        <w:tc>
          <w:tcPr>
            <w:tcW w:w="592" w:type="dxa"/>
            <w:gridSpan w:val="2"/>
            <w:shd w:val="clear" w:color="auto" w:fill="FFFFFF"/>
          </w:tcPr>
          <w:p w14:paraId="12E75013"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w:t>
            </w:r>
          </w:p>
        </w:tc>
        <w:tc>
          <w:tcPr>
            <w:tcW w:w="592" w:type="dxa"/>
            <w:shd w:val="clear" w:color="auto" w:fill="FFFFFF"/>
          </w:tcPr>
          <w:p w14:paraId="4EF7AAFD"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2</w:t>
            </w:r>
          </w:p>
        </w:tc>
        <w:tc>
          <w:tcPr>
            <w:tcW w:w="592" w:type="dxa"/>
            <w:gridSpan w:val="4"/>
            <w:shd w:val="clear" w:color="auto" w:fill="FFFFFF"/>
          </w:tcPr>
          <w:p w14:paraId="0E678DB2"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3</w:t>
            </w:r>
          </w:p>
        </w:tc>
        <w:tc>
          <w:tcPr>
            <w:tcW w:w="592" w:type="dxa"/>
            <w:gridSpan w:val="2"/>
            <w:shd w:val="clear" w:color="auto" w:fill="FFFFFF"/>
          </w:tcPr>
          <w:p w14:paraId="35B39AB7"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4</w:t>
            </w:r>
          </w:p>
        </w:tc>
        <w:tc>
          <w:tcPr>
            <w:tcW w:w="592" w:type="dxa"/>
            <w:gridSpan w:val="2"/>
            <w:shd w:val="clear" w:color="auto" w:fill="FFFFFF"/>
          </w:tcPr>
          <w:p w14:paraId="46432909"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5</w:t>
            </w:r>
          </w:p>
        </w:tc>
        <w:tc>
          <w:tcPr>
            <w:tcW w:w="592" w:type="dxa"/>
            <w:gridSpan w:val="3"/>
            <w:shd w:val="clear" w:color="auto" w:fill="FFFFFF"/>
          </w:tcPr>
          <w:p w14:paraId="198A0DD9"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6</w:t>
            </w:r>
          </w:p>
        </w:tc>
        <w:tc>
          <w:tcPr>
            <w:tcW w:w="592" w:type="dxa"/>
            <w:shd w:val="clear" w:color="auto" w:fill="FFFFFF"/>
          </w:tcPr>
          <w:p w14:paraId="6041ED8F"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7</w:t>
            </w:r>
          </w:p>
        </w:tc>
        <w:tc>
          <w:tcPr>
            <w:tcW w:w="592" w:type="dxa"/>
            <w:gridSpan w:val="3"/>
            <w:shd w:val="clear" w:color="auto" w:fill="FFFFFF"/>
          </w:tcPr>
          <w:p w14:paraId="5C437BD6"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8</w:t>
            </w:r>
          </w:p>
        </w:tc>
        <w:tc>
          <w:tcPr>
            <w:tcW w:w="592" w:type="dxa"/>
            <w:gridSpan w:val="2"/>
            <w:shd w:val="clear" w:color="auto" w:fill="FFFFFF"/>
          </w:tcPr>
          <w:p w14:paraId="23F2A85F"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9</w:t>
            </w:r>
          </w:p>
        </w:tc>
        <w:tc>
          <w:tcPr>
            <w:tcW w:w="592" w:type="dxa"/>
            <w:shd w:val="clear" w:color="auto" w:fill="FFFFFF"/>
          </w:tcPr>
          <w:p w14:paraId="2F320002"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10</w:t>
            </w:r>
          </w:p>
        </w:tc>
        <w:tc>
          <w:tcPr>
            <w:tcW w:w="1559" w:type="dxa"/>
            <w:gridSpan w:val="2"/>
            <w:shd w:val="clear" w:color="auto" w:fill="FFFFFF"/>
          </w:tcPr>
          <w:p w14:paraId="2C3708BF" w14:textId="77777777" w:rsidR="0057668E" w:rsidRPr="00C53F26" w:rsidRDefault="0057668E" w:rsidP="00A52ADB">
            <w:pPr>
              <w:spacing w:before="40" w:after="40" w:line="240" w:lineRule="auto"/>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sidR="00CF5F4F">
              <w:rPr>
                <w:rFonts w:ascii="Times New Roman" w:hAnsi="Times New Roman"/>
                <w:i/>
                <w:color w:val="000000"/>
                <w:spacing w:val="-2"/>
                <w:sz w:val="21"/>
                <w:szCs w:val="21"/>
              </w:rPr>
              <w:t xml:space="preserve"> (0-10)</w:t>
            </w:r>
          </w:p>
        </w:tc>
      </w:tr>
      <w:tr w:rsidR="00B86850" w:rsidRPr="008B4FE6" w14:paraId="2C6513A1" w14:textId="77777777" w:rsidTr="00717473">
        <w:trPr>
          <w:trHeight w:val="321"/>
        </w:trPr>
        <w:tc>
          <w:tcPr>
            <w:tcW w:w="3129" w:type="dxa"/>
            <w:gridSpan w:val="4"/>
            <w:shd w:val="clear" w:color="auto" w:fill="FFFFFF"/>
            <w:vAlign w:val="center"/>
          </w:tcPr>
          <w:p w14:paraId="6E51413C" w14:textId="77777777" w:rsidR="00B86850" w:rsidRPr="00C53F26" w:rsidRDefault="00B86850" w:rsidP="00B86850">
            <w:pPr>
              <w:spacing w:line="240" w:lineRule="auto"/>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591" w:type="dxa"/>
            <w:gridSpan w:val="2"/>
            <w:shd w:val="clear" w:color="auto" w:fill="FFFFFF"/>
          </w:tcPr>
          <w:p w14:paraId="3E4093BB" w14:textId="77777777" w:rsidR="00B86850" w:rsidRPr="00B37C80" w:rsidRDefault="00B86850" w:rsidP="00B86850">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92" w:type="dxa"/>
            <w:gridSpan w:val="2"/>
            <w:shd w:val="clear" w:color="auto" w:fill="FFFFFF"/>
          </w:tcPr>
          <w:p w14:paraId="4E704D5E" w14:textId="77777777" w:rsidR="00B86850" w:rsidRDefault="00B86850" w:rsidP="00B86850">
            <w:pPr>
              <w:jc w:val="center"/>
            </w:pPr>
            <w:r w:rsidRPr="00641FDA">
              <w:t>0</w:t>
            </w:r>
          </w:p>
        </w:tc>
        <w:tc>
          <w:tcPr>
            <w:tcW w:w="592" w:type="dxa"/>
            <w:shd w:val="clear" w:color="auto" w:fill="FFFFFF"/>
          </w:tcPr>
          <w:p w14:paraId="4554E039" w14:textId="77777777" w:rsidR="00B86850" w:rsidRDefault="00B86850" w:rsidP="00B86850">
            <w:pPr>
              <w:jc w:val="center"/>
            </w:pPr>
            <w:r w:rsidRPr="00641FDA">
              <w:t>0</w:t>
            </w:r>
          </w:p>
        </w:tc>
        <w:tc>
          <w:tcPr>
            <w:tcW w:w="592" w:type="dxa"/>
            <w:gridSpan w:val="4"/>
            <w:shd w:val="clear" w:color="auto" w:fill="FFFFFF"/>
          </w:tcPr>
          <w:p w14:paraId="642AB2B6" w14:textId="77777777" w:rsidR="00B86850" w:rsidRDefault="00B86850" w:rsidP="00B86850">
            <w:pPr>
              <w:jc w:val="center"/>
            </w:pPr>
            <w:r w:rsidRPr="00641FDA">
              <w:t>0</w:t>
            </w:r>
          </w:p>
        </w:tc>
        <w:tc>
          <w:tcPr>
            <w:tcW w:w="592" w:type="dxa"/>
            <w:gridSpan w:val="2"/>
            <w:shd w:val="clear" w:color="auto" w:fill="FFFFFF"/>
          </w:tcPr>
          <w:p w14:paraId="5516DF4F" w14:textId="77777777" w:rsidR="00B86850" w:rsidRDefault="00B86850" w:rsidP="00B86850">
            <w:pPr>
              <w:jc w:val="center"/>
            </w:pPr>
            <w:r w:rsidRPr="00641FDA">
              <w:t>0</w:t>
            </w:r>
          </w:p>
        </w:tc>
        <w:tc>
          <w:tcPr>
            <w:tcW w:w="592" w:type="dxa"/>
            <w:gridSpan w:val="2"/>
            <w:shd w:val="clear" w:color="auto" w:fill="FFFFFF"/>
          </w:tcPr>
          <w:p w14:paraId="6981C8D1" w14:textId="77777777" w:rsidR="00B86850" w:rsidRDefault="00B86850" w:rsidP="00B86850">
            <w:pPr>
              <w:jc w:val="center"/>
            </w:pPr>
            <w:r w:rsidRPr="00641FDA">
              <w:t>0</w:t>
            </w:r>
          </w:p>
        </w:tc>
        <w:tc>
          <w:tcPr>
            <w:tcW w:w="592" w:type="dxa"/>
            <w:gridSpan w:val="3"/>
            <w:shd w:val="clear" w:color="auto" w:fill="FFFFFF"/>
          </w:tcPr>
          <w:p w14:paraId="3301E214" w14:textId="77777777" w:rsidR="00B86850" w:rsidRDefault="00B86850" w:rsidP="00B86850">
            <w:pPr>
              <w:jc w:val="center"/>
            </w:pPr>
            <w:r w:rsidRPr="00641FDA">
              <w:t>0</w:t>
            </w:r>
          </w:p>
        </w:tc>
        <w:tc>
          <w:tcPr>
            <w:tcW w:w="592" w:type="dxa"/>
            <w:shd w:val="clear" w:color="auto" w:fill="FFFFFF"/>
          </w:tcPr>
          <w:p w14:paraId="6A4ADF2C" w14:textId="77777777" w:rsidR="00B86850" w:rsidRDefault="00B86850" w:rsidP="00B86850">
            <w:pPr>
              <w:jc w:val="center"/>
            </w:pPr>
            <w:r w:rsidRPr="00641FDA">
              <w:t>0</w:t>
            </w:r>
          </w:p>
        </w:tc>
        <w:tc>
          <w:tcPr>
            <w:tcW w:w="592" w:type="dxa"/>
            <w:gridSpan w:val="3"/>
            <w:shd w:val="clear" w:color="auto" w:fill="FFFFFF"/>
          </w:tcPr>
          <w:p w14:paraId="556086E1" w14:textId="77777777" w:rsidR="00B86850" w:rsidRDefault="00B86850" w:rsidP="00B86850">
            <w:pPr>
              <w:jc w:val="center"/>
            </w:pPr>
            <w:r w:rsidRPr="00641FDA">
              <w:t>0</w:t>
            </w:r>
          </w:p>
        </w:tc>
        <w:tc>
          <w:tcPr>
            <w:tcW w:w="592" w:type="dxa"/>
            <w:gridSpan w:val="2"/>
            <w:shd w:val="clear" w:color="auto" w:fill="FFFFFF"/>
          </w:tcPr>
          <w:p w14:paraId="73235527" w14:textId="77777777" w:rsidR="00B86850" w:rsidRDefault="00B86850" w:rsidP="00B86850">
            <w:pPr>
              <w:jc w:val="center"/>
            </w:pPr>
            <w:r w:rsidRPr="00641FDA">
              <w:t>0</w:t>
            </w:r>
          </w:p>
        </w:tc>
        <w:tc>
          <w:tcPr>
            <w:tcW w:w="592" w:type="dxa"/>
            <w:shd w:val="clear" w:color="auto" w:fill="FFFFFF"/>
          </w:tcPr>
          <w:p w14:paraId="2D86BD31" w14:textId="77777777" w:rsidR="00B86850" w:rsidRDefault="00B86850" w:rsidP="00B86850">
            <w:pPr>
              <w:jc w:val="center"/>
            </w:pPr>
            <w:r w:rsidRPr="00641FDA">
              <w:t>0</w:t>
            </w:r>
          </w:p>
        </w:tc>
        <w:tc>
          <w:tcPr>
            <w:tcW w:w="1559" w:type="dxa"/>
            <w:gridSpan w:val="2"/>
            <w:shd w:val="clear" w:color="auto" w:fill="FFFFFF"/>
          </w:tcPr>
          <w:p w14:paraId="2514DCBD" w14:textId="77777777" w:rsidR="00B86850" w:rsidRDefault="00B86850" w:rsidP="00B86850">
            <w:pPr>
              <w:jc w:val="center"/>
            </w:pPr>
            <w:r w:rsidRPr="00641FDA">
              <w:t>0</w:t>
            </w:r>
          </w:p>
        </w:tc>
      </w:tr>
      <w:tr w:rsidR="00B86850" w:rsidRPr="008B4FE6" w14:paraId="6F5BE83D" w14:textId="77777777" w:rsidTr="00717473">
        <w:trPr>
          <w:trHeight w:val="321"/>
        </w:trPr>
        <w:tc>
          <w:tcPr>
            <w:tcW w:w="3129" w:type="dxa"/>
            <w:gridSpan w:val="4"/>
            <w:shd w:val="clear" w:color="auto" w:fill="FFFFFF"/>
            <w:vAlign w:val="center"/>
          </w:tcPr>
          <w:p w14:paraId="3CAEE094" w14:textId="77777777" w:rsidR="00B86850" w:rsidRPr="00C53F26" w:rsidRDefault="00B86850" w:rsidP="00B86850">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91" w:type="dxa"/>
            <w:gridSpan w:val="2"/>
            <w:shd w:val="clear" w:color="auto" w:fill="FFFFFF"/>
          </w:tcPr>
          <w:p w14:paraId="1BEA667C" w14:textId="77777777" w:rsidR="00B86850" w:rsidRDefault="00B86850" w:rsidP="00B86850">
            <w:pPr>
              <w:jc w:val="center"/>
            </w:pPr>
            <w:r w:rsidRPr="00EF68FC">
              <w:t>0</w:t>
            </w:r>
          </w:p>
        </w:tc>
        <w:tc>
          <w:tcPr>
            <w:tcW w:w="592" w:type="dxa"/>
            <w:gridSpan w:val="2"/>
            <w:shd w:val="clear" w:color="auto" w:fill="FFFFFF"/>
          </w:tcPr>
          <w:p w14:paraId="0A6A58ED" w14:textId="77777777" w:rsidR="00B86850" w:rsidRDefault="00B86850" w:rsidP="00B86850">
            <w:pPr>
              <w:jc w:val="center"/>
            </w:pPr>
            <w:r w:rsidRPr="00641FDA">
              <w:t>0</w:t>
            </w:r>
          </w:p>
        </w:tc>
        <w:tc>
          <w:tcPr>
            <w:tcW w:w="592" w:type="dxa"/>
            <w:shd w:val="clear" w:color="auto" w:fill="FFFFFF"/>
          </w:tcPr>
          <w:p w14:paraId="2CE22037" w14:textId="77777777" w:rsidR="00B86850" w:rsidRDefault="00B86850" w:rsidP="00B86850">
            <w:pPr>
              <w:jc w:val="center"/>
            </w:pPr>
            <w:r w:rsidRPr="00641FDA">
              <w:t>0</w:t>
            </w:r>
          </w:p>
        </w:tc>
        <w:tc>
          <w:tcPr>
            <w:tcW w:w="592" w:type="dxa"/>
            <w:gridSpan w:val="4"/>
            <w:shd w:val="clear" w:color="auto" w:fill="FFFFFF"/>
          </w:tcPr>
          <w:p w14:paraId="79FAA695" w14:textId="77777777" w:rsidR="00B86850" w:rsidRDefault="00B86850" w:rsidP="00B86850">
            <w:pPr>
              <w:jc w:val="center"/>
            </w:pPr>
            <w:r w:rsidRPr="00641FDA">
              <w:t>0</w:t>
            </w:r>
          </w:p>
        </w:tc>
        <w:tc>
          <w:tcPr>
            <w:tcW w:w="592" w:type="dxa"/>
            <w:gridSpan w:val="2"/>
            <w:shd w:val="clear" w:color="auto" w:fill="FFFFFF"/>
          </w:tcPr>
          <w:p w14:paraId="1FD5A2B5" w14:textId="77777777" w:rsidR="00B86850" w:rsidRDefault="00B86850" w:rsidP="00B86850">
            <w:pPr>
              <w:jc w:val="center"/>
            </w:pPr>
            <w:r w:rsidRPr="00641FDA">
              <w:t>0</w:t>
            </w:r>
          </w:p>
        </w:tc>
        <w:tc>
          <w:tcPr>
            <w:tcW w:w="592" w:type="dxa"/>
            <w:gridSpan w:val="2"/>
            <w:shd w:val="clear" w:color="auto" w:fill="FFFFFF"/>
          </w:tcPr>
          <w:p w14:paraId="61CFC7E7" w14:textId="77777777" w:rsidR="00B86850" w:rsidRDefault="00B86850" w:rsidP="00B86850">
            <w:pPr>
              <w:jc w:val="center"/>
            </w:pPr>
            <w:r w:rsidRPr="00641FDA">
              <w:t>0</w:t>
            </w:r>
          </w:p>
        </w:tc>
        <w:tc>
          <w:tcPr>
            <w:tcW w:w="592" w:type="dxa"/>
            <w:gridSpan w:val="3"/>
            <w:shd w:val="clear" w:color="auto" w:fill="FFFFFF"/>
          </w:tcPr>
          <w:p w14:paraId="7B34D410" w14:textId="77777777" w:rsidR="00B86850" w:rsidRDefault="00B86850" w:rsidP="00B86850">
            <w:pPr>
              <w:jc w:val="center"/>
            </w:pPr>
            <w:r w:rsidRPr="00641FDA">
              <w:t>0</w:t>
            </w:r>
          </w:p>
        </w:tc>
        <w:tc>
          <w:tcPr>
            <w:tcW w:w="592" w:type="dxa"/>
            <w:shd w:val="clear" w:color="auto" w:fill="FFFFFF"/>
          </w:tcPr>
          <w:p w14:paraId="34B86046" w14:textId="77777777" w:rsidR="00B86850" w:rsidRDefault="00B86850" w:rsidP="00B86850">
            <w:pPr>
              <w:jc w:val="center"/>
            </w:pPr>
            <w:r w:rsidRPr="00641FDA">
              <w:t>0</w:t>
            </w:r>
          </w:p>
        </w:tc>
        <w:tc>
          <w:tcPr>
            <w:tcW w:w="592" w:type="dxa"/>
            <w:gridSpan w:val="3"/>
            <w:shd w:val="clear" w:color="auto" w:fill="FFFFFF"/>
          </w:tcPr>
          <w:p w14:paraId="20523E04" w14:textId="77777777" w:rsidR="00B86850" w:rsidRDefault="00B86850" w:rsidP="00B86850">
            <w:pPr>
              <w:jc w:val="center"/>
            </w:pPr>
            <w:r w:rsidRPr="00641FDA">
              <w:t>0</w:t>
            </w:r>
          </w:p>
        </w:tc>
        <w:tc>
          <w:tcPr>
            <w:tcW w:w="592" w:type="dxa"/>
            <w:gridSpan w:val="2"/>
            <w:shd w:val="clear" w:color="auto" w:fill="FFFFFF"/>
          </w:tcPr>
          <w:p w14:paraId="0E21D81A" w14:textId="77777777" w:rsidR="00B86850" w:rsidRDefault="00B86850" w:rsidP="00B86850">
            <w:pPr>
              <w:jc w:val="center"/>
            </w:pPr>
            <w:r w:rsidRPr="00641FDA">
              <w:t>0</w:t>
            </w:r>
          </w:p>
        </w:tc>
        <w:tc>
          <w:tcPr>
            <w:tcW w:w="592" w:type="dxa"/>
            <w:shd w:val="clear" w:color="auto" w:fill="FFFFFF"/>
          </w:tcPr>
          <w:p w14:paraId="436C1D36" w14:textId="77777777" w:rsidR="00B86850" w:rsidRDefault="00B86850" w:rsidP="00B86850">
            <w:pPr>
              <w:jc w:val="center"/>
            </w:pPr>
            <w:r w:rsidRPr="00641FDA">
              <w:t>0</w:t>
            </w:r>
          </w:p>
        </w:tc>
        <w:tc>
          <w:tcPr>
            <w:tcW w:w="1559" w:type="dxa"/>
            <w:gridSpan w:val="2"/>
            <w:shd w:val="clear" w:color="auto" w:fill="FFFFFF"/>
          </w:tcPr>
          <w:p w14:paraId="25A96A33" w14:textId="77777777" w:rsidR="00B86850" w:rsidRDefault="00B86850" w:rsidP="00B86850">
            <w:pPr>
              <w:jc w:val="center"/>
            </w:pPr>
            <w:r w:rsidRPr="00641FDA">
              <w:t>0</w:t>
            </w:r>
          </w:p>
        </w:tc>
      </w:tr>
      <w:tr w:rsidR="00B86850" w:rsidRPr="008B4FE6" w14:paraId="61535FD0" w14:textId="77777777" w:rsidTr="00717473">
        <w:trPr>
          <w:trHeight w:val="344"/>
        </w:trPr>
        <w:tc>
          <w:tcPr>
            <w:tcW w:w="3129" w:type="dxa"/>
            <w:gridSpan w:val="4"/>
            <w:shd w:val="clear" w:color="auto" w:fill="FFFFFF"/>
            <w:vAlign w:val="center"/>
          </w:tcPr>
          <w:p w14:paraId="33E95177" w14:textId="77777777" w:rsidR="00B86850" w:rsidRPr="00C53F26" w:rsidRDefault="00B86850" w:rsidP="00B86850">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91" w:type="dxa"/>
            <w:gridSpan w:val="2"/>
            <w:shd w:val="clear" w:color="auto" w:fill="FFFFFF"/>
          </w:tcPr>
          <w:p w14:paraId="18E70BE3" w14:textId="77777777" w:rsidR="00B86850" w:rsidRDefault="00B86850" w:rsidP="00B86850">
            <w:pPr>
              <w:jc w:val="center"/>
            </w:pPr>
            <w:r w:rsidRPr="00EF68FC">
              <w:t>0</w:t>
            </w:r>
          </w:p>
        </w:tc>
        <w:tc>
          <w:tcPr>
            <w:tcW w:w="592" w:type="dxa"/>
            <w:gridSpan w:val="2"/>
            <w:shd w:val="clear" w:color="auto" w:fill="FFFFFF"/>
          </w:tcPr>
          <w:p w14:paraId="72BFCC24" w14:textId="77777777" w:rsidR="00B86850" w:rsidRDefault="00B86850" w:rsidP="00B86850">
            <w:pPr>
              <w:jc w:val="center"/>
            </w:pPr>
            <w:r w:rsidRPr="00641FDA">
              <w:t>0</w:t>
            </w:r>
          </w:p>
        </w:tc>
        <w:tc>
          <w:tcPr>
            <w:tcW w:w="592" w:type="dxa"/>
            <w:shd w:val="clear" w:color="auto" w:fill="FFFFFF"/>
          </w:tcPr>
          <w:p w14:paraId="430788A0" w14:textId="77777777" w:rsidR="00B86850" w:rsidRDefault="00B86850" w:rsidP="00B86850">
            <w:pPr>
              <w:jc w:val="center"/>
            </w:pPr>
            <w:r w:rsidRPr="00641FDA">
              <w:t>0</w:t>
            </w:r>
          </w:p>
        </w:tc>
        <w:tc>
          <w:tcPr>
            <w:tcW w:w="592" w:type="dxa"/>
            <w:gridSpan w:val="4"/>
            <w:shd w:val="clear" w:color="auto" w:fill="FFFFFF"/>
          </w:tcPr>
          <w:p w14:paraId="13112C3B" w14:textId="77777777" w:rsidR="00B86850" w:rsidRDefault="00B86850" w:rsidP="00B86850">
            <w:pPr>
              <w:jc w:val="center"/>
            </w:pPr>
            <w:r w:rsidRPr="00641FDA">
              <w:t>0</w:t>
            </w:r>
          </w:p>
        </w:tc>
        <w:tc>
          <w:tcPr>
            <w:tcW w:w="592" w:type="dxa"/>
            <w:gridSpan w:val="2"/>
            <w:shd w:val="clear" w:color="auto" w:fill="FFFFFF"/>
          </w:tcPr>
          <w:p w14:paraId="14DA9F90" w14:textId="77777777" w:rsidR="00B86850" w:rsidRDefault="00B86850" w:rsidP="00B86850">
            <w:pPr>
              <w:jc w:val="center"/>
            </w:pPr>
            <w:r w:rsidRPr="00641FDA">
              <w:t>0</w:t>
            </w:r>
          </w:p>
        </w:tc>
        <w:tc>
          <w:tcPr>
            <w:tcW w:w="592" w:type="dxa"/>
            <w:gridSpan w:val="2"/>
            <w:shd w:val="clear" w:color="auto" w:fill="FFFFFF"/>
          </w:tcPr>
          <w:p w14:paraId="22281FC5" w14:textId="77777777" w:rsidR="00B86850" w:rsidRDefault="00B86850" w:rsidP="00B86850">
            <w:pPr>
              <w:jc w:val="center"/>
            </w:pPr>
            <w:r w:rsidRPr="00641FDA">
              <w:t>0</w:t>
            </w:r>
          </w:p>
        </w:tc>
        <w:tc>
          <w:tcPr>
            <w:tcW w:w="592" w:type="dxa"/>
            <w:gridSpan w:val="3"/>
            <w:shd w:val="clear" w:color="auto" w:fill="FFFFFF"/>
          </w:tcPr>
          <w:p w14:paraId="785794D7" w14:textId="77777777" w:rsidR="00B86850" w:rsidRDefault="00B86850" w:rsidP="00B86850">
            <w:pPr>
              <w:jc w:val="center"/>
            </w:pPr>
            <w:r w:rsidRPr="00641FDA">
              <w:t>0</w:t>
            </w:r>
          </w:p>
        </w:tc>
        <w:tc>
          <w:tcPr>
            <w:tcW w:w="592" w:type="dxa"/>
            <w:shd w:val="clear" w:color="auto" w:fill="FFFFFF"/>
          </w:tcPr>
          <w:p w14:paraId="52F5F8DC" w14:textId="77777777" w:rsidR="00B86850" w:rsidRDefault="00B86850" w:rsidP="00B86850">
            <w:pPr>
              <w:jc w:val="center"/>
            </w:pPr>
            <w:r w:rsidRPr="00641FDA">
              <w:t>0</w:t>
            </w:r>
          </w:p>
        </w:tc>
        <w:tc>
          <w:tcPr>
            <w:tcW w:w="592" w:type="dxa"/>
            <w:gridSpan w:val="3"/>
            <w:shd w:val="clear" w:color="auto" w:fill="FFFFFF"/>
          </w:tcPr>
          <w:p w14:paraId="4158FA65" w14:textId="77777777" w:rsidR="00B86850" w:rsidRDefault="00B86850" w:rsidP="00B86850">
            <w:pPr>
              <w:jc w:val="center"/>
            </w:pPr>
            <w:r w:rsidRPr="00641FDA">
              <w:t>0</w:t>
            </w:r>
          </w:p>
        </w:tc>
        <w:tc>
          <w:tcPr>
            <w:tcW w:w="592" w:type="dxa"/>
            <w:gridSpan w:val="2"/>
            <w:shd w:val="clear" w:color="auto" w:fill="FFFFFF"/>
          </w:tcPr>
          <w:p w14:paraId="0D8AD2CE" w14:textId="77777777" w:rsidR="00B86850" w:rsidRDefault="00B86850" w:rsidP="00B86850">
            <w:pPr>
              <w:jc w:val="center"/>
            </w:pPr>
            <w:r w:rsidRPr="00641FDA">
              <w:t>0</w:t>
            </w:r>
          </w:p>
        </w:tc>
        <w:tc>
          <w:tcPr>
            <w:tcW w:w="592" w:type="dxa"/>
            <w:shd w:val="clear" w:color="auto" w:fill="FFFFFF"/>
          </w:tcPr>
          <w:p w14:paraId="21C5E1B5" w14:textId="77777777" w:rsidR="00B86850" w:rsidRDefault="00B86850" w:rsidP="00B86850">
            <w:pPr>
              <w:jc w:val="center"/>
            </w:pPr>
            <w:r w:rsidRPr="00641FDA">
              <w:t>0</w:t>
            </w:r>
          </w:p>
        </w:tc>
        <w:tc>
          <w:tcPr>
            <w:tcW w:w="1559" w:type="dxa"/>
            <w:gridSpan w:val="2"/>
            <w:shd w:val="clear" w:color="auto" w:fill="FFFFFF"/>
          </w:tcPr>
          <w:p w14:paraId="3F70B16C" w14:textId="77777777" w:rsidR="00B86850" w:rsidRDefault="00B86850" w:rsidP="00B86850">
            <w:pPr>
              <w:jc w:val="center"/>
            </w:pPr>
            <w:r w:rsidRPr="00641FDA">
              <w:t>0</w:t>
            </w:r>
          </w:p>
        </w:tc>
      </w:tr>
      <w:tr w:rsidR="00B86850" w:rsidRPr="008B4FE6" w14:paraId="3FAFF94A" w14:textId="77777777" w:rsidTr="00717473">
        <w:trPr>
          <w:trHeight w:val="344"/>
        </w:trPr>
        <w:tc>
          <w:tcPr>
            <w:tcW w:w="3129" w:type="dxa"/>
            <w:gridSpan w:val="4"/>
            <w:shd w:val="clear" w:color="auto" w:fill="FFFFFF"/>
            <w:vAlign w:val="center"/>
          </w:tcPr>
          <w:p w14:paraId="568F97C3" w14:textId="77777777" w:rsidR="00B86850" w:rsidRPr="00C53F26" w:rsidRDefault="00B86850" w:rsidP="00B86850">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91" w:type="dxa"/>
            <w:gridSpan w:val="2"/>
            <w:shd w:val="clear" w:color="auto" w:fill="FFFFFF"/>
          </w:tcPr>
          <w:p w14:paraId="5DBDEE94" w14:textId="77777777" w:rsidR="00B86850" w:rsidRDefault="00B86850" w:rsidP="00B86850">
            <w:pPr>
              <w:jc w:val="center"/>
            </w:pPr>
            <w:r w:rsidRPr="00EF68FC">
              <w:t>0</w:t>
            </w:r>
          </w:p>
        </w:tc>
        <w:tc>
          <w:tcPr>
            <w:tcW w:w="592" w:type="dxa"/>
            <w:gridSpan w:val="2"/>
            <w:shd w:val="clear" w:color="auto" w:fill="FFFFFF"/>
          </w:tcPr>
          <w:p w14:paraId="5A767C54" w14:textId="77777777" w:rsidR="00B86850" w:rsidRDefault="00B86850" w:rsidP="00B86850">
            <w:pPr>
              <w:jc w:val="center"/>
            </w:pPr>
            <w:r w:rsidRPr="00641FDA">
              <w:t>0</w:t>
            </w:r>
          </w:p>
        </w:tc>
        <w:tc>
          <w:tcPr>
            <w:tcW w:w="592" w:type="dxa"/>
            <w:shd w:val="clear" w:color="auto" w:fill="FFFFFF"/>
          </w:tcPr>
          <w:p w14:paraId="0E8C972F" w14:textId="77777777" w:rsidR="00B86850" w:rsidRDefault="00B86850" w:rsidP="00B86850">
            <w:pPr>
              <w:jc w:val="center"/>
            </w:pPr>
            <w:r w:rsidRPr="00641FDA">
              <w:t>0</w:t>
            </w:r>
          </w:p>
        </w:tc>
        <w:tc>
          <w:tcPr>
            <w:tcW w:w="592" w:type="dxa"/>
            <w:gridSpan w:val="4"/>
            <w:shd w:val="clear" w:color="auto" w:fill="FFFFFF"/>
          </w:tcPr>
          <w:p w14:paraId="4290926F" w14:textId="77777777" w:rsidR="00B86850" w:rsidRDefault="00B86850" w:rsidP="00B86850">
            <w:pPr>
              <w:jc w:val="center"/>
            </w:pPr>
            <w:r w:rsidRPr="00641FDA">
              <w:t>0</w:t>
            </w:r>
          </w:p>
        </w:tc>
        <w:tc>
          <w:tcPr>
            <w:tcW w:w="592" w:type="dxa"/>
            <w:gridSpan w:val="2"/>
            <w:shd w:val="clear" w:color="auto" w:fill="FFFFFF"/>
          </w:tcPr>
          <w:p w14:paraId="3F4E742E" w14:textId="77777777" w:rsidR="00B86850" w:rsidRDefault="00B86850" w:rsidP="00B86850">
            <w:pPr>
              <w:jc w:val="center"/>
            </w:pPr>
            <w:r w:rsidRPr="00641FDA">
              <w:t>0</w:t>
            </w:r>
          </w:p>
        </w:tc>
        <w:tc>
          <w:tcPr>
            <w:tcW w:w="592" w:type="dxa"/>
            <w:gridSpan w:val="2"/>
            <w:shd w:val="clear" w:color="auto" w:fill="FFFFFF"/>
          </w:tcPr>
          <w:p w14:paraId="3FCBE9F8" w14:textId="77777777" w:rsidR="00B86850" w:rsidRDefault="00B86850" w:rsidP="00B86850">
            <w:pPr>
              <w:jc w:val="center"/>
            </w:pPr>
            <w:r w:rsidRPr="00641FDA">
              <w:t>0</w:t>
            </w:r>
          </w:p>
        </w:tc>
        <w:tc>
          <w:tcPr>
            <w:tcW w:w="592" w:type="dxa"/>
            <w:gridSpan w:val="3"/>
            <w:shd w:val="clear" w:color="auto" w:fill="FFFFFF"/>
          </w:tcPr>
          <w:p w14:paraId="0CDBA018" w14:textId="77777777" w:rsidR="00B86850" w:rsidRDefault="00B86850" w:rsidP="00B86850">
            <w:pPr>
              <w:jc w:val="center"/>
            </w:pPr>
            <w:r w:rsidRPr="00641FDA">
              <w:t>0</w:t>
            </w:r>
          </w:p>
        </w:tc>
        <w:tc>
          <w:tcPr>
            <w:tcW w:w="592" w:type="dxa"/>
            <w:shd w:val="clear" w:color="auto" w:fill="FFFFFF"/>
          </w:tcPr>
          <w:p w14:paraId="609979C1" w14:textId="77777777" w:rsidR="00B86850" w:rsidRDefault="00B86850" w:rsidP="00B86850">
            <w:pPr>
              <w:jc w:val="center"/>
            </w:pPr>
            <w:r w:rsidRPr="00641FDA">
              <w:t>0</w:t>
            </w:r>
          </w:p>
        </w:tc>
        <w:tc>
          <w:tcPr>
            <w:tcW w:w="592" w:type="dxa"/>
            <w:gridSpan w:val="3"/>
            <w:shd w:val="clear" w:color="auto" w:fill="FFFFFF"/>
          </w:tcPr>
          <w:p w14:paraId="7AE0D46D" w14:textId="77777777" w:rsidR="00B86850" w:rsidRDefault="00B86850" w:rsidP="00B86850">
            <w:pPr>
              <w:jc w:val="center"/>
            </w:pPr>
            <w:r w:rsidRPr="00641FDA">
              <w:t>0</w:t>
            </w:r>
          </w:p>
        </w:tc>
        <w:tc>
          <w:tcPr>
            <w:tcW w:w="592" w:type="dxa"/>
            <w:gridSpan w:val="2"/>
            <w:shd w:val="clear" w:color="auto" w:fill="FFFFFF"/>
          </w:tcPr>
          <w:p w14:paraId="1E424858" w14:textId="77777777" w:rsidR="00B86850" w:rsidRDefault="00B86850" w:rsidP="00B86850">
            <w:pPr>
              <w:jc w:val="center"/>
            </w:pPr>
            <w:r w:rsidRPr="00641FDA">
              <w:t>0</w:t>
            </w:r>
          </w:p>
        </w:tc>
        <w:tc>
          <w:tcPr>
            <w:tcW w:w="592" w:type="dxa"/>
            <w:shd w:val="clear" w:color="auto" w:fill="FFFFFF"/>
          </w:tcPr>
          <w:p w14:paraId="6FDE1D6D" w14:textId="77777777" w:rsidR="00B86850" w:rsidRDefault="00B86850" w:rsidP="00B86850">
            <w:pPr>
              <w:jc w:val="center"/>
            </w:pPr>
            <w:r w:rsidRPr="00641FDA">
              <w:t>0</w:t>
            </w:r>
          </w:p>
        </w:tc>
        <w:tc>
          <w:tcPr>
            <w:tcW w:w="1559" w:type="dxa"/>
            <w:gridSpan w:val="2"/>
            <w:shd w:val="clear" w:color="auto" w:fill="FFFFFF"/>
          </w:tcPr>
          <w:p w14:paraId="371BC70C" w14:textId="77777777" w:rsidR="00B86850" w:rsidRDefault="00B86850" w:rsidP="00B86850">
            <w:pPr>
              <w:jc w:val="center"/>
            </w:pPr>
            <w:r w:rsidRPr="00641FDA">
              <w:t>0</w:t>
            </w:r>
          </w:p>
        </w:tc>
      </w:tr>
      <w:tr w:rsidR="00B86850" w:rsidRPr="008B4FE6" w14:paraId="2CAA3F90" w14:textId="77777777" w:rsidTr="00717473">
        <w:trPr>
          <w:trHeight w:val="330"/>
        </w:trPr>
        <w:tc>
          <w:tcPr>
            <w:tcW w:w="3129" w:type="dxa"/>
            <w:gridSpan w:val="4"/>
            <w:shd w:val="clear" w:color="auto" w:fill="FFFFFF"/>
            <w:vAlign w:val="center"/>
          </w:tcPr>
          <w:p w14:paraId="5CFB753B" w14:textId="77777777" w:rsidR="00B86850" w:rsidRPr="00C53F26" w:rsidRDefault="00B86850" w:rsidP="00B86850">
            <w:pPr>
              <w:spacing w:line="240" w:lineRule="auto"/>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591" w:type="dxa"/>
            <w:gridSpan w:val="2"/>
            <w:shd w:val="clear" w:color="auto" w:fill="FFFFFF"/>
          </w:tcPr>
          <w:p w14:paraId="35CD411C" w14:textId="77777777" w:rsidR="00B86850" w:rsidRDefault="00B86850" w:rsidP="00B86850">
            <w:pPr>
              <w:jc w:val="center"/>
            </w:pPr>
            <w:r w:rsidRPr="00EF68FC">
              <w:t>0</w:t>
            </w:r>
          </w:p>
        </w:tc>
        <w:tc>
          <w:tcPr>
            <w:tcW w:w="592" w:type="dxa"/>
            <w:gridSpan w:val="2"/>
            <w:shd w:val="clear" w:color="auto" w:fill="FFFFFF"/>
          </w:tcPr>
          <w:p w14:paraId="1E479F7F" w14:textId="77777777" w:rsidR="00B86850" w:rsidRDefault="00B86850" w:rsidP="00B86850">
            <w:pPr>
              <w:jc w:val="center"/>
            </w:pPr>
            <w:r w:rsidRPr="00641FDA">
              <w:t>0</w:t>
            </w:r>
          </w:p>
        </w:tc>
        <w:tc>
          <w:tcPr>
            <w:tcW w:w="592" w:type="dxa"/>
            <w:shd w:val="clear" w:color="auto" w:fill="FFFFFF"/>
          </w:tcPr>
          <w:p w14:paraId="3CBE9A30" w14:textId="77777777" w:rsidR="00B86850" w:rsidRDefault="00B86850" w:rsidP="00B86850">
            <w:pPr>
              <w:jc w:val="center"/>
            </w:pPr>
            <w:r w:rsidRPr="00641FDA">
              <w:t>0</w:t>
            </w:r>
          </w:p>
        </w:tc>
        <w:tc>
          <w:tcPr>
            <w:tcW w:w="592" w:type="dxa"/>
            <w:gridSpan w:val="4"/>
            <w:shd w:val="clear" w:color="auto" w:fill="FFFFFF"/>
          </w:tcPr>
          <w:p w14:paraId="772DEF1D" w14:textId="77777777" w:rsidR="00B86850" w:rsidRDefault="00B86850" w:rsidP="00B86850">
            <w:pPr>
              <w:jc w:val="center"/>
            </w:pPr>
            <w:r w:rsidRPr="00641FDA">
              <w:t>0</w:t>
            </w:r>
          </w:p>
        </w:tc>
        <w:tc>
          <w:tcPr>
            <w:tcW w:w="592" w:type="dxa"/>
            <w:gridSpan w:val="2"/>
            <w:shd w:val="clear" w:color="auto" w:fill="FFFFFF"/>
          </w:tcPr>
          <w:p w14:paraId="383B16E9" w14:textId="77777777" w:rsidR="00B86850" w:rsidRDefault="00B86850" w:rsidP="00B86850">
            <w:pPr>
              <w:jc w:val="center"/>
            </w:pPr>
            <w:r w:rsidRPr="00641FDA">
              <w:t>0</w:t>
            </w:r>
          </w:p>
        </w:tc>
        <w:tc>
          <w:tcPr>
            <w:tcW w:w="592" w:type="dxa"/>
            <w:gridSpan w:val="2"/>
            <w:shd w:val="clear" w:color="auto" w:fill="FFFFFF"/>
          </w:tcPr>
          <w:p w14:paraId="4DEAA75C" w14:textId="77777777" w:rsidR="00B86850" w:rsidRDefault="00B86850" w:rsidP="00B86850">
            <w:pPr>
              <w:jc w:val="center"/>
            </w:pPr>
            <w:r w:rsidRPr="00641FDA">
              <w:t>0</w:t>
            </w:r>
          </w:p>
        </w:tc>
        <w:tc>
          <w:tcPr>
            <w:tcW w:w="592" w:type="dxa"/>
            <w:gridSpan w:val="3"/>
            <w:shd w:val="clear" w:color="auto" w:fill="FFFFFF"/>
          </w:tcPr>
          <w:p w14:paraId="3E234F89" w14:textId="77777777" w:rsidR="00B86850" w:rsidRDefault="00B86850" w:rsidP="00B86850">
            <w:pPr>
              <w:jc w:val="center"/>
            </w:pPr>
            <w:r w:rsidRPr="00641FDA">
              <w:t>0</w:t>
            </w:r>
          </w:p>
        </w:tc>
        <w:tc>
          <w:tcPr>
            <w:tcW w:w="592" w:type="dxa"/>
            <w:shd w:val="clear" w:color="auto" w:fill="FFFFFF"/>
          </w:tcPr>
          <w:p w14:paraId="6BAF0FD0" w14:textId="77777777" w:rsidR="00B86850" w:rsidRDefault="00B86850" w:rsidP="00B86850">
            <w:pPr>
              <w:jc w:val="center"/>
            </w:pPr>
            <w:r w:rsidRPr="00641FDA">
              <w:t>0</w:t>
            </w:r>
          </w:p>
        </w:tc>
        <w:tc>
          <w:tcPr>
            <w:tcW w:w="592" w:type="dxa"/>
            <w:gridSpan w:val="3"/>
            <w:shd w:val="clear" w:color="auto" w:fill="FFFFFF"/>
          </w:tcPr>
          <w:p w14:paraId="35FE7E9F" w14:textId="77777777" w:rsidR="00B86850" w:rsidRDefault="00B86850" w:rsidP="00B86850">
            <w:pPr>
              <w:jc w:val="center"/>
            </w:pPr>
            <w:r w:rsidRPr="00641FDA">
              <w:t>0</w:t>
            </w:r>
          </w:p>
        </w:tc>
        <w:tc>
          <w:tcPr>
            <w:tcW w:w="592" w:type="dxa"/>
            <w:gridSpan w:val="2"/>
            <w:shd w:val="clear" w:color="auto" w:fill="FFFFFF"/>
          </w:tcPr>
          <w:p w14:paraId="7F4C6E81" w14:textId="77777777" w:rsidR="00B86850" w:rsidRDefault="00B86850" w:rsidP="00B86850">
            <w:pPr>
              <w:jc w:val="center"/>
            </w:pPr>
            <w:r w:rsidRPr="00641FDA">
              <w:t>0</w:t>
            </w:r>
          </w:p>
        </w:tc>
        <w:tc>
          <w:tcPr>
            <w:tcW w:w="592" w:type="dxa"/>
            <w:shd w:val="clear" w:color="auto" w:fill="FFFFFF"/>
          </w:tcPr>
          <w:p w14:paraId="3238356A" w14:textId="77777777" w:rsidR="00B86850" w:rsidRDefault="00B86850" w:rsidP="00B86850">
            <w:pPr>
              <w:jc w:val="center"/>
            </w:pPr>
            <w:r w:rsidRPr="00641FDA">
              <w:t>0</w:t>
            </w:r>
          </w:p>
        </w:tc>
        <w:tc>
          <w:tcPr>
            <w:tcW w:w="1559" w:type="dxa"/>
            <w:gridSpan w:val="2"/>
            <w:shd w:val="clear" w:color="auto" w:fill="FFFFFF"/>
          </w:tcPr>
          <w:p w14:paraId="3165E260" w14:textId="77777777" w:rsidR="00B86850" w:rsidRDefault="00B86850" w:rsidP="00B86850">
            <w:pPr>
              <w:jc w:val="center"/>
            </w:pPr>
            <w:r w:rsidRPr="00641FDA">
              <w:t>0</w:t>
            </w:r>
          </w:p>
        </w:tc>
      </w:tr>
      <w:tr w:rsidR="00B86850" w:rsidRPr="008B4FE6" w14:paraId="561A1609" w14:textId="77777777" w:rsidTr="00717473">
        <w:trPr>
          <w:trHeight w:val="330"/>
        </w:trPr>
        <w:tc>
          <w:tcPr>
            <w:tcW w:w="3129" w:type="dxa"/>
            <w:gridSpan w:val="4"/>
            <w:shd w:val="clear" w:color="auto" w:fill="FFFFFF"/>
            <w:vAlign w:val="center"/>
          </w:tcPr>
          <w:p w14:paraId="1A55441E" w14:textId="77777777" w:rsidR="00B86850" w:rsidRPr="00C53F26" w:rsidRDefault="00B86850" w:rsidP="00B86850">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91" w:type="dxa"/>
            <w:gridSpan w:val="2"/>
            <w:shd w:val="clear" w:color="auto" w:fill="FFFFFF"/>
          </w:tcPr>
          <w:p w14:paraId="5422ED57" w14:textId="77777777" w:rsidR="00B86850" w:rsidRDefault="00B86850" w:rsidP="00B86850">
            <w:pPr>
              <w:jc w:val="center"/>
            </w:pPr>
            <w:r w:rsidRPr="00EF68FC">
              <w:t>0</w:t>
            </w:r>
          </w:p>
        </w:tc>
        <w:tc>
          <w:tcPr>
            <w:tcW w:w="592" w:type="dxa"/>
            <w:gridSpan w:val="2"/>
            <w:shd w:val="clear" w:color="auto" w:fill="FFFFFF"/>
          </w:tcPr>
          <w:p w14:paraId="5AF81685" w14:textId="77777777" w:rsidR="00B86850" w:rsidRDefault="00B86850" w:rsidP="00B86850">
            <w:pPr>
              <w:jc w:val="center"/>
            </w:pPr>
            <w:r w:rsidRPr="00641FDA">
              <w:t>0</w:t>
            </w:r>
          </w:p>
        </w:tc>
        <w:tc>
          <w:tcPr>
            <w:tcW w:w="592" w:type="dxa"/>
            <w:shd w:val="clear" w:color="auto" w:fill="FFFFFF"/>
          </w:tcPr>
          <w:p w14:paraId="7A84C614" w14:textId="77777777" w:rsidR="00B86850" w:rsidRDefault="00B86850" w:rsidP="00B86850">
            <w:pPr>
              <w:jc w:val="center"/>
            </w:pPr>
            <w:r w:rsidRPr="00641FDA">
              <w:t>0</w:t>
            </w:r>
          </w:p>
        </w:tc>
        <w:tc>
          <w:tcPr>
            <w:tcW w:w="592" w:type="dxa"/>
            <w:gridSpan w:val="4"/>
            <w:shd w:val="clear" w:color="auto" w:fill="FFFFFF"/>
          </w:tcPr>
          <w:p w14:paraId="52AFDE55" w14:textId="77777777" w:rsidR="00B86850" w:rsidRDefault="00B86850" w:rsidP="00B86850">
            <w:pPr>
              <w:jc w:val="center"/>
            </w:pPr>
            <w:r w:rsidRPr="00641FDA">
              <w:t>0</w:t>
            </w:r>
          </w:p>
        </w:tc>
        <w:tc>
          <w:tcPr>
            <w:tcW w:w="592" w:type="dxa"/>
            <w:gridSpan w:val="2"/>
            <w:shd w:val="clear" w:color="auto" w:fill="FFFFFF"/>
          </w:tcPr>
          <w:p w14:paraId="3FF14077" w14:textId="77777777" w:rsidR="00B86850" w:rsidRDefault="00B86850" w:rsidP="00B86850">
            <w:pPr>
              <w:jc w:val="center"/>
            </w:pPr>
            <w:r w:rsidRPr="00641FDA">
              <w:t>0</w:t>
            </w:r>
          </w:p>
        </w:tc>
        <w:tc>
          <w:tcPr>
            <w:tcW w:w="592" w:type="dxa"/>
            <w:gridSpan w:val="2"/>
            <w:shd w:val="clear" w:color="auto" w:fill="FFFFFF"/>
          </w:tcPr>
          <w:p w14:paraId="2542EA0D" w14:textId="77777777" w:rsidR="00B86850" w:rsidRDefault="00B86850" w:rsidP="00B86850">
            <w:pPr>
              <w:jc w:val="center"/>
            </w:pPr>
            <w:r w:rsidRPr="00641FDA">
              <w:t>0</w:t>
            </w:r>
          </w:p>
        </w:tc>
        <w:tc>
          <w:tcPr>
            <w:tcW w:w="592" w:type="dxa"/>
            <w:gridSpan w:val="3"/>
            <w:shd w:val="clear" w:color="auto" w:fill="FFFFFF"/>
          </w:tcPr>
          <w:p w14:paraId="1319BFE1" w14:textId="77777777" w:rsidR="00B86850" w:rsidRDefault="00B86850" w:rsidP="00B86850">
            <w:pPr>
              <w:jc w:val="center"/>
            </w:pPr>
            <w:r w:rsidRPr="00641FDA">
              <w:t>0</w:t>
            </w:r>
          </w:p>
        </w:tc>
        <w:tc>
          <w:tcPr>
            <w:tcW w:w="592" w:type="dxa"/>
            <w:shd w:val="clear" w:color="auto" w:fill="FFFFFF"/>
          </w:tcPr>
          <w:p w14:paraId="5DE2D555" w14:textId="77777777" w:rsidR="00B86850" w:rsidRDefault="00B86850" w:rsidP="00B86850">
            <w:pPr>
              <w:jc w:val="center"/>
            </w:pPr>
            <w:r w:rsidRPr="00641FDA">
              <w:t>0</w:t>
            </w:r>
          </w:p>
        </w:tc>
        <w:tc>
          <w:tcPr>
            <w:tcW w:w="592" w:type="dxa"/>
            <w:gridSpan w:val="3"/>
            <w:shd w:val="clear" w:color="auto" w:fill="FFFFFF"/>
          </w:tcPr>
          <w:p w14:paraId="621EF95D" w14:textId="77777777" w:rsidR="00B86850" w:rsidRDefault="00B86850" w:rsidP="00B86850">
            <w:pPr>
              <w:jc w:val="center"/>
            </w:pPr>
            <w:r w:rsidRPr="00641FDA">
              <w:t>0</w:t>
            </w:r>
          </w:p>
        </w:tc>
        <w:tc>
          <w:tcPr>
            <w:tcW w:w="592" w:type="dxa"/>
            <w:gridSpan w:val="2"/>
            <w:shd w:val="clear" w:color="auto" w:fill="FFFFFF"/>
          </w:tcPr>
          <w:p w14:paraId="59515CAB" w14:textId="77777777" w:rsidR="00B86850" w:rsidRDefault="00B86850" w:rsidP="00B86850">
            <w:pPr>
              <w:jc w:val="center"/>
            </w:pPr>
            <w:r w:rsidRPr="00641FDA">
              <w:t>0</w:t>
            </w:r>
          </w:p>
        </w:tc>
        <w:tc>
          <w:tcPr>
            <w:tcW w:w="592" w:type="dxa"/>
            <w:shd w:val="clear" w:color="auto" w:fill="FFFFFF"/>
          </w:tcPr>
          <w:p w14:paraId="215CFDF0" w14:textId="77777777" w:rsidR="00B86850" w:rsidRDefault="00B86850" w:rsidP="00B86850">
            <w:pPr>
              <w:jc w:val="center"/>
            </w:pPr>
            <w:r w:rsidRPr="00641FDA">
              <w:t>0</w:t>
            </w:r>
          </w:p>
        </w:tc>
        <w:tc>
          <w:tcPr>
            <w:tcW w:w="1559" w:type="dxa"/>
            <w:gridSpan w:val="2"/>
            <w:shd w:val="clear" w:color="auto" w:fill="FFFFFF"/>
          </w:tcPr>
          <w:p w14:paraId="0786B6A9" w14:textId="77777777" w:rsidR="00B86850" w:rsidRDefault="00B86850" w:rsidP="00B86850">
            <w:pPr>
              <w:jc w:val="center"/>
            </w:pPr>
            <w:r w:rsidRPr="00641FDA">
              <w:t>0</w:t>
            </w:r>
          </w:p>
        </w:tc>
      </w:tr>
      <w:tr w:rsidR="00B86850" w:rsidRPr="008B4FE6" w14:paraId="5A2E8D49" w14:textId="77777777" w:rsidTr="00717473">
        <w:trPr>
          <w:trHeight w:val="351"/>
        </w:trPr>
        <w:tc>
          <w:tcPr>
            <w:tcW w:w="3129" w:type="dxa"/>
            <w:gridSpan w:val="4"/>
            <w:shd w:val="clear" w:color="auto" w:fill="FFFFFF"/>
            <w:vAlign w:val="center"/>
          </w:tcPr>
          <w:p w14:paraId="41CC2A4A" w14:textId="77777777" w:rsidR="00B86850" w:rsidRPr="00C53F26" w:rsidRDefault="00B86850" w:rsidP="00B86850">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91" w:type="dxa"/>
            <w:gridSpan w:val="2"/>
            <w:shd w:val="clear" w:color="auto" w:fill="FFFFFF"/>
          </w:tcPr>
          <w:p w14:paraId="507F3C9D" w14:textId="77777777" w:rsidR="00B86850" w:rsidRDefault="00B86850" w:rsidP="00B86850">
            <w:pPr>
              <w:jc w:val="center"/>
            </w:pPr>
            <w:r w:rsidRPr="00EF68FC">
              <w:t>0</w:t>
            </w:r>
          </w:p>
        </w:tc>
        <w:tc>
          <w:tcPr>
            <w:tcW w:w="592" w:type="dxa"/>
            <w:gridSpan w:val="2"/>
            <w:shd w:val="clear" w:color="auto" w:fill="FFFFFF"/>
          </w:tcPr>
          <w:p w14:paraId="3C4523CF" w14:textId="77777777" w:rsidR="00B86850" w:rsidRDefault="00B86850" w:rsidP="00B86850">
            <w:pPr>
              <w:jc w:val="center"/>
            </w:pPr>
            <w:r w:rsidRPr="00641FDA">
              <w:t>0</w:t>
            </w:r>
          </w:p>
        </w:tc>
        <w:tc>
          <w:tcPr>
            <w:tcW w:w="592" w:type="dxa"/>
            <w:shd w:val="clear" w:color="auto" w:fill="FFFFFF"/>
          </w:tcPr>
          <w:p w14:paraId="437B8EB2" w14:textId="77777777" w:rsidR="00B86850" w:rsidRDefault="00B86850" w:rsidP="00B86850">
            <w:pPr>
              <w:jc w:val="center"/>
            </w:pPr>
            <w:r w:rsidRPr="00641FDA">
              <w:t>0</w:t>
            </w:r>
          </w:p>
        </w:tc>
        <w:tc>
          <w:tcPr>
            <w:tcW w:w="592" w:type="dxa"/>
            <w:gridSpan w:val="4"/>
            <w:shd w:val="clear" w:color="auto" w:fill="FFFFFF"/>
          </w:tcPr>
          <w:p w14:paraId="761E1BFA" w14:textId="77777777" w:rsidR="00B86850" w:rsidRDefault="00B86850" w:rsidP="00B86850">
            <w:pPr>
              <w:jc w:val="center"/>
            </w:pPr>
            <w:r w:rsidRPr="00641FDA">
              <w:t>0</w:t>
            </w:r>
          </w:p>
        </w:tc>
        <w:tc>
          <w:tcPr>
            <w:tcW w:w="592" w:type="dxa"/>
            <w:gridSpan w:val="2"/>
            <w:shd w:val="clear" w:color="auto" w:fill="FFFFFF"/>
          </w:tcPr>
          <w:p w14:paraId="7C243370" w14:textId="77777777" w:rsidR="00B86850" w:rsidRDefault="00B86850" w:rsidP="00B86850">
            <w:pPr>
              <w:jc w:val="center"/>
            </w:pPr>
            <w:r w:rsidRPr="00641FDA">
              <w:t>0</w:t>
            </w:r>
          </w:p>
        </w:tc>
        <w:tc>
          <w:tcPr>
            <w:tcW w:w="592" w:type="dxa"/>
            <w:gridSpan w:val="2"/>
            <w:shd w:val="clear" w:color="auto" w:fill="FFFFFF"/>
          </w:tcPr>
          <w:p w14:paraId="13D64601" w14:textId="77777777" w:rsidR="00B86850" w:rsidRDefault="00B86850" w:rsidP="00B86850">
            <w:pPr>
              <w:jc w:val="center"/>
            </w:pPr>
            <w:r w:rsidRPr="00641FDA">
              <w:t>0</w:t>
            </w:r>
          </w:p>
        </w:tc>
        <w:tc>
          <w:tcPr>
            <w:tcW w:w="592" w:type="dxa"/>
            <w:gridSpan w:val="3"/>
            <w:shd w:val="clear" w:color="auto" w:fill="FFFFFF"/>
          </w:tcPr>
          <w:p w14:paraId="1E4840A6" w14:textId="77777777" w:rsidR="00B86850" w:rsidRDefault="00B86850" w:rsidP="00B86850">
            <w:pPr>
              <w:jc w:val="center"/>
            </w:pPr>
            <w:r w:rsidRPr="00641FDA">
              <w:t>0</w:t>
            </w:r>
          </w:p>
        </w:tc>
        <w:tc>
          <w:tcPr>
            <w:tcW w:w="592" w:type="dxa"/>
            <w:shd w:val="clear" w:color="auto" w:fill="FFFFFF"/>
          </w:tcPr>
          <w:p w14:paraId="54E4E131" w14:textId="77777777" w:rsidR="00B86850" w:rsidRDefault="00B86850" w:rsidP="00B86850">
            <w:pPr>
              <w:jc w:val="center"/>
            </w:pPr>
            <w:r w:rsidRPr="00641FDA">
              <w:t>0</w:t>
            </w:r>
          </w:p>
        </w:tc>
        <w:tc>
          <w:tcPr>
            <w:tcW w:w="592" w:type="dxa"/>
            <w:gridSpan w:val="3"/>
            <w:shd w:val="clear" w:color="auto" w:fill="FFFFFF"/>
          </w:tcPr>
          <w:p w14:paraId="6B9FFA2D" w14:textId="77777777" w:rsidR="00B86850" w:rsidRDefault="00B86850" w:rsidP="00B86850">
            <w:pPr>
              <w:jc w:val="center"/>
            </w:pPr>
            <w:r w:rsidRPr="00641FDA">
              <w:t>0</w:t>
            </w:r>
          </w:p>
        </w:tc>
        <w:tc>
          <w:tcPr>
            <w:tcW w:w="592" w:type="dxa"/>
            <w:gridSpan w:val="2"/>
            <w:shd w:val="clear" w:color="auto" w:fill="FFFFFF"/>
          </w:tcPr>
          <w:p w14:paraId="734D8755" w14:textId="77777777" w:rsidR="00B86850" w:rsidRDefault="00B86850" w:rsidP="00B86850">
            <w:pPr>
              <w:jc w:val="center"/>
            </w:pPr>
            <w:r w:rsidRPr="00641FDA">
              <w:t>0</w:t>
            </w:r>
          </w:p>
        </w:tc>
        <w:tc>
          <w:tcPr>
            <w:tcW w:w="592" w:type="dxa"/>
            <w:shd w:val="clear" w:color="auto" w:fill="FFFFFF"/>
          </w:tcPr>
          <w:p w14:paraId="004DB2CE" w14:textId="77777777" w:rsidR="00B86850" w:rsidRDefault="00B86850" w:rsidP="00B86850">
            <w:pPr>
              <w:jc w:val="center"/>
            </w:pPr>
            <w:r w:rsidRPr="00641FDA">
              <w:t>0</w:t>
            </w:r>
          </w:p>
        </w:tc>
        <w:tc>
          <w:tcPr>
            <w:tcW w:w="1559" w:type="dxa"/>
            <w:gridSpan w:val="2"/>
            <w:shd w:val="clear" w:color="auto" w:fill="FFFFFF"/>
          </w:tcPr>
          <w:p w14:paraId="3FD1441B" w14:textId="77777777" w:rsidR="00B86850" w:rsidRDefault="00B86850" w:rsidP="00B86850">
            <w:pPr>
              <w:jc w:val="center"/>
            </w:pPr>
            <w:r w:rsidRPr="00641FDA">
              <w:t>0</w:t>
            </w:r>
          </w:p>
        </w:tc>
      </w:tr>
      <w:tr w:rsidR="00B86850" w:rsidRPr="008B4FE6" w14:paraId="6B319C3F" w14:textId="77777777" w:rsidTr="00717473">
        <w:trPr>
          <w:trHeight w:val="351"/>
        </w:trPr>
        <w:tc>
          <w:tcPr>
            <w:tcW w:w="3129" w:type="dxa"/>
            <w:gridSpan w:val="4"/>
            <w:shd w:val="clear" w:color="auto" w:fill="FFFFFF"/>
            <w:vAlign w:val="center"/>
          </w:tcPr>
          <w:p w14:paraId="46EF0AB4" w14:textId="77777777" w:rsidR="00B86850" w:rsidRPr="00C53F26" w:rsidRDefault="00B86850" w:rsidP="00B86850">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91" w:type="dxa"/>
            <w:gridSpan w:val="2"/>
            <w:shd w:val="clear" w:color="auto" w:fill="FFFFFF"/>
          </w:tcPr>
          <w:p w14:paraId="5B7A656B" w14:textId="77777777" w:rsidR="00B86850" w:rsidRDefault="00B86850" w:rsidP="00B86850">
            <w:pPr>
              <w:jc w:val="center"/>
            </w:pPr>
            <w:r w:rsidRPr="00EF68FC">
              <w:t>0</w:t>
            </w:r>
          </w:p>
        </w:tc>
        <w:tc>
          <w:tcPr>
            <w:tcW w:w="592" w:type="dxa"/>
            <w:gridSpan w:val="2"/>
            <w:shd w:val="clear" w:color="auto" w:fill="FFFFFF"/>
          </w:tcPr>
          <w:p w14:paraId="0191A566" w14:textId="77777777" w:rsidR="00B86850" w:rsidRDefault="00B86850" w:rsidP="00B86850">
            <w:pPr>
              <w:jc w:val="center"/>
            </w:pPr>
            <w:r w:rsidRPr="00641FDA">
              <w:t>0</w:t>
            </w:r>
          </w:p>
        </w:tc>
        <w:tc>
          <w:tcPr>
            <w:tcW w:w="592" w:type="dxa"/>
            <w:shd w:val="clear" w:color="auto" w:fill="FFFFFF"/>
          </w:tcPr>
          <w:p w14:paraId="4B82E045" w14:textId="77777777" w:rsidR="00B86850" w:rsidRDefault="00B86850" w:rsidP="00B86850">
            <w:pPr>
              <w:jc w:val="center"/>
            </w:pPr>
            <w:r w:rsidRPr="00641FDA">
              <w:t>0</w:t>
            </w:r>
          </w:p>
        </w:tc>
        <w:tc>
          <w:tcPr>
            <w:tcW w:w="592" w:type="dxa"/>
            <w:gridSpan w:val="4"/>
            <w:shd w:val="clear" w:color="auto" w:fill="FFFFFF"/>
          </w:tcPr>
          <w:p w14:paraId="76E282F8" w14:textId="77777777" w:rsidR="00B86850" w:rsidRDefault="00B86850" w:rsidP="00B86850">
            <w:pPr>
              <w:jc w:val="center"/>
            </w:pPr>
            <w:r w:rsidRPr="00641FDA">
              <w:t>0</w:t>
            </w:r>
          </w:p>
        </w:tc>
        <w:tc>
          <w:tcPr>
            <w:tcW w:w="592" w:type="dxa"/>
            <w:gridSpan w:val="2"/>
            <w:shd w:val="clear" w:color="auto" w:fill="FFFFFF"/>
          </w:tcPr>
          <w:p w14:paraId="6AC74978" w14:textId="77777777" w:rsidR="00B86850" w:rsidRDefault="00B86850" w:rsidP="00B86850">
            <w:pPr>
              <w:jc w:val="center"/>
            </w:pPr>
            <w:r w:rsidRPr="00641FDA">
              <w:t>0</w:t>
            </w:r>
          </w:p>
        </w:tc>
        <w:tc>
          <w:tcPr>
            <w:tcW w:w="592" w:type="dxa"/>
            <w:gridSpan w:val="2"/>
            <w:shd w:val="clear" w:color="auto" w:fill="FFFFFF"/>
          </w:tcPr>
          <w:p w14:paraId="7A5A77A7" w14:textId="77777777" w:rsidR="00B86850" w:rsidRDefault="00B86850" w:rsidP="00B86850">
            <w:pPr>
              <w:jc w:val="center"/>
            </w:pPr>
            <w:r w:rsidRPr="00641FDA">
              <w:t>0</w:t>
            </w:r>
          </w:p>
        </w:tc>
        <w:tc>
          <w:tcPr>
            <w:tcW w:w="592" w:type="dxa"/>
            <w:gridSpan w:val="3"/>
            <w:shd w:val="clear" w:color="auto" w:fill="FFFFFF"/>
          </w:tcPr>
          <w:p w14:paraId="7BAD33A1" w14:textId="77777777" w:rsidR="00B86850" w:rsidRDefault="00B86850" w:rsidP="00B86850">
            <w:pPr>
              <w:jc w:val="center"/>
            </w:pPr>
            <w:r w:rsidRPr="00641FDA">
              <w:t>0</w:t>
            </w:r>
          </w:p>
        </w:tc>
        <w:tc>
          <w:tcPr>
            <w:tcW w:w="592" w:type="dxa"/>
            <w:shd w:val="clear" w:color="auto" w:fill="FFFFFF"/>
          </w:tcPr>
          <w:p w14:paraId="3EA2B255" w14:textId="77777777" w:rsidR="00B86850" w:rsidRDefault="00B86850" w:rsidP="00B86850">
            <w:pPr>
              <w:jc w:val="center"/>
            </w:pPr>
            <w:r w:rsidRPr="00641FDA">
              <w:t>0</w:t>
            </w:r>
          </w:p>
        </w:tc>
        <w:tc>
          <w:tcPr>
            <w:tcW w:w="592" w:type="dxa"/>
            <w:gridSpan w:val="3"/>
            <w:shd w:val="clear" w:color="auto" w:fill="FFFFFF"/>
          </w:tcPr>
          <w:p w14:paraId="02A030B0" w14:textId="77777777" w:rsidR="00B86850" w:rsidRDefault="00B86850" w:rsidP="00B86850">
            <w:pPr>
              <w:jc w:val="center"/>
            </w:pPr>
            <w:r w:rsidRPr="00641FDA">
              <w:t>0</w:t>
            </w:r>
          </w:p>
        </w:tc>
        <w:tc>
          <w:tcPr>
            <w:tcW w:w="592" w:type="dxa"/>
            <w:gridSpan w:val="2"/>
            <w:shd w:val="clear" w:color="auto" w:fill="FFFFFF"/>
          </w:tcPr>
          <w:p w14:paraId="56788031" w14:textId="77777777" w:rsidR="00B86850" w:rsidRDefault="00B86850" w:rsidP="00B86850">
            <w:pPr>
              <w:jc w:val="center"/>
            </w:pPr>
            <w:r w:rsidRPr="00641FDA">
              <w:t>0</w:t>
            </w:r>
          </w:p>
        </w:tc>
        <w:tc>
          <w:tcPr>
            <w:tcW w:w="592" w:type="dxa"/>
            <w:shd w:val="clear" w:color="auto" w:fill="FFFFFF"/>
          </w:tcPr>
          <w:p w14:paraId="67DAB0BE" w14:textId="77777777" w:rsidR="00B86850" w:rsidRDefault="00B86850" w:rsidP="00B86850">
            <w:pPr>
              <w:jc w:val="center"/>
            </w:pPr>
            <w:r w:rsidRPr="00641FDA">
              <w:t>0</w:t>
            </w:r>
          </w:p>
        </w:tc>
        <w:tc>
          <w:tcPr>
            <w:tcW w:w="1559" w:type="dxa"/>
            <w:gridSpan w:val="2"/>
            <w:shd w:val="clear" w:color="auto" w:fill="FFFFFF"/>
          </w:tcPr>
          <w:p w14:paraId="4BBB4ACE" w14:textId="77777777" w:rsidR="00B86850" w:rsidRDefault="00B86850" w:rsidP="00B86850">
            <w:pPr>
              <w:jc w:val="center"/>
            </w:pPr>
            <w:r w:rsidRPr="00641FDA">
              <w:t>0</w:t>
            </w:r>
          </w:p>
        </w:tc>
      </w:tr>
      <w:tr w:rsidR="00B86850" w:rsidRPr="008B4FE6" w14:paraId="37F42351" w14:textId="77777777" w:rsidTr="00717473">
        <w:trPr>
          <w:trHeight w:val="360"/>
        </w:trPr>
        <w:tc>
          <w:tcPr>
            <w:tcW w:w="3129" w:type="dxa"/>
            <w:gridSpan w:val="4"/>
            <w:shd w:val="clear" w:color="auto" w:fill="FFFFFF"/>
            <w:vAlign w:val="center"/>
          </w:tcPr>
          <w:p w14:paraId="69440DCD" w14:textId="77777777" w:rsidR="00B86850" w:rsidRPr="00C53F26" w:rsidRDefault="00B86850" w:rsidP="00B86850">
            <w:pPr>
              <w:spacing w:line="240" w:lineRule="auto"/>
              <w:rPr>
                <w:rFonts w:ascii="Times New Roman" w:hAnsi="Times New Roman"/>
                <w:color w:val="000000"/>
                <w:sz w:val="21"/>
                <w:szCs w:val="21"/>
              </w:rPr>
            </w:pPr>
            <w:r w:rsidRPr="00C53F26">
              <w:rPr>
                <w:rFonts w:ascii="Times New Roman" w:hAnsi="Times New Roman"/>
                <w:b/>
                <w:color w:val="000000"/>
                <w:sz w:val="21"/>
                <w:szCs w:val="21"/>
              </w:rPr>
              <w:t>Saldo ogółem</w:t>
            </w:r>
          </w:p>
        </w:tc>
        <w:tc>
          <w:tcPr>
            <w:tcW w:w="591" w:type="dxa"/>
            <w:gridSpan w:val="2"/>
            <w:shd w:val="clear" w:color="auto" w:fill="FFFFFF"/>
          </w:tcPr>
          <w:p w14:paraId="72D2677B" w14:textId="77777777" w:rsidR="00B86850" w:rsidRDefault="00B86850" w:rsidP="00B86850">
            <w:pPr>
              <w:jc w:val="center"/>
            </w:pPr>
            <w:r w:rsidRPr="00EF68FC">
              <w:t>0</w:t>
            </w:r>
          </w:p>
        </w:tc>
        <w:tc>
          <w:tcPr>
            <w:tcW w:w="592" w:type="dxa"/>
            <w:gridSpan w:val="2"/>
            <w:shd w:val="clear" w:color="auto" w:fill="FFFFFF"/>
          </w:tcPr>
          <w:p w14:paraId="0CD8DD1C" w14:textId="77777777" w:rsidR="00B86850" w:rsidRDefault="00B86850" w:rsidP="00B86850">
            <w:pPr>
              <w:jc w:val="center"/>
            </w:pPr>
            <w:r w:rsidRPr="00641FDA">
              <w:t>0</w:t>
            </w:r>
          </w:p>
        </w:tc>
        <w:tc>
          <w:tcPr>
            <w:tcW w:w="592" w:type="dxa"/>
            <w:shd w:val="clear" w:color="auto" w:fill="FFFFFF"/>
          </w:tcPr>
          <w:p w14:paraId="76A745B9" w14:textId="77777777" w:rsidR="00B86850" w:rsidRDefault="00B86850" w:rsidP="00B86850">
            <w:pPr>
              <w:jc w:val="center"/>
            </w:pPr>
            <w:r w:rsidRPr="00641FDA">
              <w:t>0</w:t>
            </w:r>
          </w:p>
        </w:tc>
        <w:tc>
          <w:tcPr>
            <w:tcW w:w="592" w:type="dxa"/>
            <w:gridSpan w:val="4"/>
            <w:shd w:val="clear" w:color="auto" w:fill="FFFFFF"/>
          </w:tcPr>
          <w:p w14:paraId="0A2AC026" w14:textId="77777777" w:rsidR="00B86850" w:rsidRDefault="00B86850" w:rsidP="00B86850">
            <w:pPr>
              <w:jc w:val="center"/>
            </w:pPr>
            <w:r w:rsidRPr="00641FDA">
              <w:t>0</w:t>
            </w:r>
          </w:p>
        </w:tc>
        <w:tc>
          <w:tcPr>
            <w:tcW w:w="592" w:type="dxa"/>
            <w:gridSpan w:val="2"/>
            <w:shd w:val="clear" w:color="auto" w:fill="FFFFFF"/>
          </w:tcPr>
          <w:p w14:paraId="251A21B0" w14:textId="77777777" w:rsidR="00B86850" w:rsidRDefault="00B86850" w:rsidP="00B86850">
            <w:pPr>
              <w:jc w:val="center"/>
            </w:pPr>
            <w:r w:rsidRPr="00641FDA">
              <w:t>0</w:t>
            </w:r>
          </w:p>
        </w:tc>
        <w:tc>
          <w:tcPr>
            <w:tcW w:w="592" w:type="dxa"/>
            <w:gridSpan w:val="2"/>
            <w:shd w:val="clear" w:color="auto" w:fill="FFFFFF"/>
          </w:tcPr>
          <w:p w14:paraId="768B1308" w14:textId="77777777" w:rsidR="00B86850" w:rsidRDefault="00B86850" w:rsidP="00B86850">
            <w:pPr>
              <w:jc w:val="center"/>
            </w:pPr>
            <w:r w:rsidRPr="00641FDA">
              <w:t>0</w:t>
            </w:r>
          </w:p>
        </w:tc>
        <w:tc>
          <w:tcPr>
            <w:tcW w:w="592" w:type="dxa"/>
            <w:gridSpan w:val="3"/>
            <w:shd w:val="clear" w:color="auto" w:fill="FFFFFF"/>
          </w:tcPr>
          <w:p w14:paraId="50661FA7" w14:textId="77777777" w:rsidR="00B86850" w:rsidRDefault="00B86850" w:rsidP="00B86850">
            <w:pPr>
              <w:jc w:val="center"/>
            </w:pPr>
            <w:r w:rsidRPr="00641FDA">
              <w:t>0</w:t>
            </w:r>
          </w:p>
        </w:tc>
        <w:tc>
          <w:tcPr>
            <w:tcW w:w="592" w:type="dxa"/>
            <w:shd w:val="clear" w:color="auto" w:fill="FFFFFF"/>
          </w:tcPr>
          <w:p w14:paraId="78D92C58" w14:textId="77777777" w:rsidR="00B86850" w:rsidRDefault="00B86850" w:rsidP="00B86850">
            <w:pPr>
              <w:jc w:val="center"/>
            </w:pPr>
            <w:r w:rsidRPr="00641FDA">
              <w:t>0</w:t>
            </w:r>
          </w:p>
        </w:tc>
        <w:tc>
          <w:tcPr>
            <w:tcW w:w="592" w:type="dxa"/>
            <w:gridSpan w:val="3"/>
            <w:shd w:val="clear" w:color="auto" w:fill="FFFFFF"/>
          </w:tcPr>
          <w:p w14:paraId="3E8734A3" w14:textId="77777777" w:rsidR="00B86850" w:rsidRDefault="00B86850" w:rsidP="00B86850">
            <w:pPr>
              <w:jc w:val="center"/>
            </w:pPr>
            <w:r w:rsidRPr="00641FDA">
              <w:t>0</w:t>
            </w:r>
          </w:p>
        </w:tc>
        <w:tc>
          <w:tcPr>
            <w:tcW w:w="592" w:type="dxa"/>
            <w:gridSpan w:val="2"/>
            <w:shd w:val="clear" w:color="auto" w:fill="FFFFFF"/>
          </w:tcPr>
          <w:p w14:paraId="63FB370A" w14:textId="77777777" w:rsidR="00B86850" w:rsidRDefault="00B86850" w:rsidP="00B86850">
            <w:pPr>
              <w:jc w:val="center"/>
            </w:pPr>
            <w:r w:rsidRPr="00641FDA">
              <w:t>0</w:t>
            </w:r>
          </w:p>
        </w:tc>
        <w:tc>
          <w:tcPr>
            <w:tcW w:w="592" w:type="dxa"/>
            <w:shd w:val="clear" w:color="auto" w:fill="FFFFFF"/>
          </w:tcPr>
          <w:p w14:paraId="377B7511" w14:textId="77777777" w:rsidR="00B86850" w:rsidRDefault="00B86850" w:rsidP="00B86850">
            <w:pPr>
              <w:jc w:val="center"/>
            </w:pPr>
            <w:r w:rsidRPr="00641FDA">
              <w:t>0</w:t>
            </w:r>
          </w:p>
        </w:tc>
        <w:tc>
          <w:tcPr>
            <w:tcW w:w="1559" w:type="dxa"/>
            <w:gridSpan w:val="2"/>
            <w:shd w:val="clear" w:color="auto" w:fill="FFFFFF"/>
          </w:tcPr>
          <w:p w14:paraId="1646DF60" w14:textId="77777777" w:rsidR="00B86850" w:rsidRDefault="00B86850" w:rsidP="00B86850">
            <w:pPr>
              <w:jc w:val="center"/>
            </w:pPr>
            <w:r w:rsidRPr="00641FDA">
              <w:t>0</w:t>
            </w:r>
          </w:p>
        </w:tc>
      </w:tr>
      <w:tr w:rsidR="00B86850" w:rsidRPr="008B4FE6" w14:paraId="1BC03613" w14:textId="77777777" w:rsidTr="00717473">
        <w:trPr>
          <w:trHeight w:val="360"/>
        </w:trPr>
        <w:tc>
          <w:tcPr>
            <w:tcW w:w="3129" w:type="dxa"/>
            <w:gridSpan w:val="4"/>
            <w:shd w:val="clear" w:color="auto" w:fill="FFFFFF"/>
            <w:vAlign w:val="center"/>
          </w:tcPr>
          <w:p w14:paraId="2BFBB22B" w14:textId="77777777" w:rsidR="00B86850" w:rsidRPr="00C53F26" w:rsidRDefault="00B86850" w:rsidP="00B86850">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91" w:type="dxa"/>
            <w:gridSpan w:val="2"/>
            <w:shd w:val="clear" w:color="auto" w:fill="FFFFFF"/>
          </w:tcPr>
          <w:p w14:paraId="71EEE9FE" w14:textId="77777777" w:rsidR="00B86850" w:rsidRDefault="00B86850" w:rsidP="00B86850">
            <w:pPr>
              <w:jc w:val="center"/>
            </w:pPr>
            <w:r w:rsidRPr="00EF68FC">
              <w:t>0</w:t>
            </w:r>
          </w:p>
        </w:tc>
        <w:tc>
          <w:tcPr>
            <w:tcW w:w="592" w:type="dxa"/>
            <w:gridSpan w:val="2"/>
            <w:shd w:val="clear" w:color="auto" w:fill="FFFFFF"/>
          </w:tcPr>
          <w:p w14:paraId="7593B553" w14:textId="77777777" w:rsidR="00B86850" w:rsidRDefault="00B86850" w:rsidP="00B86850">
            <w:pPr>
              <w:jc w:val="center"/>
            </w:pPr>
            <w:r w:rsidRPr="00641FDA">
              <w:t>0</w:t>
            </w:r>
          </w:p>
        </w:tc>
        <w:tc>
          <w:tcPr>
            <w:tcW w:w="592" w:type="dxa"/>
            <w:shd w:val="clear" w:color="auto" w:fill="FFFFFF"/>
          </w:tcPr>
          <w:p w14:paraId="3EA01B53" w14:textId="77777777" w:rsidR="00B86850" w:rsidRDefault="00B86850" w:rsidP="00B86850">
            <w:pPr>
              <w:jc w:val="center"/>
            </w:pPr>
            <w:r w:rsidRPr="00641FDA">
              <w:t>0</w:t>
            </w:r>
          </w:p>
        </w:tc>
        <w:tc>
          <w:tcPr>
            <w:tcW w:w="592" w:type="dxa"/>
            <w:gridSpan w:val="4"/>
            <w:shd w:val="clear" w:color="auto" w:fill="FFFFFF"/>
          </w:tcPr>
          <w:p w14:paraId="1F4527D4" w14:textId="77777777" w:rsidR="00B86850" w:rsidRDefault="00B86850" w:rsidP="00B86850">
            <w:pPr>
              <w:jc w:val="center"/>
            </w:pPr>
            <w:r w:rsidRPr="00641FDA">
              <w:t>0</w:t>
            </w:r>
          </w:p>
        </w:tc>
        <w:tc>
          <w:tcPr>
            <w:tcW w:w="592" w:type="dxa"/>
            <w:gridSpan w:val="2"/>
            <w:shd w:val="clear" w:color="auto" w:fill="FFFFFF"/>
          </w:tcPr>
          <w:p w14:paraId="3B15C057" w14:textId="77777777" w:rsidR="00B86850" w:rsidRDefault="00B86850" w:rsidP="00B86850">
            <w:pPr>
              <w:jc w:val="center"/>
            </w:pPr>
            <w:r w:rsidRPr="00641FDA">
              <w:t>0</w:t>
            </w:r>
          </w:p>
        </w:tc>
        <w:tc>
          <w:tcPr>
            <w:tcW w:w="592" w:type="dxa"/>
            <w:gridSpan w:val="2"/>
            <w:shd w:val="clear" w:color="auto" w:fill="FFFFFF"/>
          </w:tcPr>
          <w:p w14:paraId="4C8098A8" w14:textId="77777777" w:rsidR="00B86850" w:rsidRDefault="00B86850" w:rsidP="00B86850">
            <w:pPr>
              <w:jc w:val="center"/>
            </w:pPr>
            <w:r w:rsidRPr="00641FDA">
              <w:t>0</w:t>
            </w:r>
          </w:p>
        </w:tc>
        <w:tc>
          <w:tcPr>
            <w:tcW w:w="592" w:type="dxa"/>
            <w:gridSpan w:val="3"/>
            <w:shd w:val="clear" w:color="auto" w:fill="FFFFFF"/>
          </w:tcPr>
          <w:p w14:paraId="7C6D30B5" w14:textId="77777777" w:rsidR="00B86850" w:rsidRDefault="00B86850" w:rsidP="00B86850">
            <w:pPr>
              <w:jc w:val="center"/>
            </w:pPr>
            <w:r w:rsidRPr="00641FDA">
              <w:t>0</w:t>
            </w:r>
          </w:p>
        </w:tc>
        <w:tc>
          <w:tcPr>
            <w:tcW w:w="592" w:type="dxa"/>
            <w:shd w:val="clear" w:color="auto" w:fill="FFFFFF"/>
          </w:tcPr>
          <w:p w14:paraId="03F27B21" w14:textId="77777777" w:rsidR="00B86850" w:rsidRDefault="00B86850" w:rsidP="00B86850">
            <w:pPr>
              <w:jc w:val="center"/>
            </w:pPr>
            <w:r w:rsidRPr="00641FDA">
              <w:t>0</w:t>
            </w:r>
          </w:p>
        </w:tc>
        <w:tc>
          <w:tcPr>
            <w:tcW w:w="592" w:type="dxa"/>
            <w:gridSpan w:val="3"/>
            <w:shd w:val="clear" w:color="auto" w:fill="FFFFFF"/>
          </w:tcPr>
          <w:p w14:paraId="086A5FB5" w14:textId="77777777" w:rsidR="00B86850" w:rsidRDefault="00B86850" w:rsidP="00B86850">
            <w:pPr>
              <w:jc w:val="center"/>
            </w:pPr>
            <w:r w:rsidRPr="00641FDA">
              <w:t>0</w:t>
            </w:r>
          </w:p>
        </w:tc>
        <w:tc>
          <w:tcPr>
            <w:tcW w:w="592" w:type="dxa"/>
            <w:gridSpan w:val="2"/>
            <w:shd w:val="clear" w:color="auto" w:fill="FFFFFF"/>
          </w:tcPr>
          <w:p w14:paraId="73E65780" w14:textId="77777777" w:rsidR="00B86850" w:rsidRDefault="00B86850" w:rsidP="00B86850">
            <w:pPr>
              <w:jc w:val="center"/>
            </w:pPr>
            <w:r w:rsidRPr="00641FDA">
              <w:t>0</w:t>
            </w:r>
          </w:p>
        </w:tc>
        <w:tc>
          <w:tcPr>
            <w:tcW w:w="592" w:type="dxa"/>
            <w:shd w:val="clear" w:color="auto" w:fill="FFFFFF"/>
          </w:tcPr>
          <w:p w14:paraId="66B7C4E8" w14:textId="77777777" w:rsidR="00B86850" w:rsidRDefault="00B86850" w:rsidP="00B86850">
            <w:pPr>
              <w:jc w:val="center"/>
            </w:pPr>
            <w:r w:rsidRPr="00641FDA">
              <w:t>0</w:t>
            </w:r>
          </w:p>
        </w:tc>
        <w:tc>
          <w:tcPr>
            <w:tcW w:w="1559" w:type="dxa"/>
            <w:gridSpan w:val="2"/>
            <w:shd w:val="clear" w:color="auto" w:fill="FFFFFF"/>
          </w:tcPr>
          <w:p w14:paraId="3309D86A" w14:textId="77777777" w:rsidR="00B86850" w:rsidRDefault="00B86850" w:rsidP="00B86850">
            <w:pPr>
              <w:jc w:val="center"/>
            </w:pPr>
            <w:r w:rsidRPr="00641FDA">
              <w:t>0</w:t>
            </w:r>
          </w:p>
        </w:tc>
      </w:tr>
      <w:tr w:rsidR="00B86850" w:rsidRPr="008B4FE6" w14:paraId="71570366" w14:textId="77777777" w:rsidTr="00717473">
        <w:trPr>
          <w:trHeight w:val="357"/>
        </w:trPr>
        <w:tc>
          <w:tcPr>
            <w:tcW w:w="3129" w:type="dxa"/>
            <w:gridSpan w:val="4"/>
            <w:shd w:val="clear" w:color="auto" w:fill="FFFFFF"/>
            <w:vAlign w:val="center"/>
          </w:tcPr>
          <w:p w14:paraId="37E72908" w14:textId="77777777" w:rsidR="00B86850" w:rsidRPr="00C53F26" w:rsidRDefault="00B86850" w:rsidP="00B86850">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91" w:type="dxa"/>
            <w:gridSpan w:val="2"/>
            <w:shd w:val="clear" w:color="auto" w:fill="FFFFFF"/>
          </w:tcPr>
          <w:p w14:paraId="3A1DDF3D" w14:textId="77777777" w:rsidR="00B86850" w:rsidRDefault="00B86850" w:rsidP="00B86850">
            <w:pPr>
              <w:jc w:val="center"/>
            </w:pPr>
            <w:r w:rsidRPr="00EF68FC">
              <w:t>0</w:t>
            </w:r>
          </w:p>
        </w:tc>
        <w:tc>
          <w:tcPr>
            <w:tcW w:w="592" w:type="dxa"/>
            <w:gridSpan w:val="2"/>
            <w:shd w:val="clear" w:color="auto" w:fill="FFFFFF"/>
          </w:tcPr>
          <w:p w14:paraId="2709FE01" w14:textId="77777777" w:rsidR="00B86850" w:rsidRDefault="00B86850" w:rsidP="00B86850">
            <w:pPr>
              <w:jc w:val="center"/>
            </w:pPr>
            <w:r w:rsidRPr="00641FDA">
              <w:t>0</w:t>
            </w:r>
          </w:p>
        </w:tc>
        <w:tc>
          <w:tcPr>
            <w:tcW w:w="592" w:type="dxa"/>
            <w:shd w:val="clear" w:color="auto" w:fill="FFFFFF"/>
          </w:tcPr>
          <w:p w14:paraId="456233D8" w14:textId="77777777" w:rsidR="00B86850" w:rsidRDefault="00B86850" w:rsidP="00B86850">
            <w:pPr>
              <w:jc w:val="center"/>
            </w:pPr>
            <w:r w:rsidRPr="00641FDA">
              <w:t>0</w:t>
            </w:r>
          </w:p>
        </w:tc>
        <w:tc>
          <w:tcPr>
            <w:tcW w:w="592" w:type="dxa"/>
            <w:gridSpan w:val="4"/>
            <w:shd w:val="clear" w:color="auto" w:fill="FFFFFF"/>
          </w:tcPr>
          <w:p w14:paraId="636BCA3F" w14:textId="77777777" w:rsidR="00B86850" w:rsidRDefault="00B86850" w:rsidP="00B86850">
            <w:pPr>
              <w:jc w:val="center"/>
            </w:pPr>
            <w:r w:rsidRPr="00641FDA">
              <w:t>0</w:t>
            </w:r>
          </w:p>
        </w:tc>
        <w:tc>
          <w:tcPr>
            <w:tcW w:w="592" w:type="dxa"/>
            <w:gridSpan w:val="2"/>
            <w:shd w:val="clear" w:color="auto" w:fill="FFFFFF"/>
          </w:tcPr>
          <w:p w14:paraId="393AB87D" w14:textId="77777777" w:rsidR="00B86850" w:rsidRDefault="00B86850" w:rsidP="00B86850">
            <w:pPr>
              <w:jc w:val="center"/>
            </w:pPr>
            <w:r w:rsidRPr="00641FDA">
              <w:t>0</w:t>
            </w:r>
          </w:p>
        </w:tc>
        <w:tc>
          <w:tcPr>
            <w:tcW w:w="592" w:type="dxa"/>
            <w:gridSpan w:val="2"/>
            <w:shd w:val="clear" w:color="auto" w:fill="FFFFFF"/>
          </w:tcPr>
          <w:p w14:paraId="1CC478F1" w14:textId="77777777" w:rsidR="00B86850" w:rsidRDefault="00B86850" w:rsidP="00B86850">
            <w:pPr>
              <w:jc w:val="center"/>
            </w:pPr>
            <w:r w:rsidRPr="00641FDA">
              <w:t>0</w:t>
            </w:r>
          </w:p>
        </w:tc>
        <w:tc>
          <w:tcPr>
            <w:tcW w:w="592" w:type="dxa"/>
            <w:gridSpan w:val="3"/>
            <w:shd w:val="clear" w:color="auto" w:fill="FFFFFF"/>
          </w:tcPr>
          <w:p w14:paraId="38606DBF" w14:textId="77777777" w:rsidR="00B86850" w:rsidRDefault="00B86850" w:rsidP="00B86850">
            <w:pPr>
              <w:jc w:val="center"/>
            </w:pPr>
            <w:r w:rsidRPr="00641FDA">
              <w:t>0</w:t>
            </w:r>
          </w:p>
        </w:tc>
        <w:tc>
          <w:tcPr>
            <w:tcW w:w="592" w:type="dxa"/>
            <w:shd w:val="clear" w:color="auto" w:fill="FFFFFF"/>
          </w:tcPr>
          <w:p w14:paraId="665F1B11" w14:textId="77777777" w:rsidR="00B86850" w:rsidRDefault="00B86850" w:rsidP="00B86850">
            <w:pPr>
              <w:jc w:val="center"/>
            </w:pPr>
            <w:r w:rsidRPr="00641FDA">
              <w:t>0</w:t>
            </w:r>
          </w:p>
        </w:tc>
        <w:tc>
          <w:tcPr>
            <w:tcW w:w="592" w:type="dxa"/>
            <w:gridSpan w:val="3"/>
            <w:shd w:val="clear" w:color="auto" w:fill="FFFFFF"/>
          </w:tcPr>
          <w:p w14:paraId="699E3D7B" w14:textId="77777777" w:rsidR="00B86850" w:rsidRDefault="00B86850" w:rsidP="00B86850">
            <w:pPr>
              <w:jc w:val="center"/>
            </w:pPr>
            <w:r w:rsidRPr="00641FDA">
              <w:t>0</w:t>
            </w:r>
          </w:p>
        </w:tc>
        <w:tc>
          <w:tcPr>
            <w:tcW w:w="592" w:type="dxa"/>
            <w:gridSpan w:val="2"/>
            <w:shd w:val="clear" w:color="auto" w:fill="FFFFFF"/>
          </w:tcPr>
          <w:p w14:paraId="76A97D82" w14:textId="77777777" w:rsidR="00B86850" w:rsidRDefault="00B86850" w:rsidP="00B86850">
            <w:pPr>
              <w:jc w:val="center"/>
            </w:pPr>
            <w:r w:rsidRPr="00641FDA">
              <w:t>0</w:t>
            </w:r>
          </w:p>
        </w:tc>
        <w:tc>
          <w:tcPr>
            <w:tcW w:w="592" w:type="dxa"/>
            <w:shd w:val="clear" w:color="auto" w:fill="FFFFFF"/>
          </w:tcPr>
          <w:p w14:paraId="5F40DEA8" w14:textId="77777777" w:rsidR="00B86850" w:rsidRDefault="00B86850" w:rsidP="00B86850">
            <w:pPr>
              <w:jc w:val="center"/>
            </w:pPr>
            <w:r w:rsidRPr="00641FDA">
              <w:t>0</w:t>
            </w:r>
          </w:p>
        </w:tc>
        <w:tc>
          <w:tcPr>
            <w:tcW w:w="1559" w:type="dxa"/>
            <w:gridSpan w:val="2"/>
            <w:shd w:val="clear" w:color="auto" w:fill="FFFFFF"/>
          </w:tcPr>
          <w:p w14:paraId="56AACBBD" w14:textId="77777777" w:rsidR="00B86850" w:rsidRDefault="00B86850" w:rsidP="00B86850">
            <w:pPr>
              <w:jc w:val="center"/>
            </w:pPr>
            <w:r w:rsidRPr="00641FDA">
              <w:t>0</w:t>
            </w:r>
          </w:p>
        </w:tc>
      </w:tr>
      <w:tr w:rsidR="00B86850" w:rsidRPr="008B4FE6" w14:paraId="153DDB0E" w14:textId="77777777" w:rsidTr="00717473">
        <w:trPr>
          <w:trHeight w:val="357"/>
        </w:trPr>
        <w:tc>
          <w:tcPr>
            <w:tcW w:w="3129" w:type="dxa"/>
            <w:gridSpan w:val="4"/>
            <w:shd w:val="clear" w:color="auto" w:fill="FFFFFF"/>
            <w:vAlign w:val="center"/>
          </w:tcPr>
          <w:p w14:paraId="322A55EB" w14:textId="77777777" w:rsidR="00B86850" w:rsidRPr="00C53F26" w:rsidRDefault="00B86850" w:rsidP="00B86850">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91" w:type="dxa"/>
            <w:gridSpan w:val="2"/>
            <w:shd w:val="clear" w:color="auto" w:fill="FFFFFF"/>
          </w:tcPr>
          <w:p w14:paraId="1D2EE793" w14:textId="77777777" w:rsidR="00B86850" w:rsidRDefault="00B86850" w:rsidP="00B86850">
            <w:pPr>
              <w:jc w:val="center"/>
            </w:pPr>
            <w:r w:rsidRPr="00EF68FC">
              <w:t>0</w:t>
            </w:r>
          </w:p>
        </w:tc>
        <w:tc>
          <w:tcPr>
            <w:tcW w:w="592" w:type="dxa"/>
            <w:gridSpan w:val="2"/>
            <w:shd w:val="clear" w:color="auto" w:fill="FFFFFF"/>
          </w:tcPr>
          <w:p w14:paraId="2B76A5A8" w14:textId="77777777" w:rsidR="00B86850" w:rsidRDefault="00B86850" w:rsidP="00B86850">
            <w:pPr>
              <w:jc w:val="center"/>
            </w:pPr>
            <w:r w:rsidRPr="00641FDA">
              <w:t>0</w:t>
            </w:r>
          </w:p>
        </w:tc>
        <w:tc>
          <w:tcPr>
            <w:tcW w:w="592" w:type="dxa"/>
            <w:shd w:val="clear" w:color="auto" w:fill="FFFFFF"/>
          </w:tcPr>
          <w:p w14:paraId="01BDDACD" w14:textId="77777777" w:rsidR="00B86850" w:rsidRDefault="00B86850" w:rsidP="00B86850">
            <w:pPr>
              <w:jc w:val="center"/>
            </w:pPr>
            <w:r w:rsidRPr="00641FDA">
              <w:t>0</w:t>
            </w:r>
          </w:p>
        </w:tc>
        <w:tc>
          <w:tcPr>
            <w:tcW w:w="592" w:type="dxa"/>
            <w:gridSpan w:val="4"/>
            <w:shd w:val="clear" w:color="auto" w:fill="FFFFFF"/>
          </w:tcPr>
          <w:p w14:paraId="6B7FA9DC" w14:textId="77777777" w:rsidR="00B86850" w:rsidRDefault="00B86850" w:rsidP="00B86850">
            <w:pPr>
              <w:jc w:val="center"/>
            </w:pPr>
            <w:r w:rsidRPr="00641FDA">
              <w:t>0</w:t>
            </w:r>
          </w:p>
        </w:tc>
        <w:tc>
          <w:tcPr>
            <w:tcW w:w="592" w:type="dxa"/>
            <w:gridSpan w:val="2"/>
            <w:shd w:val="clear" w:color="auto" w:fill="FFFFFF"/>
          </w:tcPr>
          <w:p w14:paraId="1BA45064" w14:textId="77777777" w:rsidR="00B86850" w:rsidRDefault="00B86850" w:rsidP="00B86850">
            <w:pPr>
              <w:jc w:val="center"/>
            </w:pPr>
            <w:r w:rsidRPr="00641FDA">
              <w:t>0</w:t>
            </w:r>
          </w:p>
        </w:tc>
        <w:tc>
          <w:tcPr>
            <w:tcW w:w="592" w:type="dxa"/>
            <w:gridSpan w:val="2"/>
            <w:shd w:val="clear" w:color="auto" w:fill="FFFFFF"/>
          </w:tcPr>
          <w:p w14:paraId="09ACD34A" w14:textId="77777777" w:rsidR="00B86850" w:rsidRDefault="00B86850" w:rsidP="00B86850">
            <w:pPr>
              <w:jc w:val="center"/>
            </w:pPr>
            <w:r w:rsidRPr="00641FDA">
              <w:t>0</w:t>
            </w:r>
          </w:p>
        </w:tc>
        <w:tc>
          <w:tcPr>
            <w:tcW w:w="592" w:type="dxa"/>
            <w:gridSpan w:val="3"/>
            <w:shd w:val="clear" w:color="auto" w:fill="FFFFFF"/>
          </w:tcPr>
          <w:p w14:paraId="463271E2" w14:textId="77777777" w:rsidR="00B86850" w:rsidRDefault="00B86850" w:rsidP="00B86850">
            <w:pPr>
              <w:jc w:val="center"/>
            </w:pPr>
            <w:r w:rsidRPr="00641FDA">
              <w:t>0</w:t>
            </w:r>
          </w:p>
        </w:tc>
        <w:tc>
          <w:tcPr>
            <w:tcW w:w="592" w:type="dxa"/>
            <w:shd w:val="clear" w:color="auto" w:fill="FFFFFF"/>
          </w:tcPr>
          <w:p w14:paraId="1847C731" w14:textId="77777777" w:rsidR="00B86850" w:rsidRDefault="00B86850" w:rsidP="00B86850">
            <w:pPr>
              <w:jc w:val="center"/>
            </w:pPr>
            <w:r w:rsidRPr="00641FDA">
              <w:t>0</w:t>
            </w:r>
          </w:p>
        </w:tc>
        <w:tc>
          <w:tcPr>
            <w:tcW w:w="592" w:type="dxa"/>
            <w:gridSpan w:val="3"/>
            <w:shd w:val="clear" w:color="auto" w:fill="FFFFFF"/>
          </w:tcPr>
          <w:p w14:paraId="14B15F59" w14:textId="77777777" w:rsidR="00B86850" w:rsidRDefault="00B86850" w:rsidP="00B86850">
            <w:pPr>
              <w:jc w:val="center"/>
            </w:pPr>
            <w:r w:rsidRPr="00641FDA">
              <w:t>0</w:t>
            </w:r>
          </w:p>
        </w:tc>
        <w:tc>
          <w:tcPr>
            <w:tcW w:w="592" w:type="dxa"/>
            <w:gridSpan w:val="2"/>
            <w:shd w:val="clear" w:color="auto" w:fill="FFFFFF"/>
          </w:tcPr>
          <w:p w14:paraId="73A383D0" w14:textId="77777777" w:rsidR="00B86850" w:rsidRDefault="00B86850" w:rsidP="00B86850">
            <w:pPr>
              <w:jc w:val="center"/>
            </w:pPr>
            <w:r w:rsidRPr="00641FDA">
              <w:t>0</w:t>
            </w:r>
          </w:p>
        </w:tc>
        <w:tc>
          <w:tcPr>
            <w:tcW w:w="592" w:type="dxa"/>
            <w:shd w:val="clear" w:color="auto" w:fill="FFFFFF"/>
          </w:tcPr>
          <w:p w14:paraId="6304C263" w14:textId="77777777" w:rsidR="00B86850" w:rsidRDefault="00B86850" w:rsidP="00B86850">
            <w:pPr>
              <w:jc w:val="center"/>
            </w:pPr>
            <w:r w:rsidRPr="00641FDA">
              <w:t>0</w:t>
            </w:r>
          </w:p>
        </w:tc>
        <w:tc>
          <w:tcPr>
            <w:tcW w:w="1559" w:type="dxa"/>
            <w:gridSpan w:val="2"/>
            <w:shd w:val="clear" w:color="auto" w:fill="FFFFFF"/>
          </w:tcPr>
          <w:p w14:paraId="48A24BAC" w14:textId="77777777" w:rsidR="00B86850" w:rsidRDefault="00B86850" w:rsidP="00B86850">
            <w:pPr>
              <w:jc w:val="center"/>
            </w:pPr>
            <w:r w:rsidRPr="00641FDA">
              <w:t>0</w:t>
            </w:r>
          </w:p>
        </w:tc>
      </w:tr>
      <w:tr w:rsidR="006A701A" w:rsidRPr="008B4FE6" w14:paraId="3EC21DE4" w14:textId="77777777" w:rsidTr="00704C3A">
        <w:trPr>
          <w:trHeight w:val="348"/>
        </w:trPr>
        <w:tc>
          <w:tcPr>
            <w:tcW w:w="2240" w:type="dxa"/>
            <w:gridSpan w:val="2"/>
            <w:shd w:val="clear" w:color="auto" w:fill="FFFFFF"/>
            <w:vAlign w:val="center"/>
          </w:tcPr>
          <w:p w14:paraId="01096C33" w14:textId="77777777" w:rsidR="006A701A" w:rsidRPr="00C53F26" w:rsidRDefault="006A701A" w:rsidP="005741EE">
            <w:pPr>
              <w:spacing w:line="240" w:lineRule="auto"/>
              <w:rPr>
                <w:rFonts w:ascii="Times New Roman" w:hAnsi="Times New Roman"/>
                <w:color w:val="000000"/>
                <w:sz w:val="21"/>
                <w:szCs w:val="21"/>
              </w:rPr>
            </w:pPr>
            <w:r w:rsidRPr="00C53F26">
              <w:rPr>
                <w:rFonts w:ascii="Times New Roman" w:hAnsi="Times New Roman"/>
                <w:color w:val="000000"/>
                <w:sz w:val="21"/>
                <w:szCs w:val="21"/>
              </w:rPr>
              <w:t xml:space="preserve">Źródła finansowania </w:t>
            </w:r>
          </w:p>
        </w:tc>
        <w:tc>
          <w:tcPr>
            <w:tcW w:w="8959" w:type="dxa"/>
            <w:gridSpan w:val="27"/>
            <w:shd w:val="clear" w:color="auto" w:fill="FFFFFF"/>
            <w:vAlign w:val="center"/>
          </w:tcPr>
          <w:p w14:paraId="61889846" w14:textId="77777777" w:rsidR="006A701A" w:rsidRPr="00B37C80" w:rsidRDefault="006C2DC5" w:rsidP="00B37C80">
            <w:pPr>
              <w:spacing w:line="240" w:lineRule="auto"/>
              <w:jc w:val="both"/>
              <w:rPr>
                <w:rFonts w:ascii="Times New Roman" w:hAnsi="Times New Roman"/>
                <w:color w:val="000000"/>
                <w:sz w:val="21"/>
                <w:szCs w:val="21"/>
              </w:rPr>
            </w:pPr>
            <w:r w:rsidRPr="006C2DC5">
              <w:rPr>
                <w:rFonts w:ascii="Times New Roman" w:hAnsi="Times New Roman"/>
                <w:color w:val="000000"/>
                <w:sz w:val="21"/>
                <w:szCs w:val="21"/>
              </w:rPr>
              <w:t>Kapitały własne operatorów systemów elektroenergetycznych</w:t>
            </w:r>
            <w:r w:rsidR="00647C76">
              <w:rPr>
                <w:rFonts w:ascii="Times New Roman" w:hAnsi="Times New Roman"/>
                <w:color w:val="000000"/>
                <w:sz w:val="21"/>
                <w:szCs w:val="21"/>
              </w:rPr>
              <w:t>, środki pozyskane z funduszy europejskich</w:t>
            </w:r>
            <w:r w:rsidRPr="006C2DC5">
              <w:rPr>
                <w:rFonts w:ascii="Times New Roman" w:hAnsi="Times New Roman"/>
                <w:color w:val="000000"/>
                <w:sz w:val="21"/>
                <w:szCs w:val="21"/>
              </w:rPr>
              <w:t>.</w:t>
            </w:r>
          </w:p>
          <w:p w14:paraId="504694AA" w14:textId="77777777" w:rsidR="006A701A" w:rsidRPr="00B37C80" w:rsidRDefault="006A701A" w:rsidP="00B37C80">
            <w:pPr>
              <w:spacing w:line="240" w:lineRule="auto"/>
              <w:jc w:val="both"/>
              <w:rPr>
                <w:rFonts w:ascii="Times New Roman" w:hAnsi="Times New Roman"/>
                <w:color w:val="000000"/>
                <w:sz w:val="21"/>
                <w:szCs w:val="21"/>
              </w:rPr>
            </w:pPr>
          </w:p>
        </w:tc>
      </w:tr>
      <w:tr w:rsidR="00E24BD7" w:rsidRPr="008B4FE6" w14:paraId="113FB32A" w14:textId="77777777" w:rsidTr="00717473">
        <w:trPr>
          <w:trHeight w:val="1197"/>
        </w:trPr>
        <w:tc>
          <w:tcPr>
            <w:tcW w:w="2240" w:type="dxa"/>
            <w:gridSpan w:val="2"/>
            <w:shd w:val="clear" w:color="auto" w:fill="FFFFFF"/>
          </w:tcPr>
          <w:p w14:paraId="38018F64" w14:textId="77777777" w:rsidR="00E24BD7" w:rsidRPr="00C53F26" w:rsidRDefault="001B3460" w:rsidP="00821717">
            <w:pPr>
              <w:spacing w:line="240" w:lineRule="auto"/>
              <w:rPr>
                <w:rFonts w:ascii="Times New Roman" w:hAnsi="Times New Roman"/>
                <w:color w:val="000000"/>
                <w:sz w:val="21"/>
                <w:szCs w:val="21"/>
              </w:rPr>
            </w:pPr>
            <w:r w:rsidRPr="00301959">
              <w:rPr>
                <w:rFonts w:ascii="Times New Roman" w:hAnsi="Times New Roman"/>
                <w:color w:val="000000"/>
                <w:sz w:val="21"/>
                <w:szCs w:val="21"/>
              </w:rPr>
              <w:t>Dodatkowe informacje, w tym wskazanie źródeł danych i przyjętych do obliczeń założeń</w:t>
            </w:r>
          </w:p>
        </w:tc>
        <w:tc>
          <w:tcPr>
            <w:tcW w:w="8959" w:type="dxa"/>
            <w:gridSpan w:val="27"/>
            <w:shd w:val="clear" w:color="auto" w:fill="FFFFFF"/>
          </w:tcPr>
          <w:p w14:paraId="668C8A9E" w14:textId="222CE056" w:rsidR="00E24BD7" w:rsidRPr="00C53F26" w:rsidRDefault="005A3CA9" w:rsidP="00B37C80">
            <w:pPr>
              <w:spacing w:line="240" w:lineRule="auto"/>
              <w:jc w:val="both"/>
              <w:rPr>
                <w:rFonts w:ascii="Times New Roman" w:hAnsi="Times New Roman"/>
                <w:color w:val="000000"/>
                <w:sz w:val="21"/>
                <w:szCs w:val="21"/>
              </w:rPr>
            </w:pPr>
            <w:r w:rsidRPr="005A3CA9">
              <w:rPr>
                <w:rFonts w:ascii="Times New Roman" w:hAnsi="Times New Roman"/>
                <w:color w:val="000000"/>
                <w:sz w:val="21"/>
                <w:szCs w:val="21"/>
              </w:rPr>
              <w:t xml:space="preserve">Rozporządzenie nie rodzi żadnych nowych skutków dla sektora finansów publicznych zarówno po stronie dochodowej, jak i wydatkowej. </w:t>
            </w:r>
          </w:p>
          <w:p w14:paraId="38AECC9B" w14:textId="77777777" w:rsidR="00E24BD7" w:rsidRPr="00C53F26" w:rsidRDefault="00E24BD7" w:rsidP="00B37C80">
            <w:pPr>
              <w:spacing w:line="240" w:lineRule="auto"/>
              <w:jc w:val="both"/>
              <w:rPr>
                <w:rFonts w:ascii="Times New Roman" w:hAnsi="Times New Roman"/>
                <w:color w:val="000000"/>
                <w:sz w:val="21"/>
                <w:szCs w:val="21"/>
              </w:rPr>
            </w:pPr>
          </w:p>
          <w:p w14:paraId="24EC1DCB" w14:textId="77777777" w:rsidR="00E24BD7" w:rsidRPr="00C53F26" w:rsidRDefault="00E24BD7" w:rsidP="00B37C80">
            <w:pPr>
              <w:spacing w:line="240" w:lineRule="auto"/>
              <w:jc w:val="both"/>
              <w:rPr>
                <w:rFonts w:ascii="Times New Roman" w:hAnsi="Times New Roman"/>
                <w:color w:val="000000"/>
                <w:sz w:val="21"/>
                <w:szCs w:val="21"/>
              </w:rPr>
            </w:pPr>
          </w:p>
        </w:tc>
      </w:tr>
      <w:tr w:rsidR="006A701A" w:rsidRPr="008B4FE6" w14:paraId="63B11AAA" w14:textId="77777777" w:rsidTr="00704C3A">
        <w:trPr>
          <w:trHeight w:val="345"/>
        </w:trPr>
        <w:tc>
          <w:tcPr>
            <w:tcW w:w="11199" w:type="dxa"/>
            <w:gridSpan w:val="29"/>
            <w:shd w:val="clear" w:color="auto" w:fill="99CCFF"/>
          </w:tcPr>
          <w:p w14:paraId="53C9117F" w14:textId="77777777" w:rsidR="006A701A" w:rsidRPr="008B4FE6" w:rsidRDefault="006A701A" w:rsidP="0072636A">
            <w:pPr>
              <w:numPr>
                <w:ilvl w:val="0"/>
                <w:numId w:val="3"/>
              </w:numPr>
              <w:spacing w:before="120" w:after="120" w:line="240" w:lineRule="auto"/>
              <w:jc w:val="both"/>
              <w:rPr>
                <w:rFonts w:ascii="Times New Roman" w:hAnsi="Times New Roman"/>
                <w:b/>
                <w:color w:val="000000"/>
                <w:spacing w:val="-2"/>
              </w:rPr>
            </w:pPr>
            <w:r w:rsidRPr="008B4FE6">
              <w:rPr>
                <w:rFonts w:ascii="Times New Roman" w:hAnsi="Times New Roman"/>
                <w:b/>
                <w:color w:val="000000"/>
                <w:spacing w:val="-2"/>
              </w:rPr>
              <w:t xml:space="preserve">Wpływ na </w:t>
            </w:r>
            <w:r w:rsidR="00563199" w:rsidRPr="008B4FE6">
              <w:rPr>
                <w:rFonts w:ascii="Times New Roman" w:hAnsi="Times New Roman"/>
                <w:b/>
                <w:color w:val="000000"/>
              </w:rPr>
              <w:t xml:space="preserve">konkurencyjność </w:t>
            </w:r>
            <w:r w:rsidR="005E7371" w:rsidRPr="008B4FE6">
              <w:rPr>
                <w:rFonts w:ascii="Times New Roman" w:hAnsi="Times New Roman"/>
                <w:b/>
                <w:color w:val="000000"/>
              </w:rPr>
              <w:t>gospodark</w:t>
            </w:r>
            <w:r w:rsidR="00563199">
              <w:rPr>
                <w:rFonts w:ascii="Times New Roman" w:hAnsi="Times New Roman"/>
                <w:b/>
                <w:color w:val="000000"/>
              </w:rPr>
              <w:t>i</w:t>
            </w:r>
            <w:r w:rsidR="005E7371" w:rsidRPr="008B4FE6">
              <w:rPr>
                <w:rFonts w:ascii="Times New Roman" w:hAnsi="Times New Roman"/>
                <w:b/>
                <w:color w:val="000000"/>
              </w:rPr>
              <w:t xml:space="preserve"> </w:t>
            </w:r>
            <w:r w:rsidR="00705A29">
              <w:rPr>
                <w:rFonts w:ascii="Times New Roman" w:hAnsi="Times New Roman"/>
                <w:b/>
                <w:color w:val="000000"/>
              </w:rPr>
              <w:t>i</w:t>
            </w:r>
            <w:r w:rsidR="00563199">
              <w:rPr>
                <w:rFonts w:ascii="Times New Roman" w:hAnsi="Times New Roman"/>
                <w:b/>
                <w:color w:val="000000"/>
              </w:rPr>
              <w:t xml:space="preserve"> przedsiębiorczość</w:t>
            </w:r>
            <w:r w:rsidR="00472E45">
              <w:rPr>
                <w:rFonts w:ascii="Times New Roman" w:hAnsi="Times New Roman"/>
                <w:b/>
                <w:color w:val="000000"/>
              </w:rPr>
              <w:t>,</w:t>
            </w:r>
            <w:r w:rsidR="005E7371" w:rsidRPr="008B4FE6">
              <w:rPr>
                <w:rFonts w:ascii="Times New Roman" w:hAnsi="Times New Roman"/>
                <w:b/>
                <w:color w:val="000000"/>
              </w:rPr>
              <w:t xml:space="preserve"> </w:t>
            </w:r>
            <w:r w:rsidR="00705A29">
              <w:rPr>
                <w:rFonts w:ascii="Times New Roman" w:hAnsi="Times New Roman"/>
                <w:b/>
                <w:color w:val="000000"/>
              </w:rPr>
              <w:t xml:space="preserve">w tym </w:t>
            </w:r>
            <w:r w:rsidR="005E7371" w:rsidRPr="008B4FE6">
              <w:rPr>
                <w:rFonts w:ascii="Times New Roman" w:hAnsi="Times New Roman"/>
                <w:b/>
                <w:color w:val="000000"/>
              </w:rPr>
              <w:t>funkcjonowanie przedsiębi</w:t>
            </w:r>
            <w:r w:rsidR="00B93834">
              <w:rPr>
                <w:rFonts w:ascii="Times New Roman" w:hAnsi="Times New Roman"/>
                <w:b/>
                <w:color w:val="000000"/>
              </w:rPr>
              <w:t>orców</w:t>
            </w:r>
            <w:r w:rsidR="00472E45">
              <w:rPr>
                <w:rFonts w:ascii="Times New Roman" w:hAnsi="Times New Roman"/>
                <w:b/>
                <w:color w:val="000000"/>
              </w:rPr>
              <w:t xml:space="preserve"> </w:t>
            </w:r>
            <w:r w:rsidR="00B93834">
              <w:rPr>
                <w:rFonts w:ascii="Times New Roman" w:hAnsi="Times New Roman"/>
                <w:b/>
                <w:color w:val="000000"/>
              </w:rPr>
              <w:t xml:space="preserve">oraz na </w:t>
            </w:r>
            <w:r w:rsidR="00BB0DCA">
              <w:rPr>
                <w:rFonts w:ascii="Times New Roman" w:hAnsi="Times New Roman"/>
                <w:b/>
                <w:color w:val="000000"/>
              </w:rPr>
              <w:t xml:space="preserve">rodzinę, </w:t>
            </w:r>
            <w:r w:rsidR="00B93834">
              <w:rPr>
                <w:rFonts w:ascii="Times New Roman" w:hAnsi="Times New Roman"/>
                <w:b/>
                <w:color w:val="000000"/>
              </w:rPr>
              <w:t xml:space="preserve">obywateli i gospodarstwa domowe </w:t>
            </w:r>
          </w:p>
        </w:tc>
      </w:tr>
      <w:tr w:rsidR="001453E8" w:rsidRPr="008B4FE6" w14:paraId="1556681C" w14:textId="77777777" w:rsidTr="00426640">
        <w:trPr>
          <w:trHeight w:val="142"/>
        </w:trPr>
        <w:tc>
          <w:tcPr>
            <w:tcW w:w="11199" w:type="dxa"/>
            <w:gridSpan w:val="29"/>
            <w:shd w:val="clear" w:color="auto" w:fill="FFFFFF"/>
          </w:tcPr>
          <w:p w14:paraId="2CDBFC68" w14:textId="77777777" w:rsidR="001453E8" w:rsidRDefault="001453E8" w:rsidP="00461F91">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 xml:space="preserve">Skutki </w:t>
            </w:r>
            <w:r w:rsidR="005E4312">
              <w:rPr>
                <w:rFonts w:ascii="Times New Roman" w:hAnsi="Times New Roman"/>
                <w:color w:val="000000"/>
                <w:spacing w:val="-2"/>
                <w:sz w:val="21"/>
                <w:szCs w:val="21"/>
              </w:rPr>
              <w:t>proponowanych</w:t>
            </w:r>
            <w:r>
              <w:rPr>
                <w:rFonts w:ascii="Times New Roman" w:hAnsi="Times New Roman"/>
                <w:color w:val="000000"/>
                <w:spacing w:val="-2"/>
                <w:sz w:val="21"/>
                <w:szCs w:val="21"/>
              </w:rPr>
              <w:t xml:space="preserve"> zmian </w:t>
            </w:r>
          </w:p>
          <w:p w14:paraId="1C58CA52" w14:textId="5D14BAC4" w:rsidR="00147498" w:rsidRDefault="00147498" w:rsidP="00461F91">
            <w:pPr>
              <w:spacing w:line="240" w:lineRule="auto"/>
              <w:rPr>
                <w:rFonts w:ascii="Times New Roman" w:hAnsi="Times New Roman"/>
                <w:color w:val="000000"/>
                <w:spacing w:val="-2"/>
                <w:sz w:val="21"/>
                <w:szCs w:val="21"/>
              </w:rPr>
            </w:pPr>
            <w:r w:rsidRPr="00147498">
              <w:rPr>
                <w:rFonts w:ascii="Times New Roman" w:hAnsi="Times New Roman"/>
                <w:b/>
                <w:color w:val="000000"/>
                <w:spacing w:val="-2"/>
                <w:sz w:val="21"/>
                <w:szCs w:val="21"/>
              </w:rPr>
              <w:t>Komentarz:</w:t>
            </w:r>
            <w:r>
              <w:rPr>
                <w:rFonts w:ascii="Times New Roman" w:hAnsi="Times New Roman"/>
                <w:color w:val="000000"/>
                <w:spacing w:val="-2"/>
                <w:sz w:val="21"/>
                <w:szCs w:val="21"/>
              </w:rPr>
              <w:t xml:space="preserve"> w ujęciu pieniężnym - duże przedsiębiorstwa - w pierwszym wierszu wskazano wpływ konta regulacyjnego, a w drugim wierszu utworzenia grupy taryfowej dla stacji ładowania</w:t>
            </w:r>
          </w:p>
        </w:tc>
      </w:tr>
      <w:tr w:rsidR="001453E8" w:rsidRPr="008B4FE6" w14:paraId="1EB85059" w14:textId="77777777" w:rsidTr="001453E8">
        <w:trPr>
          <w:trHeight w:val="142"/>
        </w:trPr>
        <w:tc>
          <w:tcPr>
            <w:tcW w:w="3828" w:type="dxa"/>
            <w:gridSpan w:val="7"/>
            <w:shd w:val="clear" w:color="auto" w:fill="FFFFFF"/>
          </w:tcPr>
          <w:p w14:paraId="2EE4B61E" w14:textId="77777777" w:rsidR="001453E8" w:rsidRDefault="001453E8" w:rsidP="001453E8">
            <w:pPr>
              <w:spacing w:line="240" w:lineRule="auto"/>
              <w:rPr>
                <w:rFonts w:ascii="Times New Roman" w:hAnsi="Times New Roman"/>
                <w:sz w:val="21"/>
                <w:szCs w:val="21"/>
              </w:rPr>
            </w:pPr>
            <w:r w:rsidRPr="00301959">
              <w:rPr>
                <w:rFonts w:ascii="Times New Roman" w:hAnsi="Times New Roman"/>
                <w:color w:val="000000"/>
                <w:sz w:val="21"/>
                <w:szCs w:val="21"/>
              </w:rPr>
              <w:t>Czas w latach od wejścia w życie zmian</w:t>
            </w:r>
          </w:p>
        </w:tc>
        <w:tc>
          <w:tcPr>
            <w:tcW w:w="1083" w:type="dxa"/>
            <w:gridSpan w:val="3"/>
            <w:shd w:val="clear" w:color="auto" w:fill="FFFFFF"/>
          </w:tcPr>
          <w:p w14:paraId="7671B456" w14:textId="77777777" w:rsidR="001453E8" w:rsidRDefault="001453E8" w:rsidP="001453E8">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0</w:t>
            </w:r>
          </w:p>
          <w:p w14:paraId="172B5C5E" w14:textId="4936DC2F" w:rsidR="000C7CA8" w:rsidRPr="00301959" w:rsidRDefault="000C7CA8" w:rsidP="001453E8">
            <w:pPr>
              <w:spacing w:line="240" w:lineRule="auto"/>
              <w:jc w:val="center"/>
              <w:rPr>
                <w:rFonts w:ascii="Times New Roman" w:hAnsi="Times New Roman"/>
                <w:color w:val="000000"/>
                <w:sz w:val="21"/>
                <w:szCs w:val="21"/>
              </w:rPr>
            </w:pPr>
            <w:r>
              <w:rPr>
                <w:rFonts w:ascii="Times New Roman" w:hAnsi="Times New Roman"/>
                <w:color w:val="000000"/>
                <w:sz w:val="21"/>
                <w:szCs w:val="21"/>
              </w:rPr>
              <w:t>(2021)</w:t>
            </w:r>
          </w:p>
        </w:tc>
        <w:tc>
          <w:tcPr>
            <w:tcW w:w="1030" w:type="dxa"/>
            <w:gridSpan w:val="4"/>
            <w:shd w:val="clear" w:color="auto" w:fill="FFFFFF"/>
          </w:tcPr>
          <w:p w14:paraId="75832FDA" w14:textId="77777777" w:rsidR="001453E8" w:rsidRPr="00301959" w:rsidRDefault="001453E8" w:rsidP="001453E8">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w:t>
            </w:r>
          </w:p>
        </w:tc>
        <w:tc>
          <w:tcPr>
            <w:tcW w:w="1030" w:type="dxa"/>
            <w:gridSpan w:val="4"/>
            <w:shd w:val="clear" w:color="auto" w:fill="FFFFFF"/>
          </w:tcPr>
          <w:p w14:paraId="44CFB6C1" w14:textId="77777777" w:rsidR="001453E8" w:rsidRPr="00301959" w:rsidRDefault="001453E8" w:rsidP="001453E8">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2</w:t>
            </w:r>
          </w:p>
        </w:tc>
        <w:tc>
          <w:tcPr>
            <w:tcW w:w="1030" w:type="dxa"/>
            <w:gridSpan w:val="5"/>
            <w:shd w:val="clear" w:color="auto" w:fill="FFFFFF"/>
          </w:tcPr>
          <w:p w14:paraId="6FA2EDFD" w14:textId="77777777" w:rsidR="001453E8" w:rsidRPr="00301959" w:rsidRDefault="001453E8" w:rsidP="001453E8">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3</w:t>
            </w:r>
          </w:p>
        </w:tc>
        <w:tc>
          <w:tcPr>
            <w:tcW w:w="1030" w:type="dxa"/>
            <w:gridSpan w:val="2"/>
            <w:shd w:val="clear" w:color="auto" w:fill="FFFFFF"/>
          </w:tcPr>
          <w:p w14:paraId="589107FB" w14:textId="77777777" w:rsidR="001453E8" w:rsidRPr="00301959" w:rsidRDefault="001453E8" w:rsidP="001453E8">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5</w:t>
            </w:r>
          </w:p>
        </w:tc>
        <w:tc>
          <w:tcPr>
            <w:tcW w:w="1176" w:type="dxa"/>
            <w:gridSpan w:val="3"/>
            <w:shd w:val="clear" w:color="auto" w:fill="FFFFFF"/>
          </w:tcPr>
          <w:p w14:paraId="4EEC18CD" w14:textId="77777777" w:rsidR="001453E8" w:rsidRPr="00301959" w:rsidRDefault="001453E8" w:rsidP="001453E8">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10</w:t>
            </w:r>
          </w:p>
        </w:tc>
        <w:tc>
          <w:tcPr>
            <w:tcW w:w="992" w:type="dxa"/>
            <w:shd w:val="clear" w:color="auto" w:fill="FFFFFF"/>
          </w:tcPr>
          <w:p w14:paraId="52804A89" w14:textId="77777777" w:rsidR="001453E8" w:rsidRPr="001453E8" w:rsidRDefault="001453E8" w:rsidP="001453E8">
            <w:pPr>
              <w:spacing w:line="240" w:lineRule="auto"/>
              <w:jc w:val="center"/>
              <w:rPr>
                <w:rFonts w:ascii="Times New Roman" w:hAnsi="Times New Roman"/>
                <w:color w:val="000000"/>
                <w:sz w:val="21"/>
                <w:szCs w:val="21"/>
              </w:rPr>
            </w:pPr>
            <w:r w:rsidRPr="001B3460">
              <w:rPr>
                <w:rFonts w:ascii="Times New Roman" w:hAnsi="Times New Roman"/>
                <w:i/>
                <w:color w:val="000000"/>
                <w:spacing w:val="-2"/>
                <w:sz w:val="21"/>
                <w:szCs w:val="21"/>
              </w:rPr>
              <w:t>Łącznie</w:t>
            </w:r>
            <w:r w:rsidRPr="001B3460" w:rsidDel="0073273A">
              <w:rPr>
                <w:rFonts w:ascii="Times New Roman" w:hAnsi="Times New Roman"/>
                <w:i/>
                <w:color w:val="000000"/>
                <w:spacing w:val="-2"/>
                <w:sz w:val="21"/>
                <w:szCs w:val="21"/>
              </w:rPr>
              <w:t xml:space="preserve"> </w:t>
            </w:r>
            <w:r w:rsidRPr="001B3460">
              <w:rPr>
                <w:rFonts w:ascii="Times New Roman" w:hAnsi="Times New Roman"/>
                <w:i/>
                <w:color w:val="000000"/>
                <w:spacing w:val="-2"/>
                <w:sz w:val="21"/>
                <w:szCs w:val="21"/>
              </w:rPr>
              <w:t>(0-10)</w:t>
            </w:r>
          </w:p>
        </w:tc>
      </w:tr>
      <w:tr w:rsidR="001453E8" w:rsidRPr="008B4FE6" w14:paraId="09678C76" w14:textId="77777777" w:rsidTr="00147498">
        <w:trPr>
          <w:trHeight w:val="142"/>
        </w:trPr>
        <w:tc>
          <w:tcPr>
            <w:tcW w:w="1592" w:type="dxa"/>
            <w:vMerge w:val="restart"/>
            <w:shd w:val="clear" w:color="auto" w:fill="FFFFFF"/>
          </w:tcPr>
          <w:p w14:paraId="1FEF335C" w14:textId="77777777" w:rsidR="001453E8" w:rsidRDefault="001453E8" w:rsidP="001453E8">
            <w:pPr>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14:paraId="36921FC6" w14:textId="77777777" w:rsidR="001453E8" w:rsidRDefault="001453E8" w:rsidP="001453E8">
            <w:pPr>
              <w:rPr>
                <w:rFonts w:ascii="Times New Roman" w:hAnsi="Times New Roman"/>
                <w:spacing w:val="-2"/>
                <w:sz w:val="21"/>
                <w:szCs w:val="21"/>
              </w:rPr>
            </w:pPr>
            <w:r>
              <w:rPr>
                <w:rFonts w:ascii="Times New Roman" w:hAnsi="Times New Roman"/>
                <w:spacing w:val="-2"/>
                <w:sz w:val="21"/>
                <w:szCs w:val="21"/>
              </w:rPr>
              <w:t xml:space="preserve">(w mln zł, </w:t>
            </w:r>
          </w:p>
          <w:p w14:paraId="1ED9B01F" w14:textId="1DF91CB8" w:rsidR="001453E8" w:rsidRPr="00301959" w:rsidRDefault="001453E8" w:rsidP="001453E8">
            <w:pPr>
              <w:spacing w:line="240" w:lineRule="auto"/>
              <w:rPr>
                <w:rFonts w:ascii="Times New Roman" w:hAnsi="Times New Roman"/>
                <w:color w:val="000000"/>
                <w:sz w:val="21"/>
                <w:szCs w:val="21"/>
              </w:rPr>
            </w:pPr>
            <w:r>
              <w:rPr>
                <w:rFonts w:ascii="Times New Roman" w:hAnsi="Times New Roman"/>
                <w:spacing w:val="-2"/>
                <w:sz w:val="21"/>
                <w:szCs w:val="21"/>
              </w:rPr>
              <w:t>ceny stałe z 20</w:t>
            </w:r>
            <w:r w:rsidR="00BB263D">
              <w:rPr>
                <w:rFonts w:ascii="Times New Roman" w:hAnsi="Times New Roman"/>
                <w:spacing w:val="-2"/>
                <w:sz w:val="21"/>
                <w:szCs w:val="21"/>
              </w:rPr>
              <w:t>20</w:t>
            </w:r>
            <w:r>
              <w:rPr>
                <w:rFonts w:ascii="Times New Roman" w:hAnsi="Times New Roman"/>
                <w:spacing w:val="-2"/>
                <w:sz w:val="21"/>
                <w:szCs w:val="21"/>
              </w:rPr>
              <w:t xml:space="preserve"> r.)</w:t>
            </w:r>
          </w:p>
        </w:tc>
        <w:tc>
          <w:tcPr>
            <w:tcW w:w="2236" w:type="dxa"/>
            <w:gridSpan w:val="6"/>
            <w:shd w:val="clear" w:color="auto" w:fill="FFFFFF"/>
          </w:tcPr>
          <w:p w14:paraId="204649CA" w14:textId="77777777" w:rsidR="001453E8" w:rsidRPr="00301959" w:rsidRDefault="001453E8" w:rsidP="001453E8">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1083" w:type="dxa"/>
            <w:gridSpan w:val="3"/>
            <w:shd w:val="clear" w:color="auto" w:fill="FFFFFF"/>
          </w:tcPr>
          <w:p w14:paraId="7A1C1FD6" w14:textId="77777777" w:rsidR="00147498" w:rsidRDefault="006F1436" w:rsidP="001453E8">
            <w:pPr>
              <w:spacing w:line="240" w:lineRule="auto"/>
              <w:rPr>
                <w:rFonts w:ascii="Times New Roman" w:hAnsi="Times New Roman"/>
                <w:color w:val="000000"/>
                <w:sz w:val="21"/>
                <w:szCs w:val="21"/>
              </w:rPr>
            </w:pPr>
            <w:r>
              <w:rPr>
                <w:rFonts w:ascii="Times New Roman" w:hAnsi="Times New Roman"/>
                <w:color w:val="000000"/>
                <w:sz w:val="21"/>
                <w:szCs w:val="21"/>
              </w:rPr>
              <w:t>224</w:t>
            </w:r>
          </w:p>
          <w:p w14:paraId="43898A86" w14:textId="4C4197DA" w:rsidR="00147498" w:rsidRPr="00F75A51" w:rsidRDefault="00147498" w:rsidP="001453E8">
            <w:pPr>
              <w:spacing w:line="240" w:lineRule="auto"/>
              <w:rPr>
                <w:rFonts w:ascii="Times New Roman" w:hAnsi="Times New Roman"/>
                <w:color w:val="000000"/>
                <w:sz w:val="21"/>
                <w:szCs w:val="21"/>
              </w:rPr>
            </w:pPr>
            <w:r>
              <w:rPr>
                <w:rFonts w:ascii="Times New Roman" w:hAnsi="Times New Roman"/>
                <w:color w:val="000000"/>
                <w:sz w:val="21"/>
                <w:szCs w:val="21"/>
              </w:rPr>
              <w:t>- 3</w:t>
            </w:r>
          </w:p>
        </w:tc>
        <w:tc>
          <w:tcPr>
            <w:tcW w:w="1030" w:type="dxa"/>
            <w:gridSpan w:val="4"/>
            <w:shd w:val="clear" w:color="auto" w:fill="FFFFFF"/>
          </w:tcPr>
          <w:p w14:paraId="0633DA09" w14:textId="77777777" w:rsidR="001453E8" w:rsidRDefault="00112A0C" w:rsidP="001453E8">
            <w:pPr>
              <w:rPr>
                <w:rFonts w:ascii="Times New Roman" w:hAnsi="Times New Roman"/>
                <w:color w:val="000000"/>
                <w:sz w:val="21"/>
                <w:szCs w:val="21"/>
              </w:rPr>
            </w:pPr>
            <w:r w:rsidRPr="00F75A51">
              <w:rPr>
                <w:rFonts w:ascii="Times New Roman" w:hAnsi="Times New Roman"/>
                <w:color w:val="000000"/>
                <w:sz w:val="21"/>
                <w:szCs w:val="21"/>
              </w:rPr>
              <w:t>0</w:t>
            </w:r>
          </w:p>
          <w:p w14:paraId="0E93FCBE" w14:textId="750EABD0" w:rsidR="00147498" w:rsidRPr="00F75A51" w:rsidRDefault="00147498" w:rsidP="001453E8">
            <w:pPr>
              <w:rPr>
                <w:rFonts w:ascii="Times New Roman" w:hAnsi="Times New Roman"/>
                <w:color w:val="000000"/>
                <w:sz w:val="21"/>
                <w:szCs w:val="21"/>
              </w:rPr>
            </w:pPr>
            <w:r>
              <w:rPr>
                <w:rFonts w:ascii="Times New Roman" w:hAnsi="Times New Roman"/>
                <w:color w:val="000000"/>
                <w:sz w:val="21"/>
                <w:szCs w:val="21"/>
              </w:rPr>
              <w:t>- 11</w:t>
            </w:r>
          </w:p>
        </w:tc>
        <w:tc>
          <w:tcPr>
            <w:tcW w:w="1030" w:type="dxa"/>
            <w:gridSpan w:val="4"/>
            <w:shd w:val="clear" w:color="auto" w:fill="FFFFFF"/>
          </w:tcPr>
          <w:p w14:paraId="47002C47" w14:textId="77777777" w:rsidR="001453E8" w:rsidRDefault="00112A0C" w:rsidP="001453E8">
            <w:pPr>
              <w:rPr>
                <w:rFonts w:ascii="Times New Roman" w:hAnsi="Times New Roman"/>
                <w:color w:val="000000"/>
                <w:sz w:val="21"/>
                <w:szCs w:val="21"/>
              </w:rPr>
            </w:pPr>
            <w:r w:rsidRPr="00F75A51">
              <w:rPr>
                <w:rFonts w:ascii="Times New Roman" w:hAnsi="Times New Roman"/>
                <w:color w:val="000000"/>
                <w:sz w:val="21"/>
                <w:szCs w:val="21"/>
              </w:rPr>
              <w:t>0</w:t>
            </w:r>
          </w:p>
          <w:p w14:paraId="5E53B221" w14:textId="59FF1716" w:rsidR="00147498" w:rsidRPr="00F75A51" w:rsidRDefault="00147498" w:rsidP="001453E8">
            <w:pPr>
              <w:rPr>
                <w:rFonts w:ascii="Times New Roman" w:hAnsi="Times New Roman"/>
                <w:color w:val="000000"/>
                <w:sz w:val="21"/>
                <w:szCs w:val="21"/>
              </w:rPr>
            </w:pPr>
            <w:r>
              <w:rPr>
                <w:rFonts w:ascii="Times New Roman" w:hAnsi="Times New Roman"/>
                <w:color w:val="000000"/>
                <w:sz w:val="21"/>
                <w:szCs w:val="21"/>
              </w:rPr>
              <w:t>- 9</w:t>
            </w:r>
          </w:p>
        </w:tc>
        <w:tc>
          <w:tcPr>
            <w:tcW w:w="1030" w:type="dxa"/>
            <w:gridSpan w:val="5"/>
            <w:shd w:val="clear" w:color="auto" w:fill="FFFFFF"/>
          </w:tcPr>
          <w:p w14:paraId="40234447" w14:textId="77777777" w:rsidR="001453E8" w:rsidRDefault="00112A0C" w:rsidP="001453E8">
            <w:pPr>
              <w:rPr>
                <w:rFonts w:ascii="Times New Roman" w:hAnsi="Times New Roman"/>
                <w:color w:val="000000"/>
                <w:sz w:val="21"/>
                <w:szCs w:val="21"/>
              </w:rPr>
            </w:pPr>
            <w:r w:rsidRPr="00F75A51">
              <w:rPr>
                <w:rFonts w:ascii="Times New Roman" w:hAnsi="Times New Roman"/>
                <w:color w:val="000000"/>
                <w:sz w:val="21"/>
                <w:szCs w:val="21"/>
              </w:rPr>
              <w:t>0</w:t>
            </w:r>
          </w:p>
          <w:p w14:paraId="4BE5832A" w14:textId="7F4A34D4" w:rsidR="00147498" w:rsidRPr="00F75A51" w:rsidRDefault="00147498" w:rsidP="001453E8">
            <w:pPr>
              <w:rPr>
                <w:rFonts w:ascii="Times New Roman" w:hAnsi="Times New Roman"/>
                <w:color w:val="000000"/>
                <w:sz w:val="21"/>
                <w:szCs w:val="21"/>
              </w:rPr>
            </w:pPr>
            <w:r>
              <w:rPr>
                <w:rFonts w:ascii="Times New Roman" w:hAnsi="Times New Roman"/>
                <w:color w:val="000000"/>
                <w:sz w:val="21"/>
                <w:szCs w:val="21"/>
              </w:rPr>
              <w:t>- 7</w:t>
            </w:r>
          </w:p>
        </w:tc>
        <w:tc>
          <w:tcPr>
            <w:tcW w:w="1030" w:type="dxa"/>
            <w:gridSpan w:val="2"/>
            <w:shd w:val="clear" w:color="auto" w:fill="FFFFFF"/>
          </w:tcPr>
          <w:p w14:paraId="2CA31B8F" w14:textId="77777777" w:rsidR="001453E8" w:rsidRDefault="00112A0C" w:rsidP="001453E8">
            <w:pPr>
              <w:rPr>
                <w:rFonts w:ascii="Times New Roman" w:hAnsi="Times New Roman"/>
                <w:color w:val="000000"/>
                <w:sz w:val="21"/>
                <w:szCs w:val="21"/>
              </w:rPr>
            </w:pPr>
            <w:r w:rsidRPr="00F75A51">
              <w:rPr>
                <w:rFonts w:ascii="Times New Roman" w:hAnsi="Times New Roman"/>
                <w:color w:val="000000"/>
                <w:sz w:val="21"/>
                <w:szCs w:val="21"/>
              </w:rPr>
              <w:t>0</w:t>
            </w:r>
          </w:p>
          <w:p w14:paraId="3EE5C0AB" w14:textId="22D396D3" w:rsidR="00147498" w:rsidRPr="00F75A51" w:rsidRDefault="00147498" w:rsidP="001453E8">
            <w:pPr>
              <w:rPr>
                <w:rFonts w:ascii="Times New Roman" w:hAnsi="Times New Roman"/>
                <w:color w:val="000000"/>
                <w:sz w:val="21"/>
                <w:szCs w:val="21"/>
              </w:rPr>
            </w:pPr>
            <w:r>
              <w:rPr>
                <w:rFonts w:ascii="Times New Roman" w:hAnsi="Times New Roman"/>
                <w:color w:val="000000"/>
                <w:sz w:val="21"/>
                <w:szCs w:val="21"/>
              </w:rPr>
              <w:t>- 1</w:t>
            </w:r>
          </w:p>
        </w:tc>
        <w:tc>
          <w:tcPr>
            <w:tcW w:w="1176" w:type="dxa"/>
            <w:gridSpan w:val="3"/>
            <w:shd w:val="clear" w:color="auto" w:fill="FFFFFF"/>
          </w:tcPr>
          <w:p w14:paraId="11EC9CD8" w14:textId="77777777" w:rsidR="001453E8" w:rsidRDefault="00112A0C" w:rsidP="001453E8">
            <w:pPr>
              <w:rPr>
                <w:rFonts w:ascii="Times New Roman" w:hAnsi="Times New Roman"/>
                <w:color w:val="000000"/>
                <w:sz w:val="21"/>
                <w:szCs w:val="21"/>
              </w:rPr>
            </w:pPr>
            <w:r w:rsidRPr="00F75A51">
              <w:rPr>
                <w:rFonts w:ascii="Times New Roman" w:hAnsi="Times New Roman"/>
                <w:color w:val="000000"/>
                <w:sz w:val="21"/>
                <w:szCs w:val="21"/>
              </w:rPr>
              <w:t>0</w:t>
            </w:r>
          </w:p>
          <w:p w14:paraId="0F1D34DE" w14:textId="53840201" w:rsidR="00147498" w:rsidRPr="00F75A51" w:rsidRDefault="00147498" w:rsidP="001453E8">
            <w:pPr>
              <w:rPr>
                <w:rFonts w:ascii="Times New Roman" w:hAnsi="Times New Roman"/>
                <w:color w:val="000000"/>
                <w:sz w:val="21"/>
                <w:szCs w:val="21"/>
              </w:rPr>
            </w:pPr>
            <w:r>
              <w:rPr>
                <w:rFonts w:ascii="Times New Roman" w:hAnsi="Times New Roman"/>
                <w:color w:val="000000"/>
                <w:sz w:val="21"/>
                <w:szCs w:val="21"/>
              </w:rPr>
              <w:t>50</w:t>
            </w:r>
          </w:p>
        </w:tc>
        <w:tc>
          <w:tcPr>
            <w:tcW w:w="992" w:type="dxa"/>
            <w:shd w:val="clear" w:color="auto" w:fill="FFFFFF"/>
            <w:vAlign w:val="center"/>
          </w:tcPr>
          <w:p w14:paraId="6E81ECD5" w14:textId="11E4602C" w:rsidR="001453E8" w:rsidRPr="00F75A51" w:rsidRDefault="00147498" w:rsidP="001453E8">
            <w:pPr>
              <w:spacing w:line="240" w:lineRule="auto"/>
              <w:rPr>
                <w:rFonts w:ascii="Times New Roman" w:hAnsi="Times New Roman"/>
                <w:color w:val="000000"/>
                <w:sz w:val="21"/>
                <w:szCs w:val="21"/>
              </w:rPr>
            </w:pPr>
            <w:r>
              <w:rPr>
                <w:rFonts w:ascii="Times New Roman" w:hAnsi="Times New Roman"/>
                <w:color w:val="000000"/>
                <w:sz w:val="21"/>
                <w:szCs w:val="21"/>
              </w:rPr>
              <w:t>243</w:t>
            </w:r>
          </w:p>
        </w:tc>
      </w:tr>
      <w:tr w:rsidR="001453E8" w:rsidRPr="008B4FE6" w14:paraId="54F16647" w14:textId="77777777" w:rsidTr="001453E8">
        <w:trPr>
          <w:trHeight w:val="142"/>
        </w:trPr>
        <w:tc>
          <w:tcPr>
            <w:tcW w:w="1592" w:type="dxa"/>
            <w:vMerge/>
            <w:shd w:val="clear" w:color="auto" w:fill="FFFFFF"/>
          </w:tcPr>
          <w:p w14:paraId="64843FB1" w14:textId="77777777" w:rsidR="001453E8" w:rsidRPr="00301959" w:rsidRDefault="001453E8" w:rsidP="001453E8">
            <w:pPr>
              <w:spacing w:line="240" w:lineRule="auto"/>
              <w:rPr>
                <w:rFonts w:ascii="Times New Roman" w:hAnsi="Times New Roman"/>
                <w:color w:val="000000"/>
                <w:sz w:val="21"/>
                <w:szCs w:val="21"/>
              </w:rPr>
            </w:pPr>
          </w:p>
        </w:tc>
        <w:tc>
          <w:tcPr>
            <w:tcW w:w="2236" w:type="dxa"/>
            <w:gridSpan w:val="6"/>
            <w:shd w:val="clear" w:color="auto" w:fill="FFFFFF"/>
          </w:tcPr>
          <w:p w14:paraId="408C4550" w14:textId="77777777" w:rsidR="001453E8" w:rsidRPr="00301959" w:rsidRDefault="001453E8" w:rsidP="001453E8">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1083" w:type="dxa"/>
            <w:gridSpan w:val="3"/>
            <w:shd w:val="clear" w:color="auto" w:fill="FFFFFF"/>
          </w:tcPr>
          <w:p w14:paraId="604BE9FF" w14:textId="27363035" w:rsidR="001453E8" w:rsidRPr="00F75A51" w:rsidRDefault="006F1436" w:rsidP="001453E8">
            <w:pPr>
              <w:spacing w:line="240" w:lineRule="auto"/>
              <w:rPr>
                <w:rFonts w:ascii="Times New Roman" w:hAnsi="Times New Roman"/>
                <w:color w:val="000000"/>
                <w:sz w:val="21"/>
                <w:szCs w:val="21"/>
              </w:rPr>
            </w:pPr>
            <w:r>
              <w:rPr>
                <w:rFonts w:ascii="Times New Roman" w:hAnsi="Times New Roman"/>
                <w:color w:val="000000"/>
                <w:sz w:val="21"/>
                <w:szCs w:val="21"/>
              </w:rPr>
              <w:t>7</w:t>
            </w:r>
            <w:r w:rsidR="00321A43">
              <w:rPr>
                <w:rFonts w:ascii="Times New Roman" w:hAnsi="Times New Roman"/>
                <w:color w:val="000000"/>
                <w:sz w:val="21"/>
                <w:szCs w:val="21"/>
              </w:rPr>
              <w:t>1</w:t>
            </w:r>
          </w:p>
        </w:tc>
        <w:tc>
          <w:tcPr>
            <w:tcW w:w="1030" w:type="dxa"/>
            <w:gridSpan w:val="4"/>
            <w:shd w:val="clear" w:color="auto" w:fill="FFFFFF"/>
          </w:tcPr>
          <w:p w14:paraId="5B5CD6F8" w14:textId="77777777" w:rsidR="001453E8" w:rsidRPr="00F75A51" w:rsidRDefault="00112A0C" w:rsidP="001453E8">
            <w:pPr>
              <w:spacing w:line="240" w:lineRule="auto"/>
              <w:rPr>
                <w:rFonts w:ascii="Times New Roman" w:hAnsi="Times New Roman"/>
                <w:color w:val="000000"/>
                <w:sz w:val="21"/>
                <w:szCs w:val="21"/>
              </w:rPr>
            </w:pPr>
            <w:r w:rsidRPr="00F75A51">
              <w:rPr>
                <w:rFonts w:ascii="Times New Roman" w:hAnsi="Times New Roman"/>
                <w:color w:val="000000"/>
                <w:sz w:val="21"/>
                <w:szCs w:val="21"/>
              </w:rPr>
              <w:t>0</w:t>
            </w:r>
          </w:p>
        </w:tc>
        <w:tc>
          <w:tcPr>
            <w:tcW w:w="1030" w:type="dxa"/>
            <w:gridSpan w:val="4"/>
            <w:shd w:val="clear" w:color="auto" w:fill="FFFFFF"/>
          </w:tcPr>
          <w:p w14:paraId="13AFC130" w14:textId="77777777" w:rsidR="001453E8" w:rsidRPr="00F75A51" w:rsidRDefault="00112A0C" w:rsidP="001453E8">
            <w:pPr>
              <w:rPr>
                <w:rFonts w:ascii="Times New Roman" w:hAnsi="Times New Roman"/>
                <w:color w:val="000000"/>
                <w:sz w:val="21"/>
                <w:szCs w:val="21"/>
              </w:rPr>
            </w:pPr>
            <w:r w:rsidRPr="00F75A51">
              <w:rPr>
                <w:rFonts w:ascii="Times New Roman" w:hAnsi="Times New Roman"/>
                <w:color w:val="000000"/>
                <w:sz w:val="21"/>
                <w:szCs w:val="21"/>
              </w:rPr>
              <w:t>0</w:t>
            </w:r>
          </w:p>
        </w:tc>
        <w:tc>
          <w:tcPr>
            <w:tcW w:w="1030" w:type="dxa"/>
            <w:gridSpan w:val="5"/>
            <w:shd w:val="clear" w:color="auto" w:fill="FFFFFF"/>
          </w:tcPr>
          <w:p w14:paraId="589300CA" w14:textId="77777777" w:rsidR="001453E8" w:rsidRPr="00F75A51" w:rsidRDefault="00112A0C" w:rsidP="001453E8">
            <w:pPr>
              <w:rPr>
                <w:rFonts w:ascii="Times New Roman" w:hAnsi="Times New Roman"/>
                <w:color w:val="000000"/>
                <w:sz w:val="21"/>
                <w:szCs w:val="21"/>
              </w:rPr>
            </w:pPr>
            <w:r w:rsidRPr="00F75A51">
              <w:rPr>
                <w:rFonts w:ascii="Times New Roman" w:hAnsi="Times New Roman"/>
                <w:color w:val="000000"/>
                <w:sz w:val="21"/>
                <w:szCs w:val="21"/>
              </w:rPr>
              <w:t>0</w:t>
            </w:r>
          </w:p>
        </w:tc>
        <w:tc>
          <w:tcPr>
            <w:tcW w:w="1030" w:type="dxa"/>
            <w:gridSpan w:val="2"/>
            <w:shd w:val="clear" w:color="auto" w:fill="FFFFFF"/>
          </w:tcPr>
          <w:p w14:paraId="1A92219F" w14:textId="77777777" w:rsidR="001453E8" w:rsidRPr="00F75A51" w:rsidRDefault="00112A0C" w:rsidP="001453E8">
            <w:pPr>
              <w:rPr>
                <w:rFonts w:ascii="Times New Roman" w:hAnsi="Times New Roman"/>
                <w:color w:val="000000"/>
                <w:sz w:val="21"/>
                <w:szCs w:val="21"/>
              </w:rPr>
            </w:pPr>
            <w:r w:rsidRPr="00F75A51">
              <w:rPr>
                <w:rFonts w:ascii="Times New Roman" w:hAnsi="Times New Roman"/>
                <w:color w:val="000000"/>
                <w:sz w:val="21"/>
                <w:szCs w:val="21"/>
              </w:rPr>
              <w:t>0</w:t>
            </w:r>
          </w:p>
        </w:tc>
        <w:tc>
          <w:tcPr>
            <w:tcW w:w="1176" w:type="dxa"/>
            <w:gridSpan w:val="3"/>
            <w:shd w:val="clear" w:color="auto" w:fill="FFFFFF"/>
          </w:tcPr>
          <w:p w14:paraId="73209B3D" w14:textId="77777777" w:rsidR="001453E8" w:rsidRPr="00F75A51" w:rsidRDefault="00112A0C" w:rsidP="001453E8">
            <w:pPr>
              <w:rPr>
                <w:rFonts w:ascii="Times New Roman" w:hAnsi="Times New Roman"/>
                <w:color w:val="000000"/>
                <w:sz w:val="21"/>
                <w:szCs w:val="21"/>
              </w:rPr>
            </w:pPr>
            <w:r w:rsidRPr="00F75A51">
              <w:rPr>
                <w:rFonts w:ascii="Times New Roman" w:hAnsi="Times New Roman"/>
                <w:color w:val="000000"/>
                <w:sz w:val="21"/>
                <w:szCs w:val="21"/>
              </w:rPr>
              <w:t>0</w:t>
            </w:r>
          </w:p>
        </w:tc>
        <w:tc>
          <w:tcPr>
            <w:tcW w:w="992" w:type="dxa"/>
            <w:shd w:val="clear" w:color="auto" w:fill="FFFFFF"/>
          </w:tcPr>
          <w:p w14:paraId="44F06221" w14:textId="5F36B578" w:rsidR="001453E8" w:rsidRPr="00F75A51" w:rsidRDefault="006F1436" w:rsidP="001453E8">
            <w:pPr>
              <w:spacing w:line="240" w:lineRule="auto"/>
              <w:rPr>
                <w:rFonts w:ascii="Times New Roman" w:hAnsi="Times New Roman"/>
                <w:color w:val="000000"/>
                <w:sz w:val="21"/>
                <w:szCs w:val="21"/>
              </w:rPr>
            </w:pPr>
            <w:r>
              <w:rPr>
                <w:rFonts w:ascii="Times New Roman" w:hAnsi="Times New Roman"/>
                <w:color w:val="000000"/>
                <w:sz w:val="21"/>
                <w:szCs w:val="21"/>
              </w:rPr>
              <w:t>7</w:t>
            </w:r>
            <w:r w:rsidR="00D27015">
              <w:rPr>
                <w:rFonts w:ascii="Times New Roman" w:hAnsi="Times New Roman"/>
                <w:color w:val="000000"/>
                <w:sz w:val="21"/>
                <w:szCs w:val="21"/>
              </w:rPr>
              <w:t>1</w:t>
            </w:r>
          </w:p>
        </w:tc>
      </w:tr>
      <w:tr w:rsidR="001453E8" w:rsidRPr="008B4FE6" w14:paraId="3A8EC102" w14:textId="77777777" w:rsidTr="001453E8">
        <w:trPr>
          <w:trHeight w:val="142"/>
        </w:trPr>
        <w:tc>
          <w:tcPr>
            <w:tcW w:w="1592" w:type="dxa"/>
            <w:vMerge/>
            <w:shd w:val="clear" w:color="auto" w:fill="FFFFFF"/>
          </w:tcPr>
          <w:p w14:paraId="4BED86E9" w14:textId="77777777" w:rsidR="001453E8" w:rsidRPr="00301959" w:rsidRDefault="001453E8" w:rsidP="001453E8">
            <w:pPr>
              <w:spacing w:line="240" w:lineRule="auto"/>
              <w:rPr>
                <w:rFonts w:ascii="Times New Roman" w:hAnsi="Times New Roman"/>
                <w:color w:val="000000"/>
                <w:sz w:val="21"/>
                <w:szCs w:val="21"/>
              </w:rPr>
            </w:pPr>
          </w:p>
        </w:tc>
        <w:tc>
          <w:tcPr>
            <w:tcW w:w="2236" w:type="dxa"/>
            <w:gridSpan w:val="6"/>
            <w:shd w:val="clear" w:color="auto" w:fill="FFFFFF"/>
          </w:tcPr>
          <w:p w14:paraId="725D7FAB" w14:textId="77777777" w:rsidR="001453E8" w:rsidRPr="00301959" w:rsidRDefault="001453E8" w:rsidP="001453E8">
            <w:pPr>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p>
        </w:tc>
        <w:tc>
          <w:tcPr>
            <w:tcW w:w="1083" w:type="dxa"/>
            <w:gridSpan w:val="3"/>
            <w:shd w:val="clear" w:color="auto" w:fill="FFFFFF"/>
          </w:tcPr>
          <w:p w14:paraId="07F7B9F6" w14:textId="1F0D03D0" w:rsidR="001453E8" w:rsidRPr="00F75A51" w:rsidRDefault="006F1436" w:rsidP="001453E8">
            <w:pPr>
              <w:spacing w:line="240" w:lineRule="auto"/>
              <w:rPr>
                <w:rFonts w:ascii="Times New Roman" w:hAnsi="Times New Roman"/>
                <w:color w:val="000000"/>
                <w:sz w:val="21"/>
                <w:szCs w:val="21"/>
              </w:rPr>
            </w:pPr>
            <w:r>
              <w:rPr>
                <w:rFonts w:ascii="Times New Roman" w:hAnsi="Times New Roman"/>
                <w:color w:val="000000"/>
                <w:sz w:val="21"/>
                <w:szCs w:val="21"/>
              </w:rPr>
              <w:t>9</w:t>
            </w:r>
            <w:r w:rsidR="00321A43">
              <w:rPr>
                <w:rFonts w:ascii="Times New Roman" w:hAnsi="Times New Roman"/>
                <w:color w:val="000000"/>
                <w:sz w:val="21"/>
                <w:szCs w:val="21"/>
              </w:rPr>
              <w:t>3</w:t>
            </w:r>
          </w:p>
        </w:tc>
        <w:tc>
          <w:tcPr>
            <w:tcW w:w="1030" w:type="dxa"/>
            <w:gridSpan w:val="4"/>
            <w:shd w:val="clear" w:color="auto" w:fill="FFFFFF"/>
          </w:tcPr>
          <w:p w14:paraId="45A5C924" w14:textId="77777777" w:rsidR="001453E8" w:rsidRPr="00F75A51" w:rsidRDefault="00112A0C" w:rsidP="001453E8">
            <w:pPr>
              <w:rPr>
                <w:rFonts w:ascii="Times New Roman" w:hAnsi="Times New Roman"/>
                <w:color w:val="000000"/>
                <w:sz w:val="21"/>
                <w:szCs w:val="21"/>
              </w:rPr>
            </w:pPr>
            <w:r w:rsidRPr="00F75A51">
              <w:rPr>
                <w:rFonts w:ascii="Times New Roman" w:hAnsi="Times New Roman"/>
                <w:color w:val="000000"/>
                <w:sz w:val="21"/>
                <w:szCs w:val="21"/>
              </w:rPr>
              <w:t>0</w:t>
            </w:r>
          </w:p>
        </w:tc>
        <w:tc>
          <w:tcPr>
            <w:tcW w:w="1030" w:type="dxa"/>
            <w:gridSpan w:val="4"/>
            <w:shd w:val="clear" w:color="auto" w:fill="FFFFFF"/>
          </w:tcPr>
          <w:p w14:paraId="04223B74" w14:textId="77777777" w:rsidR="001453E8" w:rsidRPr="00F75A51" w:rsidRDefault="00112A0C" w:rsidP="001453E8">
            <w:pPr>
              <w:rPr>
                <w:rFonts w:ascii="Times New Roman" w:hAnsi="Times New Roman"/>
                <w:color w:val="000000"/>
                <w:sz w:val="21"/>
                <w:szCs w:val="21"/>
              </w:rPr>
            </w:pPr>
            <w:r w:rsidRPr="00F75A51">
              <w:rPr>
                <w:rFonts w:ascii="Times New Roman" w:hAnsi="Times New Roman"/>
                <w:color w:val="000000"/>
                <w:sz w:val="21"/>
                <w:szCs w:val="21"/>
              </w:rPr>
              <w:t>0</w:t>
            </w:r>
          </w:p>
        </w:tc>
        <w:tc>
          <w:tcPr>
            <w:tcW w:w="1030" w:type="dxa"/>
            <w:gridSpan w:val="5"/>
            <w:shd w:val="clear" w:color="auto" w:fill="FFFFFF"/>
          </w:tcPr>
          <w:p w14:paraId="304F8EA8" w14:textId="77777777" w:rsidR="001453E8" w:rsidRPr="00F75A51" w:rsidRDefault="00112A0C" w:rsidP="001453E8">
            <w:pPr>
              <w:rPr>
                <w:rFonts w:ascii="Times New Roman" w:hAnsi="Times New Roman"/>
                <w:color w:val="000000"/>
                <w:sz w:val="21"/>
                <w:szCs w:val="21"/>
              </w:rPr>
            </w:pPr>
            <w:r w:rsidRPr="00F75A51">
              <w:rPr>
                <w:rFonts w:ascii="Times New Roman" w:hAnsi="Times New Roman"/>
                <w:color w:val="000000"/>
                <w:sz w:val="21"/>
                <w:szCs w:val="21"/>
              </w:rPr>
              <w:t>0</w:t>
            </w:r>
          </w:p>
        </w:tc>
        <w:tc>
          <w:tcPr>
            <w:tcW w:w="1030" w:type="dxa"/>
            <w:gridSpan w:val="2"/>
            <w:shd w:val="clear" w:color="auto" w:fill="FFFFFF"/>
          </w:tcPr>
          <w:p w14:paraId="7720A1BD" w14:textId="77777777" w:rsidR="001453E8" w:rsidRPr="00F75A51" w:rsidRDefault="00112A0C" w:rsidP="001453E8">
            <w:pPr>
              <w:rPr>
                <w:rFonts w:ascii="Times New Roman" w:hAnsi="Times New Roman"/>
                <w:color w:val="000000"/>
                <w:sz w:val="21"/>
                <w:szCs w:val="21"/>
              </w:rPr>
            </w:pPr>
            <w:r w:rsidRPr="00F75A51">
              <w:rPr>
                <w:rFonts w:ascii="Times New Roman" w:hAnsi="Times New Roman"/>
                <w:color w:val="000000"/>
                <w:sz w:val="21"/>
                <w:szCs w:val="21"/>
              </w:rPr>
              <w:t>0</w:t>
            </w:r>
          </w:p>
        </w:tc>
        <w:tc>
          <w:tcPr>
            <w:tcW w:w="1176" w:type="dxa"/>
            <w:gridSpan w:val="3"/>
            <w:shd w:val="clear" w:color="auto" w:fill="FFFFFF"/>
          </w:tcPr>
          <w:p w14:paraId="39E9C047" w14:textId="77777777" w:rsidR="001453E8" w:rsidRPr="00F75A51" w:rsidRDefault="00112A0C" w:rsidP="001453E8">
            <w:pPr>
              <w:spacing w:line="240" w:lineRule="auto"/>
              <w:rPr>
                <w:rFonts w:ascii="Times New Roman" w:hAnsi="Times New Roman"/>
                <w:color w:val="000000"/>
                <w:sz w:val="21"/>
                <w:szCs w:val="21"/>
              </w:rPr>
            </w:pPr>
            <w:r w:rsidRPr="00F75A51">
              <w:rPr>
                <w:rFonts w:ascii="Times New Roman" w:hAnsi="Times New Roman"/>
                <w:color w:val="000000"/>
                <w:sz w:val="21"/>
                <w:szCs w:val="21"/>
              </w:rPr>
              <w:t>0</w:t>
            </w:r>
          </w:p>
        </w:tc>
        <w:tc>
          <w:tcPr>
            <w:tcW w:w="992" w:type="dxa"/>
            <w:shd w:val="clear" w:color="auto" w:fill="FFFFFF"/>
          </w:tcPr>
          <w:p w14:paraId="57823DEE" w14:textId="3CD3EBD8" w:rsidR="001453E8" w:rsidRPr="00F75A51" w:rsidRDefault="006F1436" w:rsidP="001453E8">
            <w:pPr>
              <w:spacing w:line="240" w:lineRule="auto"/>
              <w:rPr>
                <w:rFonts w:ascii="Times New Roman" w:hAnsi="Times New Roman"/>
                <w:color w:val="000000"/>
                <w:sz w:val="21"/>
                <w:szCs w:val="21"/>
              </w:rPr>
            </w:pPr>
            <w:r>
              <w:rPr>
                <w:rFonts w:ascii="Times New Roman" w:hAnsi="Times New Roman"/>
                <w:color w:val="000000"/>
                <w:sz w:val="21"/>
                <w:szCs w:val="21"/>
              </w:rPr>
              <w:t>9</w:t>
            </w:r>
            <w:r w:rsidR="00D27015">
              <w:rPr>
                <w:rFonts w:ascii="Times New Roman" w:hAnsi="Times New Roman"/>
                <w:color w:val="000000"/>
                <w:sz w:val="21"/>
                <w:szCs w:val="21"/>
              </w:rPr>
              <w:t>3</w:t>
            </w:r>
          </w:p>
        </w:tc>
      </w:tr>
      <w:tr w:rsidR="001453E8" w:rsidRPr="008B4FE6" w14:paraId="2DE7079C" w14:textId="77777777" w:rsidTr="001453E8">
        <w:trPr>
          <w:trHeight w:val="142"/>
        </w:trPr>
        <w:tc>
          <w:tcPr>
            <w:tcW w:w="1592" w:type="dxa"/>
            <w:vMerge w:val="restart"/>
            <w:shd w:val="clear" w:color="auto" w:fill="FFFFFF"/>
          </w:tcPr>
          <w:p w14:paraId="118F32A3" w14:textId="77777777" w:rsidR="001453E8" w:rsidRPr="00301959" w:rsidRDefault="001453E8" w:rsidP="001453E8">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niepieniężnym</w:t>
            </w:r>
          </w:p>
        </w:tc>
        <w:tc>
          <w:tcPr>
            <w:tcW w:w="2236" w:type="dxa"/>
            <w:gridSpan w:val="6"/>
            <w:shd w:val="clear" w:color="auto" w:fill="FFFFFF"/>
          </w:tcPr>
          <w:p w14:paraId="3D964093" w14:textId="77777777" w:rsidR="001453E8" w:rsidRPr="00301959" w:rsidRDefault="001453E8" w:rsidP="001453E8">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7371" w:type="dxa"/>
            <w:gridSpan w:val="22"/>
            <w:shd w:val="clear" w:color="auto" w:fill="FFFFFF"/>
          </w:tcPr>
          <w:p w14:paraId="1C69E814" w14:textId="77777777" w:rsidR="001453E8" w:rsidRDefault="00C23690" w:rsidP="00045CFF">
            <w:pPr>
              <w:spacing w:line="240" w:lineRule="auto"/>
              <w:rPr>
                <w:rFonts w:ascii="Times New Roman" w:hAnsi="Times New Roman"/>
                <w:color w:val="000000"/>
                <w:spacing w:val="-2"/>
                <w:sz w:val="21"/>
                <w:szCs w:val="21"/>
              </w:rPr>
            </w:pPr>
            <w:r w:rsidRPr="00F81A04">
              <w:rPr>
                <w:rFonts w:ascii="Times New Roman" w:hAnsi="Times New Roman"/>
                <w:color w:val="000000"/>
                <w:spacing w:val="-2"/>
                <w:sz w:val="21"/>
                <w:szCs w:val="21"/>
              </w:rPr>
              <w:t>Zwiększenie pewności regulacji</w:t>
            </w:r>
            <w:r w:rsidR="00F81A04" w:rsidRPr="00F81A04">
              <w:rPr>
                <w:rFonts w:ascii="Times New Roman" w:hAnsi="Times New Roman"/>
                <w:color w:val="000000"/>
                <w:spacing w:val="-2"/>
                <w:sz w:val="21"/>
                <w:szCs w:val="21"/>
              </w:rPr>
              <w:t xml:space="preserve">. </w:t>
            </w:r>
            <w:r w:rsidR="005E4312" w:rsidRPr="005E4312">
              <w:rPr>
                <w:rFonts w:ascii="Times New Roman" w:hAnsi="Times New Roman"/>
                <w:color w:val="000000"/>
                <w:spacing w:val="-2"/>
                <w:sz w:val="21"/>
                <w:szCs w:val="21"/>
              </w:rPr>
              <w:t>Przewidywalność stawek opłat za przesył i dystrybucję energii elektrycznej.</w:t>
            </w:r>
            <w:r w:rsidR="00336C0D">
              <w:rPr>
                <w:rFonts w:ascii="Times New Roman" w:hAnsi="Times New Roman"/>
                <w:color w:val="000000"/>
                <w:spacing w:val="-2"/>
                <w:sz w:val="21"/>
                <w:szCs w:val="21"/>
              </w:rPr>
              <w:t xml:space="preserve"> Brak dużej zmienności stawek za dystrybucję</w:t>
            </w:r>
            <w:r w:rsidR="00045CFF">
              <w:rPr>
                <w:rFonts w:ascii="Times New Roman" w:hAnsi="Times New Roman"/>
                <w:color w:val="000000"/>
                <w:spacing w:val="-2"/>
                <w:sz w:val="21"/>
                <w:szCs w:val="21"/>
              </w:rPr>
              <w:t xml:space="preserve"> i przesyłanie energii elektrycznej</w:t>
            </w:r>
            <w:r w:rsidR="00336C0D">
              <w:rPr>
                <w:rFonts w:ascii="Times New Roman" w:hAnsi="Times New Roman"/>
                <w:color w:val="000000"/>
                <w:spacing w:val="-2"/>
                <w:sz w:val="21"/>
                <w:szCs w:val="21"/>
              </w:rPr>
              <w:t>.</w:t>
            </w:r>
          </w:p>
          <w:p w14:paraId="48382B6E" w14:textId="2B5E929B" w:rsidR="006F5F73" w:rsidRPr="00F81A04" w:rsidRDefault="006F5F73" w:rsidP="006F5F73">
            <w:pPr>
              <w:spacing w:line="240" w:lineRule="auto"/>
              <w:rPr>
                <w:rFonts w:ascii="Times New Roman" w:hAnsi="Times New Roman"/>
                <w:color w:val="000000"/>
                <w:spacing w:val="-2"/>
                <w:sz w:val="21"/>
                <w:szCs w:val="21"/>
              </w:rPr>
            </w:pPr>
            <w:r w:rsidRPr="006F5F73">
              <w:rPr>
                <w:rFonts w:ascii="Times New Roman" w:hAnsi="Times New Roman"/>
                <w:color w:val="000000"/>
                <w:spacing w:val="-2"/>
                <w:sz w:val="21"/>
                <w:szCs w:val="21"/>
              </w:rPr>
              <w:lastRenderedPageBreak/>
              <w:t xml:space="preserve">Projekt ma wpływ na dużych Operatorów Systemów Dystrybucji energii elektrycznej w związku z ponoszoną stratą w wysokości ok. 11 mln </w:t>
            </w:r>
            <w:r>
              <w:rPr>
                <w:rFonts w:ascii="Times New Roman" w:hAnsi="Times New Roman"/>
                <w:color w:val="000000"/>
                <w:spacing w:val="-2"/>
                <w:sz w:val="21"/>
                <w:szCs w:val="21"/>
              </w:rPr>
              <w:t>zł</w:t>
            </w:r>
            <w:r w:rsidRPr="006F5F73">
              <w:rPr>
                <w:rFonts w:ascii="Times New Roman" w:hAnsi="Times New Roman"/>
                <w:color w:val="000000"/>
                <w:spacing w:val="-2"/>
                <w:sz w:val="21"/>
                <w:szCs w:val="21"/>
              </w:rPr>
              <w:t xml:space="preserve"> rocznie w wyniku wprowadzenia E-Taryfy. Poniesione straty będą się zmniejszać wraz ze wzrostem ilości samochodów elektrycznych w Polsce do ilości ok. 80 tys. sztuk. Po osiągnięciu tej liczby OSD będą osiągały zysk ze sprzedaży energii elektrycznej przeznaczonej na ładowanie pojazdów elektrycznych, który przy ilości ok. 150 tys. może wynieść ok. 50 mln</w:t>
            </w:r>
            <w:r>
              <w:rPr>
                <w:rFonts w:ascii="Times New Roman" w:hAnsi="Times New Roman"/>
                <w:color w:val="000000"/>
                <w:spacing w:val="-2"/>
                <w:sz w:val="21"/>
                <w:szCs w:val="21"/>
              </w:rPr>
              <w:t xml:space="preserve"> zł.</w:t>
            </w:r>
          </w:p>
        </w:tc>
      </w:tr>
      <w:tr w:rsidR="001453E8" w:rsidRPr="008B4FE6" w14:paraId="3E33CEAE" w14:textId="77777777" w:rsidTr="001453E8">
        <w:trPr>
          <w:trHeight w:val="142"/>
        </w:trPr>
        <w:tc>
          <w:tcPr>
            <w:tcW w:w="1592" w:type="dxa"/>
            <w:vMerge/>
            <w:shd w:val="clear" w:color="auto" w:fill="FFFFFF"/>
          </w:tcPr>
          <w:p w14:paraId="131BADB0" w14:textId="77777777" w:rsidR="001453E8" w:rsidRPr="00301959" w:rsidRDefault="001453E8" w:rsidP="001453E8">
            <w:pPr>
              <w:spacing w:line="240" w:lineRule="auto"/>
              <w:rPr>
                <w:rFonts w:ascii="Times New Roman" w:hAnsi="Times New Roman"/>
                <w:color w:val="000000"/>
                <w:sz w:val="21"/>
                <w:szCs w:val="21"/>
              </w:rPr>
            </w:pPr>
          </w:p>
        </w:tc>
        <w:tc>
          <w:tcPr>
            <w:tcW w:w="2236" w:type="dxa"/>
            <w:gridSpan w:val="6"/>
            <w:shd w:val="clear" w:color="auto" w:fill="FFFFFF"/>
          </w:tcPr>
          <w:p w14:paraId="27E2ED64" w14:textId="77777777" w:rsidR="001453E8" w:rsidRPr="00301959" w:rsidRDefault="001453E8" w:rsidP="001453E8">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7371" w:type="dxa"/>
            <w:gridSpan w:val="22"/>
            <w:shd w:val="clear" w:color="auto" w:fill="FFFFFF"/>
          </w:tcPr>
          <w:p w14:paraId="78AEC8BC" w14:textId="77777777" w:rsidR="001453E8" w:rsidRDefault="005E4312" w:rsidP="00A1662A">
            <w:pPr>
              <w:spacing w:line="240" w:lineRule="auto"/>
              <w:rPr>
                <w:rFonts w:ascii="Times New Roman" w:hAnsi="Times New Roman"/>
                <w:color w:val="000000"/>
                <w:spacing w:val="-2"/>
                <w:sz w:val="21"/>
                <w:szCs w:val="21"/>
              </w:rPr>
            </w:pPr>
            <w:r w:rsidRPr="005E4312">
              <w:rPr>
                <w:rFonts w:ascii="Times New Roman" w:hAnsi="Times New Roman"/>
                <w:color w:val="000000"/>
                <w:spacing w:val="-2"/>
                <w:sz w:val="21"/>
                <w:szCs w:val="21"/>
              </w:rPr>
              <w:t>Przewidywalność stawek opłat za przesył i dystrybucję energii elektrycznej.</w:t>
            </w:r>
            <w:r w:rsidR="00336C0D">
              <w:rPr>
                <w:rFonts w:ascii="Times New Roman" w:hAnsi="Times New Roman"/>
                <w:color w:val="000000"/>
                <w:spacing w:val="-2"/>
                <w:sz w:val="21"/>
                <w:szCs w:val="21"/>
              </w:rPr>
              <w:t xml:space="preserve"> Brak dużej zmienności stawek za </w:t>
            </w:r>
            <w:r w:rsidR="00A1662A">
              <w:rPr>
                <w:rFonts w:ascii="Times New Roman" w:hAnsi="Times New Roman"/>
                <w:color w:val="000000"/>
                <w:spacing w:val="-2"/>
                <w:sz w:val="21"/>
                <w:szCs w:val="21"/>
              </w:rPr>
              <w:t xml:space="preserve">przesyłanie i </w:t>
            </w:r>
            <w:r w:rsidR="00336C0D">
              <w:rPr>
                <w:rFonts w:ascii="Times New Roman" w:hAnsi="Times New Roman"/>
                <w:color w:val="000000"/>
                <w:spacing w:val="-2"/>
                <w:sz w:val="21"/>
                <w:szCs w:val="21"/>
              </w:rPr>
              <w:t>dystrybucję</w:t>
            </w:r>
            <w:r w:rsidR="00F169D8">
              <w:rPr>
                <w:rFonts w:ascii="Times New Roman" w:hAnsi="Times New Roman"/>
                <w:color w:val="000000"/>
                <w:spacing w:val="-2"/>
                <w:sz w:val="21"/>
                <w:szCs w:val="21"/>
              </w:rPr>
              <w:t xml:space="preserve"> energii elektrycznej</w:t>
            </w:r>
            <w:r w:rsidR="00336C0D">
              <w:rPr>
                <w:rFonts w:ascii="Times New Roman" w:hAnsi="Times New Roman"/>
                <w:color w:val="000000"/>
                <w:spacing w:val="-2"/>
                <w:sz w:val="21"/>
                <w:szCs w:val="21"/>
              </w:rPr>
              <w:t>.</w:t>
            </w:r>
          </w:p>
          <w:p w14:paraId="47B9CE80" w14:textId="1BEDB83E" w:rsidR="006F5F73" w:rsidRPr="00F81A04" w:rsidRDefault="006F5F73" w:rsidP="00A1662A">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 xml:space="preserve">Projekt ma </w:t>
            </w:r>
            <w:bookmarkStart w:id="4" w:name="_Hlk45792871"/>
            <w:r>
              <w:rPr>
                <w:rFonts w:ascii="Times New Roman" w:hAnsi="Times New Roman"/>
                <w:color w:val="000000"/>
                <w:spacing w:val="-2"/>
                <w:sz w:val="21"/>
                <w:szCs w:val="21"/>
              </w:rPr>
              <w:t>wpływ</w:t>
            </w:r>
            <w:r w:rsidRPr="006F5F73">
              <w:rPr>
                <w:rFonts w:ascii="Times New Roman" w:hAnsi="Times New Roman"/>
                <w:color w:val="000000"/>
                <w:spacing w:val="-2"/>
                <w:sz w:val="21"/>
                <w:szCs w:val="21"/>
              </w:rPr>
              <w:t xml:space="preserve"> na sektor  mikro-, małych i średnich przedsiębiorstw </w:t>
            </w:r>
            <w:bookmarkEnd w:id="4"/>
            <w:r w:rsidRPr="006F5F73">
              <w:rPr>
                <w:rFonts w:ascii="Times New Roman" w:hAnsi="Times New Roman"/>
                <w:color w:val="000000"/>
                <w:spacing w:val="-2"/>
                <w:sz w:val="21"/>
                <w:szCs w:val="21"/>
              </w:rPr>
              <w:t xml:space="preserve">(operatorów stacji ładowania) poprzez zmniejszenie kosztów utrzymania ogólnodostępnych punktów ładowania w początkowej fazie wdrażania elektromobilności.  </w:t>
            </w:r>
          </w:p>
        </w:tc>
      </w:tr>
      <w:tr w:rsidR="001453E8" w:rsidRPr="008B4FE6" w14:paraId="7C32009A" w14:textId="77777777" w:rsidTr="001453E8">
        <w:trPr>
          <w:trHeight w:val="596"/>
        </w:trPr>
        <w:tc>
          <w:tcPr>
            <w:tcW w:w="1592" w:type="dxa"/>
            <w:vMerge/>
            <w:shd w:val="clear" w:color="auto" w:fill="FFFFFF"/>
          </w:tcPr>
          <w:p w14:paraId="648CBC4E" w14:textId="77777777" w:rsidR="001453E8" w:rsidRPr="00301959" w:rsidRDefault="001453E8" w:rsidP="001453E8">
            <w:pPr>
              <w:spacing w:line="240" w:lineRule="auto"/>
              <w:rPr>
                <w:rFonts w:ascii="Times New Roman" w:hAnsi="Times New Roman"/>
                <w:color w:val="000000"/>
                <w:sz w:val="21"/>
                <w:szCs w:val="21"/>
              </w:rPr>
            </w:pPr>
          </w:p>
        </w:tc>
        <w:tc>
          <w:tcPr>
            <w:tcW w:w="2236" w:type="dxa"/>
            <w:gridSpan w:val="6"/>
            <w:shd w:val="clear" w:color="auto" w:fill="FFFFFF"/>
          </w:tcPr>
          <w:p w14:paraId="0620E70A" w14:textId="77777777" w:rsidR="001453E8" w:rsidRPr="00301959" w:rsidRDefault="001453E8" w:rsidP="001453E8">
            <w:pPr>
              <w:tabs>
                <w:tab w:val="right" w:pos="1936"/>
              </w:tabs>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r w:rsidRPr="00301959">
              <w:rPr>
                <w:rFonts w:ascii="Times New Roman" w:hAnsi="Times New Roman"/>
                <w:color w:val="000000"/>
                <w:sz w:val="21"/>
                <w:szCs w:val="21"/>
              </w:rPr>
              <w:t xml:space="preserve"> </w:t>
            </w:r>
          </w:p>
        </w:tc>
        <w:tc>
          <w:tcPr>
            <w:tcW w:w="7371" w:type="dxa"/>
            <w:gridSpan w:val="22"/>
            <w:shd w:val="clear" w:color="auto" w:fill="FFFFFF"/>
          </w:tcPr>
          <w:p w14:paraId="374C10EC" w14:textId="3618E59F" w:rsidR="001453E8" w:rsidRPr="00F81A04" w:rsidRDefault="005E4312" w:rsidP="00A1662A">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 xml:space="preserve">Przewidywalność stawek opłat za przesył i dystrybucję energii elektrycznej. </w:t>
            </w:r>
            <w:r w:rsidR="00336C0D">
              <w:rPr>
                <w:rFonts w:ascii="Times New Roman" w:hAnsi="Times New Roman"/>
                <w:color w:val="000000"/>
                <w:spacing w:val="-2"/>
                <w:sz w:val="21"/>
                <w:szCs w:val="21"/>
              </w:rPr>
              <w:t xml:space="preserve">Brak dużej zmienności stawek za </w:t>
            </w:r>
            <w:r w:rsidR="00A1662A">
              <w:rPr>
                <w:rFonts w:ascii="Times New Roman" w:hAnsi="Times New Roman"/>
                <w:color w:val="000000"/>
                <w:spacing w:val="-2"/>
                <w:sz w:val="21"/>
                <w:szCs w:val="21"/>
              </w:rPr>
              <w:t xml:space="preserve">przesyłanie i </w:t>
            </w:r>
            <w:r w:rsidR="00336C0D">
              <w:rPr>
                <w:rFonts w:ascii="Times New Roman" w:hAnsi="Times New Roman"/>
                <w:color w:val="000000"/>
                <w:spacing w:val="-2"/>
                <w:sz w:val="21"/>
                <w:szCs w:val="21"/>
              </w:rPr>
              <w:t>dystrybucję</w:t>
            </w:r>
            <w:r w:rsidR="00F169D8">
              <w:rPr>
                <w:rFonts w:ascii="Times New Roman" w:hAnsi="Times New Roman"/>
                <w:color w:val="000000"/>
                <w:spacing w:val="-2"/>
                <w:sz w:val="21"/>
                <w:szCs w:val="21"/>
              </w:rPr>
              <w:t xml:space="preserve"> energii elektrycznej</w:t>
            </w:r>
            <w:r w:rsidR="00336C0D">
              <w:rPr>
                <w:rFonts w:ascii="Times New Roman" w:hAnsi="Times New Roman"/>
                <w:color w:val="000000"/>
                <w:spacing w:val="-2"/>
                <w:sz w:val="21"/>
                <w:szCs w:val="21"/>
              </w:rPr>
              <w:t>.</w:t>
            </w:r>
          </w:p>
        </w:tc>
      </w:tr>
      <w:tr w:rsidR="001453E8" w:rsidRPr="008B4FE6" w14:paraId="07D2B42B" w14:textId="77777777" w:rsidTr="001453E8">
        <w:trPr>
          <w:trHeight w:val="819"/>
        </w:trPr>
        <w:tc>
          <w:tcPr>
            <w:tcW w:w="3828" w:type="dxa"/>
            <w:gridSpan w:val="7"/>
            <w:shd w:val="clear" w:color="auto" w:fill="FFFFFF"/>
          </w:tcPr>
          <w:p w14:paraId="254E101A" w14:textId="77777777" w:rsidR="001453E8" w:rsidRPr="00301959" w:rsidRDefault="001453E8" w:rsidP="001453E8">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Dodatkowe informacje, w tym wskazanie źródeł danych i przyjętych do obliczeń założeń </w:t>
            </w:r>
          </w:p>
        </w:tc>
        <w:tc>
          <w:tcPr>
            <w:tcW w:w="7371" w:type="dxa"/>
            <w:gridSpan w:val="22"/>
            <w:shd w:val="clear" w:color="auto" w:fill="FFFFFF"/>
            <w:vAlign w:val="center"/>
          </w:tcPr>
          <w:p w14:paraId="3ECC8E89" w14:textId="06BCBDB9" w:rsidR="00430EB9" w:rsidRDefault="00430EB9" w:rsidP="005E4312">
            <w:pPr>
              <w:spacing w:line="240" w:lineRule="auto"/>
              <w:jc w:val="both"/>
              <w:rPr>
                <w:rFonts w:ascii="Times New Roman" w:hAnsi="Times New Roman"/>
                <w:color w:val="000000"/>
                <w:sz w:val="21"/>
                <w:szCs w:val="21"/>
              </w:rPr>
            </w:pPr>
            <w:r>
              <w:rPr>
                <w:rFonts w:ascii="Times New Roman" w:hAnsi="Times New Roman"/>
                <w:color w:val="000000"/>
                <w:sz w:val="21"/>
                <w:szCs w:val="21"/>
              </w:rPr>
              <w:t xml:space="preserve">Celem konta regulacyjnego nie jest uzyskanie przez operatorów </w:t>
            </w:r>
            <w:r w:rsidR="00C211A0">
              <w:rPr>
                <w:rFonts w:ascii="Times New Roman" w:hAnsi="Times New Roman"/>
                <w:color w:val="000000"/>
                <w:sz w:val="21"/>
                <w:szCs w:val="21"/>
              </w:rPr>
              <w:t xml:space="preserve">innych </w:t>
            </w:r>
            <w:r>
              <w:rPr>
                <w:rFonts w:ascii="Times New Roman" w:hAnsi="Times New Roman"/>
                <w:color w:val="000000"/>
                <w:sz w:val="21"/>
                <w:szCs w:val="21"/>
              </w:rPr>
              <w:t xml:space="preserve">przychodów niż uznane przez Prezesa URE za uzasadnione i przyjęte do kalkulacji taryf. W tym kontekście wprowadzenie mechanizmu nie skutkuje dodatkowymi obciążeniami odbiorców. </w:t>
            </w:r>
          </w:p>
          <w:p w14:paraId="4884F67C" w14:textId="6C8CA5FD" w:rsidR="009324E6" w:rsidRDefault="00430EB9" w:rsidP="005E4312">
            <w:pPr>
              <w:spacing w:line="240" w:lineRule="auto"/>
              <w:jc w:val="both"/>
              <w:rPr>
                <w:rFonts w:ascii="Times New Roman" w:hAnsi="Times New Roman"/>
                <w:color w:val="000000"/>
                <w:sz w:val="21"/>
                <w:szCs w:val="21"/>
              </w:rPr>
            </w:pPr>
            <w:r>
              <w:rPr>
                <w:rFonts w:ascii="Times New Roman" w:hAnsi="Times New Roman"/>
                <w:color w:val="000000"/>
                <w:sz w:val="21"/>
                <w:szCs w:val="21"/>
              </w:rPr>
              <w:t>Z tego względu w</w:t>
            </w:r>
            <w:r w:rsidR="00D93E9B">
              <w:rPr>
                <w:rFonts w:ascii="Times New Roman" w:hAnsi="Times New Roman"/>
                <w:color w:val="000000"/>
                <w:sz w:val="21"/>
                <w:szCs w:val="21"/>
              </w:rPr>
              <w:t xml:space="preserve"> okresie wieloletnim brak skutków </w:t>
            </w:r>
            <w:r>
              <w:rPr>
                <w:rFonts w:ascii="Times New Roman" w:hAnsi="Times New Roman"/>
                <w:color w:val="000000"/>
                <w:sz w:val="21"/>
                <w:szCs w:val="21"/>
              </w:rPr>
              <w:t xml:space="preserve">finansowych </w:t>
            </w:r>
            <w:r w:rsidR="00D93E9B">
              <w:rPr>
                <w:rFonts w:ascii="Times New Roman" w:hAnsi="Times New Roman"/>
                <w:color w:val="000000"/>
                <w:sz w:val="21"/>
                <w:szCs w:val="21"/>
              </w:rPr>
              <w:t>dla odbiorców</w:t>
            </w:r>
            <w:r w:rsidR="00BC38F9">
              <w:rPr>
                <w:rFonts w:ascii="Times New Roman" w:hAnsi="Times New Roman"/>
                <w:color w:val="000000"/>
                <w:sz w:val="21"/>
                <w:szCs w:val="21"/>
              </w:rPr>
              <w:t xml:space="preserve">. </w:t>
            </w:r>
          </w:p>
          <w:p w14:paraId="2FF0CF49" w14:textId="3425652D" w:rsidR="009324E6" w:rsidRDefault="00D93E9B" w:rsidP="005E4312">
            <w:pPr>
              <w:spacing w:line="240" w:lineRule="auto"/>
              <w:jc w:val="both"/>
              <w:rPr>
                <w:rFonts w:ascii="Times New Roman" w:hAnsi="Times New Roman"/>
                <w:color w:val="000000"/>
                <w:sz w:val="21"/>
                <w:szCs w:val="21"/>
              </w:rPr>
            </w:pPr>
            <w:r>
              <w:rPr>
                <w:rFonts w:ascii="Times New Roman" w:hAnsi="Times New Roman"/>
                <w:color w:val="000000"/>
                <w:sz w:val="21"/>
                <w:szCs w:val="21"/>
              </w:rPr>
              <w:t xml:space="preserve">W okresie </w:t>
            </w:r>
            <w:r w:rsidR="009324E6">
              <w:rPr>
                <w:rFonts w:ascii="Times New Roman" w:hAnsi="Times New Roman"/>
                <w:color w:val="000000"/>
                <w:sz w:val="21"/>
                <w:szCs w:val="21"/>
              </w:rPr>
              <w:t xml:space="preserve">jednego – dwóch lat mogą </w:t>
            </w:r>
            <w:r>
              <w:rPr>
                <w:rFonts w:ascii="Times New Roman" w:hAnsi="Times New Roman"/>
                <w:color w:val="000000"/>
                <w:sz w:val="21"/>
                <w:szCs w:val="21"/>
              </w:rPr>
              <w:t xml:space="preserve">wystąpić skutki dla odbiorców w związku z koniecznością przeniesienia </w:t>
            </w:r>
            <w:r w:rsidR="009324E6">
              <w:rPr>
                <w:rFonts w:ascii="Times New Roman" w:hAnsi="Times New Roman"/>
                <w:color w:val="000000"/>
                <w:sz w:val="21"/>
                <w:szCs w:val="21"/>
              </w:rPr>
              <w:t xml:space="preserve">w kalkulacji taryf </w:t>
            </w:r>
            <w:r w:rsidR="0049014F">
              <w:rPr>
                <w:rFonts w:ascii="Times New Roman" w:hAnsi="Times New Roman"/>
                <w:color w:val="000000"/>
                <w:sz w:val="21"/>
                <w:szCs w:val="21"/>
              </w:rPr>
              <w:t xml:space="preserve">na r. 2021 i ew. 2022 </w:t>
            </w:r>
            <w:r w:rsidR="00430EB9">
              <w:rPr>
                <w:rFonts w:ascii="Times New Roman" w:hAnsi="Times New Roman"/>
                <w:color w:val="000000"/>
                <w:sz w:val="21"/>
                <w:szCs w:val="21"/>
              </w:rPr>
              <w:t xml:space="preserve">planowanych </w:t>
            </w:r>
            <w:r w:rsidR="009324E6">
              <w:rPr>
                <w:rFonts w:ascii="Times New Roman" w:hAnsi="Times New Roman"/>
                <w:color w:val="000000"/>
                <w:sz w:val="21"/>
                <w:szCs w:val="21"/>
              </w:rPr>
              <w:t xml:space="preserve">przychodów uzasadnionych, </w:t>
            </w:r>
            <w:r>
              <w:rPr>
                <w:rFonts w:ascii="Times New Roman" w:hAnsi="Times New Roman"/>
                <w:color w:val="000000"/>
                <w:sz w:val="21"/>
                <w:szCs w:val="21"/>
              </w:rPr>
              <w:t xml:space="preserve">nieuzyskanych </w:t>
            </w:r>
            <w:r w:rsidR="009324E6">
              <w:rPr>
                <w:rFonts w:ascii="Times New Roman" w:hAnsi="Times New Roman"/>
                <w:color w:val="000000"/>
                <w:sz w:val="21"/>
                <w:szCs w:val="21"/>
              </w:rPr>
              <w:t xml:space="preserve">przez operatorów w roku 2020. </w:t>
            </w:r>
          </w:p>
          <w:p w14:paraId="62CF3590" w14:textId="11C72532" w:rsidR="002220F2" w:rsidRDefault="0049014F" w:rsidP="005E4312">
            <w:pPr>
              <w:spacing w:line="240" w:lineRule="auto"/>
              <w:jc w:val="both"/>
              <w:rPr>
                <w:rFonts w:ascii="Times New Roman" w:hAnsi="Times New Roman"/>
                <w:color w:val="000000"/>
                <w:sz w:val="21"/>
                <w:szCs w:val="21"/>
              </w:rPr>
            </w:pPr>
            <w:r>
              <w:rPr>
                <w:rFonts w:ascii="Times New Roman" w:hAnsi="Times New Roman"/>
                <w:color w:val="000000"/>
                <w:sz w:val="21"/>
                <w:szCs w:val="21"/>
              </w:rPr>
              <w:t>W kolejnych latach odchylenia wykonanych w danym roku przychodów od planowanych może przyjmować wartości zarówno dodatnie</w:t>
            </w:r>
            <w:r w:rsidR="00F169D8">
              <w:rPr>
                <w:rFonts w:ascii="Times New Roman" w:hAnsi="Times New Roman"/>
                <w:color w:val="000000"/>
                <w:sz w:val="21"/>
                <w:szCs w:val="21"/>
              </w:rPr>
              <w:t>,</w:t>
            </w:r>
            <w:r>
              <w:rPr>
                <w:rFonts w:ascii="Times New Roman" w:hAnsi="Times New Roman"/>
                <w:color w:val="000000"/>
                <w:sz w:val="21"/>
                <w:szCs w:val="21"/>
              </w:rPr>
              <w:t xml:space="preserve"> jak i ujemne</w:t>
            </w:r>
            <w:r w:rsidR="00C211A0">
              <w:rPr>
                <w:rFonts w:ascii="Times New Roman" w:hAnsi="Times New Roman"/>
                <w:color w:val="000000"/>
                <w:sz w:val="21"/>
                <w:szCs w:val="21"/>
              </w:rPr>
              <w:t>,</w:t>
            </w:r>
            <w:r>
              <w:rPr>
                <w:rFonts w:ascii="Times New Roman" w:hAnsi="Times New Roman"/>
                <w:color w:val="000000"/>
                <w:sz w:val="21"/>
                <w:szCs w:val="21"/>
              </w:rPr>
              <w:t xml:space="preserve"> i tym samym</w:t>
            </w:r>
            <w:r w:rsidR="00BC38F9">
              <w:rPr>
                <w:rFonts w:ascii="Times New Roman" w:hAnsi="Times New Roman"/>
                <w:color w:val="000000"/>
                <w:sz w:val="21"/>
                <w:szCs w:val="21"/>
              </w:rPr>
              <w:t xml:space="preserve"> </w:t>
            </w:r>
            <w:r>
              <w:rPr>
                <w:rFonts w:ascii="Times New Roman" w:hAnsi="Times New Roman"/>
                <w:color w:val="000000"/>
                <w:sz w:val="21"/>
                <w:szCs w:val="21"/>
              </w:rPr>
              <w:t xml:space="preserve">w perspektywie wieloletniej nie będą miały negatywnego wpływu </w:t>
            </w:r>
            <w:r w:rsidR="00B0206B">
              <w:rPr>
                <w:rFonts w:ascii="Times New Roman" w:hAnsi="Times New Roman"/>
                <w:color w:val="000000"/>
                <w:sz w:val="21"/>
                <w:szCs w:val="21"/>
              </w:rPr>
              <w:t xml:space="preserve">na odbiorców, ponieważ uzyskiwane przychody będą pokrywały jedynie uznane przez Prezesa URE za uzasadnione koszty działalności i zwrot z zaangażowanego kapitału. </w:t>
            </w:r>
          </w:p>
          <w:p w14:paraId="39562307" w14:textId="77777777" w:rsidR="00F169D8" w:rsidRDefault="00F169D8" w:rsidP="005E4312">
            <w:pPr>
              <w:spacing w:line="240" w:lineRule="auto"/>
              <w:jc w:val="both"/>
              <w:rPr>
                <w:rFonts w:ascii="Times New Roman" w:hAnsi="Times New Roman"/>
                <w:i/>
                <w:iCs/>
                <w:color w:val="000000"/>
                <w:sz w:val="21"/>
                <w:szCs w:val="21"/>
              </w:rPr>
            </w:pPr>
          </w:p>
          <w:p w14:paraId="5055D4D4" w14:textId="64520351" w:rsidR="001453E8" w:rsidRPr="002220F2" w:rsidRDefault="005E4312" w:rsidP="005E4312">
            <w:pPr>
              <w:spacing w:line="240" w:lineRule="auto"/>
              <w:jc w:val="both"/>
              <w:rPr>
                <w:rFonts w:ascii="Times New Roman" w:hAnsi="Times New Roman"/>
                <w:i/>
                <w:iCs/>
                <w:color w:val="000000"/>
                <w:sz w:val="21"/>
                <w:szCs w:val="21"/>
                <w:highlight w:val="yellow"/>
              </w:rPr>
            </w:pPr>
            <w:r w:rsidRPr="002220F2">
              <w:rPr>
                <w:rFonts w:ascii="Times New Roman" w:hAnsi="Times New Roman"/>
                <w:i/>
                <w:iCs/>
                <w:color w:val="000000"/>
                <w:sz w:val="21"/>
                <w:szCs w:val="21"/>
              </w:rPr>
              <w:t>Skutki w poszczególnych segmentach dokonane w oparciu o podział z wykorzystaniem wolumenu dostawy 5 największych OSD</w:t>
            </w:r>
          </w:p>
        </w:tc>
      </w:tr>
      <w:tr w:rsidR="00EB15DB" w:rsidRPr="008B4FE6" w14:paraId="4660A691" w14:textId="77777777" w:rsidTr="00704C3A">
        <w:trPr>
          <w:trHeight w:val="514"/>
        </w:trPr>
        <w:tc>
          <w:tcPr>
            <w:tcW w:w="11199" w:type="dxa"/>
            <w:gridSpan w:val="29"/>
            <w:shd w:val="clear" w:color="auto" w:fill="99CCFF"/>
            <w:vAlign w:val="center"/>
          </w:tcPr>
          <w:p w14:paraId="39567F5B" w14:textId="77777777" w:rsidR="00EB15DB" w:rsidRPr="008B4FE6" w:rsidRDefault="00EB15DB" w:rsidP="004F4E17">
            <w:pPr>
              <w:numPr>
                <w:ilvl w:val="0"/>
                <w:numId w:val="3"/>
              </w:numPr>
              <w:spacing w:before="60" w:after="60" w:line="240" w:lineRule="auto"/>
              <w:ind w:left="318" w:hanging="284"/>
              <w:jc w:val="both"/>
              <w:rPr>
                <w:rFonts w:ascii="Times New Roman" w:hAnsi="Times New Roman"/>
                <w:b/>
                <w:color w:val="000000"/>
              </w:rPr>
            </w:pPr>
            <w:r>
              <w:rPr>
                <w:rFonts w:ascii="Times New Roman" w:hAnsi="Times New Roman"/>
                <w:b/>
                <w:color w:val="000000"/>
              </w:rPr>
              <w:t>Zmiana o</w:t>
            </w:r>
            <w:r w:rsidRPr="008B4FE6">
              <w:rPr>
                <w:rFonts w:ascii="Times New Roman" w:hAnsi="Times New Roman"/>
                <w:b/>
                <w:color w:val="000000"/>
              </w:rPr>
              <w:t>bciąże</w:t>
            </w:r>
            <w:r>
              <w:rPr>
                <w:rFonts w:ascii="Times New Roman" w:hAnsi="Times New Roman"/>
                <w:b/>
                <w:color w:val="000000"/>
              </w:rPr>
              <w:t>ń</w:t>
            </w:r>
            <w:r w:rsidRPr="008B4FE6">
              <w:rPr>
                <w:rFonts w:ascii="Times New Roman" w:hAnsi="Times New Roman"/>
                <w:b/>
                <w:color w:val="000000"/>
              </w:rPr>
              <w:t xml:space="preserve"> regulacyjn</w:t>
            </w:r>
            <w:r>
              <w:rPr>
                <w:rFonts w:ascii="Times New Roman" w:hAnsi="Times New Roman"/>
                <w:b/>
                <w:color w:val="000000"/>
              </w:rPr>
              <w:t>ych (w tym obowiązków informacyjnych)</w:t>
            </w:r>
            <w:r w:rsidRPr="008B4FE6">
              <w:rPr>
                <w:rFonts w:ascii="Times New Roman" w:hAnsi="Times New Roman"/>
                <w:b/>
                <w:color w:val="000000"/>
              </w:rPr>
              <w:t xml:space="preserve"> wynikając</w:t>
            </w:r>
            <w:r>
              <w:rPr>
                <w:rFonts w:ascii="Times New Roman" w:hAnsi="Times New Roman"/>
                <w:b/>
                <w:color w:val="000000"/>
              </w:rPr>
              <w:t>ych</w:t>
            </w:r>
            <w:r w:rsidRPr="008B4FE6">
              <w:rPr>
                <w:rFonts w:ascii="Times New Roman" w:hAnsi="Times New Roman"/>
                <w:b/>
                <w:color w:val="000000"/>
              </w:rPr>
              <w:t xml:space="preserve"> z projektu</w:t>
            </w:r>
          </w:p>
        </w:tc>
      </w:tr>
      <w:tr w:rsidR="00EB15DB" w:rsidRPr="008B4FE6" w14:paraId="0ED3B6BB" w14:textId="77777777" w:rsidTr="00704C3A">
        <w:trPr>
          <w:trHeight w:val="151"/>
        </w:trPr>
        <w:tc>
          <w:tcPr>
            <w:tcW w:w="11199" w:type="dxa"/>
            <w:gridSpan w:val="29"/>
            <w:shd w:val="clear" w:color="auto" w:fill="FFFFFF"/>
          </w:tcPr>
          <w:p w14:paraId="04E2E0B8" w14:textId="77777777" w:rsidR="00EB15DB" w:rsidRPr="008B4FE6" w:rsidRDefault="00EB15DB" w:rsidP="004F4E17">
            <w:pPr>
              <w:spacing w:line="240" w:lineRule="auto"/>
              <w:rPr>
                <w:rFonts w:ascii="Times New Roman" w:hAnsi="Times New Roman"/>
                <w:color w:val="000000"/>
              </w:rPr>
            </w:pPr>
            <w:r>
              <w:rPr>
                <w:rFonts w:ascii="Times New Roman" w:hAnsi="Times New Roman"/>
                <w:color w:val="000000"/>
              </w:rPr>
              <w:t>x</w:t>
            </w:r>
            <w:r w:rsidRPr="001A5FDA">
              <w:rPr>
                <w:rFonts w:ascii="Times New Roman" w:hAnsi="Times New Roman"/>
                <w:color w:val="000000"/>
              </w:rPr>
              <w:t xml:space="preserve"> </w:t>
            </w:r>
            <w:r w:rsidRPr="001A5FDA">
              <w:rPr>
                <w:rFonts w:ascii="Times New Roman" w:hAnsi="Times New Roman"/>
                <w:color w:val="000000"/>
                <w:spacing w:val="-2"/>
              </w:rPr>
              <w:t>nie dotyczy</w:t>
            </w:r>
          </w:p>
        </w:tc>
      </w:tr>
      <w:tr w:rsidR="00EB15DB" w:rsidRPr="008B4FE6" w14:paraId="52A8636E" w14:textId="77777777" w:rsidTr="00704C3A">
        <w:trPr>
          <w:trHeight w:val="946"/>
        </w:trPr>
        <w:tc>
          <w:tcPr>
            <w:tcW w:w="5107" w:type="dxa"/>
            <w:gridSpan w:val="11"/>
            <w:shd w:val="clear" w:color="auto" w:fill="FFFFFF"/>
          </w:tcPr>
          <w:p w14:paraId="6B15ED23" w14:textId="77777777" w:rsidR="00EB15DB" w:rsidRDefault="00EB15DB" w:rsidP="001B3460">
            <w:pPr>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6092" w:type="dxa"/>
            <w:gridSpan w:val="18"/>
            <w:shd w:val="clear" w:color="auto" w:fill="FFFFFF"/>
          </w:tcPr>
          <w:p w14:paraId="43374350" w14:textId="77777777" w:rsidR="00EB15DB" w:rsidRDefault="00EB15DB" w:rsidP="004F4E17">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91683">
              <w:rPr>
                <w:rFonts w:ascii="Times New Roman" w:hAnsi="Times New Roman"/>
                <w:color w:val="000000"/>
              </w:rPr>
            </w:r>
            <w:r w:rsidR="00091683">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tak</w:t>
            </w:r>
          </w:p>
          <w:p w14:paraId="3A1E279C" w14:textId="77777777" w:rsidR="00EB15DB" w:rsidRDefault="005E4312" w:rsidP="004F4E17">
            <w:pPr>
              <w:spacing w:line="240" w:lineRule="auto"/>
              <w:rPr>
                <w:rFonts w:ascii="Times New Roman" w:hAnsi="Times New Roman"/>
                <w:color w:val="000000"/>
              </w:rPr>
            </w:pPr>
            <w:r w:rsidRPr="005E4312">
              <w:rPr>
                <w:rFonts w:ascii="Times New Roman" w:hAnsi="Times New Roman"/>
                <w:color w:val="000000"/>
              </w:rPr>
              <w:fldChar w:fldCharType="begin">
                <w:ffData>
                  <w:name w:val="Wybór1"/>
                  <w:enabled/>
                  <w:calcOnExit w:val="0"/>
                  <w:checkBox>
                    <w:sizeAuto/>
                    <w:default w:val="0"/>
                  </w:checkBox>
                </w:ffData>
              </w:fldChar>
            </w:r>
            <w:r w:rsidRPr="005E4312">
              <w:rPr>
                <w:rFonts w:ascii="Times New Roman" w:hAnsi="Times New Roman"/>
                <w:color w:val="000000"/>
              </w:rPr>
              <w:instrText xml:space="preserve"> FORMCHECKBOX </w:instrText>
            </w:r>
            <w:r w:rsidR="00091683">
              <w:rPr>
                <w:rFonts w:ascii="Times New Roman" w:hAnsi="Times New Roman"/>
                <w:color w:val="000000"/>
              </w:rPr>
            </w:r>
            <w:r w:rsidR="00091683">
              <w:rPr>
                <w:rFonts w:ascii="Times New Roman" w:hAnsi="Times New Roman"/>
                <w:color w:val="000000"/>
              </w:rPr>
              <w:fldChar w:fldCharType="separate"/>
            </w:r>
            <w:r w:rsidRPr="005E4312">
              <w:rPr>
                <w:rFonts w:ascii="Times New Roman" w:hAnsi="Times New Roman"/>
                <w:color w:val="000000"/>
              </w:rPr>
              <w:fldChar w:fldCharType="end"/>
            </w:r>
            <w:r w:rsidR="00EB15DB">
              <w:rPr>
                <w:rFonts w:ascii="Times New Roman" w:hAnsi="Times New Roman"/>
                <w:color w:val="000000"/>
              </w:rPr>
              <w:t xml:space="preserve"> nie</w:t>
            </w:r>
          </w:p>
          <w:p w14:paraId="31E25374" w14:textId="77777777" w:rsidR="00EB15DB" w:rsidRDefault="005E4312" w:rsidP="004F4E17">
            <w:pPr>
              <w:rPr>
                <w:rFonts w:ascii="Times New Roman" w:hAnsi="Times New Roman"/>
                <w:color w:val="000000"/>
              </w:rPr>
            </w:pPr>
            <w:r w:rsidRPr="005E4312">
              <w:rPr>
                <w:rFonts w:ascii="Times New Roman" w:hAnsi="Times New Roman"/>
                <w:color w:val="000000"/>
              </w:rPr>
              <w:fldChar w:fldCharType="begin">
                <w:ffData>
                  <w:name w:val=""/>
                  <w:enabled/>
                  <w:calcOnExit w:val="0"/>
                  <w:checkBox>
                    <w:sizeAuto/>
                    <w:default w:val="1"/>
                  </w:checkBox>
                </w:ffData>
              </w:fldChar>
            </w:r>
            <w:r w:rsidRPr="005E4312">
              <w:rPr>
                <w:rFonts w:ascii="Times New Roman" w:hAnsi="Times New Roman"/>
                <w:color w:val="000000"/>
              </w:rPr>
              <w:instrText xml:space="preserve"> FORMCHECKBOX </w:instrText>
            </w:r>
            <w:r w:rsidR="00091683">
              <w:rPr>
                <w:rFonts w:ascii="Times New Roman" w:hAnsi="Times New Roman"/>
                <w:color w:val="000000"/>
              </w:rPr>
            </w:r>
            <w:r w:rsidR="00091683">
              <w:rPr>
                <w:rFonts w:ascii="Times New Roman" w:hAnsi="Times New Roman"/>
                <w:color w:val="000000"/>
              </w:rPr>
              <w:fldChar w:fldCharType="separate"/>
            </w:r>
            <w:r w:rsidRPr="005E4312">
              <w:rPr>
                <w:rFonts w:ascii="Times New Roman" w:hAnsi="Times New Roman"/>
                <w:color w:val="000000"/>
              </w:rPr>
              <w:fldChar w:fldCharType="end"/>
            </w:r>
            <w:r w:rsidR="00EB15DB">
              <w:rPr>
                <w:rFonts w:ascii="Times New Roman" w:hAnsi="Times New Roman"/>
                <w:color w:val="000000"/>
              </w:rPr>
              <w:t>nie dotyczy</w:t>
            </w:r>
          </w:p>
        </w:tc>
      </w:tr>
      <w:tr w:rsidR="00EB15DB" w:rsidRPr="008B4FE6" w14:paraId="7F503D78" w14:textId="77777777" w:rsidTr="00704C3A">
        <w:trPr>
          <w:trHeight w:val="1245"/>
        </w:trPr>
        <w:tc>
          <w:tcPr>
            <w:tcW w:w="5107" w:type="dxa"/>
            <w:gridSpan w:val="11"/>
            <w:shd w:val="clear" w:color="auto" w:fill="FFFFFF"/>
          </w:tcPr>
          <w:p w14:paraId="20FB4815" w14:textId="77777777" w:rsidR="00EB15DB" w:rsidRPr="008B4FE6" w:rsidRDefault="00EB15DB"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91683">
              <w:rPr>
                <w:rFonts w:ascii="Times New Roman" w:hAnsi="Times New Roman"/>
                <w:color w:val="000000"/>
              </w:rPr>
            </w:r>
            <w:r w:rsidR="0009168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zmniejszenie liczby dokumentów</w:t>
            </w:r>
            <w:r>
              <w:rPr>
                <w:rFonts w:ascii="Times New Roman" w:hAnsi="Times New Roman"/>
                <w:color w:val="000000"/>
                <w:spacing w:val="-2"/>
              </w:rPr>
              <w:t xml:space="preserve"> </w:t>
            </w:r>
          </w:p>
          <w:p w14:paraId="63090E4A" w14:textId="77777777" w:rsidR="00EB15DB" w:rsidRPr="008B4FE6" w:rsidRDefault="00EB15DB"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91683">
              <w:rPr>
                <w:rFonts w:ascii="Times New Roman" w:hAnsi="Times New Roman"/>
                <w:color w:val="000000"/>
              </w:rPr>
            </w:r>
            <w:r w:rsidR="0009168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zmniejszenie liczby procedur</w:t>
            </w:r>
          </w:p>
          <w:p w14:paraId="6D7623B7" w14:textId="77777777" w:rsidR="00EB15DB" w:rsidRDefault="00EB15DB"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091683">
              <w:rPr>
                <w:rFonts w:ascii="Times New Roman" w:hAnsi="Times New Roman"/>
                <w:color w:val="000000"/>
              </w:rPr>
            </w:r>
            <w:r w:rsidR="0009168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skrócenie czasu</w:t>
            </w:r>
            <w:r>
              <w:rPr>
                <w:rFonts w:ascii="Times New Roman" w:hAnsi="Times New Roman"/>
                <w:color w:val="000000"/>
                <w:spacing w:val="-2"/>
              </w:rPr>
              <w:t xml:space="preserve"> na załatwienie sprawy</w:t>
            </w:r>
          </w:p>
          <w:p w14:paraId="684526D4" w14:textId="77777777" w:rsidR="00EB15DB" w:rsidRPr="008B4FE6" w:rsidRDefault="00EB15DB" w:rsidP="00AE6CF8">
            <w:pPr>
              <w:rPr>
                <w:rFonts w:ascii="Times New Roman" w:hAnsi="Times New Roman"/>
                <w:b/>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91683">
              <w:rPr>
                <w:rFonts w:ascii="Times New Roman" w:hAnsi="Times New Roman"/>
                <w:color w:val="000000"/>
              </w:rPr>
            </w:r>
            <w:r w:rsidR="0009168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6092" w:type="dxa"/>
            <w:gridSpan w:val="18"/>
            <w:shd w:val="clear" w:color="auto" w:fill="FFFFFF"/>
          </w:tcPr>
          <w:p w14:paraId="3FEF7CE4" w14:textId="77777777" w:rsidR="00EB15DB" w:rsidRPr="008B4FE6" w:rsidRDefault="00EB15DB"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91683">
              <w:rPr>
                <w:rFonts w:ascii="Times New Roman" w:hAnsi="Times New Roman"/>
                <w:color w:val="000000"/>
              </w:rPr>
            </w:r>
            <w:r w:rsidR="0009168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zwiększenie liczby dokumentów</w:t>
            </w:r>
          </w:p>
          <w:p w14:paraId="6197038E" w14:textId="77777777" w:rsidR="00EB15DB" w:rsidRPr="008B4FE6" w:rsidRDefault="00EB15DB"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91683">
              <w:rPr>
                <w:rFonts w:ascii="Times New Roman" w:hAnsi="Times New Roman"/>
                <w:color w:val="000000"/>
              </w:rPr>
            </w:r>
            <w:r w:rsidR="0009168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zwiększenie liczby procedur</w:t>
            </w:r>
          </w:p>
          <w:p w14:paraId="7970386C" w14:textId="77777777" w:rsidR="00EB15DB" w:rsidRPr="008B4FE6" w:rsidRDefault="00EB15DB"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91683">
              <w:rPr>
                <w:rFonts w:ascii="Times New Roman" w:hAnsi="Times New Roman"/>
                <w:color w:val="000000"/>
              </w:rPr>
            </w:r>
            <w:r w:rsidR="0009168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wydłużenie czasu</w:t>
            </w:r>
            <w:r>
              <w:rPr>
                <w:rFonts w:ascii="Times New Roman" w:hAnsi="Times New Roman"/>
                <w:color w:val="000000"/>
                <w:spacing w:val="-2"/>
              </w:rPr>
              <w:t xml:space="preserve"> na załatwienie sprawy</w:t>
            </w:r>
          </w:p>
          <w:p w14:paraId="61317F45" w14:textId="77777777" w:rsidR="00EB15DB" w:rsidRPr="008B4FE6" w:rsidRDefault="00EB15DB" w:rsidP="00AE6CF8">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91683">
              <w:rPr>
                <w:rFonts w:ascii="Times New Roman" w:hAnsi="Times New Roman"/>
                <w:color w:val="000000"/>
              </w:rPr>
            </w:r>
            <w:r w:rsidR="0009168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p w14:paraId="42EC539B" w14:textId="77777777" w:rsidR="00EB15DB" w:rsidRPr="008B4FE6" w:rsidRDefault="00EB15DB" w:rsidP="00AE6CF8">
            <w:pPr>
              <w:spacing w:line="240" w:lineRule="auto"/>
              <w:rPr>
                <w:rFonts w:ascii="Times New Roman" w:hAnsi="Times New Roman"/>
                <w:color w:val="000000"/>
              </w:rPr>
            </w:pPr>
          </w:p>
        </w:tc>
      </w:tr>
      <w:tr w:rsidR="00EB15DB" w:rsidRPr="008B4FE6" w14:paraId="3B9CAAFC" w14:textId="77777777" w:rsidTr="00704C3A">
        <w:trPr>
          <w:trHeight w:val="870"/>
        </w:trPr>
        <w:tc>
          <w:tcPr>
            <w:tcW w:w="5107" w:type="dxa"/>
            <w:gridSpan w:val="11"/>
            <w:shd w:val="clear" w:color="auto" w:fill="FFFFFF"/>
          </w:tcPr>
          <w:p w14:paraId="44530E78" w14:textId="77777777" w:rsidR="00EB15DB" w:rsidRPr="008B4FE6" w:rsidRDefault="00EB15DB" w:rsidP="004F4E17">
            <w:pPr>
              <w:spacing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6092" w:type="dxa"/>
            <w:gridSpan w:val="18"/>
            <w:shd w:val="clear" w:color="auto" w:fill="FFFFFF"/>
          </w:tcPr>
          <w:p w14:paraId="415EDE65" w14:textId="17513C34" w:rsidR="00EB15DB" w:rsidRDefault="009506E3" w:rsidP="00BF0DA2">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091683">
              <w:rPr>
                <w:rFonts w:ascii="Times New Roman" w:hAnsi="Times New Roman"/>
                <w:color w:val="000000"/>
              </w:rPr>
            </w:r>
            <w:r w:rsidR="00091683">
              <w:rPr>
                <w:rFonts w:ascii="Times New Roman" w:hAnsi="Times New Roman"/>
                <w:color w:val="000000"/>
              </w:rPr>
              <w:fldChar w:fldCharType="separate"/>
            </w:r>
            <w:r>
              <w:rPr>
                <w:rFonts w:ascii="Times New Roman" w:hAnsi="Times New Roman"/>
                <w:color w:val="000000"/>
              </w:rPr>
              <w:fldChar w:fldCharType="end"/>
            </w:r>
            <w:r w:rsidR="00EB15DB">
              <w:rPr>
                <w:rFonts w:ascii="Times New Roman" w:hAnsi="Times New Roman"/>
                <w:color w:val="000000"/>
              </w:rPr>
              <w:t xml:space="preserve"> tak</w:t>
            </w:r>
          </w:p>
          <w:p w14:paraId="6F86A97F" w14:textId="77777777" w:rsidR="00EB15DB" w:rsidRDefault="00EB15DB" w:rsidP="00BF0DA2">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91683">
              <w:rPr>
                <w:rFonts w:ascii="Times New Roman" w:hAnsi="Times New Roman"/>
                <w:color w:val="000000"/>
              </w:rPr>
            </w:r>
            <w:r w:rsidR="00091683">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w:t>
            </w:r>
          </w:p>
          <w:p w14:paraId="1C21610E" w14:textId="3FF4F835" w:rsidR="00EB15DB" w:rsidRDefault="009506E3" w:rsidP="00BF0DA2">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091683">
              <w:rPr>
                <w:rFonts w:ascii="Times New Roman" w:hAnsi="Times New Roman"/>
                <w:color w:val="000000"/>
              </w:rPr>
            </w:r>
            <w:r w:rsidR="00091683">
              <w:rPr>
                <w:rFonts w:ascii="Times New Roman" w:hAnsi="Times New Roman"/>
                <w:color w:val="000000"/>
              </w:rPr>
              <w:fldChar w:fldCharType="separate"/>
            </w:r>
            <w:r>
              <w:rPr>
                <w:rFonts w:ascii="Times New Roman" w:hAnsi="Times New Roman"/>
                <w:color w:val="000000"/>
              </w:rPr>
              <w:fldChar w:fldCharType="end"/>
            </w:r>
            <w:r w:rsidR="00EB15DB">
              <w:rPr>
                <w:rFonts w:ascii="Times New Roman" w:hAnsi="Times New Roman"/>
                <w:color w:val="000000"/>
              </w:rPr>
              <w:t xml:space="preserve"> nie dotyczy</w:t>
            </w:r>
          </w:p>
          <w:p w14:paraId="47950990" w14:textId="77777777" w:rsidR="00EB15DB" w:rsidRPr="008B4FE6" w:rsidRDefault="00EB15DB" w:rsidP="00BF0DA2">
            <w:pPr>
              <w:spacing w:line="240" w:lineRule="auto"/>
              <w:rPr>
                <w:rFonts w:ascii="Times New Roman" w:hAnsi="Times New Roman"/>
                <w:color w:val="000000"/>
              </w:rPr>
            </w:pPr>
          </w:p>
        </w:tc>
      </w:tr>
      <w:tr w:rsidR="00EB15DB" w:rsidRPr="008B4FE6" w14:paraId="4D3EEB6A" w14:textId="77777777" w:rsidTr="00704C3A">
        <w:trPr>
          <w:trHeight w:val="142"/>
        </w:trPr>
        <w:tc>
          <w:tcPr>
            <w:tcW w:w="11199" w:type="dxa"/>
            <w:gridSpan w:val="29"/>
            <w:shd w:val="clear" w:color="auto" w:fill="99CCFF"/>
          </w:tcPr>
          <w:p w14:paraId="04585EF1" w14:textId="77777777" w:rsidR="00EB15DB" w:rsidRPr="008B4FE6" w:rsidRDefault="00EB15DB" w:rsidP="00BF109C">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EB15DB" w:rsidRPr="008B4FE6" w14:paraId="253B8F52" w14:textId="77777777" w:rsidTr="00704C3A">
        <w:trPr>
          <w:trHeight w:val="142"/>
        </w:trPr>
        <w:tc>
          <w:tcPr>
            <w:tcW w:w="11199" w:type="dxa"/>
            <w:gridSpan w:val="29"/>
            <w:shd w:val="clear" w:color="auto" w:fill="auto"/>
          </w:tcPr>
          <w:p w14:paraId="01DA0D44" w14:textId="077DB121" w:rsidR="00F81A04" w:rsidRPr="008B4FE6" w:rsidRDefault="00336C0D" w:rsidP="00A1662A">
            <w:pPr>
              <w:spacing w:line="240" w:lineRule="auto"/>
              <w:jc w:val="both"/>
              <w:rPr>
                <w:rFonts w:ascii="Times New Roman" w:hAnsi="Times New Roman"/>
                <w:color w:val="000000"/>
              </w:rPr>
            </w:pPr>
            <w:r>
              <w:rPr>
                <w:rFonts w:ascii="Times New Roman" w:hAnsi="Times New Roman"/>
                <w:color w:val="000000"/>
              </w:rPr>
              <w:t>Możliwość odzyskania poprzez mechanizm konta</w:t>
            </w:r>
            <w:r w:rsidR="005E4312" w:rsidRPr="005E4312">
              <w:rPr>
                <w:rFonts w:ascii="Times New Roman" w:hAnsi="Times New Roman"/>
                <w:color w:val="000000"/>
              </w:rPr>
              <w:t xml:space="preserve"> w taryfach </w:t>
            </w:r>
            <w:r w:rsidR="000C3E60">
              <w:rPr>
                <w:rFonts w:ascii="Times New Roman" w:hAnsi="Times New Roman"/>
                <w:color w:val="000000"/>
              </w:rPr>
              <w:t>o</w:t>
            </w:r>
            <w:r w:rsidR="005E4312" w:rsidRPr="005E4312">
              <w:rPr>
                <w:rFonts w:ascii="Times New Roman" w:hAnsi="Times New Roman"/>
                <w:color w:val="000000"/>
              </w:rPr>
              <w:t xml:space="preserve">peratorów </w:t>
            </w:r>
            <w:r w:rsidR="000C3E60">
              <w:rPr>
                <w:rFonts w:ascii="Times New Roman" w:hAnsi="Times New Roman"/>
                <w:color w:val="000000"/>
              </w:rPr>
              <w:t>s</w:t>
            </w:r>
            <w:r w:rsidR="005E4312" w:rsidRPr="005E4312">
              <w:rPr>
                <w:rFonts w:ascii="Times New Roman" w:hAnsi="Times New Roman"/>
                <w:color w:val="000000"/>
              </w:rPr>
              <w:t xml:space="preserve">ystemów </w:t>
            </w:r>
            <w:r w:rsidR="000C3E60">
              <w:rPr>
                <w:rFonts w:ascii="Times New Roman" w:hAnsi="Times New Roman"/>
                <w:color w:val="000000"/>
              </w:rPr>
              <w:t>e</w:t>
            </w:r>
            <w:r w:rsidR="005E4312" w:rsidRPr="005E4312">
              <w:rPr>
                <w:rFonts w:ascii="Times New Roman" w:hAnsi="Times New Roman"/>
                <w:color w:val="000000"/>
              </w:rPr>
              <w:t xml:space="preserve">lektroenergetycznych </w:t>
            </w:r>
            <w:r>
              <w:rPr>
                <w:rFonts w:ascii="Times New Roman" w:hAnsi="Times New Roman"/>
                <w:color w:val="000000"/>
              </w:rPr>
              <w:t>poziomu przychodu regulowanego</w:t>
            </w:r>
            <w:r w:rsidR="00F75A51">
              <w:rPr>
                <w:rFonts w:ascii="Times New Roman" w:hAnsi="Times New Roman"/>
                <w:color w:val="000000"/>
              </w:rPr>
              <w:t>,</w:t>
            </w:r>
            <w:r>
              <w:rPr>
                <w:rFonts w:ascii="Times New Roman" w:hAnsi="Times New Roman"/>
                <w:color w:val="000000"/>
              </w:rPr>
              <w:t xml:space="preserve"> zapewniającego pokrycie </w:t>
            </w:r>
            <w:r w:rsidR="005E4312" w:rsidRPr="005E4312">
              <w:rPr>
                <w:rFonts w:ascii="Times New Roman" w:hAnsi="Times New Roman"/>
                <w:color w:val="000000"/>
              </w:rPr>
              <w:t>realnego poziomu kosztów</w:t>
            </w:r>
            <w:r>
              <w:rPr>
                <w:rFonts w:ascii="Times New Roman" w:hAnsi="Times New Roman"/>
                <w:color w:val="000000"/>
              </w:rPr>
              <w:t xml:space="preserve"> uzasadnionych (w tym kosztów</w:t>
            </w:r>
            <w:r w:rsidR="005E4312" w:rsidRPr="005E4312">
              <w:rPr>
                <w:rFonts w:ascii="Times New Roman" w:hAnsi="Times New Roman"/>
                <w:color w:val="000000"/>
              </w:rPr>
              <w:t xml:space="preserve"> operacyjnych</w:t>
            </w:r>
            <w:r>
              <w:rPr>
                <w:rFonts w:ascii="Times New Roman" w:hAnsi="Times New Roman"/>
                <w:color w:val="000000"/>
              </w:rPr>
              <w:t>)</w:t>
            </w:r>
            <w:r w:rsidR="00F75A51">
              <w:rPr>
                <w:rFonts w:ascii="Times New Roman" w:hAnsi="Times New Roman"/>
                <w:color w:val="000000"/>
              </w:rPr>
              <w:t>,</w:t>
            </w:r>
            <w:r w:rsidR="005E4312" w:rsidRPr="005E4312">
              <w:rPr>
                <w:rFonts w:ascii="Times New Roman" w:hAnsi="Times New Roman"/>
                <w:color w:val="000000"/>
              </w:rPr>
              <w:t xml:space="preserve"> pozwoli na utrzymanie stabilnego zatrudnienia w sektorze tych przedsiębiorstw</w:t>
            </w:r>
            <w:r w:rsidR="005E4312">
              <w:rPr>
                <w:rFonts w:ascii="Times New Roman" w:hAnsi="Times New Roman"/>
                <w:color w:val="000000"/>
              </w:rPr>
              <w:t>, pomimo ograniczeń dostaw wynikających ze stanu zagrożenia epidemicznego, a następnie stanu epidemii i zmniejszenia wolumenów dostaw energii elektrycznej do odbiorców</w:t>
            </w:r>
            <w:r w:rsidR="005E4312" w:rsidRPr="005E4312">
              <w:rPr>
                <w:rFonts w:ascii="Times New Roman" w:hAnsi="Times New Roman"/>
                <w:color w:val="000000"/>
              </w:rPr>
              <w:t>. Ponadto wprowadzone regulacje zapewnią utrzymanie rynku pracy w zakresie usług budowy nowych oraz modernizacji istniejących sieci elektroenergetycznych, jak i produkcji urządzeń elektroenergetycznych</w:t>
            </w:r>
            <w:r w:rsidR="005E4312">
              <w:rPr>
                <w:rFonts w:ascii="Times New Roman" w:hAnsi="Times New Roman"/>
                <w:color w:val="000000"/>
              </w:rPr>
              <w:t xml:space="preserve"> ze względu na zapewnienie </w:t>
            </w:r>
            <w:r w:rsidR="00144DB4">
              <w:rPr>
                <w:rFonts w:ascii="Times New Roman" w:hAnsi="Times New Roman"/>
                <w:color w:val="000000"/>
              </w:rPr>
              <w:t xml:space="preserve">operatorom </w:t>
            </w:r>
            <w:r w:rsidR="005E4312">
              <w:rPr>
                <w:rFonts w:ascii="Times New Roman" w:hAnsi="Times New Roman"/>
                <w:color w:val="000000"/>
              </w:rPr>
              <w:t>środków inwestycyjnych</w:t>
            </w:r>
            <w:r w:rsidR="005E4312" w:rsidRPr="005E4312">
              <w:rPr>
                <w:rFonts w:ascii="Times New Roman" w:hAnsi="Times New Roman"/>
                <w:color w:val="000000"/>
              </w:rPr>
              <w:t>.</w:t>
            </w:r>
          </w:p>
        </w:tc>
      </w:tr>
      <w:tr w:rsidR="00EB15DB" w:rsidRPr="008B4FE6" w14:paraId="0F1D7D3A" w14:textId="77777777" w:rsidTr="00704C3A">
        <w:trPr>
          <w:trHeight w:val="142"/>
        </w:trPr>
        <w:tc>
          <w:tcPr>
            <w:tcW w:w="11199" w:type="dxa"/>
            <w:gridSpan w:val="29"/>
            <w:shd w:val="clear" w:color="auto" w:fill="99CCFF"/>
          </w:tcPr>
          <w:p w14:paraId="78F5F74F" w14:textId="77777777" w:rsidR="00EB15DB" w:rsidRPr="008B4FE6" w:rsidRDefault="00EB15DB" w:rsidP="00BF109C">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EB15DB" w:rsidRPr="008B4FE6" w14:paraId="57038731" w14:textId="77777777" w:rsidTr="00704C3A">
        <w:trPr>
          <w:trHeight w:val="1031"/>
        </w:trPr>
        <w:tc>
          <w:tcPr>
            <w:tcW w:w="3543" w:type="dxa"/>
            <w:gridSpan w:val="5"/>
            <w:shd w:val="clear" w:color="auto" w:fill="FFFFFF"/>
          </w:tcPr>
          <w:p w14:paraId="7959C05B" w14:textId="77777777" w:rsidR="00EB15DB" w:rsidRPr="008B4FE6" w:rsidRDefault="00EB15DB" w:rsidP="00254DED">
            <w:pPr>
              <w:spacing w:line="240" w:lineRule="auto"/>
              <w:rPr>
                <w:rFonts w:ascii="Times New Roman" w:hAnsi="Times New Roman"/>
                <w:color w:val="000000"/>
              </w:rPr>
            </w:pPr>
          </w:p>
          <w:p w14:paraId="03355C4C" w14:textId="18C72D93" w:rsidR="00EB15DB" w:rsidRPr="008B4FE6" w:rsidRDefault="00025E6F" w:rsidP="00254DED">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091683">
              <w:rPr>
                <w:rFonts w:ascii="Times New Roman" w:hAnsi="Times New Roman"/>
                <w:color w:val="000000"/>
              </w:rPr>
            </w:r>
            <w:r w:rsidR="00091683">
              <w:rPr>
                <w:rFonts w:ascii="Times New Roman" w:hAnsi="Times New Roman"/>
                <w:color w:val="000000"/>
              </w:rPr>
              <w:fldChar w:fldCharType="separate"/>
            </w:r>
            <w:r>
              <w:rPr>
                <w:rFonts w:ascii="Times New Roman" w:hAnsi="Times New Roman"/>
                <w:color w:val="000000"/>
              </w:rPr>
              <w:fldChar w:fldCharType="end"/>
            </w:r>
            <w:r w:rsidR="00EB15DB" w:rsidRPr="008B4FE6">
              <w:rPr>
                <w:rFonts w:ascii="Times New Roman" w:hAnsi="Times New Roman"/>
                <w:color w:val="000000"/>
                <w:sz w:val="20"/>
                <w:szCs w:val="20"/>
              </w:rPr>
              <w:t xml:space="preserve"> </w:t>
            </w:r>
            <w:r w:rsidR="00EB15DB" w:rsidRPr="008B4FE6">
              <w:rPr>
                <w:rFonts w:ascii="Times New Roman" w:hAnsi="Times New Roman"/>
                <w:color w:val="000000"/>
                <w:spacing w:val="-2"/>
              </w:rPr>
              <w:t>środowisko naturalne</w:t>
            </w:r>
          </w:p>
          <w:p w14:paraId="31227F31" w14:textId="1C0B787D" w:rsidR="00EB15DB" w:rsidRDefault="00461F91" w:rsidP="006A701A">
            <w:pPr>
              <w:spacing w:line="240" w:lineRule="auto"/>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62336" behindDoc="0" locked="0" layoutInCell="1" allowOverlap="1" wp14:anchorId="7F1A065C" wp14:editId="5BF4BAB3">
                      <wp:simplePos x="0" y="0"/>
                      <wp:positionH relativeFrom="column">
                        <wp:posOffset>16193</wp:posOffset>
                      </wp:positionH>
                      <wp:positionV relativeFrom="paragraph">
                        <wp:posOffset>24606</wp:posOffset>
                      </wp:positionV>
                      <wp:extent cx="127000" cy="126207"/>
                      <wp:effectExtent l="0" t="0" r="25400" b="26670"/>
                      <wp:wrapNone/>
                      <wp:docPr id="4" name="Łącznik prosty 4"/>
                      <wp:cNvGraphicFramePr/>
                      <a:graphic xmlns:a="http://schemas.openxmlformats.org/drawingml/2006/main">
                        <a:graphicData uri="http://schemas.microsoft.com/office/word/2010/wordprocessingShape">
                          <wps:wsp>
                            <wps:cNvCnPr/>
                            <wps:spPr>
                              <a:xfrm flipH="1">
                                <a:off x="0" y="0"/>
                                <a:ext cx="127000" cy="12620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w:pict>
                    <v:line w14:anchorId="0A6E6A04" id="Łącznik prosty 4"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1.3pt,1.95pt" to="11.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" strokecolor="black [3200]" strokeweight=".5pt">
                      <v:stroke joinstyle="miter"/>
                    </v:line>
                  </w:pict>
                </mc:Fallback>
              </mc:AlternateContent>
            </w:r>
            <w:r>
              <w:rPr>
                <w:rFonts w:ascii="Times New Roman" w:hAnsi="Times New Roman"/>
                <w:noProof/>
                <w:color w:val="000000"/>
              </w:rPr>
              <mc:AlternateContent>
                <mc:Choice Requires="wps">
                  <w:drawing>
                    <wp:anchor distT="0" distB="0" distL="114300" distR="114300" simplePos="0" relativeHeight="251661312" behindDoc="0" locked="0" layoutInCell="1" allowOverlap="1" wp14:anchorId="19F3AF88" wp14:editId="79650427">
                      <wp:simplePos x="0" y="0"/>
                      <wp:positionH relativeFrom="column">
                        <wp:posOffset>16193</wp:posOffset>
                      </wp:positionH>
                      <wp:positionV relativeFrom="paragraph">
                        <wp:posOffset>24606</wp:posOffset>
                      </wp:positionV>
                      <wp:extent cx="127158" cy="116682"/>
                      <wp:effectExtent l="0" t="0" r="25400" b="36195"/>
                      <wp:wrapNone/>
                      <wp:docPr id="3" name="Łącznik prosty 3"/>
                      <wp:cNvGraphicFramePr/>
                      <a:graphic xmlns:a="http://schemas.openxmlformats.org/drawingml/2006/main">
                        <a:graphicData uri="http://schemas.microsoft.com/office/word/2010/wordprocessingShape">
                          <wps:wsp>
                            <wps:cNvCnPr/>
                            <wps:spPr>
                              <a:xfrm>
                                <a:off x="0" y="0"/>
                                <a:ext cx="127158" cy="11668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w:pict>
                    <v:line w14:anchorId="60C1D240" id="Łącznik prosty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pt,1.95pt" to="11.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" strokecolor="black [3200]" strokeweight=".5pt">
                      <v:stroke joinstyle="miter"/>
                    </v:line>
                  </w:pict>
                </mc:Fallback>
              </mc:AlternateContent>
            </w:r>
            <w:r w:rsidR="00EB15DB" w:rsidRPr="008B4FE6">
              <w:rPr>
                <w:rFonts w:ascii="Times New Roman" w:hAnsi="Times New Roman"/>
                <w:color w:val="000000"/>
              </w:rPr>
              <w:fldChar w:fldCharType="begin">
                <w:ffData>
                  <w:name w:val=""/>
                  <w:enabled/>
                  <w:calcOnExit w:val="0"/>
                  <w:checkBox>
                    <w:sizeAuto/>
                    <w:default w:val="0"/>
                  </w:checkBox>
                </w:ffData>
              </w:fldChar>
            </w:r>
            <w:r w:rsidR="00EB15DB" w:rsidRPr="008B4FE6">
              <w:rPr>
                <w:rFonts w:ascii="Times New Roman" w:hAnsi="Times New Roman"/>
                <w:color w:val="000000"/>
              </w:rPr>
              <w:instrText xml:space="preserve"> FORMCHECKBOX </w:instrText>
            </w:r>
            <w:r w:rsidR="00091683">
              <w:rPr>
                <w:rFonts w:ascii="Times New Roman" w:hAnsi="Times New Roman"/>
                <w:color w:val="000000"/>
              </w:rPr>
            </w:r>
            <w:r w:rsidR="00091683">
              <w:rPr>
                <w:rFonts w:ascii="Times New Roman" w:hAnsi="Times New Roman"/>
                <w:color w:val="000000"/>
              </w:rPr>
              <w:fldChar w:fldCharType="separate"/>
            </w:r>
            <w:r w:rsidR="00EB15DB" w:rsidRPr="008B4FE6">
              <w:rPr>
                <w:rFonts w:ascii="Times New Roman" w:hAnsi="Times New Roman"/>
                <w:color w:val="000000"/>
              </w:rPr>
              <w:fldChar w:fldCharType="end"/>
            </w:r>
            <w:r w:rsidR="00EB15DB" w:rsidRPr="008B4FE6">
              <w:rPr>
                <w:rFonts w:ascii="Times New Roman" w:hAnsi="Times New Roman"/>
                <w:color w:val="000000"/>
                <w:sz w:val="20"/>
                <w:szCs w:val="20"/>
              </w:rPr>
              <w:t xml:space="preserve"> </w:t>
            </w:r>
            <w:r w:rsidR="00EB15DB" w:rsidRPr="008B4FE6">
              <w:rPr>
                <w:rFonts w:ascii="Times New Roman" w:hAnsi="Times New Roman"/>
                <w:color w:val="000000"/>
              </w:rPr>
              <w:t>sytuacja i rozwój regionalny</w:t>
            </w:r>
          </w:p>
          <w:p w14:paraId="13763B65" w14:textId="388D7D19" w:rsidR="00EB15DB" w:rsidRPr="008B4FE6" w:rsidRDefault="00461F91" w:rsidP="00051185">
            <w:pPr>
              <w:spacing w:line="240" w:lineRule="auto"/>
              <w:rPr>
                <w:rFonts w:ascii="Times New Roman" w:hAnsi="Times New Roman"/>
                <w:color w:val="000000"/>
                <w:spacing w:val="-2"/>
              </w:rPr>
            </w:pPr>
            <w:r>
              <w:rPr>
                <w:rFonts w:ascii="Times New Roman" w:hAnsi="Times New Roman"/>
                <w:noProof/>
                <w:color w:val="000000"/>
              </w:rPr>
              <mc:AlternateContent>
                <mc:Choice Requires="wps">
                  <w:drawing>
                    <wp:anchor distT="0" distB="0" distL="114300" distR="114300" simplePos="0" relativeHeight="251660288" behindDoc="0" locked="0" layoutInCell="1" allowOverlap="1" wp14:anchorId="60335420" wp14:editId="0B3F45CB">
                      <wp:simplePos x="0" y="0"/>
                      <wp:positionH relativeFrom="column">
                        <wp:posOffset>16193</wp:posOffset>
                      </wp:positionH>
                      <wp:positionV relativeFrom="paragraph">
                        <wp:posOffset>13970</wp:posOffset>
                      </wp:positionV>
                      <wp:extent cx="123825" cy="138113"/>
                      <wp:effectExtent l="0" t="0" r="28575" b="33655"/>
                      <wp:wrapNone/>
                      <wp:docPr id="2" name="Łącznik prosty 2"/>
                      <wp:cNvGraphicFramePr/>
                      <a:graphic xmlns:a="http://schemas.openxmlformats.org/drawingml/2006/main">
                        <a:graphicData uri="http://schemas.microsoft.com/office/word/2010/wordprocessingShape">
                          <wps:wsp>
                            <wps:cNvCnPr/>
                            <wps:spPr>
                              <a:xfrm>
                                <a:off x="0" y="0"/>
                                <a:ext cx="123825" cy="1381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4532D14A" id="Łącznik prost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1pt" to="11.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" strokecolor="black [3200]" strokeweight=".5pt">
                      <v:stroke joinstyle="miter"/>
                    </v:line>
                  </w:pict>
                </mc:Fallback>
              </mc:AlternateContent>
            </w:r>
            <w:r w:rsidR="00003B7B">
              <w:rPr>
                <w:rFonts w:ascii="Times New Roman" w:hAnsi="Times New Roman"/>
                <w:noProof/>
                <w:color w:val="000000"/>
              </w:rPr>
              <mc:AlternateContent>
                <mc:Choice Requires="wps">
                  <w:drawing>
                    <wp:anchor distT="0" distB="0" distL="114300" distR="114300" simplePos="0" relativeHeight="251659264" behindDoc="0" locked="0" layoutInCell="1" allowOverlap="1" wp14:anchorId="16E534A4" wp14:editId="1D7D8442">
                      <wp:simplePos x="0" y="0"/>
                      <wp:positionH relativeFrom="column">
                        <wp:posOffset>12858</wp:posOffset>
                      </wp:positionH>
                      <wp:positionV relativeFrom="paragraph">
                        <wp:posOffset>14447</wp:posOffset>
                      </wp:positionV>
                      <wp:extent cx="129540" cy="129540"/>
                      <wp:effectExtent l="0" t="0" r="22860" b="22860"/>
                      <wp:wrapNone/>
                      <wp:docPr id="1" name="Łącznik prosty 1"/>
                      <wp:cNvGraphicFramePr/>
                      <a:graphic xmlns:a="http://schemas.openxmlformats.org/drawingml/2006/main">
                        <a:graphicData uri="http://schemas.microsoft.com/office/word/2010/wordprocessingShape">
                          <wps:wsp>
                            <wps:cNvCnPr/>
                            <wps:spPr>
                              <a:xfrm flipH="1">
                                <a:off x="0" y="0"/>
                                <a:ext cx="129540" cy="129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w:pict>
                    <v:line w14:anchorId="1ED41BA6" id="Łącznik prosty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pt,1.15pt" to="11.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" strokecolor="black [3200]" strokeweight=".5pt">
                      <v:stroke joinstyle="miter"/>
                    </v:line>
                  </w:pict>
                </mc:Fallback>
              </mc:AlternateContent>
            </w:r>
            <w:r w:rsidR="00EB15DB" w:rsidRPr="008B4FE6">
              <w:rPr>
                <w:rFonts w:ascii="Times New Roman" w:hAnsi="Times New Roman"/>
                <w:color w:val="000000"/>
              </w:rPr>
              <w:fldChar w:fldCharType="begin">
                <w:ffData>
                  <w:name w:val=""/>
                  <w:enabled/>
                  <w:calcOnExit w:val="0"/>
                  <w:checkBox>
                    <w:sizeAuto/>
                    <w:default w:val="0"/>
                  </w:checkBox>
                </w:ffData>
              </w:fldChar>
            </w:r>
            <w:r w:rsidR="00EB15DB" w:rsidRPr="008B4FE6">
              <w:rPr>
                <w:rFonts w:ascii="Times New Roman" w:hAnsi="Times New Roman"/>
                <w:color w:val="000000"/>
              </w:rPr>
              <w:instrText xml:space="preserve"> FORMCHECKBOX </w:instrText>
            </w:r>
            <w:r w:rsidR="00091683">
              <w:rPr>
                <w:rFonts w:ascii="Times New Roman" w:hAnsi="Times New Roman"/>
                <w:color w:val="000000"/>
              </w:rPr>
            </w:r>
            <w:r w:rsidR="00091683">
              <w:rPr>
                <w:rFonts w:ascii="Times New Roman" w:hAnsi="Times New Roman"/>
                <w:color w:val="000000"/>
              </w:rPr>
              <w:fldChar w:fldCharType="separate"/>
            </w:r>
            <w:r w:rsidR="00EB15DB" w:rsidRPr="008B4FE6">
              <w:rPr>
                <w:rFonts w:ascii="Times New Roman" w:hAnsi="Times New Roman"/>
                <w:color w:val="000000"/>
              </w:rPr>
              <w:fldChar w:fldCharType="end"/>
            </w:r>
            <w:r w:rsidR="00EB15DB" w:rsidRPr="008B4FE6">
              <w:rPr>
                <w:rFonts w:ascii="Times New Roman" w:hAnsi="Times New Roman"/>
                <w:color w:val="000000"/>
                <w:sz w:val="20"/>
                <w:szCs w:val="20"/>
              </w:rPr>
              <w:t xml:space="preserve"> </w:t>
            </w:r>
            <w:r w:rsidR="00EB15DB" w:rsidRPr="008B4FE6">
              <w:rPr>
                <w:rFonts w:ascii="Times New Roman" w:hAnsi="Times New Roman"/>
                <w:color w:val="000000"/>
                <w:spacing w:val="-2"/>
              </w:rPr>
              <w:t xml:space="preserve">inne: </w:t>
            </w:r>
            <w:r w:rsidR="00051185">
              <w:rPr>
                <w:rFonts w:ascii="Times New Roman" w:hAnsi="Times New Roman"/>
                <w:color w:val="000000"/>
              </w:rPr>
              <w:t>sytuacja społeczna i ekonomiczna</w:t>
            </w:r>
            <w:r w:rsidR="00A95B62">
              <w:rPr>
                <w:rFonts w:ascii="Times New Roman" w:hAnsi="Times New Roman"/>
                <w:color w:val="000000"/>
              </w:rPr>
              <w:t xml:space="preserve"> </w:t>
            </w:r>
            <w:r w:rsidR="00051185">
              <w:rPr>
                <w:rFonts w:ascii="Times New Roman" w:hAnsi="Times New Roman"/>
                <w:color w:val="000000"/>
              </w:rPr>
              <w:t xml:space="preserve">osób </w:t>
            </w:r>
            <w:r w:rsidR="00051185">
              <w:rPr>
                <w:rFonts w:ascii="Times New Roman" w:hAnsi="Times New Roman"/>
                <w:color w:val="000000"/>
              </w:rPr>
              <w:lastRenderedPageBreak/>
              <w:t>niepełnosprawnych oraz osób starszych.</w:t>
            </w:r>
          </w:p>
        </w:tc>
        <w:tc>
          <w:tcPr>
            <w:tcW w:w="3687" w:type="dxa"/>
            <w:gridSpan w:val="14"/>
            <w:shd w:val="clear" w:color="auto" w:fill="FFFFFF"/>
          </w:tcPr>
          <w:p w14:paraId="39D14BD6" w14:textId="77777777" w:rsidR="00EB15DB" w:rsidRPr="008B4FE6" w:rsidRDefault="00EB15DB" w:rsidP="00254DED">
            <w:pPr>
              <w:spacing w:line="240" w:lineRule="auto"/>
              <w:rPr>
                <w:rFonts w:ascii="Times New Roman" w:hAnsi="Times New Roman"/>
                <w:color w:val="000000"/>
              </w:rPr>
            </w:pPr>
          </w:p>
          <w:p w14:paraId="2D5728C9" w14:textId="77777777" w:rsidR="00EB15DB" w:rsidRPr="008B4FE6" w:rsidRDefault="00EB15DB" w:rsidP="00254DED">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91683">
              <w:rPr>
                <w:rFonts w:ascii="Times New Roman" w:hAnsi="Times New Roman"/>
                <w:color w:val="000000"/>
              </w:rPr>
            </w:r>
            <w:r w:rsidR="0009168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demografia</w:t>
            </w:r>
          </w:p>
          <w:p w14:paraId="03C46AE9" w14:textId="77777777" w:rsidR="00EB15DB" w:rsidRPr="008B4FE6" w:rsidRDefault="00EB15DB" w:rsidP="006A701A">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091683">
              <w:rPr>
                <w:rFonts w:ascii="Times New Roman" w:hAnsi="Times New Roman"/>
                <w:color w:val="000000"/>
              </w:rPr>
            </w:r>
            <w:r w:rsidR="0009168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rPr>
              <w:t>mienie państwowe</w:t>
            </w:r>
          </w:p>
        </w:tc>
        <w:tc>
          <w:tcPr>
            <w:tcW w:w="3969" w:type="dxa"/>
            <w:gridSpan w:val="10"/>
            <w:shd w:val="clear" w:color="auto" w:fill="FFFFFF"/>
          </w:tcPr>
          <w:p w14:paraId="21460F7D" w14:textId="77777777" w:rsidR="00EB15DB" w:rsidRPr="008B4FE6" w:rsidRDefault="00EB15DB" w:rsidP="006A701A">
            <w:pPr>
              <w:spacing w:line="240" w:lineRule="auto"/>
              <w:rPr>
                <w:rFonts w:ascii="Times New Roman" w:hAnsi="Times New Roman"/>
                <w:color w:val="000000"/>
              </w:rPr>
            </w:pPr>
          </w:p>
          <w:p w14:paraId="17CCF3A6" w14:textId="77777777" w:rsidR="00EB15DB" w:rsidRDefault="00EB15DB" w:rsidP="006A701A">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91683">
              <w:rPr>
                <w:rFonts w:ascii="Times New Roman" w:hAnsi="Times New Roman"/>
                <w:color w:val="000000"/>
              </w:rPr>
            </w:r>
            <w:r w:rsidR="0009168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informatyzacja</w:t>
            </w:r>
          </w:p>
          <w:p w14:paraId="2CABD47D" w14:textId="77777777" w:rsidR="00EB15DB" w:rsidRPr="008B4FE6" w:rsidRDefault="00EB15DB" w:rsidP="006A701A">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91683">
              <w:rPr>
                <w:rFonts w:ascii="Times New Roman" w:hAnsi="Times New Roman"/>
                <w:color w:val="000000"/>
              </w:rPr>
            </w:r>
            <w:r w:rsidR="0009168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spacing w:val="-2"/>
              </w:rPr>
              <w:t>zdrowie</w:t>
            </w:r>
          </w:p>
        </w:tc>
      </w:tr>
      <w:tr w:rsidR="00EB15DB" w:rsidRPr="008B4FE6" w14:paraId="5176D8CD" w14:textId="77777777" w:rsidTr="00704C3A">
        <w:trPr>
          <w:trHeight w:val="712"/>
        </w:trPr>
        <w:tc>
          <w:tcPr>
            <w:tcW w:w="2240" w:type="dxa"/>
            <w:gridSpan w:val="2"/>
            <w:shd w:val="clear" w:color="auto" w:fill="FFFFFF"/>
            <w:vAlign w:val="center"/>
          </w:tcPr>
          <w:p w14:paraId="3D663D17" w14:textId="77777777" w:rsidR="00EB15DB" w:rsidRPr="008B4FE6" w:rsidRDefault="00EB15DB" w:rsidP="00254DED">
            <w:pPr>
              <w:spacing w:line="240" w:lineRule="auto"/>
              <w:rPr>
                <w:rFonts w:ascii="Times New Roman" w:hAnsi="Times New Roman"/>
                <w:color w:val="000000"/>
              </w:rPr>
            </w:pPr>
            <w:r w:rsidRPr="008B4FE6">
              <w:rPr>
                <w:rFonts w:ascii="Times New Roman" w:hAnsi="Times New Roman"/>
                <w:color w:val="000000"/>
              </w:rPr>
              <w:t>Omówienie wpływu</w:t>
            </w:r>
          </w:p>
        </w:tc>
        <w:tc>
          <w:tcPr>
            <w:tcW w:w="8959" w:type="dxa"/>
            <w:gridSpan w:val="27"/>
            <w:shd w:val="clear" w:color="auto" w:fill="FFFFFF"/>
            <w:vAlign w:val="center"/>
          </w:tcPr>
          <w:p w14:paraId="1642707A" w14:textId="77777777" w:rsidR="00EB15DB" w:rsidRPr="008B4FE6" w:rsidRDefault="00EB15DB" w:rsidP="00B37C80">
            <w:pPr>
              <w:spacing w:line="240" w:lineRule="auto"/>
              <w:jc w:val="both"/>
              <w:rPr>
                <w:rFonts w:ascii="Times New Roman" w:hAnsi="Times New Roman"/>
                <w:color w:val="000000"/>
                <w:spacing w:val="-2"/>
              </w:rPr>
            </w:pPr>
          </w:p>
          <w:p w14:paraId="0DE1B8FD" w14:textId="2C2C0E09" w:rsidR="00EB15DB" w:rsidRDefault="004D6415" w:rsidP="004D6415">
            <w:pPr>
              <w:spacing w:line="240" w:lineRule="auto"/>
              <w:jc w:val="both"/>
              <w:rPr>
                <w:rFonts w:ascii="Times New Roman" w:hAnsi="Times New Roman"/>
                <w:color w:val="000000"/>
                <w:spacing w:val="-2"/>
              </w:rPr>
            </w:pPr>
            <w:r>
              <w:rPr>
                <w:rFonts w:ascii="Times New Roman" w:hAnsi="Times New Roman"/>
                <w:color w:val="000000"/>
                <w:spacing w:val="-2"/>
              </w:rPr>
              <w:t>Projektowana regulacja nie wpłynie</w:t>
            </w:r>
            <w:r w:rsidRPr="004D6415">
              <w:rPr>
                <w:rFonts w:ascii="Times New Roman" w:hAnsi="Times New Roman"/>
                <w:color w:val="000000"/>
                <w:spacing w:val="-2"/>
              </w:rPr>
              <w:t xml:space="preserve"> na sytuacje </w:t>
            </w:r>
            <w:r>
              <w:rPr>
                <w:rFonts w:ascii="Times New Roman" w:hAnsi="Times New Roman"/>
                <w:color w:val="000000"/>
                <w:spacing w:val="-2"/>
              </w:rPr>
              <w:t xml:space="preserve">społeczną, a także osób </w:t>
            </w:r>
            <w:r w:rsidRPr="004D6415">
              <w:rPr>
                <w:rFonts w:ascii="Times New Roman" w:hAnsi="Times New Roman"/>
                <w:color w:val="000000"/>
                <w:spacing w:val="-2"/>
              </w:rPr>
              <w:t>niepełnosprawnych oraz osób starszych</w:t>
            </w:r>
            <w:r>
              <w:rPr>
                <w:rFonts w:ascii="Times New Roman" w:hAnsi="Times New Roman"/>
                <w:color w:val="000000"/>
                <w:spacing w:val="-2"/>
              </w:rPr>
              <w:t>. Będzie miała natomiast pozytywny wpływ na sytuacje ekonomiczną ww. osób.</w:t>
            </w:r>
          </w:p>
          <w:p w14:paraId="31233A80" w14:textId="7B4193AD" w:rsidR="00025E6F" w:rsidRPr="008B4FE6" w:rsidRDefault="00025E6F" w:rsidP="004D6415">
            <w:pPr>
              <w:spacing w:line="240" w:lineRule="auto"/>
              <w:jc w:val="both"/>
              <w:rPr>
                <w:rFonts w:ascii="Times New Roman" w:hAnsi="Times New Roman"/>
                <w:color w:val="000000"/>
                <w:spacing w:val="-2"/>
              </w:rPr>
            </w:pPr>
            <w:r>
              <w:rPr>
                <w:rFonts w:ascii="Times New Roman" w:hAnsi="Times New Roman"/>
                <w:color w:val="000000"/>
                <w:spacing w:val="-2"/>
              </w:rPr>
              <w:t>Natomiast r</w:t>
            </w:r>
            <w:r w:rsidRPr="00025E6F">
              <w:rPr>
                <w:rFonts w:ascii="Times New Roman" w:hAnsi="Times New Roman"/>
                <w:color w:val="000000"/>
                <w:spacing w:val="-2"/>
              </w:rPr>
              <w:t>ozbudowa infrastruktur i jej utrzymanie skutkować będzie prawdopodobnym zwiększeniem popytu na pojazdy elektryczne, a co za tym idzie wpłynie pozytywnie na zmniejszenie zanieczyszczenia powietrza</w:t>
            </w:r>
            <w:r w:rsidR="00C211A0">
              <w:rPr>
                <w:rFonts w:ascii="Times New Roman" w:hAnsi="Times New Roman"/>
                <w:color w:val="000000"/>
                <w:spacing w:val="-2"/>
              </w:rPr>
              <w:t>,</w:t>
            </w:r>
            <w:r w:rsidRPr="00025E6F">
              <w:rPr>
                <w:rFonts w:ascii="Times New Roman" w:hAnsi="Times New Roman"/>
                <w:color w:val="000000"/>
                <w:spacing w:val="-2"/>
              </w:rPr>
              <w:t xml:space="preserve"> a tym samym na zdrowie polskich obywateli.</w:t>
            </w:r>
          </w:p>
          <w:p w14:paraId="27826C06" w14:textId="77777777" w:rsidR="00EB15DB" w:rsidRPr="008B4FE6" w:rsidRDefault="00EB15DB" w:rsidP="00B37C80">
            <w:pPr>
              <w:spacing w:line="240" w:lineRule="auto"/>
              <w:jc w:val="both"/>
              <w:rPr>
                <w:rFonts w:ascii="Times New Roman" w:hAnsi="Times New Roman"/>
                <w:color w:val="000000"/>
                <w:spacing w:val="-2"/>
              </w:rPr>
            </w:pPr>
          </w:p>
        </w:tc>
      </w:tr>
      <w:tr w:rsidR="00EB15DB" w:rsidRPr="008B4FE6" w14:paraId="4FC4B530" w14:textId="77777777" w:rsidTr="00704C3A">
        <w:trPr>
          <w:trHeight w:val="142"/>
        </w:trPr>
        <w:tc>
          <w:tcPr>
            <w:tcW w:w="11199" w:type="dxa"/>
            <w:gridSpan w:val="29"/>
            <w:shd w:val="clear" w:color="auto" w:fill="99CCFF"/>
          </w:tcPr>
          <w:p w14:paraId="57681A45" w14:textId="77777777" w:rsidR="00EB15DB" w:rsidRPr="00627221" w:rsidRDefault="00EB15DB" w:rsidP="00A767D2">
            <w:pPr>
              <w:numPr>
                <w:ilvl w:val="0"/>
                <w:numId w:val="3"/>
              </w:numPr>
              <w:spacing w:before="60" w:after="60" w:line="240" w:lineRule="auto"/>
              <w:ind w:left="318" w:hanging="284"/>
              <w:jc w:val="both"/>
              <w:rPr>
                <w:rFonts w:ascii="Times New Roman" w:hAnsi="Times New Roman"/>
                <w:b/>
              </w:rPr>
            </w:pPr>
            <w:r>
              <w:rPr>
                <w:rFonts w:ascii="Times New Roman" w:hAnsi="Times New Roman"/>
                <w:b/>
                <w:spacing w:val="-2"/>
                <w:sz w:val="21"/>
                <w:szCs w:val="21"/>
              </w:rPr>
              <w:t>Planowane w</w:t>
            </w:r>
            <w:r w:rsidRPr="00627221">
              <w:rPr>
                <w:rFonts w:ascii="Times New Roman" w:hAnsi="Times New Roman"/>
                <w:b/>
                <w:spacing w:val="-2"/>
                <w:sz w:val="21"/>
                <w:szCs w:val="21"/>
              </w:rPr>
              <w:t>ykonani</w:t>
            </w:r>
            <w:r>
              <w:rPr>
                <w:rFonts w:ascii="Times New Roman" w:hAnsi="Times New Roman"/>
                <w:b/>
                <w:spacing w:val="-2"/>
                <w:sz w:val="21"/>
                <w:szCs w:val="21"/>
              </w:rPr>
              <w:t>e</w:t>
            </w:r>
            <w:r w:rsidRPr="00627221">
              <w:rPr>
                <w:rFonts w:ascii="Times New Roman" w:hAnsi="Times New Roman"/>
                <w:b/>
                <w:spacing w:val="-2"/>
                <w:sz w:val="21"/>
                <w:szCs w:val="21"/>
              </w:rPr>
              <w:t xml:space="preserve"> przepisów aktu prawnego</w:t>
            </w:r>
          </w:p>
        </w:tc>
      </w:tr>
      <w:tr w:rsidR="00EB15DB" w:rsidRPr="008B4FE6" w14:paraId="4130EAF5" w14:textId="77777777" w:rsidTr="00704C3A">
        <w:trPr>
          <w:trHeight w:val="142"/>
        </w:trPr>
        <w:tc>
          <w:tcPr>
            <w:tcW w:w="11199" w:type="dxa"/>
            <w:gridSpan w:val="29"/>
            <w:shd w:val="clear" w:color="auto" w:fill="FFFFFF"/>
          </w:tcPr>
          <w:p w14:paraId="4867D066" w14:textId="56DB1E0A" w:rsidR="00EB15DB" w:rsidRDefault="00112A0C" w:rsidP="00AF54A7">
            <w:pPr>
              <w:spacing w:line="240" w:lineRule="auto"/>
              <w:jc w:val="both"/>
              <w:rPr>
                <w:rFonts w:ascii="Times New Roman" w:hAnsi="Times New Roman"/>
                <w:spacing w:val="-2"/>
              </w:rPr>
            </w:pPr>
            <w:r>
              <w:rPr>
                <w:rFonts w:ascii="Times New Roman" w:hAnsi="Times New Roman"/>
                <w:spacing w:val="-2"/>
              </w:rPr>
              <w:t>P</w:t>
            </w:r>
            <w:r w:rsidR="00EB15DB">
              <w:rPr>
                <w:rFonts w:ascii="Times New Roman" w:hAnsi="Times New Roman"/>
                <w:spacing w:val="-2"/>
              </w:rPr>
              <w:t xml:space="preserve">rojektowane regulacje będą obowiązywały od </w:t>
            </w:r>
            <w:r w:rsidR="00C84F94">
              <w:rPr>
                <w:rFonts w:ascii="Times New Roman" w:hAnsi="Times New Roman"/>
                <w:spacing w:val="-2"/>
              </w:rPr>
              <w:t>dnia</w:t>
            </w:r>
            <w:r w:rsidR="005E2713">
              <w:rPr>
                <w:rFonts w:ascii="Times New Roman" w:hAnsi="Times New Roman"/>
                <w:spacing w:val="-2"/>
              </w:rPr>
              <w:t xml:space="preserve"> </w:t>
            </w:r>
            <w:r w:rsidR="00625AC1">
              <w:rPr>
                <w:rFonts w:ascii="Times New Roman" w:hAnsi="Times New Roman"/>
                <w:spacing w:val="-2"/>
              </w:rPr>
              <w:t>wejścia w życie</w:t>
            </w:r>
            <w:r w:rsidR="00A1662A">
              <w:rPr>
                <w:rFonts w:ascii="Times New Roman" w:hAnsi="Times New Roman"/>
                <w:spacing w:val="-2"/>
              </w:rPr>
              <w:t xml:space="preserve">, </w:t>
            </w:r>
            <w:r w:rsidR="00C211A0">
              <w:rPr>
                <w:rFonts w:ascii="Times New Roman" w:hAnsi="Times New Roman"/>
                <w:spacing w:val="-2"/>
              </w:rPr>
              <w:t>czyli po upływie 14 dni od dnia ogłoszenia projektowanego rozporządzenia</w:t>
            </w:r>
            <w:r w:rsidR="00351D0E">
              <w:rPr>
                <w:rFonts w:ascii="Times New Roman" w:hAnsi="Times New Roman"/>
                <w:spacing w:val="-2"/>
              </w:rPr>
              <w:t>, z wyjątkiem regulacji dotyczących konta regulacyjnego.</w:t>
            </w:r>
          </w:p>
          <w:p w14:paraId="51B2AA5A" w14:textId="77777777" w:rsidR="00A9139D" w:rsidRDefault="005E4312" w:rsidP="00AF54A7">
            <w:pPr>
              <w:spacing w:line="240" w:lineRule="auto"/>
              <w:jc w:val="both"/>
              <w:rPr>
                <w:rFonts w:ascii="Times New Roman" w:hAnsi="Times New Roman"/>
                <w:spacing w:val="-2"/>
              </w:rPr>
            </w:pPr>
            <w:r>
              <w:rPr>
                <w:rFonts w:ascii="Times New Roman" w:hAnsi="Times New Roman"/>
                <w:spacing w:val="-2"/>
              </w:rPr>
              <w:t>M</w:t>
            </w:r>
            <w:r w:rsidRPr="005E4312">
              <w:rPr>
                <w:rFonts w:ascii="Times New Roman" w:hAnsi="Times New Roman"/>
                <w:spacing w:val="-2"/>
              </w:rPr>
              <w:t xml:space="preserve">echanizm konta regulacyjnego będzie </w:t>
            </w:r>
            <w:r w:rsidR="00A25BFE">
              <w:rPr>
                <w:rFonts w:ascii="Times New Roman" w:hAnsi="Times New Roman"/>
                <w:spacing w:val="-2"/>
              </w:rPr>
              <w:t xml:space="preserve">zastosowany dla taryf OSD </w:t>
            </w:r>
            <w:r w:rsidR="002323A7">
              <w:rPr>
                <w:rFonts w:ascii="Times New Roman" w:hAnsi="Times New Roman"/>
                <w:spacing w:val="-2"/>
              </w:rPr>
              <w:t xml:space="preserve">i OSP </w:t>
            </w:r>
            <w:r w:rsidR="00A25BFE">
              <w:rPr>
                <w:rFonts w:ascii="Times New Roman" w:hAnsi="Times New Roman"/>
                <w:spacing w:val="-2"/>
              </w:rPr>
              <w:t>obowiązujących</w:t>
            </w:r>
            <w:r w:rsidRPr="005E4312">
              <w:rPr>
                <w:rFonts w:ascii="Times New Roman" w:hAnsi="Times New Roman"/>
                <w:spacing w:val="-2"/>
              </w:rPr>
              <w:t xml:space="preserve"> od 01.01.202</w:t>
            </w:r>
            <w:r w:rsidR="00A25BFE">
              <w:rPr>
                <w:rFonts w:ascii="Times New Roman" w:hAnsi="Times New Roman"/>
                <w:spacing w:val="-2"/>
              </w:rPr>
              <w:t>1</w:t>
            </w:r>
            <w:r w:rsidRPr="005E4312">
              <w:rPr>
                <w:rFonts w:ascii="Times New Roman" w:hAnsi="Times New Roman"/>
                <w:spacing w:val="-2"/>
              </w:rPr>
              <w:t xml:space="preserve"> r. </w:t>
            </w:r>
            <w:r w:rsidR="001E13CD">
              <w:rPr>
                <w:rFonts w:ascii="Times New Roman" w:hAnsi="Times New Roman"/>
                <w:spacing w:val="-2"/>
              </w:rPr>
              <w:t xml:space="preserve">i </w:t>
            </w:r>
            <w:r w:rsidRPr="005E4312">
              <w:rPr>
                <w:rFonts w:ascii="Times New Roman" w:hAnsi="Times New Roman"/>
                <w:spacing w:val="-2"/>
              </w:rPr>
              <w:t xml:space="preserve">będzie dotyczył zrealizowania </w:t>
            </w:r>
            <w:r w:rsidR="00336C0D">
              <w:rPr>
                <w:rFonts w:ascii="Times New Roman" w:hAnsi="Times New Roman"/>
                <w:spacing w:val="-2"/>
              </w:rPr>
              <w:t xml:space="preserve">części </w:t>
            </w:r>
            <w:r w:rsidRPr="005E4312">
              <w:rPr>
                <w:rFonts w:ascii="Times New Roman" w:hAnsi="Times New Roman"/>
                <w:spacing w:val="-2"/>
              </w:rPr>
              <w:t>planowanych przychodów za rok 20</w:t>
            </w:r>
            <w:r w:rsidR="00A25BFE">
              <w:rPr>
                <w:rFonts w:ascii="Times New Roman" w:hAnsi="Times New Roman"/>
                <w:spacing w:val="-2"/>
              </w:rPr>
              <w:t>20</w:t>
            </w:r>
            <w:r w:rsidRPr="005E4312">
              <w:rPr>
                <w:rFonts w:ascii="Times New Roman" w:hAnsi="Times New Roman"/>
                <w:spacing w:val="-2"/>
              </w:rPr>
              <w:t>.</w:t>
            </w:r>
            <w:r w:rsidR="00336C0D">
              <w:rPr>
                <w:rFonts w:ascii="Times New Roman" w:hAnsi="Times New Roman"/>
                <w:spacing w:val="-2"/>
              </w:rPr>
              <w:t xml:space="preserve"> Ostateczne rozliczenie roku 2020 nastąpi w taryfach OSD </w:t>
            </w:r>
            <w:r w:rsidR="002323A7">
              <w:rPr>
                <w:rFonts w:ascii="Times New Roman" w:hAnsi="Times New Roman"/>
                <w:spacing w:val="-2"/>
              </w:rPr>
              <w:t xml:space="preserve">i OSP </w:t>
            </w:r>
            <w:r w:rsidR="00336C0D">
              <w:rPr>
                <w:rFonts w:ascii="Times New Roman" w:hAnsi="Times New Roman"/>
                <w:spacing w:val="-2"/>
              </w:rPr>
              <w:t xml:space="preserve">obowiązujących od 01.01.2022. </w:t>
            </w:r>
          </w:p>
          <w:p w14:paraId="1B740592" w14:textId="0AD2DAB9" w:rsidR="00FC2B47" w:rsidRPr="00B37C80" w:rsidRDefault="00A9139D" w:rsidP="00AF54A7">
            <w:pPr>
              <w:spacing w:line="240" w:lineRule="auto"/>
              <w:jc w:val="both"/>
              <w:rPr>
                <w:rFonts w:ascii="Times New Roman" w:hAnsi="Times New Roman"/>
                <w:spacing w:val="-2"/>
              </w:rPr>
            </w:pPr>
            <w:r>
              <w:rPr>
                <w:rFonts w:ascii="Times New Roman" w:hAnsi="Times New Roman"/>
                <w:spacing w:val="-2"/>
              </w:rPr>
              <w:t xml:space="preserve">Mechanizm pełnego konta regulacyjnego </w:t>
            </w:r>
            <w:r w:rsidRPr="005E4312">
              <w:rPr>
                <w:rFonts w:ascii="Times New Roman" w:hAnsi="Times New Roman"/>
                <w:spacing w:val="-2"/>
              </w:rPr>
              <w:t xml:space="preserve">będzie </w:t>
            </w:r>
            <w:r>
              <w:rPr>
                <w:rFonts w:ascii="Times New Roman" w:hAnsi="Times New Roman"/>
                <w:spacing w:val="-2"/>
              </w:rPr>
              <w:t xml:space="preserve">zastosowany dla taryf OSD </w:t>
            </w:r>
            <w:r w:rsidR="002323A7">
              <w:rPr>
                <w:rFonts w:ascii="Times New Roman" w:hAnsi="Times New Roman"/>
                <w:spacing w:val="-2"/>
              </w:rPr>
              <w:t xml:space="preserve">i OSP </w:t>
            </w:r>
            <w:r>
              <w:rPr>
                <w:rFonts w:ascii="Times New Roman" w:hAnsi="Times New Roman"/>
                <w:spacing w:val="-2"/>
              </w:rPr>
              <w:t>obowiązujących</w:t>
            </w:r>
            <w:r w:rsidRPr="005E4312">
              <w:rPr>
                <w:rFonts w:ascii="Times New Roman" w:hAnsi="Times New Roman"/>
                <w:spacing w:val="-2"/>
              </w:rPr>
              <w:t xml:space="preserve"> od 01.01.202</w:t>
            </w:r>
            <w:r>
              <w:rPr>
                <w:rFonts w:ascii="Times New Roman" w:hAnsi="Times New Roman"/>
                <w:spacing w:val="-2"/>
              </w:rPr>
              <w:t>3</w:t>
            </w:r>
            <w:r w:rsidRPr="005E4312">
              <w:rPr>
                <w:rFonts w:ascii="Times New Roman" w:hAnsi="Times New Roman"/>
                <w:spacing w:val="-2"/>
              </w:rPr>
              <w:t xml:space="preserve"> r. </w:t>
            </w:r>
            <w:r>
              <w:rPr>
                <w:rFonts w:ascii="Times New Roman" w:hAnsi="Times New Roman"/>
                <w:spacing w:val="-2"/>
              </w:rPr>
              <w:t xml:space="preserve">i </w:t>
            </w:r>
            <w:r w:rsidRPr="005E4312">
              <w:rPr>
                <w:rFonts w:ascii="Times New Roman" w:hAnsi="Times New Roman"/>
                <w:spacing w:val="-2"/>
              </w:rPr>
              <w:t>będzie dotyczył zrealizowania planowanych przychodów za rok 20</w:t>
            </w:r>
            <w:r>
              <w:rPr>
                <w:rFonts w:ascii="Times New Roman" w:hAnsi="Times New Roman"/>
                <w:spacing w:val="-2"/>
              </w:rPr>
              <w:t>21.</w:t>
            </w:r>
          </w:p>
          <w:p w14:paraId="3FB5EC24" w14:textId="77777777" w:rsidR="00EB15DB" w:rsidRPr="00B37C80" w:rsidRDefault="00EB15DB" w:rsidP="00B37C80">
            <w:pPr>
              <w:spacing w:line="240" w:lineRule="auto"/>
              <w:jc w:val="both"/>
              <w:rPr>
                <w:rFonts w:ascii="Times New Roman" w:hAnsi="Times New Roman"/>
                <w:spacing w:val="-2"/>
              </w:rPr>
            </w:pPr>
          </w:p>
        </w:tc>
      </w:tr>
      <w:tr w:rsidR="00EB15DB" w:rsidRPr="008B4FE6" w14:paraId="3A47F3AD" w14:textId="77777777" w:rsidTr="00704C3A">
        <w:trPr>
          <w:trHeight w:val="142"/>
        </w:trPr>
        <w:tc>
          <w:tcPr>
            <w:tcW w:w="11199" w:type="dxa"/>
            <w:gridSpan w:val="29"/>
            <w:shd w:val="clear" w:color="auto" w:fill="99CCFF"/>
          </w:tcPr>
          <w:p w14:paraId="0CB29698" w14:textId="77777777" w:rsidR="00EB15DB" w:rsidRPr="008B4FE6" w:rsidRDefault="00EB15DB" w:rsidP="001D6A3C">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zastosowane</w:t>
            </w:r>
            <w:r>
              <w:rPr>
                <w:rFonts w:ascii="Times New Roman" w:hAnsi="Times New Roman"/>
                <w:b/>
                <w:spacing w:val="-2"/>
                <w:sz w:val="21"/>
                <w:szCs w:val="21"/>
              </w:rPr>
              <w:t>?</w:t>
            </w:r>
          </w:p>
        </w:tc>
      </w:tr>
      <w:tr w:rsidR="00EB15DB" w:rsidRPr="008B4FE6" w14:paraId="0D53580A" w14:textId="77777777" w:rsidTr="00704C3A">
        <w:trPr>
          <w:trHeight w:val="142"/>
        </w:trPr>
        <w:tc>
          <w:tcPr>
            <w:tcW w:w="11199" w:type="dxa"/>
            <w:gridSpan w:val="29"/>
            <w:shd w:val="clear" w:color="auto" w:fill="FFFFFF"/>
          </w:tcPr>
          <w:p w14:paraId="755BFEFF" w14:textId="313E3C2E" w:rsidR="00A25BFE" w:rsidRPr="007A2FB8" w:rsidRDefault="00A25BFE" w:rsidP="00A25BFE">
            <w:pPr>
              <w:spacing w:line="240" w:lineRule="auto"/>
              <w:jc w:val="both"/>
              <w:rPr>
                <w:rFonts w:ascii="Times New Roman" w:hAnsi="Times New Roman"/>
                <w:color w:val="000000"/>
                <w:spacing w:val="-2"/>
              </w:rPr>
            </w:pPr>
            <w:r w:rsidRPr="00A25BFE">
              <w:rPr>
                <w:rFonts w:ascii="Times New Roman" w:hAnsi="Times New Roman"/>
                <w:color w:val="000000"/>
                <w:spacing w:val="-2"/>
              </w:rPr>
              <w:t xml:space="preserve">Miernikami sukcesu będą: </w:t>
            </w:r>
            <w:r>
              <w:rPr>
                <w:rFonts w:ascii="Times New Roman" w:hAnsi="Times New Roman"/>
                <w:color w:val="000000"/>
                <w:spacing w:val="-2"/>
              </w:rPr>
              <w:t xml:space="preserve">utrzymanie zatrudnienia </w:t>
            </w:r>
            <w:r w:rsidR="00DA0E43">
              <w:rPr>
                <w:rFonts w:ascii="Times New Roman" w:hAnsi="Times New Roman"/>
                <w:color w:val="000000"/>
                <w:spacing w:val="-2"/>
              </w:rPr>
              <w:t>u</w:t>
            </w:r>
            <w:r>
              <w:rPr>
                <w:rFonts w:ascii="Times New Roman" w:hAnsi="Times New Roman"/>
                <w:color w:val="000000"/>
                <w:spacing w:val="-2"/>
              </w:rPr>
              <w:t xml:space="preserve"> OSD </w:t>
            </w:r>
            <w:r w:rsidR="002323A7">
              <w:rPr>
                <w:rFonts w:ascii="Times New Roman" w:hAnsi="Times New Roman"/>
                <w:color w:val="000000"/>
                <w:spacing w:val="-2"/>
              </w:rPr>
              <w:t xml:space="preserve">i OSP </w:t>
            </w:r>
            <w:r>
              <w:rPr>
                <w:rFonts w:ascii="Times New Roman" w:hAnsi="Times New Roman"/>
                <w:color w:val="000000"/>
                <w:spacing w:val="-2"/>
              </w:rPr>
              <w:t xml:space="preserve">pomimo sytuacji gospodarczej spowodowanej epidemią, stabilność i przewidywalność stawek opłat za przesył i dystrybucję energii elektrycznej, utrzymanie </w:t>
            </w:r>
            <w:r w:rsidR="00086421">
              <w:rPr>
                <w:rFonts w:ascii="Times New Roman" w:hAnsi="Times New Roman"/>
                <w:color w:val="000000"/>
                <w:spacing w:val="-2"/>
              </w:rPr>
              <w:t xml:space="preserve">lub obniżenie o niezbędne minimum </w:t>
            </w:r>
            <w:r>
              <w:rPr>
                <w:rFonts w:ascii="Times New Roman" w:hAnsi="Times New Roman"/>
                <w:color w:val="000000"/>
                <w:spacing w:val="-2"/>
              </w:rPr>
              <w:t>poziomu</w:t>
            </w:r>
            <w:r w:rsidRPr="00A25BFE">
              <w:rPr>
                <w:rFonts w:ascii="Times New Roman" w:hAnsi="Times New Roman"/>
                <w:color w:val="000000"/>
                <w:spacing w:val="-2"/>
              </w:rPr>
              <w:t xml:space="preserve"> inwestycji w sieci elektroenergetyczne</w:t>
            </w:r>
            <w:r>
              <w:rPr>
                <w:rFonts w:ascii="Times New Roman" w:hAnsi="Times New Roman"/>
                <w:color w:val="000000"/>
                <w:spacing w:val="-2"/>
              </w:rPr>
              <w:t xml:space="preserve">. </w:t>
            </w:r>
          </w:p>
          <w:p w14:paraId="655283F5" w14:textId="5F14FFB5" w:rsidR="00EB15DB" w:rsidRDefault="00EB15DB" w:rsidP="00A25BFE">
            <w:pPr>
              <w:spacing w:line="240" w:lineRule="auto"/>
              <w:jc w:val="both"/>
              <w:rPr>
                <w:rFonts w:ascii="Times New Roman" w:hAnsi="Times New Roman"/>
                <w:color w:val="000000"/>
                <w:spacing w:val="-2"/>
              </w:rPr>
            </w:pPr>
            <w:r w:rsidRPr="007A2FB8">
              <w:rPr>
                <w:rFonts w:ascii="Times New Roman" w:hAnsi="Times New Roman"/>
                <w:color w:val="000000"/>
                <w:spacing w:val="-2"/>
              </w:rPr>
              <w:t xml:space="preserve">Ewaluacji </w:t>
            </w:r>
            <w:r w:rsidR="007137BD">
              <w:rPr>
                <w:rFonts w:ascii="Times New Roman" w:hAnsi="Times New Roman"/>
                <w:color w:val="000000"/>
                <w:spacing w:val="-2"/>
              </w:rPr>
              <w:t xml:space="preserve">w zakresie </w:t>
            </w:r>
            <w:r w:rsidR="00FC2B47">
              <w:rPr>
                <w:rFonts w:ascii="Times New Roman" w:hAnsi="Times New Roman"/>
                <w:color w:val="000000"/>
                <w:spacing w:val="-2"/>
              </w:rPr>
              <w:t xml:space="preserve">konta regulacyjnego </w:t>
            </w:r>
            <w:r w:rsidRPr="007A2FB8">
              <w:rPr>
                <w:rFonts w:ascii="Times New Roman" w:hAnsi="Times New Roman"/>
                <w:color w:val="000000"/>
                <w:spacing w:val="-2"/>
              </w:rPr>
              <w:t xml:space="preserve">będzie można dokonać za </w:t>
            </w:r>
            <w:r w:rsidR="00F81A04">
              <w:rPr>
                <w:rFonts w:ascii="Times New Roman" w:hAnsi="Times New Roman"/>
                <w:color w:val="000000"/>
                <w:spacing w:val="-2"/>
              </w:rPr>
              <w:t xml:space="preserve">pierwsze </w:t>
            </w:r>
            <w:r>
              <w:rPr>
                <w:rFonts w:ascii="Times New Roman" w:hAnsi="Times New Roman"/>
                <w:color w:val="000000"/>
                <w:spacing w:val="-2"/>
              </w:rPr>
              <w:t>lata</w:t>
            </w:r>
            <w:r w:rsidR="00F81A04">
              <w:rPr>
                <w:rFonts w:ascii="Times New Roman" w:hAnsi="Times New Roman"/>
                <w:color w:val="000000"/>
                <w:spacing w:val="-2"/>
              </w:rPr>
              <w:t xml:space="preserve"> obwiązywania przepisów</w:t>
            </w:r>
            <w:r w:rsidRPr="00E53F6E">
              <w:rPr>
                <w:rFonts w:ascii="Times New Roman" w:hAnsi="Times New Roman"/>
                <w:color w:val="000000"/>
                <w:spacing w:val="-2"/>
              </w:rPr>
              <w:t>.</w:t>
            </w:r>
          </w:p>
          <w:p w14:paraId="299D29A5" w14:textId="639CFB89" w:rsidR="00EB15DB" w:rsidRPr="00B37C80" w:rsidRDefault="00FC2B47" w:rsidP="007A2FB8">
            <w:pPr>
              <w:spacing w:line="240" w:lineRule="auto"/>
              <w:jc w:val="both"/>
              <w:rPr>
                <w:rFonts w:ascii="Times New Roman" w:hAnsi="Times New Roman"/>
                <w:color w:val="000000"/>
                <w:spacing w:val="-2"/>
              </w:rPr>
            </w:pPr>
            <w:r>
              <w:rPr>
                <w:rFonts w:ascii="Times New Roman" w:hAnsi="Times New Roman"/>
                <w:color w:val="000000"/>
                <w:spacing w:val="-2"/>
              </w:rPr>
              <w:t>Natomiast w zakresie wprowadzenia grupy taryfowej dla stacji ładowania -</w:t>
            </w:r>
            <w:r w:rsidRPr="00FC2B47">
              <w:rPr>
                <w:rFonts w:ascii="Times New Roman" w:hAnsi="Times New Roman"/>
                <w:color w:val="000000"/>
                <w:spacing w:val="-2"/>
              </w:rPr>
              <w:t xml:space="preserve"> będzie prowadzona co roku na podstawie zbierania informacji o aktualnie funkcjonującej liczbie ogólnodostępnych punktach ładowania wyposażonych w ładowarki o mocy 50 i więcej kW.</w:t>
            </w:r>
          </w:p>
        </w:tc>
      </w:tr>
      <w:tr w:rsidR="00EB15DB" w:rsidRPr="008B4FE6" w14:paraId="338F47B0" w14:textId="77777777" w:rsidTr="00704C3A">
        <w:trPr>
          <w:trHeight w:val="142"/>
        </w:trPr>
        <w:tc>
          <w:tcPr>
            <w:tcW w:w="11199" w:type="dxa"/>
            <w:gridSpan w:val="29"/>
            <w:shd w:val="clear" w:color="auto" w:fill="99CCFF"/>
          </w:tcPr>
          <w:p w14:paraId="51653AD8" w14:textId="77777777" w:rsidR="00EB15DB" w:rsidRPr="008B4FE6" w:rsidRDefault="00EB15DB" w:rsidP="00301959">
            <w:pPr>
              <w:numPr>
                <w:ilvl w:val="0"/>
                <w:numId w:val="3"/>
              </w:numPr>
              <w:spacing w:before="60" w:after="60"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itp.</w:t>
            </w:r>
            <w:r w:rsidRPr="008B4FE6">
              <w:rPr>
                <w:rFonts w:ascii="Times New Roman" w:hAnsi="Times New Roman"/>
                <w:b/>
                <w:color w:val="000000"/>
                <w:spacing w:val="-2"/>
              </w:rPr>
              <w:t xml:space="preserve">) </w:t>
            </w:r>
          </w:p>
        </w:tc>
      </w:tr>
    </w:tbl>
    <w:p w14:paraId="49B5700C" w14:textId="77777777" w:rsidR="006176ED" w:rsidRPr="00522D94" w:rsidRDefault="009D0655" w:rsidP="00441787">
      <w:pPr>
        <w:spacing w:after="120"/>
        <w:ind w:left="360"/>
        <w:jc w:val="both"/>
        <w:rPr>
          <w:rFonts w:ascii="Times New Roman" w:hAnsi="Times New Roman"/>
          <w:sz w:val="20"/>
          <w:szCs w:val="20"/>
        </w:rPr>
      </w:pPr>
      <w:r>
        <w:rPr>
          <w:rFonts w:ascii="Times New Roman" w:hAnsi="Times New Roman"/>
          <w:sz w:val="20"/>
          <w:szCs w:val="20"/>
        </w:rPr>
        <w:t xml:space="preserve"> </w:t>
      </w:r>
    </w:p>
    <w:sectPr w:rsidR="006176ED" w:rsidRPr="00522D94"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4FC8E" w14:textId="77777777" w:rsidR="00091683" w:rsidRDefault="00091683" w:rsidP="00044739">
      <w:pPr>
        <w:spacing w:line="240" w:lineRule="auto"/>
      </w:pPr>
      <w:r>
        <w:separator/>
      </w:r>
    </w:p>
  </w:endnote>
  <w:endnote w:type="continuationSeparator" w:id="0">
    <w:p w14:paraId="6F5DBCCB" w14:textId="77777777" w:rsidR="00091683" w:rsidRDefault="00091683" w:rsidP="00044739">
      <w:pPr>
        <w:spacing w:line="240" w:lineRule="auto"/>
      </w:pPr>
      <w:r>
        <w:continuationSeparator/>
      </w:r>
    </w:p>
  </w:endnote>
  <w:endnote w:type="continuationNotice" w:id="1">
    <w:p w14:paraId="5004E7A6" w14:textId="77777777" w:rsidR="00091683" w:rsidRDefault="000916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20AD0" w14:textId="77777777" w:rsidR="00091683" w:rsidRDefault="00091683" w:rsidP="00044739">
      <w:pPr>
        <w:spacing w:line="240" w:lineRule="auto"/>
      </w:pPr>
      <w:r>
        <w:separator/>
      </w:r>
    </w:p>
  </w:footnote>
  <w:footnote w:type="continuationSeparator" w:id="0">
    <w:p w14:paraId="73EAC9F2" w14:textId="77777777" w:rsidR="00091683" w:rsidRDefault="00091683" w:rsidP="00044739">
      <w:pPr>
        <w:spacing w:line="240" w:lineRule="auto"/>
      </w:pPr>
      <w:r>
        <w:continuationSeparator/>
      </w:r>
    </w:p>
  </w:footnote>
  <w:footnote w:type="continuationNotice" w:id="1">
    <w:p w14:paraId="1AA9AE38" w14:textId="77777777" w:rsidR="00091683" w:rsidRDefault="0009168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69412E"/>
    <w:multiLevelType w:val="hybridMultilevel"/>
    <w:tmpl w:val="7522F980"/>
    <w:lvl w:ilvl="0" w:tplc="4EF22C7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4" w15:restartNumberingAfterBreak="0">
    <w:nsid w:val="16AF6E83"/>
    <w:multiLevelType w:val="hybridMultilevel"/>
    <w:tmpl w:val="EB4436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C47169"/>
    <w:multiLevelType w:val="hybridMultilevel"/>
    <w:tmpl w:val="587887D6"/>
    <w:lvl w:ilvl="0" w:tplc="FF3C2A8A">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10"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3"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463D5914"/>
    <w:multiLevelType w:val="hybridMultilevel"/>
    <w:tmpl w:val="D46273EA"/>
    <w:lvl w:ilvl="0" w:tplc="D628760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7" w15:restartNumberingAfterBreak="0">
    <w:nsid w:val="4F4D7479"/>
    <w:multiLevelType w:val="hybridMultilevel"/>
    <w:tmpl w:val="D480C2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59711EC6"/>
    <w:multiLevelType w:val="hybridMultilevel"/>
    <w:tmpl w:val="7C3A542A"/>
    <w:lvl w:ilvl="0" w:tplc="4EAEFDCA">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3"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5" w15:restartNumberingAfterBreak="0">
    <w:nsid w:val="684D28FF"/>
    <w:multiLevelType w:val="hybridMultilevel"/>
    <w:tmpl w:val="D9C84A2A"/>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013968"/>
    <w:multiLevelType w:val="hybridMultilevel"/>
    <w:tmpl w:val="676AE402"/>
    <w:lvl w:ilvl="0" w:tplc="E166AA94">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CC220B"/>
    <w:multiLevelType w:val="hybridMultilevel"/>
    <w:tmpl w:val="967A4BEA"/>
    <w:lvl w:ilvl="0" w:tplc="4EF22C7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0"/>
  </w:num>
  <w:num w:numId="3">
    <w:abstractNumId w:val="11"/>
  </w:num>
  <w:num w:numId="4">
    <w:abstractNumId w:val="23"/>
  </w:num>
  <w:num w:numId="5">
    <w:abstractNumId w:val="2"/>
  </w:num>
  <w:num w:numId="6">
    <w:abstractNumId w:val="10"/>
  </w:num>
  <w:num w:numId="7">
    <w:abstractNumId w:val="15"/>
  </w:num>
  <w:num w:numId="8">
    <w:abstractNumId w:val="7"/>
  </w:num>
  <w:num w:numId="9">
    <w:abstractNumId w:val="18"/>
  </w:num>
  <w:num w:numId="10">
    <w:abstractNumId w:val="13"/>
  </w:num>
  <w:num w:numId="11">
    <w:abstractNumId w:val="16"/>
  </w:num>
  <w:num w:numId="12">
    <w:abstractNumId w:val="3"/>
  </w:num>
  <w:num w:numId="13">
    <w:abstractNumId w:val="12"/>
  </w:num>
  <w:num w:numId="14">
    <w:abstractNumId w:val="24"/>
  </w:num>
  <w:num w:numId="15">
    <w:abstractNumId w:val="20"/>
  </w:num>
  <w:num w:numId="16">
    <w:abstractNumId w:val="22"/>
  </w:num>
  <w:num w:numId="17">
    <w:abstractNumId w:val="8"/>
  </w:num>
  <w:num w:numId="18">
    <w:abstractNumId w:val="28"/>
  </w:num>
  <w:num w:numId="19">
    <w:abstractNumId w:val="29"/>
  </w:num>
  <w:num w:numId="20">
    <w:abstractNumId w:val="21"/>
  </w:num>
  <w:num w:numId="21">
    <w:abstractNumId w:val="9"/>
  </w:num>
  <w:num w:numId="22">
    <w:abstractNumId w:val="17"/>
  </w:num>
  <w:num w:numId="23">
    <w:abstractNumId w:val="25"/>
  </w:num>
  <w:num w:numId="24">
    <w:abstractNumId w:val="14"/>
  </w:num>
  <w:num w:numId="25">
    <w:abstractNumId w:val="5"/>
  </w:num>
  <w:num w:numId="26">
    <w:abstractNumId w:val="26"/>
  </w:num>
  <w:num w:numId="27">
    <w:abstractNumId w:val="19"/>
  </w:num>
  <w:num w:numId="28">
    <w:abstractNumId w:val="27"/>
  </w:num>
  <w:num w:numId="29">
    <w:abstractNumId w:val="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CB"/>
    <w:rsid w:val="000008E5"/>
    <w:rsid w:val="000015EE"/>
    <w:rsid w:val="000022D5"/>
    <w:rsid w:val="00003022"/>
    <w:rsid w:val="00003B7B"/>
    <w:rsid w:val="00003DB3"/>
    <w:rsid w:val="00004C6A"/>
    <w:rsid w:val="00004F3A"/>
    <w:rsid w:val="00012D11"/>
    <w:rsid w:val="00013EB5"/>
    <w:rsid w:val="00022DAD"/>
    <w:rsid w:val="00023836"/>
    <w:rsid w:val="00023C48"/>
    <w:rsid w:val="00024194"/>
    <w:rsid w:val="00025E6F"/>
    <w:rsid w:val="000317C2"/>
    <w:rsid w:val="000356A9"/>
    <w:rsid w:val="000359C1"/>
    <w:rsid w:val="000428A2"/>
    <w:rsid w:val="00044138"/>
    <w:rsid w:val="00044739"/>
    <w:rsid w:val="00045CFF"/>
    <w:rsid w:val="00051185"/>
    <w:rsid w:val="00051637"/>
    <w:rsid w:val="00056681"/>
    <w:rsid w:val="000648A7"/>
    <w:rsid w:val="0006618B"/>
    <w:rsid w:val="000670C0"/>
    <w:rsid w:val="00071B99"/>
    <w:rsid w:val="00071D17"/>
    <w:rsid w:val="000726DC"/>
    <w:rsid w:val="000756E5"/>
    <w:rsid w:val="0007704E"/>
    <w:rsid w:val="00080EC8"/>
    <w:rsid w:val="00086421"/>
    <w:rsid w:val="00091683"/>
    <w:rsid w:val="0009257A"/>
    <w:rsid w:val="000944AC"/>
    <w:rsid w:val="00094CB9"/>
    <w:rsid w:val="000956B2"/>
    <w:rsid w:val="00095CDF"/>
    <w:rsid w:val="000969E7"/>
    <w:rsid w:val="000A23DE"/>
    <w:rsid w:val="000A4020"/>
    <w:rsid w:val="000B06DD"/>
    <w:rsid w:val="000B0FD7"/>
    <w:rsid w:val="000B54FB"/>
    <w:rsid w:val="000C29B0"/>
    <w:rsid w:val="000C3E60"/>
    <w:rsid w:val="000C76FC"/>
    <w:rsid w:val="000C7CA8"/>
    <w:rsid w:val="000D38FC"/>
    <w:rsid w:val="000D4D90"/>
    <w:rsid w:val="000D7C58"/>
    <w:rsid w:val="000E0579"/>
    <w:rsid w:val="000E16A4"/>
    <w:rsid w:val="000E1823"/>
    <w:rsid w:val="000E2D10"/>
    <w:rsid w:val="000E7901"/>
    <w:rsid w:val="000F0AAB"/>
    <w:rsid w:val="000F2DE7"/>
    <w:rsid w:val="000F3204"/>
    <w:rsid w:val="000F6D18"/>
    <w:rsid w:val="000F70D4"/>
    <w:rsid w:val="0010548B"/>
    <w:rsid w:val="001072D1"/>
    <w:rsid w:val="00111ADB"/>
    <w:rsid w:val="00112A0C"/>
    <w:rsid w:val="00117017"/>
    <w:rsid w:val="0012544C"/>
    <w:rsid w:val="00130E8E"/>
    <w:rsid w:val="0013216E"/>
    <w:rsid w:val="00134A4B"/>
    <w:rsid w:val="001401B5"/>
    <w:rsid w:val="001422B9"/>
    <w:rsid w:val="001422CD"/>
    <w:rsid w:val="00142827"/>
    <w:rsid w:val="00142984"/>
    <w:rsid w:val="00144DB4"/>
    <w:rsid w:val="001453E8"/>
    <w:rsid w:val="00145CA3"/>
    <w:rsid w:val="0014665F"/>
    <w:rsid w:val="00147498"/>
    <w:rsid w:val="001529DC"/>
    <w:rsid w:val="00153464"/>
    <w:rsid w:val="001541B3"/>
    <w:rsid w:val="00155B15"/>
    <w:rsid w:val="00161591"/>
    <w:rsid w:val="001625BE"/>
    <w:rsid w:val="001643A4"/>
    <w:rsid w:val="001727BB"/>
    <w:rsid w:val="00174FBF"/>
    <w:rsid w:val="00180C5A"/>
    <w:rsid w:val="00180D25"/>
    <w:rsid w:val="0018318D"/>
    <w:rsid w:val="0018572C"/>
    <w:rsid w:val="00187E79"/>
    <w:rsid w:val="00187F0D"/>
    <w:rsid w:val="001905A3"/>
    <w:rsid w:val="00192CC5"/>
    <w:rsid w:val="001956A7"/>
    <w:rsid w:val="001960ED"/>
    <w:rsid w:val="001965A4"/>
    <w:rsid w:val="001A118A"/>
    <w:rsid w:val="001A27F4"/>
    <w:rsid w:val="001A2D95"/>
    <w:rsid w:val="001A7D77"/>
    <w:rsid w:val="001B3460"/>
    <w:rsid w:val="001B4CA1"/>
    <w:rsid w:val="001B75D8"/>
    <w:rsid w:val="001C1060"/>
    <w:rsid w:val="001C3C63"/>
    <w:rsid w:val="001C408A"/>
    <w:rsid w:val="001C76FE"/>
    <w:rsid w:val="001D2D69"/>
    <w:rsid w:val="001D4732"/>
    <w:rsid w:val="001D6A3C"/>
    <w:rsid w:val="001D6D51"/>
    <w:rsid w:val="001E13CD"/>
    <w:rsid w:val="001E1EE0"/>
    <w:rsid w:val="001F653A"/>
    <w:rsid w:val="001F6979"/>
    <w:rsid w:val="001F7038"/>
    <w:rsid w:val="0020062A"/>
    <w:rsid w:val="00202BC6"/>
    <w:rsid w:val="00205141"/>
    <w:rsid w:val="0020516B"/>
    <w:rsid w:val="00210C05"/>
    <w:rsid w:val="00213559"/>
    <w:rsid w:val="00213EFD"/>
    <w:rsid w:val="002172F1"/>
    <w:rsid w:val="002220F2"/>
    <w:rsid w:val="00223C7B"/>
    <w:rsid w:val="00224AB1"/>
    <w:rsid w:val="0022687A"/>
    <w:rsid w:val="00230728"/>
    <w:rsid w:val="002323A7"/>
    <w:rsid w:val="00233337"/>
    <w:rsid w:val="00234040"/>
    <w:rsid w:val="00234B70"/>
    <w:rsid w:val="00235CD2"/>
    <w:rsid w:val="0023698F"/>
    <w:rsid w:val="00241007"/>
    <w:rsid w:val="00244070"/>
    <w:rsid w:val="00245C16"/>
    <w:rsid w:val="00254DED"/>
    <w:rsid w:val="00255619"/>
    <w:rsid w:val="00255DAD"/>
    <w:rsid w:val="00256108"/>
    <w:rsid w:val="00260F33"/>
    <w:rsid w:val="002613BD"/>
    <w:rsid w:val="002624F1"/>
    <w:rsid w:val="0026620A"/>
    <w:rsid w:val="00270C81"/>
    <w:rsid w:val="00271558"/>
    <w:rsid w:val="00274862"/>
    <w:rsid w:val="0028004C"/>
    <w:rsid w:val="00280854"/>
    <w:rsid w:val="00281E06"/>
    <w:rsid w:val="00282D72"/>
    <w:rsid w:val="00282E20"/>
    <w:rsid w:val="002832A4"/>
    <w:rsid w:val="00283402"/>
    <w:rsid w:val="002865E6"/>
    <w:rsid w:val="00290FD6"/>
    <w:rsid w:val="002923B6"/>
    <w:rsid w:val="00294259"/>
    <w:rsid w:val="00294DA1"/>
    <w:rsid w:val="002A2C34"/>
    <w:rsid w:val="002A2C81"/>
    <w:rsid w:val="002B3D1A"/>
    <w:rsid w:val="002C026C"/>
    <w:rsid w:val="002C0962"/>
    <w:rsid w:val="002C27D0"/>
    <w:rsid w:val="002C2C9B"/>
    <w:rsid w:val="002C3AB5"/>
    <w:rsid w:val="002D17D6"/>
    <w:rsid w:val="002D18D7"/>
    <w:rsid w:val="002D21CE"/>
    <w:rsid w:val="002D439E"/>
    <w:rsid w:val="002D4B59"/>
    <w:rsid w:val="002D55FB"/>
    <w:rsid w:val="002E3DA3"/>
    <w:rsid w:val="002E450F"/>
    <w:rsid w:val="002E5832"/>
    <w:rsid w:val="002E6B38"/>
    <w:rsid w:val="002E6D63"/>
    <w:rsid w:val="002E6E2B"/>
    <w:rsid w:val="002F24DB"/>
    <w:rsid w:val="002F4785"/>
    <w:rsid w:val="002F500B"/>
    <w:rsid w:val="002F54B0"/>
    <w:rsid w:val="00300991"/>
    <w:rsid w:val="00301959"/>
    <w:rsid w:val="00305B8A"/>
    <w:rsid w:val="00306537"/>
    <w:rsid w:val="00310ACF"/>
    <w:rsid w:val="00312A74"/>
    <w:rsid w:val="003178B1"/>
    <w:rsid w:val="00320E7B"/>
    <w:rsid w:val="00321A43"/>
    <w:rsid w:val="00322860"/>
    <w:rsid w:val="00330811"/>
    <w:rsid w:val="00331BF9"/>
    <w:rsid w:val="0033495E"/>
    <w:rsid w:val="00334A79"/>
    <w:rsid w:val="00334D8D"/>
    <w:rsid w:val="00336343"/>
    <w:rsid w:val="00336C0D"/>
    <w:rsid w:val="00337345"/>
    <w:rsid w:val="00337DD2"/>
    <w:rsid w:val="003404D1"/>
    <w:rsid w:val="003443FF"/>
    <w:rsid w:val="00351D0E"/>
    <w:rsid w:val="00355808"/>
    <w:rsid w:val="00356C35"/>
    <w:rsid w:val="00356E0F"/>
    <w:rsid w:val="00362C7E"/>
    <w:rsid w:val="00363309"/>
    <w:rsid w:val="00363601"/>
    <w:rsid w:val="00365897"/>
    <w:rsid w:val="00366384"/>
    <w:rsid w:val="00366CB0"/>
    <w:rsid w:val="00374FD7"/>
    <w:rsid w:val="00376AC9"/>
    <w:rsid w:val="00380F64"/>
    <w:rsid w:val="00393032"/>
    <w:rsid w:val="00394B69"/>
    <w:rsid w:val="00397078"/>
    <w:rsid w:val="003A6953"/>
    <w:rsid w:val="003B6083"/>
    <w:rsid w:val="003C3838"/>
    <w:rsid w:val="003C5847"/>
    <w:rsid w:val="003D0681"/>
    <w:rsid w:val="003D12F6"/>
    <w:rsid w:val="003D1426"/>
    <w:rsid w:val="003D18FF"/>
    <w:rsid w:val="003D48D0"/>
    <w:rsid w:val="003D77C4"/>
    <w:rsid w:val="003E2F4E"/>
    <w:rsid w:val="003E720A"/>
    <w:rsid w:val="003E77D4"/>
    <w:rsid w:val="003F124B"/>
    <w:rsid w:val="003F1F7D"/>
    <w:rsid w:val="00403374"/>
    <w:rsid w:val="00403E6E"/>
    <w:rsid w:val="004067D6"/>
    <w:rsid w:val="004068A5"/>
    <w:rsid w:val="00410695"/>
    <w:rsid w:val="004129B4"/>
    <w:rsid w:val="004155EF"/>
    <w:rsid w:val="00417EF0"/>
    <w:rsid w:val="00422181"/>
    <w:rsid w:val="004244A8"/>
    <w:rsid w:val="00425F72"/>
    <w:rsid w:val="00426640"/>
    <w:rsid w:val="00427736"/>
    <w:rsid w:val="00430EB9"/>
    <w:rsid w:val="00437E84"/>
    <w:rsid w:val="00441787"/>
    <w:rsid w:val="00444F2D"/>
    <w:rsid w:val="00452034"/>
    <w:rsid w:val="00452D13"/>
    <w:rsid w:val="00453AD4"/>
    <w:rsid w:val="00455FA6"/>
    <w:rsid w:val="00457E89"/>
    <w:rsid w:val="00461DDC"/>
    <w:rsid w:val="00461F91"/>
    <w:rsid w:val="00466C70"/>
    <w:rsid w:val="004702C9"/>
    <w:rsid w:val="00472E45"/>
    <w:rsid w:val="00473FEA"/>
    <w:rsid w:val="0047579D"/>
    <w:rsid w:val="00483262"/>
    <w:rsid w:val="00484107"/>
    <w:rsid w:val="00485CC5"/>
    <w:rsid w:val="0049014F"/>
    <w:rsid w:val="0049343F"/>
    <w:rsid w:val="004964FC"/>
    <w:rsid w:val="004A145E"/>
    <w:rsid w:val="004A1F15"/>
    <w:rsid w:val="004A2A81"/>
    <w:rsid w:val="004A7BD7"/>
    <w:rsid w:val="004B55EB"/>
    <w:rsid w:val="004C15C2"/>
    <w:rsid w:val="004C36D8"/>
    <w:rsid w:val="004C3F84"/>
    <w:rsid w:val="004C5749"/>
    <w:rsid w:val="004C6A0C"/>
    <w:rsid w:val="004C7F39"/>
    <w:rsid w:val="004D1248"/>
    <w:rsid w:val="004D1E3C"/>
    <w:rsid w:val="004D20CC"/>
    <w:rsid w:val="004D4169"/>
    <w:rsid w:val="004D6415"/>
    <w:rsid w:val="004D6E14"/>
    <w:rsid w:val="004F4E17"/>
    <w:rsid w:val="004F522B"/>
    <w:rsid w:val="0050082F"/>
    <w:rsid w:val="00500C56"/>
    <w:rsid w:val="00501713"/>
    <w:rsid w:val="00503792"/>
    <w:rsid w:val="00506568"/>
    <w:rsid w:val="005141F3"/>
    <w:rsid w:val="0051551B"/>
    <w:rsid w:val="00520C57"/>
    <w:rsid w:val="00522D94"/>
    <w:rsid w:val="00523DB0"/>
    <w:rsid w:val="00533D89"/>
    <w:rsid w:val="00536564"/>
    <w:rsid w:val="00541039"/>
    <w:rsid w:val="00544597"/>
    <w:rsid w:val="00544FFE"/>
    <w:rsid w:val="005473F5"/>
    <w:rsid w:val="005477E7"/>
    <w:rsid w:val="00552794"/>
    <w:rsid w:val="0055743A"/>
    <w:rsid w:val="00563199"/>
    <w:rsid w:val="00564874"/>
    <w:rsid w:val="00567963"/>
    <w:rsid w:val="0057009A"/>
    <w:rsid w:val="00571260"/>
    <w:rsid w:val="0057189C"/>
    <w:rsid w:val="00573FC1"/>
    <w:rsid w:val="005741EE"/>
    <w:rsid w:val="0057668E"/>
    <w:rsid w:val="0057740E"/>
    <w:rsid w:val="00592048"/>
    <w:rsid w:val="00595E83"/>
    <w:rsid w:val="00596530"/>
    <w:rsid w:val="005967F3"/>
    <w:rsid w:val="005A06DF"/>
    <w:rsid w:val="005A3CA9"/>
    <w:rsid w:val="005A5091"/>
    <w:rsid w:val="005A5527"/>
    <w:rsid w:val="005A5AE6"/>
    <w:rsid w:val="005B1206"/>
    <w:rsid w:val="005B37E8"/>
    <w:rsid w:val="005C0056"/>
    <w:rsid w:val="005C5954"/>
    <w:rsid w:val="005D036E"/>
    <w:rsid w:val="005D61D6"/>
    <w:rsid w:val="005E0D13"/>
    <w:rsid w:val="005E2713"/>
    <w:rsid w:val="005E293C"/>
    <w:rsid w:val="005E2CDC"/>
    <w:rsid w:val="005E4312"/>
    <w:rsid w:val="005E5047"/>
    <w:rsid w:val="005E5B59"/>
    <w:rsid w:val="005E7205"/>
    <w:rsid w:val="005E7371"/>
    <w:rsid w:val="005F116C"/>
    <w:rsid w:val="005F2131"/>
    <w:rsid w:val="006031A0"/>
    <w:rsid w:val="00603583"/>
    <w:rsid w:val="00604214"/>
    <w:rsid w:val="00605EF6"/>
    <w:rsid w:val="00606455"/>
    <w:rsid w:val="006135BB"/>
    <w:rsid w:val="00614929"/>
    <w:rsid w:val="00615045"/>
    <w:rsid w:val="00616511"/>
    <w:rsid w:val="00616AED"/>
    <w:rsid w:val="006176ED"/>
    <w:rsid w:val="006202F3"/>
    <w:rsid w:val="0062097A"/>
    <w:rsid w:val="00621DA6"/>
    <w:rsid w:val="00623CFE"/>
    <w:rsid w:val="00625AC1"/>
    <w:rsid w:val="00627221"/>
    <w:rsid w:val="00627EE8"/>
    <w:rsid w:val="006316FA"/>
    <w:rsid w:val="006370D2"/>
    <w:rsid w:val="00637B48"/>
    <w:rsid w:val="0064074F"/>
    <w:rsid w:val="00641F55"/>
    <w:rsid w:val="00643203"/>
    <w:rsid w:val="00643860"/>
    <w:rsid w:val="006441E7"/>
    <w:rsid w:val="00645E4A"/>
    <w:rsid w:val="00646CFE"/>
    <w:rsid w:val="00647C76"/>
    <w:rsid w:val="00653688"/>
    <w:rsid w:val="0066091B"/>
    <w:rsid w:val="006660E9"/>
    <w:rsid w:val="00667249"/>
    <w:rsid w:val="00667558"/>
    <w:rsid w:val="00671523"/>
    <w:rsid w:val="00674691"/>
    <w:rsid w:val="006754EF"/>
    <w:rsid w:val="00676C8D"/>
    <w:rsid w:val="00676F1F"/>
    <w:rsid w:val="00677381"/>
    <w:rsid w:val="00677414"/>
    <w:rsid w:val="006832CF"/>
    <w:rsid w:val="00683E00"/>
    <w:rsid w:val="00683EC5"/>
    <w:rsid w:val="0068527D"/>
    <w:rsid w:val="0068601E"/>
    <w:rsid w:val="0069486B"/>
    <w:rsid w:val="006A41C7"/>
    <w:rsid w:val="006A4904"/>
    <w:rsid w:val="006A4E03"/>
    <w:rsid w:val="006A548F"/>
    <w:rsid w:val="006A6AB5"/>
    <w:rsid w:val="006A701A"/>
    <w:rsid w:val="006B3514"/>
    <w:rsid w:val="006B64DC"/>
    <w:rsid w:val="006B7A91"/>
    <w:rsid w:val="006C2DC5"/>
    <w:rsid w:val="006C3A8D"/>
    <w:rsid w:val="006C4046"/>
    <w:rsid w:val="006D3A5F"/>
    <w:rsid w:val="006D4704"/>
    <w:rsid w:val="006D6A2D"/>
    <w:rsid w:val="006E1E18"/>
    <w:rsid w:val="006E31CE"/>
    <w:rsid w:val="006E34D3"/>
    <w:rsid w:val="006E76E4"/>
    <w:rsid w:val="006E78B8"/>
    <w:rsid w:val="006F1435"/>
    <w:rsid w:val="006F1436"/>
    <w:rsid w:val="006F5F73"/>
    <w:rsid w:val="006F78C4"/>
    <w:rsid w:val="007009C9"/>
    <w:rsid w:val="007024B3"/>
    <w:rsid w:val="007031A0"/>
    <w:rsid w:val="00703533"/>
    <w:rsid w:val="00704C3A"/>
    <w:rsid w:val="00705A29"/>
    <w:rsid w:val="00707498"/>
    <w:rsid w:val="00711A65"/>
    <w:rsid w:val="007137BD"/>
    <w:rsid w:val="00714133"/>
    <w:rsid w:val="00714DA4"/>
    <w:rsid w:val="007158B2"/>
    <w:rsid w:val="00716081"/>
    <w:rsid w:val="00717473"/>
    <w:rsid w:val="00722B48"/>
    <w:rsid w:val="00724164"/>
    <w:rsid w:val="00725DE7"/>
    <w:rsid w:val="0072636A"/>
    <w:rsid w:val="00726B44"/>
    <w:rsid w:val="007318DD"/>
    <w:rsid w:val="00733167"/>
    <w:rsid w:val="00736E2C"/>
    <w:rsid w:val="00740D2C"/>
    <w:rsid w:val="00744BF9"/>
    <w:rsid w:val="00752623"/>
    <w:rsid w:val="00757812"/>
    <w:rsid w:val="00760A42"/>
    <w:rsid w:val="00760C8A"/>
    <w:rsid w:val="00760F1F"/>
    <w:rsid w:val="00764174"/>
    <w:rsid w:val="0076423E"/>
    <w:rsid w:val="007646CB"/>
    <w:rsid w:val="00765BF9"/>
    <w:rsid w:val="0076658F"/>
    <w:rsid w:val="0077040A"/>
    <w:rsid w:val="00772D64"/>
    <w:rsid w:val="00773CD4"/>
    <w:rsid w:val="0078286D"/>
    <w:rsid w:val="007867D7"/>
    <w:rsid w:val="00792609"/>
    <w:rsid w:val="00792887"/>
    <w:rsid w:val="007943E2"/>
    <w:rsid w:val="00794F2C"/>
    <w:rsid w:val="00796966"/>
    <w:rsid w:val="00796B0C"/>
    <w:rsid w:val="00796F69"/>
    <w:rsid w:val="00797976"/>
    <w:rsid w:val="007A06DB"/>
    <w:rsid w:val="007A2FB8"/>
    <w:rsid w:val="007A3BC7"/>
    <w:rsid w:val="007A5593"/>
    <w:rsid w:val="007A5AC4"/>
    <w:rsid w:val="007A75FB"/>
    <w:rsid w:val="007B0FDD"/>
    <w:rsid w:val="007B2BE0"/>
    <w:rsid w:val="007B4802"/>
    <w:rsid w:val="007B6668"/>
    <w:rsid w:val="007B6B33"/>
    <w:rsid w:val="007C2701"/>
    <w:rsid w:val="007D2192"/>
    <w:rsid w:val="007D2C92"/>
    <w:rsid w:val="007E2CD6"/>
    <w:rsid w:val="007F0021"/>
    <w:rsid w:val="007F2F52"/>
    <w:rsid w:val="007F5C29"/>
    <w:rsid w:val="007F76B9"/>
    <w:rsid w:val="00801F71"/>
    <w:rsid w:val="00805618"/>
    <w:rsid w:val="00805F28"/>
    <w:rsid w:val="0080749F"/>
    <w:rsid w:val="00811D46"/>
    <w:rsid w:val="008125B0"/>
    <w:rsid w:val="008144CB"/>
    <w:rsid w:val="00821614"/>
    <w:rsid w:val="00821717"/>
    <w:rsid w:val="00824210"/>
    <w:rsid w:val="0082593A"/>
    <w:rsid w:val="008263C0"/>
    <w:rsid w:val="008324C3"/>
    <w:rsid w:val="00841422"/>
    <w:rsid w:val="00841D3B"/>
    <w:rsid w:val="0084314C"/>
    <w:rsid w:val="00843171"/>
    <w:rsid w:val="008502D1"/>
    <w:rsid w:val="008575C3"/>
    <w:rsid w:val="00860CFD"/>
    <w:rsid w:val="00863D28"/>
    <w:rsid w:val="008643A1"/>
    <w:rsid w:val="008648C3"/>
    <w:rsid w:val="008700C1"/>
    <w:rsid w:val="00880F26"/>
    <w:rsid w:val="00896C2E"/>
    <w:rsid w:val="008A1027"/>
    <w:rsid w:val="008A5095"/>
    <w:rsid w:val="008A608F"/>
    <w:rsid w:val="008A6AED"/>
    <w:rsid w:val="008B1A9A"/>
    <w:rsid w:val="008B4FE6"/>
    <w:rsid w:val="008B6C37"/>
    <w:rsid w:val="008C35B0"/>
    <w:rsid w:val="008E0A8C"/>
    <w:rsid w:val="008E18F7"/>
    <w:rsid w:val="008E1E10"/>
    <w:rsid w:val="008E291B"/>
    <w:rsid w:val="008E4F2F"/>
    <w:rsid w:val="008E74B0"/>
    <w:rsid w:val="008F33D0"/>
    <w:rsid w:val="009008A8"/>
    <w:rsid w:val="00905CBD"/>
    <w:rsid w:val="009063B0"/>
    <w:rsid w:val="00907106"/>
    <w:rsid w:val="009107FD"/>
    <w:rsid w:val="009109FB"/>
    <w:rsid w:val="0091137C"/>
    <w:rsid w:val="00911567"/>
    <w:rsid w:val="009174DF"/>
    <w:rsid w:val="00917AAE"/>
    <w:rsid w:val="00923621"/>
    <w:rsid w:val="009251A9"/>
    <w:rsid w:val="009254B5"/>
    <w:rsid w:val="0093012C"/>
    <w:rsid w:val="00930390"/>
    <w:rsid w:val="00930699"/>
    <w:rsid w:val="00931052"/>
    <w:rsid w:val="00931F69"/>
    <w:rsid w:val="009324E6"/>
    <w:rsid w:val="009340D4"/>
    <w:rsid w:val="00934123"/>
    <w:rsid w:val="0094553A"/>
    <w:rsid w:val="009506E3"/>
    <w:rsid w:val="0095411C"/>
    <w:rsid w:val="00954466"/>
    <w:rsid w:val="00955774"/>
    <w:rsid w:val="009560B5"/>
    <w:rsid w:val="00964684"/>
    <w:rsid w:val="009703D6"/>
    <w:rsid w:val="0097181B"/>
    <w:rsid w:val="00976DC5"/>
    <w:rsid w:val="00977EAC"/>
    <w:rsid w:val="009818C7"/>
    <w:rsid w:val="00982DD4"/>
    <w:rsid w:val="009841E5"/>
    <w:rsid w:val="0098479F"/>
    <w:rsid w:val="00984A8A"/>
    <w:rsid w:val="009857B6"/>
    <w:rsid w:val="00985A8D"/>
    <w:rsid w:val="00986610"/>
    <w:rsid w:val="009877DC"/>
    <w:rsid w:val="00991F96"/>
    <w:rsid w:val="00996F0A"/>
    <w:rsid w:val="009A1782"/>
    <w:rsid w:val="009A1D86"/>
    <w:rsid w:val="009A7EF6"/>
    <w:rsid w:val="009B049C"/>
    <w:rsid w:val="009B11C8"/>
    <w:rsid w:val="009B2BCF"/>
    <w:rsid w:val="009B2FF8"/>
    <w:rsid w:val="009B5BA3"/>
    <w:rsid w:val="009C1697"/>
    <w:rsid w:val="009C3661"/>
    <w:rsid w:val="009C4EB7"/>
    <w:rsid w:val="009C6C5E"/>
    <w:rsid w:val="009C707E"/>
    <w:rsid w:val="009D0027"/>
    <w:rsid w:val="009D0655"/>
    <w:rsid w:val="009D1AE2"/>
    <w:rsid w:val="009D2D84"/>
    <w:rsid w:val="009D7B6E"/>
    <w:rsid w:val="009E1890"/>
    <w:rsid w:val="009E1E98"/>
    <w:rsid w:val="009E3ABE"/>
    <w:rsid w:val="009E3C4B"/>
    <w:rsid w:val="009E44E0"/>
    <w:rsid w:val="009F0637"/>
    <w:rsid w:val="009F0C3C"/>
    <w:rsid w:val="009F62A6"/>
    <w:rsid w:val="009F674F"/>
    <w:rsid w:val="009F799E"/>
    <w:rsid w:val="00A0163C"/>
    <w:rsid w:val="00A02020"/>
    <w:rsid w:val="00A056CB"/>
    <w:rsid w:val="00A07A29"/>
    <w:rsid w:val="00A07FEA"/>
    <w:rsid w:val="00A10FF1"/>
    <w:rsid w:val="00A1506B"/>
    <w:rsid w:val="00A1662A"/>
    <w:rsid w:val="00A17CB2"/>
    <w:rsid w:val="00A23191"/>
    <w:rsid w:val="00A25BFE"/>
    <w:rsid w:val="00A319C0"/>
    <w:rsid w:val="00A33560"/>
    <w:rsid w:val="00A364E4"/>
    <w:rsid w:val="00A371A5"/>
    <w:rsid w:val="00A47BDF"/>
    <w:rsid w:val="00A51CD7"/>
    <w:rsid w:val="00A52ADB"/>
    <w:rsid w:val="00A52DB4"/>
    <w:rsid w:val="00A533E8"/>
    <w:rsid w:val="00A542D9"/>
    <w:rsid w:val="00A56E64"/>
    <w:rsid w:val="00A622A1"/>
    <w:rsid w:val="00A624C3"/>
    <w:rsid w:val="00A64BCF"/>
    <w:rsid w:val="00A6641C"/>
    <w:rsid w:val="00A668D1"/>
    <w:rsid w:val="00A767D2"/>
    <w:rsid w:val="00A77616"/>
    <w:rsid w:val="00A805DA"/>
    <w:rsid w:val="00A811B4"/>
    <w:rsid w:val="00A8616F"/>
    <w:rsid w:val="00A874CE"/>
    <w:rsid w:val="00A87CDE"/>
    <w:rsid w:val="00A9139D"/>
    <w:rsid w:val="00A92BAF"/>
    <w:rsid w:val="00A94737"/>
    <w:rsid w:val="00A94BA3"/>
    <w:rsid w:val="00A95B62"/>
    <w:rsid w:val="00A96CBA"/>
    <w:rsid w:val="00AA083A"/>
    <w:rsid w:val="00AA33BE"/>
    <w:rsid w:val="00AA550F"/>
    <w:rsid w:val="00AB1ACD"/>
    <w:rsid w:val="00AB277F"/>
    <w:rsid w:val="00AB4099"/>
    <w:rsid w:val="00AB449A"/>
    <w:rsid w:val="00AB486E"/>
    <w:rsid w:val="00AC7440"/>
    <w:rsid w:val="00AD14F9"/>
    <w:rsid w:val="00AD35D6"/>
    <w:rsid w:val="00AD3C16"/>
    <w:rsid w:val="00AD58C5"/>
    <w:rsid w:val="00AE33AD"/>
    <w:rsid w:val="00AE36C4"/>
    <w:rsid w:val="00AE4536"/>
    <w:rsid w:val="00AE472C"/>
    <w:rsid w:val="00AE5375"/>
    <w:rsid w:val="00AE6CF8"/>
    <w:rsid w:val="00AF4CAC"/>
    <w:rsid w:val="00AF54A7"/>
    <w:rsid w:val="00B0206B"/>
    <w:rsid w:val="00B02AAC"/>
    <w:rsid w:val="00B03E0D"/>
    <w:rsid w:val="00B054F8"/>
    <w:rsid w:val="00B074CD"/>
    <w:rsid w:val="00B07932"/>
    <w:rsid w:val="00B2219A"/>
    <w:rsid w:val="00B246CA"/>
    <w:rsid w:val="00B24AB5"/>
    <w:rsid w:val="00B325A7"/>
    <w:rsid w:val="00B3581B"/>
    <w:rsid w:val="00B36170"/>
    <w:rsid w:val="00B36B81"/>
    <w:rsid w:val="00B36FEE"/>
    <w:rsid w:val="00B37C80"/>
    <w:rsid w:val="00B41CE4"/>
    <w:rsid w:val="00B50452"/>
    <w:rsid w:val="00B5092B"/>
    <w:rsid w:val="00B5194E"/>
    <w:rsid w:val="00B51AF5"/>
    <w:rsid w:val="00B531FC"/>
    <w:rsid w:val="00B55088"/>
    <w:rsid w:val="00B55347"/>
    <w:rsid w:val="00B57E5E"/>
    <w:rsid w:val="00B60889"/>
    <w:rsid w:val="00B61F37"/>
    <w:rsid w:val="00B72984"/>
    <w:rsid w:val="00B7770F"/>
    <w:rsid w:val="00B77A89"/>
    <w:rsid w:val="00B77B27"/>
    <w:rsid w:val="00B8134E"/>
    <w:rsid w:val="00B81B55"/>
    <w:rsid w:val="00B845FA"/>
    <w:rsid w:val="00B84613"/>
    <w:rsid w:val="00B86850"/>
    <w:rsid w:val="00B87AF0"/>
    <w:rsid w:val="00B9037B"/>
    <w:rsid w:val="00B910BD"/>
    <w:rsid w:val="00B93834"/>
    <w:rsid w:val="00B95C6B"/>
    <w:rsid w:val="00B96469"/>
    <w:rsid w:val="00BA0DA2"/>
    <w:rsid w:val="00BA2981"/>
    <w:rsid w:val="00BA42EE"/>
    <w:rsid w:val="00BA48F9"/>
    <w:rsid w:val="00BB0DCA"/>
    <w:rsid w:val="00BB263D"/>
    <w:rsid w:val="00BB2666"/>
    <w:rsid w:val="00BB6B80"/>
    <w:rsid w:val="00BC0BD5"/>
    <w:rsid w:val="00BC3773"/>
    <w:rsid w:val="00BC381A"/>
    <w:rsid w:val="00BC38F9"/>
    <w:rsid w:val="00BC4178"/>
    <w:rsid w:val="00BD032F"/>
    <w:rsid w:val="00BD0962"/>
    <w:rsid w:val="00BD1EED"/>
    <w:rsid w:val="00BD374A"/>
    <w:rsid w:val="00BD45D1"/>
    <w:rsid w:val="00BE522D"/>
    <w:rsid w:val="00BF0DA2"/>
    <w:rsid w:val="00BF109C"/>
    <w:rsid w:val="00BF34FA"/>
    <w:rsid w:val="00BF6A51"/>
    <w:rsid w:val="00C004B6"/>
    <w:rsid w:val="00C047A7"/>
    <w:rsid w:val="00C05DE5"/>
    <w:rsid w:val="00C211A0"/>
    <w:rsid w:val="00C23690"/>
    <w:rsid w:val="00C33027"/>
    <w:rsid w:val="00C33684"/>
    <w:rsid w:val="00C34D19"/>
    <w:rsid w:val="00C36054"/>
    <w:rsid w:val="00C3751F"/>
    <w:rsid w:val="00C37667"/>
    <w:rsid w:val="00C40CD1"/>
    <w:rsid w:val="00C435DB"/>
    <w:rsid w:val="00C44D73"/>
    <w:rsid w:val="00C46D96"/>
    <w:rsid w:val="00C50B42"/>
    <w:rsid w:val="00C516FF"/>
    <w:rsid w:val="00C52BFA"/>
    <w:rsid w:val="00C53D1D"/>
    <w:rsid w:val="00C53F26"/>
    <w:rsid w:val="00C540BC"/>
    <w:rsid w:val="00C627A0"/>
    <w:rsid w:val="00C6456C"/>
    <w:rsid w:val="00C64F7D"/>
    <w:rsid w:val="00C67309"/>
    <w:rsid w:val="00C7392D"/>
    <w:rsid w:val="00C73A59"/>
    <w:rsid w:val="00C7614E"/>
    <w:rsid w:val="00C77BF1"/>
    <w:rsid w:val="00C80D60"/>
    <w:rsid w:val="00C82FBD"/>
    <w:rsid w:val="00C84F94"/>
    <w:rsid w:val="00C85267"/>
    <w:rsid w:val="00C865C8"/>
    <w:rsid w:val="00C8721B"/>
    <w:rsid w:val="00C9372C"/>
    <w:rsid w:val="00C9470E"/>
    <w:rsid w:val="00C95CEB"/>
    <w:rsid w:val="00C97F38"/>
    <w:rsid w:val="00CA0985"/>
    <w:rsid w:val="00CA1054"/>
    <w:rsid w:val="00CA5C4E"/>
    <w:rsid w:val="00CA63EB"/>
    <w:rsid w:val="00CA69F1"/>
    <w:rsid w:val="00CB6991"/>
    <w:rsid w:val="00CC0FEB"/>
    <w:rsid w:val="00CC6194"/>
    <w:rsid w:val="00CC6305"/>
    <w:rsid w:val="00CC78A5"/>
    <w:rsid w:val="00CD0516"/>
    <w:rsid w:val="00CD05D8"/>
    <w:rsid w:val="00CD41EF"/>
    <w:rsid w:val="00CD5D5B"/>
    <w:rsid w:val="00CD756B"/>
    <w:rsid w:val="00CE2805"/>
    <w:rsid w:val="00CE5CD3"/>
    <w:rsid w:val="00CE734F"/>
    <w:rsid w:val="00CE7D47"/>
    <w:rsid w:val="00CF112E"/>
    <w:rsid w:val="00CF5AE5"/>
    <w:rsid w:val="00CF5F4F"/>
    <w:rsid w:val="00D218DC"/>
    <w:rsid w:val="00D24B14"/>
    <w:rsid w:val="00D24E56"/>
    <w:rsid w:val="00D27015"/>
    <w:rsid w:val="00D279AD"/>
    <w:rsid w:val="00D31643"/>
    <w:rsid w:val="00D31AEB"/>
    <w:rsid w:val="00D32ECD"/>
    <w:rsid w:val="00D361E4"/>
    <w:rsid w:val="00D42A8F"/>
    <w:rsid w:val="00D431A6"/>
    <w:rsid w:val="00D439F6"/>
    <w:rsid w:val="00D459C6"/>
    <w:rsid w:val="00D50729"/>
    <w:rsid w:val="00D50C19"/>
    <w:rsid w:val="00D5379E"/>
    <w:rsid w:val="00D5584C"/>
    <w:rsid w:val="00D62643"/>
    <w:rsid w:val="00D64C0F"/>
    <w:rsid w:val="00D67575"/>
    <w:rsid w:val="00D72EFE"/>
    <w:rsid w:val="00D76227"/>
    <w:rsid w:val="00D77DF1"/>
    <w:rsid w:val="00D8242B"/>
    <w:rsid w:val="00D86AFF"/>
    <w:rsid w:val="00D87DA1"/>
    <w:rsid w:val="00D93E9B"/>
    <w:rsid w:val="00D95A44"/>
    <w:rsid w:val="00D95A9F"/>
    <w:rsid w:val="00D95D16"/>
    <w:rsid w:val="00D977BD"/>
    <w:rsid w:val="00D97C76"/>
    <w:rsid w:val="00DA0E43"/>
    <w:rsid w:val="00DA1A39"/>
    <w:rsid w:val="00DA3828"/>
    <w:rsid w:val="00DB02B4"/>
    <w:rsid w:val="00DB44CE"/>
    <w:rsid w:val="00DB538D"/>
    <w:rsid w:val="00DC275C"/>
    <w:rsid w:val="00DC4B0D"/>
    <w:rsid w:val="00DC545C"/>
    <w:rsid w:val="00DC7FE1"/>
    <w:rsid w:val="00DD01AD"/>
    <w:rsid w:val="00DD02F6"/>
    <w:rsid w:val="00DD3F3F"/>
    <w:rsid w:val="00DD5572"/>
    <w:rsid w:val="00DD636A"/>
    <w:rsid w:val="00DD6E03"/>
    <w:rsid w:val="00DD6F59"/>
    <w:rsid w:val="00DE2507"/>
    <w:rsid w:val="00DE5D80"/>
    <w:rsid w:val="00DF58CD"/>
    <w:rsid w:val="00DF65DE"/>
    <w:rsid w:val="00E019A5"/>
    <w:rsid w:val="00E02EC8"/>
    <w:rsid w:val="00E037F5"/>
    <w:rsid w:val="00E04ECB"/>
    <w:rsid w:val="00E05A09"/>
    <w:rsid w:val="00E06CA1"/>
    <w:rsid w:val="00E172B8"/>
    <w:rsid w:val="00E17FB4"/>
    <w:rsid w:val="00E20B75"/>
    <w:rsid w:val="00E214F2"/>
    <w:rsid w:val="00E232FF"/>
    <w:rsid w:val="00E2371E"/>
    <w:rsid w:val="00E24BD7"/>
    <w:rsid w:val="00E25EE2"/>
    <w:rsid w:val="00E26523"/>
    <w:rsid w:val="00E26809"/>
    <w:rsid w:val="00E27E60"/>
    <w:rsid w:val="00E33CC4"/>
    <w:rsid w:val="00E3412D"/>
    <w:rsid w:val="00E4048A"/>
    <w:rsid w:val="00E51A68"/>
    <w:rsid w:val="00E52171"/>
    <w:rsid w:val="00E53F6E"/>
    <w:rsid w:val="00E57322"/>
    <w:rsid w:val="00E60229"/>
    <w:rsid w:val="00E628CB"/>
    <w:rsid w:val="00E62AD9"/>
    <w:rsid w:val="00E638C8"/>
    <w:rsid w:val="00E71A7A"/>
    <w:rsid w:val="00E7509B"/>
    <w:rsid w:val="00E86590"/>
    <w:rsid w:val="00E907FF"/>
    <w:rsid w:val="00EA41CD"/>
    <w:rsid w:val="00EA42D1"/>
    <w:rsid w:val="00EA42EF"/>
    <w:rsid w:val="00EA5147"/>
    <w:rsid w:val="00EA797B"/>
    <w:rsid w:val="00EB15DB"/>
    <w:rsid w:val="00EB2DD1"/>
    <w:rsid w:val="00EB6B37"/>
    <w:rsid w:val="00EC1850"/>
    <w:rsid w:val="00EC29FE"/>
    <w:rsid w:val="00EC3C70"/>
    <w:rsid w:val="00EC7847"/>
    <w:rsid w:val="00ED3A3D"/>
    <w:rsid w:val="00ED538A"/>
    <w:rsid w:val="00ED6FBC"/>
    <w:rsid w:val="00EE2F16"/>
    <w:rsid w:val="00EE3861"/>
    <w:rsid w:val="00EF10D0"/>
    <w:rsid w:val="00EF2E73"/>
    <w:rsid w:val="00EF302E"/>
    <w:rsid w:val="00EF50D1"/>
    <w:rsid w:val="00EF7683"/>
    <w:rsid w:val="00EF7A2D"/>
    <w:rsid w:val="00F04D7D"/>
    <w:rsid w:val="00F04F8D"/>
    <w:rsid w:val="00F07CAA"/>
    <w:rsid w:val="00F10AD0"/>
    <w:rsid w:val="00F116CC"/>
    <w:rsid w:val="00F12BD1"/>
    <w:rsid w:val="00F13D8C"/>
    <w:rsid w:val="00F15327"/>
    <w:rsid w:val="00F168CF"/>
    <w:rsid w:val="00F169D8"/>
    <w:rsid w:val="00F23CC1"/>
    <w:rsid w:val="00F2555C"/>
    <w:rsid w:val="00F307CE"/>
    <w:rsid w:val="00F30E63"/>
    <w:rsid w:val="00F31DF3"/>
    <w:rsid w:val="00F32D06"/>
    <w:rsid w:val="00F33AE5"/>
    <w:rsid w:val="00F3597D"/>
    <w:rsid w:val="00F4376D"/>
    <w:rsid w:val="00F45399"/>
    <w:rsid w:val="00F465EA"/>
    <w:rsid w:val="00F5440D"/>
    <w:rsid w:val="00F54E7B"/>
    <w:rsid w:val="00F55A88"/>
    <w:rsid w:val="00F5730B"/>
    <w:rsid w:val="00F576C2"/>
    <w:rsid w:val="00F610DD"/>
    <w:rsid w:val="00F63A02"/>
    <w:rsid w:val="00F65BD4"/>
    <w:rsid w:val="00F7305C"/>
    <w:rsid w:val="00F74005"/>
    <w:rsid w:val="00F75A51"/>
    <w:rsid w:val="00F76884"/>
    <w:rsid w:val="00F81A04"/>
    <w:rsid w:val="00F83D24"/>
    <w:rsid w:val="00F83DD9"/>
    <w:rsid w:val="00F83F40"/>
    <w:rsid w:val="00F87DF3"/>
    <w:rsid w:val="00F90D07"/>
    <w:rsid w:val="00FA117A"/>
    <w:rsid w:val="00FA530D"/>
    <w:rsid w:val="00FB1F80"/>
    <w:rsid w:val="00FB386A"/>
    <w:rsid w:val="00FC035C"/>
    <w:rsid w:val="00FC0786"/>
    <w:rsid w:val="00FC2B47"/>
    <w:rsid w:val="00FC2D16"/>
    <w:rsid w:val="00FC49EF"/>
    <w:rsid w:val="00FD0582"/>
    <w:rsid w:val="00FD3263"/>
    <w:rsid w:val="00FE03F8"/>
    <w:rsid w:val="00FE143A"/>
    <w:rsid w:val="00FE1763"/>
    <w:rsid w:val="00FE1841"/>
    <w:rsid w:val="00FE36E2"/>
    <w:rsid w:val="00FE4C2F"/>
    <w:rsid w:val="00FF11AD"/>
    <w:rsid w:val="00FF1CA2"/>
    <w:rsid w:val="00FF2971"/>
    <w:rsid w:val="00FF34D4"/>
    <w:rsid w:val="00FF5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E84A5D"/>
  <w15:chartTrackingRefBased/>
  <w15:docId w15:val="{35462D50-8694-4298-BB6E-BDB043C9B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4A4B"/>
    <w:pPr>
      <w:spacing w:line="276" w:lineRule="auto"/>
    </w:pPr>
    <w:rPr>
      <w:sz w:val="22"/>
      <w:szCs w:val="22"/>
      <w:lang w:val="pl-PL"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character" w:styleId="Nierozpoznanawzmianka">
    <w:name w:val="Unresolved Mention"/>
    <w:basedOn w:val="Domylnaczcionkaakapitu"/>
    <w:uiPriority w:val="99"/>
    <w:semiHidden/>
    <w:unhideWhenUsed/>
    <w:rsid w:val="00FA5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974213400">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194804241">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46442242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cl.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7</Pages>
  <Words>3456</Words>
  <Characters>20740</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PSE S.A.</Company>
  <LinksUpToDate>false</LinksUpToDate>
  <CharactersWithSpaces>24148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Godzisz Konrad</dc:creator>
  <cp:keywords/>
  <cp:lastModifiedBy>ROJOWSKA-SKALSKA Joanna</cp:lastModifiedBy>
  <cp:revision>13</cp:revision>
  <dcterms:created xsi:type="dcterms:W3CDTF">2020-07-22T11:25:00Z</dcterms:created>
  <dcterms:modified xsi:type="dcterms:W3CDTF">2020-08-19T07:20:00Z</dcterms:modified>
</cp:coreProperties>
</file>