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7"/>
        <w:gridCol w:w="364"/>
        <w:gridCol w:w="621"/>
        <w:gridCol w:w="87"/>
        <w:gridCol w:w="764"/>
        <w:gridCol w:w="850"/>
        <w:gridCol w:w="709"/>
        <w:gridCol w:w="709"/>
        <w:gridCol w:w="64"/>
        <w:gridCol w:w="644"/>
        <w:gridCol w:w="223"/>
        <w:gridCol w:w="344"/>
        <w:gridCol w:w="142"/>
        <w:gridCol w:w="117"/>
        <w:gridCol w:w="450"/>
        <w:gridCol w:w="142"/>
        <w:gridCol w:w="283"/>
        <w:gridCol w:w="426"/>
        <w:gridCol w:w="708"/>
        <w:gridCol w:w="272"/>
        <w:gridCol w:w="437"/>
        <w:gridCol w:w="985"/>
        <w:gridCol w:w="10"/>
      </w:tblGrid>
      <w:tr w:rsidR="006A701A" w:rsidRPr="00945976" w14:paraId="55C72A5D" w14:textId="77777777" w:rsidTr="00695F17">
        <w:trPr>
          <w:gridAfter w:val="1"/>
          <w:wAfter w:w="10" w:type="dxa"/>
          <w:trHeight w:val="1611"/>
        </w:trPr>
        <w:tc>
          <w:tcPr>
            <w:tcW w:w="6631" w:type="dxa"/>
            <w:gridSpan w:val="12"/>
          </w:tcPr>
          <w:p w14:paraId="78FB7E36" w14:textId="77777777" w:rsidR="006A701A" w:rsidRPr="00945976" w:rsidRDefault="006A701A" w:rsidP="001F43D8">
            <w:pPr>
              <w:spacing w:line="240" w:lineRule="auto"/>
              <w:ind w:hanging="45"/>
              <w:rPr>
                <w:rFonts w:ascii="Times New Roman" w:hAnsi="Times New Roman"/>
                <w:color w:val="000000" w:themeColor="text1"/>
              </w:rPr>
            </w:pPr>
            <w:bookmarkStart w:id="0" w:name="t1"/>
            <w:bookmarkStart w:id="1" w:name="_GoBack"/>
            <w:bookmarkEnd w:id="1"/>
            <w:r w:rsidRPr="00945976">
              <w:rPr>
                <w:rFonts w:ascii="Times New Roman" w:hAnsi="Times New Roman"/>
                <w:b/>
                <w:color w:val="000000" w:themeColor="text1"/>
              </w:rPr>
              <w:t xml:space="preserve">Nazwa </w:t>
            </w:r>
            <w:r w:rsidR="001B75D8" w:rsidRPr="00945976">
              <w:rPr>
                <w:rFonts w:ascii="Times New Roman" w:hAnsi="Times New Roman"/>
                <w:b/>
                <w:color w:val="000000" w:themeColor="text1"/>
              </w:rPr>
              <w:t>projektu</w:t>
            </w:r>
          </w:p>
          <w:p w14:paraId="6325C58A" w14:textId="77777777" w:rsidR="006A701A" w:rsidRPr="00945976" w:rsidRDefault="004D11FB" w:rsidP="001F43D8">
            <w:pPr>
              <w:spacing w:line="240" w:lineRule="auto"/>
              <w:ind w:hanging="34"/>
              <w:rPr>
                <w:rFonts w:ascii="Times New Roman" w:hAnsi="Times New Roman"/>
                <w:color w:val="000000" w:themeColor="text1"/>
              </w:rPr>
            </w:pPr>
            <w:r>
              <w:rPr>
                <w:rFonts w:ascii="Times New Roman" w:hAnsi="Times New Roman"/>
                <w:color w:val="000000" w:themeColor="text1"/>
              </w:rPr>
              <w:t xml:space="preserve">Projekt </w:t>
            </w:r>
            <w:r w:rsidR="00771D78">
              <w:rPr>
                <w:rFonts w:ascii="Times New Roman" w:hAnsi="Times New Roman"/>
                <w:color w:val="000000" w:themeColor="text1"/>
              </w:rPr>
              <w:t>u</w:t>
            </w:r>
            <w:r w:rsidR="00A91099" w:rsidRPr="00945976">
              <w:rPr>
                <w:rFonts w:ascii="Times New Roman" w:hAnsi="Times New Roman"/>
                <w:color w:val="000000" w:themeColor="text1"/>
              </w:rPr>
              <w:t>staw</w:t>
            </w:r>
            <w:r>
              <w:rPr>
                <w:rFonts w:ascii="Times New Roman" w:hAnsi="Times New Roman"/>
                <w:color w:val="000000" w:themeColor="text1"/>
              </w:rPr>
              <w:t>y</w:t>
            </w:r>
            <w:r w:rsidR="00A91099" w:rsidRPr="00945976">
              <w:rPr>
                <w:rFonts w:ascii="Times New Roman" w:hAnsi="Times New Roman"/>
                <w:color w:val="000000" w:themeColor="text1"/>
              </w:rPr>
              <w:t xml:space="preserve"> o zmianie ustawy o podatku od towarów i usług</w:t>
            </w:r>
          </w:p>
          <w:p w14:paraId="3B183CF0" w14:textId="77777777" w:rsidR="00C57F15" w:rsidRPr="00945976" w:rsidRDefault="00C57F15" w:rsidP="00C57F15">
            <w:pPr>
              <w:spacing w:line="240" w:lineRule="auto"/>
              <w:ind w:hanging="34"/>
              <w:rPr>
                <w:rFonts w:ascii="Times New Roman" w:hAnsi="Times New Roman"/>
                <w:color w:val="000000" w:themeColor="text1"/>
              </w:rPr>
            </w:pPr>
            <w:r w:rsidRPr="00945976">
              <w:rPr>
                <w:rFonts w:ascii="Times New Roman" w:hAnsi="Times New Roman"/>
                <w:color w:val="000000" w:themeColor="text1"/>
              </w:rPr>
              <w:t xml:space="preserve">oraz </w:t>
            </w:r>
            <w:r w:rsidR="00F96B69" w:rsidRPr="00945976">
              <w:rPr>
                <w:rFonts w:ascii="Times New Roman" w:hAnsi="Times New Roman"/>
                <w:color w:val="000000" w:themeColor="text1"/>
              </w:rPr>
              <w:t xml:space="preserve">ustawy </w:t>
            </w:r>
            <w:r w:rsidR="00864872">
              <w:rPr>
                <w:rFonts w:ascii="Times New Roman" w:hAnsi="Times New Roman"/>
                <w:color w:val="000000" w:themeColor="text1"/>
              </w:rPr>
              <w:t>–</w:t>
            </w:r>
            <w:r w:rsidR="00423414">
              <w:rPr>
                <w:rFonts w:ascii="Times New Roman" w:hAnsi="Times New Roman"/>
                <w:color w:val="000000" w:themeColor="text1"/>
              </w:rPr>
              <w:t xml:space="preserve"> </w:t>
            </w:r>
            <w:r w:rsidR="00471C58" w:rsidRPr="00945976">
              <w:rPr>
                <w:rFonts w:ascii="Times New Roman" w:hAnsi="Times New Roman"/>
                <w:color w:val="000000" w:themeColor="text1"/>
              </w:rPr>
              <w:t>P</w:t>
            </w:r>
            <w:r w:rsidR="00F96B69" w:rsidRPr="00945976">
              <w:rPr>
                <w:rFonts w:ascii="Times New Roman" w:hAnsi="Times New Roman"/>
                <w:color w:val="000000" w:themeColor="text1"/>
              </w:rPr>
              <w:t>rawo bankowe</w:t>
            </w:r>
          </w:p>
          <w:p w14:paraId="2BE69C0E" w14:textId="77777777" w:rsidR="001F43D8" w:rsidRPr="00945976" w:rsidRDefault="001F43D8" w:rsidP="001F43D8">
            <w:pPr>
              <w:spacing w:line="240" w:lineRule="auto"/>
              <w:ind w:hanging="34"/>
              <w:rPr>
                <w:rFonts w:ascii="Times New Roman" w:hAnsi="Times New Roman"/>
                <w:color w:val="000000" w:themeColor="text1"/>
              </w:rPr>
            </w:pPr>
          </w:p>
          <w:p w14:paraId="48FD88E5" w14:textId="77777777" w:rsidR="006A701A" w:rsidRPr="00945976" w:rsidRDefault="006A701A" w:rsidP="001F43D8">
            <w:pPr>
              <w:spacing w:line="240" w:lineRule="auto"/>
              <w:ind w:hanging="45"/>
              <w:rPr>
                <w:rFonts w:ascii="Times New Roman" w:hAnsi="Times New Roman"/>
                <w:b/>
                <w:color w:val="000000" w:themeColor="text1"/>
              </w:rPr>
            </w:pPr>
            <w:r w:rsidRPr="00945976">
              <w:rPr>
                <w:rFonts w:ascii="Times New Roman" w:hAnsi="Times New Roman"/>
                <w:b/>
                <w:color w:val="000000" w:themeColor="text1"/>
              </w:rPr>
              <w:t>Ministerstwo wiodące i ministerstwa współpracujące</w:t>
            </w:r>
          </w:p>
          <w:bookmarkEnd w:id="0"/>
          <w:p w14:paraId="4179A1CB" w14:textId="77777777" w:rsidR="007415D0" w:rsidRPr="00945976" w:rsidRDefault="00A91099" w:rsidP="001F43D8">
            <w:pPr>
              <w:spacing w:line="240" w:lineRule="auto"/>
              <w:ind w:hanging="34"/>
              <w:rPr>
                <w:rFonts w:ascii="Times New Roman" w:hAnsi="Times New Roman"/>
                <w:color w:val="000000" w:themeColor="text1"/>
              </w:rPr>
            </w:pPr>
            <w:r w:rsidRPr="00945976">
              <w:rPr>
                <w:rFonts w:ascii="Times New Roman" w:hAnsi="Times New Roman"/>
                <w:color w:val="000000" w:themeColor="text1"/>
              </w:rPr>
              <w:t>Ministerstwo Finansów</w:t>
            </w:r>
          </w:p>
          <w:p w14:paraId="7240B219" w14:textId="77777777" w:rsidR="001F43D8" w:rsidRPr="00945976" w:rsidRDefault="001F43D8" w:rsidP="001F43D8">
            <w:pPr>
              <w:spacing w:line="240" w:lineRule="auto"/>
              <w:ind w:hanging="34"/>
              <w:rPr>
                <w:rFonts w:ascii="Times New Roman" w:hAnsi="Times New Roman"/>
                <w:color w:val="000000" w:themeColor="text1"/>
              </w:rPr>
            </w:pPr>
          </w:p>
          <w:p w14:paraId="36FD629E" w14:textId="77777777" w:rsidR="001B3460" w:rsidRPr="00945976" w:rsidRDefault="001B3460" w:rsidP="001F43D8">
            <w:pPr>
              <w:spacing w:line="240" w:lineRule="auto"/>
              <w:rPr>
                <w:rFonts w:ascii="Times New Roman" w:hAnsi="Times New Roman"/>
                <w:b/>
                <w:color w:val="000000" w:themeColor="text1"/>
              </w:rPr>
            </w:pPr>
            <w:r w:rsidRPr="00945976">
              <w:rPr>
                <w:rFonts w:ascii="Times New Roman" w:hAnsi="Times New Roman"/>
                <w:b/>
                <w:color w:val="000000" w:themeColor="text1"/>
              </w:rPr>
              <w:t xml:space="preserve">Osoba odpowiedzialna za projekt w randze Ministra, Sekretarza Stanu lub Podsekretarza Stanu </w:t>
            </w:r>
          </w:p>
          <w:p w14:paraId="31BD12DA" w14:textId="77777777" w:rsidR="001B3460" w:rsidRPr="00945976" w:rsidRDefault="00A91099" w:rsidP="001F43D8">
            <w:pPr>
              <w:spacing w:line="240" w:lineRule="auto"/>
              <w:rPr>
                <w:rFonts w:ascii="Times New Roman" w:hAnsi="Times New Roman"/>
                <w:color w:val="000000" w:themeColor="text1"/>
              </w:rPr>
            </w:pPr>
            <w:r w:rsidRPr="00945976">
              <w:rPr>
                <w:rFonts w:ascii="Times New Roman" w:hAnsi="Times New Roman"/>
                <w:color w:val="000000" w:themeColor="text1"/>
              </w:rPr>
              <w:t>Jan Sarnowski, Podsekretarz Stanu w Ministerstwie Finansów</w:t>
            </w:r>
          </w:p>
          <w:p w14:paraId="3D890BAA" w14:textId="77777777" w:rsidR="001F43D8" w:rsidRPr="00945976" w:rsidRDefault="001F43D8" w:rsidP="001F43D8">
            <w:pPr>
              <w:spacing w:line="240" w:lineRule="auto"/>
              <w:rPr>
                <w:rFonts w:ascii="Times New Roman" w:hAnsi="Times New Roman"/>
                <w:color w:val="000000" w:themeColor="text1"/>
              </w:rPr>
            </w:pPr>
          </w:p>
          <w:p w14:paraId="4D9143C3" w14:textId="77777777" w:rsidR="006A701A" w:rsidRPr="00945976" w:rsidRDefault="006A701A" w:rsidP="001F43D8">
            <w:pPr>
              <w:spacing w:line="240" w:lineRule="auto"/>
              <w:ind w:hanging="45"/>
              <w:rPr>
                <w:rFonts w:ascii="Times New Roman" w:hAnsi="Times New Roman"/>
                <w:b/>
                <w:color w:val="000000" w:themeColor="text1"/>
              </w:rPr>
            </w:pPr>
            <w:r w:rsidRPr="00945976">
              <w:rPr>
                <w:rFonts w:ascii="Times New Roman" w:hAnsi="Times New Roman"/>
                <w:b/>
                <w:color w:val="000000" w:themeColor="text1"/>
              </w:rPr>
              <w:t>Kontakt do opiekuna merytorycznego projektu</w:t>
            </w:r>
            <w:r w:rsidR="00A24A2D" w:rsidRPr="00945976">
              <w:rPr>
                <w:rFonts w:ascii="Times New Roman" w:hAnsi="Times New Roman"/>
                <w:b/>
                <w:color w:val="000000" w:themeColor="text1"/>
              </w:rPr>
              <w:t>:</w:t>
            </w:r>
          </w:p>
          <w:p w14:paraId="58E162DC" w14:textId="77777777" w:rsidR="00A91099" w:rsidRPr="00945976" w:rsidRDefault="00A24A2D" w:rsidP="001F43D8">
            <w:pPr>
              <w:spacing w:line="240" w:lineRule="auto"/>
              <w:ind w:hanging="34"/>
              <w:rPr>
                <w:rFonts w:ascii="Times New Roman" w:hAnsi="Times New Roman"/>
                <w:color w:val="000000" w:themeColor="text1"/>
              </w:rPr>
            </w:pPr>
            <w:r w:rsidRPr="00945976">
              <w:rPr>
                <w:rFonts w:ascii="Times New Roman" w:hAnsi="Times New Roman"/>
                <w:color w:val="000000" w:themeColor="text1"/>
              </w:rPr>
              <w:t xml:space="preserve">Paweł Selera, </w:t>
            </w:r>
            <w:r w:rsidR="00A91099" w:rsidRPr="00945976">
              <w:rPr>
                <w:rFonts w:ascii="Times New Roman" w:hAnsi="Times New Roman"/>
                <w:color w:val="000000" w:themeColor="text1"/>
              </w:rPr>
              <w:t xml:space="preserve">Dyrektora Departamentu Podatku od Towarów i Usług, tel. 22 694-36-21, </w:t>
            </w:r>
          </w:p>
          <w:p w14:paraId="599A75A6" w14:textId="77777777" w:rsidR="00A91099" w:rsidRPr="00945976" w:rsidRDefault="00A91099" w:rsidP="00B94F3B">
            <w:pPr>
              <w:spacing w:line="240" w:lineRule="auto"/>
              <w:rPr>
                <w:rFonts w:ascii="Times New Roman" w:hAnsi="Times New Roman"/>
                <w:color w:val="000000" w:themeColor="text1"/>
                <w:lang w:val="en-US"/>
              </w:rPr>
            </w:pPr>
            <w:r w:rsidRPr="00945976">
              <w:rPr>
                <w:rFonts w:ascii="Times New Roman" w:hAnsi="Times New Roman"/>
                <w:color w:val="000000" w:themeColor="text1"/>
                <w:lang w:val="en-US"/>
              </w:rPr>
              <w:t xml:space="preserve">email: </w:t>
            </w:r>
            <w:hyperlink r:id="rId8" w:history="1">
              <w:r w:rsidRPr="00945976">
                <w:rPr>
                  <w:rStyle w:val="Hipercze"/>
                  <w:rFonts w:ascii="Times New Roman" w:hAnsi="Times New Roman"/>
                  <w:color w:val="000000" w:themeColor="text1"/>
                  <w:lang w:val="en-US"/>
                </w:rPr>
                <w:t>sekretariat.pt@mf.gov.pl</w:t>
              </w:r>
            </w:hyperlink>
            <w:r w:rsidR="00A22EDC">
              <w:rPr>
                <w:rStyle w:val="Hipercze"/>
                <w:rFonts w:ascii="Times New Roman" w:hAnsi="Times New Roman"/>
                <w:color w:val="000000" w:themeColor="text1"/>
                <w:lang w:val="en-US"/>
              </w:rPr>
              <w:t xml:space="preserve"> </w:t>
            </w:r>
          </w:p>
        </w:tc>
        <w:tc>
          <w:tcPr>
            <w:tcW w:w="4306" w:type="dxa"/>
            <w:gridSpan w:val="11"/>
            <w:shd w:val="clear" w:color="auto" w:fill="FFFFFF"/>
          </w:tcPr>
          <w:p w14:paraId="15A05872" w14:textId="0D6F1AD5" w:rsidR="001B3460" w:rsidRPr="00945976" w:rsidRDefault="001B3460" w:rsidP="001F43D8">
            <w:pPr>
              <w:spacing w:line="240" w:lineRule="auto"/>
              <w:rPr>
                <w:rFonts w:ascii="Times New Roman" w:hAnsi="Times New Roman"/>
                <w:b/>
                <w:color w:val="000000" w:themeColor="text1"/>
              </w:rPr>
            </w:pPr>
            <w:r w:rsidRPr="00945976">
              <w:rPr>
                <w:rFonts w:ascii="Times New Roman" w:hAnsi="Times New Roman"/>
                <w:b/>
                <w:color w:val="000000" w:themeColor="text1"/>
              </w:rPr>
              <w:t>Data sporządzenia</w:t>
            </w:r>
            <w:r w:rsidR="001F43D8" w:rsidRPr="00945976">
              <w:rPr>
                <w:rFonts w:ascii="Times New Roman" w:hAnsi="Times New Roman"/>
                <w:b/>
                <w:color w:val="000000" w:themeColor="text1"/>
              </w:rPr>
              <w:t>:</w:t>
            </w:r>
            <w:r w:rsidRPr="00945976">
              <w:rPr>
                <w:rFonts w:ascii="Times New Roman" w:hAnsi="Times New Roman"/>
                <w:b/>
                <w:color w:val="000000" w:themeColor="text1"/>
              </w:rPr>
              <w:br/>
            </w:r>
            <w:r w:rsidR="00560875">
              <w:rPr>
                <w:rFonts w:ascii="Times New Roman" w:hAnsi="Times New Roman"/>
                <w:b/>
                <w:color w:val="000000" w:themeColor="text1"/>
              </w:rPr>
              <w:t>14</w:t>
            </w:r>
            <w:r w:rsidR="00C74BCD">
              <w:rPr>
                <w:rFonts w:ascii="Times New Roman" w:hAnsi="Times New Roman"/>
                <w:b/>
                <w:color w:val="000000" w:themeColor="text1"/>
              </w:rPr>
              <w:t xml:space="preserve"> sierpnia</w:t>
            </w:r>
            <w:r w:rsidR="00202839">
              <w:rPr>
                <w:rFonts w:ascii="Times New Roman" w:hAnsi="Times New Roman"/>
                <w:b/>
                <w:color w:val="000000" w:themeColor="text1"/>
              </w:rPr>
              <w:t xml:space="preserve"> </w:t>
            </w:r>
            <w:r w:rsidR="005743BF" w:rsidRPr="00945976">
              <w:rPr>
                <w:rFonts w:ascii="Times New Roman" w:hAnsi="Times New Roman"/>
                <w:b/>
                <w:color w:val="000000" w:themeColor="text1"/>
              </w:rPr>
              <w:t xml:space="preserve">2020 r. </w:t>
            </w:r>
            <w:r w:rsidR="00445F54">
              <w:rPr>
                <w:rFonts w:ascii="Times New Roman" w:hAnsi="Times New Roman"/>
                <w:b/>
                <w:color w:val="000000" w:themeColor="text1"/>
              </w:rPr>
              <w:t xml:space="preserve"> </w:t>
            </w:r>
          </w:p>
          <w:p w14:paraId="436DB98C" w14:textId="77777777" w:rsidR="00F76884" w:rsidRPr="00945976" w:rsidRDefault="00F76884" w:rsidP="001F43D8">
            <w:pPr>
              <w:spacing w:line="240" w:lineRule="auto"/>
              <w:rPr>
                <w:rFonts w:ascii="Times New Roman" w:hAnsi="Times New Roman"/>
                <w:b/>
                <w:color w:val="000000" w:themeColor="text1"/>
              </w:rPr>
            </w:pPr>
          </w:p>
          <w:p w14:paraId="6374092C" w14:textId="77777777" w:rsidR="00F76884" w:rsidRPr="00945976" w:rsidRDefault="00F76884" w:rsidP="001F43D8">
            <w:pPr>
              <w:spacing w:line="240" w:lineRule="auto"/>
              <w:rPr>
                <w:rFonts w:ascii="Times New Roman" w:hAnsi="Times New Roman"/>
                <w:b/>
                <w:color w:val="000000" w:themeColor="text1"/>
              </w:rPr>
            </w:pPr>
            <w:r w:rsidRPr="00945976">
              <w:rPr>
                <w:rFonts w:ascii="Times New Roman" w:hAnsi="Times New Roman"/>
                <w:b/>
                <w:color w:val="000000" w:themeColor="text1"/>
              </w:rPr>
              <w:t xml:space="preserve">Źródło: </w:t>
            </w:r>
            <w:bookmarkStart w:id="2" w:name="Lista1"/>
          </w:p>
          <w:bookmarkEnd w:id="2" w:displacedByCustomXml="next"/>
          <w:sdt>
            <w:sdtPr>
              <w:rPr>
                <w:rFonts w:ascii="Times New Roman" w:hAnsi="Times New Roman"/>
                <w:color w:val="000000" w:themeColor="text1"/>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7590CA9A" w14:textId="77777777" w:rsidR="00F76884" w:rsidRPr="00945976" w:rsidRDefault="00A91099" w:rsidP="001F43D8">
                <w:pPr>
                  <w:spacing w:line="240" w:lineRule="auto"/>
                  <w:rPr>
                    <w:rFonts w:ascii="Times New Roman" w:hAnsi="Times New Roman"/>
                    <w:color w:val="000000" w:themeColor="text1"/>
                  </w:rPr>
                </w:pPr>
                <w:r w:rsidRPr="00945976">
                  <w:rPr>
                    <w:rFonts w:ascii="Times New Roman" w:hAnsi="Times New Roman"/>
                    <w:color w:val="000000" w:themeColor="text1"/>
                  </w:rPr>
                  <w:t>Inne</w:t>
                </w:r>
              </w:p>
            </w:sdtContent>
          </w:sdt>
          <w:p w14:paraId="4EB96C2E" w14:textId="77777777" w:rsidR="00BA2BB7" w:rsidRPr="00945976" w:rsidRDefault="00BA2BB7" w:rsidP="001F43D8">
            <w:pPr>
              <w:spacing w:line="240" w:lineRule="auto"/>
              <w:rPr>
                <w:rFonts w:ascii="Times New Roman" w:hAnsi="Times New Roman"/>
                <w:color w:val="000000" w:themeColor="text1"/>
              </w:rPr>
            </w:pPr>
          </w:p>
          <w:p w14:paraId="3A7812D4" w14:textId="77777777" w:rsidR="00F76884" w:rsidRPr="00945976" w:rsidRDefault="00F76884" w:rsidP="001F43D8">
            <w:pPr>
              <w:spacing w:line="240" w:lineRule="auto"/>
              <w:rPr>
                <w:rFonts w:ascii="Times New Roman" w:hAnsi="Times New Roman"/>
                <w:color w:val="000000" w:themeColor="text1"/>
              </w:rPr>
            </w:pPr>
          </w:p>
          <w:p w14:paraId="2B771AFF" w14:textId="77777777" w:rsidR="006A701A" w:rsidRPr="00945976" w:rsidRDefault="006A701A" w:rsidP="001F43D8">
            <w:pPr>
              <w:spacing w:line="240" w:lineRule="auto"/>
              <w:rPr>
                <w:rFonts w:ascii="Times New Roman" w:hAnsi="Times New Roman"/>
                <w:b/>
                <w:color w:val="000000" w:themeColor="text1"/>
              </w:rPr>
            </w:pPr>
            <w:r w:rsidRPr="00945976">
              <w:rPr>
                <w:rFonts w:ascii="Times New Roman" w:hAnsi="Times New Roman"/>
                <w:b/>
                <w:color w:val="000000" w:themeColor="text1"/>
              </w:rPr>
              <w:t xml:space="preserve">Nr </w:t>
            </w:r>
            <w:r w:rsidR="0057668E" w:rsidRPr="00945976">
              <w:rPr>
                <w:rFonts w:ascii="Times New Roman" w:hAnsi="Times New Roman"/>
                <w:b/>
                <w:color w:val="000000" w:themeColor="text1"/>
              </w:rPr>
              <w:t>w</w:t>
            </w:r>
            <w:r w:rsidRPr="00945976">
              <w:rPr>
                <w:rFonts w:ascii="Times New Roman" w:hAnsi="Times New Roman"/>
                <w:b/>
                <w:color w:val="000000" w:themeColor="text1"/>
              </w:rPr>
              <w:t xml:space="preserve"> wykaz</w:t>
            </w:r>
            <w:r w:rsidR="0057668E" w:rsidRPr="00945976">
              <w:rPr>
                <w:rFonts w:ascii="Times New Roman" w:hAnsi="Times New Roman"/>
                <w:b/>
                <w:color w:val="000000" w:themeColor="text1"/>
              </w:rPr>
              <w:t>ie</w:t>
            </w:r>
            <w:r w:rsidRPr="00945976">
              <w:rPr>
                <w:rFonts w:ascii="Times New Roman" w:hAnsi="Times New Roman"/>
                <w:b/>
                <w:color w:val="000000" w:themeColor="text1"/>
              </w:rPr>
              <w:t xml:space="preserve"> prac </w:t>
            </w:r>
          </w:p>
          <w:p w14:paraId="13536329" w14:textId="473CBFD4" w:rsidR="006A701A" w:rsidRPr="00945976" w:rsidRDefault="0056084F" w:rsidP="001F43D8">
            <w:pPr>
              <w:spacing w:line="240" w:lineRule="auto"/>
              <w:rPr>
                <w:rFonts w:ascii="Times New Roman" w:hAnsi="Times New Roman"/>
                <w:color w:val="000000" w:themeColor="text1"/>
              </w:rPr>
            </w:pPr>
            <w:r>
              <w:rPr>
                <w:rFonts w:ascii="Times New Roman" w:hAnsi="Times New Roman"/>
                <w:b/>
                <w:color w:val="000000" w:themeColor="text1"/>
              </w:rPr>
              <w:t>UD118</w:t>
            </w:r>
          </w:p>
          <w:p w14:paraId="010FCA0E" w14:textId="77777777" w:rsidR="006A701A" w:rsidRPr="00945976" w:rsidRDefault="006A701A" w:rsidP="001F43D8">
            <w:pPr>
              <w:spacing w:line="240" w:lineRule="auto"/>
              <w:rPr>
                <w:rFonts w:ascii="Times New Roman" w:hAnsi="Times New Roman"/>
                <w:color w:val="000000" w:themeColor="text1"/>
              </w:rPr>
            </w:pPr>
          </w:p>
        </w:tc>
      </w:tr>
      <w:tr w:rsidR="006A701A" w:rsidRPr="00945976" w14:paraId="2AA14D86" w14:textId="77777777" w:rsidTr="00695F17">
        <w:trPr>
          <w:gridAfter w:val="1"/>
          <w:wAfter w:w="10" w:type="dxa"/>
          <w:trHeight w:val="142"/>
        </w:trPr>
        <w:tc>
          <w:tcPr>
            <w:tcW w:w="10937" w:type="dxa"/>
            <w:gridSpan w:val="23"/>
            <w:shd w:val="clear" w:color="auto" w:fill="99CCFF"/>
          </w:tcPr>
          <w:p w14:paraId="54B1233A" w14:textId="77777777" w:rsidR="006A701A" w:rsidRPr="00945976" w:rsidRDefault="006A701A" w:rsidP="00B64FB6">
            <w:pPr>
              <w:spacing w:after="120" w:line="240" w:lineRule="auto"/>
              <w:ind w:left="57"/>
              <w:jc w:val="center"/>
              <w:rPr>
                <w:rFonts w:ascii="Times New Roman" w:hAnsi="Times New Roman"/>
                <w:b/>
                <w:color w:val="000000" w:themeColor="text1"/>
              </w:rPr>
            </w:pPr>
            <w:r w:rsidRPr="00945976">
              <w:rPr>
                <w:rFonts w:ascii="Times New Roman" w:hAnsi="Times New Roman"/>
                <w:b/>
                <w:color w:val="000000" w:themeColor="text1"/>
              </w:rPr>
              <w:t>OCENA SKUTKÓW REGULACJI</w:t>
            </w:r>
          </w:p>
        </w:tc>
      </w:tr>
      <w:tr w:rsidR="006A701A" w:rsidRPr="00945976" w14:paraId="5A936EDE" w14:textId="77777777" w:rsidTr="00695F17">
        <w:trPr>
          <w:gridAfter w:val="1"/>
          <w:wAfter w:w="10" w:type="dxa"/>
          <w:trHeight w:val="333"/>
        </w:trPr>
        <w:tc>
          <w:tcPr>
            <w:tcW w:w="10937" w:type="dxa"/>
            <w:gridSpan w:val="23"/>
            <w:shd w:val="clear" w:color="auto" w:fill="99CCFF"/>
            <w:vAlign w:val="center"/>
          </w:tcPr>
          <w:p w14:paraId="0927E546" w14:textId="77777777" w:rsidR="006A701A" w:rsidRPr="00945976" w:rsidRDefault="003D12F6" w:rsidP="00B64FB6">
            <w:pPr>
              <w:numPr>
                <w:ilvl w:val="0"/>
                <w:numId w:val="3"/>
              </w:numPr>
              <w:spacing w:after="120" w:line="240" w:lineRule="auto"/>
              <w:ind w:left="318" w:hanging="284"/>
              <w:jc w:val="both"/>
              <w:rPr>
                <w:rFonts w:ascii="Times New Roman" w:hAnsi="Times New Roman"/>
                <w:b/>
                <w:color w:val="000000" w:themeColor="text1"/>
              </w:rPr>
            </w:pPr>
            <w:r w:rsidRPr="00945976">
              <w:rPr>
                <w:rFonts w:ascii="Times New Roman" w:hAnsi="Times New Roman"/>
                <w:b/>
                <w:color w:val="000000" w:themeColor="text1"/>
              </w:rPr>
              <w:t xml:space="preserve">Jaki problem jest </w:t>
            </w:r>
            <w:r w:rsidR="00CC6305" w:rsidRPr="00945976">
              <w:rPr>
                <w:rFonts w:ascii="Times New Roman" w:hAnsi="Times New Roman"/>
                <w:b/>
                <w:color w:val="000000" w:themeColor="text1"/>
              </w:rPr>
              <w:t>rozwiązywany?</w:t>
            </w:r>
            <w:bookmarkStart w:id="3" w:name="Wybór1"/>
            <w:bookmarkEnd w:id="3"/>
          </w:p>
        </w:tc>
      </w:tr>
      <w:tr w:rsidR="006A701A" w:rsidRPr="00945976" w14:paraId="427C13F4" w14:textId="77777777" w:rsidTr="00695F17">
        <w:trPr>
          <w:gridAfter w:val="1"/>
          <w:wAfter w:w="10" w:type="dxa"/>
          <w:trHeight w:val="142"/>
        </w:trPr>
        <w:tc>
          <w:tcPr>
            <w:tcW w:w="10937" w:type="dxa"/>
            <w:gridSpan w:val="23"/>
            <w:shd w:val="clear" w:color="auto" w:fill="FFFFFF"/>
          </w:tcPr>
          <w:p w14:paraId="65111C94" w14:textId="77777777" w:rsidR="00EB77D3" w:rsidRPr="00945976" w:rsidRDefault="00C33E96" w:rsidP="00945976">
            <w:pPr>
              <w:spacing w:after="120" w:line="240" w:lineRule="auto"/>
              <w:jc w:val="both"/>
              <w:rPr>
                <w:rFonts w:ascii="Times New Roman" w:hAnsi="Times New Roman"/>
                <w:color w:val="000000" w:themeColor="text1"/>
              </w:rPr>
            </w:pPr>
            <w:r>
              <w:rPr>
                <w:rFonts w:ascii="Times New Roman" w:hAnsi="Times New Roman"/>
                <w:color w:val="000000" w:themeColor="text1"/>
              </w:rPr>
              <w:t>Celem dla którego jest proponowane wprowadzenie nowelizacji ustawy</w:t>
            </w:r>
            <w:r w:rsidRPr="00945976">
              <w:rPr>
                <w:rFonts w:ascii="Times New Roman" w:hAnsi="Times New Roman"/>
                <w:color w:val="000000" w:themeColor="text1"/>
              </w:rPr>
              <w:t xml:space="preserve"> z dnia 11 marca 2004 r. o podatku od towarów i usług (Dz. U. z 2020 r. poz.106</w:t>
            </w:r>
            <w:r>
              <w:rPr>
                <w:rFonts w:ascii="Times New Roman" w:hAnsi="Times New Roman"/>
                <w:color w:val="000000" w:themeColor="text1"/>
              </w:rPr>
              <w:t>, z późn. zm.</w:t>
            </w:r>
            <w:r w:rsidRPr="00945976">
              <w:rPr>
                <w:rFonts w:ascii="Times New Roman" w:hAnsi="Times New Roman"/>
                <w:color w:val="000000" w:themeColor="text1"/>
              </w:rPr>
              <w:t>), zwanej dalej „ustawą o VAT</w:t>
            </w:r>
            <w:r>
              <w:rPr>
                <w:rFonts w:ascii="Times New Roman" w:hAnsi="Times New Roman"/>
                <w:color w:val="000000" w:themeColor="text1"/>
              </w:rPr>
              <w:t xml:space="preserve"> jest</w:t>
            </w:r>
            <w:r w:rsidR="00EB77D3" w:rsidRPr="00945976">
              <w:rPr>
                <w:rFonts w:ascii="Times New Roman" w:hAnsi="Times New Roman"/>
                <w:color w:val="000000" w:themeColor="text1"/>
              </w:rPr>
              <w:t xml:space="preserve"> wprowadzenie:</w:t>
            </w:r>
          </w:p>
          <w:p w14:paraId="5C82431D" w14:textId="77777777" w:rsidR="007F01C2" w:rsidRDefault="00EB77D3" w:rsidP="00945976">
            <w:pPr>
              <w:spacing w:after="120" w:line="240" w:lineRule="auto"/>
              <w:ind w:left="63" w:hanging="63"/>
              <w:jc w:val="both"/>
              <w:rPr>
                <w:rFonts w:ascii="Times New Roman" w:hAnsi="Times New Roman"/>
                <w:color w:val="000000" w:themeColor="text1"/>
              </w:rPr>
            </w:pPr>
            <w:r w:rsidRPr="00945976">
              <w:rPr>
                <w:rFonts w:ascii="Times New Roman" w:hAnsi="Times New Roman"/>
                <w:color w:val="000000" w:themeColor="text1"/>
              </w:rPr>
              <w:t xml:space="preserve">1) </w:t>
            </w:r>
            <w:r w:rsidR="007F01C2" w:rsidRPr="00451A5C">
              <w:rPr>
                <w:rFonts w:ascii="Times New Roman" w:hAnsi="Times New Roman"/>
                <w:color w:val="000000" w:themeColor="text1"/>
              </w:rPr>
              <w:t>rozwiązań w zakresie uproszczenia rozliczania przez podatników podatku od towarów i usług – pakiet Slim VAT</w:t>
            </w:r>
            <w:r w:rsidR="004D11FB">
              <w:rPr>
                <w:rFonts w:ascii="Times New Roman" w:hAnsi="Times New Roman"/>
                <w:color w:val="000000" w:themeColor="text1"/>
              </w:rPr>
              <w:t xml:space="preserve"> (</w:t>
            </w:r>
            <w:r w:rsidR="004D11FB" w:rsidRPr="006F798A">
              <w:rPr>
                <w:rFonts w:ascii="Times New Roman" w:hAnsi="Times New Roman"/>
                <w:i/>
                <w:color w:val="000000" w:themeColor="text1"/>
                <w:sz w:val="24"/>
                <w:szCs w:val="24"/>
              </w:rPr>
              <w:t>Simple Local And Modern VAT</w:t>
            </w:r>
            <w:r w:rsidR="004D11FB">
              <w:rPr>
                <w:rFonts w:ascii="Times New Roman" w:hAnsi="Times New Roman"/>
                <w:color w:val="000000" w:themeColor="text1"/>
                <w:sz w:val="24"/>
                <w:szCs w:val="24"/>
              </w:rPr>
              <w:t>)</w:t>
            </w:r>
            <w:r w:rsidR="004D11FB">
              <w:rPr>
                <w:rFonts w:ascii="Times New Roman" w:hAnsi="Times New Roman"/>
                <w:color w:val="000000" w:themeColor="text1"/>
              </w:rPr>
              <w:t>;</w:t>
            </w:r>
          </w:p>
          <w:p w14:paraId="0C559837" w14:textId="77777777" w:rsidR="005743BF" w:rsidRPr="00945976" w:rsidRDefault="007F01C2" w:rsidP="00945976">
            <w:pPr>
              <w:spacing w:after="120" w:line="240" w:lineRule="auto"/>
              <w:ind w:left="63" w:hanging="63"/>
              <w:jc w:val="both"/>
              <w:rPr>
                <w:rFonts w:ascii="Times New Roman" w:hAnsi="Times New Roman"/>
                <w:color w:val="000000" w:themeColor="text1"/>
              </w:rPr>
            </w:pPr>
            <w:r>
              <w:rPr>
                <w:rFonts w:ascii="Times New Roman" w:hAnsi="Times New Roman"/>
                <w:color w:val="000000" w:themeColor="text1"/>
              </w:rPr>
              <w:t xml:space="preserve">2) </w:t>
            </w:r>
            <w:r w:rsidR="00EB77D3" w:rsidRPr="00945976">
              <w:rPr>
                <w:rFonts w:ascii="Times New Roman" w:hAnsi="Times New Roman"/>
                <w:color w:val="000000" w:themeColor="text1"/>
              </w:rPr>
              <w:t>rozwiązań o charakterze doprecyzowującym i uzupełniającym w stosunku do niektórych konstrukcji prawny</w:t>
            </w:r>
            <w:r w:rsidR="001F43D8" w:rsidRPr="00945976">
              <w:rPr>
                <w:rFonts w:ascii="Times New Roman" w:hAnsi="Times New Roman"/>
                <w:color w:val="000000" w:themeColor="text1"/>
              </w:rPr>
              <w:t>ch w podatku od towarów i usług;</w:t>
            </w:r>
          </w:p>
          <w:p w14:paraId="4ABD1FF1" w14:textId="77777777" w:rsidR="00EB77D3" w:rsidRPr="00945976" w:rsidRDefault="007F01C2" w:rsidP="00AC7BAF">
            <w:pPr>
              <w:spacing w:after="120" w:line="240" w:lineRule="auto"/>
              <w:ind w:left="63" w:hanging="63"/>
              <w:jc w:val="both"/>
              <w:rPr>
                <w:rFonts w:ascii="Times New Roman" w:hAnsi="Times New Roman"/>
                <w:color w:val="000000" w:themeColor="text1"/>
              </w:rPr>
            </w:pPr>
            <w:r>
              <w:rPr>
                <w:rFonts w:ascii="Times New Roman" w:hAnsi="Times New Roman"/>
                <w:color w:val="000000" w:themeColor="text1"/>
              </w:rPr>
              <w:t>3</w:t>
            </w:r>
            <w:r w:rsidR="00EB77D3" w:rsidRPr="00945976">
              <w:rPr>
                <w:rFonts w:ascii="Times New Roman" w:hAnsi="Times New Roman"/>
                <w:color w:val="000000" w:themeColor="text1"/>
              </w:rPr>
              <w:t>) zmian w zakresie systemu zwrot</w:t>
            </w:r>
            <w:r w:rsidR="001F43D8" w:rsidRPr="00945976">
              <w:rPr>
                <w:rFonts w:ascii="Times New Roman" w:hAnsi="Times New Roman"/>
                <w:color w:val="000000" w:themeColor="text1"/>
              </w:rPr>
              <w:t>u podatku podróżnym (TAX FREE)</w:t>
            </w:r>
            <w:r w:rsidR="004D11FB">
              <w:rPr>
                <w:rFonts w:ascii="Times New Roman" w:hAnsi="Times New Roman"/>
                <w:color w:val="000000" w:themeColor="text1"/>
              </w:rPr>
              <w:t>.</w:t>
            </w:r>
            <w:r w:rsidR="001F43D8" w:rsidRPr="00945976">
              <w:rPr>
                <w:rFonts w:ascii="Times New Roman" w:hAnsi="Times New Roman"/>
                <w:color w:val="000000" w:themeColor="text1"/>
              </w:rPr>
              <w:t xml:space="preserve"> </w:t>
            </w:r>
          </w:p>
          <w:p w14:paraId="547F2F99" w14:textId="77777777" w:rsidR="007F01C2" w:rsidRPr="00451A5C" w:rsidRDefault="00EB77D3" w:rsidP="007F01C2">
            <w:pPr>
              <w:spacing w:after="120" w:line="240" w:lineRule="auto"/>
              <w:jc w:val="both"/>
              <w:rPr>
                <w:rFonts w:ascii="Times New Roman" w:hAnsi="Times New Roman"/>
                <w:bCs/>
                <w:color w:val="000000" w:themeColor="text1"/>
              </w:rPr>
            </w:pPr>
            <w:r w:rsidRPr="00945976">
              <w:rPr>
                <w:rFonts w:ascii="Times New Roman" w:hAnsi="Times New Roman"/>
                <w:bCs/>
                <w:color w:val="000000" w:themeColor="text1"/>
              </w:rPr>
              <w:t xml:space="preserve">Ad. </w:t>
            </w:r>
            <w:r w:rsidR="005743BF" w:rsidRPr="00945976">
              <w:rPr>
                <w:rFonts w:ascii="Times New Roman" w:hAnsi="Times New Roman"/>
                <w:bCs/>
                <w:color w:val="000000" w:themeColor="text1"/>
              </w:rPr>
              <w:t>1.</w:t>
            </w:r>
            <w:r w:rsidR="007F01C2">
              <w:rPr>
                <w:rFonts w:ascii="Times New Roman" w:hAnsi="Times New Roman"/>
                <w:bCs/>
                <w:color w:val="000000" w:themeColor="text1"/>
              </w:rPr>
              <w:t xml:space="preserve"> </w:t>
            </w:r>
            <w:r w:rsidR="007F01C2" w:rsidRPr="00451A5C">
              <w:rPr>
                <w:rFonts w:ascii="Times New Roman" w:hAnsi="Times New Roman"/>
                <w:bCs/>
                <w:color w:val="000000" w:themeColor="text1"/>
              </w:rPr>
              <w:t>Wprowadzone w ostatnich latach przez Ministra Finansów rozwiązania prawne i informatyczne w zakresie rozliczeń podatkowych usprawniają dokonywanie tych rozliczeń przez podatników oraz ułatwiają prowadzenie procesów ich weryfikacji przez organy podatkowe</w:t>
            </w:r>
            <w:r w:rsidR="0001538C">
              <w:rPr>
                <w:rFonts w:ascii="Times New Roman" w:hAnsi="Times New Roman"/>
                <w:bCs/>
                <w:color w:val="000000" w:themeColor="text1"/>
              </w:rPr>
              <w:t>.</w:t>
            </w:r>
          </w:p>
          <w:p w14:paraId="2E51F2A0" w14:textId="77777777" w:rsidR="007F01C2" w:rsidRPr="00451A5C" w:rsidRDefault="007F01C2" w:rsidP="007F01C2">
            <w:pPr>
              <w:spacing w:after="120" w:line="240" w:lineRule="auto"/>
              <w:jc w:val="both"/>
              <w:rPr>
                <w:rFonts w:ascii="Times New Roman" w:hAnsi="Times New Roman"/>
                <w:bCs/>
                <w:color w:val="000000" w:themeColor="text1"/>
              </w:rPr>
            </w:pPr>
            <w:r w:rsidRPr="00451A5C">
              <w:rPr>
                <w:rFonts w:ascii="Times New Roman" w:hAnsi="Times New Roman"/>
                <w:bCs/>
                <w:color w:val="000000" w:themeColor="text1"/>
              </w:rPr>
              <w:t xml:space="preserve">Obecny postęp technologiczny w rozliczaniu podatków oraz wprowadzenie narzędzi analitycznych i zabezpieczających przed nadużyciami w VAT, w tym takich jak JPK_VAT, STIR, SENT, MPP (mechanizm podzielonej płatności), system kas on-line, tzw. white lista, umożliwiających Szefowi KAS sprawną weryfikację rozliczeń podatników, przyczynił się do uszczelnienia rozliczeń i poboru podatku od towarów i usług. </w:t>
            </w:r>
          </w:p>
          <w:p w14:paraId="18D5A923" w14:textId="77777777" w:rsidR="007F01C2" w:rsidRPr="00451A5C" w:rsidRDefault="007F01C2" w:rsidP="007F01C2">
            <w:pPr>
              <w:spacing w:after="120" w:line="240" w:lineRule="auto"/>
              <w:jc w:val="both"/>
              <w:rPr>
                <w:rFonts w:ascii="Times New Roman" w:hAnsi="Times New Roman"/>
                <w:bCs/>
                <w:color w:val="000000" w:themeColor="text1"/>
              </w:rPr>
            </w:pPr>
            <w:r w:rsidRPr="00451A5C">
              <w:rPr>
                <w:rFonts w:ascii="Times New Roman" w:hAnsi="Times New Roman"/>
                <w:bCs/>
                <w:color w:val="000000" w:themeColor="text1"/>
              </w:rPr>
              <w:t xml:space="preserve">Wprowadzone w ostatnich latach narzędzia uszczelniające VAT oraz związane z tym efekty w zakresie walki z nadużyciami w VAT, pozwoliły na weryfikację rozwiązań dotyczących rozliczania VAT, w niektórych przypadkach obowiązujących od 2004 r. Celem przeprowadzonego audytu tych rozwiązań było wyeliminowanie obciążeń administracyjnych w zakresie rozliczania podatku VAT po stronie podatników. </w:t>
            </w:r>
          </w:p>
          <w:p w14:paraId="57C6625B" w14:textId="77777777" w:rsidR="007F01C2" w:rsidRPr="00451A5C" w:rsidRDefault="007F01C2" w:rsidP="007F01C2">
            <w:pPr>
              <w:spacing w:after="120" w:line="240" w:lineRule="auto"/>
              <w:jc w:val="both"/>
              <w:rPr>
                <w:rFonts w:ascii="Times New Roman" w:hAnsi="Times New Roman"/>
                <w:bCs/>
                <w:color w:val="000000" w:themeColor="text1"/>
              </w:rPr>
            </w:pPr>
            <w:r w:rsidRPr="00451A5C">
              <w:rPr>
                <w:rFonts w:ascii="Times New Roman" w:hAnsi="Times New Roman"/>
                <w:bCs/>
                <w:color w:val="000000" w:themeColor="text1"/>
              </w:rPr>
              <w:t xml:space="preserve">Propozycje rozwiązań w tym zakresie zawarto w niniejszym projekcie ustawy – Pakiet Slim VAT. </w:t>
            </w:r>
          </w:p>
          <w:p w14:paraId="70B81133" w14:textId="77777777" w:rsidR="007F01C2" w:rsidRDefault="007F01C2" w:rsidP="00695F17">
            <w:pPr>
              <w:spacing w:after="120" w:line="240" w:lineRule="auto"/>
              <w:jc w:val="both"/>
              <w:rPr>
                <w:rFonts w:ascii="Times New Roman" w:hAnsi="Times New Roman"/>
                <w:bCs/>
                <w:color w:val="000000" w:themeColor="text1"/>
              </w:rPr>
            </w:pPr>
            <w:r w:rsidRPr="00451A5C">
              <w:rPr>
                <w:rFonts w:ascii="Times New Roman" w:hAnsi="Times New Roman"/>
                <w:bCs/>
                <w:color w:val="000000" w:themeColor="text1"/>
              </w:rPr>
              <w:t>Pakiet  Slim VAT wpisuje się również w odpowiedź na postulaty przedsiębiorców kierowane do Prezesa Rady Ministrów oraz do Ministra Finansów w związku z potrzebą przeciwdziałania negatywnym skutkom społeczno-gospodarczym pandemii COVID-19.</w:t>
            </w:r>
          </w:p>
          <w:p w14:paraId="6078D10E" w14:textId="77777777" w:rsidR="00EB77D3" w:rsidRPr="00945976" w:rsidRDefault="007F01C2" w:rsidP="00945976">
            <w:pPr>
              <w:spacing w:after="120" w:line="240" w:lineRule="auto"/>
              <w:ind w:left="63"/>
              <w:jc w:val="both"/>
              <w:rPr>
                <w:rFonts w:ascii="Times New Roman" w:hAnsi="Times New Roman"/>
                <w:color w:val="000000" w:themeColor="text1"/>
              </w:rPr>
            </w:pPr>
            <w:r>
              <w:rPr>
                <w:rFonts w:ascii="Times New Roman" w:hAnsi="Times New Roman"/>
                <w:bCs/>
                <w:color w:val="000000" w:themeColor="text1"/>
              </w:rPr>
              <w:t>Ad. 2.</w:t>
            </w:r>
            <w:r w:rsidR="00EB77D3" w:rsidRPr="00945976">
              <w:rPr>
                <w:rFonts w:ascii="Times New Roman" w:hAnsi="Times New Roman"/>
                <w:bCs/>
                <w:color w:val="000000" w:themeColor="text1"/>
              </w:rPr>
              <w:t xml:space="preserve"> </w:t>
            </w:r>
            <w:r w:rsidR="001F43D8" w:rsidRPr="00945976">
              <w:rPr>
                <w:rFonts w:ascii="Times New Roman" w:hAnsi="Times New Roman"/>
                <w:bCs/>
                <w:color w:val="000000" w:themeColor="text1"/>
              </w:rPr>
              <w:t>P</w:t>
            </w:r>
            <w:r w:rsidR="00EB77D3" w:rsidRPr="00945976">
              <w:rPr>
                <w:rFonts w:ascii="Times New Roman" w:hAnsi="Times New Roman"/>
                <w:bCs/>
                <w:color w:val="000000" w:themeColor="text1"/>
              </w:rPr>
              <w:t xml:space="preserve">akiet przepisów tzw. doprecyzowujących i uzupełniających VAT dotyczy głównie takich obszarów, jak: </w:t>
            </w:r>
          </w:p>
          <w:p w14:paraId="15F8E5EC" w14:textId="77777777" w:rsidR="00EB77D3" w:rsidRPr="00945976" w:rsidRDefault="00EB77D3" w:rsidP="00945976">
            <w:pPr>
              <w:pStyle w:val="Akapitzlist"/>
              <w:numPr>
                <w:ilvl w:val="0"/>
                <w:numId w:val="22"/>
              </w:numPr>
              <w:spacing w:after="120" w:line="240" w:lineRule="auto"/>
              <w:ind w:left="426"/>
              <w:contextualSpacing w:val="0"/>
              <w:jc w:val="both"/>
              <w:rPr>
                <w:rFonts w:ascii="Times New Roman" w:hAnsi="Times New Roman"/>
                <w:b/>
                <w:bCs/>
                <w:color w:val="000000" w:themeColor="text1"/>
              </w:rPr>
            </w:pPr>
            <w:r w:rsidRPr="00945976">
              <w:rPr>
                <w:rFonts w:ascii="Times New Roman" w:hAnsi="Times New Roman"/>
                <w:bCs/>
                <w:color w:val="000000" w:themeColor="text1"/>
              </w:rPr>
              <w:t>z</w:t>
            </w:r>
            <w:r w:rsidRPr="00945976">
              <w:rPr>
                <w:rFonts w:ascii="Times New Roman" w:hAnsi="Times New Roman"/>
                <w:color w:val="000000" w:themeColor="text1"/>
                <w:lang w:eastAsia="pl-PL"/>
              </w:rPr>
              <w:t>miany do matrycy stawek VAT i Wiążącej Informacji Stawkowej,</w:t>
            </w:r>
          </w:p>
          <w:p w14:paraId="08994E6D" w14:textId="77777777" w:rsidR="00EB77D3" w:rsidRPr="00945976" w:rsidRDefault="00EB77D3" w:rsidP="00945976">
            <w:pPr>
              <w:pStyle w:val="Akapitzlist"/>
              <w:numPr>
                <w:ilvl w:val="0"/>
                <w:numId w:val="22"/>
              </w:numPr>
              <w:spacing w:after="120" w:line="240" w:lineRule="auto"/>
              <w:ind w:left="426"/>
              <w:contextualSpacing w:val="0"/>
              <w:jc w:val="both"/>
              <w:rPr>
                <w:rFonts w:ascii="Times New Roman" w:hAnsi="Times New Roman"/>
                <w:b/>
                <w:bCs/>
                <w:color w:val="000000" w:themeColor="text1"/>
              </w:rPr>
            </w:pPr>
            <w:r w:rsidRPr="00945976">
              <w:rPr>
                <w:rFonts w:ascii="Times New Roman" w:hAnsi="Times New Roman"/>
                <w:color w:val="000000" w:themeColor="text1"/>
                <w:lang w:eastAsia="pl-PL"/>
              </w:rPr>
              <w:t>przełożenie symboli PKWiU 2008 na symbole PKWiU 2015 w załączniku nr 15 do ustawy o VAT</w:t>
            </w:r>
            <w:r w:rsidR="004D11FB">
              <w:rPr>
                <w:rFonts w:ascii="Times New Roman" w:hAnsi="Times New Roman"/>
                <w:color w:val="000000" w:themeColor="text1"/>
                <w:lang w:eastAsia="pl-PL"/>
              </w:rPr>
              <w:t xml:space="preserve"> </w:t>
            </w:r>
            <w:r w:rsidRPr="00945976">
              <w:rPr>
                <w:rFonts w:ascii="Times New Roman" w:hAnsi="Times New Roman"/>
                <w:color w:val="000000" w:themeColor="text1"/>
                <w:lang w:eastAsia="pl-PL"/>
              </w:rPr>
              <w:t>i w zakresie wyłączeń ze zwolnienia podmiotowego określonych w art. 113 ust. 13 pkt 1 lit. f i g ustawy o VAT,</w:t>
            </w:r>
          </w:p>
          <w:p w14:paraId="7C626E35" w14:textId="77777777" w:rsidR="00EB77D3" w:rsidRPr="00945976" w:rsidRDefault="00EB77D3" w:rsidP="00945976">
            <w:pPr>
              <w:pStyle w:val="Akapitzlist"/>
              <w:numPr>
                <w:ilvl w:val="0"/>
                <w:numId w:val="22"/>
              </w:numPr>
              <w:spacing w:after="120" w:line="240" w:lineRule="auto"/>
              <w:ind w:left="426"/>
              <w:contextualSpacing w:val="0"/>
              <w:jc w:val="both"/>
              <w:rPr>
                <w:rFonts w:ascii="Times New Roman" w:hAnsi="Times New Roman"/>
                <w:b/>
                <w:bCs/>
                <w:color w:val="000000" w:themeColor="text1"/>
              </w:rPr>
            </w:pPr>
            <w:r w:rsidRPr="00945976">
              <w:rPr>
                <w:rFonts w:ascii="Times New Roman" w:hAnsi="Times New Roman"/>
                <w:color w:val="000000" w:themeColor="text1"/>
                <w:lang w:eastAsia="pl-PL"/>
              </w:rPr>
              <w:t>zmiany doprecyzowujące w zakresie wykazu podatników VAT (tzw. white lista),</w:t>
            </w:r>
          </w:p>
          <w:p w14:paraId="672AD373" w14:textId="77777777" w:rsidR="00EB77D3" w:rsidRPr="00945976" w:rsidRDefault="00EB77D3" w:rsidP="00945976">
            <w:pPr>
              <w:pStyle w:val="Akapitzlist"/>
              <w:numPr>
                <w:ilvl w:val="0"/>
                <w:numId w:val="22"/>
              </w:numPr>
              <w:spacing w:after="120" w:line="240" w:lineRule="auto"/>
              <w:ind w:left="426"/>
              <w:contextualSpacing w:val="0"/>
              <w:jc w:val="both"/>
              <w:rPr>
                <w:rFonts w:ascii="Times New Roman" w:hAnsi="Times New Roman"/>
                <w:b/>
                <w:bCs/>
                <w:color w:val="000000" w:themeColor="text1"/>
              </w:rPr>
            </w:pPr>
            <w:r w:rsidRPr="00945976">
              <w:rPr>
                <w:rFonts w:ascii="Times New Roman" w:hAnsi="Times New Roman"/>
                <w:color w:val="000000" w:themeColor="text1"/>
                <w:lang w:eastAsia="pl-PL"/>
              </w:rPr>
              <w:t>zmiany doprecyzowujące w zakresie mechanizmu podzielonej płatności,</w:t>
            </w:r>
          </w:p>
          <w:p w14:paraId="70FEC7B4" w14:textId="77777777" w:rsidR="00EB77D3" w:rsidRPr="00945976" w:rsidRDefault="00EB77D3" w:rsidP="00945976">
            <w:pPr>
              <w:pStyle w:val="Akapitzlist"/>
              <w:numPr>
                <w:ilvl w:val="0"/>
                <w:numId w:val="22"/>
              </w:numPr>
              <w:spacing w:after="120" w:line="240" w:lineRule="auto"/>
              <w:ind w:left="426"/>
              <w:contextualSpacing w:val="0"/>
              <w:jc w:val="both"/>
              <w:rPr>
                <w:rFonts w:ascii="Times New Roman" w:hAnsi="Times New Roman"/>
                <w:b/>
                <w:bCs/>
                <w:color w:val="000000" w:themeColor="text1"/>
              </w:rPr>
            </w:pPr>
            <w:r w:rsidRPr="00945976">
              <w:rPr>
                <w:rFonts w:ascii="Times New Roman" w:hAnsi="Times New Roman"/>
                <w:color w:val="000000" w:themeColor="text1"/>
              </w:rPr>
              <w:t xml:space="preserve">zmiany doprecyzowujące w zakresie nowego JPK VAT, </w:t>
            </w:r>
          </w:p>
          <w:p w14:paraId="794037ED" w14:textId="77777777" w:rsidR="001F068D" w:rsidRPr="00945976" w:rsidRDefault="001F068D" w:rsidP="00945976">
            <w:pPr>
              <w:pStyle w:val="Akapitzlist"/>
              <w:numPr>
                <w:ilvl w:val="0"/>
                <w:numId w:val="22"/>
              </w:numPr>
              <w:spacing w:after="120" w:line="240" w:lineRule="auto"/>
              <w:ind w:left="426"/>
              <w:contextualSpacing w:val="0"/>
              <w:jc w:val="both"/>
              <w:rPr>
                <w:rFonts w:ascii="Times New Roman" w:hAnsi="Times New Roman"/>
                <w:b/>
                <w:bCs/>
                <w:color w:val="000000" w:themeColor="text1"/>
              </w:rPr>
            </w:pPr>
            <w:r w:rsidRPr="00945976">
              <w:rPr>
                <w:rFonts w:ascii="Times New Roman" w:hAnsi="Times New Roman"/>
                <w:color w:val="000000" w:themeColor="text1"/>
              </w:rPr>
              <w:t>uchylenie ust. 8 w art. 7 ustawy o VAT – jako rozwiązania nadmiarowego, które w warunkach rozliczeń krajowych zaburza logikę w podejściu do opodatkowania dostawy towarów;</w:t>
            </w:r>
          </w:p>
          <w:p w14:paraId="2FAE82E6" w14:textId="77777777" w:rsidR="005743BF" w:rsidRPr="00945976" w:rsidRDefault="00EB77D3" w:rsidP="00945976">
            <w:pPr>
              <w:spacing w:after="120" w:line="240" w:lineRule="auto"/>
              <w:jc w:val="both"/>
              <w:rPr>
                <w:rFonts w:ascii="Times New Roman" w:hAnsi="Times New Roman"/>
                <w:color w:val="000000" w:themeColor="text1"/>
              </w:rPr>
            </w:pPr>
            <w:r w:rsidRPr="00945976">
              <w:rPr>
                <w:rFonts w:ascii="Times New Roman" w:hAnsi="Times New Roman"/>
                <w:color w:val="000000" w:themeColor="text1"/>
              </w:rPr>
              <w:t xml:space="preserve">Ad. </w:t>
            </w:r>
            <w:r w:rsidR="007F01C2">
              <w:rPr>
                <w:rFonts w:ascii="Times New Roman" w:hAnsi="Times New Roman"/>
                <w:color w:val="000000" w:themeColor="text1"/>
              </w:rPr>
              <w:t>3</w:t>
            </w:r>
            <w:r w:rsidRPr="00945976">
              <w:rPr>
                <w:rFonts w:ascii="Times New Roman" w:hAnsi="Times New Roman"/>
                <w:color w:val="000000" w:themeColor="text1"/>
              </w:rPr>
              <w:t xml:space="preserve"> </w:t>
            </w:r>
            <w:r w:rsidR="001F43D8" w:rsidRPr="00945976">
              <w:rPr>
                <w:rFonts w:ascii="Times New Roman" w:hAnsi="Times New Roman"/>
                <w:color w:val="000000" w:themeColor="text1"/>
              </w:rPr>
              <w:t>Z</w:t>
            </w:r>
            <w:r w:rsidRPr="00945976">
              <w:rPr>
                <w:rFonts w:ascii="Times New Roman" w:hAnsi="Times New Roman"/>
                <w:color w:val="000000" w:themeColor="text1"/>
              </w:rPr>
              <w:t xml:space="preserve">miany w zakresie systemu zwrotu podatku podróżnym (TAX FREE). </w:t>
            </w:r>
          </w:p>
          <w:p w14:paraId="54E07883" w14:textId="77777777" w:rsidR="006A701A" w:rsidRPr="00945976" w:rsidRDefault="00EB77D3" w:rsidP="00945976">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t xml:space="preserve">Obserwowany i utrzymujący się od lat wysoki poziom sprzedaży w Polsce towarów podróżnym spoza Unii Europejskiej, dynamiczny rozwój technologii cyfrowych umożliwiających dokonywanie szybkich i bezpiecznych transferów dużych partii danych oraz oczekiwania przedsiębiorców w zakresie zapewnienia przez Państwo równych dla wszystkich, bezpiecznych, </w:t>
            </w:r>
            <w:r w:rsidRPr="00945976">
              <w:rPr>
                <w:rFonts w:ascii="Times New Roman" w:hAnsi="Times New Roman"/>
                <w:color w:val="000000" w:themeColor="text1"/>
                <w:spacing w:val="-2"/>
              </w:rPr>
              <w:lastRenderedPageBreak/>
              <w:t>innowacyjnych oraz właściwych/stabilnych warunków prowadzenia działalności gospodarczej wymuszają pod</w:t>
            </w:r>
            <w:r w:rsidR="005743BF" w:rsidRPr="00945976">
              <w:rPr>
                <w:rFonts w:ascii="Times New Roman" w:hAnsi="Times New Roman"/>
                <w:color w:val="000000" w:themeColor="text1"/>
                <w:spacing w:val="-2"/>
              </w:rPr>
              <w:t xml:space="preserve">jęcie działań zmierzających do </w:t>
            </w:r>
            <w:r w:rsidRPr="00945976">
              <w:rPr>
                <w:rFonts w:ascii="Times New Roman" w:hAnsi="Times New Roman"/>
                <w:color w:val="000000" w:themeColor="text1"/>
                <w:spacing w:val="-2"/>
              </w:rPr>
              <w:t>realizacji powyższych oczekiwań i wyzwań.</w:t>
            </w:r>
            <w:r w:rsidR="005743BF" w:rsidRPr="00945976">
              <w:rPr>
                <w:rFonts w:ascii="Times New Roman" w:hAnsi="Times New Roman"/>
                <w:color w:val="000000" w:themeColor="text1"/>
                <w:spacing w:val="-2"/>
              </w:rPr>
              <w:t xml:space="preserve"> W związku z tym p</w:t>
            </w:r>
            <w:r w:rsidR="00695F17">
              <w:rPr>
                <w:rFonts w:ascii="Times New Roman" w:hAnsi="Times New Roman"/>
                <w:color w:val="000000" w:themeColor="text1"/>
                <w:spacing w:val="-2"/>
              </w:rPr>
              <w:t>rzygotowano pakiet rozwiązań do </w:t>
            </w:r>
            <w:r w:rsidR="005743BF" w:rsidRPr="00945976">
              <w:rPr>
                <w:rFonts w:ascii="Times New Roman" w:hAnsi="Times New Roman"/>
                <w:color w:val="000000" w:themeColor="text1"/>
                <w:spacing w:val="-2"/>
              </w:rPr>
              <w:t xml:space="preserve">procedury potwierdzania i rozliczania dokumentów TAX FREE. </w:t>
            </w:r>
          </w:p>
        </w:tc>
      </w:tr>
      <w:tr w:rsidR="006A701A" w:rsidRPr="00945976" w14:paraId="4C96E97A" w14:textId="77777777" w:rsidTr="00695F17">
        <w:trPr>
          <w:gridAfter w:val="1"/>
          <w:wAfter w:w="10" w:type="dxa"/>
          <w:trHeight w:val="142"/>
        </w:trPr>
        <w:tc>
          <w:tcPr>
            <w:tcW w:w="10937" w:type="dxa"/>
            <w:gridSpan w:val="23"/>
            <w:shd w:val="clear" w:color="auto" w:fill="99CCFF"/>
            <w:vAlign w:val="center"/>
          </w:tcPr>
          <w:p w14:paraId="2D1653BB" w14:textId="77777777" w:rsidR="006A701A" w:rsidRPr="00945976" w:rsidRDefault="0013216E" w:rsidP="00B64FB6">
            <w:pPr>
              <w:numPr>
                <w:ilvl w:val="0"/>
                <w:numId w:val="3"/>
              </w:numPr>
              <w:spacing w:after="120" w:line="240" w:lineRule="auto"/>
              <w:ind w:left="318" w:hanging="284"/>
              <w:jc w:val="both"/>
              <w:rPr>
                <w:rFonts w:ascii="Times New Roman" w:hAnsi="Times New Roman"/>
                <w:b/>
                <w:color w:val="000000" w:themeColor="text1"/>
              </w:rPr>
            </w:pPr>
            <w:r w:rsidRPr="00945976">
              <w:rPr>
                <w:rFonts w:ascii="Times New Roman" w:hAnsi="Times New Roman"/>
                <w:b/>
                <w:color w:val="000000" w:themeColor="text1"/>
                <w:spacing w:val="-2"/>
              </w:rPr>
              <w:lastRenderedPageBreak/>
              <w:t>Rekomendowane rozwiązanie, w tym planowane narzędzia interwencji, i oczekiwany efekt</w:t>
            </w:r>
          </w:p>
        </w:tc>
      </w:tr>
      <w:tr w:rsidR="00467ABF" w:rsidRPr="00945976" w14:paraId="61BE32EF" w14:textId="77777777" w:rsidTr="00695F17">
        <w:trPr>
          <w:gridAfter w:val="1"/>
          <w:wAfter w:w="10" w:type="dxa"/>
          <w:trHeight w:val="142"/>
        </w:trPr>
        <w:tc>
          <w:tcPr>
            <w:tcW w:w="10937" w:type="dxa"/>
            <w:gridSpan w:val="23"/>
            <w:shd w:val="clear" w:color="auto" w:fill="auto"/>
          </w:tcPr>
          <w:p w14:paraId="5487BE2B" w14:textId="77777777" w:rsidR="006A701A" w:rsidRPr="00945976" w:rsidRDefault="001F43D8" w:rsidP="004D11FB">
            <w:pPr>
              <w:spacing w:after="120" w:line="240" w:lineRule="auto"/>
              <w:jc w:val="both"/>
              <w:rPr>
                <w:rFonts w:ascii="Times New Roman" w:eastAsia="Cambria" w:hAnsi="Times New Roman"/>
                <w:color w:val="000000" w:themeColor="text1"/>
              </w:rPr>
            </w:pPr>
            <w:r w:rsidRPr="00945976">
              <w:rPr>
                <w:rFonts w:ascii="Times New Roman" w:eastAsia="Cambria" w:hAnsi="Times New Roman"/>
                <w:color w:val="000000" w:themeColor="text1"/>
              </w:rPr>
              <w:t>Opis najważniejszych zmian proponowanych do wprowadzenia w projekcie ustawy</w:t>
            </w:r>
            <w:r w:rsidR="005743BF" w:rsidRPr="00945976">
              <w:rPr>
                <w:rFonts w:ascii="Times New Roman" w:eastAsia="Cambria" w:hAnsi="Times New Roman"/>
                <w:color w:val="000000" w:themeColor="text1"/>
              </w:rPr>
              <w:t>:</w:t>
            </w:r>
          </w:p>
          <w:p w14:paraId="76975115" w14:textId="77777777" w:rsidR="007F01C2" w:rsidRDefault="007F01C2" w:rsidP="004D11FB">
            <w:pPr>
              <w:spacing w:after="120" w:line="240" w:lineRule="auto"/>
              <w:jc w:val="both"/>
              <w:rPr>
                <w:rFonts w:ascii="Times New Roman" w:eastAsia="Cambria" w:hAnsi="Times New Roman"/>
                <w:color w:val="000000" w:themeColor="text1"/>
              </w:rPr>
            </w:pPr>
            <w:r w:rsidRPr="007F01C2">
              <w:rPr>
                <w:rFonts w:ascii="Times New Roman" w:eastAsia="Cambria" w:hAnsi="Times New Roman"/>
                <w:color w:val="000000" w:themeColor="text1"/>
              </w:rPr>
              <w:t>I.</w:t>
            </w:r>
            <w:r>
              <w:rPr>
                <w:rFonts w:ascii="Times New Roman" w:eastAsia="Cambria" w:hAnsi="Times New Roman"/>
                <w:color w:val="000000" w:themeColor="text1"/>
              </w:rPr>
              <w:t xml:space="preserve"> </w:t>
            </w:r>
            <w:r w:rsidRPr="00695F17">
              <w:rPr>
                <w:rFonts w:ascii="Times New Roman" w:eastAsia="Cambria" w:hAnsi="Times New Roman"/>
                <w:color w:val="000000" w:themeColor="text1"/>
              </w:rPr>
              <w:t>Pakiet zmian upraszczających „Slim VAT”</w:t>
            </w:r>
          </w:p>
          <w:p w14:paraId="260E8E30" w14:textId="77777777" w:rsidR="007F01C2" w:rsidRPr="00695F17" w:rsidRDefault="007F01C2" w:rsidP="00695F17">
            <w:pPr>
              <w:pStyle w:val="Akapitzlist"/>
              <w:numPr>
                <w:ilvl w:val="0"/>
                <w:numId w:val="38"/>
              </w:numPr>
              <w:spacing w:after="120" w:line="240" w:lineRule="auto"/>
              <w:contextualSpacing w:val="0"/>
              <w:jc w:val="both"/>
              <w:rPr>
                <w:rFonts w:ascii="Times New Roman" w:eastAsia="Cambria" w:hAnsi="Times New Roman"/>
                <w:color w:val="000000" w:themeColor="text1"/>
              </w:rPr>
            </w:pPr>
            <w:r w:rsidRPr="00695F17">
              <w:rPr>
                <w:rFonts w:ascii="Times New Roman" w:eastAsia="Cambria" w:hAnsi="Times New Roman"/>
                <w:color w:val="000000" w:themeColor="text1"/>
              </w:rPr>
              <w:t>Wydłużenie terminu na wywóz towarów dla zachowania stawki 0% przy opodatkowaniu zaliczek z tytułu eksportu towarów z 2 na 6 m-cy.</w:t>
            </w:r>
          </w:p>
          <w:p w14:paraId="17718F26" w14:textId="77777777" w:rsidR="007F01C2" w:rsidRPr="00695F17" w:rsidRDefault="007F01C2" w:rsidP="00695F17">
            <w:pPr>
              <w:pStyle w:val="Akapitzlist"/>
              <w:numPr>
                <w:ilvl w:val="0"/>
                <w:numId w:val="38"/>
              </w:numPr>
              <w:spacing w:after="120" w:line="240" w:lineRule="auto"/>
              <w:contextualSpacing w:val="0"/>
              <w:jc w:val="both"/>
              <w:rPr>
                <w:rFonts w:ascii="Times New Roman" w:eastAsia="Cambria" w:hAnsi="Times New Roman"/>
                <w:color w:val="000000" w:themeColor="text1"/>
              </w:rPr>
            </w:pPr>
            <w:r w:rsidRPr="00695F17">
              <w:rPr>
                <w:rFonts w:ascii="Times New Roman" w:eastAsia="Cambria" w:hAnsi="Times New Roman"/>
                <w:color w:val="000000" w:themeColor="text1"/>
              </w:rPr>
              <w:t>Wydłużenie terminu do odliczenia VAT naliczonego na bieżąco łącznie do</w:t>
            </w:r>
            <w:r w:rsidR="00695F17">
              <w:rPr>
                <w:rFonts w:ascii="Times New Roman" w:eastAsia="Cambria" w:hAnsi="Times New Roman"/>
                <w:color w:val="000000" w:themeColor="text1"/>
              </w:rPr>
              <w:t xml:space="preserve"> 4 okresów rozliczeniowych, a w </w:t>
            </w:r>
            <w:r w:rsidRPr="00695F17">
              <w:rPr>
                <w:rFonts w:ascii="Times New Roman" w:eastAsia="Cambria" w:hAnsi="Times New Roman"/>
                <w:color w:val="000000" w:themeColor="text1"/>
              </w:rPr>
              <w:t xml:space="preserve">przypadku podatników rozliczających się kwartalnie, odliczanie na dotychczasowych zasadach, tj. do 3 okresów rozliczeniowych. </w:t>
            </w:r>
          </w:p>
          <w:p w14:paraId="7A8D51C2" w14:textId="77777777" w:rsidR="007F01C2" w:rsidRPr="00695F17" w:rsidRDefault="007F01C2" w:rsidP="00695F17">
            <w:pPr>
              <w:pStyle w:val="Akapitzlist"/>
              <w:numPr>
                <w:ilvl w:val="0"/>
                <w:numId w:val="38"/>
              </w:numPr>
              <w:spacing w:after="120" w:line="240" w:lineRule="auto"/>
              <w:contextualSpacing w:val="0"/>
              <w:jc w:val="both"/>
              <w:rPr>
                <w:rFonts w:ascii="Times New Roman" w:eastAsia="Cambria" w:hAnsi="Times New Roman"/>
                <w:color w:val="000000" w:themeColor="text1"/>
              </w:rPr>
            </w:pPr>
            <w:r w:rsidRPr="00695F17">
              <w:rPr>
                <w:rFonts w:ascii="Times New Roman" w:eastAsia="Cambria" w:hAnsi="Times New Roman"/>
                <w:color w:val="000000" w:themeColor="text1"/>
              </w:rPr>
              <w:t xml:space="preserve">Spójne kursy walut - dodanie opcjonalnego dla podatników rozwiązania o możliwości stosowania do określenia podstawy opodatkowania wyrażonej w walucie obcej przeliczania na złote zgodnie z zasadami przeliczania przychodu wynikającymi z przepisów o podatku dochodowym, obowiązującymi tego podatnika na potrzeby rozliczania dla danej transakcji (po wyborze opcji podatnik jest obowiązany do jej stosowania przez co najmniej 12 kolejnych miesięcy licząc od początku miesiąca, w którym ją wybrał). </w:t>
            </w:r>
          </w:p>
          <w:p w14:paraId="1A867F15" w14:textId="77777777" w:rsidR="007F01C2" w:rsidRPr="00695F17" w:rsidRDefault="007F01C2" w:rsidP="00695F17">
            <w:pPr>
              <w:pStyle w:val="Akapitzlist"/>
              <w:numPr>
                <w:ilvl w:val="0"/>
                <w:numId w:val="38"/>
              </w:numPr>
              <w:spacing w:after="120" w:line="240" w:lineRule="auto"/>
              <w:contextualSpacing w:val="0"/>
              <w:jc w:val="both"/>
              <w:rPr>
                <w:rFonts w:ascii="Times New Roman" w:eastAsia="Cambria" w:hAnsi="Times New Roman"/>
                <w:color w:val="000000" w:themeColor="text1"/>
              </w:rPr>
            </w:pPr>
            <w:r w:rsidRPr="00695F17">
              <w:rPr>
                <w:rFonts w:ascii="Times New Roman" w:eastAsia="Cambria" w:hAnsi="Times New Roman"/>
                <w:color w:val="000000" w:themeColor="text1"/>
              </w:rPr>
              <w:t xml:space="preserve">Wprowadzenie możliwości odliczania podatku naliczonego wynikającego z faktur dokumentujących nabycie usług noclegowych w celu ich odsprzedaży. </w:t>
            </w:r>
          </w:p>
          <w:p w14:paraId="34C608FE" w14:textId="77777777" w:rsidR="007F01C2" w:rsidRPr="00695F17" w:rsidRDefault="007F01C2" w:rsidP="00695F17">
            <w:pPr>
              <w:pStyle w:val="Akapitzlist"/>
              <w:numPr>
                <w:ilvl w:val="0"/>
                <w:numId w:val="38"/>
              </w:numPr>
              <w:spacing w:after="120" w:line="240" w:lineRule="auto"/>
              <w:contextualSpacing w:val="0"/>
              <w:jc w:val="both"/>
              <w:rPr>
                <w:rFonts w:ascii="Times New Roman" w:eastAsia="Cambria" w:hAnsi="Times New Roman"/>
                <w:color w:val="000000" w:themeColor="text1"/>
              </w:rPr>
            </w:pPr>
            <w:r w:rsidRPr="00695F17">
              <w:rPr>
                <w:rFonts w:ascii="Times New Roman" w:eastAsia="Cambria" w:hAnsi="Times New Roman"/>
                <w:color w:val="000000" w:themeColor="text1"/>
              </w:rPr>
              <w:t>Podwyższenie limitu na nieewidencjonowane prezenty małej wartości z 10 zł do 20 zł.</w:t>
            </w:r>
          </w:p>
          <w:p w14:paraId="2C53D33D" w14:textId="77777777" w:rsidR="00B84F30" w:rsidRPr="00B84F30" w:rsidRDefault="007F01C2" w:rsidP="00695F17">
            <w:pPr>
              <w:pStyle w:val="Akapitzlist"/>
              <w:numPr>
                <w:ilvl w:val="0"/>
                <w:numId w:val="38"/>
              </w:numPr>
              <w:spacing w:after="120" w:line="240" w:lineRule="auto"/>
              <w:contextualSpacing w:val="0"/>
            </w:pPr>
            <w:r w:rsidRPr="00695F17">
              <w:rPr>
                <w:rFonts w:ascii="Times New Roman" w:eastAsia="Cambria" w:hAnsi="Times New Roman"/>
                <w:color w:val="000000" w:themeColor="text1"/>
              </w:rPr>
              <w:t>Brak konieczności uzyskiwania potwierdzeń odbioru faktur korygujących in minus.</w:t>
            </w:r>
          </w:p>
          <w:p w14:paraId="26DB9245" w14:textId="77777777" w:rsidR="007F01C2" w:rsidRPr="00695F17" w:rsidRDefault="007F01C2" w:rsidP="00695F17">
            <w:pPr>
              <w:pStyle w:val="Akapitzlist"/>
              <w:numPr>
                <w:ilvl w:val="0"/>
                <w:numId w:val="38"/>
              </w:numPr>
              <w:spacing w:after="120" w:line="240" w:lineRule="auto"/>
              <w:contextualSpacing w:val="0"/>
              <w:jc w:val="both"/>
              <w:rPr>
                <w:rFonts w:ascii="Times New Roman" w:eastAsia="Cambria" w:hAnsi="Times New Roman"/>
                <w:color w:val="000000" w:themeColor="text1"/>
              </w:rPr>
            </w:pPr>
            <w:r w:rsidRPr="00695F17">
              <w:rPr>
                <w:rFonts w:ascii="Times New Roman" w:eastAsia="Cambria" w:hAnsi="Times New Roman"/>
                <w:color w:val="000000" w:themeColor="text1"/>
              </w:rPr>
              <w:t xml:space="preserve">Wprowadzenie do ustawy przepisu dotyczącego rozliczania faktur korygujących zwiększających cenę. Rozwiązanie potwierdza dotychczasową praktykę, zgodnie z którą w przypadku, gdy podstawa opodatkowania ulega zwiększeniu, korekty tej podstawy dokonuje się w rozliczeniu za okres, w którym zaistniała przyczyna zwiększenia podstawy opodatkowania. </w:t>
            </w:r>
          </w:p>
          <w:p w14:paraId="50872301" w14:textId="77777777" w:rsidR="005743BF" w:rsidRPr="00E50883" w:rsidRDefault="007F01C2" w:rsidP="004D11FB">
            <w:pPr>
              <w:spacing w:after="120" w:line="240" w:lineRule="auto"/>
              <w:jc w:val="both"/>
              <w:rPr>
                <w:rFonts w:ascii="Times New Roman" w:eastAsia="Cambria" w:hAnsi="Times New Roman"/>
                <w:color w:val="000000" w:themeColor="text1"/>
              </w:rPr>
            </w:pPr>
            <w:r>
              <w:rPr>
                <w:rFonts w:ascii="Times New Roman" w:eastAsia="Cambria" w:hAnsi="Times New Roman"/>
                <w:color w:val="000000" w:themeColor="text1"/>
              </w:rPr>
              <w:t>II.</w:t>
            </w:r>
            <w:r w:rsidR="00E50883">
              <w:rPr>
                <w:rFonts w:ascii="Times New Roman" w:eastAsia="Cambria" w:hAnsi="Times New Roman"/>
                <w:color w:val="000000" w:themeColor="text1"/>
              </w:rPr>
              <w:t xml:space="preserve"> </w:t>
            </w:r>
            <w:r w:rsidR="005743BF" w:rsidRPr="00E50883">
              <w:rPr>
                <w:rFonts w:ascii="Times New Roman" w:eastAsia="Cambria" w:hAnsi="Times New Roman"/>
                <w:color w:val="000000" w:themeColor="text1"/>
              </w:rPr>
              <w:t>Pakiet zmian o charakterze doprecyzowującym i upraszczającym:</w:t>
            </w:r>
          </w:p>
          <w:p w14:paraId="6B56B135" w14:textId="77777777" w:rsidR="00B410B6" w:rsidRPr="00695F17" w:rsidRDefault="00B410B6" w:rsidP="004D11FB">
            <w:pPr>
              <w:pStyle w:val="Akapitzlist"/>
              <w:numPr>
                <w:ilvl w:val="0"/>
                <w:numId w:val="23"/>
              </w:numPr>
              <w:spacing w:after="120" w:line="240" w:lineRule="auto"/>
              <w:contextualSpacing w:val="0"/>
              <w:jc w:val="both"/>
              <w:rPr>
                <w:rFonts w:ascii="Times New Roman" w:hAnsi="Times New Roman"/>
                <w:color w:val="000000" w:themeColor="text1"/>
                <w:spacing w:val="-2"/>
              </w:rPr>
            </w:pPr>
            <w:r w:rsidRPr="00695F17">
              <w:rPr>
                <w:rFonts w:ascii="Times New Roman" w:hAnsi="Times New Roman"/>
                <w:color w:val="000000" w:themeColor="text1"/>
                <w:spacing w:val="-2"/>
              </w:rPr>
              <w:t>Zmiany w zakresie wiążącej informacji stawkowej (WIS) wprowadzonej ustawą z dnia 9 sierpnia 2019 r. o zmianie ustawy o podatku od towarów i usług oraz niektórych innych ustaw (Dz. U. poz. 1751</w:t>
            </w:r>
            <w:r w:rsidR="00B013D5" w:rsidRPr="00695F17">
              <w:rPr>
                <w:rFonts w:ascii="Times New Roman" w:hAnsi="Times New Roman"/>
                <w:color w:val="000000" w:themeColor="text1"/>
                <w:spacing w:val="-2"/>
              </w:rPr>
              <w:t>, z późn. zm.</w:t>
            </w:r>
            <w:r w:rsidRPr="00695F17">
              <w:rPr>
                <w:rFonts w:ascii="Times New Roman" w:hAnsi="Times New Roman"/>
                <w:color w:val="000000" w:themeColor="text1"/>
                <w:spacing w:val="-2"/>
              </w:rPr>
              <w:t>) – dalej: „ustawa z dnia 9 sierpnia 2019 r.”, mające na celu dopracowanie i uzupełnienie systemu WIS jako całości, tj. wprowadzenie 3-letniego okresu ważności WIS (art. 42ha), wprowadzenie ograniczenia ochrony, jaką zapewnia WIS podatnikowi w przypadku, gdy WIS zostanie wykorzystana w transakcjach stanowiących nadużycie prawa (art. 42ca), umożliwienie otrzymywania przez podatników WIS dla towarów klasyfikowanych w ustawie o VAT według Polskiej Klasyfikacji Wyrobów i Usług (PKWiU) – np. dla towarów objętych mechanizmem podzielonej płatności – czego nie przewidują obecne przepisy w tym zakresie (art. 42a pkt 2), wprowadzenie zasady niewydania WIS, gdy zakres przedmiotowy wniosku o jej wydanie pokrywa się z przedmiotem toczącego się postępowania lub sprawa została rozstrzygnięta w decyzji lub postanowieniu organu podatkowego (art. 42b ust. 3a i 3b).</w:t>
            </w:r>
          </w:p>
          <w:p w14:paraId="77D921E8" w14:textId="673FD7BA" w:rsidR="00313F38" w:rsidRPr="00467ABF" w:rsidRDefault="00811B3D" w:rsidP="004D11FB">
            <w:pPr>
              <w:pStyle w:val="Akapitzlist"/>
              <w:numPr>
                <w:ilvl w:val="0"/>
                <w:numId w:val="23"/>
              </w:numPr>
              <w:spacing w:after="120" w:line="240" w:lineRule="auto"/>
              <w:contextualSpacing w:val="0"/>
              <w:jc w:val="both"/>
              <w:rPr>
                <w:rFonts w:ascii="Times New Roman" w:hAnsi="Times New Roman"/>
                <w:color w:val="000000" w:themeColor="text1"/>
                <w:spacing w:val="-2"/>
              </w:rPr>
            </w:pPr>
            <w:r w:rsidRPr="0099186B">
              <w:rPr>
                <w:rFonts w:ascii="Times New Roman" w:hAnsi="Times New Roman"/>
                <w:color w:val="000000" w:themeColor="text1"/>
                <w:spacing w:val="-2"/>
              </w:rPr>
              <w:t>Zmiany w zakresie stawek podatku VAT</w:t>
            </w:r>
            <w:r w:rsidR="00ED7C7E">
              <w:rPr>
                <w:rFonts w:ascii="Times New Roman" w:hAnsi="Times New Roman"/>
                <w:color w:val="000000" w:themeColor="text1"/>
                <w:spacing w:val="-2"/>
              </w:rPr>
              <w:t xml:space="preserve"> </w:t>
            </w:r>
            <w:r w:rsidR="00313F38" w:rsidRPr="00467ABF">
              <w:rPr>
                <w:rFonts w:ascii="Times New Roman" w:hAnsi="Times New Roman"/>
                <w:color w:val="000000" w:themeColor="text1"/>
                <w:spacing w:val="-2"/>
              </w:rPr>
              <w:t>mają wyłącznie charakter redakcyjny i doprecyzowujący – np. tytuły kolumn w załącznikach nr 3 i nr 10 do ustawy.</w:t>
            </w:r>
          </w:p>
          <w:p w14:paraId="5FF6B199" w14:textId="77777777" w:rsidR="00CC3014" w:rsidRPr="00945976" w:rsidRDefault="00CC3014" w:rsidP="004D11FB">
            <w:pPr>
              <w:pStyle w:val="Akapitzlist"/>
              <w:numPr>
                <w:ilvl w:val="0"/>
                <w:numId w:val="23"/>
              </w:numPr>
              <w:spacing w:after="120" w:line="240" w:lineRule="auto"/>
              <w:contextualSpacing w:val="0"/>
              <w:jc w:val="both"/>
              <w:rPr>
                <w:rFonts w:ascii="Times New Roman" w:hAnsi="Times New Roman"/>
                <w:color w:val="000000" w:themeColor="text1"/>
                <w:spacing w:val="-2"/>
              </w:rPr>
            </w:pPr>
            <w:r w:rsidRPr="00945976">
              <w:rPr>
                <w:rFonts w:ascii="Times New Roman" w:hAnsi="Times New Roman"/>
                <w:color w:val="000000" w:themeColor="text1"/>
                <w:spacing w:val="-2"/>
              </w:rPr>
              <w:t>Zmiany o charakterze dostosowującym przepisy ustawy o VAT do przepisó</w:t>
            </w:r>
            <w:r w:rsidR="001F43D8" w:rsidRPr="00945976">
              <w:rPr>
                <w:rFonts w:ascii="Times New Roman" w:hAnsi="Times New Roman"/>
                <w:color w:val="000000" w:themeColor="text1"/>
                <w:spacing w:val="-2"/>
              </w:rPr>
              <w:t>w wprowadzonych ustawą z dnia 9 </w:t>
            </w:r>
            <w:r w:rsidRPr="00945976">
              <w:rPr>
                <w:rFonts w:ascii="Times New Roman" w:hAnsi="Times New Roman"/>
                <w:color w:val="000000" w:themeColor="text1"/>
                <w:spacing w:val="-2"/>
              </w:rPr>
              <w:t xml:space="preserve">sierpnia 2019 r. </w:t>
            </w:r>
            <w:r w:rsidR="003A657B" w:rsidRPr="00945976">
              <w:rPr>
                <w:rFonts w:ascii="Times New Roman" w:hAnsi="Times New Roman"/>
                <w:color w:val="000000" w:themeColor="text1"/>
                <w:spacing w:val="-2"/>
              </w:rPr>
              <w:t xml:space="preserve">– w zakresie definicji rolnika ryczałtowego (art. 2 pkt 19), definicji </w:t>
            </w:r>
            <w:r w:rsidR="001F43D8" w:rsidRPr="00945976">
              <w:rPr>
                <w:rFonts w:ascii="Times New Roman" w:hAnsi="Times New Roman"/>
                <w:color w:val="000000" w:themeColor="text1"/>
                <w:spacing w:val="-2"/>
              </w:rPr>
              <w:t>czasopism regionalnych i </w:t>
            </w:r>
            <w:r w:rsidR="003A657B" w:rsidRPr="00945976">
              <w:rPr>
                <w:rFonts w:ascii="Times New Roman" w:hAnsi="Times New Roman"/>
                <w:color w:val="000000" w:themeColor="text1"/>
                <w:spacing w:val="-2"/>
              </w:rPr>
              <w:t>lokalnych (art. 2 pkt 27g), tytułu zwolnieniowego dla dostawy produktów rolnych oraz świadczenia usług rolniczych przez rolnika ryczałtowego (art. 43 ust. 1 pkt 3).</w:t>
            </w:r>
            <w:r w:rsidR="005743BF" w:rsidRPr="00945976">
              <w:rPr>
                <w:rFonts w:ascii="Times New Roman" w:hAnsi="Times New Roman"/>
                <w:color w:val="000000" w:themeColor="text1"/>
                <w:spacing w:val="-2"/>
              </w:rPr>
              <w:t xml:space="preserve"> </w:t>
            </w:r>
          </w:p>
          <w:p w14:paraId="16081F37" w14:textId="77777777" w:rsidR="00A64DF0" w:rsidRPr="00945976" w:rsidRDefault="00D234E8" w:rsidP="004D11FB">
            <w:pPr>
              <w:pStyle w:val="Akapitzlist"/>
              <w:numPr>
                <w:ilvl w:val="0"/>
                <w:numId w:val="23"/>
              </w:numPr>
              <w:spacing w:after="120" w:line="240" w:lineRule="auto"/>
              <w:contextualSpacing w:val="0"/>
              <w:jc w:val="both"/>
              <w:rPr>
                <w:rFonts w:ascii="Times New Roman" w:hAnsi="Times New Roman"/>
                <w:color w:val="000000" w:themeColor="text1"/>
                <w:spacing w:val="-2"/>
              </w:rPr>
            </w:pPr>
            <w:r w:rsidRPr="00945976">
              <w:rPr>
                <w:rFonts w:ascii="Times New Roman" w:hAnsi="Times New Roman"/>
                <w:color w:val="000000" w:themeColor="text1"/>
                <w:spacing w:val="-2"/>
              </w:rPr>
              <w:t>D</w:t>
            </w:r>
            <w:r w:rsidR="00EA7AA0" w:rsidRPr="00945976">
              <w:rPr>
                <w:rFonts w:ascii="Times New Roman" w:hAnsi="Times New Roman"/>
                <w:color w:val="000000" w:themeColor="text1"/>
                <w:spacing w:val="-2"/>
              </w:rPr>
              <w:t xml:space="preserve">odanie art. 109 ust. 3l spowoduje, że poprzez wskazanie, że do </w:t>
            </w:r>
            <w:r w:rsidR="00AF1B76" w:rsidRPr="00945976">
              <w:rPr>
                <w:rFonts w:ascii="Times New Roman" w:hAnsi="Times New Roman"/>
                <w:color w:val="000000" w:themeColor="text1"/>
                <w:spacing w:val="-2"/>
              </w:rPr>
              <w:t>kar pieniężnych przewidzianych w ustawie o VAT stosuje się</w:t>
            </w:r>
            <w:r w:rsidR="00EA7AA0" w:rsidRPr="00945976">
              <w:rPr>
                <w:rFonts w:ascii="Times New Roman" w:hAnsi="Times New Roman"/>
                <w:color w:val="000000" w:themeColor="text1"/>
                <w:spacing w:val="-2"/>
              </w:rPr>
              <w:t xml:space="preserve"> przepis</w:t>
            </w:r>
            <w:r w:rsidR="00AF1B76" w:rsidRPr="00945976">
              <w:rPr>
                <w:rFonts w:ascii="Times New Roman" w:hAnsi="Times New Roman"/>
                <w:color w:val="000000" w:themeColor="text1"/>
                <w:spacing w:val="-2"/>
              </w:rPr>
              <w:t>y</w:t>
            </w:r>
            <w:r w:rsidR="00EA7AA0" w:rsidRPr="00945976">
              <w:rPr>
                <w:rFonts w:ascii="Times New Roman" w:hAnsi="Times New Roman"/>
                <w:color w:val="000000" w:themeColor="text1"/>
                <w:spacing w:val="-2"/>
              </w:rPr>
              <w:t xml:space="preserve"> Ordynacji podatkowej</w:t>
            </w:r>
            <w:r w:rsidR="006A1688" w:rsidRPr="00945976">
              <w:rPr>
                <w:rFonts w:ascii="Times New Roman" w:hAnsi="Times New Roman"/>
                <w:color w:val="000000" w:themeColor="text1"/>
                <w:spacing w:val="-2"/>
              </w:rPr>
              <w:t>.</w:t>
            </w:r>
            <w:r w:rsidR="00EA7AA0" w:rsidRPr="00945976">
              <w:rPr>
                <w:rFonts w:ascii="Times New Roman" w:hAnsi="Times New Roman"/>
                <w:color w:val="000000" w:themeColor="text1"/>
                <w:spacing w:val="-2"/>
              </w:rPr>
              <w:t xml:space="preserve"> </w:t>
            </w:r>
            <w:r w:rsidR="006A1688" w:rsidRPr="00945976">
              <w:rPr>
                <w:rFonts w:ascii="Times New Roman" w:hAnsi="Times New Roman"/>
                <w:color w:val="000000" w:themeColor="text1"/>
                <w:spacing w:val="-2"/>
              </w:rPr>
              <w:t>W</w:t>
            </w:r>
            <w:r w:rsidR="00EA7AA0" w:rsidRPr="00945976">
              <w:rPr>
                <w:rFonts w:ascii="Times New Roman" w:hAnsi="Times New Roman"/>
                <w:color w:val="000000" w:themeColor="text1"/>
                <w:spacing w:val="-2"/>
              </w:rPr>
              <w:t>yelimin</w:t>
            </w:r>
            <w:r w:rsidR="00AF1B76" w:rsidRPr="00945976">
              <w:rPr>
                <w:rFonts w:ascii="Times New Roman" w:hAnsi="Times New Roman"/>
                <w:color w:val="000000" w:themeColor="text1"/>
                <w:spacing w:val="-2"/>
              </w:rPr>
              <w:t>owane zostaną sytuacje</w:t>
            </w:r>
            <w:r w:rsidR="00EA7AA0" w:rsidRPr="00945976">
              <w:rPr>
                <w:rFonts w:ascii="Times New Roman" w:hAnsi="Times New Roman"/>
                <w:color w:val="000000" w:themeColor="text1"/>
                <w:spacing w:val="-2"/>
              </w:rPr>
              <w:t xml:space="preserve"> pozostawania przez organy równol</w:t>
            </w:r>
            <w:r w:rsidR="00AF1B76" w:rsidRPr="00945976">
              <w:rPr>
                <w:rFonts w:ascii="Times New Roman" w:hAnsi="Times New Roman"/>
                <w:color w:val="000000" w:themeColor="text1"/>
                <w:spacing w:val="-2"/>
              </w:rPr>
              <w:t>egłe w dwóch procedurach – jednej regulowanej</w:t>
            </w:r>
            <w:r w:rsidR="00EA7AA0" w:rsidRPr="00945976">
              <w:rPr>
                <w:rFonts w:ascii="Times New Roman" w:hAnsi="Times New Roman"/>
                <w:color w:val="000000" w:themeColor="text1"/>
                <w:spacing w:val="-2"/>
              </w:rPr>
              <w:t xml:space="preserve"> </w:t>
            </w:r>
            <w:r w:rsidR="00AF1B76" w:rsidRPr="00945976">
              <w:rPr>
                <w:rFonts w:ascii="Times New Roman" w:hAnsi="Times New Roman"/>
                <w:color w:val="000000" w:themeColor="text1"/>
                <w:spacing w:val="-2"/>
              </w:rPr>
              <w:t>Ordynacją podatkową</w:t>
            </w:r>
            <w:r w:rsidR="00EA7AA0" w:rsidRPr="00945976">
              <w:rPr>
                <w:rFonts w:ascii="Times New Roman" w:hAnsi="Times New Roman"/>
                <w:color w:val="000000" w:themeColor="text1"/>
                <w:spacing w:val="-2"/>
              </w:rPr>
              <w:t xml:space="preserve"> (najczęściej czynności sprawdzające, w których zidentyfikowano błąd) i drugą</w:t>
            </w:r>
            <w:r w:rsidR="00AF1B76" w:rsidRPr="00945976">
              <w:rPr>
                <w:rFonts w:ascii="Times New Roman" w:hAnsi="Times New Roman"/>
                <w:color w:val="000000" w:themeColor="text1"/>
                <w:spacing w:val="-2"/>
              </w:rPr>
              <w:t xml:space="preserve"> </w:t>
            </w:r>
            <w:r w:rsidR="00EA7AA0" w:rsidRPr="00945976">
              <w:rPr>
                <w:rFonts w:ascii="Times New Roman" w:hAnsi="Times New Roman"/>
                <w:color w:val="000000" w:themeColor="text1"/>
                <w:spacing w:val="-2"/>
              </w:rPr>
              <w:t>regulowaną k.p.a. (wezwanie do usunięcia błęd</w:t>
            </w:r>
            <w:r w:rsidR="006A1688" w:rsidRPr="00945976">
              <w:rPr>
                <w:rFonts w:ascii="Times New Roman" w:hAnsi="Times New Roman"/>
                <w:color w:val="000000" w:themeColor="text1"/>
                <w:spacing w:val="-2"/>
              </w:rPr>
              <w:t>u</w:t>
            </w:r>
            <w:r w:rsidR="00EA7AA0" w:rsidRPr="00945976">
              <w:rPr>
                <w:rFonts w:ascii="Times New Roman" w:hAnsi="Times New Roman"/>
                <w:color w:val="000000" w:themeColor="text1"/>
                <w:spacing w:val="-2"/>
              </w:rPr>
              <w:t xml:space="preserve"> i decyzja o nałożeniu kary).</w:t>
            </w:r>
          </w:p>
          <w:p w14:paraId="50A23248" w14:textId="77777777" w:rsidR="003A657B" w:rsidRPr="00945976" w:rsidRDefault="00EB77D3" w:rsidP="004D11FB">
            <w:pPr>
              <w:pStyle w:val="Akapitzlist"/>
              <w:numPr>
                <w:ilvl w:val="0"/>
                <w:numId w:val="23"/>
              </w:numPr>
              <w:spacing w:after="120" w:line="240" w:lineRule="auto"/>
              <w:contextualSpacing w:val="0"/>
              <w:jc w:val="both"/>
              <w:rPr>
                <w:rFonts w:ascii="Times New Roman" w:eastAsia="Cambria" w:hAnsi="Times New Roman"/>
                <w:color w:val="000000" w:themeColor="text1"/>
              </w:rPr>
            </w:pPr>
            <w:r w:rsidRPr="00945976">
              <w:rPr>
                <w:rFonts w:ascii="Times New Roman" w:eastAsia="Cambria" w:hAnsi="Times New Roman"/>
                <w:color w:val="000000" w:themeColor="text1"/>
              </w:rPr>
              <w:t xml:space="preserve">Zmiany </w:t>
            </w:r>
            <w:r w:rsidR="001F43D8" w:rsidRPr="00945976">
              <w:rPr>
                <w:rFonts w:ascii="Times New Roman" w:eastAsia="Cambria" w:hAnsi="Times New Roman"/>
                <w:color w:val="000000" w:themeColor="text1"/>
              </w:rPr>
              <w:t xml:space="preserve">załącznika nr 15 i w </w:t>
            </w:r>
            <w:r w:rsidRPr="00945976">
              <w:rPr>
                <w:rFonts w:ascii="Times New Roman" w:eastAsia="Cambria" w:hAnsi="Times New Roman"/>
                <w:color w:val="000000" w:themeColor="text1"/>
              </w:rPr>
              <w:t xml:space="preserve">art. 113 ust. 13 pkt 1 lit. f i g ustawy o </w:t>
            </w:r>
            <w:r w:rsidR="005C320D" w:rsidRPr="00945976">
              <w:rPr>
                <w:rFonts w:ascii="Times New Roman" w:eastAsia="Cambria" w:hAnsi="Times New Roman"/>
                <w:color w:val="000000" w:themeColor="text1"/>
              </w:rPr>
              <w:t>VAT</w:t>
            </w:r>
            <w:r w:rsidR="001F43D8" w:rsidRPr="00945976">
              <w:rPr>
                <w:rFonts w:ascii="Times New Roman" w:eastAsia="Cambria" w:hAnsi="Times New Roman"/>
                <w:color w:val="000000" w:themeColor="text1"/>
              </w:rPr>
              <w:t xml:space="preserve"> </w:t>
            </w:r>
            <w:r w:rsidRPr="00945976">
              <w:rPr>
                <w:rFonts w:ascii="Times New Roman" w:eastAsia="Cambria" w:hAnsi="Times New Roman"/>
                <w:color w:val="000000" w:themeColor="text1"/>
              </w:rPr>
              <w:t>– doprecyzowano w związku przełożeniem objętych tą regulacją grupowań towarów w Polskiej Klasyfikacji Wyrobów i Usług (dalej: PKWiU) 2008</w:t>
            </w:r>
            <w:r w:rsidRPr="00945976">
              <w:rPr>
                <w:rFonts w:ascii="Times New Roman" w:eastAsia="Cambria" w:hAnsi="Times New Roman"/>
                <w:color w:val="000000" w:themeColor="text1"/>
                <w:lang w:eastAsia="pl-PL"/>
              </w:rPr>
              <w:t xml:space="preserve"> </w:t>
            </w:r>
            <w:r w:rsidR="00945976">
              <w:rPr>
                <w:rFonts w:ascii="Times New Roman" w:eastAsia="Cambria" w:hAnsi="Times New Roman"/>
                <w:color w:val="000000" w:themeColor="text1"/>
              </w:rPr>
              <w:t>na </w:t>
            </w:r>
            <w:r w:rsidRPr="00945976">
              <w:rPr>
                <w:rFonts w:ascii="Times New Roman" w:eastAsia="Cambria" w:hAnsi="Times New Roman"/>
                <w:color w:val="000000" w:themeColor="text1"/>
              </w:rPr>
              <w:t xml:space="preserve">PKWiU 2015 r. </w:t>
            </w:r>
            <w:r w:rsidR="001F43D8" w:rsidRPr="00945976">
              <w:rPr>
                <w:rFonts w:ascii="Times New Roman" w:eastAsia="Cambria" w:hAnsi="Times New Roman"/>
                <w:color w:val="000000" w:themeColor="text1"/>
              </w:rPr>
              <w:t>Dodatkowo, w</w:t>
            </w:r>
            <w:r w:rsidRPr="00945976">
              <w:rPr>
                <w:rFonts w:ascii="Times New Roman" w:eastAsia="Cambria" w:hAnsi="Times New Roman"/>
                <w:color w:val="000000" w:themeColor="text1"/>
              </w:rPr>
              <w:t xml:space="preserve"> projekcie doprecyzowano brzmienie art. 113 ust. 13 pkt 1 lit. g ustawy o VAT. Zgodnie z projektem ze zwolnienia podmiotowego w VAT wyłączone są zarówno części</w:t>
            </w:r>
            <w:r w:rsidR="00F66FF7" w:rsidRPr="00945976">
              <w:rPr>
                <w:rFonts w:ascii="Times New Roman" w:eastAsia="Cambria" w:hAnsi="Times New Roman"/>
                <w:color w:val="000000" w:themeColor="text1"/>
              </w:rPr>
              <w:t xml:space="preserve"> </w:t>
            </w:r>
            <w:r w:rsidRPr="00945976">
              <w:rPr>
                <w:rFonts w:ascii="Times New Roman" w:eastAsia="Cambria" w:hAnsi="Times New Roman"/>
                <w:color w:val="000000" w:themeColor="text1"/>
              </w:rPr>
              <w:t>i akcesoria do pojazdów samochodowych i motocykli.</w:t>
            </w:r>
          </w:p>
          <w:p w14:paraId="796FE1EC" w14:textId="77777777" w:rsidR="005743BF" w:rsidRPr="00E50883" w:rsidRDefault="00E50883" w:rsidP="004D11FB">
            <w:pPr>
              <w:spacing w:after="120" w:line="240" w:lineRule="auto"/>
              <w:jc w:val="both"/>
              <w:rPr>
                <w:rFonts w:ascii="Times New Roman" w:eastAsia="Cambria" w:hAnsi="Times New Roman"/>
                <w:color w:val="000000" w:themeColor="text1"/>
              </w:rPr>
            </w:pPr>
            <w:r>
              <w:rPr>
                <w:rFonts w:ascii="Times New Roman" w:eastAsia="Cambria" w:hAnsi="Times New Roman"/>
                <w:color w:val="000000" w:themeColor="text1"/>
              </w:rPr>
              <w:t>II</w:t>
            </w:r>
            <w:r w:rsidR="00B84F30">
              <w:rPr>
                <w:rFonts w:ascii="Times New Roman" w:eastAsia="Cambria" w:hAnsi="Times New Roman"/>
                <w:color w:val="000000" w:themeColor="text1"/>
              </w:rPr>
              <w:t>I</w:t>
            </w:r>
            <w:r>
              <w:rPr>
                <w:rFonts w:ascii="Times New Roman" w:eastAsia="Cambria" w:hAnsi="Times New Roman"/>
                <w:color w:val="000000" w:themeColor="text1"/>
              </w:rPr>
              <w:t xml:space="preserve">. </w:t>
            </w:r>
            <w:r w:rsidR="005743BF" w:rsidRPr="00E50883">
              <w:rPr>
                <w:rFonts w:ascii="Times New Roman" w:eastAsia="Cambria" w:hAnsi="Times New Roman"/>
                <w:color w:val="000000" w:themeColor="text1"/>
              </w:rPr>
              <w:t>Zmian</w:t>
            </w:r>
            <w:r w:rsidR="001F43D8" w:rsidRPr="00E50883">
              <w:rPr>
                <w:rFonts w:ascii="Times New Roman" w:eastAsia="Cambria" w:hAnsi="Times New Roman"/>
                <w:color w:val="000000" w:themeColor="text1"/>
              </w:rPr>
              <w:t>a</w:t>
            </w:r>
            <w:r w:rsidR="005743BF" w:rsidRPr="00E50883">
              <w:rPr>
                <w:rFonts w:ascii="Times New Roman" w:eastAsia="Cambria" w:hAnsi="Times New Roman"/>
                <w:color w:val="000000" w:themeColor="text1"/>
              </w:rPr>
              <w:t xml:space="preserve"> w zakresie Tax Free</w:t>
            </w:r>
            <w:r w:rsidR="001F43D8" w:rsidRPr="00E50883">
              <w:rPr>
                <w:rFonts w:ascii="Times New Roman" w:eastAsia="Cambria" w:hAnsi="Times New Roman"/>
                <w:color w:val="000000" w:themeColor="text1"/>
              </w:rPr>
              <w:t xml:space="preserve"> </w:t>
            </w:r>
            <w:r w:rsidR="00793119" w:rsidRPr="00E50883">
              <w:rPr>
                <w:rFonts w:ascii="Times New Roman" w:eastAsia="Cambria" w:hAnsi="Times New Roman"/>
                <w:color w:val="000000" w:themeColor="text1"/>
              </w:rPr>
              <w:t>–</w:t>
            </w:r>
            <w:r w:rsidR="001F43D8" w:rsidRPr="00E50883">
              <w:rPr>
                <w:rFonts w:ascii="Times New Roman" w:eastAsia="Cambria" w:hAnsi="Times New Roman"/>
                <w:color w:val="000000" w:themeColor="text1"/>
              </w:rPr>
              <w:t xml:space="preserve"> </w:t>
            </w:r>
            <w:r w:rsidR="001F43D8" w:rsidRPr="00E50883">
              <w:rPr>
                <w:rFonts w:ascii="Times New Roman" w:hAnsi="Times New Roman"/>
                <w:color w:val="000000" w:themeColor="text1"/>
                <w:spacing w:val="-2"/>
              </w:rPr>
              <w:t>wprowadzenie elektronicznego obiegu dokumentów TAX FREE</w:t>
            </w:r>
          </w:p>
          <w:p w14:paraId="543B1EE8" w14:textId="77777777" w:rsidR="005743BF" w:rsidRPr="00945976" w:rsidRDefault="005743BF" w:rsidP="004D11FB">
            <w:pPr>
              <w:spacing w:after="120" w:line="240" w:lineRule="auto"/>
              <w:jc w:val="both"/>
              <w:rPr>
                <w:rFonts w:ascii="Times New Roman" w:hAnsi="Times New Roman"/>
                <w:color w:val="000000" w:themeColor="text1"/>
              </w:rPr>
            </w:pPr>
            <w:r w:rsidRPr="00945976">
              <w:rPr>
                <w:rFonts w:ascii="Times New Roman" w:hAnsi="Times New Roman"/>
                <w:color w:val="000000" w:themeColor="text1"/>
                <w:spacing w:val="-2"/>
              </w:rPr>
              <w:t xml:space="preserve">Proponuje się, aby obecnie obowiązująca procedura wystawiania, potwierdzania i rozliczania dokumentów </w:t>
            </w:r>
            <w:r w:rsidRPr="00945976">
              <w:rPr>
                <w:rFonts w:ascii="Times New Roman" w:hAnsi="Times New Roman"/>
                <w:color w:val="000000" w:themeColor="text1"/>
              </w:rPr>
              <w:t>TAX FREE,</w:t>
            </w:r>
            <w:r w:rsidRPr="00945976">
              <w:rPr>
                <w:rFonts w:ascii="Times New Roman" w:hAnsi="Times New Roman"/>
                <w:color w:val="000000" w:themeColor="text1"/>
                <w:spacing w:val="-2"/>
              </w:rPr>
              <w:t xml:space="preserve"> była realizowana za pośrednictwem elektronicznego obiegu dokumentów TAX FREE, rejestrowanych w krajowym systemie </w:t>
            </w:r>
            <w:r w:rsidRPr="00945976">
              <w:rPr>
                <w:rFonts w:ascii="Times New Roman" w:hAnsi="Times New Roman"/>
                <w:color w:val="000000" w:themeColor="text1"/>
                <w:spacing w:val="-2"/>
              </w:rPr>
              <w:lastRenderedPageBreak/>
              <w:t xml:space="preserve">teleinformatycznym służącym do obsługi dokumentów, będących podstawą dokonania zwrotu podatku VAT podróżnym, na Platformie Usług Elektronicznych Skarbowo – Celnych (PUESC). </w:t>
            </w:r>
            <w:r w:rsidR="00862205" w:rsidRPr="00945976">
              <w:rPr>
                <w:rFonts w:ascii="Times New Roman" w:hAnsi="Times New Roman"/>
                <w:color w:val="000000" w:themeColor="text1"/>
                <w:spacing w:val="-2"/>
              </w:rPr>
              <w:t xml:space="preserve">Proponuje się także wprowadzenie obowiązku stosowania kas online przez sprzedawców uczestniczących w systemie zwrotu podatku podróżnym. </w:t>
            </w:r>
            <w:r w:rsidRPr="00945976">
              <w:rPr>
                <w:rFonts w:ascii="Times New Roman" w:hAnsi="Times New Roman"/>
                <w:color w:val="000000" w:themeColor="text1"/>
                <w:spacing w:val="-2"/>
              </w:rPr>
              <w:t>Realizacja powyższego zamierzenia wymaga dokonania zmian przepisów ustawy o VAT w szczególności artykułów: 2, 109, 127, 128, 129 i 130 or</w:t>
            </w:r>
            <w:r w:rsidR="001F43D8" w:rsidRPr="00945976">
              <w:rPr>
                <w:rFonts w:ascii="Times New Roman" w:hAnsi="Times New Roman"/>
                <w:color w:val="000000" w:themeColor="text1"/>
                <w:spacing w:val="-2"/>
              </w:rPr>
              <w:t>az zmian przepisów wykonawczych.</w:t>
            </w:r>
          </w:p>
          <w:p w14:paraId="7B1D9400" w14:textId="77777777" w:rsidR="00793119" w:rsidRPr="00E50883" w:rsidRDefault="00E50883" w:rsidP="004D11FB">
            <w:pPr>
              <w:spacing w:after="120" w:line="240" w:lineRule="auto"/>
              <w:jc w:val="both"/>
              <w:rPr>
                <w:rFonts w:ascii="Times New Roman" w:hAnsi="Times New Roman"/>
                <w:bCs/>
                <w:color w:val="000000" w:themeColor="text1"/>
              </w:rPr>
            </w:pPr>
            <w:r>
              <w:rPr>
                <w:rFonts w:ascii="Times New Roman" w:hAnsi="Times New Roman"/>
                <w:bCs/>
                <w:color w:val="000000" w:themeColor="text1"/>
              </w:rPr>
              <w:t>I</w:t>
            </w:r>
            <w:r w:rsidR="00B84F30">
              <w:rPr>
                <w:rFonts w:ascii="Times New Roman" w:hAnsi="Times New Roman"/>
                <w:bCs/>
                <w:color w:val="000000" w:themeColor="text1"/>
              </w:rPr>
              <w:t>V</w:t>
            </w:r>
            <w:r>
              <w:rPr>
                <w:rFonts w:ascii="Times New Roman" w:hAnsi="Times New Roman"/>
                <w:bCs/>
                <w:color w:val="000000" w:themeColor="text1"/>
              </w:rPr>
              <w:t xml:space="preserve">. </w:t>
            </w:r>
            <w:r w:rsidR="00793119" w:rsidRPr="00E50883">
              <w:rPr>
                <w:rFonts w:ascii="Times New Roman" w:hAnsi="Times New Roman"/>
                <w:bCs/>
                <w:color w:val="000000" w:themeColor="text1"/>
              </w:rPr>
              <w:t>Projekt zawiera również zmiany w ustawie z dnia 29 sierpnia – Prawo bankowe. W zakresie tej ustawy proponuje się:</w:t>
            </w:r>
          </w:p>
          <w:p w14:paraId="38C3CF84" w14:textId="77777777" w:rsidR="00793119" w:rsidRPr="00E50883" w:rsidRDefault="00793119" w:rsidP="004D11FB">
            <w:pPr>
              <w:pStyle w:val="Akapitzlist"/>
              <w:numPr>
                <w:ilvl w:val="0"/>
                <w:numId w:val="31"/>
              </w:numPr>
              <w:spacing w:after="120" w:line="240" w:lineRule="auto"/>
              <w:contextualSpacing w:val="0"/>
              <w:jc w:val="both"/>
              <w:rPr>
                <w:rFonts w:ascii="Times New Roman" w:hAnsi="Times New Roman"/>
                <w:bCs/>
                <w:color w:val="000000" w:themeColor="text1"/>
              </w:rPr>
            </w:pPr>
            <w:r w:rsidRPr="00E50883">
              <w:rPr>
                <w:rFonts w:ascii="Times New Roman" w:hAnsi="Times New Roman"/>
                <w:bCs/>
                <w:color w:val="000000" w:themeColor="text1"/>
              </w:rPr>
              <w:t xml:space="preserve">zmiany </w:t>
            </w:r>
            <w:r w:rsidRPr="00E50883">
              <w:rPr>
                <w:rFonts w:ascii="Times New Roman" w:hAnsi="Times New Roman"/>
                <w:color w:val="000000" w:themeColor="text1"/>
                <w:spacing w:val="-2"/>
              </w:rPr>
              <w:t>o charakterze techniczno-legislacyjnym mające na celu uniknięcie st</w:t>
            </w:r>
            <w:r w:rsidR="00945976" w:rsidRPr="00E50883">
              <w:rPr>
                <w:rFonts w:ascii="Times New Roman" w:hAnsi="Times New Roman"/>
                <w:color w:val="000000" w:themeColor="text1"/>
                <w:spacing w:val="-2"/>
              </w:rPr>
              <w:t>osowania definicji nawiasowej w </w:t>
            </w:r>
            <w:r w:rsidRPr="00E50883">
              <w:rPr>
                <w:rFonts w:ascii="Times New Roman" w:hAnsi="Times New Roman"/>
                <w:color w:val="000000" w:themeColor="text1"/>
                <w:spacing w:val="-2"/>
              </w:rPr>
              <w:t>przypadku stosowania pojęcia „rachunek techniczny”;</w:t>
            </w:r>
          </w:p>
          <w:p w14:paraId="4AFCDD2F" w14:textId="77777777" w:rsidR="006A701A" w:rsidRPr="00E50883" w:rsidRDefault="00793119" w:rsidP="004D11FB">
            <w:pPr>
              <w:pStyle w:val="Akapitzlist"/>
              <w:numPr>
                <w:ilvl w:val="0"/>
                <w:numId w:val="31"/>
              </w:numPr>
              <w:spacing w:after="120" w:line="240" w:lineRule="auto"/>
              <w:contextualSpacing w:val="0"/>
              <w:jc w:val="both"/>
              <w:rPr>
                <w:rFonts w:ascii="Times New Roman" w:hAnsi="Times New Roman"/>
                <w:color w:val="000000" w:themeColor="text1"/>
              </w:rPr>
            </w:pPr>
            <w:r w:rsidRPr="00E50883">
              <w:rPr>
                <w:rFonts w:ascii="Times New Roman" w:hAnsi="Times New Roman"/>
                <w:bCs/>
                <w:color w:val="000000" w:themeColor="text1"/>
              </w:rPr>
              <w:t xml:space="preserve">zmianę polegającą na wprowadzeniu możliwości dokonywania płatności z rachunku VAT kwoty odpowiadającej kwocie podatku z tytułu importu towarów czy też należności celnych na rzecz agencji celnych. </w:t>
            </w:r>
          </w:p>
        </w:tc>
      </w:tr>
      <w:tr w:rsidR="006A701A" w:rsidRPr="00945976" w14:paraId="2C101247" w14:textId="77777777" w:rsidTr="00695F17">
        <w:trPr>
          <w:gridAfter w:val="1"/>
          <w:wAfter w:w="10" w:type="dxa"/>
          <w:trHeight w:val="307"/>
        </w:trPr>
        <w:tc>
          <w:tcPr>
            <w:tcW w:w="10937" w:type="dxa"/>
            <w:gridSpan w:val="23"/>
            <w:shd w:val="clear" w:color="auto" w:fill="99CCFF"/>
            <w:vAlign w:val="center"/>
          </w:tcPr>
          <w:p w14:paraId="58B4D303" w14:textId="77777777" w:rsidR="006A701A" w:rsidRPr="00695F17" w:rsidRDefault="009E3C4B" w:rsidP="00695F17">
            <w:pPr>
              <w:pStyle w:val="Akapitzlist"/>
              <w:numPr>
                <w:ilvl w:val="0"/>
                <w:numId w:val="3"/>
              </w:numPr>
              <w:spacing w:after="120" w:line="240" w:lineRule="auto"/>
              <w:jc w:val="both"/>
              <w:rPr>
                <w:rFonts w:ascii="Times New Roman" w:hAnsi="Times New Roman"/>
                <w:b/>
                <w:color w:val="000000" w:themeColor="text1"/>
              </w:rPr>
            </w:pPr>
            <w:r w:rsidRPr="00695F17">
              <w:rPr>
                <w:rFonts w:ascii="Times New Roman" w:hAnsi="Times New Roman"/>
                <w:b/>
                <w:color w:val="000000" w:themeColor="text1"/>
                <w:spacing w:val="-2"/>
              </w:rPr>
              <w:lastRenderedPageBreak/>
              <w:t>Jak problem został rozwiązany w innych krajach, w szczególności krajach członkowskich OECD/UE</w:t>
            </w:r>
            <w:r w:rsidR="006A701A" w:rsidRPr="00695F17">
              <w:rPr>
                <w:rFonts w:ascii="Times New Roman" w:hAnsi="Times New Roman"/>
                <w:b/>
                <w:color w:val="000000" w:themeColor="text1"/>
              </w:rPr>
              <w:t>?</w:t>
            </w:r>
            <w:r w:rsidR="006A701A" w:rsidRPr="00695F17">
              <w:rPr>
                <w:rFonts w:ascii="Times New Roman" w:hAnsi="Times New Roman"/>
                <w:i/>
                <w:color w:val="000000" w:themeColor="text1"/>
              </w:rPr>
              <w:t xml:space="preserve"> </w:t>
            </w:r>
          </w:p>
        </w:tc>
      </w:tr>
      <w:tr w:rsidR="007718D3" w:rsidRPr="00945976" w14:paraId="4F694E76" w14:textId="77777777" w:rsidTr="00695F17">
        <w:trPr>
          <w:gridAfter w:val="1"/>
          <w:wAfter w:w="10" w:type="dxa"/>
          <w:trHeight w:val="142"/>
        </w:trPr>
        <w:tc>
          <w:tcPr>
            <w:tcW w:w="10937" w:type="dxa"/>
            <w:gridSpan w:val="23"/>
            <w:shd w:val="clear" w:color="auto" w:fill="auto"/>
          </w:tcPr>
          <w:p w14:paraId="7F99EEC1" w14:textId="77777777" w:rsidR="006A701A" w:rsidRPr="00945976" w:rsidRDefault="00441C51" w:rsidP="007718D3">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t>B</w:t>
            </w:r>
            <w:r w:rsidR="00B64FB6" w:rsidRPr="00945976">
              <w:rPr>
                <w:rFonts w:ascii="Times New Roman" w:hAnsi="Times New Roman"/>
                <w:color w:val="000000" w:themeColor="text1"/>
                <w:spacing w:val="-2"/>
              </w:rPr>
              <w:t xml:space="preserve">rak informacji. </w:t>
            </w:r>
          </w:p>
        </w:tc>
      </w:tr>
      <w:tr w:rsidR="006A701A" w:rsidRPr="00945976" w14:paraId="45B9AE30" w14:textId="77777777" w:rsidTr="00695F17">
        <w:trPr>
          <w:gridAfter w:val="1"/>
          <w:wAfter w:w="10" w:type="dxa"/>
          <w:trHeight w:val="359"/>
        </w:trPr>
        <w:tc>
          <w:tcPr>
            <w:tcW w:w="10937" w:type="dxa"/>
            <w:gridSpan w:val="23"/>
            <w:shd w:val="clear" w:color="auto" w:fill="99CCFF"/>
            <w:vAlign w:val="center"/>
          </w:tcPr>
          <w:p w14:paraId="15F3D186" w14:textId="77777777" w:rsidR="006A701A" w:rsidRPr="00945976" w:rsidRDefault="006A701A" w:rsidP="00E44005">
            <w:pPr>
              <w:numPr>
                <w:ilvl w:val="0"/>
                <w:numId w:val="3"/>
              </w:numPr>
              <w:spacing w:after="120" w:line="240" w:lineRule="auto"/>
              <w:ind w:left="318" w:hanging="284"/>
              <w:jc w:val="both"/>
              <w:rPr>
                <w:rFonts w:ascii="Times New Roman" w:hAnsi="Times New Roman"/>
                <w:b/>
                <w:color w:val="000000" w:themeColor="text1"/>
              </w:rPr>
            </w:pPr>
            <w:r w:rsidRPr="00945976">
              <w:rPr>
                <w:rFonts w:ascii="Times New Roman" w:hAnsi="Times New Roman"/>
                <w:b/>
                <w:color w:val="000000" w:themeColor="text1"/>
              </w:rPr>
              <w:t>Podmioty, na które oddziałuje projekt</w:t>
            </w:r>
          </w:p>
        </w:tc>
      </w:tr>
      <w:tr w:rsidR="00467ABF" w:rsidRPr="00945976" w14:paraId="475BBCBD" w14:textId="77777777" w:rsidTr="00AC7BAF">
        <w:trPr>
          <w:gridAfter w:val="1"/>
          <w:wAfter w:w="10" w:type="dxa"/>
          <w:trHeight w:val="142"/>
        </w:trPr>
        <w:tc>
          <w:tcPr>
            <w:tcW w:w="2668" w:type="dxa"/>
            <w:gridSpan w:val="5"/>
            <w:shd w:val="clear" w:color="auto" w:fill="auto"/>
          </w:tcPr>
          <w:p w14:paraId="7F5C3D3A" w14:textId="77777777" w:rsidR="00260F33" w:rsidRPr="00945976" w:rsidRDefault="00260F33" w:rsidP="00B64FB6">
            <w:pPr>
              <w:spacing w:after="120" w:line="240" w:lineRule="auto"/>
              <w:jc w:val="center"/>
              <w:rPr>
                <w:rFonts w:ascii="Times New Roman" w:hAnsi="Times New Roman"/>
                <w:color w:val="000000" w:themeColor="text1"/>
                <w:spacing w:val="-2"/>
              </w:rPr>
            </w:pPr>
            <w:r w:rsidRPr="00945976">
              <w:rPr>
                <w:rFonts w:ascii="Times New Roman" w:hAnsi="Times New Roman"/>
                <w:color w:val="000000" w:themeColor="text1"/>
                <w:spacing w:val="-2"/>
              </w:rPr>
              <w:t>Grupa</w:t>
            </w:r>
          </w:p>
        </w:tc>
        <w:tc>
          <w:tcPr>
            <w:tcW w:w="1614" w:type="dxa"/>
            <w:gridSpan w:val="2"/>
            <w:shd w:val="clear" w:color="auto" w:fill="auto"/>
          </w:tcPr>
          <w:p w14:paraId="10A5D974" w14:textId="77777777" w:rsidR="00260F33" w:rsidRPr="00945976" w:rsidRDefault="00563199" w:rsidP="00B64FB6">
            <w:pPr>
              <w:spacing w:after="120" w:line="240" w:lineRule="auto"/>
              <w:jc w:val="center"/>
              <w:rPr>
                <w:rFonts w:ascii="Times New Roman" w:hAnsi="Times New Roman"/>
                <w:color w:val="000000" w:themeColor="text1"/>
                <w:spacing w:val="-2"/>
              </w:rPr>
            </w:pPr>
            <w:r w:rsidRPr="00945976">
              <w:rPr>
                <w:rFonts w:ascii="Times New Roman" w:hAnsi="Times New Roman"/>
                <w:color w:val="000000" w:themeColor="text1"/>
                <w:spacing w:val="-2"/>
              </w:rPr>
              <w:t>Wielkość</w:t>
            </w:r>
          </w:p>
        </w:tc>
        <w:tc>
          <w:tcPr>
            <w:tcW w:w="3827" w:type="dxa"/>
            <w:gridSpan w:val="11"/>
            <w:shd w:val="clear" w:color="auto" w:fill="auto"/>
          </w:tcPr>
          <w:p w14:paraId="4593E286" w14:textId="77777777" w:rsidR="00260F33" w:rsidRPr="00945976" w:rsidRDefault="00260F33" w:rsidP="00B64FB6">
            <w:pPr>
              <w:spacing w:after="120" w:line="240" w:lineRule="auto"/>
              <w:jc w:val="center"/>
              <w:rPr>
                <w:rFonts w:ascii="Times New Roman" w:hAnsi="Times New Roman"/>
                <w:color w:val="000000" w:themeColor="text1"/>
                <w:spacing w:val="-2"/>
              </w:rPr>
            </w:pPr>
            <w:r w:rsidRPr="00945976">
              <w:rPr>
                <w:rFonts w:ascii="Times New Roman" w:hAnsi="Times New Roman"/>
                <w:color w:val="000000" w:themeColor="text1"/>
                <w:spacing w:val="-2"/>
              </w:rPr>
              <w:t>Źródło danych</w:t>
            </w:r>
            <w:r w:rsidRPr="00945976" w:rsidDel="00260F33">
              <w:rPr>
                <w:rFonts w:ascii="Times New Roman" w:hAnsi="Times New Roman"/>
                <w:color w:val="000000" w:themeColor="text1"/>
                <w:spacing w:val="-2"/>
              </w:rPr>
              <w:t xml:space="preserve"> </w:t>
            </w:r>
          </w:p>
        </w:tc>
        <w:tc>
          <w:tcPr>
            <w:tcW w:w="2828" w:type="dxa"/>
            <w:gridSpan w:val="5"/>
            <w:shd w:val="clear" w:color="auto" w:fill="auto"/>
          </w:tcPr>
          <w:p w14:paraId="55660F09" w14:textId="77777777" w:rsidR="00260F33" w:rsidRPr="00945976" w:rsidRDefault="00260F33" w:rsidP="00B64FB6">
            <w:pPr>
              <w:spacing w:after="120" w:line="240" w:lineRule="auto"/>
              <w:jc w:val="center"/>
              <w:rPr>
                <w:rFonts w:ascii="Times New Roman" w:hAnsi="Times New Roman"/>
                <w:color w:val="000000" w:themeColor="text1"/>
                <w:spacing w:val="-2"/>
              </w:rPr>
            </w:pPr>
            <w:r w:rsidRPr="00945976">
              <w:rPr>
                <w:rFonts w:ascii="Times New Roman" w:hAnsi="Times New Roman"/>
                <w:color w:val="000000" w:themeColor="text1"/>
                <w:spacing w:val="-2"/>
              </w:rPr>
              <w:t>Oddziaływanie</w:t>
            </w:r>
          </w:p>
        </w:tc>
      </w:tr>
      <w:tr w:rsidR="00467ABF" w:rsidRPr="00945976" w14:paraId="0775432F" w14:textId="77777777" w:rsidTr="00AC7BAF">
        <w:trPr>
          <w:gridAfter w:val="1"/>
          <w:wAfter w:w="10" w:type="dxa"/>
          <w:trHeight w:val="142"/>
        </w:trPr>
        <w:tc>
          <w:tcPr>
            <w:tcW w:w="2668" w:type="dxa"/>
            <w:gridSpan w:val="5"/>
            <w:shd w:val="clear" w:color="auto" w:fill="auto"/>
          </w:tcPr>
          <w:p w14:paraId="25646ACA" w14:textId="77777777" w:rsidR="007C2D81" w:rsidRPr="00945976" w:rsidRDefault="007C2D81" w:rsidP="00B64FB6">
            <w:pPr>
              <w:spacing w:after="120" w:line="240" w:lineRule="auto"/>
              <w:rPr>
                <w:rFonts w:ascii="Times New Roman" w:hAnsi="Times New Roman"/>
                <w:color w:val="000000" w:themeColor="text1"/>
              </w:rPr>
            </w:pPr>
            <w:r w:rsidRPr="00945976">
              <w:rPr>
                <w:rFonts w:ascii="Times New Roman" w:hAnsi="Times New Roman"/>
                <w:color w:val="000000" w:themeColor="text1"/>
              </w:rPr>
              <w:t>Podatnicy podatku</w:t>
            </w:r>
            <w:r w:rsidR="00945976">
              <w:rPr>
                <w:rFonts w:ascii="Times New Roman" w:hAnsi="Times New Roman"/>
                <w:color w:val="000000" w:themeColor="text1"/>
              </w:rPr>
              <w:t xml:space="preserve"> od </w:t>
            </w:r>
            <w:r w:rsidRPr="00945976">
              <w:rPr>
                <w:rFonts w:ascii="Times New Roman" w:hAnsi="Times New Roman"/>
                <w:color w:val="000000" w:themeColor="text1"/>
              </w:rPr>
              <w:t>towarów i usług, w tym podatnicy VAT czynni oraz podatnicy zwolnieni podmiotowo z VAT</w:t>
            </w:r>
          </w:p>
        </w:tc>
        <w:tc>
          <w:tcPr>
            <w:tcW w:w="1614" w:type="dxa"/>
            <w:gridSpan w:val="2"/>
            <w:shd w:val="clear" w:color="auto" w:fill="auto"/>
          </w:tcPr>
          <w:p w14:paraId="18618FD7" w14:textId="77777777" w:rsidR="00A365CA" w:rsidRPr="00945976" w:rsidRDefault="00CF6EB3" w:rsidP="00A365CA">
            <w:pPr>
              <w:spacing w:line="240" w:lineRule="auto"/>
              <w:rPr>
                <w:rFonts w:ascii="Times New Roman" w:hAnsi="Times New Roman"/>
                <w:color w:val="000000" w:themeColor="text1"/>
                <w:spacing w:val="-2"/>
              </w:rPr>
            </w:pPr>
            <w:r w:rsidRPr="00945976">
              <w:rPr>
                <w:rFonts w:ascii="Times New Roman" w:hAnsi="Times New Roman"/>
                <w:color w:val="000000" w:themeColor="text1"/>
                <w:spacing w:val="-2"/>
              </w:rPr>
              <w:t xml:space="preserve">Proponowane zmiany mogą wpłynąć na wszystkich podatników podatku od towarów i usług, tj. ok. </w:t>
            </w:r>
            <w:r w:rsidR="008B33D9" w:rsidRPr="00945976">
              <w:rPr>
                <w:rFonts w:ascii="Times New Roman" w:hAnsi="Times New Roman"/>
                <w:color w:val="000000" w:themeColor="text1"/>
                <w:spacing w:val="-2"/>
              </w:rPr>
              <w:t xml:space="preserve">1,6 mln </w:t>
            </w:r>
            <w:r w:rsidRPr="00945976">
              <w:rPr>
                <w:rFonts w:ascii="Times New Roman" w:hAnsi="Times New Roman"/>
                <w:color w:val="000000" w:themeColor="text1"/>
                <w:spacing w:val="-2"/>
              </w:rPr>
              <w:t xml:space="preserve"> (stan na dn. 31.12.2019 r.) </w:t>
            </w:r>
            <w:r w:rsidR="00A365CA" w:rsidRPr="00945976">
              <w:rPr>
                <w:rFonts w:ascii="Times New Roman" w:hAnsi="Times New Roman"/>
                <w:color w:val="000000" w:themeColor="text1"/>
                <w:spacing w:val="-2"/>
              </w:rPr>
              <w:t>Liczba podmiotów zwolnionych podmiotowo z VAT (stan na dn. 31.12.2019 r.) to 162 908.</w:t>
            </w:r>
          </w:p>
          <w:p w14:paraId="71D7F761" w14:textId="77777777" w:rsidR="00CF6EB3" w:rsidRPr="00945976" w:rsidRDefault="00CF6EB3" w:rsidP="00CF6EB3">
            <w:pPr>
              <w:spacing w:line="240" w:lineRule="auto"/>
              <w:rPr>
                <w:rFonts w:ascii="Times New Roman" w:hAnsi="Times New Roman"/>
                <w:color w:val="000000" w:themeColor="text1"/>
                <w:spacing w:val="-2"/>
              </w:rPr>
            </w:pPr>
          </w:p>
          <w:p w14:paraId="053A40FF" w14:textId="77777777" w:rsidR="007C2D81" w:rsidRPr="00945976" w:rsidRDefault="007C2D81" w:rsidP="00B64FB6">
            <w:pPr>
              <w:spacing w:after="120" w:line="240" w:lineRule="auto"/>
              <w:rPr>
                <w:rFonts w:ascii="Times New Roman" w:hAnsi="Times New Roman"/>
                <w:color w:val="000000" w:themeColor="text1"/>
                <w:spacing w:val="-2"/>
              </w:rPr>
            </w:pPr>
          </w:p>
        </w:tc>
        <w:tc>
          <w:tcPr>
            <w:tcW w:w="3827" w:type="dxa"/>
            <w:gridSpan w:val="11"/>
            <w:shd w:val="clear" w:color="auto" w:fill="auto"/>
          </w:tcPr>
          <w:p w14:paraId="26DC3AC0" w14:textId="77777777" w:rsidR="00CF6EB3" w:rsidRPr="00945976" w:rsidRDefault="00CF6EB3"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Hurtownia danych SPR VAT wg stanu na dn. 03.03.2020 r.</w:t>
            </w:r>
          </w:p>
        </w:tc>
        <w:tc>
          <w:tcPr>
            <w:tcW w:w="2828" w:type="dxa"/>
            <w:gridSpan w:val="5"/>
            <w:shd w:val="clear" w:color="auto" w:fill="auto"/>
          </w:tcPr>
          <w:p w14:paraId="69C68F7F" w14:textId="77777777" w:rsidR="007C2D81" w:rsidRDefault="007C2D81" w:rsidP="00AC7BAF">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 xml:space="preserve">Projekt w zakresie rozwiązań </w:t>
            </w:r>
            <w:r w:rsidR="00D61B8A" w:rsidRPr="00945976">
              <w:rPr>
                <w:rFonts w:ascii="Times New Roman" w:hAnsi="Times New Roman"/>
                <w:color w:val="000000" w:themeColor="text1"/>
                <w:spacing w:val="-2"/>
              </w:rPr>
              <w:t xml:space="preserve">w </w:t>
            </w:r>
            <w:r w:rsidRPr="00945976">
              <w:rPr>
                <w:rFonts w:ascii="Times New Roman" w:hAnsi="Times New Roman"/>
                <w:color w:val="000000" w:themeColor="text1"/>
                <w:spacing w:val="-2"/>
              </w:rPr>
              <w:t>większości</w:t>
            </w:r>
            <w:r w:rsidR="00945976">
              <w:rPr>
                <w:rFonts w:ascii="Times New Roman" w:hAnsi="Times New Roman"/>
                <w:color w:val="000000" w:themeColor="text1"/>
                <w:spacing w:val="-2"/>
              </w:rPr>
              <w:t xml:space="preserve"> o charakterze upraszczającym i </w:t>
            </w:r>
            <w:r w:rsidRPr="00945976">
              <w:rPr>
                <w:rFonts w:ascii="Times New Roman" w:hAnsi="Times New Roman"/>
                <w:color w:val="000000" w:themeColor="text1"/>
                <w:spacing w:val="-2"/>
              </w:rPr>
              <w:t xml:space="preserve">doprecyzowującym będzie oddziaływał na podatników </w:t>
            </w:r>
            <w:r w:rsidR="00CD415E" w:rsidRPr="00945976">
              <w:rPr>
                <w:rFonts w:ascii="Times New Roman" w:hAnsi="Times New Roman"/>
                <w:color w:val="000000" w:themeColor="text1"/>
                <w:spacing w:val="-2"/>
              </w:rPr>
              <w:t xml:space="preserve">VAT tzw. czynnych. </w:t>
            </w:r>
            <w:r w:rsidR="00945976">
              <w:rPr>
                <w:rFonts w:ascii="Times New Roman" w:hAnsi="Times New Roman"/>
                <w:color w:val="000000" w:themeColor="text1"/>
                <w:spacing w:val="-2"/>
              </w:rPr>
              <w:t xml:space="preserve">Jednak pewne </w:t>
            </w:r>
            <w:r w:rsidRPr="00945976">
              <w:rPr>
                <w:rFonts w:ascii="Times New Roman" w:hAnsi="Times New Roman"/>
                <w:color w:val="000000" w:themeColor="text1"/>
                <w:spacing w:val="-2"/>
              </w:rPr>
              <w:t xml:space="preserve">rozwiązania upraszczające, jak np. white </w:t>
            </w:r>
            <w:r w:rsidR="004724F2" w:rsidRPr="00945976">
              <w:rPr>
                <w:rFonts w:ascii="Times New Roman" w:hAnsi="Times New Roman"/>
                <w:color w:val="000000" w:themeColor="text1"/>
                <w:spacing w:val="-2"/>
              </w:rPr>
              <w:t>lis</w:t>
            </w:r>
            <w:r w:rsidR="00945976">
              <w:rPr>
                <w:rFonts w:ascii="Times New Roman" w:hAnsi="Times New Roman"/>
                <w:color w:val="000000" w:themeColor="text1"/>
                <w:spacing w:val="-2"/>
              </w:rPr>
              <w:t>ty będą oddziaływały również na </w:t>
            </w:r>
            <w:r w:rsidR="004724F2" w:rsidRPr="00945976">
              <w:rPr>
                <w:rFonts w:ascii="Times New Roman" w:hAnsi="Times New Roman"/>
                <w:color w:val="000000" w:themeColor="text1"/>
                <w:spacing w:val="-2"/>
              </w:rPr>
              <w:t>poda</w:t>
            </w:r>
            <w:r w:rsidR="00945976">
              <w:rPr>
                <w:rFonts w:ascii="Times New Roman" w:hAnsi="Times New Roman"/>
                <w:color w:val="000000" w:themeColor="text1"/>
                <w:spacing w:val="-2"/>
              </w:rPr>
              <w:t>tników zwolnionych podmiotowo z </w:t>
            </w:r>
            <w:r w:rsidR="004724F2" w:rsidRPr="00945976">
              <w:rPr>
                <w:rFonts w:ascii="Times New Roman" w:hAnsi="Times New Roman"/>
                <w:color w:val="000000" w:themeColor="text1"/>
                <w:spacing w:val="-2"/>
              </w:rPr>
              <w:t>VAT.</w:t>
            </w:r>
          </w:p>
          <w:p w14:paraId="017BDA60" w14:textId="77777777" w:rsidR="00575B5D" w:rsidRPr="00945976" w:rsidRDefault="00575B5D" w:rsidP="006C1C42">
            <w:pPr>
              <w:spacing w:after="120" w:line="240" w:lineRule="auto"/>
              <w:rPr>
                <w:rFonts w:ascii="Times New Roman" w:hAnsi="Times New Roman"/>
                <w:color w:val="000000" w:themeColor="text1"/>
                <w:spacing w:val="-2"/>
              </w:rPr>
            </w:pPr>
          </w:p>
        </w:tc>
      </w:tr>
      <w:tr w:rsidR="00C33E96" w:rsidRPr="00945976" w14:paraId="6CCCE1F5" w14:textId="77777777" w:rsidTr="00AC7BAF">
        <w:trPr>
          <w:gridAfter w:val="1"/>
          <w:wAfter w:w="10" w:type="dxa"/>
          <w:trHeight w:val="142"/>
        </w:trPr>
        <w:tc>
          <w:tcPr>
            <w:tcW w:w="2668" w:type="dxa"/>
            <w:gridSpan w:val="5"/>
            <w:shd w:val="clear" w:color="auto" w:fill="auto"/>
          </w:tcPr>
          <w:p w14:paraId="389F1F4B" w14:textId="77777777" w:rsidR="00C33E96" w:rsidRPr="00945976" w:rsidRDefault="00C33E96" w:rsidP="00203E28">
            <w:pPr>
              <w:spacing w:after="120" w:line="240" w:lineRule="auto"/>
              <w:rPr>
                <w:rFonts w:ascii="Times New Roman" w:hAnsi="Times New Roman"/>
                <w:color w:val="000000" w:themeColor="text1"/>
              </w:rPr>
            </w:pPr>
            <w:r w:rsidRPr="00CC6E91">
              <w:rPr>
                <w:rFonts w:ascii="Times New Roman" w:hAnsi="Times New Roman"/>
                <w:color w:val="000000" w:themeColor="text1"/>
              </w:rPr>
              <w:t xml:space="preserve">Podatnicy </w:t>
            </w:r>
            <w:r w:rsidR="00203E28">
              <w:rPr>
                <w:rFonts w:ascii="Times New Roman" w:hAnsi="Times New Roman"/>
                <w:color w:val="000000" w:themeColor="text1"/>
              </w:rPr>
              <w:t xml:space="preserve">VAT czynni </w:t>
            </w:r>
          </w:p>
        </w:tc>
        <w:tc>
          <w:tcPr>
            <w:tcW w:w="1614" w:type="dxa"/>
            <w:gridSpan w:val="2"/>
            <w:shd w:val="clear" w:color="auto" w:fill="auto"/>
          </w:tcPr>
          <w:p w14:paraId="4B804E95" w14:textId="77777777" w:rsidR="00C33E96" w:rsidRPr="00945976" w:rsidRDefault="00203E28" w:rsidP="00A365CA">
            <w:pPr>
              <w:spacing w:line="240" w:lineRule="auto"/>
              <w:rPr>
                <w:rFonts w:ascii="Times New Roman" w:hAnsi="Times New Roman"/>
                <w:color w:val="000000" w:themeColor="text1"/>
                <w:spacing w:val="-2"/>
              </w:rPr>
            </w:pPr>
            <w:r w:rsidRPr="00945976">
              <w:rPr>
                <w:rFonts w:ascii="Times New Roman" w:hAnsi="Times New Roman"/>
                <w:color w:val="000000" w:themeColor="text1"/>
                <w:spacing w:val="-2"/>
              </w:rPr>
              <w:t xml:space="preserve">ok. 1,6 mln  </w:t>
            </w:r>
            <w:r>
              <w:rPr>
                <w:rFonts w:ascii="Times New Roman" w:hAnsi="Times New Roman"/>
                <w:color w:val="000000" w:themeColor="text1"/>
                <w:spacing w:val="-2"/>
              </w:rPr>
              <w:t xml:space="preserve">podatników </w:t>
            </w:r>
            <w:r w:rsidRPr="00945976">
              <w:rPr>
                <w:rFonts w:ascii="Times New Roman" w:hAnsi="Times New Roman"/>
                <w:color w:val="000000" w:themeColor="text1"/>
                <w:spacing w:val="-2"/>
              </w:rPr>
              <w:t>(stan na dn. 31.12.2019 r.)</w:t>
            </w:r>
          </w:p>
        </w:tc>
        <w:tc>
          <w:tcPr>
            <w:tcW w:w="3827" w:type="dxa"/>
            <w:gridSpan w:val="11"/>
            <w:shd w:val="clear" w:color="auto" w:fill="auto"/>
          </w:tcPr>
          <w:p w14:paraId="1453937B" w14:textId="77777777" w:rsidR="00C33E96" w:rsidRPr="00945976" w:rsidRDefault="00203E28"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Hurtownia danych SPR VAT wg stanu na dn. 03.03.2020 r.</w:t>
            </w:r>
          </w:p>
        </w:tc>
        <w:tc>
          <w:tcPr>
            <w:tcW w:w="2828" w:type="dxa"/>
            <w:gridSpan w:val="5"/>
            <w:shd w:val="clear" w:color="auto" w:fill="auto"/>
          </w:tcPr>
          <w:p w14:paraId="654D97FE" w14:textId="77777777" w:rsidR="00203E28" w:rsidRPr="00D55B33" w:rsidRDefault="00203E28" w:rsidP="00AC7BAF">
            <w:pPr>
              <w:spacing w:after="120" w:line="240" w:lineRule="auto"/>
              <w:rPr>
                <w:rFonts w:ascii="Times New Roman" w:eastAsia="Cambria" w:hAnsi="Times New Roman"/>
                <w:color w:val="000000" w:themeColor="text1"/>
              </w:rPr>
            </w:pPr>
            <w:r>
              <w:rPr>
                <w:rFonts w:ascii="Times New Roman" w:hAnsi="Times New Roman"/>
                <w:color w:val="000000" w:themeColor="text1"/>
                <w:spacing w:val="-2"/>
              </w:rPr>
              <w:t>Wprowadzenie rozwiązań upraszczających rozliczanie VAT – pakiet Slim VAT. Oznacza zmniejszenie obciążeń w rozliczaniu VAT dla podatników</w:t>
            </w:r>
            <w:r w:rsidR="00D55B33">
              <w:rPr>
                <w:rFonts w:ascii="Times New Roman" w:hAnsi="Times New Roman"/>
                <w:color w:val="000000" w:themeColor="text1"/>
                <w:spacing w:val="-2"/>
              </w:rPr>
              <w:t>.</w:t>
            </w:r>
            <w:r>
              <w:rPr>
                <w:rFonts w:ascii="Times New Roman" w:hAnsi="Times New Roman"/>
                <w:color w:val="000000" w:themeColor="text1"/>
                <w:spacing w:val="-2"/>
              </w:rPr>
              <w:t xml:space="preserve"> Część rozwiązań oznacza również wprowadzenie korzyści finansowych dla przedsiębiorców</w:t>
            </w:r>
            <w:r w:rsidR="00D55B33">
              <w:rPr>
                <w:rFonts w:ascii="Times New Roman" w:hAnsi="Times New Roman"/>
                <w:color w:val="000000" w:themeColor="text1"/>
                <w:spacing w:val="-2"/>
              </w:rPr>
              <w:t>.</w:t>
            </w:r>
            <w:r>
              <w:rPr>
                <w:rFonts w:ascii="Times New Roman" w:hAnsi="Times New Roman"/>
                <w:color w:val="000000" w:themeColor="text1"/>
                <w:spacing w:val="-2"/>
              </w:rPr>
              <w:t xml:space="preserve"> </w:t>
            </w:r>
            <w:r w:rsidR="00EA7CB1">
              <w:rPr>
                <w:rFonts w:ascii="Times New Roman" w:eastAsia="Cambria" w:hAnsi="Times New Roman"/>
                <w:color w:val="000000" w:themeColor="text1"/>
              </w:rPr>
              <w:t xml:space="preserve">Wprowadzenie </w:t>
            </w:r>
            <w:r w:rsidR="00EA7CB1" w:rsidRPr="00695F17">
              <w:rPr>
                <w:rFonts w:ascii="Times New Roman" w:eastAsia="Cambria" w:hAnsi="Times New Roman"/>
                <w:color w:val="000000" w:themeColor="text1"/>
              </w:rPr>
              <w:t>przepisu dotyczącego rozliczania faktur korygujących zwiększających cen</w:t>
            </w:r>
            <w:r w:rsidR="00EA7CB1">
              <w:rPr>
                <w:rFonts w:ascii="Times New Roman" w:eastAsia="Cambria" w:hAnsi="Times New Roman"/>
                <w:color w:val="000000" w:themeColor="text1"/>
              </w:rPr>
              <w:t>ę oznacza zwiększenie pewności prawa dla podatników</w:t>
            </w:r>
            <w:r w:rsidR="00D55B33">
              <w:rPr>
                <w:rFonts w:ascii="Times New Roman" w:eastAsia="Cambria" w:hAnsi="Times New Roman"/>
                <w:color w:val="000000" w:themeColor="text1"/>
              </w:rPr>
              <w:t xml:space="preserve">. </w:t>
            </w:r>
          </w:p>
        </w:tc>
      </w:tr>
      <w:tr w:rsidR="00C33E96" w:rsidRPr="00945976" w14:paraId="337CAC09" w14:textId="77777777" w:rsidTr="002528DD">
        <w:trPr>
          <w:gridAfter w:val="1"/>
          <w:wAfter w:w="10" w:type="dxa"/>
          <w:trHeight w:val="142"/>
        </w:trPr>
        <w:tc>
          <w:tcPr>
            <w:tcW w:w="2668" w:type="dxa"/>
            <w:gridSpan w:val="5"/>
            <w:shd w:val="clear" w:color="auto" w:fill="auto"/>
          </w:tcPr>
          <w:p w14:paraId="0B05696C" w14:textId="77777777" w:rsidR="00C33E96" w:rsidRPr="00945976" w:rsidRDefault="00C33E96" w:rsidP="002528DD">
            <w:pPr>
              <w:spacing w:after="120" w:line="240" w:lineRule="auto"/>
              <w:jc w:val="both"/>
              <w:rPr>
                <w:rFonts w:ascii="Times New Roman" w:hAnsi="Times New Roman"/>
                <w:color w:val="000000" w:themeColor="text1"/>
              </w:rPr>
            </w:pPr>
            <w:r w:rsidRPr="00CC6E91">
              <w:rPr>
                <w:rFonts w:ascii="Times New Roman" w:hAnsi="Times New Roman"/>
                <w:color w:val="000000" w:themeColor="text1"/>
              </w:rPr>
              <w:t>Podatnicy podatku od towarów i usług, w tym podatnicy VAT czynni oraz podatnicy zwolnieni podmiotowo z VAT</w:t>
            </w:r>
          </w:p>
        </w:tc>
        <w:tc>
          <w:tcPr>
            <w:tcW w:w="1614" w:type="dxa"/>
            <w:gridSpan w:val="2"/>
            <w:shd w:val="clear" w:color="auto" w:fill="auto"/>
          </w:tcPr>
          <w:p w14:paraId="69A9F99F" w14:textId="77777777" w:rsidR="00C33E96" w:rsidRPr="00945976" w:rsidRDefault="00D55B33" w:rsidP="002528DD">
            <w:pPr>
              <w:spacing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t xml:space="preserve">Proponowane zmiany mogą wpłynąć na wszystkich podatników podatku od towarów i </w:t>
            </w:r>
            <w:r w:rsidRPr="00945976">
              <w:rPr>
                <w:rFonts w:ascii="Times New Roman" w:hAnsi="Times New Roman"/>
                <w:color w:val="000000" w:themeColor="text1"/>
                <w:spacing w:val="-2"/>
              </w:rPr>
              <w:lastRenderedPageBreak/>
              <w:t>usług, tj. ok. 1,6 mln  (stan na dn. 31.12.2019 r.) Liczba podmiotów zwolnionych podmiotowo z VAT (stan na dn. 31.12.2019 r.) to 162</w:t>
            </w:r>
            <w:r>
              <w:rPr>
                <w:rFonts w:ascii="Times New Roman" w:hAnsi="Times New Roman"/>
                <w:color w:val="000000" w:themeColor="text1"/>
                <w:spacing w:val="-2"/>
              </w:rPr>
              <w:t> </w:t>
            </w:r>
            <w:r w:rsidRPr="00945976">
              <w:rPr>
                <w:rFonts w:ascii="Times New Roman" w:hAnsi="Times New Roman"/>
                <w:color w:val="000000" w:themeColor="text1"/>
                <w:spacing w:val="-2"/>
              </w:rPr>
              <w:t>908.</w:t>
            </w:r>
          </w:p>
        </w:tc>
        <w:tc>
          <w:tcPr>
            <w:tcW w:w="3827" w:type="dxa"/>
            <w:gridSpan w:val="11"/>
            <w:shd w:val="clear" w:color="auto" w:fill="auto"/>
          </w:tcPr>
          <w:p w14:paraId="38DA3B1A" w14:textId="77777777" w:rsidR="00C33E96" w:rsidRPr="00945976" w:rsidRDefault="00D55B33" w:rsidP="002528DD">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lastRenderedPageBreak/>
              <w:t>Hurtownia danych SPR VAT wg stanu na dn. 03.03.2020 r.</w:t>
            </w:r>
          </w:p>
        </w:tc>
        <w:tc>
          <w:tcPr>
            <w:tcW w:w="2828" w:type="dxa"/>
            <w:gridSpan w:val="5"/>
            <w:shd w:val="clear" w:color="auto" w:fill="auto"/>
          </w:tcPr>
          <w:p w14:paraId="271A3554" w14:textId="77777777" w:rsidR="00C33E96" w:rsidRPr="00945976" w:rsidRDefault="00C33E96" w:rsidP="00AC7BAF">
            <w:pPr>
              <w:spacing w:after="120" w:line="240" w:lineRule="auto"/>
              <w:rPr>
                <w:rFonts w:ascii="Times New Roman" w:hAnsi="Times New Roman"/>
                <w:color w:val="000000" w:themeColor="text1"/>
                <w:spacing w:val="-2"/>
              </w:rPr>
            </w:pPr>
            <w:r w:rsidRPr="00CC6E91">
              <w:rPr>
                <w:rFonts w:ascii="Times New Roman" w:hAnsi="Times New Roman"/>
                <w:color w:val="000000" w:themeColor="text1"/>
                <w:spacing w:val="-2"/>
              </w:rPr>
              <w:t>Zmiany do Wiążącej Informacji Stawkowe</w:t>
            </w:r>
            <w:r w:rsidR="00AC7BAF">
              <w:rPr>
                <w:rFonts w:ascii="Times New Roman" w:hAnsi="Times New Roman"/>
                <w:color w:val="000000" w:themeColor="text1"/>
                <w:spacing w:val="-2"/>
              </w:rPr>
              <w:t>j mające na celu dopracowanie i </w:t>
            </w:r>
            <w:r w:rsidRPr="00CC6E91">
              <w:rPr>
                <w:rFonts w:ascii="Times New Roman" w:hAnsi="Times New Roman"/>
                <w:color w:val="000000" w:themeColor="text1"/>
                <w:spacing w:val="-2"/>
              </w:rPr>
              <w:t>uzupełnienie systemu WIS jako całości</w:t>
            </w:r>
            <w:r w:rsidR="007173C3">
              <w:t xml:space="preserve"> (</w:t>
            </w:r>
            <w:r w:rsidR="007173C3" w:rsidRPr="007173C3">
              <w:rPr>
                <w:rFonts w:ascii="Times New Roman" w:hAnsi="Times New Roman"/>
                <w:color w:val="000000" w:themeColor="text1"/>
                <w:spacing w:val="-2"/>
              </w:rPr>
              <w:t>rozszerzenie możliwości wydawania WIS również w stosunku</w:t>
            </w:r>
            <w:r w:rsidR="00AC7BAF">
              <w:rPr>
                <w:rFonts w:ascii="Times New Roman" w:hAnsi="Times New Roman"/>
                <w:color w:val="000000" w:themeColor="text1"/>
                <w:spacing w:val="-2"/>
              </w:rPr>
              <w:t xml:space="preserve"> do </w:t>
            </w:r>
            <w:r w:rsidR="00AC7BAF">
              <w:rPr>
                <w:rFonts w:ascii="Times New Roman" w:hAnsi="Times New Roman"/>
                <w:color w:val="000000" w:themeColor="text1"/>
                <w:spacing w:val="-2"/>
              </w:rPr>
              <w:lastRenderedPageBreak/>
              <w:t>towarów identyfikowanych za </w:t>
            </w:r>
            <w:r w:rsidR="007173C3" w:rsidRPr="007173C3">
              <w:rPr>
                <w:rFonts w:ascii="Times New Roman" w:hAnsi="Times New Roman"/>
                <w:color w:val="000000" w:themeColor="text1"/>
                <w:spacing w:val="-2"/>
              </w:rPr>
              <w:t>pomocą PKWiU,</w:t>
            </w:r>
            <w:r w:rsidR="001B4E7B">
              <w:rPr>
                <w:rFonts w:ascii="Times New Roman" w:hAnsi="Times New Roman"/>
                <w:color w:val="000000" w:themeColor="text1"/>
                <w:spacing w:val="-2"/>
              </w:rPr>
              <w:t xml:space="preserve"> </w:t>
            </w:r>
            <w:r w:rsidR="00AC7BAF">
              <w:rPr>
                <w:rFonts w:ascii="Times New Roman" w:hAnsi="Times New Roman"/>
                <w:color w:val="000000" w:themeColor="text1"/>
                <w:spacing w:val="-2"/>
              </w:rPr>
              <w:t xml:space="preserve"> uzupełnienie procedury o </w:t>
            </w:r>
            <w:r w:rsidR="007173C3" w:rsidRPr="007173C3">
              <w:rPr>
                <w:rFonts w:ascii="Times New Roman" w:hAnsi="Times New Roman"/>
                <w:color w:val="000000" w:themeColor="text1"/>
                <w:spacing w:val="-2"/>
              </w:rPr>
              <w:t>zapis, że gd</w:t>
            </w:r>
            <w:r w:rsidR="00AC7BAF">
              <w:rPr>
                <w:rFonts w:ascii="Times New Roman" w:hAnsi="Times New Roman"/>
                <w:color w:val="000000" w:themeColor="text1"/>
                <w:spacing w:val="-2"/>
              </w:rPr>
              <w:t>y zakres przedmiotowy wniosku o WIS pokrywa się z </w:t>
            </w:r>
            <w:r w:rsidR="007173C3" w:rsidRPr="007173C3">
              <w:rPr>
                <w:rFonts w:ascii="Times New Roman" w:hAnsi="Times New Roman"/>
                <w:color w:val="000000" w:themeColor="text1"/>
                <w:spacing w:val="-2"/>
              </w:rPr>
              <w:t>przedmiotem toczącego się postępowania lub sprawa została</w:t>
            </w:r>
            <w:r w:rsidR="00AC7BAF">
              <w:rPr>
                <w:rFonts w:ascii="Times New Roman" w:hAnsi="Times New Roman"/>
                <w:color w:val="000000" w:themeColor="text1"/>
                <w:spacing w:val="-2"/>
              </w:rPr>
              <w:t xml:space="preserve"> rozstrzygnięta w </w:t>
            </w:r>
            <w:r w:rsidR="007173C3" w:rsidRPr="007173C3">
              <w:rPr>
                <w:rFonts w:ascii="Times New Roman" w:hAnsi="Times New Roman"/>
                <w:color w:val="000000" w:themeColor="text1"/>
                <w:spacing w:val="-2"/>
              </w:rPr>
              <w:t>decyzji lub postanowieniu organu podatkowego WIS nie będzie wydawana,</w:t>
            </w:r>
            <w:r w:rsidR="001B4E7B">
              <w:rPr>
                <w:rFonts w:ascii="Times New Roman" w:hAnsi="Times New Roman"/>
                <w:color w:val="000000" w:themeColor="text1"/>
                <w:spacing w:val="-2"/>
              </w:rPr>
              <w:t xml:space="preserve"> </w:t>
            </w:r>
            <w:r w:rsidR="007173C3" w:rsidRPr="007173C3">
              <w:rPr>
                <w:rFonts w:ascii="Times New Roman" w:hAnsi="Times New Roman"/>
                <w:color w:val="000000" w:themeColor="text1"/>
                <w:spacing w:val="-2"/>
              </w:rPr>
              <w:t>możliwość zastosowania klauzuli nadużycia prawa w stosunku do WIS,</w:t>
            </w:r>
            <w:r w:rsidR="001B4E7B">
              <w:rPr>
                <w:rFonts w:ascii="Times New Roman" w:hAnsi="Times New Roman"/>
                <w:color w:val="000000" w:themeColor="text1"/>
                <w:spacing w:val="-2"/>
              </w:rPr>
              <w:t xml:space="preserve"> </w:t>
            </w:r>
            <w:r w:rsidR="007173C3" w:rsidRPr="007173C3">
              <w:rPr>
                <w:rFonts w:ascii="Times New Roman" w:hAnsi="Times New Roman"/>
                <w:color w:val="000000" w:themeColor="text1"/>
                <w:spacing w:val="-2"/>
              </w:rPr>
              <w:t>wprowadzenie 3-letniego terminu obowiązywania WIS</w:t>
            </w:r>
            <w:r w:rsidR="001B4E7B">
              <w:rPr>
                <w:rFonts w:ascii="Times New Roman" w:hAnsi="Times New Roman"/>
                <w:color w:val="000000" w:themeColor="text1"/>
                <w:spacing w:val="-2"/>
              </w:rPr>
              <w:t>)</w:t>
            </w:r>
            <w:r w:rsidR="007173C3" w:rsidRPr="007173C3">
              <w:rPr>
                <w:rFonts w:ascii="Times New Roman" w:hAnsi="Times New Roman"/>
                <w:color w:val="000000" w:themeColor="text1"/>
                <w:spacing w:val="-2"/>
              </w:rPr>
              <w:t>.</w:t>
            </w:r>
            <w:r>
              <w:rPr>
                <w:rFonts w:ascii="Times New Roman" w:hAnsi="Times New Roman"/>
                <w:color w:val="000000" w:themeColor="text1"/>
                <w:spacing w:val="-2"/>
              </w:rPr>
              <w:t xml:space="preserve"> </w:t>
            </w:r>
          </w:p>
        </w:tc>
      </w:tr>
      <w:tr w:rsidR="00C33E96" w:rsidRPr="00945976" w14:paraId="089FFF2B" w14:textId="77777777" w:rsidTr="002528DD">
        <w:trPr>
          <w:gridAfter w:val="1"/>
          <w:wAfter w:w="10" w:type="dxa"/>
          <w:trHeight w:val="142"/>
        </w:trPr>
        <w:tc>
          <w:tcPr>
            <w:tcW w:w="2668" w:type="dxa"/>
            <w:gridSpan w:val="5"/>
            <w:shd w:val="clear" w:color="auto" w:fill="auto"/>
          </w:tcPr>
          <w:p w14:paraId="50E0AAE9" w14:textId="77777777" w:rsidR="00C33E96" w:rsidRPr="00945976" w:rsidRDefault="00C33E96" w:rsidP="00AC7BAF">
            <w:pPr>
              <w:spacing w:after="120" w:line="240" w:lineRule="auto"/>
              <w:jc w:val="both"/>
              <w:rPr>
                <w:rFonts w:ascii="Times New Roman" w:hAnsi="Times New Roman"/>
                <w:color w:val="000000" w:themeColor="text1"/>
              </w:rPr>
            </w:pPr>
            <w:r w:rsidRPr="00121630">
              <w:rPr>
                <w:rFonts w:ascii="Times New Roman" w:hAnsi="Times New Roman"/>
                <w:color w:val="000000" w:themeColor="text1"/>
              </w:rPr>
              <w:lastRenderedPageBreak/>
              <w:t>Podatnicy podatku od towarów i usług, w tym podatnicy VAT czynni oraz podatnicy zwolnieni podmiotowo z VAT</w:t>
            </w:r>
            <w:r>
              <w:rPr>
                <w:rFonts w:ascii="Times New Roman" w:hAnsi="Times New Roman"/>
                <w:color w:val="000000" w:themeColor="text1"/>
              </w:rPr>
              <w:t xml:space="preserve">, dokonujący dostaw towarów określonych </w:t>
            </w:r>
            <w:r w:rsidRPr="00121630">
              <w:rPr>
                <w:rFonts w:ascii="Times New Roman" w:hAnsi="Times New Roman"/>
                <w:color w:val="000000" w:themeColor="text1"/>
                <w:spacing w:val="-2"/>
              </w:rPr>
              <w:t xml:space="preserve">w art. 113 ust. </w:t>
            </w:r>
            <w:r>
              <w:rPr>
                <w:rFonts w:ascii="Times New Roman" w:hAnsi="Times New Roman"/>
                <w:color w:val="000000" w:themeColor="text1"/>
                <w:spacing w:val="-2"/>
              </w:rPr>
              <w:t>13 pkt 1 lit. f i g ustawy o VAT</w:t>
            </w:r>
          </w:p>
        </w:tc>
        <w:tc>
          <w:tcPr>
            <w:tcW w:w="1614" w:type="dxa"/>
            <w:gridSpan w:val="2"/>
            <w:shd w:val="clear" w:color="auto" w:fill="auto"/>
          </w:tcPr>
          <w:p w14:paraId="56099E16" w14:textId="77777777" w:rsidR="00C33E96" w:rsidRPr="00945976" w:rsidRDefault="00C33E96" w:rsidP="002528DD">
            <w:pPr>
              <w:spacing w:line="240" w:lineRule="auto"/>
              <w:jc w:val="both"/>
              <w:rPr>
                <w:rFonts w:ascii="Times New Roman" w:hAnsi="Times New Roman"/>
                <w:color w:val="000000" w:themeColor="text1"/>
                <w:spacing w:val="-2"/>
              </w:rPr>
            </w:pPr>
            <w:r>
              <w:rPr>
                <w:rFonts w:ascii="Times New Roman" w:hAnsi="Times New Roman"/>
                <w:color w:val="000000" w:themeColor="text1"/>
                <w:spacing w:val="-2"/>
              </w:rPr>
              <w:t>j.w.</w:t>
            </w:r>
          </w:p>
        </w:tc>
        <w:tc>
          <w:tcPr>
            <w:tcW w:w="3827" w:type="dxa"/>
            <w:gridSpan w:val="11"/>
            <w:shd w:val="clear" w:color="auto" w:fill="auto"/>
          </w:tcPr>
          <w:p w14:paraId="4A028BFB" w14:textId="77777777" w:rsidR="00C33E96" w:rsidRPr="00945976" w:rsidRDefault="00C33E96" w:rsidP="002528DD">
            <w:pPr>
              <w:spacing w:after="120" w:line="240" w:lineRule="auto"/>
              <w:jc w:val="both"/>
              <w:rPr>
                <w:rFonts w:ascii="Times New Roman" w:hAnsi="Times New Roman"/>
                <w:color w:val="000000" w:themeColor="text1"/>
                <w:spacing w:val="-2"/>
              </w:rPr>
            </w:pPr>
            <w:r>
              <w:rPr>
                <w:rFonts w:ascii="Times New Roman" w:hAnsi="Times New Roman"/>
                <w:color w:val="000000" w:themeColor="text1"/>
                <w:spacing w:val="-2"/>
              </w:rPr>
              <w:t>j.w.</w:t>
            </w:r>
          </w:p>
        </w:tc>
        <w:tc>
          <w:tcPr>
            <w:tcW w:w="2828" w:type="dxa"/>
            <w:gridSpan w:val="5"/>
            <w:shd w:val="clear" w:color="auto" w:fill="auto"/>
          </w:tcPr>
          <w:p w14:paraId="5EC0FBCA" w14:textId="77777777" w:rsidR="00C33E96" w:rsidRDefault="00C33E96" w:rsidP="00AC7BAF">
            <w:pPr>
              <w:spacing w:after="120" w:line="240" w:lineRule="auto"/>
              <w:rPr>
                <w:rFonts w:ascii="Times New Roman" w:hAnsi="Times New Roman"/>
                <w:color w:val="000000" w:themeColor="text1"/>
                <w:spacing w:val="-2"/>
              </w:rPr>
            </w:pPr>
            <w:r>
              <w:rPr>
                <w:rFonts w:ascii="Times New Roman" w:hAnsi="Times New Roman"/>
                <w:color w:val="000000" w:themeColor="text1"/>
                <w:spacing w:val="-2"/>
              </w:rPr>
              <w:t>Konieczność przełożenia</w:t>
            </w:r>
            <w:r w:rsidR="00AC7BAF">
              <w:rPr>
                <w:rFonts w:ascii="Times New Roman" w:hAnsi="Times New Roman"/>
                <w:color w:val="000000" w:themeColor="text1"/>
                <w:spacing w:val="-2"/>
              </w:rPr>
              <w:t xml:space="preserve"> symboli PKWiU 2008 na </w:t>
            </w:r>
            <w:r w:rsidRPr="00121630">
              <w:rPr>
                <w:rFonts w:ascii="Times New Roman" w:hAnsi="Times New Roman"/>
                <w:color w:val="000000" w:themeColor="text1"/>
                <w:spacing w:val="-2"/>
              </w:rPr>
              <w:t>symbole PKWiU 2015</w:t>
            </w:r>
            <w:r>
              <w:rPr>
                <w:rFonts w:ascii="Times New Roman" w:hAnsi="Times New Roman"/>
                <w:color w:val="000000" w:themeColor="text1"/>
                <w:spacing w:val="-2"/>
              </w:rPr>
              <w:t xml:space="preserve"> w zakresie wyłą</w:t>
            </w:r>
            <w:r w:rsidRPr="00121630">
              <w:rPr>
                <w:rFonts w:ascii="Times New Roman" w:hAnsi="Times New Roman"/>
                <w:color w:val="000000" w:themeColor="text1"/>
                <w:spacing w:val="-2"/>
              </w:rPr>
              <w:t>czeń ze zwolnienia podmiotowego określonych w art. 113 ust. 13 pkt 1 lit. f i g ustawy o VAT</w:t>
            </w:r>
            <w:r>
              <w:rPr>
                <w:rFonts w:ascii="Times New Roman" w:hAnsi="Times New Roman"/>
                <w:color w:val="000000" w:themeColor="text1"/>
                <w:spacing w:val="-2"/>
              </w:rPr>
              <w:t xml:space="preserve">. </w:t>
            </w:r>
          </w:p>
          <w:p w14:paraId="2C886BE5" w14:textId="77777777" w:rsidR="00C33E96" w:rsidRPr="00945976" w:rsidRDefault="00C33E96" w:rsidP="00AC7BAF">
            <w:pPr>
              <w:spacing w:after="120" w:line="240" w:lineRule="auto"/>
              <w:rPr>
                <w:rFonts w:ascii="Times New Roman" w:hAnsi="Times New Roman"/>
                <w:color w:val="000000" w:themeColor="text1"/>
                <w:spacing w:val="-2"/>
              </w:rPr>
            </w:pPr>
            <w:r>
              <w:rPr>
                <w:rFonts w:ascii="Times New Roman" w:hAnsi="Times New Roman"/>
                <w:color w:val="000000" w:themeColor="text1"/>
                <w:spacing w:val="-2"/>
              </w:rPr>
              <w:t>Doprecyzowanie brzmienia</w:t>
            </w:r>
            <w:r w:rsidRPr="00121630">
              <w:rPr>
                <w:rFonts w:ascii="Times New Roman" w:hAnsi="Times New Roman"/>
                <w:color w:val="000000" w:themeColor="text1"/>
                <w:spacing w:val="-2"/>
              </w:rPr>
              <w:t xml:space="preserve"> art. 113 us</w:t>
            </w:r>
            <w:r>
              <w:rPr>
                <w:rFonts w:ascii="Times New Roman" w:hAnsi="Times New Roman"/>
                <w:color w:val="000000" w:themeColor="text1"/>
                <w:spacing w:val="-2"/>
              </w:rPr>
              <w:t>t. 13 pkt 1 lit. g ustawy o VAT dotyczące wyłączenia ze zwolnienia podmiotowego w VAT  zarówno części i akcesoriów</w:t>
            </w:r>
            <w:r w:rsidRPr="00121630">
              <w:rPr>
                <w:rFonts w:ascii="Times New Roman" w:hAnsi="Times New Roman"/>
                <w:color w:val="000000" w:themeColor="text1"/>
                <w:spacing w:val="-2"/>
              </w:rPr>
              <w:t xml:space="preserve"> do pojazdów samochodowych i motocykli.</w:t>
            </w:r>
            <w:r>
              <w:rPr>
                <w:rFonts w:ascii="Times New Roman" w:hAnsi="Times New Roman"/>
                <w:color w:val="000000" w:themeColor="text1"/>
                <w:spacing w:val="-2"/>
              </w:rPr>
              <w:t xml:space="preserve"> </w:t>
            </w:r>
          </w:p>
        </w:tc>
      </w:tr>
      <w:tr w:rsidR="00575B5D" w:rsidRPr="00945976" w14:paraId="577B7EBC" w14:textId="77777777" w:rsidTr="00AC7BAF">
        <w:trPr>
          <w:gridAfter w:val="1"/>
          <w:wAfter w:w="10" w:type="dxa"/>
          <w:trHeight w:val="142"/>
        </w:trPr>
        <w:tc>
          <w:tcPr>
            <w:tcW w:w="2668" w:type="dxa"/>
            <w:gridSpan w:val="5"/>
            <w:shd w:val="clear" w:color="auto" w:fill="auto"/>
          </w:tcPr>
          <w:p w14:paraId="59481685" w14:textId="77777777" w:rsidR="00575B5D" w:rsidRPr="00575B5D" w:rsidRDefault="00575B5D" w:rsidP="00575B5D">
            <w:pPr>
              <w:spacing w:after="120" w:line="240" w:lineRule="auto"/>
              <w:rPr>
                <w:rFonts w:ascii="Times New Roman" w:hAnsi="Times New Roman"/>
                <w:color w:val="000000" w:themeColor="text1"/>
              </w:rPr>
            </w:pPr>
            <w:r w:rsidRPr="00575B5D">
              <w:rPr>
                <w:rFonts w:ascii="Times New Roman" w:hAnsi="Times New Roman"/>
                <w:color w:val="000000" w:themeColor="text1"/>
              </w:rPr>
              <w:t xml:space="preserve">Podmioty gospodarki narodowej podlegające opodatkowaniu podatkiem od towarów i usług  (ustalanym na podstawie symboli grupowań PKWiU), dokonujące transakcji w zakresie towarów i usług objętych obligatoryjnym mechanizmem odwróconej płatności, czyli towarów i usług wymienionych w załączniku nr 15 do ustawy. </w:t>
            </w:r>
          </w:p>
          <w:p w14:paraId="3D94D66A" w14:textId="77777777" w:rsidR="00575B5D" w:rsidRPr="00945976" w:rsidRDefault="00575B5D" w:rsidP="00B64FB6">
            <w:pPr>
              <w:spacing w:after="120" w:line="240" w:lineRule="auto"/>
              <w:rPr>
                <w:rFonts w:ascii="Times New Roman" w:hAnsi="Times New Roman"/>
                <w:color w:val="000000" w:themeColor="text1"/>
              </w:rPr>
            </w:pPr>
          </w:p>
        </w:tc>
        <w:tc>
          <w:tcPr>
            <w:tcW w:w="1614" w:type="dxa"/>
            <w:gridSpan w:val="2"/>
            <w:shd w:val="clear" w:color="auto" w:fill="auto"/>
          </w:tcPr>
          <w:p w14:paraId="11F28224" w14:textId="77777777" w:rsidR="00575B5D" w:rsidRPr="00575B5D" w:rsidRDefault="00575B5D" w:rsidP="00575B5D">
            <w:pPr>
              <w:spacing w:line="240" w:lineRule="auto"/>
              <w:rPr>
                <w:rFonts w:ascii="Times New Roman" w:hAnsi="Times New Roman"/>
                <w:color w:val="000000" w:themeColor="text1"/>
                <w:spacing w:val="-2"/>
              </w:rPr>
            </w:pPr>
            <w:r>
              <w:rPr>
                <w:rFonts w:ascii="Times New Roman" w:hAnsi="Times New Roman"/>
                <w:color w:val="000000" w:themeColor="text1"/>
                <w:spacing w:val="-2"/>
              </w:rPr>
              <w:t xml:space="preserve">Szacuje się, że wprowadzane </w:t>
            </w:r>
            <w:r w:rsidRPr="00575B5D">
              <w:rPr>
                <w:rFonts w:ascii="Times New Roman" w:hAnsi="Times New Roman"/>
                <w:color w:val="000000" w:themeColor="text1"/>
                <w:spacing w:val="-2"/>
              </w:rPr>
              <w:t>rozwiąz</w:t>
            </w:r>
            <w:r>
              <w:rPr>
                <w:rFonts w:ascii="Times New Roman" w:hAnsi="Times New Roman"/>
                <w:color w:val="000000" w:themeColor="text1"/>
                <w:spacing w:val="-2"/>
              </w:rPr>
              <w:t>ania</w:t>
            </w:r>
            <w:r w:rsidRPr="00575B5D">
              <w:rPr>
                <w:rFonts w:ascii="Times New Roman" w:hAnsi="Times New Roman"/>
                <w:color w:val="000000" w:themeColor="text1"/>
                <w:spacing w:val="-2"/>
              </w:rPr>
              <w:t xml:space="preserve"> </w:t>
            </w:r>
            <w:r>
              <w:rPr>
                <w:rFonts w:ascii="Times New Roman" w:hAnsi="Times New Roman"/>
                <w:color w:val="000000" w:themeColor="text1"/>
                <w:spacing w:val="-2"/>
              </w:rPr>
              <w:t>będą dotyczyły</w:t>
            </w:r>
            <w:r w:rsidR="00AC7BAF">
              <w:rPr>
                <w:rFonts w:ascii="Times New Roman" w:hAnsi="Times New Roman"/>
                <w:color w:val="000000" w:themeColor="text1"/>
                <w:spacing w:val="-2"/>
              </w:rPr>
              <w:t xml:space="preserve">   ok. </w:t>
            </w:r>
            <w:r w:rsidRPr="00575B5D">
              <w:rPr>
                <w:rFonts w:ascii="Times New Roman" w:hAnsi="Times New Roman"/>
                <w:color w:val="000000" w:themeColor="text1"/>
                <w:spacing w:val="-2"/>
              </w:rPr>
              <w:t xml:space="preserve">554 000 podmiotów  </w:t>
            </w:r>
          </w:p>
          <w:p w14:paraId="1F776C8E" w14:textId="77777777" w:rsidR="00575B5D" w:rsidRPr="00945976" w:rsidRDefault="00575B5D" w:rsidP="00A365CA">
            <w:pPr>
              <w:spacing w:line="240" w:lineRule="auto"/>
              <w:rPr>
                <w:rFonts w:ascii="Times New Roman" w:hAnsi="Times New Roman"/>
                <w:color w:val="000000" w:themeColor="text1"/>
                <w:spacing w:val="-2"/>
              </w:rPr>
            </w:pPr>
          </w:p>
        </w:tc>
        <w:tc>
          <w:tcPr>
            <w:tcW w:w="3827" w:type="dxa"/>
            <w:gridSpan w:val="11"/>
            <w:shd w:val="clear" w:color="auto" w:fill="auto"/>
          </w:tcPr>
          <w:p w14:paraId="438C5662" w14:textId="77777777" w:rsidR="00575B5D" w:rsidRPr="00945976" w:rsidRDefault="00575B5D" w:rsidP="00B64FB6">
            <w:pPr>
              <w:spacing w:after="120" w:line="240" w:lineRule="auto"/>
              <w:rPr>
                <w:rFonts w:ascii="Times New Roman" w:hAnsi="Times New Roman"/>
                <w:color w:val="000000" w:themeColor="text1"/>
                <w:spacing w:val="-2"/>
              </w:rPr>
            </w:pPr>
            <w:r>
              <w:rPr>
                <w:rFonts w:ascii="Times New Roman" w:hAnsi="Times New Roman"/>
                <w:color w:val="000000" w:themeColor="text1"/>
                <w:spacing w:val="-2"/>
              </w:rPr>
              <w:t>D</w:t>
            </w:r>
            <w:r w:rsidRPr="00575B5D">
              <w:rPr>
                <w:rFonts w:ascii="Times New Roman" w:hAnsi="Times New Roman"/>
                <w:color w:val="000000" w:themeColor="text1"/>
                <w:spacing w:val="-2"/>
              </w:rPr>
              <w:t xml:space="preserve">ane zaczerpnięte </w:t>
            </w:r>
            <w:r w:rsidRPr="00575B5D">
              <w:rPr>
                <w:rFonts w:ascii="Times New Roman" w:hAnsi="Times New Roman"/>
                <w:color w:val="000000" w:themeColor="text1"/>
                <w:spacing w:val="-2"/>
              </w:rPr>
              <w:br/>
              <w:t>z Hurtowni danych SPR wg stanu na dzień 20 lutego 2019 r.</w:t>
            </w:r>
            <w:r>
              <w:rPr>
                <w:rFonts w:ascii="Times New Roman" w:hAnsi="Times New Roman"/>
                <w:color w:val="000000" w:themeColor="text1"/>
                <w:spacing w:val="-2"/>
              </w:rPr>
              <w:t xml:space="preserve"> czyli na dzień szacowania ilości podatników przy wprowadzaniu obowiązkowej formy mechanizmu podzielonej płatności.</w:t>
            </w:r>
          </w:p>
        </w:tc>
        <w:tc>
          <w:tcPr>
            <w:tcW w:w="2828" w:type="dxa"/>
            <w:gridSpan w:val="5"/>
            <w:shd w:val="clear" w:color="auto" w:fill="auto"/>
          </w:tcPr>
          <w:p w14:paraId="79DABC6C" w14:textId="77777777" w:rsidR="00575B5D" w:rsidRPr="00945976" w:rsidRDefault="00575B5D" w:rsidP="00575B5D">
            <w:pPr>
              <w:spacing w:after="120" w:line="240" w:lineRule="auto"/>
              <w:rPr>
                <w:rFonts w:ascii="Times New Roman" w:hAnsi="Times New Roman"/>
                <w:color w:val="000000" w:themeColor="text1"/>
                <w:spacing w:val="-2"/>
              </w:rPr>
            </w:pPr>
            <w:r>
              <w:rPr>
                <w:rFonts w:ascii="Times New Roman" w:hAnsi="Times New Roman"/>
                <w:color w:val="000000" w:themeColor="text1"/>
                <w:spacing w:val="-2"/>
              </w:rPr>
              <w:t xml:space="preserve">Konieczność przełożenia  symboli PKWiU </w:t>
            </w:r>
            <w:r w:rsidRPr="00575B5D">
              <w:rPr>
                <w:rFonts w:ascii="Times New Roman" w:hAnsi="Times New Roman"/>
                <w:color w:val="000000" w:themeColor="text1"/>
                <w:spacing w:val="-2"/>
              </w:rPr>
              <w:t>2008 na symbole PKWiU 2015</w:t>
            </w:r>
            <w:r w:rsidR="00AC7BAF">
              <w:rPr>
                <w:rFonts w:ascii="Times New Roman" w:hAnsi="Times New Roman"/>
                <w:color w:val="000000" w:themeColor="text1"/>
                <w:spacing w:val="-2"/>
              </w:rPr>
              <w:t xml:space="preserve"> w załączniku nr 15 do ustawy o </w:t>
            </w:r>
            <w:r w:rsidRPr="00575B5D">
              <w:rPr>
                <w:rFonts w:ascii="Times New Roman" w:hAnsi="Times New Roman"/>
                <w:color w:val="000000" w:themeColor="text1"/>
                <w:spacing w:val="-2"/>
              </w:rPr>
              <w:t>VAT</w:t>
            </w:r>
            <w:r>
              <w:rPr>
                <w:rFonts w:ascii="Times New Roman" w:hAnsi="Times New Roman"/>
                <w:color w:val="000000" w:themeColor="text1"/>
                <w:spacing w:val="-2"/>
              </w:rPr>
              <w:t xml:space="preserve"> .</w:t>
            </w:r>
          </w:p>
        </w:tc>
      </w:tr>
      <w:tr w:rsidR="00467ABF" w:rsidRPr="00945976" w14:paraId="4A9AD547" w14:textId="77777777" w:rsidTr="00AC7BAF">
        <w:trPr>
          <w:gridAfter w:val="1"/>
          <w:wAfter w:w="10" w:type="dxa"/>
          <w:trHeight w:val="142"/>
        </w:trPr>
        <w:tc>
          <w:tcPr>
            <w:tcW w:w="2668" w:type="dxa"/>
            <w:gridSpan w:val="5"/>
            <w:shd w:val="clear" w:color="auto" w:fill="auto"/>
          </w:tcPr>
          <w:p w14:paraId="37B9C3BF" w14:textId="77777777" w:rsidR="0064430E" w:rsidRPr="00945976" w:rsidRDefault="0064430E"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Podatnicy z zakresu TAX FREE</w:t>
            </w:r>
          </w:p>
        </w:tc>
        <w:tc>
          <w:tcPr>
            <w:tcW w:w="1614" w:type="dxa"/>
            <w:gridSpan w:val="2"/>
            <w:shd w:val="clear" w:color="auto" w:fill="auto"/>
          </w:tcPr>
          <w:p w14:paraId="6C973ADE" w14:textId="77777777" w:rsidR="008C1DF7" w:rsidRPr="00945976" w:rsidRDefault="008C1DF7"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 xml:space="preserve">Ponad </w:t>
            </w:r>
            <w:r w:rsidR="008560DE" w:rsidRPr="00945976">
              <w:rPr>
                <w:rFonts w:ascii="Times New Roman" w:hAnsi="Times New Roman"/>
                <w:color w:val="000000" w:themeColor="text1"/>
                <w:spacing w:val="-2"/>
              </w:rPr>
              <w:t xml:space="preserve">6,9 </w:t>
            </w:r>
            <w:r w:rsidRPr="00945976">
              <w:rPr>
                <w:rFonts w:ascii="Times New Roman" w:hAnsi="Times New Roman"/>
                <w:color w:val="000000" w:themeColor="text1"/>
                <w:spacing w:val="-2"/>
              </w:rPr>
              <w:t>tysięcy firm</w:t>
            </w:r>
          </w:p>
        </w:tc>
        <w:tc>
          <w:tcPr>
            <w:tcW w:w="3827" w:type="dxa"/>
            <w:gridSpan w:val="11"/>
            <w:shd w:val="clear" w:color="auto" w:fill="auto"/>
          </w:tcPr>
          <w:p w14:paraId="00BA579B" w14:textId="77777777" w:rsidR="00027655" w:rsidRPr="00945976" w:rsidRDefault="00027655" w:rsidP="00B64FB6">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t>Dane IAS za 2016 rok</w:t>
            </w:r>
          </w:p>
          <w:p w14:paraId="07BF79A7" w14:textId="77777777" w:rsidR="008C1DF7" w:rsidRPr="00945976" w:rsidRDefault="008C1DF7" w:rsidP="003A39A7">
            <w:pPr>
              <w:spacing w:after="120" w:line="240" w:lineRule="auto"/>
              <w:jc w:val="both"/>
              <w:rPr>
                <w:rFonts w:ascii="Times New Roman" w:hAnsi="Times New Roman"/>
                <w:color w:val="000000" w:themeColor="text1"/>
                <w:spacing w:val="-2"/>
              </w:rPr>
            </w:pPr>
          </w:p>
        </w:tc>
        <w:tc>
          <w:tcPr>
            <w:tcW w:w="2828" w:type="dxa"/>
            <w:gridSpan w:val="5"/>
            <w:shd w:val="clear" w:color="auto" w:fill="auto"/>
          </w:tcPr>
          <w:p w14:paraId="57AAB2D1" w14:textId="77777777" w:rsidR="008C1DF7" w:rsidRPr="00945976" w:rsidRDefault="00913C5F" w:rsidP="00AC7BAF">
            <w:pPr>
              <w:spacing w:after="120" w:line="240" w:lineRule="auto"/>
              <w:rPr>
                <w:rFonts w:ascii="Times New Roman" w:hAnsi="Times New Roman"/>
                <w:color w:val="000000" w:themeColor="text1"/>
                <w:spacing w:val="-2"/>
              </w:rPr>
            </w:pPr>
            <w:r w:rsidRPr="00913C5F">
              <w:rPr>
                <w:rFonts w:ascii="Times New Roman" w:hAnsi="Times New Roman"/>
                <w:color w:val="000000" w:themeColor="text1"/>
                <w:spacing w:val="-2"/>
              </w:rPr>
              <w:t xml:space="preserve">Bezpośrednie – podatnicy </w:t>
            </w:r>
            <w:r>
              <w:rPr>
                <w:rFonts w:ascii="Times New Roman" w:hAnsi="Times New Roman"/>
                <w:color w:val="000000" w:themeColor="text1"/>
                <w:spacing w:val="-2"/>
              </w:rPr>
              <w:t>dokonujący</w:t>
            </w:r>
            <w:r w:rsidRPr="00913C5F">
              <w:rPr>
                <w:rFonts w:ascii="Times New Roman" w:hAnsi="Times New Roman"/>
                <w:color w:val="000000" w:themeColor="text1"/>
                <w:spacing w:val="-2"/>
              </w:rPr>
              <w:t xml:space="preserve"> sprzedaży towarów z zastosowaniem dokumentów TAX FREE będą zobowiązani do korzystania z elek</w:t>
            </w:r>
            <w:r w:rsidR="00367F32">
              <w:rPr>
                <w:rFonts w:ascii="Times New Roman" w:hAnsi="Times New Roman"/>
                <w:color w:val="000000" w:themeColor="text1"/>
                <w:spacing w:val="-2"/>
              </w:rPr>
              <w:t>tronicznego systemu TAX FREE na </w:t>
            </w:r>
            <w:r w:rsidRPr="00913C5F">
              <w:rPr>
                <w:rFonts w:ascii="Times New Roman" w:hAnsi="Times New Roman"/>
                <w:color w:val="000000" w:themeColor="text1"/>
                <w:spacing w:val="-2"/>
              </w:rPr>
              <w:t>Platformie Usług Elektronicz</w:t>
            </w:r>
            <w:r>
              <w:rPr>
                <w:rFonts w:ascii="Times New Roman" w:hAnsi="Times New Roman"/>
                <w:color w:val="000000" w:themeColor="text1"/>
                <w:spacing w:val="-2"/>
              </w:rPr>
              <w:t>nych Ska</w:t>
            </w:r>
            <w:r w:rsidR="00367F32">
              <w:rPr>
                <w:rFonts w:ascii="Times New Roman" w:hAnsi="Times New Roman"/>
                <w:color w:val="000000" w:themeColor="text1"/>
                <w:spacing w:val="-2"/>
              </w:rPr>
              <w:t>rbowo – Celnych (PUESC) oraz do </w:t>
            </w:r>
            <w:r>
              <w:rPr>
                <w:rFonts w:ascii="Times New Roman" w:hAnsi="Times New Roman"/>
                <w:color w:val="000000" w:themeColor="text1"/>
                <w:spacing w:val="-2"/>
              </w:rPr>
              <w:t>stosowania kas online</w:t>
            </w:r>
          </w:p>
        </w:tc>
      </w:tr>
      <w:tr w:rsidR="00467ABF" w:rsidRPr="00945976" w14:paraId="05A168D7" w14:textId="77777777" w:rsidTr="00AC7BAF">
        <w:trPr>
          <w:gridAfter w:val="1"/>
          <w:wAfter w:w="10" w:type="dxa"/>
          <w:trHeight w:val="142"/>
        </w:trPr>
        <w:tc>
          <w:tcPr>
            <w:tcW w:w="2668" w:type="dxa"/>
            <w:gridSpan w:val="5"/>
            <w:shd w:val="clear" w:color="auto" w:fill="auto"/>
          </w:tcPr>
          <w:p w14:paraId="30F4E2C1" w14:textId="77777777" w:rsidR="008C1DF7" w:rsidRPr="00945976" w:rsidRDefault="008C1DF7"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lastRenderedPageBreak/>
              <w:t>Podmioty pośredniczące</w:t>
            </w:r>
          </w:p>
        </w:tc>
        <w:tc>
          <w:tcPr>
            <w:tcW w:w="1614" w:type="dxa"/>
            <w:gridSpan w:val="2"/>
            <w:shd w:val="clear" w:color="auto" w:fill="auto"/>
          </w:tcPr>
          <w:p w14:paraId="3DABD769" w14:textId="77777777" w:rsidR="008C1DF7" w:rsidRPr="00945976" w:rsidRDefault="008C1DF7"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Obecnie w Polsce funkcjonuje jeden podmiot pośredniczący.</w:t>
            </w:r>
          </w:p>
        </w:tc>
        <w:tc>
          <w:tcPr>
            <w:tcW w:w="3827" w:type="dxa"/>
            <w:gridSpan w:val="11"/>
            <w:shd w:val="clear" w:color="auto" w:fill="auto"/>
          </w:tcPr>
          <w:p w14:paraId="0473B40F" w14:textId="77777777" w:rsidR="008C1DF7" w:rsidRPr="00945976" w:rsidRDefault="008C1DF7" w:rsidP="00B64FB6">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t>Dane własne KAS za 2018 rok</w:t>
            </w:r>
          </w:p>
          <w:p w14:paraId="65CF5FEA" w14:textId="77777777" w:rsidR="008C1DF7" w:rsidRPr="00945976" w:rsidRDefault="008C1DF7" w:rsidP="00B64FB6">
            <w:pPr>
              <w:spacing w:after="120" w:line="240" w:lineRule="auto"/>
              <w:rPr>
                <w:rFonts w:ascii="Times New Roman" w:hAnsi="Times New Roman"/>
                <w:color w:val="000000" w:themeColor="text1"/>
                <w:spacing w:val="-2"/>
              </w:rPr>
            </w:pPr>
          </w:p>
        </w:tc>
        <w:tc>
          <w:tcPr>
            <w:tcW w:w="2828" w:type="dxa"/>
            <w:gridSpan w:val="5"/>
            <w:shd w:val="clear" w:color="auto" w:fill="auto"/>
          </w:tcPr>
          <w:p w14:paraId="5F9F8440" w14:textId="77777777" w:rsidR="008C1DF7" w:rsidRPr="00945976" w:rsidRDefault="008C1DF7" w:rsidP="0094597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Bezpośrednie – podmioty pośredniczące, dokonujące zwrotu podatku VAT będą zobowiązane do dostosowania posiadanego systemu rozliczania podatku do wprowadzanych rozwiązań.</w:t>
            </w:r>
          </w:p>
        </w:tc>
      </w:tr>
      <w:tr w:rsidR="00467ABF" w:rsidRPr="00945976" w14:paraId="4A9E809F" w14:textId="77777777" w:rsidTr="00AC7BAF">
        <w:trPr>
          <w:gridAfter w:val="1"/>
          <w:wAfter w:w="10" w:type="dxa"/>
          <w:trHeight w:val="142"/>
        </w:trPr>
        <w:tc>
          <w:tcPr>
            <w:tcW w:w="2668" w:type="dxa"/>
            <w:gridSpan w:val="5"/>
            <w:shd w:val="clear" w:color="auto" w:fill="auto"/>
          </w:tcPr>
          <w:p w14:paraId="1C3FAE90" w14:textId="77777777" w:rsidR="008C1DF7" w:rsidRPr="00945976" w:rsidRDefault="008C1DF7" w:rsidP="00B64FB6">
            <w:pPr>
              <w:tabs>
                <w:tab w:val="left" w:pos="1560"/>
              </w:tabs>
              <w:spacing w:after="120" w:line="240" w:lineRule="auto"/>
              <w:rPr>
                <w:rFonts w:ascii="Times New Roman" w:hAnsi="Times New Roman"/>
                <w:color w:val="000000" w:themeColor="text1"/>
              </w:rPr>
            </w:pPr>
            <w:r w:rsidRPr="00945976">
              <w:rPr>
                <w:rFonts w:ascii="Times New Roman" w:hAnsi="Times New Roman"/>
                <w:color w:val="000000" w:themeColor="text1"/>
                <w:spacing w:val="-2"/>
              </w:rPr>
              <w:t>Podróżni</w:t>
            </w:r>
          </w:p>
        </w:tc>
        <w:tc>
          <w:tcPr>
            <w:tcW w:w="1614" w:type="dxa"/>
            <w:gridSpan w:val="2"/>
            <w:shd w:val="clear" w:color="auto" w:fill="auto"/>
          </w:tcPr>
          <w:p w14:paraId="52189577" w14:textId="77777777" w:rsidR="008C1DF7" w:rsidRPr="00945976" w:rsidRDefault="008C1DF7"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Ponad 600 tysięcy podróżnych.</w:t>
            </w:r>
          </w:p>
        </w:tc>
        <w:tc>
          <w:tcPr>
            <w:tcW w:w="3827" w:type="dxa"/>
            <w:gridSpan w:val="11"/>
            <w:shd w:val="clear" w:color="auto" w:fill="auto"/>
          </w:tcPr>
          <w:p w14:paraId="142AD731" w14:textId="77777777" w:rsidR="008C1DF7" w:rsidRPr="00945976" w:rsidRDefault="008C1DF7"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Dane własne KAS za 2018 rok</w:t>
            </w:r>
          </w:p>
        </w:tc>
        <w:tc>
          <w:tcPr>
            <w:tcW w:w="2828" w:type="dxa"/>
            <w:gridSpan w:val="5"/>
            <w:shd w:val="clear" w:color="auto" w:fill="auto"/>
          </w:tcPr>
          <w:p w14:paraId="4A8E27ED" w14:textId="77777777" w:rsidR="008C1DF7" w:rsidRPr="00945976" w:rsidRDefault="008C1DF7" w:rsidP="0094597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Bezpośrednie – elektroniczna obsługa dokumentów T</w:t>
            </w:r>
            <w:r w:rsidR="00945976">
              <w:rPr>
                <w:rFonts w:ascii="Times New Roman" w:hAnsi="Times New Roman"/>
                <w:color w:val="000000" w:themeColor="text1"/>
                <w:spacing w:val="-2"/>
              </w:rPr>
              <w:t>AX FREE pozwoli na ułatwienie i </w:t>
            </w:r>
            <w:r w:rsidRPr="00945976">
              <w:rPr>
                <w:rFonts w:ascii="Times New Roman" w:hAnsi="Times New Roman"/>
                <w:color w:val="000000" w:themeColor="text1"/>
                <w:spacing w:val="-2"/>
              </w:rPr>
              <w:t>przyśpieszenie wy</w:t>
            </w:r>
            <w:r w:rsidR="00945976">
              <w:rPr>
                <w:rFonts w:ascii="Times New Roman" w:hAnsi="Times New Roman"/>
                <w:color w:val="000000" w:themeColor="text1"/>
                <w:spacing w:val="-2"/>
              </w:rPr>
              <w:t>wozu przez podróżnych towarów z </w:t>
            </w:r>
            <w:r w:rsidRPr="00945976">
              <w:rPr>
                <w:rFonts w:ascii="Times New Roman" w:hAnsi="Times New Roman"/>
                <w:color w:val="000000" w:themeColor="text1"/>
                <w:spacing w:val="-2"/>
              </w:rPr>
              <w:t>zastosowaniem dokumentów TAX FREE oraz otrzymanie zwrotu zapłaconego podatku. Podróżni, w celu przyśpieszenia odprawy granicznej, nie będą musieli samodzielnie dokonywać rejestracji dokumentów TAX FREE w systemie (w 2018 roku  ponad 100 t</w:t>
            </w:r>
            <w:r w:rsidR="00945976">
              <w:rPr>
                <w:rFonts w:ascii="Times New Roman" w:hAnsi="Times New Roman"/>
                <w:color w:val="000000" w:themeColor="text1"/>
                <w:spacing w:val="-2"/>
              </w:rPr>
              <w:t>ysięcy podróżnych skorzystało z </w:t>
            </w:r>
            <w:r w:rsidRPr="00945976">
              <w:rPr>
                <w:rFonts w:ascii="Times New Roman" w:hAnsi="Times New Roman"/>
                <w:color w:val="000000" w:themeColor="text1"/>
                <w:spacing w:val="-2"/>
              </w:rPr>
              <w:t>takiej możliwości).</w:t>
            </w:r>
          </w:p>
        </w:tc>
      </w:tr>
      <w:tr w:rsidR="00467ABF" w:rsidRPr="00945976" w14:paraId="4EB48ED6" w14:textId="77777777" w:rsidTr="00AC7BAF">
        <w:trPr>
          <w:gridAfter w:val="1"/>
          <w:wAfter w:w="10" w:type="dxa"/>
          <w:trHeight w:val="142"/>
        </w:trPr>
        <w:tc>
          <w:tcPr>
            <w:tcW w:w="2668" w:type="dxa"/>
            <w:gridSpan w:val="5"/>
            <w:shd w:val="clear" w:color="auto" w:fill="auto"/>
          </w:tcPr>
          <w:p w14:paraId="3DB91F37" w14:textId="77777777" w:rsidR="009A32E0" w:rsidRPr="00945976" w:rsidRDefault="009A32E0" w:rsidP="00B64FB6">
            <w:pPr>
              <w:tabs>
                <w:tab w:val="left" w:pos="1560"/>
              </w:tabs>
              <w:spacing w:after="120" w:line="240" w:lineRule="auto"/>
              <w:rPr>
                <w:rFonts w:ascii="Times New Roman" w:hAnsi="Times New Roman"/>
                <w:color w:val="000000" w:themeColor="text1"/>
              </w:rPr>
            </w:pPr>
            <w:r w:rsidRPr="00945976">
              <w:rPr>
                <w:rFonts w:ascii="Times New Roman" w:hAnsi="Times New Roman"/>
                <w:iCs/>
              </w:rPr>
              <w:t>Pracownicy Krajowej Administracji Skarbowej i funkcjonariusze Służby Celno-Skarbowej</w:t>
            </w:r>
          </w:p>
        </w:tc>
        <w:tc>
          <w:tcPr>
            <w:tcW w:w="1614" w:type="dxa"/>
            <w:gridSpan w:val="2"/>
            <w:shd w:val="clear" w:color="auto" w:fill="auto"/>
          </w:tcPr>
          <w:p w14:paraId="01EF5774" w14:textId="77777777" w:rsidR="008C1DF7" w:rsidRPr="00945976" w:rsidRDefault="008C1DF7" w:rsidP="00B64FB6">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t>Osoby zajmujące się rejestracją, kontrolą sprzedawców oraz funkcjonariusze w granicznych OC obsługujący TAX FREE.</w:t>
            </w:r>
          </w:p>
          <w:p w14:paraId="55FAA1C8" w14:textId="77777777" w:rsidR="008C1DF7" w:rsidRPr="00945976" w:rsidRDefault="008C1DF7" w:rsidP="00B64FB6">
            <w:pPr>
              <w:spacing w:after="120" w:line="240" w:lineRule="auto"/>
              <w:rPr>
                <w:rFonts w:ascii="Times New Roman" w:hAnsi="Times New Roman"/>
                <w:color w:val="000000" w:themeColor="text1"/>
                <w:spacing w:val="-2"/>
              </w:rPr>
            </w:pPr>
          </w:p>
        </w:tc>
        <w:tc>
          <w:tcPr>
            <w:tcW w:w="3827" w:type="dxa"/>
            <w:gridSpan w:val="11"/>
            <w:shd w:val="clear" w:color="auto" w:fill="auto"/>
          </w:tcPr>
          <w:p w14:paraId="0B1D48AF" w14:textId="77777777" w:rsidR="008C1DF7" w:rsidRPr="00945976" w:rsidRDefault="008C1DF7"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Dane własne KAS</w:t>
            </w:r>
          </w:p>
        </w:tc>
        <w:tc>
          <w:tcPr>
            <w:tcW w:w="2828" w:type="dxa"/>
            <w:gridSpan w:val="5"/>
            <w:shd w:val="clear" w:color="auto" w:fill="auto"/>
          </w:tcPr>
          <w:p w14:paraId="7D7A0F94" w14:textId="77777777" w:rsidR="008C1DF7" w:rsidRPr="00945976" w:rsidRDefault="008C1DF7" w:rsidP="00B64FB6">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Bezpośrednie – uproszczenie procedury związanej z potwierdzaniem w granicznych oddziałach celnych wywozu przez podróżnych poza terytorium UE towarów z zastosowaniem dokumentów TAX FREE, ułatw</w:t>
            </w:r>
            <w:r w:rsidR="00945976">
              <w:rPr>
                <w:rFonts w:ascii="Times New Roman" w:hAnsi="Times New Roman"/>
                <w:color w:val="000000" w:themeColor="text1"/>
                <w:spacing w:val="-2"/>
              </w:rPr>
              <w:t>ienie czynności analitycznych i </w:t>
            </w:r>
            <w:r w:rsidRPr="00945976">
              <w:rPr>
                <w:rFonts w:ascii="Times New Roman" w:hAnsi="Times New Roman"/>
                <w:color w:val="000000" w:themeColor="text1"/>
                <w:spacing w:val="-2"/>
              </w:rPr>
              <w:t xml:space="preserve">kontrolnych poprzez wykorzystanie elektronicznej bazy dokumentów TAX FREE. </w:t>
            </w:r>
          </w:p>
        </w:tc>
      </w:tr>
      <w:tr w:rsidR="002528DD" w:rsidRPr="00945976" w14:paraId="5750B29C" w14:textId="77777777" w:rsidTr="002528DD">
        <w:trPr>
          <w:gridAfter w:val="1"/>
          <w:wAfter w:w="10" w:type="dxa"/>
          <w:trHeight w:val="142"/>
        </w:trPr>
        <w:tc>
          <w:tcPr>
            <w:tcW w:w="2668" w:type="dxa"/>
            <w:gridSpan w:val="5"/>
            <w:shd w:val="clear" w:color="auto" w:fill="auto"/>
          </w:tcPr>
          <w:p w14:paraId="7FD87B22" w14:textId="77777777" w:rsidR="002528DD" w:rsidRPr="00945976" w:rsidRDefault="002528DD" w:rsidP="002528DD">
            <w:pPr>
              <w:tabs>
                <w:tab w:val="left" w:pos="1560"/>
              </w:tabs>
              <w:spacing w:after="120" w:line="240" w:lineRule="auto"/>
              <w:jc w:val="both"/>
              <w:rPr>
                <w:rFonts w:ascii="Times New Roman" w:hAnsi="Times New Roman"/>
                <w:iCs/>
              </w:rPr>
            </w:pPr>
            <w:r w:rsidRPr="00F821AA">
              <w:rPr>
                <w:rFonts w:ascii="Times New Roman" w:hAnsi="Times New Roman"/>
                <w:iCs/>
              </w:rPr>
              <w:t>Pracownicy Krajowej Administracji Skarbowej</w:t>
            </w:r>
          </w:p>
        </w:tc>
        <w:tc>
          <w:tcPr>
            <w:tcW w:w="1614" w:type="dxa"/>
            <w:gridSpan w:val="2"/>
            <w:shd w:val="clear" w:color="auto" w:fill="auto"/>
          </w:tcPr>
          <w:p w14:paraId="2EF8CDED" w14:textId="77777777" w:rsidR="002528DD" w:rsidRPr="00945976" w:rsidRDefault="002528DD" w:rsidP="002528DD">
            <w:pPr>
              <w:spacing w:after="120" w:line="240" w:lineRule="auto"/>
              <w:jc w:val="both"/>
              <w:rPr>
                <w:rFonts w:ascii="Times New Roman" w:hAnsi="Times New Roman"/>
                <w:color w:val="000000" w:themeColor="text1"/>
                <w:spacing w:val="-2"/>
              </w:rPr>
            </w:pPr>
            <w:r>
              <w:rPr>
                <w:rFonts w:ascii="Times New Roman" w:hAnsi="Times New Roman"/>
                <w:color w:val="000000" w:themeColor="text1"/>
                <w:spacing w:val="-2"/>
              </w:rPr>
              <w:t xml:space="preserve">Osoby zajmujące się weryfikacją plików JPK_VAT podatników </w:t>
            </w:r>
          </w:p>
        </w:tc>
        <w:tc>
          <w:tcPr>
            <w:tcW w:w="3827" w:type="dxa"/>
            <w:gridSpan w:val="11"/>
            <w:shd w:val="clear" w:color="auto" w:fill="auto"/>
          </w:tcPr>
          <w:p w14:paraId="1A00B945" w14:textId="77777777" w:rsidR="002528DD" w:rsidRPr="00945976" w:rsidRDefault="002528DD" w:rsidP="002528DD">
            <w:pPr>
              <w:spacing w:after="120" w:line="240" w:lineRule="auto"/>
              <w:jc w:val="both"/>
              <w:rPr>
                <w:rFonts w:ascii="Times New Roman" w:hAnsi="Times New Roman"/>
                <w:color w:val="000000" w:themeColor="text1"/>
                <w:spacing w:val="-2"/>
              </w:rPr>
            </w:pPr>
            <w:r w:rsidRPr="00F821AA">
              <w:rPr>
                <w:rFonts w:ascii="Times New Roman" w:hAnsi="Times New Roman"/>
                <w:color w:val="000000" w:themeColor="text1"/>
                <w:spacing w:val="-2"/>
              </w:rPr>
              <w:t>Dane własne KAS</w:t>
            </w:r>
          </w:p>
        </w:tc>
        <w:tc>
          <w:tcPr>
            <w:tcW w:w="2828" w:type="dxa"/>
            <w:gridSpan w:val="5"/>
            <w:shd w:val="clear" w:color="auto" w:fill="auto"/>
          </w:tcPr>
          <w:p w14:paraId="28D03A13" w14:textId="77777777" w:rsidR="002528DD" w:rsidRPr="00945976" w:rsidRDefault="002528DD" w:rsidP="00AC7BAF">
            <w:pPr>
              <w:spacing w:after="120" w:line="240" w:lineRule="auto"/>
              <w:rPr>
                <w:rFonts w:ascii="Times New Roman" w:hAnsi="Times New Roman"/>
                <w:color w:val="000000" w:themeColor="text1"/>
                <w:spacing w:val="-2"/>
              </w:rPr>
            </w:pPr>
            <w:r w:rsidRPr="00F821AA">
              <w:rPr>
                <w:rFonts w:ascii="Times New Roman" w:hAnsi="Times New Roman"/>
                <w:color w:val="000000" w:themeColor="text1"/>
                <w:spacing w:val="-2"/>
              </w:rPr>
              <w:t>Bezpośrednie –</w:t>
            </w:r>
            <w:r>
              <w:t xml:space="preserve"> </w:t>
            </w:r>
            <w:r>
              <w:rPr>
                <w:rFonts w:ascii="Times New Roman" w:hAnsi="Times New Roman"/>
                <w:color w:val="000000" w:themeColor="text1"/>
                <w:spacing w:val="-2"/>
              </w:rPr>
              <w:t xml:space="preserve">wprowadzenie regulacji zgodnie z którą </w:t>
            </w:r>
            <w:r w:rsidRPr="009A5122">
              <w:rPr>
                <w:rFonts w:ascii="Times New Roman" w:hAnsi="Times New Roman"/>
                <w:color w:val="000000" w:themeColor="text1"/>
                <w:spacing w:val="-2"/>
              </w:rPr>
              <w:t>do kar pieniężnych przewidzianych w ust</w:t>
            </w:r>
            <w:r>
              <w:rPr>
                <w:rFonts w:ascii="Times New Roman" w:hAnsi="Times New Roman"/>
                <w:color w:val="000000" w:themeColor="text1"/>
                <w:spacing w:val="-2"/>
              </w:rPr>
              <w:t xml:space="preserve">awie o VAT </w:t>
            </w:r>
            <w:r w:rsidR="00D55B33" w:rsidRPr="00CA23D1">
              <w:rPr>
                <w:rFonts w:ascii="Times New Roman" w:hAnsi="Times New Roman"/>
                <w:color w:val="000000" w:themeColor="text1"/>
                <w:sz w:val="24"/>
                <w:szCs w:val="24"/>
              </w:rPr>
              <w:t>za błędy w ewidencji</w:t>
            </w:r>
            <w:r w:rsidR="00D55B33">
              <w:rPr>
                <w:rFonts w:ascii="Times New Roman" w:hAnsi="Times New Roman"/>
                <w:color w:val="000000" w:themeColor="text1"/>
                <w:spacing w:val="-2"/>
              </w:rPr>
              <w:t xml:space="preserve"> </w:t>
            </w:r>
            <w:r>
              <w:rPr>
                <w:rFonts w:ascii="Times New Roman" w:hAnsi="Times New Roman"/>
                <w:color w:val="000000" w:themeColor="text1"/>
                <w:spacing w:val="-2"/>
              </w:rPr>
              <w:t xml:space="preserve">stosuje się przepisy </w:t>
            </w:r>
            <w:r w:rsidRPr="009A5122">
              <w:rPr>
                <w:rFonts w:ascii="Times New Roman" w:hAnsi="Times New Roman"/>
                <w:color w:val="000000" w:themeColor="text1"/>
                <w:spacing w:val="-2"/>
              </w:rPr>
              <w:t>Ordynacji podatkowej.</w:t>
            </w:r>
          </w:p>
        </w:tc>
      </w:tr>
      <w:tr w:rsidR="00467ABF" w:rsidRPr="00945976" w14:paraId="46B13283" w14:textId="77777777" w:rsidTr="00695F17">
        <w:trPr>
          <w:gridAfter w:val="1"/>
          <w:wAfter w:w="10" w:type="dxa"/>
          <w:trHeight w:val="302"/>
        </w:trPr>
        <w:tc>
          <w:tcPr>
            <w:tcW w:w="10937" w:type="dxa"/>
            <w:gridSpan w:val="23"/>
            <w:shd w:val="clear" w:color="auto" w:fill="99CCFF"/>
            <w:vAlign w:val="center"/>
          </w:tcPr>
          <w:p w14:paraId="4DE0DDFE" w14:textId="77777777" w:rsidR="008C1DF7" w:rsidRPr="00945976" w:rsidRDefault="008C1DF7" w:rsidP="00E44005">
            <w:pPr>
              <w:numPr>
                <w:ilvl w:val="0"/>
                <w:numId w:val="3"/>
              </w:numPr>
              <w:spacing w:after="120" w:line="240" w:lineRule="auto"/>
              <w:ind w:left="318" w:hanging="284"/>
              <w:jc w:val="both"/>
              <w:rPr>
                <w:rFonts w:ascii="Times New Roman" w:hAnsi="Times New Roman"/>
                <w:b/>
                <w:color w:val="000000" w:themeColor="text1"/>
              </w:rPr>
            </w:pPr>
            <w:r w:rsidRPr="00945976">
              <w:rPr>
                <w:rFonts w:ascii="Times New Roman" w:hAnsi="Times New Roman"/>
                <w:b/>
                <w:color w:val="000000" w:themeColor="text1"/>
              </w:rPr>
              <w:t>Informacje na temat zakresu, czasu trwania i podsumowanie wyników konsultacji</w:t>
            </w:r>
          </w:p>
        </w:tc>
      </w:tr>
      <w:tr w:rsidR="00467ABF" w:rsidRPr="00945976" w14:paraId="0A16618C" w14:textId="77777777" w:rsidTr="00695F17">
        <w:trPr>
          <w:gridAfter w:val="1"/>
          <w:wAfter w:w="10" w:type="dxa"/>
          <w:trHeight w:val="342"/>
        </w:trPr>
        <w:tc>
          <w:tcPr>
            <w:tcW w:w="10937" w:type="dxa"/>
            <w:gridSpan w:val="23"/>
            <w:shd w:val="clear" w:color="auto" w:fill="FFFFFF"/>
          </w:tcPr>
          <w:p w14:paraId="16EBB23F" w14:textId="77777777" w:rsidR="00AC7BAF" w:rsidRPr="009F44F3" w:rsidRDefault="002A7B91" w:rsidP="00D55B33">
            <w:pPr>
              <w:jc w:val="both"/>
              <w:rPr>
                <w:rFonts w:ascii="Times New Roman" w:hAnsi="Times New Roman"/>
                <w:color w:val="000000" w:themeColor="text1"/>
                <w:spacing w:val="-2"/>
              </w:rPr>
            </w:pPr>
            <w:r w:rsidRPr="00945976">
              <w:rPr>
                <w:rFonts w:ascii="Times New Roman" w:hAnsi="Times New Roman"/>
                <w:color w:val="000000" w:themeColor="text1"/>
                <w:spacing w:val="-2"/>
              </w:rPr>
              <w:t xml:space="preserve">Projekt </w:t>
            </w:r>
            <w:r w:rsidR="00793119" w:rsidRPr="00945976">
              <w:rPr>
                <w:rFonts w:ascii="Times New Roman" w:hAnsi="Times New Roman"/>
                <w:color w:val="000000" w:themeColor="text1"/>
                <w:spacing w:val="-2"/>
              </w:rPr>
              <w:t>zostanie udostępniony w BIP R</w:t>
            </w:r>
            <w:r w:rsidR="003C1DCB" w:rsidRPr="00945976">
              <w:rPr>
                <w:rFonts w:ascii="Times New Roman" w:hAnsi="Times New Roman"/>
                <w:color w:val="000000" w:themeColor="text1"/>
                <w:spacing w:val="-2"/>
              </w:rPr>
              <w:t>C</w:t>
            </w:r>
            <w:r w:rsidR="00793119" w:rsidRPr="00945976">
              <w:rPr>
                <w:rFonts w:ascii="Times New Roman" w:hAnsi="Times New Roman"/>
                <w:color w:val="000000" w:themeColor="text1"/>
                <w:spacing w:val="-2"/>
              </w:rPr>
              <w:t xml:space="preserve">L oraz </w:t>
            </w:r>
            <w:r w:rsidRPr="00945976">
              <w:rPr>
                <w:rFonts w:ascii="Times New Roman" w:hAnsi="Times New Roman"/>
                <w:color w:val="000000" w:themeColor="text1"/>
                <w:spacing w:val="-2"/>
              </w:rPr>
              <w:t xml:space="preserve">będzie przedmiotem uzgodnień </w:t>
            </w:r>
            <w:r w:rsidR="00793119" w:rsidRPr="00945976">
              <w:rPr>
                <w:rFonts w:ascii="Times New Roman" w:hAnsi="Times New Roman"/>
                <w:color w:val="000000" w:themeColor="text1"/>
                <w:spacing w:val="-2"/>
              </w:rPr>
              <w:t xml:space="preserve">międzyresortowych, opiniowania </w:t>
            </w:r>
            <w:r w:rsidRPr="00945976">
              <w:rPr>
                <w:rFonts w:ascii="Times New Roman" w:hAnsi="Times New Roman"/>
                <w:color w:val="000000" w:themeColor="text1"/>
                <w:spacing w:val="-2"/>
              </w:rPr>
              <w:t>i konsultacji publicznych.</w:t>
            </w:r>
            <w:r w:rsidR="004724F2" w:rsidRPr="00945976">
              <w:rPr>
                <w:rFonts w:ascii="Times New Roman" w:hAnsi="Times New Roman"/>
                <w:color w:val="000000" w:themeColor="text1"/>
                <w:spacing w:val="-2"/>
              </w:rPr>
              <w:t xml:space="preserve"> </w:t>
            </w:r>
            <w:r w:rsidR="002528DD" w:rsidRPr="009F44F3">
              <w:rPr>
                <w:rFonts w:ascii="Times New Roman" w:hAnsi="Times New Roman"/>
                <w:color w:val="000000" w:themeColor="text1"/>
                <w:spacing w:val="-2"/>
              </w:rPr>
              <w:t xml:space="preserve">Ze względu na charakter projektowanych zmian mających na celu przede wszystkim </w:t>
            </w:r>
            <w:r w:rsidR="002528DD">
              <w:rPr>
                <w:rFonts w:ascii="Times New Roman" w:hAnsi="Times New Roman"/>
                <w:color w:val="000000" w:themeColor="text1"/>
                <w:spacing w:val="-2"/>
              </w:rPr>
              <w:t xml:space="preserve">uproszczenie rozliczeń VAT oraz doprecyzowanie niektórych konstrukcji VAT, przewiduje się wyznaczenie 21 dni do zgłoszenia uwag. </w:t>
            </w:r>
          </w:p>
          <w:p w14:paraId="6B21C884" w14:textId="77777777" w:rsidR="008C1DF7" w:rsidRPr="00945976" w:rsidRDefault="002528DD" w:rsidP="00AC7BAF">
            <w:pPr>
              <w:jc w:val="both"/>
              <w:rPr>
                <w:rFonts w:ascii="Times New Roman" w:hAnsi="Times New Roman"/>
                <w:color w:val="000000" w:themeColor="text1"/>
                <w:spacing w:val="-2"/>
              </w:rPr>
            </w:pPr>
            <w:r w:rsidRPr="00054127">
              <w:rPr>
                <w:rFonts w:ascii="Times New Roman" w:hAnsi="Times New Roman"/>
                <w:color w:val="000000"/>
                <w:spacing w:val="-2"/>
              </w:rPr>
              <w:t xml:space="preserve">Projekt zostanie przekazany do partnerów społecznych, </w:t>
            </w:r>
            <w:r>
              <w:rPr>
                <w:rFonts w:ascii="Times New Roman" w:hAnsi="Times New Roman"/>
                <w:color w:val="000000"/>
                <w:spacing w:val="-2"/>
              </w:rPr>
              <w:t>m.in</w:t>
            </w:r>
            <w:r w:rsidRPr="00054127">
              <w:rPr>
                <w:rFonts w:ascii="Times New Roman" w:hAnsi="Times New Roman"/>
                <w:color w:val="000000"/>
                <w:spacing w:val="-2"/>
              </w:rPr>
              <w:t>.</w:t>
            </w:r>
            <w:r>
              <w:rPr>
                <w:rFonts w:ascii="Times New Roman" w:hAnsi="Times New Roman"/>
                <w:color w:val="000000"/>
                <w:spacing w:val="-2"/>
              </w:rPr>
              <w:t xml:space="preserve"> </w:t>
            </w:r>
            <w:r w:rsidR="006B35B3" w:rsidRPr="00424F3D">
              <w:rPr>
                <w:rFonts w:ascii="Times New Roman" w:hAnsi="Times New Roman"/>
              </w:rPr>
              <w:t xml:space="preserve">Business Centre Club, Stowarzyszenie Księgowych w Polsce, Naczelna Rada Adwokacka, Polska Izba Biegłych Rewidentów, Naczelna Rada Zrzeszeń Handlu i Usług, Krajowa Izba Doradców Podatkowych, Krajowa Izba Gospodarcza, Pracodawcy Rzeczypospolitej Polskiej, Konfederacja LEWIATAN, Krajowa Izba Radców Prawnych, Polska Rada Biznesu, </w:t>
            </w:r>
            <w:r w:rsidR="006B35B3" w:rsidRPr="00424F3D">
              <w:rPr>
                <w:rFonts w:ascii="Times New Roman" w:hAnsi="Times New Roman"/>
                <w:lang w:val="cs-CZ"/>
              </w:rPr>
              <w:t xml:space="preserve">Polska Izba Handlu, Polska Organizacja Handlu i Dystrybucji, Polska Izba Paliw Płynnych, Polska Organizacja Gazu Płynnego, Polska Organizacja Przemysłu i Handlu Naftowego, </w:t>
            </w:r>
            <w:r w:rsidR="006B35B3" w:rsidRPr="00424F3D">
              <w:rPr>
                <w:rFonts w:ascii="Times New Roman" w:hAnsi="Times New Roman"/>
                <w:lang w:val="cs-CZ"/>
              </w:rPr>
              <w:lastRenderedPageBreak/>
              <w:t xml:space="preserve">Związek Importerów i Producentów Sprzętu Elektrycznego i Elektronicznego Branży RTV i IT – ZIPSEE „Cyfrowa Polska”, Polska Izba Informatyki i Telekomunikacji, Izba Gospodarki Elektronicznej, Krajowa Izba Gospodarcza Elektroniki i Telekomunikacji, Polska Izba Komunikacji Elektronicznej, </w:t>
            </w:r>
            <w:r w:rsidR="006B35B3" w:rsidRPr="00424F3D">
              <w:rPr>
                <w:rFonts w:ascii="Times New Roman" w:hAnsi="Times New Roman"/>
              </w:rPr>
              <w:t>Związek Przedsiębiorców i Pracodawców, Federacja Przedsiębiorców Polskich</w:t>
            </w:r>
            <w:r w:rsidR="006B35B3">
              <w:rPr>
                <w:rFonts w:ascii="Times New Roman" w:hAnsi="Times New Roman"/>
              </w:rPr>
              <w:t xml:space="preserve">, </w:t>
            </w:r>
            <w:r w:rsidR="006B35B3" w:rsidRPr="00424F3D">
              <w:rPr>
                <w:rFonts w:ascii="Times New Roman" w:hAnsi="Times New Roman"/>
              </w:rPr>
              <w:t>Związek Rzemiosła Polskiego</w:t>
            </w:r>
            <w:r w:rsidR="006B35B3">
              <w:rPr>
                <w:rFonts w:ascii="Times New Roman" w:hAnsi="Times New Roman"/>
              </w:rPr>
              <w:t xml:space="preserve">, </w:t>
            </w:r>
            <w:r w:rsidR="006B35B3" w:rsidRPr="00424F3D">
              <w:rPr>
                <w:rFonts w:ascii="Times New Roman" w:hAnsi="Times New Roman"/>
              </w:rPr>
              <w:t>Ogólnopol</w:t>
            </w:r>
            <w:r w:rsidR="00AC7BAF">
              <w:rPr>
                <w:rFonts w:ascii="Times New Roman" w:hAnsi="Times New Roman"/>
              </w:rPr>
              <w:t>ska Federacja Przedsiębiorców i </w:t>
            </w:r>
            <w:r w:rsidR="006B35B3" w:rsidRPr="00424F3D">
              <w:rPr>
                <w:rFonts w:ascii="Times New Roman" w:hAnsi="Times New Roman"/>
              </w:rPr>
              <w:t>Pracodawców Przedsiębiorcy.pl</w:t>
            </w:r>
            <w:r w:rsidR="006B35B3">
              <w:rPr>
                <w:rFonts w:ascii="Times New Roman" w:hAnsi="Times New Roman"/>
              </w:rPr>
              <w:t xml:space="preserve">,  </w:t>
            </w:r>
            <w:r w:rsidR="006B35B3" w:rsidRPr="00424F3D">
              <w:rPr>
                <w:rFonts w:ascii="Times New Roman" w:hAnsi="Times New Roman"/>
              </w:rPr>
              <w:t xml:space="preserve">Europejska Unia Małych i Średnich Przedsiębiorstw oraz Klasy Średniej </w:t>
            </w:r>
            <w:r w:rsidR="006B35B3">
              <w:rPr>
                <w:rFonts w:ascii="Times New Roman" w:hAnsi="Times New Roman"/>
              </w:rPr>
              <w:t>–</w:t>
            </w:r>
            <w:r w:rsidR="006B35B3" w:rsidRPr="00424F3D">
              <w:rPr>
                <w:rFonts w:ascii="Times New Roman" w:hAnsi="Times New Roman"/>
              </w:rPr>
              <w:t xml:space="preserve"> UNICORN</w:t>
            </w:r>
            <w:r w:rsidR="006B35B3">
              <w:rPr>
                <w:rFonts w:ascii="Times New Roman" w:hAnsi="Times New Roman"/>
              </w:rPr>
              <w:t xml:space="preserve">,  </w:t>
            </w:r>
            <w:r w:rsidR="006B35B3" w:rsidRPr="00424F3D">
              <w:rPr>
                <w:rFonts w:ascii="Times New Roman" w:hAnsi="Times New Roman"/>
              </w:rPr>
              <w:t>Izba Przemysłowo-Handlowa Inwestorów w Polsce</w:t>
            </w:r>
            <w:r w:rsidR="006B35B3">
              <w:rPr>
                <w:rFonts w:ascii="Times New Roman" w:hAnsi="Times New Roman"/>
              </w:rPr>
              <w:t xml:space="preserve">, </w:t>
            </w:r>
            <w:r w:rsidR="006B35B3" w:rsidRPr="00424F3D">
              <w:rPr>
                <w:rFonts w:ascii="Times New Roman" w:hAnsi="Times New Roman"/>
              </w:rPr>
              <w:t>Polska Izba Gospodarcza Importerów, Eksporterów i Kooperacji</w:t>
            </w:r>
            <w:r w:rsidR="006B35B3">
              <w:rPr>
                <w:rFonts w:ascii="Times New Roman" w:hAnsi="Times New Roman"/>
              </w:rPr>
              <w:t xml:space="preserve">, </w:t>
            </w:r>
            <w:r w:rsidR="006B35B3" w:rsidRPr="00457291">
              <w:rPr>
                <w:rFonts w:ascii="Times New Roman" w:hAnsi="Times New Roman"/>
              </w:rPr>
              <w:t>Stowarzyszenie Eksporterów Polskich</w:t>
            </w:r>
            <w:r w:rsidR="006B35B3">
              <w:rPr>
                <w:rFonts w:ascii="Times New Roman" w:hAnsi="Times New Roman"/>
              </w:rPr>
              <w:t xml:space="preserve">, </w:t>
            </w:r>
            <w:r w:rsidR="006B35B3" w:rsidRPr="00457291">
              <w:rPr>
                <w:rFonts w:ascii="Times New Roman" w:hAnsi="Times New Roman"/>
              </w:rPr>
              <w:t>Krajowe Stowarzyszenie Eksporterzy Rzeczypospolitej Polskiej</w:t>
            </w:r>
            <w:r w:rsidR="006B35B3">
              <w:rPr>
                <w:rFonts w:ascii="Times New Roman" w:hAnsi="Times New Roman"/>
              </w:rPr>
              <w:t xml:space="preserve">, </w:t>
            </w:r>
            <w:r w:rsidR="006B35B3" w:rsidRPr="00457291">
              <w:rPr>
                <w:rFonts w:ascii="Times New Roman" w:hAnsi="Times New Roman"/>
              </w:rPr>
              <w:t>Polska Rada Centrów Handlowych</w:t>
            </w:r>
            <w:r w:rsidR="006B35B3">
              <w:rPr>
                <w:rFonts w:ascii="Times New Roman" w:hAnsi="Times New Roman"/>
              </w:rPr>
              <w:t xml:space="preserve">, </w:t>
            </w:r>
            <w:r w:rsidR="006B35B3" w:rsidRPr="00457291">
              <w:rPr>
                <w:rFonts w:ascii="Times New Roman" w:hAnsi="Times New Roman"/>
              </w:rPr>
              <w:t>Ogólnopolskie Stowarzyszenie Kupców i Drobnej Wytwórczości</w:t>
            </w:r>
            <w:r w:rsidR="006B35B3">
              <w:rPr>
                <w:rFonts w:ascii="Times New Roman" w:hAnsi="Times New Roman"/>
              </w:rPr>
              <w:t xml:space="preserve">, </w:t>
            </w:r>
            <w:r w:rsidR="006B35B3" w:rsidRPr="00457291">
              <w:rPr>
                <w:rFonts w:ascii="Times New Roman" w:hAnsi="Times New Roman"/>
              </w:rPr>
              <w:t>Izba Gospodarcza Metali Nieżelaznych i Recyklingu</w:t>
            </w:r>
            <w:r w:rsidR="006B35B3">
              <w:rPr>
                <w:rFonts w:ascii="Times New Roman" w:hAnsi="Times New Roman"/>
              </w:rPr>
              <w:t xml:space="preserve">, </w:t>
            </w:r>
            <w:r w:rsidR="006B35B3" w:rsidRPr="00457291">
              <w:rPr>
                <w:rFonts w:ascii="Times New Roman" w:hAnsi="Times New Roman"/>
              </w:rPr>
              <w:t>Hutnicza Izba Przemysłowo-Handlowa</w:t>
            </w:r>
            <w:r w:rsidR="006B35B3">
              <w:rPr>
                <w:rFonts w:ascii="Times New Roman" w:hAnsi="Times New Roman"/>
              </w:rPr>
              <w:t xml:space="preserve">, </w:t>
            </w:r>
            <w:r w:rsidR="006B35B3" w:rsidRPr="00457291">
              <w:rPr>
                <w:rFonts w:ascii="Times New Roman" w:hAnsi="Times New Roman"/>
              </w:rPr>
              <w:t>Federacja Gospodarki Żywnościowej RP</w:t>
            </w:r>
            <w:r w:rsidR="006B35B3">
              <w:rPr>
                <w:rFonts w:ascii="Times New Roman" w:hAnsi="Times New Roman"/>
              </w:rPr>
              <w:t xml:space="preserve">, </w:t>
            </w:r>
            <w:r w:rsidR="006B35B3" w:rsidRPr="00457291">
              <w:rPr>
                <w:rFonts w:ascii="Times New Roman" w:hAnsi="Times New Roman"/>
              </w:rPr>
              <w:t>Krajowa Izba Gospodarcza „Przemysłu Spożywczego i Opakowań”</w:t>
            </w:r>
            <w:r w:rsidR="006B35B3">
              <w:rPr>
                <w:rFonts w:ascii="Times New Roman" w:hAnsi="Times New Roman"/>
              </w:rPr>
              <w:t xml:space="preserve">, </w:t>
            </w:r>
            <w:r w:rsidR="006B35B3" w:rsidRPr="00457291">
              <w:rPr>
                <w:rFonts w:ascii="Times New Roman" w:hAnsi="Times New Roman"/>
              </w:rPr>
              <w:t>Izba Gospodarcza Hotelarstwa Polskiego</w:t>
            </w:r>
            <w:r w:rsidR="006B35B3">
              <w:rPr>
                <w:rFonts w:ascii="Times New Roman" w:hAnsi="Times New Roman"/>
              </w:rPr>
              <w:t xml:space="preserve">, </w:t>
            </w:r>
            <w:r w:rsidR="006B35B3" w:rsidRPr="00457291">
              <w:rPr>
                <w:rFonts w:ascii="Times New Roman" w:hAnsi="Times New Roman"/>
              </w:rPr>
              <w:t>Rada Krajowa Federacji Konsumentów</w:t>
            </w:r>
            <w:r w:rsidR="006B35B3">
              <w:rPr>
                <w:rFonts w:ascii="Times New Roman" w:hAnsi="Times New Roman"/>
              </w:rPr>
              <w:t xml:space="preserve">, </w:t>
            </w:r>
            <w:r w:rsidR="006B35B3" w:rsidRPr="00457291">
              <w:rPr>
                <w:rFonts w:ascii="Times New Roman" w:hAnsi="Times New Roman"/>
              </w:rPr>
              <w:t>Fundacja Rozwoju Rachunkowości w Polsce</w:t>
            </w:r>
            <w:r w:rsidR="006B35B3">
              <w:rPr>
                <w:rFonts w:ascii="Times New Roman" w:hAnsi="Times New Roman"/>
              </w:rPr>
              <w:t xml:space="preserve">, </w:t>
            </w:r>
            <w:r w:rsidR="006B35B3" w:rsidRPr="00457291">
              <w:rPr>
                <w:rFonts w:ascii="Times New Roman" w:hAnsi="Times New Roman"/>
              </w:rPr>
              <w:t>Stowarzyszenie Samozatrudnieni</w:t>
            </w:r>
            <w:r w:rsidR="006B35B3">
              <w:rPr>
                <w:rFonts w:ascii="Times New Roman" w:hAnsi="Times New Roman"/>
              </w:rPr>
              <w:t xml:space="preserve">, </w:t>
            </w:r>
            <w:r w:rsidR="006B35B3" w:rsidRPr="00457291">
              <w:rPr>
                <w:rFonts w:ascii="Times New Roman" w:hAnsi="Times New Roman"/>
              </w:rPr>
              <w:t>UNICORN Europejska Unia Małych i Średnich Przedsiębiorstw</w:t>
            </w:r>
            <w:r w:rsidR="006B35B3">
              <w:rPr>
                <w:rFonts w:ascii="Times New Roman" w:hAnsi="Times New Roman"/>
              </w:rPr>
              <w:t xml:space="preserve">, </w:t>
            </w:r>
            <w:r w:rsidR="006B35B3" w:rsidRPr="00457291">
              <w:rPr>
                <w:rFonts w:ascii="Times New Roman" w:hAnsi="Times New Roman"/>
              </w:rPr>
              <w:t>Krajowa Izba Biegłych Rewidentów</w:t>
            </w:r>
            <w:r w:rsidR="006B35B3">
              <w:rPr>
                <w:rFonts w:ascii="Times New Roman" w:hAnsi="Times New Roman"/>
              </w:rPr>
              <w:t xml:space="preserve">, </w:t>
            </w:r>
            <w:r w:rsidR="006B35B3" w:rsidRPr="00457291">
              <w:rPr>
                <w:rFonts w:ascii="Times New Roman" w:hAnsi="Times New Roman"/>
              </w:rPr>
              <w:t>Związek Banków Polskich</w:t>
            </w:r>
            <w:r w:rsidR="006B35B3">
              <w:rPr>
                <w:rFonts w:ascii="Times New Roman" w:hAnsi="Times New Roman"/>
              </w:rPr>
              <w:t xml:space="preserve">, </w:t>
            </w:r>
            <w:r w:rsidR="006B35B3" w:rsidRPr="00457291">
              <w:rPr>
                <w:rFonts w:ascii="Times New Roman" w:hAnsi="Times New Roman"/>
              </w:rPr>
              <w:t>Polska Unia Dystrybutorów Stali</w:t>
            </w:r>
            <w:r w:rsidR="006B35B3">
              <w:rPr>
                <w:rFonts w:ascii="Times New Roman" w:hAnsi="Times New Roman"/>
              </w:rPr>
              <w:t xml:space="preserve">, </w:t>
            </w:r>
            <w:r w:rsidR="006B35B3" w:rsidRPr="00457291">
              <w:rPr>
                <w:rFonts w:ascii="Times New Roman" w:hAnsi="Times New Roman"/>
              </w:rPr>
              <w:t>Związek Pracodawców Przemysłu Odzieżowego i Tekstylnego</w:t>
            </w:r>
            <w:r w:rsidR="006B35B3">
              <w:rPr>
                <w:rFonts w:ascii="Times New Roman" w:hAnsi="Times New Roman"/>
              </w:rPr>
              <w:t xml:space="preserve">, </w:t>
            </w:r>
            <w:r w:rsidR="006B35B3" w:rsidRPr="00457291">
              <w:rPr>
                <w:rFonts w:ascii="Times New Roman" w:hAnsi="Times New Roman"/>
              </w:rPr>
              <w:t>Polski Związek Przemysłu Kosmetycznego</w:t>
            </w:r>
            <w:r w:rsidR="006B35B3">
              <w:rPr>
                <w:rFonts w:ascii="Times New Roman" w:hAnsi="Times New Roman"/>
              </w:rPr>
              <w:t xml:space="preserve">, </w:t>
            </w:r>
            <w:r w:rsidR="006B35B3" w:rsidRPr="00457291">
              <w:rPr>
                <w:rFonts w:ascii="Times New Roman" w:hAnsi="Times New Roman"/>
              </w:rPr>
              <w:t>Polskie Stowarzyszenie Przemysłu Kosmetycznego i Detergentowego</w:t>
            </w:r>
            <w:r w:rsidR="006B35B3">
              <w:rPr>
                <w:rFonts w:ascii="Times New Roman" w:hAnsi="Times New Roman"/>
              </w:rPr>
              <w:t xml:space="preserve">, </w:t>
            </w:r>
            <w:r w:rsidR="006B35B3" w:rsidRPr="00457291">
              <w:rPr>
                <w:rFonts w:ascii="Times New Roman" w:hAnsi="Times New Roman"/>
              </w:rPr>
              <w:t>Izba Przemysłowo-Handlowa Gospodarki Złomem</w:t>
            </w:r>
            <w:r w:rsidR="006B35B3">
              <w:rPr>
                <w:rFonts w:ascii="Times New Roman" w:hAnsi="Times New Roman"/>
              </w:rPr>
              <w:t xml:space="preserve">, </w:t>
            </w:r>
            <w:r w:rsidR="006B35B3" w:rsidRPr="00457291">
              <w:rPr>
                <w:rFonts w:ascii="Times New Roman" w:hAnsi="Times New Roman"/>
              </w:rPr>
              <w:t>Polska Izba Komunikacji Elektronicznej</w:t>
            </w:r>
            <w:r w:rsidR="006B35B3">
              <w:rPr>
                <w:rFonts w:ascii="Times New Roman" w:hAnsi="Times New Roman"/>
              </w:rPr>
              <w:t xml:space="preserve">, </w:t>
            </w:r>
            <w:r w:rsidR="006B35B3" w:rsidRPr="00457291">
              <w:rPr>
                <w:rFonts w:ascii="Times New Roman" w:hAnsi="Times New Roman"/>
              </w:rPr>
              <w:t>Federacja Konsumentów</w:t>
            </w:r>
            <w:r w:rsidR="006B35B3">
              <w:rPr>
                <w:rFonts w:ascii="Times New Roman" w:hAnsi="Times New Roman"/>
              </w:rPr>
              <w:t xml:space="preserve">, </w:t>
            </w:r>
            <w:r w:rsidR="006B35B3" w:rsidRPr="00457291">
              <w:rPr>
                <w:rFonts w:ascii="Times New Roman" w:hAnsi="Times New Roman"/>
              </w:rPr>
              <w:t>Stowarzyszenie Konsumentów Polskich</w:t>
            </w:r>
            <w:r w:rsidR="006B35B3">
              <w:rPr>
                <w:rFonts w:ascii="Times New Roman" w:hAnsi="Times New Roman"/>
              </w:rPr>
              <w:t xml:space="preserve">, </w:t>
            </w:r>
            <w:r w:rsidR="006B35B3" w:rsidRPr="00457291">
              <w:rPr>
                <w:rFonts w:ascii="Times New Roman" w:hAnsi="Times New Roman"/>
              </w:rPr>
              <w:t>Fundacja Małych i Średnich Przedsiębiorstw</w:t>
            </w:r>
            <w:r w:rsidR="006B35B3">
              <w:rPr>
                <w:rFonts w:ascii="Times New Roman" w:hAnsi="Times New Roman"/>
              </w:rPr>
              <w:t xml:space="preserve">, </w:t>
            </w:r>
            <w:r w:rsidR="006B35B3" w:rsidRPr="00457291">
              <w:rPr>
                <w:rFonts w:ascii="Times New Roman" w:hAnsi="Times New Roman"/>
              </w:rPr>
              <w:t>Fundacja Republikańska</w:t>
            </w:r>
            <w:r w:rsidR="00AC7BAF">
              <w:rPr>
                <w:rFonts w:ascii="Times New Roman" w:hAnsi="Times New Roman"/>
              </w:rPr>
              <w:t>, Rzecznik Małych i </w:t>
            </w:r>
            <w:r w:rsidR="006B35B3">
              <w:rPr>
                <w:rFonts w:ascii="Times New Roman" w:hAnsi="Times New Roman"/>
              </w:rPr>
              <w:t>Średnich Przedsiębiorców</w:t>
            </w:r>
            <w:r w:rsidR="00BD7581">
              <w:rPr>
                <w:rFonts w:ascii="Times New Roman" w:hAnsi="Times New Roman"/>
              </w:rPr>
              <w:t>, Polska Izba Spedycji i Logistyki</w:t>
            </w:r>
            <w:r w:rsidR="006F0C43">
              <w:rPr>
                <w:rFonts w:ascii="Times New Roman" w:hAnsi="Times New Roman"/>
              </w:rPr>
              <w:t>.</w:t>
            </w:r>
          </w:p>
        </w:tc>
      </w:tr>
      <w:tr w:rsidR="008C1DF7" w:rsidRPr="00945976" w14:paraId="48757B9A" w14:textId="77777777" w:rsidTr="00695F17">
        <w:trPr>
          <w:gridAfter w:val="1"/>
          <w:wAfter w:w="10" w:type="dxa"/>
          <w:trHeight w:val="363"/>
        </w:trPr>
        <w:tc>
          <w:tcPr>
            <w:tcW w:w="10937" w:type="dxa"/>
            <w:gridSpan w:val="23"/>
            <w:shd w:val="clear" w:color="auto" w:fill="99CCFF"/>
            <w:vAlign w:val="center"/>
          </w:tcPr>
          <w:p w14:paraId="17A8F96D" w14:textId="77777777" w:rsidR="008C1DF7" w:rsidRPr="00945976" w:rsidRDefault="008C1DF7" w:rsidP="00E44005">
            <w:pPr>
              <w:numPr>
                <w:ilvl w:val="0"/>
                <w:numId w:val="3"/>
              </w:numPr>
              <w:spacing w:after="120" w:line="240" w:lineRule="auto"/>
              <w:ind w:left="318" w:hanging="284"/>
              <w:jc w:val="both"/>
              <w:rPr>
                <w:rFonts w:ascii="Times New Roman" w:hAnsi="Times New Roman"/>
                <w:b/>
                <w:color w:val="000000" w:themeColor="text1"/>
              </w:rPr>
            </w:pPr>
            <w:r w:rsidRPr="00945976">
              <w:rPr>
                <w:rFonts w:ascii="Times New Roman" w:hAnsi="Times New Roman"/>
                <w:b/>
                <w:color w:val="000000" w:themeColor="text1"/>
              </w:rPr>
              <w:lastRenderedPageBreak/>
              <w:t xml:space="preserve"> Wpływ na sektor finansów publicznych</w:t>
            </w:r>
          </w:p>
        </w:tc>
      </w:tr>
      <w:tr w:rsidR="00467ABF" w:rsidRPr="00945976" w14:paraId="6BCA3347" w14:textId="77777777" w:rsidTr="00695F17">
        <w:trPr>
          <w:gridAfter w:val="1"/>
          <w:wAfter w:w="10" w:type="dxa"/>
          <w:trHeight w:val="142"/>
        </w:trPr>
        <w:tc>
          <w:tcPr>
            <w:tcW w:w="1589" w:type="dxa"/>
            <w:vMerge w:val="restart"/>
            <w:shd w:val="clear" w:color="auto" w:fill="FFFFFF"/>
          </w:tcPr>
          <w:p w14:paraId="5E1394D7" w14:textId="77777777" w:rsidR="008C1DF7" w:rsidRPr="00945976" w:rsidRDefault="008C1DF7" w:rsidP="008B33D9">
            <w:pPr>
              <w:spacing w:after="120" w:line="240" w:lineRule="auto"/>
              <w:rPr>
                <w:rFonts w:ascii="Times New Roman" w:hAnsi="Times New Roman"/>
                <w:i/>
                <w:color w:val="000000" w:themeColor="text1"/>
              </w:rPr>
            </w:pPr>
            <w:r w:rsidRPr="00945976">
              <w:rPr>
                <w:rFonts w:ascii="Times New Roman" w:hAnsi="Times New Roman"/>
                <w:color w:val="000000" w:themeColor="text1"/>
              </w:rPr>
              <w:t xml:space="preserve">(ceny stałe z </w:t>
            </w:r>
            <w:r w:rsidR="008B33D9" w:rsidRPr="00945976">
              <w:rPr>
                <w:rFonts w:ascii="Times New Roman" w:hAnsi="Times New Roman"/>
                <w:color w:val="000000" w:themeColor="text1"/>
              </w:rPr>
              <w:t>201</w:t>
            </w:r>
            <w:r w:rsidR="00567F4E" w:rsidRPr="00945976">
              <w:rPr>
                <w:rFonts w:ascii="Times New Roman" w:hAnsi="Times New Roman"/>
                <w:color w:val="000000" w:themeColor="text1"/>
              </w:rPr>
              <w:t>9</w:t>
            </w:r>
            <w:r w:rsidR="008B33D9" w:rsidRPr="00945976">
              <w:rPr>
                <w:rFonts w:ascii="Times New Roman" w:hAnsi="Times New Roman"/>
                <w:color w:val="000000" w:themeColor="text1"/>
              </w:rPr>
              <w:t xml:space="preserve"> </w:t>
            </w:r>
            <w:r w:rsidRPr="00945976">
              <w:rPr>
                <w:rFonts w:ascii="Times New Roman" w:hAnsi="Times New Roman"/>
                <w:color w:val="000000" w:themeColor="text1"/>
              </w:rPr>
              <w:t>r.)</w:t>
            </w:r>
          </w:p>
        </w:tc>
        <w:tc>
          <w:tcPr>
            <w:tcW w:w="9348" w:type="dxa"/>
            <w:gridSpan w:val="22"/>
            <w:shd w:val="clear" w:color="auto" w:fill="FFFFFF"/>
          </w:tcPr>
          <w:p w14:paraId="3041EA67" w14:textId="77777777" w:rsidR="008C1DF7" w:rsidRPr="00945976" w:rsidRDefault="008C1DF7" w:rsidP="00B64FB6">
            <w:pPr>
              <w:spacing w:after="120" w:line="240" w:lineRule="auto"/>
              <w:jc w:val="center"/>
              <w:rPr>
                <w:rFonts w:ascii="Times New Roman" w:hAnsi="Times New Roman"/>
                <w:i/>
                <w:color w:val="000000" w:themeColor="text1"/>
                <w:spacing w:val="-2"/>
              </w:rPr>
            </w:pPr>
            <w:r w:rsidRPr="00945976">
              <w:rPr>
                <w:rFonts w:ascii="Times New Roman" w:hAnsi="Times New Roman"/>
                <w:color w:val="000000" w:themeColor="text1"/>
              </w:rPr>
              <w:t>Skutki w okresie 10 lat od wejścia w życie zmian [mln zł]</w:t>
            </w:r>
          </w:p>
        </w:tc>
      </w:tr>
      <w:tr w:rsidR="001240FC" w:rsidRPr="00945976" w14:paraId="24BD1084" w14:textId="77777777" w:rsidTr="00AC7BAF">
        <w:trPr>
          <w:gridAfter w:val="1"/>
          <w:wAfter w:w="10" w:type="dxa"/>
          <w:trHeight w:val="142"/>
        </w:trPr>
        <w:tc>
          <w:tcPr>
            <w:tcW w:w="1589" w:type="dxa"/>
            <w:vMerge/>
            <w:shd w:val="clear" w:color="auto" w:fill="FFFFFF"/>
          </w:tcPr>
          <w:p w14:paraId="471E1E08" w14:textId="77777777" w:rsidR="001240FC" w:rsidRPr="00945976" w:rsidRDefault="001240FC" w:rsidP="001240FC">
            <w:pPr>
              <w:spacing w:after="120" w:line="240" w:lineRule="auto"/>
              <w:rPr>
                <w:rFonts w:ascii="Times New Roman" w:hAnsi="Times New Roman"/>
                <w:i/>
                <w:color w:val="000000" w:themeColor="text1"/>
              </w:rPr>
            </w:pPr>
          </w:p>
        </w:tc>
        <w:tc>
          <w:tcPr>
            <w:tcW w:w="992" w:type="dxa"/>
            <w:gridSpan w:val="3"/>
            <w:shd w:val="clear" w:color="auto" w:fill="FFFFFF"/>
          </w:tcPr>
          <w:p w14:paraId="697300D4" w14:textId="77777777" w:rsidR="001240FC" w:rsidRPr="00945976" w:rsidRDefault="00232E6C" w:rsidP="001240FC">
            <w:pPr>
              <w:spacing w:after="120" w:line="240" w:lineRule="auto"/>
              <w:jc w:val="center"/>
              <w:rPr>
                <w:rFonts w:ascii="Times New Roman" w:hAnsi="Times New Roman"/>
                <w:color w:val="000000" w:themeColor="text1"/>
              </w:rPr>
            </w:pPr>
            <w:r>
              <w:rPr>
                <w:rFonts w:ascii="Times New Roman" w:hAnsi="Times New Roman"/>
                <w:color w:val="000000" w:themeColor="text1"/>
              </w:rPr>
              <w:t>2021</w:t>
            </w:r>
          </w:p>
        </w:tc>
        <w:tc>
          <w:tcPr>
            <w:tcW w:w="851" w:type="dxa"/>
            <w:gridSpan w:val="2"/>
            <w:shd w:val="clear" w:color="auto" w:fill="FFFFFF"/>
          </w:tcPr>
          <w:p w14:paraId="7BF3C2BE"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202</w:t>
            </w:r>
            <w:r w:rsidR="00232E6C">
              <w:rPr>
                <w:rFonts w:ascii="Times New Roman" w:hAnsi="Times New Roman"/>
              </w:rPr>
              <w:t>2</w:t>
            </w:r>
          </w:p>
        </w:tc>
        <w:tc>
          <w:tcPr>
            <w:tcW w:w="850" w:type="dxa"/>
            <w:shd w:val="clear" w:color="auto" w:fill="FFFFFF"/>
          </w:tcPr>
          <w:p w14:paraId="5182EB48"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202</w:t>
            </w:r>
            <w:r w:rsidR="00232E6C">
              <w:rPr>
                <w:rFonts w:ascii="Times New Roman" w:hAnsi="Times New Roman"/>
              </w:rPr>
              <w:t>3</w:t>
            </w:r>
          </w:p>
        </w:tc>
        <w:tc>
          <w:tcPr>
            <w:tcW w:w="709" w:type="dxa"/>
            <w:shd w:val="clear" w:color="auto" w:fill="FFFFFF"/>
          </w:tcPr>
          <w:p w14:paraId="26891787"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202</w:t>
            </w:r>
            <w:r w:rsidR="00232E6C">
              <w:rPr>
                <w:rFonts w:ascii="Times New Roman" w:hAnsi="Times New Roman"/>
              </w:rPr>
              <w:t>4</w:t>
            </w:r>
          </w:p>
        </w:tc>
        <w:tc>
          <w:tcPr>
            <w:tcW w:w="709" w:type="dxa"/>
            <w:shd w:val="clear" w:color="auto" w:fill="FFFFFF"/>
          </w:tcPr>
          <w:p w14:paraId="74585EDF"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202</w:t>
            </w:r>
            <w:r w:rsidR="00232E6C">
              <w:rPr>
                <w:rFonts w:ascii="Times New Roman" w:hAnsi="Times New Roman"/>
              </w:rPr>
              <w:t>5</w:t>
            </w:r>
          </w:p>
        </w:tc>
        <w:tc>
          <w:tcPr>
            <w:tcW w:w="708" w:type="dxa"/>
            <w:gridSpan w:val="2"/>
            <w:shd w:val="clear" w:color="auto" w:fill="FFFFFF"/>
          </w:tcPr>
          <w:p w14:paraId="7D3C8021"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202</w:t>
            </w:r>
            <w:r w:rsidR="00232E6C">
              <w:rPr>
                <w:rFonts w:ascii="Times New Roman" w:hAnsi="Times New Roman"/>
              </w:rPr>
              <w:t>6</w:t>
            </w:r>
          </w:p>
        </w:tc>
        <w:tc>
          <w:tcPr>
            <w:tcW w:w="709" w:type="dxa"/>
            <w:gridSpan w:val="3"/>
            <w:shd w:val="clear" w:color="auto" w:fill="FFFFFF"/>
          </w:tcPr>
          <w:p w14:paraId="150C5A37"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202</w:t>
            </w:r>
            <w:r w:rsidR="00232E6C">
              <w:rPr>
                <w:rFonts w:ascii="Times New Roman" w:hAnsi="Times New Roman"/>
              </w:rPr>
              <w:t>7</w:t>
            </w:r>
          </w:p>
        </w:tc>
        <w:tc>
          <w:tcPr>
            <w:tcW w:w="709" w:type="dxa"/>
            <w:gridSpan w:val="3"/>
            <w:shd w:val="clear" w:color="auto" w:fill="FFFFFF"/>
          </w:tcPr>
          <w:p w14:paraId="15EDBCEF"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202</w:t>
            </w:r>
            <w:r w:rsidR="00232E6C">
              <w:rPr>
                <w:rFonts w:ascii="Times New Roman" w:hAnsi="Times New Roman"/>
              </w:rPr>
              <w:t>8</w:t>
            </w:r>
          </w:p>
        </w:tc>
        <w:tc>
          <w:tcPr>
            <w:tcW w:w="709" w:type="dxa"/>
            <w:gridSpan w:val="2"/>
            <w:shd w:val="clear" w:color="auto" w:fill="FFFFFF"/>
          </w:tcPr>
          <w:p w14:paraId="5C75E534"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w:t>
            </w:r>
            <w:r w:rsidR="00232E6C">
              <w:rPr>
                <w:rFonts w:ascii="Times New Roman" w:hAnsi="Times New Roman"/>
              </w:rPr>
              <w:t>29</w:t>
            </w:r>
          </w:p>
        </w:tc>
        <w:tc>
          <w:tcPr>
            <w:tcW w:w="708" w:type="dxa"/>
            <w:shd w:val="clear" w:color="auto" w:fill="FFFFFF"/>
          </w:tcPr>
          <w:p w14:paraId="31E6E790" w14:textId="77777777" w:rsidR="001240FC" w:rsidRPr="00945976" w:rsidRDefault="001240FC" w:rsidP="00567F4E">
            <w:pPr>
              <w:spacing w:after="120" w:line="240" w:lineRule="auto"/>
              <w:jc w:val="center"/>
              <w:rPr>
                <w:rFonts w:ascii="Times New Roman" w:hAnsi="Times New Roman"/>
                <w:color w:val="000000" w:themeColor="text1"/>
              </w:rPr>
            </w:pPr>
            <w:r w:rsidRPr="00945976">
              <w:rPr>
                <w:rFonts w:ascii="Times New Roman" w:hAnsi="Times New Roman"/>
              </w:rPr>
              <w:t>20</w:t>
            </w:r>
            <w:r w:rsidR="00232E6C">
              <w:rPr>
                <w:rFonts w:ascii="Times New Roman" w:hAnsi="Times New Roman"/>
              </w:rPr>
              <w:t>30</w:t>
            </w:r>
          </w:p>
        </w:tc>
        <w:tc>
          <w:tcPr>
            <w:tcW w:w="709" w:type="dxa"/>
            <w:gridSpan w:val="2"/>
            <w:shd w:val="clear" w:color="auto" w:fill="FFFFFF"/>
          </w:tcPr>
          <w:p w14:paraId="024E59D4" w14:textId="77777777" w:rsidR="001240FC" w:rsidRPr="00945976" w:rsidRDefault="00232E6C" w:rsidP="00A5573F">
            <w:pPr>
              <w:spacing w:after="120" w:line="240" w:lineRule="auto"/>
              <w:rPr>
                <w:rFonts w:ascii="Times New Roman" w:hAnsi="Times New Roman"/>
                <w:color w:val="000000" w:themeColor="text1"/>
              </w:rPr>
            </w:pPr>
            <w:r>
              <w:rPr>
                <w:rFonts w:ascii="Times New Roman" w:hAnsi="Times New Roman"/>
                <w:color w:val="000000" w:themeColor="text1"/>
              </w:rPr>
              <w:t>2031</w:t>
            </w:r>
          </w:p>
        </w:tc>
        <w:tc>
          <w:tcPr>
            <w:tcW w:w="985" w:type="dxa"/>
            <w:shd w:val="clear" w:color="auto" w:fill="FFFFFF"/>
          </w:tcPr>
          <w:p w14:paraId="12D8DDAE" w14:textId="77777777" w:rsidR="001240FC" w:rsidRPr="00945976" w:rsidRDefault="001240FC" w:rsidP="00567F4E">
            <w:pPr>
              <w:spacing w:after="120" w:line="240" w:lineRule="auto"/>
              <w:jc w:val="center"/>
              <w:rPr>
                <w:rFonts w:ascii="Times New Roman" w:hAnsi="Times New Roman"/>
                <w:i/>
                <w:color w:val="000000" w:themeColor="text1"/>
                <w:spacing w:val="-2"/>
              </w:rPr>
            </w:pPr>
            <w:r w:rsidRPr="00945976">
              <w:rPr>
                <w:rFonts w:ascii="Times New Roman" w:hAnsi="Times New Roman"/>
                <w:i/>
                <w:color w:val="000000" w:themeColor="text1"/>
                <w:spacing w:val="-2"/>
              </w:rPr>
              <w:t>Łącznie (202</w:t>
            </w:r>
            <w:r w:rsidR="00801B88">
              <w:rPr>
                <w:rFonts w:ascii="Times New Roman" w:hAnsi="Times New Roman"/>
                <w:i/>
                <w:color w:val="000000" w:themeColor="text1"/>
                <w:spacing w:val="-2"/>
              </w:rPr>
              <w:t>1</w:t>
            </w:r>
            <w:r w:rsidRPr="00945976">
              <w:rPr>
                <w:rFonts w:ascii="Times New Roman" w:hAnsi="Times New Roman"/>
                <w:i/>
                <w:color w:val="000000" w:themeColor="text1"/>
                <w:spacing w:val="-2"/>
              </w:rPr>
              <w:t>-203</w:t>
            </w:r>
            <w:r w:rsidR="00801B88">
              <w:rPr>
                <w:rFonts w:ascii="Times New Roman" w:hAnsi="Times New Roman"/>
                <w:i/>
                <w:color w:val="000000" w:themeColor="text1"/>
                <w:spacing w:val="-2"/>
              </w:rPr>
              <w:t>0</w:t>
            </w:r>
            <w:r w:rsidRPr="00945976">
              <w:rPr>
                <w:rFonts w:ascii="Times New Roman" w:hAnsi="Times New Roman"/>
                <w:i/>
                <w:color w:val="000000" w:themeColor="text1"/>
                <w:spacing w:val="-2"/>
              </w:rPr>
              <w:t>)</w:t>
            </w:r>
          </w:p>
        </w:tc>
      </w:tr>
      <w:tr w:rsidR="001240FC" w:rsidRPr="00945976" w14:paraId="0960E468" w14:textId="77777777" w:rsidTr="00AC7BAF">
        <w:trPr>
          <w:trHeight w:val="321"/>
        </w:trPr>
        <w:tc>
          <w:tcPr>
            <w:tcW w:w="1589" w:type="dxa"/>
            <w:shd w:val="clear" w:color="auto" w:fill="FFFFFF"/>
            <w:vAlign w:val="center"/>
          </w:tcPr>
          <w:p w14:paraId="042F5A32"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b/>
                <w:color w:val="000000" w:themeColor="text1"/>
              </w:rPr>
              <w:t>Dochody ogółem</w:t>
            </w:r>
          </w:p>
        </w:tc>
        <w:tc>
          <w:tcPr>
            <w:tcW w:w="992" w:type="dxa"/>
            <w:gridSpan w:val="3"/>
            <w:shd w:val="clear" w:color="auto" w:fill="FFFFFF"/>
          </w:tcPr>
          <w:p w14:paraId="27A3D328"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-160,65</w:t>
            </w:r>
          </w:p>
        </w:tc>
        <w:tc>
          <w:tcPr>
            <w:tcW w:w="851" w:type="dxa"/>
            <w:gridSpan w:val="2"/>
            <w:shd w:val="clear" w:color="auto" w:fill="FFFFFF"/>
          </w:tcPr>
          <w:p w14:paraId="52E878B3"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-165,48</w:t>
            </w:r>
          </w:p>
        </w:tc>
        <w:tc>
          <w:tcPr>
            <w:tcW w:w="850" w:type="dxa"/>
            <w:shd w:val="clear" w:color="auto" w:fill="FFFFFF"/>
          </w:tcPr>
          <w:p w14:paraId="3B6B5CB2"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shd w:val="clear" w:color="auto" w:fill="FFFFFF"/>
          </w:tcPr>
          <w:p w14:paraId="20CFE132"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shd w:val="clear" w:color="auto" w:fill="FFFFFF"/>
          </w:tcPr>
          <w:p w14:paraId="61FF0E68"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8" w:type="dxa"/>
            <w:gridSpan w:val="2"/>
            <w:shd w:val="clear" w:color="auto" w:fill="FFFFFF"/>
          </w:tcPr>
          <w:p w14:paraId="10D8A46B"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3"/>
            <w:shd w:val="clear" w:color="auto" w:fill="FFFFFF"/>
          </w:tcPr>
          <w:p w14:paraId="62286147"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3"/>
            <w:shd w:val="clear" w:color="auto" w:fill="FFFFFF"/>
          </w:tcPr>
          <w:p w14:paraId="4228DAC7"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2"/>
            <w:shd w:val="clear" w:color="auto" w:fill="FFFFFF"/>
          </w:tcPr>
          <w:p w14:paraId="345DD30B"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8" w:type="dxa"/>
            <w:shd w:val="clear" w:color="auto" w:fill="FFFFFF"/>
          </w:tcPr>
          <w:p w14:paraId="0E76232B" w14:textId="77777777" w:rsidR="001240FC" w:rsidRPr="00945976" w:rsidRDefault="00304650" w:rsidP="001240FC">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2"/>
            <w:shd w:val="clear" w:color="auto" w:fill="FFFFFF"/>
          </w:tcPr>
          <w:p w14:paraId="652FD7C0" w14:textId="77777777" w:rsidR="001240FC" w:rsidRPr="00945976" w:rsidRDefault="001240FC" w:rsidP="001240FC">
            <w:pPr>
              <w:spacing w:after="120" w:line="240" w:lineRule="auto"/>
              <w:rPr>
                <w:rFonts w:ascii="Times New Roman" w:hAnsi="Times New Roman"/>
                <w:color w:val="000000" w:themeColor="text1"/>
              </w:rPr>
            </w:pPr>
          </w:p>
        </w:tc>
        <w:tc>
          <w:tcPr>
            <w:tcW w:w="995" w:type="dxa"/>
            <w:gridSpan w:val="2"/>
            <w:shd w:val="clear" w:color="auto" w:fill="FFFFFF"/>
          </w:tcPr>
          <w:p w14:paraId="7774C440" w14:textId="77777777" w:rsidR="00567F4E" w:rsidRPr="00945976" w:rsidRDefault="00304650" w:rsidP="00184307">
            <w:pPr>
              <w:spacing w:after="120" w:line="240" w:lineRule="auto"/>
              <w:rPr>
                <w:rFonts w:ascii="Times New Roman" w:hAnsi="Times New Roman"/>
                <w:color w:val="000000" w:themeColor="text1"/>
                <w:spacing w:val="-2"/>
              </w:rPr>
            </w:pPr>
            <w:r>
              <w:rPr>
                <w:rFonts w:ascii="Times New Roman" w:hAnsi="Times New Roman"/>
                <w:color w:val="000000" w:themeColor="text1"/>
                <w:spacing w:val="-2"/>
              </w:rPr>
              <w:t>-</w:t>
            </w:r>
          </w:p>
          <w:p w14:paraId="5599D3D8" w14:textId="77777777" w:rsidR="001240FC" w:rsidRPr="00945976" w:rsidRDefault="00EB23FB" w:rsidP="00801B88">
            <w:pPr>
              <w:spacing w:after="120" w:line="240" w:lineRule="auto"/>
              <w:rPr>
                <w:rFonts w:ascii="Times New Roman" w:hAnsi="Times New Roman"/>
                <w:color w:val="000000" w:themeColor="text1"/>
                <w:spacing w:val="-2"/>
              </w:rPr>
            </w:pPr>
            <w:r>
              <w:rPr>
                <w:rFonts w:ascii="Times New Roman" w:hAnsi="Times New Roman"/>
                <w:color w:val="000000" w:themeColor="text1"/>
                <w:spacing w:val="-2"/>
              </w:rPr>
              <w:t>1619,</w:t>
            </w:r>
            <w:r w:rsidR="00801B88">
              <w:rPr>
                <w:rFonts w:ascii="Times New Roman" w:hAnsi="Times New Roman"/>
                <w:color w:val="000000" w:themeColor="text1"/>
                <w:spacing w:val="-2"/>
              </w:rPr>
              <w:t>01</w:t>
            </w:r>
          </w:p>
        </w:tc>
      </w:tr>
      <w:tr w:rsidR="001240FC" w:rsidRPr="00945976" w14:paraId="36C0A9B5" w14:textId="77777777" w:rsidTr="00AC7BAF">
        <w:trPr>
          <w:trHeight w:val="548"/>
        </w:trPr>
        <w:tc>
          <w:tcPr>
            <w:tcW w:w="1589" w:type="dxa"/>
            <w:shd w:val="clear" w:color="auto" w:fill="FFFFFF"/>
            <w:vAlign w:val="center"/>
          </w:tcPr>
          <w:p w14:paraId="65272293"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budżet państwa</w:t>
            </w:r>
          </w:p>
        </w:tc>
        <w:tc>
          <w:tcPr>
            <w:tcW w:w="992" w:type="dxa"/>
            <w:gridSpan w:val="3"/>
            <w:shd w:val="clear" w:color="auto" w:fill="FFFFFF"/>
          </w:tcPr>
          <w:p w14:paraId="29665578" w14:textId="77777777" w:rsidR="001240FC" w:rsidRDefault="00CF6B9E" w:rsidP="00184307">
            <w:pPr>
              <w:spacing w:after="120" w:line="240" w:lineRule="auto"/>
              <w:rPr>
                <w:rFonts w:ascii="Times New Roman" w:hAnsi="Times New Roman"/>
                <w:color w:val="000000" w:themeColor="text1"/>
              </w:rPr>
            </w:pPr>
            <w:r>
              <w:rPr>
                <w:rFonts w:ascii="Times New Roman" w:hAnsi="Times New Roman"/>
                <w:color w:val="000000" w:themeColor="text1"/>
              </w:rPr>
              <w:t>A)</w:t>
            </w:r>
          </w:p>
          <w:p w14:paraId="55E99DEE" w14:textId="77777777" w:rsidR="00CF6B9E" w:rsidRDefault="00CF6B9E" w:rsidP="00184307">
            <w:pPr>
              <w:spacing w:after="120" w:line="240" w:lineRule="auto"/>
              <w:rPr>
                <w:rFonts w:ascii="Times New Roman" w:hAnsi="Times New Roman"/>
                <w:color w:val="000000" w:themeColor="text1"/>
              </w:rPr>
            </w:pPr>
            <w:r>
              <w:rPr>
                <w:rFonts w:ascii="Times New Roman" w:hAnsi="Times New Roman"/>
                <w:color w:val="000000" w:themeColor="text1"/>
              </w:rPr>
              <w:t>-57,4</w:t>
            </w:r>
          </w:p>
          <w:p w14:paraId="7E5C9C48" w14:textId="77777777" w:rsidR="005D4E06" w:rsidRDefault="005D4E06" w:rsidP="00184307">
            <w:pPr>
              <w:spacing w:after="120" w:line="240" w:lineRule="auto"/>
              <w:rPr>
                <w:rFonts w:ascii="Times New Roman" w:hAnsi="Times New Roman"/>
                <w:color w:val="000000" w:themeColor="text1"/>
              </w:rPr>
            </w:pPr>
          </w:p>
          <w:p w14:paraId="41E47AC8" w14:textId="77777777" w:rsidR="00CF6B9E" w:rsidRDefault="00CF6B9E" w:rsidP="00184307">
            <w:pPr>
              <w:spacing w:after="120" w:line="240" w:lineRule="auto"/>
              <w:rPr>
                <w:rFonts w:ascii="Times New Roman" w:hAnsi="Times New Roman"/>
                <w:color w:val="000000" w:themeColor="text1"/>
              </w:rPr>
            </w:pPr>
            <w:r>
              <w:rPr>
                <w:rFonts w:ascii="Times New Roman" w:hAnsi="Times New Roman"/>
                <w:color w:val="000000" w:themeColor="text1"/>
              </w:rPr>
              <w:t xml:space="preserve">B) </w:t>
            </w:r>
          </w:p>
          <w:p w14:paraId="7547119C" w14:textId="77777777" w:rsidR="00CF6B9E" w:rsidRPr="00945976" w:rsidRDefault="00CF6B9E" w:rsidP="00184307">
            <w:pPr>
              <w:spacing w:after="120" w:line="240" w:lineRule="auto"/>
              <w:rPr>
                <w:rFonts w:ascii="Times New Roman" w:hAnsi="Times New Roman"/>
                <w:color w:val="000000" w:themeColor="text1"/>
              </w:rPr>
            </w:pPr>
            <w:r>
              <w:rPr>
                <w:rFonts w:ascii="Times New Roman" w:hAnsi="Times New Roman"/>
                <w:color w:val="000000" w:themeColor="text1"/>
              </w:rPr>
              <w:t>-103,25</w:t>
            </w:r>
          </w:p>
        </w:tc>
        <w:tc>
          <w:tcPr>
            <w:tcW w:w="851" w:type="dxa"/>
            <w:gridSpan w:val="2"/>
            <w:shd w:val="clear" w:color="auto" w:fill="FFFFFF"/>
          </w:tcPr>
          <w:p w14:paraId="427B8E66" w14:textId="77777777" w:rsidR="00CF6B9E" w:rsidRDefault="00CF6B9E" w:rsidP="001240FC">
            <w:pPr>
              <w:spacing w:after="120" w:line="240" w:lineRule="auto"/>
              <w:rPr>
                <w:rFonts w:ascii="Times New Roman" w:hAnsi="Times New Roman"/>
                <w:color w:val="000000" w:themeColor="text1"/>
              </w:rPr>
            </w:pPr>
          </w:p>
          <w:p w14:paraId="1912BB4B"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7EA7F6B9" w14:textId="77777777" w:rsidR="00CF6B9E" w:rsidRDefault="00CF6B9E" w:rsidP="001240FC">
            <w:pPr>
              <w:spacing w:after="120" w:line="240" w:lineRule="auto"/>
              <w:rPr>
                <w:rFonts w:ascii="Times New Roman" w:hAnsi="Times New Roman"/>
                <w:color w:val="000000" w:themeColor="text1"/>
              </w:rPr>
            </w:pPr>
          </w:p>
          <w:p w14:paraId="0CB1062E"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7E46C6A2" w14:textId="77777777" w:rsidR="00CF6B9E" w:rsidRDefault="00CF6B9E" w:rsidP="001240FC">
            <w:pPr>
              <w:spacing w:after="120" w:line="240" w:lineRule="auto"/>
              <w:rPr>
                <w:rFonts w:ascii="Times New Roman" w:hAnsi="Times New Roman"/>
                <w:color w:val="000000" w:themeColor="text1"/>
              </w:rPr>
            </w:pPr>
          </w:p>
          <w:p w14:paraId="7C3F3054" w14:textId="77777777" w:rsidR="005D4E06" w:rsidRDefault="005D4E06" w:rsidP="001240FC">
            <w:pPr>
              <w:spacing w:after="120" w:line="240" w:lineRule="auto"/>
              <w:rPr>
                <w:rFonts w:ascii="Times New Roman" w:hAnsi="Times New Roman"/>
                <w:color w:val="000000" w:themeColor="text1"/>
              </w:rPr>
            </w:pPr>
          </w:p>
          <w:p w14:paraId="1F2E13E8" w14:textId="77777777" w:rsidR="00232E6C" w:rsidRDefault="00232E6C" w:rsidP="001240FC">
            <w:pPr>
              <w:spacing w:after="120" w:line="240" w:lineRule="auto"/>
              <w:rPr>
                <w:rFonts w:ascii="Times New Roman" w:hAnsi="Times New Roman"/>
                <w:color w:val="000000" w:themeColor="text1"/>
              </w:rPr>
            </w:pPr>
            <w:r>
              <w:rPr>
                <w:rFonts w:ascii="Times New Roman" w:hAnsi="Times New Roman"/>
                <w:color w:val="000000" w:themeColor="text1"/>
              </w:rPr>
              <w:t xml:space="preserve">C) </w:t>
            </w:r>
          </w:p>
          <w:p w14:paraId="45BE7BD4" w14:textId="77777777" w:rsidR="001240FC" w:rsidRPr="00945976" w:rsidRDefault="00232E6C" w:rsidP="001240FC">
            <w:pPr>
              <w:spacing w:after="120" w:line="240" w:lineRule="auto"/>
              <w:rPr>
                <w:rFonts w:ascii="Times New Roman" w:hAnsi="Times New Roman"/>
                <w:color w:val="000000" w:themeColor="text1"/>
              </w:rPr>
            </w:pPr>
            <w:r>
              <w:rPr>
                <w:rFonts w:ascii="Times New Roman" w:hAnsi="Times New Roman"/>
                <w:color w:val="000000" w:themeColor="text1"/>
              </w:rPr>
              <w:t>-4,83</w:t>
            </w:r>
          </w:p>
          <w:p w14:paraId="37A157F9" w14:textId="77777777" w:rsidR="001240FC" w:rsidRPr="00945976"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 xml:space="preserve">         </w:t>
            </w:r>
          </w:p>
        </w:tc>
        <w:tc>
          <w:tcPr>
            <w:tcW w:w="850" w:type="dxa"/>
            <w:shd w:val="clear" w:color="auto" w:fill="FFFFFF"/>
          </w:tcPr>
          <w:p w14:paraId="43B8AAC6" w14:textId="77777777" w:rsidR="00CF6B9E" w:rsidRDefault="00CF6B9E" w:rsidP="001240FC">
            <w:pPr>
              <w:spacing w:after="120" w:line="240" w:lineRule="auto"/>
              <w:rPr>
                <w:rFonts w:ascii="Times New Roman" w:hAnsi="Times New Roman"/>
                <w:color w:val="000000" w:themeColor="text1"/>
              </w:rPr>
            </w:pPr>
          </w:p>
          <w:p w14:paraId="1E7C3411"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1DE62441" w14:textId="77777777" w:rsidR="00CF6B9E" w:rsidRDefault="00CF6B9E" w:rsidP="001240FC">
            <w:pPr>
              <w:spacing w:after="120" w:line="240" w:lineRule="auto"/>
              <w:rPr>
                <w:rFonts w:ascii="Times New Roman" w:hAnsi="Times New Roman"/>
                <w:color w:val="000000" w:themeColor="text1"/>
              </w:rPr>
            </w:pPr>
          </w:p>
          <w:p w14:paraId="21098E4F"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06A52520" w14:textId="77777777" w:rsidR="00CF6B9E" w:rsidRDefault="00CF6B9E" w:rsidP="001240FC">
            <w:pPr>
              <w:spacing w:after="120" w:line="240" w:lineRule="auto"/>
              <w:rPr>
                <w:rFonts w:ascii="Times New Roman" w:hAnsi="Times New Roman"/>
                <w:color w:val="000000" w:themeColor="text1"/>
              </w:rPr>
            </w:pPr>
          </w:p>
          <w:p w14:paraId="088DE77D" w14:textId="77777777" w:rsidR="00CF6B9E" w:rsidRDefault="00CF6B9E" w:rsidP="001240FC">
            <w:pPr>
              <w:spacing w:after="120" w:line="240" w:lineRule="auto"/>
              <w:rPr>
                <w:rFonts w:ascii="Times New Roman" w:hAnsi="Times New Roman"/>
                <w:color w:val="000000" w:themeColor="text1"/>
              </w:rPr>
            </w:pPr>
          </w:p>
          <w:p w14:paraId="46F655FD" w14:textId="77777777" w:rsidR="005D4E06" w:rsidRDefault="005D4E06" w:rsidP="001240FC">
            <w:pPr>
              <w:spacing w:after="120" w:line="240" w:lineRule="auto"/>
              <w:rPr>
                <w:rFonts w:ascii="Times New Roman" w:hAnsi="Times New Roman"/>
                <w:color w:val="000000" w:themeColor="text1"/>
              </w:rPr>
            </w:pPr>
          </w:p>
          <w:p w14:paraId="734DB1DC"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-0,96</w:t>
            </w:r>
          </w:p>
          <w:p w14:paraId="06AD34CB"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           </w:t>
            </w:r>
          </w:p>
          <w:p w14:paraId="3DCF0A91"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4AD526B4" w14:textId="77777777" w:rsidR="00CF6B9E" w:rsidRDefault="00CF6B9E" w:rsidP="001240FC">
            <w:pPr>
              <w:spacing w:after="120" w:line="240" w:lineRule="auto"/>
              <w:rPr>
                <w:rFonts w:ascii="Times New Roman" w:hAnsi="Times New Roman"/>
                <w:color w:val="000000" w:themeColor="text1"/>
              </w:rPr>
            </w:pPr>
          </w:p>
          <w:p w14:paraId="6E3AB2E9"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5CEE8795" w14:textId="77777777" w:rsidR="00CF6B9E" w:rsidRDefault="00CF6B9E" w:rsidP="001240FC">
            <w:pPr>
              <w:spacing w:after="120" w:line="240" w:lineRule="auto"/>
              <w:rPr>
                <w:rFonts w:ascii="Times New Roman" w:hAnsi="Times New Roman"/>
                <w:color w:val="000000" w:themeColor="text1"/>
              </w:rPr>
            </w:pPr>
          </w:p>
          <w:p w14:paraId="45D4518B"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7D492958" w14:textId="77777777" w:rsidR="00CF6B9E" w:rsidRDefault="00CF6B9E" w:rsidP="001240FC">
            <w:pPr>
              <w:spacing w:after="120" w:line="240" w:lineRule="auto"/>
              <w:rPr>
                <w:rFonts w:ascii="Times New Roman" w:hAnsi="Times New Roman"/>
                <w:color w:val="000000" w:themeColor="text1"/>
              </w:rPr>
            </w:pPr>
          </w:p>
          <w:p w14:paraId="7AC40BBA" w14:textId="77777777" w:rsidR="00EB23FB" w:rsidRDefault="00EB23FB" w:rsidP="001240FC">
            <w:pPr>
              <w:spacing w:after="120" w:line="240" w:lineRule="auto"/>
              <w:rPr>
                <w:rFonts w:ascii="Times New Roman" w:hAnsi="Times New Roman"/>
                <w:color w:val="000000" w:themeColor="text1"/>
              </w:rPr>
            </w:pPr>
          </w:p>
          <w:p w14:paraId="4E02DB07"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-0,96</w:t>
            </w:r>
          </w:p>
          <w:p w14:paraId="5E996A24"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         </w:t>
            </w:r>
          </w:p>
          <w:p w14:paraId="3E89D5AC"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48D70538" w14:textId="77777777" w:rsidR="00CF6B9E" w:rsidRDefault="00CF6B9E" w:rsidP="001240FC">
            <w:pPr>
              <w:spacing w:after="120" w:line="240" w:lineRule="auto"/>
              <w:rPr>
                <w:rFonts w:ascii="Times New Roman" w:hAnsi="Times New Roman"/>
                <w:color w:val="000000" w:themeColor="text1"/>
              </w:rPr>
            </w:pPr>
          </w:p>
          <w:p w14:paraId="7BF01819"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44D9605B" w14:textId="77777777" w:rsidR="00CF6B9E" w:rsidRDefault="00CF6B9E" w:rsidP="001240FC">
            <w:pPr>
              <w:spacing w:after="120" w:line="240" w:lineRule="auto"/>
              <w:rPr>
                <w:rFonts w:ascii="Times New Roman" w:hAnsi="Times New Roman"/>
                <w:color w:val="000000" w:themeColor="text1"/>
              </w:rPr>
            </w:pPr>
          </w:p>
          <w:p w14:paraId="625264D7"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0DF36785" w14:textId="77777777" w:rsidR="00CF6B9E" w:rsidRDefault="00CF6B9E" w:rsidP="001240FC">
            <w:pPr>
              <w:spacing w:after="120" w:line="240" w:lineRule="auto"/>
              <w:rPr>
                <w:rFonts w:ascii="Times New Roman" w:hAnsi="Times New Roman"/>
                <w:color w:val="000000" w:themeColor="text1"/>
              </w:rPr>
            </w:pPr>
          </w:p>
          <w:p w14:paraId="4DD723DF" w14:textId="77777777" w:rsidR="00CF6B9E" w:rsidRDefault="00CF6B9E" w:rsidP="001240FC">
            <w:pPr>
              <w:spacing w:after="120" w:line="240" w:lineRule="auto"/>
              <w:rPr>
                <w:rFonts w:ascii="Times New Roman" w:hAnsi="Times New Roman"/>
                <w:color w:val="000000" w:themeColor="text1"/>
              </w:rPr>
            </w:pPr>
          </w:p>
          <w:p w14:paraId="5187F196"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-0,96</w:t>
            </w:r>
          </w:p>
          <w:p w14:paraId="674BDD95"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        </w:t>
            </w:r>
          </w:p>
          <w:p w14:paraId="64809204" w14:textId="77777777" w:rsidR="001240FC" w:rsidRPr="00945976" w:rsidRDefault="001240FC" w:rsidP="001240FC">
            <w:pPr>
              <w:spacing w:after="120" w:line="240" w:lineRule="auto"/>
              <w:rPr>
                <w:rFonts w:ascii="Times New Roman" w:hAnsi="Times New Roman"/>
                <w:color w:val="000000" w:themeColor="text1"/>
              </w:rPr>
            </w:pPr>
          </w:p>
        </w:tc>
        <w:tc>
          <w:tcPr>
            <w:tcW w:w="708" w:type="dxa"/>
            <w:gridSpan w:val="2"/>
            <w:shd w:val="clear" w:color="auto" w:fill="FFFFFF"/>
          </w:tcPr>
          <w:p w14:paraId="336E8B14" w14:textId="77777777" w:rsidR="00CF6B9E" w:rsidRDefault="00CF6B9E" w:rsidP="001240FC">
            <w:pPr>
              <w:spacing w:after="120" w:line="240" w:lineRule="auto"/>
              <w:rPr>
                <w:rFonts w:ascii="Times New Roman" w:hAnsi="Times New Roman"/>
                <w:color w:val="000000" w:themeColor="text1"/>
              </w:rPr>
            </w:pPr>
          </w:p>
          <w:p w14:paraId="32DA6020"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7EA667A4" w14:textId="77777777" w:rsidR="00CF6B9E" w:rsidRDefault="00CF6B9E" w:rsidP="001240FC">
            <w:pPr>
              <w:spacing w:after="120" w:line="240" w:lineRule="auto"/>
              <w:rPr>
                <w:rFonts w:ascii="Times New Roman" w:hAnsi="Times New Roman"/>
                <w:color w:val="000000" w:themeColor="text1"/>
              </w:rPr>
            </w:pPr>
          </w:p>
          <w:p w14:paraId="50E2EB60"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2C6C91D3" w14:textId="77777777" w:rsidR="00CF6B9E" w:rsidRDefault="00CF6B9E" w:rsidP="001240FC">
            <w:pPr>
              <w:spacing w:after="120" w:line="240" w:lineRule="auto"/>
              <w:rPr>
                <w:rFonts w:ascii="Times New Roman" w:hAnsi="Times New Roman"/>
                <w:color w:val="000000" w:themeColor="text1"/>
              </w:rPr>
            </w:pPr>
          </w:p>
          <w:p w14:paraId="5C231E39" w14:textId="77777777" w:rsidR="00CF6B9E" w:rsidRDefault="00CF6B9E" w:rsidP="001240FC">
            <w:pPr>
              <w:spacing w:after="120" w:line="240" w:lineRule="auto"/>
              <w:rPr>
                <w:rFonts w:ascii="Times New Roman" w:hAnsi="Times New Roman"/>
                <w:color w:val="000000" w:themeColor="text1"/>
              </w:rPr>
            </w:pPr>
          </w:p>
          <w:p w14:paraId="4A4B50FD"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-0,96</w:t>
            </w:r>
          </w:p>
          <w:p w14:paraId="466EE369"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         </w:t>
            </w:r>
          </w:p>
          <w:p w14:paraId="27170365"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38EA01C6" w14:textId="77777777" w:rsidR="00CF6B9E" w:rsidRDefault="00CF6B9E" w:rsidP="001240FC">
            <w:pPr>
              <w:spacing w:after="120" w:line="240" w:lineRule="auto"/>
              <w:rPr>
                <w:rFonts w:ascii="Times New Roman" w:hAnsi="Times New Roman"/>
                <w:color w:val="000000" w:themeColor="text1"/>
              </w:rPr>
            </w:pPr>
          </w:p>
          <w:p w14:paraId="0452D8BB"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79514291" w14:textId="77777777" w:rsidR="00CF6B9E" w:rsidRDefault="00CF6B9E" w:rsidP="001240FC">
            <w:pPr>
              <w:spacing w:after="120" w:line="240" w:lineRule="auto"/>
              <w:rPr>
                <w:rFonts w:ascii="Times New Roman" w:hAnsi="Times New Roman"/>
                <w:color w:val="000000" w:themeColor="text1"/>
              </w:rPr>
            </w:pPr>
          </w:p>
          <w:p w14:paraId="3D739D34"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1762965B" w14:textId="77777777" w:rsidR="00CF6B9E" w:rsidRDefault="00CF6B9E" w:rsidP="001240FC">
            <w:pPr>
              <w:spacing w:after="120" w:line="240" w:lineRule="auto"/>
              <w:rPr>
                <w:rFonts w:ascii="Times New Roman" w:hAnsi="Times New Roman"/>
                <w:color w:val="000000" w:themeColor="text1"/>
              </w:rPr>
            </w:pPr>
          </w:p>
          <w:p w14:paraId="3C2ED8F5" w14:textId="77777777" w:rsidR="00CF6B9E" w:rsidRDefault="00CF6B9E" w:rsidP="001240FC">
            <w:pPr>
              <w:spacing w:after="120" w:line="240" w:lineRule="auto"/>
              <w:rPr>
                <w:rFonts w:ascii="Times New Roman" w:hAnsi="Times New Roman"/>
                <w:color w:val="000000" w:themeColor="text1"/>
              </w:rPr>
            </w:pPr>
          </w:p>
          <w:p w14:paraId="6C45F5CF"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-0,96</w:t>
            </w:r>
          </w:p>
          <w:p w14:paraId="52F3F8FD"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          </w:t>
            </w:r>
          </w:p>
          <w:p w14:paraId="74A3E63C"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4EC49451" w14:textId="77777777" w:rsidR="00CF6B9E" w:rsidRDefault="00CF6B9E" w:rsidP="001240FC">
            <w:pPr>
              <w:spacing w:after="120" w:line="240" w:lineRule="auto"/>
              <w:rPr>
                <w:rFonts w:ascii="Times New Roman" w:hAnsi="Times New Roman"/>
                <w:color w:val="000000" w:themeColor="text1"/>
              </w:rPr>
            </w:pPr>
          </w:p>
          <w:p w14:paraId="667ABF77"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0E10227B" w14:textId="77777777" w:rsidR="00CF6B9E" w:rsidRDefault="00CF6B9E" w:rsidP="001240FC">
            <w:pPr>
              <w:spacing w:after="120" w:line="240" w:lineRule="auto"/>
              <w:rPr>
                <w:rFonts w:ascii="Times New Roman" w:hAnsi="Times New Roman"/>
                <w:color w:val="000000" w:themeColor="text1"/>
              </w:rPr>
            </w:pPr>
          </w:p>
          <w:p w14:paraId="1C0791E4"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69749D0F" w14:textId="77777777" w:rsidR="00CF6B9E" w:rsidRDefault="00CF6B9E" w:rsidP="001240FC">
            <w:pPr>
              <w:spacing w:after="120" w:line="240" w:lineRule="auto"/>
              <w:rPr>
                <w:rFonts w:ascii="Times New Roman" w:hAnsi="Times New Roman"/>
                <w:color w:val="000000" w:themeColor="text1"/>
              </w:rPr>
            </w:pPr>
          </w:p>
          <w:p w14:paraId="39BA425C" w14:textId="77777777" w:rsidR="00CF6B9E" w:rsidRDefault="00CF6B9E" w:rsidP="001240FC">
            <w:pPr>
              <w:spacing w:after="120" w:line="240" w:lineRule="auto"/>
              <w:rPr>
                <w:rFonts w:ascii="Times New Roman" w:hAnsi="Times New Roman"/>
                <w:color w:val="000000" w:themeColor="text1"/>
              </w:rPr>
            </w:pPr>
          </w:p>
          <w:p w14:paraId="39908B34"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-0,96</w:t>
            </w:r>
          </w:p>
          <w:p w14:paraId="7939242D"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          </w:t>
            </w:r>
          </w:p>
          <w:p w14:paraId="202DCDD5"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183E250B" w14:textId="77777777" w:rsidR="00CF6B9E" w:rsidRDefault="00CF6B9E" w:rsidP="001240FC">
            <w:pPr>
              <w:spacing w:after="120" w:line="240" w:lineRule="auto"/>
              <w:rPr>
                <w:rFonts w:ascii="Times New Roman" w:hAnsi="Times New Roman"/>
                <w:color w:val="000000" w:themeColor="text1"/>
              </w:rPr>
            </w:pPr>
          </w:p>
          <w:p w14:paraId="231FE779"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19FFC395" w14:textId="77777777" w:rsidR="00CF6B9E" w:rsidRDefault="00CF6B9E" w:rsidP="001240FC">
            <w:pPr>
              <w:spacing w:after="120" w:line="240" w:lineRule="auto"/>
              <w:rPr>
                <w:rFonts w:ascii="Times New Roman" w:hAnsi="Times New Roman"/>
                <w:color w:val="000000" w:themeColor="text1"/>
              </w:rPr>
            </w:pPr>
          </w:p>
          <w:p w14:paraId="03FEEE92"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6612F66F" w14:textId="77777777" w:rsidR="00CF6B9E" w:rsidRDefault="00CF6B9E" w:rsidP="001240FC">
            <w:pPr>
              <w:spacing w:after="120" w:line="240" w:lineRule="auto"/>
              <w:rPr>
                <w:rFonts w:ascii="Times New Roman" w:hAnsi="Times New Roman"/>
                <w:color w:val="000000" w:themeColor="text1"/>
              </w:rPr>
            </w:pPr>
          </w:p>
          <w:p w14:paraId="0084DE4A" w14:textId="77777777" w:rsidR="00CF6B9E" w:rsidRDefault="00CF6B9E" w:rsidP="001240FC">
            <w:pPr>
              <w:spacing w:after="120" w:line="240" w:lineRule="auto"/>
              <w:rPr>
                <w:rFonts w:ascii="Times New Roman" w:hAnsi="Times New Roman"/>
                <w:color w:val="000000" w:themeColor="text1"/>
              </w:rPr>
            </w:pPr>
          </w:p>
          <w:p w14:paraId="045067D2"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-0,96</w:t>
            </w:r>
          </w:p>
          <w:p w14:paraId="1BAB99D7"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         </w:t>
            </w:r>
          </w:p>
          <w:p w14:paraId="21399512" w14:textId="77777777" w:rsidR="001240FC" w:rsidRPr="00945976" w:rsidRDefault="001240FC" w:rsidP="001240FC">
            <w:pPr>
              <w:spacing w:after="120" w:line="240" w:lineRule="auto"/>
              <w:rPr>
                <w:rFonts w:ascii="Times New Roman" w:hAnsi="Times New Roman"/>
                <w:color w:val="000000" w:themeColor="text1"/>
              </w:rPr>
            </w:pPr>
          </w:p>
        </w:tc>
        <w:tc>
          <w:tcPr>
            <w:tcW w:w="708" w:type="dxa"/>
            <w:shd w:val="clear" w:color="auto" w:fill="FFFFFF"/>
          </w:tcPr>
          <w:p w14:paraId="3918A46D" w14:textId="77777777" w:rsidR="00CF6B9E" w:rsidRDefault="00CF6B9E" w:rsidP="001240FC">
            <w:pPr>
              <w:spacing w:after="120" w:line="240" w:lineRule="auto"/>
              <w:rPr>
                <w:rFonts w:ascii="Times New Roman" w:hAnsi="Times New Roman"/>
                <w:color w:val="000000" w:themeColor="text1"/>
              </w:rPr>
            </w:pPr>
          </w:p>
          <w:p w14:paraId="0168B35E"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-57,4</w:t>
            </w:r>
          </w:p>
          <w:p w14:paraId="28B5DD24" w14:textId="77777777" w:rsidR="00CF6B9E" w:rsidRDefault="00CF6B9E" w:rsidP="001240FC">
            <w:pPr>
              <w:spacing w:after="120" w:line="240" w:lineRule="auto"/>
              <w:rPr>
                <w:rFonts w:ascii="Times New Roman" w:hAnsi="Times New Roman"/>
                <w:color w:val="000000" w:themeColor="text1"/>
              </w:rPr>
            </w:pPr>
          </w:p>
          <w:p w14:paraId="63F16633" w14:textId="77777777" w:rsidR="00CF6B9E" w:rsidRDefault="00CF6B9E" w:rsidP="001240FC">
            <w:pPr>
              <w:spacing w:after="120" w:line="240" w:lineRule="auto"/>
              <w:rPr>
                <w:rFonts w:ascii="Times New Roman" w:hAnsi="Times New Roman"/>
                <w:color w:val="000000" w:themeColor="text1"/>
              </w:rPr>
            </w:pPr>
            <w:r>
              <w:rPr>
                <w:rFonts w:ascii="Times New Roman" w:hAnsi="Times New Roman"/>
                <w:color w:val="000000" w:themeColor="text1"/>
              </w:rPr>
              <w:t>-103,25</w:t>
            </w:r>
          </w:p>
          <w:p w14:paraId="3EEA99BE" w14:textId="77777777" w:rsidR="00CF6B9E" w:rsidRDefault="00CF6B9E" w:rsidP="001240FC">
            <w:pPr>
              <w:spacing w:after="120" w:line="240" w:lineRule="auto"/>
              <w:rPr>
                <w:rFonts w:ascii="Times New Roman" w:hAnsi="Times New Roman"/>
                <w:color w:val="000000" w:themeColor="text1"/>
              </w:rPr>
            </w:pPr>
          </w:p>
          <w:p w14:paraId="4918DCB3" w14:textId="77777777" w:rsidR="00CF6B9E" w:rsidRDefault="00CF6B9E" w:rsidP="001240FC">
            <w:pPr>
              <w:spacing w:after="120" w:line="240" w:lineRule="auto"/>
              <w:rPr>
                <w:rFonts w:ascii="Times New Roman" w:hAnsi="Times New Roman"/>
                <w:color w:val="000000" w:themeColor="text1"/>
              </w:rPr>
            </w:pPr>
          </w:p>
          <w:p w14:paraId="59D78E3A"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-0,96</w:t>
            </w:r>
          </w:p>
          <w:p w14:paraId="3D7820AF"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           </w:t>
            </w:r>
          </w:p>
          <w:p w14:paraId="448ABCB4"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19762B25" w14:textId="77777777" w:rsidR="00CF6B9E" w:rsidRDefault="00CF6B9E" w:rsidP="001240FC">
            <w:pPr>
              <w:spacing w:after="120" w:line="240" w:lineRule="auto"/>
              <w:rPr>
                <w:rFonts w:ascii="Times New Roman" w:hAnsi="Times New Roman"/>
                <w:color w:val="000000" w:themeColor="text1"/>
              </w:rPr>
            </w:pPr>
          </w:p>
          <w:p w14:paraId="6561F78A" w14:textId="77777777" w:rsidR="00CF6B9E" w:rsidRDefault="00CF6B9E" w:rsidP="001240FC">
            <w:pPr>
              <w:spacing w:after="120" w:line="240" w:lineRule="auto"/>
              <w:rPr>
                <w:rFonts w:ascii="Times New Roman" w:hAnsi="Times New Roman"/>
                <w:color w:val="000000" w:themeColor="text1"/>
              </w:rPr>
            </w:pPr>
          </w:p>
          <w:p w14:paraId="7A6265CF" w14:textId="77777777" w:rsidR="00304650" w:rsidRDefault="00304650" w:rsidP="001240FC">
            <w:pPr>
              <w:spacing w:after="120" w:line="240" w:lineRule="auto"/>
              <w:rPr>
                <w:rFonts w:ascii="Times New Roman" w:hAnsi="Times New Roman"/>
                <w:color w:val="000000" w:themeColor="text1"/>
              </w:rPr>
            </w:pPr>
          </w:p>
          <w:p w14:paraId="2BE8BFFE" w14:textId="77777777" w:rsidR="00304650" w:rsidRDefault="00304650" w:rsidP="001240FC">
            <w:pPr>
              <w:spacing w:after="120" w:line="240" w:lineRule="auto"/>
              <w:rPr>
                <w:rFonts w:ascii="Times New Roman" w:hAnsi="Times New Roman"/>
                <w:color w:val="000000" w:themeColor="text1"/>
              </w:rPr>
            </w:pPr>
          </w:p>
          <w:p w14:paraId="1B1A4E9D" w14:textId="77777777" w:rsidR="00304650" w:rsidRDefault="00304650" w:rsidP="001240FC">
            <w:pPr>
              <w:spacing w:after="120" w:line="240" w:lineRule="auto"/>
              <w:rPr>
                <w:rFonts w:ascii="Times New Roman" w:hAnsi="Times New Roman"/>
                <w:color w:val="000000" w:themeColor="text1"/>
              </w:rPr>
            </w:pPr>
          </w:p>
          <w:p w14:paraId="5B46A09E" w14:textId="77777777" w:rsidR="00304650" w:rsidRDefault="00304650" w:rsidP="001240FC">
            <w:pPr>
              <w:spacing w:after="120" w:line="240" w:lineRule="auto"/>
              <w:rPr>
                <w:rFonts w:ascii="Times New Roman" w:hAnsi="Times New Roman"/>
                <w:color w:val="000000" w:themeColor="text1"/>
              </w:rPr>
            </w:pPr>
          </w:p>
          <w:p w14:paraId="3F8CC775" w14:textId="77777777" w:rsidR="00304650" w:rsidRDefault="00304650" w:rsidP="001240FC">
            <w:pPr>
              <w:spacing w:after="120" w:line="240" w:lineRule="auto"/>
              <w:rPr>
                <w:rFonts w:ascii="Times New Roman" w:hAnsi="Times New Roman"/>
                <w:color w:val="000000" w:themeColor="text1"/>
              </w:rPr>
            </w:pPr>
          </w:p>
          <w:p w14:paraId="16CCA93A" w14:textId="77777777" w:rsidR="001240FC" w:rsidRPr="00945976" w:rsidRDefault="001240FC" w:rsidP="00304650">
            <w:pPr>
              <w:spacing w:after="120" w:line="240" w:lineRule="auto"/>
              <w:rPr>
                <w:rFonts w:ascii="Times New Roman" w:hAnsi="Times New Roman"/>
                <w:color w:val="000000" w:themeColor="text1"/>
              </w:rPr>
            </w:pPr>
          </w:p>
        </w:tc>
        <w:tc>
          <w:tcPr>
            <w:tcW w:w="995" w:type="dxa"/>
            <w:gridSpan w:val="2"/>
            <w:shd w:val="clear" w:color="auto" w:fill="FFFFFF"/>
          </w:tcPr>
          <w:p w14:paraId="4484C1C1" w14:textId="77777777" w:rsidR="001240FC" w:rsidRPr="00945976" w:rsidRDefault="001240FC" w:rsidP="001240FC">
            <w:pPr>
              <w:spacing w:after="120" w:line="240" w:lineRule="auto"/>
              <w:rPr>
                <w:rFonts w:ascii="Times New Roman" w:hAnsi="Times New Roman"/>
                <w:color w:val="000000" w:themeColor="text1"/>
                <w:spacing w:val="-2"/>
              </w:rPr>
            </w:pPr>
          </w:p>
          <w:p w14:paraId="3409DEFB" w14:textId="77777777" w:rsidR="00CF6B9E" w:rsidRDefault="00CF6B9E" w:rsidP="001240FC">
            <w:pPr>
              <w:spacing w:after="120" w:line="240" w:lineRule="auto"/>
              <w:rPr>
                <w:rFonts w:ascii="Times New Roman" w:hAnsi="Times New Roman"/>
                <w:color w:val="000000" w:themeColor="text1"/>
                <w:spacing w:val="-2"/>
              </w:rPr>
            </w:pPr>
            <w:r>
              <w:rPr>
                <w:rFonts w:ascii="Times New Roman" w:hAnsi="Times New Roman"/>
                <w:color w:val="000000" w:themeColor="text1"/>
                <w:spacing w:val="-2"/>
              </w:rPr>
              <w:t>-574,0</w:t>
            </w:r>
          </w:p>
          <w:p w14:paraId="79BC232A" w14:textId="77777777" w:rsidR="00CF6B9E" w:rsidRDefault="00CF6B9E" w:rsidP="001240FC">
            <w:pPr>
              <w:spacing w:after="120" w:line="240" w:lineRule="auto"/>
              <w:rPr>
                <w:rFonts w:ascii="Times New Roman" w:hAnsi="Times New Roman"/>
                <w:color w:val="000000" w:themeColor="text1"/>
                <w:spacing w:val="-2"/>
              </w:rPr>
            </w:pPr>
          </w:p>
          <w:p w14:paraId="419DF63F" w14:textId="77777777" w:rsidR="00CF6B9E" w:rsidRDefault="00CF6B9E" w:rsidP="001240FC">
            <w:pPr>
              <w:spacing w:after="120" w:line="240" w:lineRule="auto"/>
              <w:rPr>
                <w:rFonts w:ascii="Times New Roman" w:hAnsi="Times New Roman"/>
                <w:color w:val="000000" w:themeColor="text1"/>
                <w:spacing w:val="-2"/>
              </w:rPr>
            </w:pPr>
          </w:p>
          <w:p w14:paraId="63FCAF9E" w14:textId="77777777" w:rsidR="00CF6B9E" w:rsidRDefault="00CF6B9E" w:rsidP="001240FC">
            <w:pPr>
              <w:spacing w:after="120" w:line="240" w:lineRule="auto"/>
              <w:rPr>
                <w:rFonts w:ascii="Times New Roman" w:hAnsi="Times New Roman"/>
                <w:color w:val="000000" w:themeColor="text1"/>
                <w:spacing w:val="-2"/>
              </w:rPr>
            </w:pPr>
            <w:r>
              <w:rPr>
                <w:rFonts w:ascii="Times New Roman" w:hAnsi="Times New Roman"/>
                <w:color w:val="000000" w:themeColor="text1"/>
                <w:spacing w:val="-2"/>
              </w:rPr>
              <w:t>-1032,5</w:t>
            </w:r>
          </w:p>
          <w:p w14:paraId="6FEA2D57" w14:textId="77777777" w:rsidR="00CF6B9E" w:rsidRDefault="00CF6B9E" w:rsidP="001240FC">
            <w:pPr>
              <w:spacing w:after="120" w:line="240" w:lineRule="auto"/>
              <w:rPr>
                <w:rFonts w:ascii="Times New Roman" w:hAnsi="Times New Roman"/>
                <w:color w:val="000000" w:themeColor="text1"/>
                <w:spacing w:val="-2"/>
              </w:rPr>
            </w:pPr>
          </w:p>
          <w:p w14:paraId="05DA66DC" w14:textId="77777777" w:rsidR="00CF6B9E" w:rsidRDefault="00CF6B9E" w:rsidP="001240FC">
            <w:pPr>
              <w:spacing w:after="120" w:line="240" w:lineRule="auto"/>
              <w:rPr>
                <w:rFonts w:ascii="Times New Roman" w:hAnsi="Times New Roman"/>
                <w:color w:val="000000" w:themeColor="text1"/>
                <w:spacing w:val="-2"/>
              </w:rPr>
            </w:pPr>
          </w:p>
          <w:p w14:paraId="26A8A9F7" w14:textId="77777777" w:rsidR="00567F4E" w:rsidRPr="00945976" w:rsidRDefault="00567F4E" w:rsidP="001240FC">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-1</w:t>
            </w:r>
            <w:r w:rsidR="00801B88">
              <w:rPr>
                <w:rFonts w:ascii="Times New Roman" w:hAnsi="Times New Roman"/>
                <w:color w:val="000000" w:themeColor="text1"/>
                <w:spacing w:val="-2"/>
              </w:rPr>
              <w:t>2</w:t>
            </w:r>
            <w:r w:rsidRPr="00945976">
              <w:rPr>
                <w:rFonts w:ascii="Times New Roman" w:hAnsi="Times New Roman"/>
                <w:color w:val="000000" w:themeColor="text1"/>
                <w:spacing w:val="-2"/>
              </w:rPr>
              <w:t>,</w:t>
            </w:r>
            <w:r w:rsidR="00801B88">
              <w:rPr>
                <w:rFonts w:ascii="Times New Roman" w:hAnsi="Times New Roman"/>
                <w:color w:val="000000" w:themeColor="text1"/>
                <w:spacing w:val="-2"/>
              </w:rPr>
              <w:t>51</w:t>
            </w:r>
          </w:p>
          <w:p w14:paraId="2F8D2A5E" w14:textId="77777777" w:rsidR="001240FC" w:rsidRPr="00945976" w:rsidRDefault="001240FC" w:rsidP="001240FC">
            <w:pPr>
              <w:spacing w:after="120" w:line="240" w:lineRule="auto"/>
              <w:rPr>
                <w:rFonts w:ascii="Times New Roman" w:hAnsi="Times New Roman"/>
                <w:color w:val="000000" w:themeColor="text1"/>
                <w:spacing w:val="-2"/>
              </w:rPr>
            </w:pPr>
          </w:p>
          <w:p w14:paraId="559F367B" w14:textId="77777777" w:rsidR="00184307" w:rsidRPr="00945976" w:rsidRDefault="00184307" w:rsidP="001240FC">
            <w:pPr>
              <w:spacing w:after="120" w:line="240" w:lineRule="auto"/>
              <w:rPr>
                <w:rFonts w:ascii="Times New Roman" w:hAnsi="Times New Roman"/>
                <w:color w:val="000000" w:themeColor="text1"/>
                <w:spacing w:val="-2"/>
              </w:rPr>
            </w:pPr>
          </w:p>
          <w:p w14:paraId="57FA00D2" w14:textId="77777777" w:rsidR="00184307" w:rsidRPr="00945976" w:rsidRDefault="00184307" w:rsidP="001240FC">
            <w:pPr>
              <w:spacing w:after="120" w:line="240" w:lineRule="auto"/>
              <w:rPr>
                <w:rFonts w:ascii="Times New Roman" w:hAnsi="Times New Roman"/>
                <w:color w:val="000000" w:themeColor="text1"/>
                <w:spacing w:val="-2"/>
              </w:rPr>
            </w:pPr>
          </w:p>
          <w:p w14:paraId="2CFE66F6" w14:textId="77777777" w:rsidR="00184307" w:rsidRPr="00945976" w:rsidRDefault="00184307" w:rsidP="001240FC">
            <w:pPr>
              <w:spacing w:after="120" w:line="240" w:lineRule="auto"/>
              <w:rPr>
                <w:rFonts w:ascii="Times New Roman" w:hAnsi="Times New Roman"/>
                <w:color w:val="000000" w:themeColor="text1"/>
                <w:spacing w:val="-2"/>
              </w:rPr>
            </w:pPr>
          </w:p>
        </w:tc>
      </w:tr>
      <w:tr w:rsidR="001240FC" w:rsidRPr="00945976" w14:paraId="31AEB621" w14:textId="77777777" w:rsidTr="00AC7BAF">
        <w:trPr>
          <w:trHeight w:val="344"/>
        </w:trPr>
        <w:tc>
          <w:tcPr>
            <w:tcW w:w="1589" w:type="dxa"/>
            <w:shd w:val="clear" w:color="auto" w:fill="FFFFFF"/>
            <w:vAlign w:val="center"/>
          </w:tcPr>
          <w:p w14:paraId="183B6364"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JST</w:t>
            </w:r>
          </w:p>
        </w:tc>
        <w:tc>
          <w:tcPr>
            <w:tcW w:w="992" w:type="dxa"/>
            <w:gridSpan w:val="3"/>
            <w:shd w:val="clear" w:color="auto" w:fill="FFFFFF"/>
          </w:tcPr>
          <w:p w14:paraId="3960B69D" w14:textId="77777777" w:rsidR="001240FC" w:rsidRPr="00945976" w:rsidRDefault="001240FC" w:rsidP="001240FC">
            <w:pPr>
              <w:spacing w:after="120" w:line="240" w:lineRule="auto"/>
              <w:rPr>
                <w:rFonts w:ascii="Times New Roman" w:hAnsi="Times New Roman"/>
                <w:color w:val="000000" w:themeColor="text1"/>
              </w:rPr>
            </w:pPr>
          </w:p>
        </w:tc>
        <w:tc>
          <w:tcPr>
            <w:tcW w:w="851" w:type="dxa"/>
            <w:gridSpan w:val="2"/>
            <w:shd w:val="clear" w:color="auto" w:fill="FFFFFF"/>
          </w:tcPr>
          <w:p w14:paraId="4E4A8338" w14:textId="77777777" w:rsidR="001240FC" w:rsidRPr="00945976" w:rsidRDefault="001240FC" w:rsidP="001240FC">
            <w:pPr>
              <w:spacing w:after="120" w:line="240" w:lineRule="auto"/>
              <w:rPr>
                <w:rFonts w:ascii="Times New Roman" w:hAnsi="Times New Roman"/>
                <w:color w:val="000000" w:themeColor="text1"/>
              </w:rPr>
            </w:pPr>
          </w:p>
        </w:tc>
        <w:tc>
          <w:tcPr>
            <w:tcW w:w="850" w:type="dxa"/>
            <w:shd w:val="clear" w:color="auto" w:fill="FFFFFF"/>
          </w:tcPr>
          <w:p w14:paraId="1B98E18C"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53118868"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62AAE1BC" w14:textId="77777777" w:rsidR="001240FC" w:rsidRPr="00945976" w:rsidRDefault="001240FC" w:rsidP="001240FC">
            <w:pPr>
              <w:spacing w:after="120" w:line="240" w:lineRule="auto"/>
              <w:rPr>
                <w:rFonts w:ascii="Times New Roman" w:hAnsi="Times New Roman"/>
                <w:color w:val="000000" w:themeColor="text1"/>
              </w:rPr>
            </w:pPr>
          </w:p>
        </w:tc>
        <w:tc>
          <w:tcPr>
            <w:tcW w:w="708" w:type="dxa"/>
            <w:gridSpan w:val="2"/>
            <w:shd w:val="clear" w:color="auto" w:fill="FFFFFF"/>
          </w:tcPr>
          <w:p w14:paraId="50A2CEF9"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10EB12F5"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2542F515"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14C0E353" w14:textId="77777777" w:rsidR="001240FC" w:rsidRPr="00945976" w:rsidRDefault="001240FC" w:rsidP="001240FC">
            <w:pPr>
              <w:spacing w:after="120" w:line="240" w:lineRule="auto"/>
              <w:rPr>
                <w:rFonts w:ascii="Times New Roman" w:hAnsi="Times New Roman"/>
                <w:color w:val="000000" w:themeColor="text1"/>
              </w:rPr>
            </w:pPr>
          </w:p>
        </w:tc>
        <w:tc>
          <w:tcPr>
            <w:tcW w:w="708" w:type="dxa"/>
            <w:shd w:val="clear" w:color="auto" w:fill="FFFFFF"/>
          </w:tcPr>
          <w:p w14:paraId="46DD9F93"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3F3F9BA0" w14:textId="77777777" w:rsidR="001240FC" w:rsidRPr="00945976" w:rsidRDefault="001240FC" w:rsidP="001240FC">
            <w:pPr>
              <w:spacing w:after="120" w:line="240" w:lineRule="auto"/>
              <w:rPr>
                <w:rFonts w:ascii="Times New Roman" w:hAnsi="Times New Roman"/>
                <w:color w:val="000000" w:themeColor="text1"/>
              </w:rPr>
            </w:pPr>
          </w:p>
        </w:tc>
        <w:tc>
          <w:tcPr>
            <w:tcW w:w="995" w:type="dxa"/>
            <w:gridSpan w:val="2"/>
            <w:shd w:val="clear" w:color="auto" w:fill="FFFFFF"/>
          </w:tcPr>
          <w:p w14:paraId="06421F12" w14:textId="77777777" w:rsidR="001240FC" w:rsidRPr="00945976" w:rsidRDefault="001240FC" w:rsidP="001240FC">
            <w:pPr>
              <w:spacing w:after="120" w:line="240" w:lineRule="auto"/>
              <w:rPr>
                <w:rFonts w:ascii="Times New Roman" w:hAnsi="Times New Roman"/>
                <w:color w:val="000000" w:themeColor="text1"/>
              </w:rPr>
            </w:pPr>
          </w:p>
        </w:tc>
      </w:tr>
      <w:tr w:rsidR="001240FC" w:rsidRPr="00945976" w14:paraId="7EC6B5DD" w14:textId="77777777" w:rsidTr="00AC7BAF">
        <w:trPr>
          <w:trHeight w:val="344"/>
        </w:trPr>
        <w:tc>
          <w:tcPr>
            <w:tcW w:w="1589" w:type="dxa"/>
            <w:shd w:val="clear" w:color="auto" w:fill="FFFFFF"/>
            <w:vAlign w:val="center"/>
          </w:tcPr>
          <w:p w14:paraId="168DD97F"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pozostałe jednostki (oddzielnie)</w:t>
            </w:r>
          </w:p>
        </w:tc>
        <w:tc>
          <w:tcPr>
            <w:tcW w:w="992" w:type="dxa"/>
            <w:gridSpan w:val="3"/>
            <w:shd w:val="clear" w:color="auto" w:fill="FFFFFF"/>
          </w:tcPr>
          <w:p w14:paraId="5ADD97E1" w14:textId="77777777" w:rsidR="001240FC" w:rsidRPr="00945976" w:rsidRDefault="001240FC" w:rsidP="001240FC">
            <w:pPr>
              <w:spacing w:after="120" w:line="240" w:lineRule="auto"/>
              <w:rPr>
                <w:rFonts w:ascii="Times New Roman" w:hAnsi="Times New Roman"/>
                <w:color w:val="000000" w:themeColor="text1"/>
              </w:rPr>
            </w:pPr>
          </w:p>
        </w:tc>
        <w:tc>
          <w:tcPr>
            <w:tcW w:w="851" w:type="dxa"/>
            <w:gridSpan w:val="2"/>
            <w:shd w:val="clear" w:color="auto" w:fill="FFFFFF"/>
          </w:tcPr>
          <w:p w14:paraId="02187C2B" w14:textId="77777777" w:rsidR="001240FC" w:rsidRPr="00945976" w:rsidRDefault="001240FC" w:rsidP="001240FC">
            <w:pPr>
              <w:spacing w:after="120" w:line="240" w:lineRule="auto"/>
              <w:rPr>
                <w:rFonts w:ascii="Times New Roman" w:hAnsi="Times New Roman"/>
                <w:color w:val="000000" w:themeColor="text1"/>
              </w:rPr>
            </w:pPr>
          </w:p>
        </w:tc>
        <w:tc>
          <w:tcPr>
            <w:tcW w:w="850" w:type="dxa"/>
            <w:shd w:val="clear" w:color="auto" w:fill="FFFFFF"/>
          </w:tcPr>
          <w:p w14:paraId="0060208B"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02CD1A57"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11783BAB" w14:textId="77777777" w:rsidR="001240FC" w:rsidRPr="00945976" w:rsidRDefault="001240FC" w:rsidP="001240FC">
            <w:pPr>
              <w:spacing w:after="120" w:line="240" w:lineRule="auto"/>
              <w:rPr>
                <w:rFonts w:ascii="Times New Roman" w:hAnsi="Times New Roman"/>
                <w:color w:val="000000" w:themeColor="text1"/>
              </w:rPr>
            </w:pPr>
          </w:p>
        </w:tc>
        <w:tc>
          <w:tcPr>
            <w:tcW w:w="708" w:type="dxa"/>
            <w:gridSpan w:val="2"/>
            <w:shd w:val="clear" w:color="auto" w:fill="FFFFFF"/>
          </w:tcPr>
          <w:p w14:paraId="4C95BDF6"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27A55D40"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0DF71800"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5B6070DF" w14:textId="77777777" w:rsidR="001240FC" w:rsidRPr="00945976" w:rsidRDefault="001240FC" w:rsidP="001240FC">
            <w:pPr>
              <w:spacing w:after="120" w:line="240" w:lineRule="auto"/>
              <w:rPr>
                <w:rFonts w:ascii="Times New Roman" w:hAnsi="Times New Roman"/>
                <w:color w:val="000000" w:themeColor="text1"/>
              </w:rPr>
            </w:pPr>
          </w:p>
        </w:tc>
        <w:tc>
          <w:tcPr>
            <w:tcW w:w="708" w:type="dxa"/>
            <w:shd w:val="clear" w:color="auto" w:fill="FFFFFF"/>
          </w:tcPr>
          <w:p w14:paraId="1DD6EFAF"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59B5C9CA" w14:textId="77777777" w:rsidR="001240FC" w:rsidRPr="00945976" w:rsidRDefault="001240FC" w:rsidP="001240FC">
            <w:pPr>
              <w:spacing w:after="120" w:line="240" w:lineRule="auto"/>
              <w:rPr>
                <w:rFonts w:ascii="Times New Roman" w:hAnsi="Times New Roman"/>
                <w:color w:val="000000" w:themeColor="text1"/>
              </w:rPr>
            </w:pPr>
          </w:p>
        </w:tc>
        <w:tc>
          <w:tcPr>
            <w:tcW w:w="995" w:type="dxa"/>
            <w:gridSpan w:val="2"/>
            <w:shd w:val="clear" w:color="auto" w:fill="FFFFFF"/>
          </w:tcPr>
          <w:p w14:paraId="2E0B3395" w14:textId="77777777" w:rsidR="001240FC" w:rsidRPr="00945976" w:rsidRDefault="001240FC" w:rsidP="001240FC">
            <w:pPr>
              <w:spacing w:after="120" w:line="240" w:lineRule="auto"/>
              <w:rPr>
                <w:rFonts w:ascii="Times New Roman" w:hAnsi="Times New Roman"/>
                <w:color w:val="000000" w:themeColor="text1"/>
              </w:rPr>
            </w:pPr>
          </w:p>
        </w:tc>
      </w:tr>
      <w:tr w:rsidR="001240FC" w:rsidRPr="00945976" w14:paraId="2334475B" w14:textId="77777777" w:rsidTr="00AC7BAF">
        <w:trPr>
          <w:trHeight w:val="330"/>
        </w:trPr>
        <w:tc>
          <w:tcPr>
            <w:tcW w:w="1589" w:type="dxa"/>
            <w:shd w:val="clear" w:color="auto" w:fill="FFFFFF"/>
            <w:vAlign w:val="center"/>
          </w:tcPr>
          <w:p w14:paraId="283BDE37"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b/>
                <w:color w:val="000000" w:themeColor="text1"/>
              </w:rPr>
              <w:t>Wydatki ogółem</w:t>
            </w:r>
          </w:p>
        </w:tc>
        <w:tc>
          <w:tcPr>
            <w:tcW w:w="992" w:type="dxa"/>
            <w:gridSpan w:val="3"/>
            <w:shd w:val="clear" w:color="auto" w:fill="FFFFFF"/>
          </w:tcPr>
          <w:p w14:paraId="1BC8B26F" w14:textId="77777777" w:rsidR="001240FC" w:rsidRPr="00945976" w:rsidRDefault="001240FC" w:rsidP="001240FC">
            <w:pPr>
              <w:spacing w:after="120" w:line="240" w:lineRule="auto"/>
              <w:rPr>
                <w:rFonts w:ascii="Times New Roman" w:hAnsi="Times New Roman"/>
                <w:color w:val="000000" w:themeColor="text1"/>
              </w:rPr>
            </w:pPr>
          </w:p>
        </w:tc>
        <w:tc>
          <w:tcPr>
            <w:tcW w:w="851" w:type="dxa"/>
            <w:gridSpan w:val="2"/>
            <w:shd w:val="clear" w:color="auto" w:fill="FFFFFF"/>
          </w:tcPr>
          <w:p w14:paraId="7D72069D" w14:textId="77777777" w:rsidR="001240FC" w:rsidRPr="00945976" w:rsidRDefault="001240FC" w:rsidP="001240FC">
            <w:pPr>
              <w:spacing w:after="120" w:line="240" w:lineRule="auto"/>
              <w:rPr>
                <w:rFonts w:ascii="Times New Roman" w:hAnsi="Times New Roman"/>
                <w:color w:val="000000" w:themeColor="text1"/>
              </w:rPr>
            </w:pPr>
          </w:p>
        </w:tc>
        <w:tc>
          <w:tcPr>
            <w:tcW w:w="850" w:type="dxa"/>
            <w:shd w:val="clear" w:color="auto" w:fill="FFFFFF"/>
          </w:tcPr>
          <w:p w14:paraId="1A74C161"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0C2B61F6"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7759C4EC" w14:textId="77777777" w:rsidR="001240FC" w:rsidRPr="00945976" w:rsidRDefault="001240FC" w:rsidP="001240FC">
            <w:pPr>
              <w:spacing w:after="120" w:line="240" w:lineRule="auto"/>
              <w:rPr>
                <w:rFonts w:ascii="Times New Roman" w:hAnsi="Times New Roman"/>
                <w:color w:val="000000" w:themeColor="text1"/>
              </w:rPr>
            </w:pPr>
          </w:p>
        </w:tc>
        <w:tc>
          <w:tcPr>
            <w:tcW w:w="708" w:type="dxa"/>
            <w:gridSpan w:val="2"/>
            <w:shd w:val="clear" w:color="auto" w:fill="FFFFFF"/>
          </w:tcPr>
          <w:p w14:paraId="49E49888"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61BC6A8D"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14509890"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72F99105" w14:textId="77777777" w:rsidR="001240FC" w:rsidRPr="00945976" w:rsidRDefault="001240FC" w:rsidP="001240FC">
            <w:pPr>
              <w:spacing w:after="120" w:line="240" w:lineRule="auto"/>
              <w:rPr>
                <w:rFonts w:ascii="Times New Roman" w:hAnsi="Times New Roman"/>
                <w:color w:val="000000" w:themeColor="text1"/>
              </w:rPr>
            </w:pPr>
          </w:p>
        </w:tc>
        <w:tc>
          <w:tcPr>
            <w:tcW w:w="708" w:type="dxa"/>
            <w:shd w:val="clear" w:color="auto" w:fill="FFFFFF"/>
          </w:tcPr>
          <w:p w14:paraId="6B3D5C4F"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2C0B2754" w14:textId="77777777" w:rsidR="001240FC" w:rsidRPr="00945976" w:rsidRDefault="001240FC" w:rsidP="001240FC">
            <w:pPr>
              <w:spacing w:after="120" w:line="240" w:lineRule="auto"/>
              <w:rPr>
                <w:rFonts w:ascii="Times New Roman" w:hAnsi="Times New Roman"/>
                <w:color w:val="000000" w:themeColor="text1"/>
              </w:rPr>
            </w:pPr>
          </w:p>
        </w:tc>
        <w:tc>
          <w:tcPr>
            <w:tcW w:w="995" w:type="dxa"/>
            <w:gridSpan w:val="2"/>
            <w:shd w:val="clear" w:color="auto" w:fill="FFFFFF"/>
          </w:tcPr>
          <w:p w14:paraId="42F09942" w14:textId="77777777" w:rsidR="001240FC" w:rsidRPr="00945976" w:rsidRDefault="001240FC" w:rsidP="001240FC">
            <w:pPr>
              <w:spacing w:after="120" w:line="240" w:lineRule="auto"/>
              <w:rPr>
                <w:rFonts w:ascii="Times New Roman" w:hAnsi="Times New Roman"/>
                <w:color w:val="000000" w:themeColor="text1"/>
              </w:rPr>
            </w:pPr>
          </w:p>
        </w:tc>
      </w:tr>
      <w:tr w:rsidR="001240FC" w:rsidRPr="00945976" w14:paraId="01989B4F" w14:textId="77777777" w:rsidTr="00AC7BAF">
        <w:trPr>
          <w:trHeight w:val="330"/>
        </w:trPr>
        <w:tc>
          <w:tcPr>
            <w:tcW w:w="1589" w:type="dxa"/>
            <w:shd w:val="clear" w:color="auto" w:fill="FFFFFF"/>
            <w:vAlign w:val="center"/>
          </w:tcPr>
          <w:p w14:paraId="27A22163"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budżet państwa</w:t>
            </w:r>
          </w:p>
        </w:tc>
        <w:tc>
          <w:tcPr>
            <w:tcW w:w="992" w:type="dxa"/>
            <w:gridSpan w:val="3"/>
            <w:shd w:val="clear" w:color="auto" w:fill="FFFFFF"/>
          </w:tcPr>
          <w:p w14:paraId="11E796B4" w14:textId="77777777" w:rsidR="001240FC" w:rsidRPr="00945976" w:rsidRDefault="001240FC" w:rsidP="001240FC">
            <w:pPr>
              <w:spacing w:after="120" w:line="240" w:lineRule="auto"/>
              <w:rPr>
                <w:rFonts w:ascii="Times New Roman" w:hAnsi="Times New Roman"/>
                <w:color w:val="000000" w:themeColor="text1"/>
              </w:rPr>
            </w:pPr>
          </w:p>
        </w:tc>
        <w:tc>
          <w:tcPr>
            <w:tcW w:w="851" w:type="dxa"/>
            <w:gridSpan w:val="2"/>
            <w:shd w:val="clear" w:color="auto" w:fill="FFFFFF"/>
          </w:tcPr>
          <w:p w14:paraId="7C8D32A8" w14:textId="77777777" w:rsidR="001240FC" w:rsidRPr="00945976" w:rsidRDefault="001240FC" w:rsidP="001240FC">
            <w:pPr>
              <w:spacing w:after="120" w:line="240" w:lineRule="auto"/>
              <w:rPr>
                <w:rFonts w:ascii="Times New Roman" w:hAnsi="Times New Roman"/>
                <w:color w:val="000000" w:themeColor="text1"/>
              </w:rPr>
            </w:pPr>
          </w:p>
        </w:tc>
        <w:tc>
          <w:tcPr>
            <w:tcW w:w="850" w:type="dxa"/>
            <w:shd w:val="clear" w:color="auto" w:fill="FFFFFF"/>
          </w:tcPr>
          <w:p w14:paraId="4FDD4ADF"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778E1FF4"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226CD6C4" w14:textId="77777777" w:rsidR="001240FC" w:rsidRPr="00945976" w:rsidRDefault="001240FC" w:rsidP="001240FC">
            <w:pPr>
              <w:spacing w:after="120" w:line="240" w:lineRule="auto"/>
              <w:rPr>
                <w:rFonts w:ascii="Times New Roman" w:hAnsi="Times New Roman"/>
                <w:color w:val="000000" w:themeColor="text1"/>
              </w:rPr>
            </w:pPr>
          </w:p>
        </w:tc>
        <w:tc>
          <w:tcPr>
            <w:tcW w:w="708" w:type="dxa"/>
            <w:gridSpan w:val="2"/>
            <w:shd w:val="clear" w:color="auto" w:fill="FFFFFF"/>
          </w:tcPr>
          <w:p w14:paraId="4477F23F"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48953AF2"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20032A83"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348299D7" w14:textId="77777777" w:rsidR="001240FC" w:rsidRPr="00945976" w:rsidRDefault="001240FC" w:rsidP="001240FC">
            <w:pPr>
              <w:spacing w:after="120" w:line="240" w:lineRule="auto"/>
              <w:rPr>
                <w:rFonts w:ascii="Times New Roman" w:hAnsi="Times New Roman"/>
                <w:color w:val="000000" w:themeColor="text1"/>
              </w:rPr>
            </w:pPr>
          </w:p>
        </w:tc>
        <w:tc>
          <w:tcPr>
            <w:tcW w:w="708" w:type="dxa"/>
            <w:shd w:val="clear" w:color="auto" w:fill="FFFFFF"/>
          </w:tcPr>
          <w:p w14:paraId="11549411"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74C1042C" w14:textId="77777777" w:rsidR="001240FC" w:rsidRPr="00945976" w:rsidRDefault="001240FC" w:rsidP="001240FC">
            <w:pPr>
              <w:spacing w:after="120" w:line="240" w:lineRule="auto"/>
              <w:rPr>
                <w:rFonts w:ascii="Times New Roman" w:hAnsi="Times New Roman"/>
                <w:color w:val="000000" w:themeColor="text1"/>
              </w:rPr>
            </w:pPr>
          </w:p>
        </w:tc>
        <w:tc>
          <w:tcPr>
            <w:tcW w:w="995" w:type="dxa"/>
            <w:gridSpan w:val="2"/>
            <w:shd w:val="clear" w:color="auto" w:fill="FFFFFF"/>
          </w:tcPr>
          <w:p w14:paraId="2BCA0E70" w14:textId="77777777" w:rsidR="001240FC" w:rsidRPr="00945976" w:rsidRDefault="001240FC" w:rsidP="001240FC">
            <w:pPr>
              <w:spacing w:after="120" w:line="240" w:lineRule="auto"/>
              <w:rPr>
                <w:rFonts w:ascii="Times New Roman" w:hAnsi="Times New Roman"/>
                <w:color w:val="000000" w:themeColor="text1"/>
              </w:rPr>
            </w:pPr>
          </w:p>
        </w:tc>
      </w:tr>
      <w:tr w:rsidR="001240FC" w:rsidRPr="00945976" w14:paraId="1DB2E248" w14:textId="77777777" w:rsidTr="00AC7BAF">
        <w:trPr>
          <w:trHeight w:val="351"/>
        </w:trPr>
        <w:tc>
          <w:tcPr>
            <w:tcW w:w="1589" w:type="dxa"/>
            <w:shd w:val="clear" w:color="auto" w:fill="FFFFFF"/>
            <w:vAlign w:val="center"/>
          </w:tcPr>
          <w:p w14:paraId="568AD727"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JST</w:t>
            </w:r>
          </w:p>
        </w:tc>
        <w:tc>
          <w:tcPr>
            <w:tcW w:w="992" w:type="dxa"/>
            <w:gridSpan w:val="3"/>
            <w:shd w:val="clear" w:color="auto" w:fill="FFFFFF"/>
          </w:tcPr>
          <w:p w14:paraId="276CC884" w14:textId="77777777" w:rsidR="001240FC" w:rsidRPr="00945976" w:rsidRDefault="001240FC" w:rsidP="001240FC">
            <w:pPr>
              <w:spacing w:after="120" w:line="240" w:lineRule="auto"/>
              <w:rPr>
                <w:rFonts w:ascii="Times New Roman" w:hAnsi="Times New Roman"/>
                <w:color w:val="000000" w:themeColor="text1"/>
              </w:rPr>
            </w:pPr>
          </w:p>
        </w:tc>
        <w:tc>
          <w:tcPr>
            <w:tcW w:w="851" w:type="dxa"/>
            <w:gridSpan w:val="2"/>
            <w:shd w:val="clear" w:color="auto" w:fill="FFFFFF"/>
          </w:tcPr>
          <w:p w14:paraId="13552AA0" w14:textId="77777777" w:rsidR="001240FC" w:rsidRPr="00945976" w:rsidRDefault="001240FC" w:rsidP="001240FC">
            <w:pPr>
              <w:spacing w:after="120" w:line="240" w:lineRule="auto"/>
              <w:rPr>
                <w:rFonts w:ascii="Times New Roman" w:hAnsi="Times New Roman"/>
                <w:color w:val="000000" w:themeColor="text1"/>
              </w:rPr>
            </w:pPr>
          </w:p>
        </w:tc>
        <w:tc>
          <w:tcPr>
            <w:tcW w:w="850" w:type="dxa"/>
            <w:shd w:val="clear" w:color="auto" w:fill="FFFFFF"/>
          </w:tcPr>
          <w:p w14:paraId="4550F838"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4E4F49BE"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52CCF037" w14:textId="77777777" w:rsidR="001240FC" w:rsidRPr="00945976" w:rsidRDefault="001240FC" w:rsidP="001240FC">
            <w:pPr>
              <w:spacing w:after="120" w:line="240" w:lineRule="auto"/>
              <w:rPr>
                <w:rFonts w:ascii="Times New Roman" w:hAnsi="Times New Roman"/>
                <w:color w:val="000000" w:themeColor="text1"/>
              </w:rPr>
            </w:pPr>
          </w:p>
        </w:tc>
        <w:tc>
          <w:tcPr>
            <w:tcW w:w="708" w:type="dxa"/>
            <w:gridSpan w:val="2"/>
            <w:shd w:val="clear" w:color="auto" w:fill="FFFFFF"/>
          </w:tcPr>
          <w:p w14:paraId="1B2840EE"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724FA0DB"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73DAECD0"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30BBE020" w14:textId="77777777" w:rsidR="001240FC" w:rsidRPr="00945976" w:rsidRDefault="001240FC" w:rsidP="001240FC">
            <w:pPr>
              <w:spacing w:after="120" w:line="240" w:lineRule="auto"/>
              <w:rPr>
                <w:rFonts w:ascii="Times New Roman" w:hAnsi="Times New Roman"/>
                <w:color w:val="000000" w:themeColor="text1"/>
              </w:rPr>
            </w:pPr>
          </w:p>
        </w:tc>
        <w:tc>
          <w:tcPr>
            <w:tcW w:w="708" w:type="dxa"/>
            <w:shd w:val="clear" w:color="auto" w:fill="FFFFFF"/>
          </w:tcPr>
          <w:p w14:paraId="3291E924"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22A9E8CA" w14:textId="77777777" w:rsidR="001240FC" w:rsidRPr="00945976" w:rsidRDefault="001240FC" w:rsidP="001240FC">
            <w:pPr>
              <w:spacing w:after="120" w:line="240" w:lineRule="auto"/>
              <w:rPr>
                <w:rFonts w:ascii="Times New Roman" w:hAnsi="Times New Roman"/>
                <w:color w:val="000000" w:themeColor="text1"/>
              </w:rPr>
            </w:pPr>
          </w:p>
        </w:tc>
        <w:tc>
          <w:tcPr>
            <w:tcW w:w="995" w:type="dxa"/>
            <w:gridSpan w:val="2"/>
            <w:shd w:val="clear" w:color="auto" w:fill="FFFFFF"/>
          </w:tcPr>
          <w:p w14:paraId="6B5457A2" w14:textId="77777777" w:rsidR="001240FC" w:rsidRPr="00945976" w:rsidRDefault="001240FC" w:rsidP="001240FC">
            <w:pPr>
              <w:spacing w:after="120" w:line="240" w:lineRule="auto"/>
              <w:rPr>
                <w:rFonts w:ascii="Times New Roman" w:hAnsi="Times New Roman"/>
                <w:color w:val="000000" w:themeColor="text1"/>
              </w:rPr>
            </w:pPr>
          </w:p>
        </w:tc>
      </w:tr>
      <w:tr w:rsidR="001240FC" w:rsidRPr="00945976" w14:paraId="7B382387" w14:textId="77777777" w:rsidTr="00AC7BAF">
        <w:trPr>
          <w:trHeight w:val="351"/>
        </w:trPr>
        <w:tc>
          <w:tcPr>
            <w:tcW w:w="1589" w:type="dxa"/>
            <w:shd w:val="clear" w:color="auto" w:fill="FFFFFF"/>
            <w:vAlign w:val="center"/>
          </w:tcPr>
          <w:p w14:paraId="729FA484" w14:textId="77777777" w:rsidR="001240FC" w:rsidRPr="00945976" w:rsidRDefault="001240FC" w:rsidP="001240FC">
            <w:pPr>
              <w:spacing w:after="120" w:line="240" w:lineRule="auto"/>
              <w:rPr>
                <w:rFonts w:ascii="Times New Roman" w:hAnsi="Times New Roman"/>
                <w:color w:val="000000" w:themeColor="text1"/>
              </w:rPr>
            </w:pPr>
            <w:r w:rsidRPr="00945976">
              <w:rPr>
                <w:rFonts w:ascii="Times New Roman" w:hAnsi="Times New Roman"/>
                <w:color w:val="000000" w:themeColor="text1"/>
              </w:rPr>
              <w:t>pozostałe jednostki (oddzielnie)</w:t>
            </w:r>
          </w:p>
        </w:tc>
        <w:tc>
          <w:tcPr>
            <w:tcW w:w="992" w:type="dxa"/>
            <w:gridSpan w:val="3"/>
            <w:shd w:val="clear" w:color="auto" w:fill="FFFFFF"/>
          </w:tcPr>
          <w:p w14:paraId="71775D47" w14:textId="77777777" w:rsidR="001240FC" w:rsidRPr="00945976" w:rsidRDefault="001240FC" w:rsidP="001240FC">
            <w:pPr>
              <w:spacing w:after="120" w:line="240" w:lineRule="auto"/>
              <w:rPr>
                <w:rFonts w:ascii="Times New Roman" w:hAnsi="Times New Roman"/>
                <w:color w:val="000000" w:themeColor="text1"/>
              </w:rPr>
            </w:pPr>
          </w:p>
        </w:tc>
        <w:tc>
          <w:tcPr>
            <w:tcW w:w="851" w:type="dxa"/>
            <w:gridSpan w:val="2"/>
            <w:shd w:val="clear" w:color="auto" w:fill="FFFFFF"/>
          </w:tcPr>
          <w:p w14:paraId="0B425A6B" w14:textId="77777777" w:rsidR="001240FC" w:rsidRPr="00945976" w:rsidRDefault="001240FC" w:rsidP="001240FC">
            <w:pPr>
              <w:spacing w:after="120" w:line="240" w:lineRule="auto"/>
              <w:rPr>
                <w:rFonts w:ascii="Times New Roman" w:hAnsi="Times New Roman"/>
                <w:color w:val="000000" w:themeColor="text1"/>
              </w:rPr>
            </w:pPr>
          </w:p>
        </w:tc>
        <w:tc>
          <w:tcPr>
            <w:tcW w:w="850" w:type="dxa"/>
            <w:shd w:val="clear" w:color="auto" w:fill="FFFFFF"/>
          </w:tcPr>
          <w:p w14:paraId="0B936476"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3081AF13" w14:textId="77777777" w:rsidR="001240FC" w:rsidRPr="00945976" w:rsidRDefault="001240FC" w:rsidP="001240FC">
            <w:pPr>
              <w:spacing w:after="120" w:line="240" w:lineRule="auto"/>
              <w:rPr>
                <w:rFonts w:ascii="Times New Roman" w:hAnsi="Times New Roman"/>
                <w:color w:val="000000" w:themeColor="text1"/>
              </w:rPr>
            </w:pPr>
          </w:p>
        </w:tc>
        <w:tc>
          <w:tcPr>
            <w:tcW w:w="709" w:type="dxa"/>
            <w:shd w:val="clear" w:color="auto" w:fill="FFFFFF"/>
          </w:tcPr>
          <w:p w14:paraId="7A264C2F" w14:textId="77777777" w:rsidR="001240FC" w:rsidRPr="00945976" w:rsidRDefault="001240FC" w:rsidP="001240FC">
            <w:pPr>
              <w:spacing w:after="120" w:line="240" w:lineRule="auto"/>
              <w:rPr>
                <w:rFonts w:ascii="Times New Roman" w:hAnsi="Times New Roman"/>
                <w:color w:val="000000" w:themeColor="text1"/>
              </w:rPr>
            </w:pPr>
          </w:p>
        </w:tc>
        <w:tc>
          <w:tcPr>
            <w:tcW w:w="708" w:type="dxa"/>
            <w:gridSpan w:val="2"/>
            <w:shd w:val="clear" w:color="auto" w:fill="FFFFFF"/>
          </w:tcPr>
          <w:p w14:paraId="2A459093"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49C827A6"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3"/>
            <w:shd w:val="clear" w:color="auto" w:fill="FFFFFF"/>
          </w:tcPr>
          <w:p w14:paraId="1EA5F9C0"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606B0A8C" w14:textId="77777777" w:rsidR="001240FC" w:rsidRPr="00945976" w:rsidRDefault="001240FC" w:rsidP="001240FC">
            <w:pPr>
              <w:spacing w:after="120" w:line="240" w:lineRule="auto"/>
              <w:rPr>
                <w:rFonts w:ascii="Times New Roman" w:hAnsi="Times New Roman"/>
                <w:color w:val="000000" w:themeColor="text1"/>
              </w:rPr>
            </w:pPr>
          </w:p>
        </w:tc>
        <w:tc>
          <w:tcPr>
            <w:tcW w:w="708" w:type="dxa"/>
            <w:shd w:val="clear" w:color="auto" w:fill="FFFFFF"/>
          </w:tcPr>
          <w:p w14:paraId="058087DC" w14:textId="77777777" w:rsidR="001240FC" w:rsidRPr="00945976" w:rsidRDefault="001240FC" w:rsidP="001240FC">
            <w:pPr>
              <w:spacing w:after="120" w:line="240" w:lineRule="auto"/>
              <w:rPr>
                <w:rFonts w:ascii="Times New Roman" w:hAnsi="Times New Roman"/>
                <w:color w:val="000000" w:themeColor="text1"/>
              </w:rPr>
            </w:pPr>
          </w:p>
        </w:tc>
        <w:tc>
          <w:tcPr>
            <w:tcW w:w="709" w:type="dxa"/>
            <w:gridSpan w:val="2"/>
            <w:shd w:val="clear" w:color="auto" w:fill="FFFFFF"/>
          </w:tcPr>
          <w:p w14:paraId="2EE8C516" w14:textId="77777777" w:rsidR="001240FC" w:rsidRPr="00945976" w:rsidRDefault="001240FC" w:rsidP="001240FC">
            <w:pPr>
              <w:spacing w:after="120" w:line="240" w:lineRule="auto"/>
              <w:rPr>
                <w:rFonts w:ascii="Times New Roman" w:hAnsi="Times New Roman"/>
                <w:color w:val="000000" w:themeColor="text1"/>
              </w:rPr>
            </w:pPr>
          </w:p>
        </w:tc>
        <w:tc>
          <w:tcPr>
            <w:tcW w:w="995" w:type="dxa"/>
            <w:gridSpan w:val="2"/>
            <w:shd w:val="clear" w:color="auto" w:fill="FFFFFF"/>
          </w:tcPr>
          <w:p w14:paraId="32DD9F61" w14:textId="77777777" w:rsidR="001240FC" w:rsidRPr="00945976" w:rsidRDefault="001240FC" w:rsidP="001240FC">
            <w:pPr>
              <w:spacing w:after="120" w:line="240" w:lineRule="auto"/>
              <w:rPr>
                <w:rFonts w:ascii="Times New Roman" w:hAnsi="Times New Roman"/>
                <w:color w:val="000000" w:themeColor="text1"/>
              </w:rPr>
            </w:pPr>
          </w:p>
        </w:tc>
      </w:tr>
      <w:tr w:rsidR="00184307" w:rsidRPr="00945976" w14:paraId="77AEAA25" w14:textId="77777777" w:rsidTr="00AC7BAF">
        <w:trPr>
          <w:trHeight w:val="360"/>
        </w:trPr>
        <w:tc>
          <w:tcPr>
            <w:tcW w:w="1589" w:type="dxa"/>
            <w:shd w:val="clear" w:color="auto" w:fill="FFFFFF"/>
            <w:vAlign w:val="center"/>
          </w:tcPr>
          <w:p w14:paraId="33B7E356" w14:textId="77777777" w:rsidR="00184307" w:rsidRPr="00945976" w:rsidRDefault="00184307" w:rsidP="00184307">
            <w:pPr>
              <w:spacing w:after="120" w:line="240" w:lineRule="auto"/>
              <w:rPr>
                <w:rFonts w:ascii="Times New Roman" w:hAnsi="Times New Roman"/>
                <w:color w:val="000000" w:themeColor="text1"/>
              </w:rPr>
            </w:pPr>
            <w:r w:rsidRPr="00945976">
              <w:rPr>
                <w:rFonts w:ascii="Times New Roman" w:hAnsi="Times New Roman"/>
                <w:b/>
                <w:color w:val="000000" w:themeColor="text1"/>
              </w:rPr>
              <w:t>Saldo ogółem</w:t>
            </w:r>
          </w:p>
        </w:tc>
        <w:tc>
          <w:tcPr>
            <w:tcW w:w="992" w:type="dxa"/>
            <w:gridSpan w:val="3"/>
            <w:shd w:val="clear" w:color="auto" w:fill="FFFFFF"/>
          </w:tcPr>
          <w:p w14:paraId="3099264C" w14:textId="77777777" w:rsidR="00184307"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-160,65</w:t>
            </w:r>
          </w:p>
        </w:tc>
        <w:tc>
          <w:tcPr>
            <w:tcW w:w="851" w:type="dxa"/>
            <w:gridSpan w:val="2"/>
            <w:shd w:val="clear" w:color="auto" w:fill="FFFFFF"/>
          </w:tcPr>
          <w:p w14:paraId="7E5EF318"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-165,48</w:t>
            </w:r>
          </w:p>
        </w:tc>
        <w:tc>
          <w:tcPr>
            <w:tcW w:w="850" w:type="dxa"/>
            <w:shd w:val="clear" w:color="auto" w:fill="FFFFFF"/>
          </w:tcPr>
          <w:p w14:paraId="1BA0D67C"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shd w:val="clear" w:color="auto" w:fill="FFFFFF"/>
          </w:tcPr>
          <w:p w14:paraId="045102C8"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shd w:val="clear" w:color="auto" w:fill="FFFFFF"/>
          </w:tcPr>
          <w:p w14:paraId="32E45AD2"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8" w:type="dxa"/>
            <w:gridSpan w:val="2"/>
            <w:shd w:val="clear" w:color="auto" w:fill="FFFFFF"/>
          </w:tcPr>
          <w:p w14:paraId="7D7CEB8C"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3"/>
            <w:shd w:val="clear" w:color="auto" w:fill="FFFFFF"/>
          </w:tcPr>
          <w:p w14:paraId="3C656214"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3"/>
            <w:shd w:val="clear" w:color="auto" w:fill="FFFFFF"/>
          </w:tcPr>
          <w:p w14:paraId="18707BCD"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2"/>
            <w:shd w:val="clear" w:color="auto" w:fill="FFFFFF"/>
          </w:tcPr>
          <w:p w14:paraId="2E4A157B"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8" w:type="dxa"/>
            <w:shd w:val="clear" w:color="auto" w:fill="FFFFFF"/>
          </w:tcPr>
          <w:p w14:paraId="6B26D763" w14:textId="77777777" w:rsidR="00184307" w:rsidRPr="00945976" w:rsidRDefault="00137CF0" w:rsidP="00184307">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2"/>
            <w:shd w:val="clear" w:color="auto" w:fill="FFFFFF"/>
          </w:tcPr>
          <w:p w14:paraId="4C21EAA6" w14:textId="77777777" w:rsidR="00184307" w:rsidRPr="00945976" w:rsidRDefault="00184307" w:rsidP="00184307">
            <w:pPr>
              <w:spacing w:after="120" w:line="240" w:lineRule="auto"/>
              <w:rPr>
                <w:rFonts w:ascii="Times New Roman" w:hAnsi="Times New Roman"/>
                <w:color w:val="000000" w:themeColor="text1"/>
              </w:rPr>
            </w:pPr>
          </w:p>
        </w:tc>
        <w:tc>
          <w:tcPr>
            <w:tcW w:w="995" w:type="dxa"/>
            <w:gridSpan w:val="2"/>
            <w:shd w:val="clear" w:color="auto" w:fill="FFFFFF"/>
          </w:tcPr>
          <w:p w14:paraId="4C33BB8B" w14:textId="77777777" w:rsidR="00567F4E" w:rsidRPr="00945976" w:rsidRDefault="00137CF0" w:rsidP="00801B88">
            <w:pPr>
              <w:spacing w:after="120" w:line="240" w:lineRule="auto"/>
              <w:rPr>
                <w:rFonts w:ascii="Times New Roman" w:hAnsi="Times New Roman"/>
                <w:color w:val="000000" w:themeColor="text1"/>
              </w:rPr>
            </w:pPr>
            <w:r>
              <w:rPr>
                <w:rFonts w:ascii="Times New Roman" w:hAnsi="Times New Roman"/>
                <w:color w:val="000000" w:themeColor="text1"/>
              </w:rPr>
              <w:t>-1619,</w:t>
            </w:r>
            <w:r w:rsidR="00801B88">
              <w:rPr>
                <w:rFonts w:ascii="Times New Roman" w:hAnsi="Times New Roman"/>
                <w:color w:val="000000" w:themeColor="text1"/>
              </w:rPr>
              <w:t>01</w:t>
            </w:r>
          </w:p>
        </w:tc>
      </w:tr>
      <w:tr w:rsidR="00137CF0" w:rsidRPr="00945976" w14:paraId="42789517" w14:textId="77777777" w:rsidTr="00AC7BAF">
        <w:trPr>
          <w:trHeight w:val="360"/>
        </w:trPr>
        <w:tc>
          <w:tcPr>
            <w:tcW w:w="1589" w:type="dxa"/>
            <w:shd w:val="clear" w:color="auto" w:fill="FFFFFF"/>
            <w:vAlign w:val="center"/>
          </w:tcPr>
          <w:p w14:paraId="02C247CE"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budżet państwa</w:t>
            </w:r>
          </w:p>
        </w:tc>
        <w:tc>
          <w:tcPr>
            <w:tcW w:w="992" w:type="dxa"/>
            <w:gridSpan w:val="3"/>
            <w:shd w:val="clear" w:color="auto" w:fill="FFFFFF"/>
          </w:tcPr>
          <w:p w14:paraId="72494EC6"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-160,65</w:t>
            </w:r>
          </w:p>
        </w:tc>
        <w:tc>
          <w:tcPr>
            <w:tcW w:w="851" w:type="dxa"/>
            <w:gridSpan w:val="2"/>
            <w:shd w:val="clear" w:color="auto" w:fill="FFFFFF"/>
          </w:tcPr>
          <w:p w14:paraId="015FF0D4"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-165,48</w:t>
            </w:r>
          </w:p>
        </w:tc>
        <w:tc>
          <w:tcPr>
            <w:tcW w:w="850" w:type="dxa"/>
            <w:shd w:val="clear" w:color="auto" w:fill="FFFFFF"/>
          </w:tcPr>
          <w:p w14:paraId="58A6B8F9"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shd w:val="clear" w:color="auto" w:fill="FFFFFF"/>
          </w:tcPr>
          <w:p w14:paraId="0F131F00"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shd w:val="clear" w:color="auto" w:fill="FFFFFF"/>
          </w:tcPr>
          <w:p w14:paraId="6B98E936"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8" w:type="dxa"/>
            <w:gridSpan w:val="2"/>
            <w:shd w:val="clear" w:color="auto" w:fill="FFFFFF"/>
          </w:tcPr>
          <w:p w14:paraId="6437AEE2"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3"/>
            <w:shd w:val="clear" w:color="auto" w:fill="FFFFFF"/>
          </w:tcPr>
          <w:p w14:paraId="473CEE17"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3"/>
            <w:shd w:val="clear" w:color="auto" w:fill="FFFFFF"/>
          </w:tcPr>
          <w:p w14:paraId="0786C7F8"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2"/>
            <w:shd w:val="clear" w:color="auto" w:fill="FFFFFF"/>
          </w:tcPr>
          <w:p w14:paraId="58B21FE0"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8" w:type="dxa"/>
            <w:shd w:val="clear" w:color="auto" w:fill="FFFFFF"/>
          </w:tcPr>
          <w:p w14:paraId="447DC9B6" w14:textId="77777777" w:rsidR="00137CF0" w:rsidRPr="00945976" w:rsidRDefault="00137CF0" w:rsidP="00137CF0">
            <w:pPr>
              <w:spacing w:after="120" w:line="240" w:lineRule="auto"/>
              <w:rPr>
                <w:rFonts w:ascii="Times New Roman" w:hAnsi="Times New Roman"/>
                <w:color w:val="000000" w:themeColor="text1"/>
              </w:rPr>
            </w:pPr>
            <w:r>
              <w:rPr>
                <w:rFonts w:ascii="Times New Roman" w:hAnsi="Times New Roman"/>
                <w:color w:val="000000" w:themeColor="text1"/>
              </w:rPr>
              <w:t>-161,61</w:t>
            </w:r>
          </w:p>
        </w:tc>
        <w:tc>
          <w:tcPr>
            <w:tcW w:w="709" w:type="dxa"/>
            <w:gridSpan w:val="2"/>
            <w:shd w:val="clear" w:color="auto" w:fill="FFFFFF"/>
          </w:tcPr>
          <w:p w14:paraId="28B03631" w14:textId="77777777" w:rsidR="00137CF0" w:rsidRPr="00945976" w:rsidRDefault="00137CF0" w:rsidP="00137CF0">
            <w:pPr>
              <w:spacing w:after="120" w:line="240" w:lineRule="auto"/>
              <w:rPr>
                <w:rFonts w:ascii="Times New Roman" w:hAnsi="Times New Roman"/>
                <w:color w:val="000000" w:themeColor="text1"/>
              </w:rPr>
            </w:pPr>
          </w:p>
        </w:tc>
        <w:tc>
          <w:tcPr>
            <w:tcW w:w="995" w:type="dxa"/>
            <w:gridSpan w:val="2"/>
            <w:shd w:val="clear" w:color="auto" w:fill="FFFFFF"/>
          </w:tcPr>
          <w:p w14:paraId="0B1BBEEF" w14:textId="77777777" w:rsidR="00137CF0" w:rsidRPr="00945976" w:rsidRDefault="00137CF0" w:rsidP="00801B88">
            <w:pPr>
              <w:spacing w:after="120" w:line="240" w:lineRule="auto"/>
              <w:rPr>
                <w:rFonts w:ascii="Times New Roman" w:hAnsi="Times New Roman"/>
                <w:color w:val="000000" w:themeColor="text1"/>
              </w:rPr>
            </w:pPr>
            <w:r>
              <w:rPr>
                <w:rFonts w:ascii="Times New Roman" w:hAnsi="Times New Roman"/>
                <w:color w:val="000000" w:themeColor="text1"/>
              </w:rPr>
              <w:t>-1619,</w:t>
            </w:r>
            <w:r w:rsidR="00801B88">
              <w:rPr>
                <w:rFonts w:ascii="Times New Roman" w:hAnsi="Times New Roman"/>
                <w:color w:val="000000" w:themeColor="text1"/>
              </w:rPr>
              <w:t>01</w:t>
            </w:r>
          </w:p>
        </w:tc>
      </w:tr>
      <w:tr w:rsidR="00137CF0" w:rsidRPr="00945976" w14:paraId="48E3E49A" w14:textId="77777777" w:rsidTr="00AC7BAF">
        <w:trPr>
          <w:trHeight w:val="357"/>
        </w:trPr>
        <w:tc>
          <w:tcPr>
            <w:tcW w:w="1589" w:type="dxa"/>
            <w:shd w:val="clear" w:color="auto" w:fill="FFFFFF"/>
            <w:vAlign w:val="center"/>
          </w:tcPr>
          <w:p w14:paraId="26FC6B06"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JST</w:t>
            </w:r>
          </w:p>
        </w:tc>
        <w:tc>
          <w:tcPr>
            <w:tcW w:w="992" w:type="dxa"/>
            <w:gridSpan w:val="3"/>
            <w:shd w:val="clear" w:color="auto" w:fill="FFFFFF"/>
          </w:tcPr>
          <w:p w14:paraId="3CA28C96" w14:textId="77777777" w:rsidR="00137CF0" w:rsidRPr="00945976" w:rsidRDefault="00137CF0" w:rsidP="00137CF0">
            <w:pPr>
              <w:spacing w:after="120" w:line="240" w:lineRule="auto"/>
              <w:rPr>
                <w:rFonts w:ascii="Times New Roman" w:hAnsi="Times New Roman"/>
                <w:color w:val="000000" w:themeColor="text1"/>
              </w:rPr>
            </w:pPr>
          </w:p>
        </w:tc>
        <w:tc>
          <w:tcPr>
            <w:tcW w:w="851" w:type="dxa"/>
            <w:gridSpan w:val="2"/>
            <w:shd w:val="clear" w:color="auto" w:fill="FFFFFF"/>
          </w:tcPr>
          <w:p w14:paraId="42F8344D" w14:textId="77777777" w:rsidR="00137CF0" w:rsidRPr="00945976" w:rsidRDefault="00137CF0" w:rsidP="00137CF0">
            <w:pPr>
              <w:spacing w:after="120" w:line="240" w:lineRule="auto"/>
              <w:rPr>
                <w:rFonts w:ascii="Times New Roman" w:hAnsi="Times New Roman"/>
                <w:color w:val="000000" w:themeColor="text1"/>
              </w:rPr>
            </w:pPr>
          </w:p>
        </w:tc>
        <w:tc>
          <w:tcPr>
            <w:tcW w:w="850" w:type="dxa"/>
            <w:shd w:val="clear" w:color="auto" w:fill="FFFFFF"/>
          </w:tcPr>
          <w:p w14:paraId="46FB57B2" w14:textId="77777777" w:rsidR="00137CF0" w:rsidRPr="00945976" w:rsidRDefault="00137CF0" w:rsidP="00137CF0">
            <w:pPr>
              <w:spacing w:after="120" w:line="240" w:lineRule="auto"/>
              <w:rPr>
                <w:rFonts w:ascii="Times New Roman" w:hAnsi="Times New Roman"/>
                <w:color w:val="000000" w:themeColor="text1"/>
              </w:rPr>
            </w:pPr>
          </w:p>
        </w:tc>
        <w:tc>
          <w:tcPr>
            <w:tcW w:w="709" w:type="dxa"/>
            <w:shd w:val="clear" w:color="auto" w:fill="FFFFFF"/>
          </w:tcPr>
          <w:p w14:paraId="33602CD1" w14:textId="77777777" w:rsidR="00137CF0" w:rsidRPr="00945976" w:rsidRDefault="00137CF0" w:rsidP="00137CF0">
            <w:pPr>
              <w:spacing w:after="120" w:line="240" w:lineRule="auto"/>
              <w:rPr>
                <w:rFonts w:ascii="Times New Roman" w:hAnsi="Times New Roman"/>
                <w:color w:val="000000" w:themeColor="text1"/>
              </w:rPr>
            </w:pPr>
          </w:p>
        </w:tc>
        <w:tc>
          <w:tcPr>
            <w:tcW w:w="709" w:type="dxa"/>
            <w:shd w:val="clear" w:color="auto" w:fill="FFFFFF"/>
          </w:tcPr>
          <w:p w14:paraId="0BA43003" w14:textId="77777777" w:rsidR="00137CF0" w:rsidRPr="00945976" w:rsidRDefault="00137CF0" w:rsidP="00137CF0">
            <w:pPr>
              <w:spacing w:after="120" w:line="240" w:lineRule="auto"/>
              <w:rPr>
                <w:rFonts w:ascii="Times New Roman" w:hAnsi="Times New Roman"/>
                <w:color w:val="000000" w:themeColor="text1"/>
              </w:rPr>
            </w:pPr>
          </w:p>
        </w:tc>
        <w:tc>
          <w:tcPr>
            <w:tcW w:w="708" w:type="dxa"/>
            <w:gridSpan w:val="2"/>
            <w:shd w:val="clear" w:color="auto" w:fill="FFFFFF"/>
          </w:tcPr>
          <w:p w14:paraId="34D28DA6"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3"/>
            <w:shd w:val="clear" w:color="auto" w:fill="FFFFFF"/>
          </w:tcPr>
          <w:p w14:paraId="0C90F9BE"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3"/>
            <w:shd w:val="clear" w:color="auto" w:fill="FFFFFF"/>
          </w:tcPr>
          <w:p w14:paraId="30C998BC"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2"/>
            <w:shd w:val="clear" w:color="auto" w:fill="FFFFFF"/>
          </w:tcPr>
          <w:p w14:paraId="40F52C4E" w14:textId="77777777" w:rsidR="00137CF0" w:rsidRPr="00945976" w:rsidRDefault="00137CF0" w:rsidP="00137CF0">
            <w:pPr>
              <w:spacing w:after="120" w:line="240" w:lineRule="auto"/>
              <w:rPr>
                <w:rFonts w:ascii="Times New Roman" w:hAnsi="Times New Roman"/>
                <w:color w:val="000000" w:themeColor="text1"/>
              </w:rPr>
            </w:pPr>
          </w:p>
        </w:tc>
        <w:tc>
          <w:tcPr>
            <w:tcW w:w="708" w:type="dxa"/>
            <w:shd w:val="clear" w:color="auto" w:fill="FFFFFF"/>
          </w:tcPr>
          <w:p w14:paraId="18B1752B"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2"/>
            <w:shd w:val="clear" w:color="auto" w:fill="FFFFFF"/>
          </w:tcPr>
          <w:p w14:paraId="6AE8BB60" w14:textId="77777777" w:rsidR="00137CF0" w:rsidRPr="00945976" w:rsidRDefault="00137CF0" w:rsidP="00137CF0">
            <w:pPr>
              <w:spacing w:after="120" w:line="240" w:lineRule="auto"/>
              <w:rPr>
                <w:rFonts w:ascii="Times New Roman" w:hAnsi="Times New Roman"/>
                <w:color w:val="000000" w:themeColor="text1"/>
              </w:rPr>
            </w:pPr>
          </w:p>
        </w:tc>
        <w:tc>
          <w:tcPr>
            <w:tcW w:w="995" w:type="dxa"/>
            <w:gridSpan w:val="2"/>
            <w:shd w:val="clear" w:color="auto" w:fill="FFFFFF"/>
          </w:tcPr>
          <w:p w14:paraId="7D693A06" w14:textId="77777777" w:rsidR="00137CF0" w:rsidRPr="00945976" w:rsidRDefault="00137CF0" w:rsidP="00137CF0">
            <w:pPr>
              <w:spacing w:after="120" w:line="240" w:lineRule="auto"/>
              <w:rPr>
                <w:rFonts w:ascii="Times New Roman" w:hAnsi="Times New Roman"/>
                <w:color w:val="000000" w:themeColor="text1"/>
              </w:rPr>
            </w:pPr>
          </w:p>
        </w:tc>
      </w:tr>
      <w:tr w:rsidR="00137CF0" w:rsidRPr="00945976" w14:paraId="56BF3C3C" w14:textId="77777777" w:rsidTr="00AC7BAF">
        <w:trPr>
          <w:trHeight w:val="357"/>
        </w:trPr>
        <w:tc>
          <w:tcPr>
            <w:tcW w:w="1589" w:type="dxa"/>
            <w:shd w:val="clear" w:color="auto" w:fill="FFFFFF"/>
            <w:vAlign w:val="center"/>
          </w:tcPr>
          <w:p w14:paraId="69C5BB7D"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pozostałe jednostki (oddzielnie)</w:t>
            </w:r>
          </w:p>
        </w:tc>
        <w:tc>
          <w:tcPr>
            <w:tcW w:w="992" w:type="dxa"/>
            <w:gridSpan w:val="3"/>
            <w:shd w:val="clear" w:color="auto" w:fill="FFFFFF"/>
          </w:tcPr>
          <w:p w14:paraId="61B6988E" w14:textId="77777777" w:rsidR="00137CF0" w:rsidRPr="00945976" w:rsidRDefault="00137CF0" w:rsidP="00137CF0">
            <w:pPr>
              <w:spacing w:after="120" w:line="240" w:lineRule="auto"/>
              <w:rPr>
                <w:rFonts w:ascii="Times New Roman" w:hAnsi="Times New Roman"/>
                <w:color w:val="000000" w:themeColor="text1"/>
              </w:rPr>
            </w:pPr>
          </w:p>
        </w:tc>
        <w:tc>
          <w:tcPr>
            <w:tcW w:w="851" w:type="dxa"/>
            <w:gridSpan w:val="2"/>
            <w:shd w:val="clear" w:color="auto" w:fill="FFFFFF"/>
          </w:tcPr>
          <w:p w14:paraId="350759E0" w14:textId="77777777" w:rsidR="00137CF0" w:rsidRPr="00945976" w:rsidRDefault="00137CF0" w:rsidP="00137CF0">
            <w:pPr>
              <w:spacing w:after="120" w:line="240" w:lineRule="auto"/>
              <w:rPr>
                <w:rFonts w:ascii="Times New Roman" w:hAnsi="Times New Roman"/>
                <w:color w:val="000000" w:themeColor="text1"/>
              </w:rPr>
            </w:pPr>
          </w:p>
        </w:tc>
        <w:tc>
          <w:tcPr>
            <w:tcW w:w="850" w:type="dxa"/>
            <w:shd w:val="clear" w:color="auto" w:fill="FFFFFF"/>
          </w:tcPr>
          <w:p w14:paraId="760FBB7E" w14:textId="77777777" w:rsidR="00137CF0" w:rsidRPr="00945976" w:rsidRDefault="00137CF0" w:rsidP="00137CF0">
            <w:pPr>
              <w:spacing w:after="120" w:line="240" w:lineRule="auto"/>
              <w:rPr>
                <w:rFonts w:ascii="Times New Roman" w:hAnsi="Times New Roman"/>
                <w:color w:val="000000" w:themeColor="text1"/>
              </w:rPr>
            </w:pPr>
          </w:p>
        </w:tc>
        <w:tc>
          <w:tcPr>
            <w:tcW w:w="709" w:type="dxa"/>
            <w:shd w:val="clear" w:color="auto" w:fill="FFFFFF"/>
          </w:tcPr>
          <w:p w14:paraId="5498B7CD" w14:textId="77777777" w:rsidR="00137CF0" w:rsidRPr="00945976" w:rsidRDefault="00137CF0" w:rsidP="00137CF0">
            <w:pPr>
              <w:spacing w:after="120" w:line="240" w:lineRule="auto"/>
              <w:rPr>
                <w:rFonts w:ascii="Times New Roman" w:hAnsi="Times New Roman"/>
                <w:color w:val="000000" w:themeColor="text1"/>
              </w:rPr>
            </w:pPr>
          </w:p>
        </w:tc>
        <w:tc>
          <w:tcPr>
            <w:tcW w:w="709" w:type="dxa"/>
            <w:shd w:val="clear" w:color="auto" w:fill="FFFFFF"/>
          </w:tcPr>
          <w:p w14:paraId="01D00406" w14:textId="77777777" w:rsidR="00137CF0" w:rsidRPr="00945976" w:rsidRDefault="00137CF0" w:rsidP="00137CF0">
            <w:pPr>
              <w:spacing w:after="120" w:line="240" w:lineRule="auto"/>
              <w:rPr>
                <w:rFonts w:ascii="Times New Roman" w:hAnsi="Times New Roman"/>
                <w:color w:val="000000" w:themeColor="text1"/>
              </w:rPr>
            </w:pPr>
          </w:p>
        </w:tc>
        <w:tc>
          <w:tcPr>
            <w:tcW w:w="708" w:type="dxa"/>
            <w:gridSpan w:val="2"/>
            <w:shd w:val="clear" w:color="auto" w:fill="FFFFFF"/>
          </w:tcPr>
          <w:p w14:paraId="243717C6"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3"/>
            <w:shd w:val="clear" w:color="auto" w:fill="FFFFFF"/>
          </w:tcPr>
          <w:p w14:paraId="7097C63E"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3"/>
            <w:shd w:val="clear" w:color="auto" w:fill="FFFFFF"/>
          </w:tcPr>
          <w:p w14:paraId="099D3C07"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2"/>
            <w:shd w:val="clear" w:color="auto" w:fill="FFFFFF"/>
          </w:tcPr>
          <w:p w14:paraId="701483A0" w14:textId="77777777" w:rsidR="00137CF0" w:rsidRPr="00945976" w:rsidRDefault="00137CF0" w:rsidP="00137CF0">
            <w:pPr>
              <w:spacing w:after="120" w:line="240" w:lineRule="auto"/>
              <w:rPr>
                <w:rFonts w:ascii="Times New Roman" w:hAnsi="Times New Roman"/>
                <w:color w:val="000000" w:themeColor="text1"/>
              </w:rPr>
            </w:pPr>
          </w:p>
        </w:tc>
        <w:tc>
          <w:tcPr>
            <w:tcW w:w="708" w:type="dxa"/>
            <w:shd w:val="clear" w:color="auto" w:fill="FFFFFF"/>
          </w:tcPr>
          <w:p w14:paraId="5E0A7BF9"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2"/>
            <w:shd w:val="clear" w:color="auto" w:fill="FFFFFF"/>
          </w:tcPr>
          <w:p w14:paraId="5342DA32" w14:textId="77777777" w:rsidR="00137CF0" w:rsidRPr="00945976" w:rsidRDefault="00137CF0" w:rsidP="00137CF0">
            <w:pPr>
              <w:spacing w:after="120" w:line="240" w:lineRule="auto"/>
              <w:rPr>
                <w:rFonts w:ascii="Times New Roman" w:hAnsi="Times New Roman"/>
                <w:color w:val="000000" w:themeColor="text1"/>
              </w:rPr>
            </w:pPr>
          </w:p>
        </w:tc>
        <w:tc>
          <w:tcPr>
            <w:tcW w:w="995" w:type="dxa"/>
            <w:gridSpan w:val="2"/>
            <w:shd w:val="clear" w:color="auto" w:fill="FFFFFF"/>
          </w:tcPr>
          <w:p w14:paraId="46B988BB" w14:textId="77777777" w:rsidR="00137CF0" w:rsidRPr="00945976" w:rsidRDefault="00137CF0" w:rsidP="00137CF0">
            <w:pPr>
              <w:spacing w:after="120" w:line="240" w:lineRule="auto"/>
              <w:rPr>
                <w:rFonts w:ascii="Times New Roman" w:hAnsi="Times New Roman"/>
                <w:color w:val="000000" w:themeColor="text1"/>
              </w:rPr>
            </w:pPr>
          </w:p>
        </w:tc>
      </w:tr>
      <w:tr w:rsidR="00137CF0" w:rsidRPr="00945976" w14:paraId="6C46133D" w14:textId="77777777" w:rsidTr="00695F17">
        <w:trPr>
          <w:gridAfter w:val="1"/>
          <w:wAfter w:w="10" w:type="dxa"/>
          <w:trHeight w:val="348"/>
        </w:trPr>
        <w:tc>
          <w:tcPr>
            <w:tcW w:w="1960" w:type="dxa"/>
            <w:gridSpan w:val="3"/>
            <w:shd w:val="clear" w:color="auto" w:fill="FFFFFF"/>
            <w:vAlign w:val="center"/>
          </w:tcPr>
          <w:p w14:paraId="01769C86"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Źródła finansowania </w:t>
            </w:r>
          </w:p>
        </w:tc>
        <w:tc>
          <w:tcPr>
            <w:tcW w:w="8977" w:type="dxa"/>
            <w:gridSpan w:val="20"/>
            <w:shd w:val="clear" w:color="auto" w:fill="FFFFFF"/>
            <w:vAlign w:val="center"/>
          </w:tcPr>
          <w:p w14:paraId="3E5F622C" w14:textId="77777777" w:rsidR="00137CF0" w:rsidRPr="00945976" w:rsidRDefault="00137CF0" w:rsidP="00137CF0">
            <w:pPr>
              <w:spacing w:after="120" w:line="240" w:lineRule="auto"/>
              <w:jc w:val="both"/>
              <w:rPr>
                <w:rFonts w:ascii="Times New Roman" w:hAnsi="Times New Roman"/>
                <w:color w:val="000000" w:themeColor="text1"/>
              </w:rPr>
            </w:pPr>
          </w:p>
        </w:tc>
      </w:tr>
      <w:tr w:rsidR="00137CF0" w:rsidRPr="00945976" w14:paraId="0B2E43DC" w14:textId="77777777" w:rsidTr="00B94F3B">
        <w:trPr>
          <w:gridAfter w:val="1"/>
          <w:wAfter w:w="10" w:type="dxa"/>
          <w:trHeight w:val="841"/>
        </w:trPr>
        <w:tc>
          <w:tcPr>
            <w:tcW w:w="1960" w:type="dxa"/>
            <w:gridSpan w:val="3"/>
            <w:shd w:val="clear" w:color="auto" w:fill="FFFFFF"/>
          </w:tcPr>
          <w:p w14:paraId="575D0DFC"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Dodatkowe informacje, w tym wskazanie źródeł danych i przyjętych do obliczeń założeń</w:t>
            </w:r>
          </w:p>
        </w:tc>
        <w:tc>
          <w:tcPr>
            <w:tcW w:w="8977" w:type="dxa"/>
            <w:gridSpan w:val="20"/>
            <w:shd w:val="clear" w:color="auto" w:fill="FFFFFF"/>
          </w:tcPr>
          <w:p w14:paraId="27EE5C15" w14:textId="77777777" w:rsidR="00137CF0" w:rsidRPr="00451A5C" w:rsidRDefault="00137CF0" w:rsidP="00137CF0">
            <w:pPr>
              <w:spacing w:after="120" w:line="240" w:lineRule="auto"/>
              <w:jc w:val="both"/>
              <w:rPr>
                <w:rFonts w:ascii="Times New Roman" w:hAnsi="Times New Roman"/>
                <w:color w:val="000000" w:themeColor="text1"/>
              </w:rPr>
            </w:pPr>
            <w:r w:rsidRPr="00451A5C">
              <w:rPr>
                <w:rFonts w:ascii="Times New Roman" w:hAnsi="Times New Roman"/>
                <w:color w:val="000000" w:themeColor="text1"/>
              </w:rPr>
              <w:t>A</w:t>
            </w:r>
            <w:r>
              <w:rPr>
                <w:rFonts w:ascii="Times New Roman" w:hAnsi="Times New Roman"/>
                <w:color w:val="000000" w:themeColor="text1"/>
              </w:rPr>
              <w:t>)</w:t>
            </w:r>
            <w:r w:rsidR="00B94F3B">
              <w:rPr>
                <w:rFonts w:ascii="Times New Roman" w:hAnsi="Times New Roman"/>
                <w:color w:val="000000" w:themeColor="text1"/>
              </w:rPr>
              <w:t xml:space="preserve"> </w:t>
            </w:r>
            <w:r w:rsidRPr="00451A5C">
              <w:rPr>
                <w:rFonts w:ascii="Times New Roman" w:hAnsi="Times New Roman"/>
                <w:color w:val="000000" w:themeColor="text1"/>
              </w:rPr>
              <w:t>Skutek finansowy VAT w ujęciu rocznym w przypadku podwyższenia kwoty z 10 zł na 20 zł netto dla prezentów, w przypadku gdy podatnik nie prowadzi ewidencji osób, którym zostały przekazane towary wynosi ok. - 57,4 mln zł przy założeniu, że każdy podatnik VAT (czynny) przekaże w ciągu roku 20 prezentów.</w:t>
            </w:r>
          </w:p>
          <w:p w14:paraId="7E4F5BCE" w14:textId="77777777" w:rsidR="00137CF0" w:rsidRDefault="00137CF0" w:rsidP="00137CF0">
            <w:pPr>
              <w:spacing w:after="120" w:line="240" w:lineRule="auto"/>
              <w:jc w:val="both"/>
              <w:rPr>
                <w:rFonts w:ascii="Times New Roman" w:hAnsi="Times New Roman"/>
                <w:color w:val="000000" w:themeColor="text1"/>
              </w:rPr>
            </w:pPr>
            <w:r w:rsidRPr="00451A5C">
              <w:rPr>
                <w:rFonts w:ascii="Times New Roman" w:hAnsi="Times New Roman"/>
                <w:color w:val="000000" w:themeColor="text1"/>
              </w:rPr>
              <w:t>B</w:t>
            </w:r>
            <w:r>
              <w:rPr>
                <w:rFonts w:ascii="Times New Roman" w:hAnsi="Times New Roman"/>
                <w:color w:val="000000" w:themeColor="text1"/>
              </w:rPr>
              <w:t>)</w:t>
            </w:r>
            <w:r w:rsidR="00B94F3B">
              <w:rPr>
                <w:rFonts w:ascii="Times New Roman" w:hAnsi="Times New Roman"/>
                <w:color w:val="000000" w:themeColor="text1"/>
              </w:rPr>
              <w:t xml:space="preserve"> </w:t>
            </w:r>
            <w:r w:rsidRPr="00451A5C">
              <w:rPr>
                <w:rFonts w:ascii="Times New Roman" w:hAnsi="Times New Roman"/>
                <w:color w:val="000000" w:themeColor="text1"/>
              </w:rPr>
              <w:t>Skutek budżetowy dot. przepisu art. 88 ust. 1 pkt 4 wprowadzającego możliwość odliczenia podatku naliczonego wynikającego z faktur dokumentujących nabycie usług noclegowych w celu ich odprzedaży. Przy założeniu, że jeśli dla pełnego odliczenia VAT z tytułu nabycia usług hotelowych skutek ten wyniósłby maksymalnie około 516 mln, to przyjęto założenie, że jeśli 20% stanowią refaktury usług hotelowych, wówczas dochody budżetu państwa z VAT zostałyby pomniejszone o około 103,25 mln zł w skali roku.</w:t>
            </w:r>
          </w:p>
          <w:p w14:paraId="4581E74B" w14:textId="77777777" w:rsidR="00137CF0" w:rsidRPr="00945976" w:rsidRDefault="00137CF0" w:rsidP="00137CF0">
            <w:pPr>
              <w:spacing w:after="120" w:line="240" w:lineRule="auto"/>
              <w:jc w:val="both"/>
              <w:rPr>
                <w:rFonts w:ascii="Times New Roman" w:hAnsi="Times New Roman"/>
                <w:color w:val="000000" w:themeColor="text1"/>
              </w:rPr>
            </w:pPr>
            <w:r>
              <w:rPr>
                <w:rFonts w:ascii="Times New Roman" w:hAnsi="Times New Roman"/>
                <w:color w:val="000000" w:themeColor="text1"/>
              </w:rPr>
              <w:t>C)</w:t>
            </w:r>
            <w:r w:rsidR="00B94F3B">
              <w:rPr>
                <w:rFonts w:ascii="Times New Roman" w:hAnsi="Times New Roman"/>
                <w:color w:val="000000" w:themeColor="text1"/>
              </w:rPr>
              <w:t xml:space="preserve"> </w:t>
            </w:r>
            <w:r w:rsidRPr="00945976">
              <w:rPr>
                <w:rFonts w:ascii="Times New Roman" w:hAnsi="Times New Roman"/>
                <w:color w:val="000000" w:themeColor="text1"/>
              </w:rPr>
              <w:t>Wprowadzenie elektronicznego obiegu dokumentów TAX FREE, elektronicznego potwierdzania wywozu towarów spowoduje uszczelnienie systemu w zakresie rozliczania podatku VAT, ograniczy nieprawidłowości, w szczególności związane z wykorzystaniem wywozu towarów z zastosowaniem dokumentów TAX FREE przez tzw. „karuzele podatkowe”, zapewni lepszy monitoring operacji gospodarczych poprzez wykorzystanie kompletnej, na bieżąco aktualizowanej bazy dokumentów TAX FREE oraz stanu ich przetworzenia, ułatwi kontrole podatkowe sprzedawców.</w:t>
            </w:r>
          </w:p>
          <w:p w14:paraId="23931305" w14:textId="77777777" w:rsidR="00137CF0" w:rsidRDefault="00137CF0" w:rsidP="00137CF0">
            <w:pPr>
              <w:spacing w:after="120" w:line="240" w:lineRule="auto"/>
              <w:jc w:val="both"/>
              <w:rPr>
                <w:rFonts w:ascii="Times New Roman" w:hAnsi="Times New Roman"/>
                <w:color w:val="000000" w:themeColor="text1"/>
              </w:rPr>
            </w:pPr>
            <w:r w:rsidRPr="00945976">
              <w:rPr>
                <w:rFonts w:ascii="Times New Roman" w:hAnsi="Times New Roman"/>
                <w:color w:val="000000" w:themeColor="text1"/>
              </w:rPr>
              <w:t>Skutek budżetowy dotyczący wejścia w życie projektowanego przepisu art. 145b ust. 4, został wyliczony na podstawie danych w zakresie liczby podmiotów zarejestrowanych w systemie TAX FREE w stosunku rocznym. Dla oszacowania skutków budżetowych po pierwszym roku funkcjonowania regulacji  przyjęto założenie, że w kolejnych latach mniejsza liczba podmiotów niż w pierwszym roku  (nowe podmioty w systemie TAX FREE) dokona zakupu kas tj. roczny skutek budżetowy wyniesie 20% kwoty -4,8 mln zł = - 0,96 mln zł.</w:t>
            </w:r>
          </w:p>
          <w:p w14:paraId="235EE970" w14:textId="101707A2" w:rsidR="00575B5D" w:rsidRPr="00945976" w:rsidRDefault="007A07FB" w:rsidP="00AC7BAF">
            <w:pPr>
              <w:spacing w:after="120" w:line="240" w:lineRule="auto"/>
              <w:jc w:val="both"/>
              <w:rPr>
                <w:rFonts w:ascii="Times New Roman" w:hAnsi="Times New Roman"/>
                <w:color w:val="000000" w:themeColor="text1"/>
              </w:rPr>
            </w:pPr>
            <w:r>
              <w:rPr>
                <w:rFonts w:ascii="Times New Roman" w:hAnsi="Times New Roman"/>
                <w:color w:val="000000" w:themeColor="text1"/>
              </w:rPr>
              <w:t xml:space="preserve">Pozostałe zmiany w projekcie, w tym dotyczące: </w:t>
            </w:r>
            <w:r w:rsidR="002528DD">
              <w:rPr>
                <w:rFonts w:ascii="Times New Roman" w:hAnsi="Times New Roman"/>
                <w:color w:val="000000" w:themeColor="text1"/>
              </w:rPr>
              <w:t xml:space="preserve">podzielonej płatności oraz przełożenia </w:t>
            </w:r>
            <w:r w:rsidR="002528DD" w:rsidRPr="00575B5D">
              <w:rPr>
                <w:rFonts w:ascii="Times New Roman" w:hAnsi="Times New Roman"/>
                <w:color w:val="000000" w:themeColor="text1"/>
              </w:rPr>
              <w:t>symboli PKWiU 2008 na symbole PKWiU 2015 w załączniku nr 15 do ustawy o VAT</w:t>
            </w:r>
            <w:r w:rsidR="00AC7BAF">
              <w:rPr>
                <w:rFonts w:ascii="Times New Roman" w:hAnsi="Times New Roman"/>
                <w:color w:val="000000" w:themeColor="text1"/>
              </w:rPr>
              <w:t xml:space="preserve"> i w </w:t>
            </w:r>
            <w:r>
              <w:rPr>
                <w:rFonts w:ascii="Times New Roman" w:hAnsi="Times New Roman"/>
                <w:color w:val="000000" w:themeColor="text1"/>
              </w:rPr>
              <w:t>przepisach dotyczących wyłączenia z możliwości korzystania ze zwolnienia podmiotowego podatników dokonujących dostaw towarów, o których mowa w art. 113 ust. 13 pkt 1 lit. f  i</w:t>
            </w:r>
            <w:r w:rsidR="00AC7BAF">
              <w:rPr>
                <w:rFonts w:ascii="Times New Roman" w:hAnsi="Times New Roman"/>
                <w:color w:val="000000" w:themeColor="text1"/>
              </w:rPr>
              <w:t xml:space="preserve"> g, a także zmiany dotyczące</w:t>
            </w:r>
            <w:r>
              <w:rPr>
                <w:rFonts w:ascii="Times New Roman" w:hAnsi="Times New Roman"/>
                <w:color w:val="000000" w:themeColor="text1"/>
              </w:rPr>
              <w:t xml:space="preserve"> white listy i innych rozwiązań, w tym o charakterze upraszczając</w:t>
            </w:r>
            <w:r w:rsidR="00AC7BAF">
              <w:rPr>
                <w:rFonts w:ascii="Times New Roman" w:hAnsi="Times New Roman"/>
                <w:color w:val="000000" w:themeColor="text1"/>
              </w:rPr>
              <w:t>ym Slim VAT i o </w:t>
            </w:r>
            <w:r>
              <w:rPr>
                <w:rFonts w:ascii="Times New Roman" w:hAnsi="Times New Roman"/>
                <w:color w:val="000000" w:themeColor="text1"/>
              </w:rPr>
              <w:t>charakterze doprecyzowującym niektóre konstrukcje VAT,</w:t>
            </w:r>
            <w:r w:rsidR="002528DD">
              <w:rPr>
                <w:rFonts w:ascii="Times New Roman" w:hAnsi="Times New Roman"/>
                <w:color w:val="000000" w:themeColor="text1"/>
              </w:rPr>
              <w:t xml:space="preserve"> nie wywierają wpływu na sektor finansów publicznych. </w:t>
            </w:r>
          </w:p>
        </w:tc>
      </w:tr>
      <w:tr w:rsidR="00137CF0" w:rsidRPr="00945976" w14:paraId="2D381C3B" w14:textId="77777777" w:rsidTr="00695F17">
        <w:trPr>
          <w:gridAfter w:val="1"/>
          <w:wAfter w:w="10" w:type="dxa"/>
          <w:trHeight w:val="345"/>
        </w:trPr>
        <w:tc>
          <w:tcPr>
            <w:tcW w:w="10937" w:type="dxa"/>
            <w:gridSpan w:val="23"/>
            <w:shd w:val="clear" w:color="auto" w:fill="99CCFF"/>
          </w:tcPr>
          <w:p w14:paraId="08EDFE0E" w14:textId="77777777" w:rsidR="00137CF0" w:rsidRPr="00945976" w:rsidRDefault="00137CF0" w:rsidP="00137CF0">
            <w:pPr>
              <w:numPr>
                <w:ilvl w:val="0"/>
                <w:numId w:val="3"/>
              </w:numPr>
              <w:spacing w:after="120" w:line="240" w:lineRule="auto"/>
              <w:jc w:val="both"/>
              <w:rPr>
                <w:rFonts w:ascii="Times New Roman" w:hAnsi="Times New Roman"/>
                <w:b/>
                <w:color w:val="000000" w:themeColor="text1"/>
                <w:spacing w:val="-2"/>
              </w:rPr>
            </w:pPr>
            <w:r w:rsidRPr="00945976">
              <w:rPr>
                <w:rFonts w:ascii="Times New Roman" w:hAnsi="Times New Roman"/>
                <w:b/>
                <w:color w:val="000000" w:themeColor="text1"/>
                <w:spacing w:val="-2"/>
              </w:rPr>
              <w:t xml:space="preserve">Wpływ na </w:t>
            </w:r>
            <w:r w:rsidRPr="00945976">
              <w:rPr>
                <w:rFonts w:ascii="Times New Roman" w:hAnsi="Times New Roman"/>
                <w:b/>
                <w:color w:val="000000" w:themeColor="text1"/>
              </w:rPr>
              <w:t xml:space="preserve">konkurencyjność gospodarki i przedsiębiorczość, w tym funkcjonowanie przedsiębiorców oraz na rodzinę, obywateli i gospodarstwa domowe </w:t>
            </w:r>
          </w:p>
        </w:tc>
      </w:tr>
      <w:tr w:rsidR="00137CF0" w:rsidRPr="00945976" w14:paraId="777ACBD4" w14:textId="77777777" w:rsidTr="00695F17">
        <w:trPr>
          <w:gridAfter w:val="1"/>
          <w:wAfter w:w="10" w:type="dxa"/>
          <w:trHeight w:val="142"/>
        </w:trPr>
        <w:tc>
          <w:tcPr>
            <w:tcW w:w="10937" w:type="dxa"/>
            <w:gridSpan w:val="23"/>
            <w:shd w:val="clear" w:color="auto" w:fill="FFFFFF"/>
          </w:tcPr>
          <w:p w14:paraId="5C9FBF4D" w14:textId="77777777" w:rsidR="00137CF0" w:rsidRPr="00945976" w:rsidRDefault="00137CF0" w:rsidP="00137CF0">
            <w:pPr>
              <w:spacing w:after="120" w:line="240" w:lineRule="auto"/>
              <w:jc w:val="center"/>
              <w:rPr>
                <w:rFonts w:ascii="Times New Roman" w:hAnsi="Times New Roman"/>
                <w:color w:val="000000" w:themeColor="text1"/>
                <w:spacing w:val="-2"/>
              </w:rPr>
            </w:pPr>
            <w:r w:rsidRPr="00945976">
              <w:rPr>
                <w:rFonts w:ascii="Times New Roman" w:hAnsi="Times New Roman"/>
                <w:color w:val="000000" w:themeColor="text1"/>
                <w:spacing w:val="-2"/>
              </w:rPr>
              <w:t>Skutki</w:t>
            </w:r>
          </w:p>
        </w:tc>
      </w:tr>
      <w:tr w:rsidR="00137CF0" w:rsidRPr="00AC7BAF" w14:paraId="4BA86B21" w14:textId="77777777" w:rsidTr="00AC7BAF">
        <w:trPr>
          <w:gridAfter w:val="1"/>
          <w:wAfter w:w="10" w:type="dxa"/>
          <w:trHeight w:val="142"/>
        </w:trPr>
        <w:tc>
          <w:tcPr>
            <w:tcW w:w="3432" w:type="dxa"/>
            <w:gridSpan w:val="6"/>
            <w:shd w:val="clear" w:color="auto" w:fill="FFFFFF"/>
          </w:tcPr>
          <w:p w14:paraId="3CEA8292" w14:textId="77777777" w:rsidR="00137CF0" w:rsidRPr="00AC7BAF" w:rsidRDefault="00137CF0" w:rsidP="00137CF0">
            <w:pPr>
              <w:spacing w:after="120" w:line="240" w:lineRule="auto"/>
              <w:rPr>
                <w:rFonts w:ascii="Times New Roman" w:hAnsi="Times New Roman"/>
                <w:color w:val="000000" w:themeColor="text1"/>
              </w:rPr>
            </w:pPr>
            <w:r w:rsidRPr="00AC7BAF">
              <w:rPr>
                <w:rFonts w:ascii="Times New Roman" w:hAnsi="Times New Roman"/>
                <w:color w:val="000000" w:themeColor="text1"/>
              </w:rPr>
              <w:t>Czas w latach od wejścia w życie zmian</w:t>
            </w:r>
          </w:p>
        </w:tc>
        <w:tc>
          <w:tcPr>
            <w:tcW w:w="850" w:type="dxa"/>
            <w:shd w:val="clear" w:color="auto" w:fill="FFFFFF"/>
          </w:tcPr>
          <w:p w14:paraId="0B9FECF0" w14:textId="77777777" w:rsidR="00137CF0" w:rsidRPr="00AC7BAF" w:rsidRDefault="000964A9" w:rsidP="00137CF0">
            <w:pPr>
              <w:spacing w:after="120" w:line="240" w:lineRule="auto"/>
              <w:jc w:val="center"/>
              <w:rPr>
                <w:rFonts w:ascii="Times New Roman" w:hAnsi="Times New Roman"/>
                <w:color w:val="000000" w:themeColor="text1"/>
                <w:sz w:val="18"/>
              </w:rPr>
            </w:pPr>
            <w:r w:rsidRPr="00AC7BAF">
              <w:rPr>
                <w:rFonts w:ascii="Times New Roman" w:hAnsi="Times New Roman"/>
                <w:color w:val="000000" w:themeColor="text1"/>
                <w:sz w:val="18"/>
              </w:rPr>
              <w:t>2021</w:t>
            </w:r>
          </w:p>
          <w:p w14:paraId="11517B1F" w14:textId="77777777" w:rsidR="00137CF0" w:rsidRPr="00AC7BAF" w:rsidRDefault="00137CF0" w:rsidP="007B6D67">
            <w:pPr>
              <w:spacing w:after="120" w:line="240" w:lineRule="auto"/>
              <w:jc w:val="center"/>
              <w:rPr>
                <w:rFonts w:ascii="Times New Roman" w:hAnsi="Times New Roman"/>
                <w:color w:val="000000" w:themeColor="text1"/>
                <w:sz w:val="18"/>
              </w:rPr>
            </w:pPr>
          </w:p>
        </w:tc>
        <w:tc>
          <w:tcPr>
            <w:tcW w:w="1482" w:type="dxa"/>
            <w:gridSpan w:val="3"/>
            <w:shd w:val="clear" w:color="auto" w:fill="FFFFFF"/>
          </w:tcPr>
          <w:p w14:paraId="7DED161F" w14:textId="77777777" w:rsidR="00137CF0" w:rsidRPr="00AC7BAF" w:rsidRDefault="00AD640B" w:rsidP="00994D24">
            <w:pPr>
              <w:spacing w:after="120" w:line="240" w:lineRule="auto"/>
              <w:rPr>
                <w:rFonts w:ascii="Times New Roman" w:hAnsi="Times New Roman"/>
                <w:color w:val="000000" w:themeColor="text1"/>
                <w:sz w:val="18"/>
              </w:rPr>
            </w:pPr>
            <w:r w:rsidRPr="00AC7BAF">
              <w:rPr>
                <w:rFonts w:ascii="Times New Roman" w:hAnsi="Times New Roman"/>
                <w:noProof/>
                <w:sz w:val="18"/>
                <w:lang w:eastAsia="pl-PL"/>
              </w:rPr>
              <mc:AlternateContent>
                <mc:Choice Requires="wps">
                  <w:drawing>
                    <wp:anchor distT="0" distB="0" distL="114300" distR="114300" simplePos="0" relativeHeight="251660288" behindDoc="0" locked="0" layoutInCell="1" allowOverlap="1" wp14:anchorId="54AC2010" wp14:editId="6A56E665">
                      <wp:simplePos x="0" y="0"/>
                      <wp:positionH relativeFrom="column">
                        <wp:posOffset>582930</wp:posOffset>
                      </wp:positionH>
                      <wp:positionV relativeFrom="paragraph">
                        <wp:posOffset>14605</wp:posOffset>
                      </wp:positionV>
                      <wp:extent cx="9525" cy="2705100"/>
                      <wp:effectExtent l="0" t="0" r="28575" b="19050"/>
                      <wp:wrapNone/>
                      <wp:docPr id="3" name="Łącznik prosty 3"/>
                      <wp:cNvGraphicFramePr/>
                      <a:graphic xmlns:a="http://schemas.openxmlformats.org/drawingml/2006/main">
                        <a:graphicData uri="http://schemas.microsoft.com/office/word/2010/wordprocessingShape">
                          <wps:wsp>
                            <wps:cNvCnPr/>
                            <wps:spPr>
                              <a:xfrm flipH="1">
                                <a:off x="0" y="0"/>
                                <a:ext cx="9525" cy="270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01525" id="Łącznik prosty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15pt" to="46.6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" strokecolor="black [3213]"/>
                  </w:pict>
                </mc:Fallback>
              </mc:AlternateContent>
            </w:r>
            <w:r w:rsidRPr="00AC7BAF">
              <w:rPr>
                <w:rFonts w:ascii="Times New Roman" w:hAnsi="Times New Roman"/>
                <w:noProof/>
                <w:sz w:val="18"/>
                <w:lang w:eastAsia="pl-PL"/>
              </w:rPr>
              <mc:AlternateContent>
                <mc:Choice Requires="wps">
                  <w:drawing>
                    <wp:anchor distT="0" distB="0" distL="114300" distR="114300" simplePos="0" relativeHeight="251659264" behindDoc="0" locked="0" layoutInCell="1" allowOverlap="1" wp14:anchorId="22D18FB4" wp14:editId="5C82AC27">
                      <wp:simplePos x="0" y="0"/>
                      <wp:positionH relativeFrom="column">
                        <wp:posOffset>278129</wp:posOffset>
                      </wp:positionH>
                      <wp:positionV relativeFrom="paragraph">
                        <wp:posOffset>14606</wp:posOffset>
                      </wp:positionV>
                      <wp:extent cx="19050" cy="2705100"/>
                      <wp:effectExtent l="0" t="0" r="19050" b="19050"/>
                      <wp:wrapNone/>
                      <wp:docPr id="2" name="Łącznik prosty 2"/>
                      <wp:cNvGraphicFramePr/>
                      <a:graphic xmlns:a="http://schemas.openxmlformats.org/drawingml/2006/main">
                        <a:graphicData uri="http://schemas.microsoft.com/office/word/2010/wordprocessingShape">
                          <wps:wsp>
                            <wps:cNvCnPr/>
                            <wps:spPr>
                              <a:xfrm flipH="1">
                                <a:off x="0" y="0"/>
                                <a:ext cx="19050" cy="270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A4B52" id="Łącznik prosty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15pt" to="23.4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" strokecolor="black [3213]"/>
                  </w:pict>
                </mc:Fallback>
              </mc:AlternateContent>
            </w:r>
            <w:r w:rsidR="000964A9" w:rsidRPr="00AC7BAF">
              <w:rPr>
                <w:rFonts w:ascii="Times New Roman" w:hAnsi="Times New Roman"/>
                <w:color w:val="000000" w:themeColor="text1"/>
                <w:sz w:val="18"/>
              </w:rPr>
              <w:t>2022</w:t>
            </w:r>
            <w:r w:rsidR="00994D24" w:rsidRPr="00AC7BAF">
              <w:rPr>
                <w:rFonts w:ascii="Times New Roman" w:hAnsi="Times New Roman"/>
                <w:color w:val="000000" w:themeColor="text1"/>
                <w:sz w:val="18"/>
              </w:rPr>
              <w:t xml:space="preserve">    2023   2024</w:t>
            </w:r>
          </w:p>
          <w:p w14:paraId="0B769681" w14:textId="77777777" w:rsidR="00137CF0" w:rsidRPr="00AC7BAF" w:rsidRDefault="00137CF0" w:rsidP="003613CF">
            <w:pPr>
              <w:spacing w:after="120" w:line="240" w:lineRule="auto"/>
              <w:rPr>
                <w:rFonts w:ascii="Times New Roman" w:hAnsi="Times New Roman"/>
                <w:color w:val="000000" w:themeColor="text1"/>
                <w:sz w:val="18"/>
              </w:rPr>
            </w:pPr>
          </w:p>
        </w:tc>
        <w:tc>
          <w:tcPr>
            <w:tcW w:w="644" w:type="dxa"/>
            <w:shd w:val="clear" w:color="auto" w:fill="FFFFFF"/>
          </w:tcPr>
          <w:p w14:paraId="5F78946D" w14:textId="77777777" w:rsidR="00137CF0" w:rsidRPr="00AC7BAF" w:rsidRDefault="000964A9" w:rsidP="00AD640B">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202</w:t>
            </w:r>
            <w:r w:rsidR="00994D24" w:rsidRPr="00AC7BAF">
              <w:rPr>
                <w:rFonts w:ascii="Times New Roman" w:hAnsi="Times New Roman"/>
                <w:color w:val="000000" w:themeColor="text1"/>
                <w:sz w:val="18"/>
              </w:rPr>
              <w:t>5</w:t>
            </w:r>
          </w:p>
          <w:p w14:paraId="2FE2F0F7" w14:textId="77777777" w:rsidR="00137CF0" w:rsidRPr="00AC7BAF" w:rsidRDefault="00137CF0" w:rsidP="00137CF0">
            <w:pPr>
              <w:spacing w:after="120" w:line="240" w:lineRule="auto"/>
              <w:jc w:val="center"/>
              <w:rPr>
                <w:rFonts w:ascii="Times New Roman" w:hAnsi="Times New Roman"/>
                <w:color w:val="000000" w:themeColor="text1"/>
                <w:sz w:val="18"/>
              </w:rPr>
            </w:pPr>
          </w:p>
        </w:tc>
        <w:tc>
          <w:tcPr>
            <w:tcW w:w="567" w:type="dxa"/>
            <w:gridSpan w:val="2"/>
            <w:shd w:val="clear" w:color="auto" w:fill="FFFFFF"/>
          </w:tcPr>
          <w:p w14:paraId="304305A1" w14:textId="77777777" w:rsidR="00137CF0" w:rsidRPr="00AC7BAF" w:rsidRDefault="000964A9" w:rsidP="00AD640B">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202</w:t>
            </w:r>
            <w:r w:rsidR="00994D24" w:rsidRPr="00AC7BAF">
              <w:rPr>
                <w:rFonts w:ascii="Times New Roman" w:hAnsi="Times New Roman"/>
                <w:color w:val="000000" w:themeColor="text1"/>
                <w:sz w:val="18"/>
              </w:rPr>
              <w:t>6</w:t>
            </w:r>
          </w:p>
          <w:p w14:paraId="163BB96C" w14:textId="77777777" w:rsidR="00137CF0" w:rsidRPr="00AC7BAF" w:rsidRDefault="00137CF0" w:rsidP="003613CF">
            <w:pPr>
              <w:spacing w:after="120" w:line="240" w:lineRule="auto"/>
              <w:rPr>
                <w:rFonts w:ascii="Times New Roman" w:hAnsi="Times New Roman"/>
                <w:color w:val="000000" w:themeColor="text1"/>
                <w:sz w:val="18"/>
              </w:rPr>
            </w:pPr>
          </w:p>
        </w:tc>
        <w:tc>
          <w:tcPr>
            <w:tcW w:w="709" w:type="dxa"/>
            <w:gridSpan w:val="3"/>
            <w:shd w:val="clear" w:color="auto" w:fill="FFFFFF"/>
          </w:tcPr>
          <w:p w14:paraId="0C45261A" w14:textId="77777777" w:rsidR="00137CF0" w:rsidRPr="00AC7BAF" w:rsidRDefault="000964A9" w:rsidP="00137CF0">
            <w:pPr>
              <w:spacing w:after="120" w:line="240" w:lineRule="auto"/>
              <w:jc w:val="center"/>
              <w:rPr>
                <w:rFonts w:ascii="Times New Roman" w:hAnsi="Times New Roman"/>
                <w:color w:val="000000" w:themeColor="text1"/>
                <w:sz w:val="18"/>
              </w:rPr>
            </w:pPr>
            <w:r w:rsidRPr="00AC7BAF">
              <w:rPr>
                <w:rFonts w:ascii="Times New Roman" w:hAnsi="Times New Roman"/>
                <w:color w:val="000000" w:themeColor="text1"/>
                <w:sz w:val="18"/>
              </w:rPr>
              <w:t>202</w:t>
            </w:r>
            <w:r w:rsidR="00994D24" w:rsidRPr="00AC7BAF">
              <w:rPr>
                <w:rFonts w:ascii="Times New Roman" w:hAnsi="Times New Roman"/>
                <w:color w:val="000000" w:themeColor="text1"/>
                <w:sz w:val="18"/>
              </w:rPr>
              <w:t>7</w:t>
            </w:r>
          </w:p>
          <w:p w14:paraId="53D359F5" w14:textId="77777777" w:rsidR="00137CF0" w:rsidRPr="00AC7BAF" w:rsidRDefault="00137CF0" w:rsidP="003613CF">
            <w:pPr>
              <w:spacing w:after="120" w:line="240" w:lineRule="auto"/>
              <w:rPr>
                <w:rFonts w:ascii="Times New Roman" w:hAnsi="Times New Roman"/>
                <w:color w:val="000000" w:themeColor="text1"/>
                <w:sz w:val="18"/>
              </w:rPr>
            </w:pPr>
          </w:p>
        </w:tc>
        <w:tc>
          <w:tcPr>
            <w:tcW w:w="1831" w:type="dxa"/>
            <w:gridSpan w:val="5"/>
            <w:shd w:val="clear" w:color="auto" w:fill="FFFFFF"/>
          </w:tcPr>
          <w:p w14:paraId="6E2EF3C7" w14:textId="77777777" w:rsidR="00137CF0" w:rsidRPr="00AC7BAF" w:rsidRDefault="00AD640B" w:rsidP="00994D24">
            <w:pPr>
              <w:spacing w:after="120" w:line="240" w:lineRule="auto"/>
              <w:rPr>
                <w:rFonts w:ascii="Times New Roman" w:hAnsi="Times New Roman"/>
                <w:color w:val="000000" w:themeColor="text1"/>
                <w:sz w:val="18"/>
              </w:rPr>
            </w:pPr>
            <w:r w:rsidRPr="00AC7BAF">
              <w:rPr>
                <w:rFonts w:ascii="Times New Roman" w:hAnsi="Times New Roman"/>
                <w:noProof/>
                <w:color w:val="000000" w:themeColor="text1"/>
                <w:sz w:val="18"/>
                <w:lang w:eastAsia="pl-PL"/>
              </w:rPr>
              <mc:AlternateContent>
                <mc:Choice Requires="wps">
                  <w:drawing>
                    <wp:anchor distT="0" distB="0" distL="114300" distR="114300" simplePos="0" relativeHeight="251661312" behindDoc="0" locked="0" layoutInCell="1" allowOverlap="1" wp14:anchorId="1C13441D" wp14:editId="2A28CE40">
                      <wp:simplePos x="0" y="0"/>
                      <wp:positionH relativeFrom="column">
                        <wp:posOffset>313690</wp:posOffset>
                      </wp:positionH>
                      <wp:positionV relativeFrom="paragraph">
                        <wp:posOffset>5080</wp:posOffset>
                      </wp:positionV>
                      <wp:extent cx="9525" cy="2714625"/>
                      <wp:effectExtent l="0" t="0" r="28575" b="28575"/>
                      <wp:wrapNone/>
                      <wp:docPr id="4" name="Łącznik prosty 4"/>
                      <wp:cNvGraphicFramePr/>
                      <a:graphic xmlns:a="http://schemas.openxmlformats.org/drawingml/2006/main">
                        <a:graphicData uri="http://schemas.microsoft.com/office/word/2010/wordprocessingShape">
                          <wps:wsp>
                            <wps:cNvCnPr/>
                            <wps:spPr>
                              <a:xfrm flipH="1">
                                <a:off x="0" y="0"/>
                                <a:ext cx="9525"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7EA3D" id="Łącznik prosty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4pt" to="25.4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" strokecolor="black [3213]"/>
                  </w:pict>
                </mc:Fallback>
              </mc:AlternateContent>
            </w:r>
            <w:r w:rsidR="00994D24" w:rsidRPr="00AC7BAF">
              <w:rPr>
                <w:rFonts w:ascii="Times New Roman" w:hAnsi="Times New Roman"/>
                <w:noProof/>
                <w:color w:val="000000" w:themeColor="text1"/>
                <w:sz w:val="18"/>
                <w:lang w:eastAsia="pl-PL"/>
              </w:rPr>
              <mc:AlternateContent>
                <mc:Choice Requires="wps">
                  <w:drawing>
                    <wp:anchor distT="0" distB="0" distL="114300" distR="114300" simplePos="0" relativeHeight="251662336" behindDoc="0" locked="0" layoutInCell="1" allowOverlap="1" wp14:anchorId="7A7D2C30" wp14:editId="2F151D75">
                      <wp:simplePos x="0" y="0"/>
                      <wp:positionH relativeFrom="column">
                        <wp:posOffset>694690</wp:posOffset>
                      </wp:positionH>
                      <wp:positionV relativeFrom="paragraph">
                        <wp:posOffset>14606</wp:posOffset>
                      </wp:positionV>
                      <wp:extent cx="9525" cy="2705100"/>
                      <wp:effectExtent l="0" t="0" r="28575" b="19050"/>
                      <wp:wrapNone/>
                      <wp:docPr id="5" name="Łącznik prosty 5"/>
                      <wp:cNvGraphicFramePr/>
                      <a:graphic xmlns:a="http://schemas.openxmlformats.org/drawingml/2006/main">
                        <a:graphicData uri="http://schemas.microsoft.com/office/word/2010/wordprocessingShape">
                          <wps:wsp>
                            <wps:cNvCnPr/>
                            <wps:spPr>
                              <a:xfrm>
                                <a:off x="0" y="0"/>
                                <a:ext cx="9525" cy="270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9D5B" id="Łącznik prosty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pt,1.15pt" to="55.4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" strokecolor="black [3213]"/>
                  </w:pict>
                </mc:Fallback>
              </mc:AlternateContent>
            </w:r>
            <w:r w:rsidR="000964A9" w:rsidRPr="00AC7BAF">
              <w:rPr>
                <w:rFonts w:ascii="Times New Roman" w:hAnsi="Times New Roman"/>
                <w:color w:val="000000" w:themeColor="text1"/>
                <w:sz w:val="18"/>
              </w:rPr>
              <w:t>202</w:t>
            </w:r>
            <w:r w:rsidR="00994D24" w:rsidRPr="00AC7BAF">
              <w:rPr>
                <w:rFonts w:ascii="Times New Roman" w:hAnsi="Times New Roman"/>
                <w:color w:val="000000" w:themeColor="text1"/>
                <w:sz w:val="18"/>
              </w:rPr>
              <w:t xml:space="preserve">8     2029    2030  2028              </w:t>
            </w:r>
          </w:p>
        </w:tc>
        <w:tc>
          <w:tcPr>
            <w:tcW w:w="1422" w:type="dxa"/>
            <w:gridSpan w:val="2"/>
            <w:shd w:val="clear" w:color="auto" w:fill="FFFFFF"/>
          </w:tcPr>
          <w:p w14:paraId="1A4B0917" w14:textId="77777777" w:rsidR="00137CF0" w:rsidRPr="00AC7BAF" w:rsidRDefault="00994D24" w:rsidP="000964A9">
            <w:pPr>
              <w:spacing w:after="120" w:line="240" w:lineRule="auto"/>
              <w:jc w:val="center"/>
              <w:rPr>
                <w:rFonts w:ascii="Times New Roman" w:hAnsi="Times New Roman"/>
                <w:i/>
                <w:color w:val="000000" w:themeColor="text1"/>
                <w:spacing w:val="-2"/>
                <w:sz w:val="18"/>
              </w:rPr>
            </w:pPr>
            <w:r w:rsidRPr="00AC7BAF">
              <w:rPr>
                <w:rFonts w:ascii="Times New Roman" w:hAnsi="Times New Roman"/>
                <w:i/>
                <w:color w:val="000000" w:themeColor="text1"/>
                <w:spacing w:val="-2"/>
                <w:sz w:val="18"/>
              </w:rPr>
              <w:t xml:space="preserve">             </w:t>
            </w:r>
            <w:r w:rsidR="00137CF0" w:rsidRPr="00AC7BAF">
              <w:rPr>
                <w:rFonts w:ascii="Times New Roman" w:hAnsi="Times New Roman"/>
                <w:i/>
                <w:color w:val="000000" w:themeColor="text1"/>
                <w:spacing w:val="-2"/>
                <w:sz w:val="18"/>
              </w:rPr>
              <w:t>Łącznie</w:t>
            </w:r>
            <w:r w:rsidR="00137CF0" w:rsidRPr="00AC7BAF" w:rsidDel="0073273A">
              <w:rPr>
                <w:rFonts w:ascii="Times New Roman" w:hAnsi="Times New Roman"/>
                <w:i/>
                <w:color w:val="000000" w:themeColor="text1"/>
                <w:spacing w:val="-2"/>
                <w:sz w:val="18"/>
              </w:rPr>
              <w:t xml:space="preserve"> </w:t>
            </w:r>
          </w:p>
        </w:tc>
      </w:tr>
      <w:tr w:rsidR="00137CF0" w:rsidRPr="00AC7BAF" w14:paraId="0CB828BF" w14:textId="77777777" w:rsidTr="00AC7BAF">
        <w:trPr>
          <w:gridAfter w:val="1"/>
          <w:wAfter w:w="10" w:type="dxa"/>
          <w:trHeight w:val="142"/>
        </w:trPr>
        <w:tc>
          <w:tcPr>
            <w:tcW w:w="1596" w:type="dxa"/>
            <w:gridSpan w:val="2"/>
            <w:vMerge w:val="restart"/>
            <w:shd w:val="clear" w:color="auto" w:fill="FFFFFF"/>
          </w:tcPr>
          <w:p w14:paraId="1722BE89" w14:textId="77777777" w:rsidR="00137CF0" w:rsidRPr="00AC7BAF" w:rsidRDefault="00137CF0" w:rsidP="00137CF0">
            <w:pPr>
              <w:spacing w:after="120" w:line="240" w:lineRule="auto"/>
              <w:rPr>
                <w:rFonts w:ascii="Times New Roman" w:hAnsi="Times New Roman"/>
                <w:color w:val="000000" w:themeColor="text1"/>
              </w:rPr>
            </w:pPr>
            <w:r w:rsidRPr="00AC7BAF">
              <w:rPr>
                <w:rFonts w:ascii="Times New Roman" w:hAnsi="Times New Roman"/>
                <w:color w:val="000000" w:themeColor="text1"/>
              </w:rPr>
              <w:t>W ujęciu pieniężnym</w:t>
            </w:r>
          </w:p>
          <w:p w14:paraId="2AF456AD" w14:textId="77777777" w:rsidR="00137CF0" w:rsidRPr="00AC7BAF" w:rsidRDefault="00137CF0" w:rsidP="00137CF0">
            <w:pPr>
              <w:spacing w:after="120" w:line="240" w:lineRule="auto"/>
              <w:rPr>
                <w:rFonts w:ascii="Times New Roman" w:hAnsi="Times New Roman"/>
                <w:color w:val="000000" w:themeColor="text1"/>
                <w:spacing w:val="-2"/>
              </w:rPr>
            </w:pPr>
            <w:r w:rsidRPr="00AC7BAF">
              <w:rPr>
                <w:rFonts w:ascii="Times New Roman" w:hAnsi="Times New Roman"/>
                <w:color w:val="000000" w:themeColor="text1"/>
                <w:spacing w:val="-2"/>
              </w:rPr>
              <w:t xml:space="preserve">(w mln zł, </w:t>
            </w:r>
          </w:p>
          <w:p w14:paraId="7AADFA91" w14:textId="77777777" w:rsidR="00137CF0" w:rsidRPr="00AC7BAF" w:rsidRDefault="00137CF0" w:rsidP="00137CF0">
            <w:pPr>
              <w:spacing w:after="120" w:line="240" w:lineRule="auto"/>
              <w:rPr>
                <w:rFonts w:ascii="Times New Roman" w:hAnsi="Times New Roman"/>
                <w:color w:val="000000" w:themeColor="text1"/>
              </w:rPr>
            </w:pPr>
            <w:r w:rsidRPr="00AC7BAF">
              <w:rPr>
                <w:rFonts w:ascii="Times New Roman" w:hAnsi="Times New Roman"/>
                <w:color w:val="000000" w:themeColor="text1"/>
                <w:spacing w:val="-2"/>
              </w:rPr>
              <w:t>ceny stałe z 2019 r.)</w:t>
            </w:r>
          </w:p>
        </w:tc>
        <w:tc>
          <w:tcPr>
            <w:tcW w:w="1836" w:type="dxa"/>
            <w:gridSpan w:val="4"/>
            <w:shd w:val="clear" w:color="auto" w:fill="FFFFFF"/>
          </w:tcPr>
          <w:p w14:paraId="7F729711" w14:textId="77777777" w:rsidR="00137CF0" w:rsidRPr="00AC7BAF" w:rsidRDefault="00137CF0" w:rsidP="00137CF0">
            <w:pPr>
              <w:spacing w:after="120" w:line="240" w:lineRule="auto"/>
              <w:rPr>
                <w:rFonts w:ascii="Times New Roman" w:hAnsi="Times New Roman"/>
                <w:color w:val="000000" w:themeColor="text1"/>
              </w:rPr>
            </w:pPr>
            <w:r w:rsidRPr="00AC7BAF">
              <w:rPr>
                <w:rFonts w:ascii="Times New Roman" w:hAnsi="Times New Roman"/>
                <w:color w:val="000000" w:themeColor="text1"/>
              </w:rPr>
              <w:t>duże przedsiębiorstwa</w:t>
            </w:r>
          </w:p>
        </w:tc>
        <w:tc>
          <w:tcPr>
            <w:tcW w:w="850" w:type="dxa"/>
            <w:shd w:val="clear" w:color="auto" w:fill="FFFFFF"/>
          </w:tcPr>
          <w:p w14:paraId="6A1A53E5" w14:textId="77777777" w:rsidR="00137CF0"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A) 57,4</w:t>
            </w:r>
          </w:p>
        </w:tc>
        <w:tc>
          <w:tcPr>
            <w:tcW w:w="1482" w:type="dxa"/>
            <w:gridSpan w:val="3"/>
            <w:shd w:val="clear" w:color="auto" w:fill="FFFFFF"/>
          </w:tcPr>
          <w:p w14:paraId="0F11679D" w14:textId="77777777" w:rsidR="000964A9"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57,4</w:t>
            </w:r>
            <w:r w:rsidR="00994D24" w:rsidRPr="00AC7BAF">
              <w:rPr>
                <w:rFonts w:ascii="Times New Roman" w:hAnsi="Times New Roman"/>
                <w:color w:val="000000" w:themeColor="text1"/>
                <w:sz w:val="18"/>
              </w:rPr>
              <w:t xml:space="preserve">     57,4    57,4</w:t>
            </w:r>
          </w:p>
          <w:p w14:paraId="29C0A955" w14:textId="77777777" w:rsidR="00994D24" w:rsidRPr="00AC7BAF" w:rsidRDefault="00994D24"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B)</w:t>
            </w:r>
          </w:p>
          <w:p w14:paraId="5F2CFDAA" w14:textId="77777777" w:rsidR="00137CF0" w:rsidRPr="00AC7BAF" w:rsidRDefault="00994D24"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 xml:space="preserve"> </w:t>
            </w:r>
            <w:r w:rsidR="000964A9" w:rsidRPr="00AC7BAF">
              <w:rPr>
                <w:rFonts w:ascii="Times New Roman" w:hAnsi="Times New Roman"/>
                <w:color w:val="000000" w:themeColor="text1"/>
                <w:sz w:val="18"/>
              </w:rPr>
              <w:t>-</w:t>
            </w:r>
            <w:r w:rsidRPr="00AC7BAF">
              <w:rPr>
                <w:rFonts w:ascii="Times New Roman" w:hAnsi="Times New Roman"/>
                <w:color w:val="000000" w:themeColor="text1"/>
                <w:sz w:val="18"/>
              </w:rPr>
              <w:t>11,7   -2,3    -2,3</w:t>
            </w:r>
          </w:p>
        </w:tc>
        <w:tc>
          <w:tcPr>
            <w:tcW w:w="644" w:type="dxa"/>
            <w:shd w:val="clear" w:color="auto" w:fill="FFFFFF"/>
          </w:tcPr>
          <w:p w14:paraId="5C0C5027" w14:textId="77777777" w:rsidR="000964A9" w:rsidRPr="00AC7BAF" w:rsidRDefault="000964A9" w:rsidP="00137CF0">
            <w:pPr>
              <w:spacing w:after="120" w:line="240" w:lineRule="auto"/>
              <w:rPr>
                <w:rFonts w:ascii="Times New Roman" w:hAnsi="Times New Roman"/>
                <w:color w:val="000000" w:themeColor="text1"/>
                <w:sz w:val="18"/>
              </w:rPr>
            </w:pPr>
          </w:p>
          <w:p w14:paraId="5F6BC980" w14:textId="77777777" w:rsidR="000964A9"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57,4</w:t>
            </w:r>
          </w:p>
          <w:p w14:paraId="451E0B77" w14:textId="77777777" w:rsidR="00137CF0"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-2,3</w:t>
            </w:r>
          </w:p>
        </w:tc>
        <w:tc>
          <w:tcPr>
            <w:tcW w:w="567" w:type="dxa"/>
            <w:gridSpan w:val="2"/>
            <w:shd w:val="clear" w:color="auto" w:fill="FFFFFF"/>
          </w:tcPr>
          <w:p w14:paraId="2CAAB783" w14:textId="77777777" w:rsidR="000964A9" w:rsidRPr="00AC7BAF" w:rsidRDefault="000964A9" w:rsidP="00137CF0">
            <w:pPr>
              <w:spacing w:after="120" w:line="240" w:lineRule="auto"/>
              <w:rPr>
                <w:rFonts w:ascii="Times New Roman" w:hAnsi="Times New Roman"/>
                <w:color w:val="000000" w:themeColor="text1"/>
                <w:sz w:val="18"/>
              </w:rPr>
            </w:pPr>
          </w:p>
          <w:p w14:paraId="2C4EE9EB" w14:textId="77777777" w:rsidR="000964A9"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57,4</w:t>
            </w:r>
          </w:p>
          <w:p w14:paraId="6A70A13A" w14:textId="77777777" w:rsidR="00137CF0"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-2,3</w:t>
            </w:r>
          </w:p>
        </w:tc>
        <w:tc>
          <w:tcPr>
            <w:tcW w:w="709" w:type="dxa"/>
            <w:gridSpan w:val="3"/>
            <w:shd w:val="clear" w:color="auto" w:fill="FFFFFF"/>
          </w:tcPr>
          <w:p w14:paraId="7DE62B7F" w14:textId="77777777" w:rsidR="000964A9" w:rsidRPr="00AC7BAF" w:rsidRDefault="000964A9" w:rsidP="00137CF0">
            <w:pPr>
              <w:spacing w:after="120" w:line="240" w:lineRule="auto"/>
              <w:rPr>
                <w:rFonts w:ascii="Times New Roman" w:hAnsi="Times New Roman"/>
                <w:color w:val="000000" w:themeColor="text1"/>
                <w:sz w:val="18"/>
              </w:rPr>
            </w:pPr>
          </w:p>
          <w:p w14:paraId="021FA9E4" w14:textId="77777777" w:rsidR="000964A9"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57,4</w:t>
            </w:r>
          </w:p>
          <w:p w14:paraId="13C541F5" w14:textId="77777777" w:rsidR="00137CF0"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-2,3</w:t>
            </w:r>
          </w:p>
        </w:tc>
        <w:tc>
          <w:tcPr>
            <w:tcW w:w="1831" w:type="dxa"/>
            <w:gridSpan w:val="5"/>
            <w:shd w:val="clear" w:color="auto" w:fill="FFFFFF"/>
          </w:tcPr>
          <w:p w14:paraId="11801B57" w14:textId="77777777" w:rsidR="000964A9" w:rsidRPr="00AC7BAF" w:rsidRDefault="000964A9" w:rsidP="00137CF0">
            <w:pPr>
              <w:spacing w:after="120" w:line="240" w:lineRule="auto"/>
              <w:rPr>
                <w:rFonts w:ascii="Times New Roman" w:hAnsi="Times New Roman"/>
                <w:color w:val="000000" w:themeColor="text1"/>
                <w:sz w:val="18"/>
              </w:rPr>
            </w:pPr>
          </w:p>
          <w:p w14:paraId="7AA5A015" w14:textId="77777777" w:rsidR="000964A9"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57,4</w:t>
            </w:r>
            <w:r w:rsidR="00994D24" w:rsidRPr="00AC7BAF">
              <w:rPr>
                <w:rFonts w:ascii="Times New Roman" w:hAnsi="Times New Roman"/>
                <w:color w:val="000000" w:themeColor="text1"/>
                <w:sz w:val="18"/>
              </w:rPr>
              <w:t xml:space="preserve">      57,4      57,4</w:t>
            </w:r>
          </w:p>
          <w:p w14:paraId="3EFB50C5" w14:textId="77777777" w:rsidR="00137CF0" w:rsidRPr="00AC7BAF" w:rsidRDefault="000964A9" w:rsidP="00137CF0">
            <w:pPr>
              <w:spacing w:after="120" w:line="240" w:lineRule="auto"/>
              <w:rPr>
                <w:rFonts w:ascii="Times New Roman" w:hAnsi="Times New Roman"/>
                <w:color w:val="000000" w:themeColor="text1"/>
                <w:sz w:val="18"/>
              </w:rPr>
            </w:pPr>
            <w:r w:rsidRPr="00AC7BAF">
              <w:rPr>
                <w:rFonts w:ascii="Times New Roman" w:hAnsi="Times New Roman"/>
                <w:color w:val="000000" w:themeColor="text1"/>
                <w:sz w:val="18"/>
              </w:rPr>
              <w:t>-2,3</w:t>
            </w:r>
            <w:r w:rsidR="00994D24" w:rsidRPr="00AC7BAF">
              <w:rPr>
                <w:rFonts w:ascii="Times New Roman" w:hAnsi="Times New Roman"/>
                <w:color w:val="000000" w:themeColor="text1"/>
                <w:sz w:val="18"/>
              </w:rPr>
              <w:t xml:space="preserve">       -2,3       -2,3</w:t>
            </w:r>
          </w:p>
        </w:tc>
        <w:tc>
          <w:tcPr>
            <w:tcW w:w="1422" w:type="dxa"/>
            <w:gridSpan w:val="2"/>
            <w:shd w:val="clear" w:color="auto" w:fill="FFFFFF"/>
          </w:tcPr>
          <w:p w14:paraId="4A567B3E" w14:textId="77777777" w:rsidR="00AD640B" w:rsidRPr="00AC7BAF" w:rsidRDefault="00AD640B" w:rsidP="00137CF0">
            <w:pPr>
              <w:spacing w:after="120" w:line="240" w:lineRule="auto"/>
              <w:rPr>
                <w:rFonts w:ascii="Times New Roman" w:hAnsi="Times New Roman"/>
                <w:color w:val="000000" w:themeColor="text1"/>
                <w:spacing w:val="-2"/>
                <w:sz w:val="18"/>
              </w:rPr>
            </w:pPr>
          </w:p>
          <w:p w14:paraId="72C2E604" w14:textId="77777777" w:rsidR="000964A9" w:rsidRPr="00AC7BAF" w:rsidRDefault="00AD640B" w:rsidP="00137CF0">
            <w:pPr>
              <w:spacing w:after="120" w:line="240" w:lineRule="auto"/>
              <w:rPr>
                <w:rFonts w:ascii="Times New Roman" w:hAnsi="Times New Roman"/>
                <w:color w:val="000000" w:themeColor="text1"/>
                <w:spacing w:val="-2"/>
                <w:sz w:val="18"/>
              </w:rPr>
            </w:pPr>
            <w:r w:rsidRPr="00AC7BAF">
              <w:rPr>
                <w:rFonts w:ascii="Times New Roman" w:hAnsi="Times New Roman"/>
                <w:color w:val="000000" w:themeColor="text1"/>
                <w:spacing w:val="-2"/>
                <w:sz w:val="18"/>
              </w:rPr>
              <w:t xml:space="preserve">      574</w:t>
            </w:r>
          </w:p>
          <w:p w14:paraId="39FF2841" w14:textId="77777777" w:rsidR="00137CF0" w:rsidRPr="00AC7BAF" w:rsidRDefault="00994D24" w:rsidP="00137CF0">
            <w:pPr>
              <w:spacing w:after="120" w:line="240" w:lineRule="auto"/>
              <w:rPr>
                <w:rFonts w:ascii="Times New Roman" w:hAnsi="Times New Roman"/>
                <w:color w:val="000000" w:themeColor="text1"/>
                <w:spacing w:val="-2"/>
                <w:sz w:val="18"/>
              </w:rPr>
            </w:pPr>
            <w:r w:rsidRPr="00AC7BAF">
              <w:rPr>
                <w:rFonts w:ascii="Times New Roman" w:hAnsi="Times New Roman"/>
                <w:color w:val="000000" w:themeColor="text1"/>
                <w:spacing w:val="-2"/>
                <w:sz w:val="18"/>
              </w:rPr>
              <w:t xml:space="preserve">      </w:t>
            </w:r>
            <w:r w:rsidR="00AD640B" w:rsidRPr="00AC7BAF">
              <w:rPr>
                <w:rFonts w:ascii="Times New Roman" w:hAnsi="Times New Roman"/>
                <w:color w:val="000000" w:themeColor="text1"/>
                <w:spacing w:val="-2"/>
                <w:sz w:val="18"/>
              </w:rPr>
              <w:t>-30,1</w:t>
            </w:r>
            <w:r w:rsidRPr="00AC7BAF">
              <w:rPr>
                <w:rFonts w:ascii="Times New Roman" w:hAnsi="Times New Roman"/>
                <w:color w:val="000000" w:themeColor="text1"/>
                <w:spacing w:val="-2"/>
                <w:sz w:val="18"/>
              </w:rPr>
              <w:t xml:space="preserve">                           </w:t>
            </w:r>
          </w:p>
        </w:tc>
      </w:tr>
      <w:tr w:rsidR="00137CF0" w:rsidRPr="00945976" w14:paraId="6FC26A2C" w14:textId="77777777" w:rsidTr="00AC7BAF">
        <w:trPr>
          <w:gridAfter w:val="1"/>
          <w:wAfter w:w="10" w:type="dxa"/>
          <w:trHeight w:val="142"/>
        </w:trPr>
        <w:tc>
          <w:tcPr>
            <w:tcW w:w="1596" w:type="dxa"/>
            <w:gridSpan w:val="2"/>
            <w:vMerge/>
            <w:shd w:val="clear" w:color="auto" w:fill="FFFFFF"/>
          </w:tcPr>
          <w:p w14:paraId="0FFFE6C8" w14:textId="77777777" w:rsidR="00137CF0" w:rsidRPr="00945976" w:rsidRDefault="00137CF0" w:rsidP="00137CF0">
            <w:pPr>
              <w:spacing w:after="120" w:line="240" w:lineRule="auto"/>
              <w:rPr>
                <w:rFonts w:ascii="Times New Roman" w:hAnsi="Times New Roman"/>
                <w:color w:val="000000" w:themeColor="text1"/>
              </w:rPr>
            </w:pPr>
          </w:p>
        </w:tc>
        <w:tc>
          <w:tcPr>
            <w:tcW w:w="1836" w:type="dxa"/>
            <w:gridSpan w:val="4"/>
            <w:shd w:val="clear" w:color="auto" w:fill="FFFFFF"/>
          </w:tcPr>
          <w:p w14:paraId="67452D64"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sektor mikro-, małych i średnich przedsiębiorstw</w:t>
            </w:r>
          </w:p>
        </w:tc>
        <w:tc>
          <w:tcPr>
            <w:tcW w:w="850" w:type="dxa"/>
            <w:shd w:val="clear" w:color="auto" w:fill="FFFFFF"/>
          </w:tcPr>
          <w:p w14:paraId="63EB5202" w14:textId="77777777" w:rsidR="00137CF0" w:rsidRPr="00945976" w:rsidRDefault="00137CF0" w:rsidP="00137CF0">
            <w:pPr>
              <w:spacing w:after="120" w:line="240" w:lineRule="auto"/>
              <w:rPr>
                <w:rFonts w:ascii="Times New Roman" w:hAnsi="Times New Roman"/>
                <w:color w:val="000000" w:themeColor="text1"/>
              </w:rPr>
            </w:pPr>
          </w:p>
        </w:tc>
        <w:tc>
          <w:tcPr>
            <w:tcW w:w="1482" w:type="dxa"/>
            <w:gridSpan w:val="3"/>
            <w:shd w:val="clear" w:color="auto" w:fill="FFFFFF"/>
          </w:tcPr>
          <w:p w14:paraId="55B5FA28" w14:textId="77777777" w:rsidR="00137CF0" w:rsidRPr="00945976" w:rsidRDefault="00137CF0" w:rsidP="00137CF0">
            <w:pPr>
              <w:spacing w:after="120" w:line="240" w:lineRule="auto"/>
              <w:rPr>
                <w:rFonts w:ascii="Times New Roman" w:hAnsi="Times New Roman"/>
                <w:color w:val="000000" w:themeColor="text1"/>
              </w:rPr>
            </w:pPr>
          </w:p>
        </w:tc>
        <w:tc>
          <w:tcPr>
            <w:tcW w:w="644" w:type="dxa"/>
            <w:shd w:val="clear" w:color="auto" w:fill="FFFFFF"/>
          </w:tcPr>
          <w:p w14:paraId="414AABCB" w14:textId="77777777" w:rsidR="00137CF0" w:rsidRPr="00945976" w:rsidRDefault="00137CF0" w:rsidP="00137CF0">
            <w:pPr>
              <w:spacing w:after="120" w:line="240" w:lineRule="auto"/>
              <w:rPr>
                <w:rFonts w:ascii="Times New Roman" w:hAnsi="Times New Roman"/>
                <w:color w:val="000000" w:themeColor="text1"/>
              </w:rPr>
            </w:pPr>
          </w:p>
        </w:tc>
        <w:tc>
          <w:tcPr>
            <w:tcW w:w="567" w:type="dxa"/>
            <w:gridSpan w:val="2"/>
            <w:shd w:val="clear" w:color="auto" w:fill="FFFFFF"/>
          </w:tcPr>
          <w:p w14:paraId="68AD6DB9"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3"/>
            <w:shd w:val="clear" w:color="auto" w:fill="FFFFFF"/>
          </w:tcPr>
          <w:p w14:paraId="60575062" w14:textId="77777777" w:rsidR="00137CF0" w:rsidRPr="00945976" w:rsidRDefault="00137CF0" w:rsidP="00137CF0">
            <w:pPr>
              <w:spacing w:after="120" w:line="240" w:lineRule="auto"/>
              <w:rPr>
                <w:rFonts w:ascii="Times New Roman" w:hAnsi="Times New Roman"/>
                <w:color w:val="000000" w:themeColor="text1"/>
              </w:rPr>
            </w:pPr>
          </w:p>
        </w:tc>
        <w:tc>
          <w:tcPr>
            <w:tcW w:w="1831" w:type="dxa"/>
            <w:gridSpan w:val="5"/>
            <w:shd w:val="clear" w:color="auto" w:fill="FFFFFF"/>
          </w:tcPr>
          <w:p w14:paraId="10B3BB50" w14:textId="77777777" w:rsidR="00137CF0" w:rsidRPr="00945976" w:rsidRDefault="00137CF0" w:rsidP="00137CF0">
            <w:pPr>
              <w:spacing w:after="120" w:line="240" w:lineRule="auto"/>
              <w:rPr>
                <w:rFonts w:ascii="Times New Roman" w:hAnsi="Times New Roman"/>
                <w:color w:val="000000" w:themeColor="text1"/>
              </w:rPr>
            </w:pPr>
          </w:p>
        </w:tc>
        <w:tc>
          <w:tcPr>
            <w:tcW w:w="1422" w:type="dxa"/>
            <w:gridSpan w:val="2"/>
            <w:shd w:val="clear" w:color="auto" w:fill="FFFFFF"/>
          </w:tcPr>
          <w:p w14:paraId="5A259B44" w14:textId="77777777" w:rsidR="00137CF0" w:rsidRPr="00945976" w:rsidRDefault="00137CF0" w:rsidP="00137CF0">
            <w:pPr>
              <w:spacing w:after="120" w:line="240" w:lineRule="auto"/>
              <w:rPr>
                <w:rFonts w:ascii="Times New Roman" w:hAnsi="Times New Roman"/>
                <w:color w:val="000000" w:themeColor="text1"/>
                <w:spacing w:val="-2"/>
              </w:rPr>
            </w:pPr>
          </w:p>
        </w:tc>
      </w:tr>
      <w:tr w:rsidR="00137CF0" w:rsidRPr="00945976" w14:paraId="37B4756A" w14:textId="77777777" w:rsidTr="00AC7BAF">
        <w:trPr>
          <w:gridAfter w:val="1"/>
          <w:wAfter w:w="10" w:type="dxa"/>
          <w:trHeight w:val="142"/>
        </w:trPr>
        <w:tc>
          <w:tcPr>
            <w:tcW w:w="1596" w:type="dxa"/>
            <w:gridSpan w:val="2"/>
            <w:vMerge/>
            <w:shd w:val="clear" w:color="auto" w:fill="FFFFFF"/>
          </w:tcPr>
          <w:p w14:paraId="10701E76" w14:textId="77777777" w:rsidR="00137CF0" w:rsidRPr="00945976" w:rsidRDefault="00137CF0" w:rsidP="00137CF0">
            <w:pPr>
              <w:spacing w:after="120" w:line="240" w:lineRule="auto"/>
              <w:rPr>
                <w:rFonts w:ascii="Times New Roman" w:hAnsi="Times New Roman"/>
                <w:color w:val="000000" w:themeColor="text1"/>
              </w:rPr>
            </w:pPr>
          </w:p>
        </w:tc>
        <w:tc>
          <w:tcPr>
            <w:tcW w:w="1836" w:type="dxa"/>
            <w:gridSpan w:val="4"/>
            <w:shd w:val="clear" w:color="auto" w:fill="FFFFFF"/>
          </w:tcPr>
          <w:p w14:paraId="384D4DBD"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rodzina, obywatele oraz gospodarstwa domowe</w:t>
            </w:r>
          </w:p>
        </w:tc>
        <w:tc>
          <w:tcPr>
            <w:tcW w:w="850" w:type="dxa"/>
            <w:shd w:val="clear" w:color="auto" w:fill="FFFFFF"/>
          </w:tcPr>
          <w:p w14:paraId="08AC2055" w14:textId="77777777" w:rsidR="00137CF0" w:rsidRPr="00945976" w:rsidRDefault="00137CF0" w:rsidP="00137CF0">
            <w:pPr>
              <w:spacing w:after="120" w:line="240" w:lineRule="auto"/>
              <w:rPr>
                <w:rFonts w:ascii="Times New Roman" w:hAnsi="Times New Roman"/>
                <w:color w:val="000000" w:themeColor="text1"/>
              </w:rPr>
            </w:pPr>
          </w:p>
        </w:tc>
        <w:tc>
          <w:tcPr>
            <w:tcW w:w="1482" w:type="dxa"/>
            <w:gridSpan w:val="3"/>
            <w:shd w:val="clear" w:color="auto" w:fill="FFFFFF"/>
          </w:tcPr>
          <w:p w14:paraId="4E611A18" w14:textId="77777777" w:rsidR="00137CF0" w:rsidRPr="00945976" w:rsidRDefault="00137CF0" w:rsidP="00137CF0">
            <w:pPr>
              <w:spacing w:after="120" w:line="240" w:lineRule="auto"/>
              <w:rPr>
                <w:rFonts w:ascii="Times New Roman" w:hAnsi="Times New Roman"/>
                <w:color w:val="000000" w:themeColor="text1"/>
              </w:rPr>
            </w:pPr>
          </w:p>
        </w:tc>
        <w:tc>
          <w:tcPr>
            <w:tcW w:w="644" w:type="dxa"/>
            <w:shd w:val="clear" w:color="auto" w:fill="FFFFFF"/>
          </w:tcPr>
          <w:p w14:paraId="7E32F3EA" w14:textId="77777777" w:rsidR="00137CF0" w:rsidRPr="00945976" w:rsidRDefault="00137CF0" w:rsidP="00137CF0">
            <w:pPr>
              <w:spacing w:after="120" w:line="240" w:lineRule="auto"/>
              <w:rPr>
                <w:rFonts w:ascii="Times New Roman" w:hAnsi="Times New Roman"/>
                <w:color w:val="000000" w:themeColor="text1"/>
              </w:rPr>
            </w:pPr>
          </w:p>
        </w:tc>
        <w:tc>
          <w:tcPr>
            <w:tcW w:w="567" w:type="dxa"/>
            <w:gridSpan w:val="2"/>
            <w:shd w:val="clear" w:color="auto" w:fill="FFFFFF"/>
          </w:tcPr>
          <w:p w14:paraId="03C4591D" w14:textId="77777777" w:rsidR="00137CF0" w:rsidRPr="00945976" w:rsidRDefault="00137CF0" w:rsidP="00137CF0">
            <w:pPr>
              <w:spacing w:after="120" w:line="240" w:lineRule="auto"/>
              <w:rPr>
                <w:rFonts w:ascii="Times New Roman" w:hAnsi="Times New Roman"/>
                <w:color w:val="000000" w:themeColor="text1"/>
              </w:rPr>
            </w:pPr>
          </w:p>
        </w:tc>
        <w:tc>
          <w:tcPr>
            <w:tcW w:w="709" w:type="dxa"/>
            <w:gridSpan w:val="3"/>
            <w:shd w:val="clear" w:color="auto" w:fill="FFFFFF"/>
          </w:tcPr>
          <w:p w14:paraId="1E9B5FD0" w14:textId="77777777" w:rsidR="00137CF0" w:rsidRPr="00945976" w:rsidRDefault="00137CF0" w:rsidP="00137CF0">
            <w:pPr>
              <w:spacing w:after="120" w:line="240" w:lineRule="auto"/>
              <w:rPr>
                <w:rFonts w:ascii="Times New Roman" w:hAnsi="Times New Roman"/>
                <w:color w:val="000000" w:themeColor="text1"/>
              </w:rPr>
            </w:pPr>
          </w:p>
        </w:tc>
        <w:tc>
          <w:tcPr>
            <w:tcW w:w="1831" w:type="dxa"/>
            <w:gridSpan w:val="5"/>
            <w:shd w:val="clear" w:color="auto" w:fill="FFFFFF"/>
          </w:tcPr>
          <w:p w14:paraId="49B783D5" w14:textId="77777777" w:rsidR="00137CF0" w:rsidRPr="00945976" w:rsidRDefault="00137CF0" w:rsidP="00137CF0">
            <w:pPr>
              <w:spacing w:after="120" w:line="240" w:lineRule="auto"/>
              <w:rPr>
                <w:rFonts w:ascii="Times New Roman" w:hAnsi="Times New Roman"/>
                <w:color w:val="000000" w:themeColor="text1"/>
              </w:rPr>
            </w:pPr>
          </w:p>
        </w:tc>
        <w:tc>
          <w:tcPr>
            <w:tcW w:w="1422" w:type="dxa"/>
            <w:gridSpan w:val="2"/>
            <w:shd w:val="clear" w:color="auto" w:fill="FFFFFF"/>
          </w:tcPr>
          <w:p w14:paraId="204950FB" w14:textId="77777777" w:rsidR="00137CF0" w:rsidRPr="00945976" w:rsidRDefault="00137CF0" w:rsidP="00137CF0">
            <w:pPr>
              <w:spacing w:after="120" w:line="240" w:lineRule="auto"/>
              <w:rPr>
                <w:rFonts w:ascii="Times New Roman" w:hAnsi="Times New Roman"/>
                <w:color w:val="000000" w:themeColor="text1"/>
                <w:spacing w:val="-2"/>
              </w:rPr>
            </w:pPr>
          </w:p>
        </w:tc>
      </w:tr>
      <w:tr w:rsidR="00452CDE" w:rsidRPr="00945976" w14:paraId="1B2440F6" w14:textId="77777777" w:rsidTr="00695F17">
        <w:trPr>
          <w:gridAfter w:val="1"/>
          <w:wAfter w:w="10" w:type="dxa"/>
          <w:trHeight w:val="142"/>
        </w:trPr>
        <w:tc>
          <w:tcPr>
            <w:tcW w:w="1596" w:type="dxa"/>
            <w:gridSpan w:val="2"/>
            <w:vMerge w:val="restart"/>
            <w:shd w:val="clear" w:color="auto" w:fill="FFFFFF"/>
          </w:tcPr>
          <w:p w14:paraId="2109413F" w14:textId="77777777" w:rsidR="00452CDE" w:rsidRPr="00945976" w:rsidRDefault="00452CDE"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W ujęciu niepieniężnym</w:t>
            </w:r>
          </w:p>
        </w:tc>
        <w:tc>
          <w:tcPr>
            <w:tcW w:w="1836" w:type="dxa"/>
            <w:gridSpan w:val="4"/>
            <w:shd w:val="clear" w:color="auto" w:fill="FFFFFF"/>
          </w:tcPr>
          <w:p w14:paraId="7B18CA47" w14:textId="77777777" w:rsidR="00452CDE" w:rsidRPr="00945976" w:rsidRDefault="00452CDE"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duże przedsiębiorstwa</w:t>
            </w:r>
          </w:p>
        </w:tc>
        <w:tc>
          <w:tcPr>
            <w:tcW w:w="7505" w:type="dxa"/>
            <w:gridSpan w:val="17"/>
            <w:shd w:val="clear" w:color="auto" w:fill="FFFFFF"/>
          </w:tcPr>
          <w:p w14:paraId="0114EF12" w14:textId="77777777" w:rsidR="00452CDE" w:rsidRPr="00945976" w:rsidRDefault="00452CDE" w:rsidP="00AC7BAF">
            <w:pPr>
              <w:spacing w:after="120" w:line="240" w:lineRule="auto"/>
              <w:ind w:firstLine="708"/>
              <w:rPr>
                <w:rFonts w:ascii="Times New Roman" w:hAnsi="Times New Roman"/>
                <w:color w:val="000000" w:themeColor="text1"/>
                <w:spacing w:val="-2"/>
              </w:rPr>
            </w:pPr>
          </w:p>
        </w:tc>
      </w:tr>
      <w:tr w:rsidR="00452CDE" w:rsidRPr="00945976" w14:paraId="3C2A923B" w14:textId="77777777" w:rsidTr="00695F17">
        <w:trPr>
          <w:gridAfter w:val="1"/>
          <w:wAfter w:w="10" w:type="dxa"/>
          <w:trHeight w:val="142"/>
        </w:trPr>
        <w:tc>
          <w:tcPr>
            <w:tcW w:w="1596" w:type="dxa"/>
            <w:gridSpan w:val="2"/>
            <w:vMerge/>
            <w:shd w:val="clear" w:color="auto" w:fill="FFFFFF"/>
          </w:tcPr>
          <w:p w14:paraId="58DCD26B" w14:textId="77777777" w:rsidR="00452CDE" w:rsidRPr="00945976" w:rsidRDefault="00452CDE" w:rsidP="00137CF0">
            <w:pPr>
              <w:spacing w:after="120" w:line="240" w:lineRule="auto"/>
              <w:rPr>
                <w:rFonts w:ascii="Times New Roman" w:hAnsi="Times New Roman"/>
                <w:color w:val="000000" w:themeColor="text1"/>
              </w:rPr>
            </w:pPr>
          </w:p>
        </w:tc>
        <w:tc>
          <w:tcPr>
            <w:tcW w:w="1836" w:type="dxa"/>
            <w:gridSpan w:val="4"/>
            <w:shd w:val="clear" w:color="auto" w:fill="FFFFFF"/>
          </w:tcPr>
          <w:p w14:paraId="2A8128EE" w14:textId="77777777" w:rsidR="00452CDE" w:rsidRPr="00945976" w:rsidRDefault="00452CDE"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sektor mikro-, małych i średnich przedsiębiorstw</w:t>
            </w:r>
          </w:p>
        </w:tc>
        <w:tc>
          <w:tcPr>
            <w:tcW w:w="7505" w:type="dxa"/>
            <w:gridSpan w:val="17"/>
            <w:shd w:val="clear" w:color="auto" w:fill="FFFFFF"/>
          </w:tcPr>
          <w:p w14:paraId="380BEA5C" w14:textId="77777777" w:rsidR="00452CDE" w:rsidRPr="00945976" w:rsidRDefault="00452CDE" w:rsidP="00137CF0">
            <w:pPr>
              <w:spacing w:after="120" w:line="240" w:lineRule="auto"/>
              <w:rPr>
                <w:rFonts w:ascii="Times New Roman" w:hAnsi="Times New Roman"/>
                <w:color w:val="000000" w:themeColor="text1"/>
                <w:spacing w:val="-2"/>
              </w:rPr>
            </w:pPr>
          </w:p>
        </w:tc>
      </w:tr>
      <w:tr w:rsidR="00137CF0" w:rsidRPr="00945976" w14:paraId="65ED7FAC" w14:textId="77777777" w:rsidTr="00695F17">
        <w:trPr>
          <w:gridAfter w:val="1"/>
          <w:wAfter w:w="10" w:type="dxa"/>
          <w:trHeight w:val="596"/>
        </w:trPr>
        <w:tc>
          <w:tcPr>
            <w:tcW w:w="1596" w:type="dxa"/>
            <w:gridSpan w:val="2"/>
            <w:vMerge/>
            <w:shd w:val="clear" w:color="auto" w:fill="FFFFFF"/>
          </w:tcPr>
          <w:p w14:paraId="4838ADDC" w14:textId="77777777" w:rsidR="00137CF0" w:rsidRPr="00945976" w:rsidRDefault="00137CF0" w:rsidP="00137CF0">
            <w:pPr>
              <w:spacing w:after="120" w:line="240" w:lineRule="auto"/>
              <w:rPr>
                <w:rFonts w:ascii="Times New Roman" w:hAnsi="Times New Roman"/>
                <w:color w:val="000000" w:themeColor="text1"/>
              </w:rPr>
            </w:pPr>
          </w:p>
        </w:tc>
        <w:tc>
          <w:tcPr>
            <w:tcW w:w="1836" w:type="dxa"/>
            <w:gridSpan w:val="4"/>
            <w:shd w:val="clear" w:color="auto" w:fill="FFFFFF"/>
          </w:tcPr>
          <w:p w14:paraId="4172B540" w14:textId="77777777" w:rsidR="00137CF0" w:rsidRPr="00945976" w:rsidRDefault="00137CF0" w:rsidP="00137CF0">
            <w:pPr>
              <w:tabs>
                <w:tab w:val="right" w:pos="1936"/>
              </w:tabs>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rodzina, obywatele oraz gospodarstwa domowe </w:t>
            </w:r>
          </w:p>
        </w:tc>
        <w:tc>
          <w:tcPr>
            <w:tcW w:w="7505" w:type="dxa"/>
            <w:gridSpan w:val="17"/>
            <w:shd w:val="clear" w:color="auto" w:fill="FFFFFF"/>
          </w:tcPr>
          <w:p w14:paraId="68A03A67" w14:textId="77777777" w:rsidR="00137CF0" w:rsidRPr="00945976" w:rsidRDefault="00137CF0" w:rsidP="00137CF0">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Brak wpływu projektu na rodzinę, obywateli oraz gospodarstwa domowe.</w:t>
            </w:r>
          </w:p>
        </w:tc>
      </w:tr>
      <w:tr w:rsidR="00137CF0" w:rsidRPr="00945976" w14:paraId="459F1AAD" w14:textId="77777777" w:rsidTr="00695F17">
        <w:trPr>
          <w:gridAfter w:val="1"/>
          <w:wAfter w:w="10" w:type="dxa"/>
          <w:trHeight w:val="142"/>
        </w:trPr>
        <w:tc>
          <w:tcPr>
            <w:tcW w:w="1596" w:type="dxa"/>
            <w:gridSpan w:val="2"/>
            <w:vMerge w:val="restart"/>
            <w:shd w:val="clear" w:color="auto" w:fill="FFFFFF"/>
          </w:tcPr>
          <w:p w14:paraId="6347C5CB"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Niemierzalne</w:t>
            </w:r>
          </w:p>
        </w:tc>
        <w:tc>
          <w:tcPr>
            <w:tcW w:w="1836" w:type="dxa"/>
            <w:gridSpan w:val="4"/>
            <w:shd w:val="clear" w:color="auto" w:fill="FFFFFF"/>
          </w:tcPr>
          <w:p w14:paraId="537BF48E"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5976">
              <w:rPr>
                <w:rFonts w:ascii="Times New Roman" w:hAnsi="Times New Roman"/>
                <w:color w:val="000000" w:themeColor="text1"/>
              </w:rPr>
              <w:instrText xml:space="preserve"> FORMTEXT </w:instrText>
            </w:r>
            <w:r w:rsidRPr="00945976">
              <w:rPr>
                <w:rFonts w:ascii="Times New Roman" w:hAnsi="Times New Roman"/>
                <w:color w:val="000000" w:themeColor="text1"/>
              </w:rPr>
            </w:r>
            <w:r w:rsidRPr="00945976">
              <w:rPr>
                <w:rFonts w:ascii="Times New Roman" w:hAnsi="Times New Roman"/>
                <w:color w:val="000000" w:themeColor="text1"/>
              </w:rPr>
              <w:fldChar w:fldCharType="separate"/>
            </w:r>
            <w:r w:rsidRPr="00945976">
              <w:rPr>
                <w:rFonts w:ascii="Times New Roman" w:hAnsi="Times New Roman"/>
                <w:noProof/>
                <w:color w:val="000000" w:themeColor="text1"/>
              </w:rPr>
              <w:t>(dodaj/usuń)</w:t>
            </w:r>
            <w:r w:rsidRPr="00945976">
              <w:rPr>
                <w:rFonts w:ascii="Times New Roman" w:hAnsi="Times New Roman"/>
                <w:color w:val="000000" w:themeColor="text1"/>
              </w:rPr>
              <w:fldChar w:fldCharType="end"/>
            </w:r>
          </w:p>
        </w:tc>
        <w:tc>
          <w:tcPr>
            <w:tcW w:w="7505" w:type="dxa"/>
            <w:gridSpan w:val="17"/>
            <w:shd w:val="clear" w:color="auto" w:fill="FFFFFF"/>
          </w:tcPr>
          <w:p w14:paraId="5561D66F" w14:textId="77777777" w:rsidR="00137CF0" w:rsidRDefault="00137CF0" w:rsidP="00137CF0">
            <w:pPr>
              <w:spacing w:after="120" w:line="240" w:lineRule="auto"/>
              <w:jc w:val="both"/>
              <w:rPr>
                <w:rFonts w:ascii="Times New Roman" w:hAnsi="Times New Roman"/>
                <w:color w:val="000000" w:themeColor="text1"/>
              </w:rPr>
            </w:pPr>
            <w:r w:rsidRPr="00945976">
              <w:rPr>
                <w:rFonts w:ascii="Times New Roman" w:hAnsi="Times New Roman"/>
                <w:color w:val="000000" w:themeColor="text1"/>
              </w:rPr>
              <w:t>Wejście w życie zaproponowanych rozwiązań uprości oraz ograniczy koszty dokonywania sprzedaży w systemie TAX FREE przez przedsiębiorców poprzez wprowadzenie elektronicznej obsługi dokum</w:t>
            </w:r>
            <w:r w:rsidR="00AC7BAF">
              <w:rPr>
                <w:rFonts w:ascii="Times New Roman" w:hAnsi="Times New Roman"/>
                <w:color w:val="000000" w:themeColor="text1"/>
              </w:rPr>
              <w:t>entu TAX FREE oraz rezygnację z </w:t>
            </w:r>
            <w:r w:rsidRPr="00945976">
              <w:rPr>
                <w:rFonts w:ascii="Times New Roman" w:hAnsi="Times New Roman"/>
                <w:color w:val="000000" w:themeColor="text1"/>
              </w:rPr>
              <w:t>załączania do dokumentów TAX FREE papierowych paragonów fiskalnych z kas rejestrujących. Powyższe zmiany wpłyną korzystnie na uszczelnienie systemu podatkowego poprzez eliminację z niego nieuczciwych uczestników, a tym samym zapewnią równe szanse prowadzenia działalności gospodarczej przez pozostałych przedsiębiorców.</w:t>
            </w:r>
          </w:p>
          <w:p w14:paraId="441CEDA3" w14:textId="77777777" w:rsidR="00452CDE" w:rsidRDefault="00575B5D" w:rsidP="00575B5D">
            <w:pPr>
              <w:spacing w:after="120" w:line="240" w:lineRule="auto"/>
              <w:jc w:val="both"/>
              <w:rPr>
                <w:rFonts w:ascii="Times New Roman" w:hAnsi="Times New Roman"/>
                <w:color w:val="000000" w:themeColor="text1"/>
              </w:rPr>
            </w:pPr>
            <w:r>
              <w:rPr>
                <w:rFonts w:ascii="Times New Roman" w:hAnsi="Times New Roman"/>
                <w:color w:val="000000" w:themeColor="text1"/>
              </w:rPr>
              <w:t>Wprowadzane zmiany w zakresie mechanizmu podzielonej płatności wyeliminują wątpliwości a zatem uproszczą  stosowanie przez podatników tego mechanizmu.</w:t>
            </w:r>
            <w:r w:rsidR="00607B50">
              <w:rPr>
                <w:rFonts w:ascii="Times New Roman" w:hAnsi="Times New Roman"/>
                <w:color w:val="000000" w:themeColor="text1"/>
              </w:rPr>
              <w:t xml:space="preserve"> </w:t>
            </w:r>
          </w:p>
          <w:p w14:paraId="24D55CC2" w14:textId="77777777" w:rsidR="00065C30" w:rsidRDefault="00065C30" w:rsidP="00065C30">
            <w:pPr>
              <w:spacing w:after="120" w:line="240" w:lineRule="auto"/>
              <w:jc w:val="both"/>
              <w:rPr>
                <w:rFonts w:ascii="Times New Roman" w:hAnsi="Times New Roman"/>
                <w:color w:val="000000" w:themeColor="text1"/>
              </w:rPr>
            </w:pPr>
            <w:r>
              <w:rPr>
                <w:rFonts w:ascii="Times New Roman" w:hAnsi="Times New Roman"/>
                <w:color w:val="000000" w:themeColor="text1"/>
              </w:rPr>
              <w:t>Wprowadzane rozwiązania Slim VAT uproszczą rozliczanie VAT dla podatników.</w:t>
            </w:r>
          </w:p>
          <w:p w14:paraId="28545073" w14:textId="037DEE25" w:rsidR="00065C30" w:rsidRPr="00945976" w:rsidRDefault="00065C30" w:rsidP="00CF36BD">
            <w:pPr>
              <w:spacing w:after="120" w:line="240" w:lineRule="auto"/>
              <w:jc w:val="both"/>
              <w:rPr>
                <w:rFonts w:ascii="Times New Roman" w:hAnsi="Times New Roman"/>
                <w:color w:val="000000" w:themeColor="text1"/>
                <w:spacing w:val="-2"/>
              </w:rPr>
            </w:pPr>
            <w:r>
              <w:rPr>
                <w:rFonts w:ascii="Times New Roman" w:hAnsi="Times New Roman"/>
                <w:color w:val="000000" w:themeColor="text1"/>
                <w:spacing w:val="-2"/>
              </w:rPr>
              <w:t xml:space="preserve">Proponowane rozwiązania </w:t>
            </w:r>
            <w:r w:rsidR="00AC7BAF">
              <w:rPr>
                <w:rFonts w:ascii="Times New Roman" w:hAnsi="Times New Roman"/>
                <w:color w:val="000000" w:themeColor="text1"/>
                <w:spacing w:val="-2"/>
              </w:rPr>
              <w:t xml:space="preserve">Slim VAT </w:t>
            </w:r>
            <w:r>
              <w:rPr>
                <w:rFonts w:ascii="Times New Roman" w:hAnsi="Times New Roman"/>
                <w:color w:val="000000" w:themeColor="text1"/>
                <w:spacing w:val="-2"/>
              </w:rPr>
              <w:t>oznaczają zmniejszenie obciążeń w rozliczaniu VAT dla podatników (wprowadzenie spójnych zasad przeliczania walut na PLN dla VAT i podatku dochodowego, brak konieczności uzyskiwania potwierdzeń odbioru faktur korygujących)</w:t>
            </w:r>
            <w:r w:rsidR="00CF36BD">
              <w:rPr>
                <w:rFonts w:ascii="Times New Roman" w:hAnsi="Times New Roman"/>
                <w:color w:val="000000" w:themeColor="text1"/>
                <w:spacing w:val="-2"/>
              </w:rPr>
              <w:t xml:space="preserve">. </w:t>
            </w:r>
            <w:r>
              <w:rPr>
                <w:rFonts w:ascii="Times New Roman" w:hAnsi="Times New Roman"/>
                <w:color w:val="000000" w:themeColor="text1"/>
                <w:spacing w:val="-2"/>
              </w:rPr>
              <w:t xml:space="preserve">Część rozwiązań Slim VAT oznacza również wprowadzenie korzyści finansowych dla przedsiębiorców (wprowadzenie odliczenia VAT od usług noclegowych nabywanych w celu odsprzedaży, wydłużenie terminu na odliczanie VAT „na bieżąco” do 4 okresów rozliczeniowych miesięcznych, podwyższenie kwoty limitu na prezenty o małej wartości, </w:t>
            </w:r>
            <w:r>
              <w:rPr>
                <w:rFonts w:ascii="Times New Roman" w:eastAsia="Cambria" w:hAnsi="Times New Roman"/>
                <w:color w:val="000000" w:themeColor="text1"/>
              </w:rPr>
              <w:t>w</w:t>
            </w:r>
            <w:r w:rsidRPr="00695F17">
              <w:rPr>
                <w:rFonts w:ascii="Times New Roman" w:eastAsia="Cambria" w:hAnsi="Times New Roman"/>
                <w:color w:val="000000" w:themeColor="text1"/>
              </w:rPr>
              <w:t>ydłużenie terminu na wywóz towarów dla zachowania stawki 0% przy opodatkowaniu zaliczek z tytułu eksportu towarów z 2 na 6 m-cy</w:t>
            </w:r>
            <w:r>
              <w:rPr>
                <w:rFonts w:ascii="Times New Roman" w:hAnsi="Times New Roman"/>
                <w:color w:val="000000" w:themeColor="text1"/>
                <w:spacing w:val="-2"/>
              </w:rPr>
              <w:t>).</w:t>
            </w:r>
            <w:r w:rsidR="00CF36BD">
              <w:rPr>
                <w:rFonts w:ascii="Times New Roman" w:hAnsi="Times New Roman"/>
                <w:color w:val="000000" w:themeColor="text1"/>
                <w:spacing w:val="-2"/>
              </w:rPr>
              <w:t xml:space="preserve">  </w:t>
            </w:r>
            <w:r>
              <w:rPr>
                <w:rFonts w:ascii="Times New Roman" w:eastAsia="Cambria" w:hAnsi="Times New Roman"/>
                <w:color w:val="000000" w:themeColor="text1"/>
              </w:rPr>
              <w:t xml:space="preserve">Wprowadzenie </w:t>
            </w:r>
            <w:r w:rsidRPr="00695F17">
              <w:rPr>
                <w:rFonts w:ascii="Times New Roman" w:eastAsia="Cambria" w:hAnsi="Times New Roman"/>
                <w:color w:val="000000" w:themeColor="text1"/>
              </w:rPr>
              <w:t>przepisu dotyczącego rozliczania faktur korygujących zwiększających cen</w:t>
            </w:r>
            <w:r>
              <w:rPr>
                <w:rFonts w:ascii="Times New Roman" w:eastAsia="Cambria" w:hAnsi="Times New Roman"/>
                <w:color w:val="000000" w:themeColor="text1"/>
              </w:rPr>
              <w:t>ę oznacza zwiększenie pewności prawa dla podatników (dotychczas sposób korygowania t</w:t>
            </w:r>
            <w:r w:rsidR="00AC7BAF">
              <w:rPr>
                <w:rFonts w:ascii="Times New Roman" w:eastAsia="Cambria" w:hAnsi="Times New Roman"/>
                <w:color w:val="000000" w:themeColor="text1"/>
              </w:rPr>
              <w:t>ych faktur wynikał z praktyki i </w:t>
            </w:r>
            <w:r>
              <w:rPr>
                <w:rFonts w:ascii="Times New Roman" w:eastAsia="Cambria" w:hAnsi="Times New Roman"/>
                <w:color w:val="000000" w:themeColor="text1"/>
              </w:rPr>
              <w:t xml:space="preserve">interpretacji). </w:t>
            </w:r>
            <w:r w:rsidR="00CF36BD">
              <w:rPr>
                <w:rFonts w:ascii="Times New Roman" w:hAnsi="Times New Roman"/>
                <w:color w:val="000000" w:themeColor="text1"/>
                <w:spacing w:val="-2"/>
              </w:rPr>
              <w:t>Proponowane rozwiązania Slim VAT powinny wpłynąć pozytywnie na rozwój konkurencyjności gospodarki i przedsiębiorczość, w tym funkcjonowanie przedsiębiorców.</w:t>
            </w:r>
          </w:p>
        </w:tc>
      </w:tr>
      <w:tr w:rsidR="00137CF0" w:rsidRPr="00945976" w14:paraId="0A69C2D2" w14:textId="77777777" w:rsidTr="00695F17">
        <w:trPr>
          <w:gridAfter w:val="1"/>
          <w:wAfter w:w="10" w:type="dxa"/>
          <w:trHeight w:val="142"/>
        </w:trPr>
        <w:tc>
          <w:tcPr>
            <w:tcW w:w="1596" w:type="dxa"/>
            <w:gridSpan w:val="2"/>
            <w:vMerge/>
            <w:shd w:val="clear" w:color="auto" w:fill="FFFFFF"/>
          </w:tcPr>
          <w:p w14:paraId="03CF42F5" w14:textId="77777777" w:rsidR="00137CF0" w:rsidRPr="00945976" w:rsidRDefault="00137CF0" w:rsidP="00137CF0">
            <w:pPr>
              <w:spacing w:after="120" w:line="240" w:lineRule="auto"/>
              <w:rPr>
                <w:rFonts w:ascii="Times New Roman" w:hAnsi="Times New Roman"/>
                <w:color w:val="000000" w:themeColor="text1"/>
              </w:rPr>
            </w:pPr>
          </w:p>
        </w:tc>
        <w:tc>
          <w:tcPr>
            <w:tcW w:w="1836" w:type="dxa"/>
            <w:gridSpan w:val="4"/>
            <w:shd w:val="clear" w:color="auto" w:fill="FFFFFF"/>
          </w:tcPr>
          <w:p w14:paraId="414857E4"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5976">
              <w:rPr>
                <w:rFonts w:ascii="Times New Roman" w:hAnsi="Times New Roman"/>
                <w:color w:val="000000" w:themeColor="text1"/>
              </w:rPr>
              <w:instrText xml:space="preserve"> FORMTEXT </w:instrText>
            </w:r>
            <w:r w:rsidRPr="00945976">
              <w:rPr>
                <w:rFonts w:ascii="Times New Roman" w:hAnsi="Times New Roman"/>
                <w:color w:val="000000" w:themeColor="text1"/>
              </w:rPr>
            </w:r>
            <w:r w:rsidRPr="00945976">
              <w:rPr>
                <w:rFonts w:ascii="Times New Roman" w:hAnsi="Times New Roman"/>
                <w:color w:val="000000" w:themeColor="text1"/>
              </w:rPr>
              <w:fldChar w:fldCharType="separate"/>
            </w:r>
            <w:r w:rsidRPr="00945976">
              <w:rPr>
                <w:rFonts w:ascii="Times New Roman" w:hAnsi="Times New Roman"/>
                <w:noProof/>
                <w:color w:val="000000" w:themeColor="text1"/>
              </w:rPr>
              <w:t>(dodaj/usuń)</w:t>
            </w:r>
            <w:r w:rsidRPr="00945976">
              <w:rPr>
                <w:rFonts w:ascii="Times New Roman" w:hAnsi="Times New Roman"/>
                <w:color w:val="000000" w:themeColor="text1"/>
              </w:rPr>
              <w:fldChar w:fldCharType="end"/>
            </w:r>
          </w:p>
        </w:tc>
        <w:tc>
          <w:tcPr>
            <w:tcW w:w="7505" w:type="dxa"/>
            <w:gridSpan w:val="17"/>
            <w:shd w:val="clear" w:color="auto" w:fill="FFFFFF"/>
          </w:tcPr>
          <w:p w14:paraId="0F60AA16" w14:textId="77777777" w:rsidR="00137CF0" w:rsidRPr="00945976" w:rsidRDefault="00137CF0" w:rsidP="00137CF0">
            <w:pPr>
              <w:spacing w:after="120" w:line="240" w:lineRule="auto"/>
              <w:rPr>
                <w:rFonts w:ascii="Times New Roman" w:hAnsi="Times New Roman"/>
                <w:color w:val="000000" w:themeColor="text1"/>
                <w:spacing w:val="-2"/>
              </w:rPr>
            </w:pPr>
          </w:p>
        </w:tc>
      </w:tr>
      <w:tr w:rsidR="00137CF0" w:rsidRPr="00945976" w14:paraId="00B1A6C3" w14:textId="77777777" w:rsidTr="00695F17">
        <w:trPr>
          <w:gridAfter w:val="1"/>
          <w:wAfter w:w="10" w:type="dxa"/>
          <w:trHeight w:val="1643"/>
        </w:trPr>
        <w:tc>
          <w:tcPr>
            <w:tcW w:w="1960" w:type="dxa"/>
            <w:gridSpan w:val="3"/>
            <w:shd w:val="clear" w:color="auto" w:fill="FFFFFF"/>
          </w:tcPr>
          <w:p w14:paraId="1663A7F1"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 xml:space="preserve">Dodatkowe informacje, w tym wskazanie źródeł danych i przyjętych do obliczeń założeń </w:t>
            </w:r>
          </w:p>
        </w:tc>
        <w:tc>
          <w:tcPr>
            <w:tcW w:w="8977" w:type="dxa"/>
            <w:gridSpan w:val="20"/>
            <w:shd w:val="clear" w:color="auto" w:fill="FFFFFF"/>
            <w:vAlign w:val="center"/>
          </w:tcPr>
          <w:p w14:paraId="082E7E21" w14:textId="77777777" w:rsidR="00137CF0" w:rsidRPr="00AC7BAF" w:rsidRDefault="000964A9" w:rsidP="00137CF0">
            <w:pPr>
              <w:spacing w:after="120" w:line="240" w:lineRule="auto"/>
              <w:jc w:val="both"/>
              <w:rPr>
                <w:rFonts w:ascii="Times New Roman" w:hAnsi="Times New Roman"/>
                <w:color w:val="000000" w:themeColor="text1"/>
              </w:rPr>
            </w:pPr>
            <w:r w:rsidRPr="00AC7BAF">
              <w:rPr>
                <w:rFonts w:ascii="Times New Roman" w:hAnsi="Times New Roman"/>
                <w:color w:val="000000" w:themeColor="text1"/>
                <w:spacing w:val="-2"/>
              </w:rPr>
              <w:t xml:space="preserve">A) </w:t>
            </w:r>
            <w:r w:rsidR="00137CF0" w:rsidRPr="00AC7BAF">
              <w:rPr>
                <w:rFonts w:ascii="Times New Roman" w:hAnsi="Times New Roman"/>
                <w:color w:val="000000" w:themeColor="text1"/>
                <w:spacing w:val="-2"/>
              </w:rPr>
              <w:t>Projekt, ze względu na wprowadzanie uproszczeń w rozliczeniu podatku VAT – likwidację zbędnych barier administracyjnych oraz wprowadzenie możliwości odliczania VAT od nabycia usług noclegowych w celu odsprzedaży, a także podwyższenie nieewidencjonowanego limitu na prezenty małej wartości do 20 zł - powinien wpłynąć pozytywnie na rozwój k</w:t>
            </w:r>
            <w:r w:rsidR="00AC7BAF">
              <w:rPr>
                <w:rFonts w:ascii="Times New Roman" w:hAnsi="Times New Roman"/>
                <w:color w:val="000000" w:themeColor="text1"/>
              </w:rPr>
              <w:t>onkurencyjności gospodarki i </w:t>
            </w:r>
            <w:r w:rsidR="00137CF0" w:rsidRPr="00AC7BAF">
              <w:rPr>
                <w:rFonts w:ascii="Times New Roman" w:hAnsi="Times New Roman"/>
                <w:color w:val="000000" w:themeColor="text1"/>
              </w:rPr>
              <w:t>przedsiębiorczość, w tym funkcjonowanie przedsiębiorców.</w:t>
            </w:r>
          </w:p>
          <w:p w14:paraId="7AA96697" w14:textId="77777777" w:rsidR="000964A9" w:rsidRPr="00AC7BAF" w:rsidRDefault="000964A9" w:rsidP="000964A9">
            <w:pPr>
              <w:spacing w:after="120" w:line="240" w:lineRule="auto"/>
              <w:jc w:val="both"/>
              <w:rPr>
                <w:rFonts w:ascii="Times New Roman" w:hAnsi="Times New Roman"/>
                <w:color w:val="000000" w:themeColor="text1"/>
              </w:rPr>
            </w:pPr>
            <w:r w:rsidRPr="00AC7BAF">
              <w:rPr>
                <w:rFonts w:ascii="Times New Roman" w:hAnsi="Times New Roman"/>
                <w:color w:val="000000" w:themeColor="text1"/>
              </w:rPr>
              <w:t>Korzyści po stronie przedsiębiorstw są symetryczne względem ujemnych skutków dla budżetu państwa. Skutek w ujęciu rocznym w przypadku podwyższenia kwoty z 10 zł na 20 zł netto dla prezentów, jeżeli podatnik nie prowadzi ewidencji osób, którym zostały przekazane towary wynosi ok. - 57,4 mln zł przyjmując, że każdy podatnik VAT (czynny) przekaże w ciągu roku 20 prezentów.</w:t>
            </w:r>
          </w:p>
          <w:p w14:paraId="4FD1AE4F" w14:textId="77777777" w:rsidR="000964A9" w:rsidRPr="00AC7BAF" w:rsidRDefault="000964A9" w:rsidP="000964A9">
            <w:pPr>
              <w:autoSpaceDE w:val="0"/>
              <w:autoSpaceDN w:val="0"/>
              <w:adjustRightInd w:val="0"/>
              <w:spacing w:line="240" w:lineRule="auto"/>
              <w:jc w:val="both"/>
              <w:rPr>
                <w:rFonts w:ascii="Times New Roman" w:eastAsia="Times New Roman" w:hAnsi="Times New Roman"/>
                <w:bCs/>
                <w:lang w:eastAsia="pl-PL"/>
              </w:rPr>
            </w:pPr>
            <w:r w:rsidRPr="00AC7BAF">
              <w:rPr>
                <w:rFonts w:ascii="Times New Roman" w:eastAsia="Times New Roman" w:hAnsi="Times New Roman"/>
                <w:bCs/>
                <w:lang w:eastAsia="pl-PL"/>
              </w:rPr>
              <w:t>B) Ponadto projekt wpłynie na koszty dla przedsiębiorstw wynikaj</w:t>
            </w:r>
            <w:r w:rsidR="00AC7BAF">
              <w:rPr>
                <w:rFonts w:ascii="Times New Roman" w:eastAsia="Times New Roman" w:hAnsi="Times New Roman"/>
                <w:bCs/>
                <w:lang w:eastAsia="pl-PL"/>
              </w:rPr>
              <w:t>ące z kosztów zakupu urządzeń o </w:t>
            </w:r>
            <w:r w:rsidRPr="00AC7BAF">
              <w:rPr>
                <w:rFonts w:ascii="Times New Roman" w:eastAsia="Times New Roman" w:hAnsi="Times New Roman"/>
                <w:bCs/>
                <w:lang w:eastAsia="pl-PL"/>
              </w:rPr>
              <w:t>nowych funkcjonalnościach (kwota nierefundowana) oraz kosztów dostępu do systemu (transmisji danych). Dla oszacowania ww. kosztów</w:t>
            </w:r>
            <w:r w:rsidRPr="00AC7BAF">
              <w:t xml:space="preserve"> </w:t>
            </w:r>
            <w:r w:rsidRPr="00AC7BAF">
              <w:rPr>
                <w:rFonts w:ascii="Times New Roman" w:eastAsia="Times New Roman" w:hAnsi="Times New Roman"/>
                <w:bCs/>
                <w:lang w:eastAsia="pl-PL"/>
              </w:rPr>
              <w:t xml:space="preserve">zakupu urządzeń o nowych funkcjonalnościach założono, że średni koszt zakupu takiego urządzenia wyniesie ok. 1 800 </w:t>
            </w:r>
            <w:r w:rsidR="00AC7BAF">
              <w:rPr>
                <w:rFonts w:ascii="Times New Roman" w:eastAsia="Times New Roman" w:hAnsi="Times New Roman"/>
                <w:bCs/>
                <w:lang w:eastAsia="pl-PL"/>
              </w:rPr>
              <w:t>zł (kwota brutto). Natomiast do </w:t>
            </w:r>
            <w:r w:rsidRPr="00AC7BAF">
              <w:rPr>
                <w:rFonts w:ascii="Times New Roman" w:eastAsia="Times New Roman" w:hAnsi="Times New Roman"/>
                <w:bCs/>
                <w:lang w:eastAsia="pl-PL"/>
              </w:rPr>
              <w:t xml:space="preserve">oszacowania kosztów ponoszenia dostępu do systemu (transmisji danych) przyjęto kwotę 600 zł (średni koszt roczny). </w:t>
            </w:r>
            <w:r w:rsidR="00AD640B" w:rsidRPr="00AC7BAF">
              <w:rPr>
                <w:rFonts w:ascii="Times New Roman" w:eastAsia="Times New Roman" w:hAnsi="Times New Roman"/>
                <w:bCs/>
                <w:lang w:eastAsia="pl-PL"/>
              </w:rPr>
              <w:t>W wyliczeniu została uwzględniona refunda</w:t>
            </w:r>
            <w:r w:rsidR="00AC7BAF">
              <w:rPr>
                <w:rFonts w:ascii="Times New Roman" w:eastAsia="Times New Roman" w:hAnsi="Times New Roman"/>
                <w:bCs/>
                <w:lang w:eastAsia="pl-PL"/>
              </w:rPr>
              <w:t>cja na  zakup kasy w kwocie 700 </w:t>
            </w:r>
            <w:r w:rsidR="00AD640B" w:rsidRPr="00AC7BAF">
              <w:rPr>
                <w:rFonts w:ascii="Times New Roman" w:eastAsia="Times New Roman" w:hAnsi="Times New Roman"/>
                <w:bCs/>
                <w:lang w:eastAsia="pl-PL"/>
              </w:rPr>
              <w:t xml:space="preserve">zł. </w:t>
            </w:r>
            <w:r w:rsidRPr="00AC7BAF">
              <w:rPr>
                <w:rFonts w:ascii="Times New Roman" w:eastAsia="Times New Roman" w:hAnsi="Times New Roman"/>
                <w:bCs/>
                <w:lang w:eastAsia="pl-PL"/>
              </w:rPr>
              <w:t>Koszty dla przedsiębiorstw obliczono jako sumę iloczynu liczby zakupu kas online w poszczególnych latach przez podatników</w:t>
            </w:r>
            <w:r w:rsidRPr="00AC7BAF">
              <w:rPr>
                <w:rFonts w:ascii="Times New Roman" w:eastAsia="Times New Roman" w:hAnsi="Times New Roman"/>
                <w:bCs/>
                <w:vertAlign w:val="superscript"/>
                <w:lang w:eastAsia="pl-PL"/>
              </w:rPr>
              <w:t>1)</w:t>
            </w:r>
            <w:r w:rsidRPr="00AC7BAF">
              <w:rPr>
                <w:rFonts w:ascii="Times New Roman" w:eastAsia="Times New Roman" w:hAnsi="Times New Roman"/>
                <w:bCs/>
                <w:lang w:eastAsia="pl-PL"/>
              </w:rPr>
              <w:t xml:space="preserve"> oraz średniego kosztu zakupu kasy online oraz iloczynu liczby podatników obowiązanych do stosowania kas online w poszczególnych latach oraz średniego kosztu ponoszenia dostępu do systemu (transmisji danych). </w:t>
            </w:r>
          </w:p>
          <w:p w14:paraId="3A18E57D" w14:textId="77777777" w:rsidR="000964A9" w:rsidRPr="00AC7BAF" w:rsidRDefault="000964A9" w:rsidP="000964A9">
            <w:pPr>
              <w:autoSpaceDE w:val="0"/>
              <w:autoSpaceDN w:val="0"/>
              <w:adjustRightInd w:val="0"/>
              <w:spacing w:line="240" w:lineRule="auto"/>
              <w:jc w:val="both"/>
              <w:rPr>
                <w:rFonts w:ascii="Times New Roman" w:eastAsia="Times New Roman" w:hAnsi="Times New Roman"/>
                <w:bCs/>
                <w:lang w:eastAsia="pl-PL"/>
              </w:rPr>
            </w:pPr>
          </w:p>
          <w:p w14:paraId="6828CF9D" w14:textId="77777777" w:rsidR="007B6D67" w:rsidRPr="00945976" w:rsidRDefault="000964A9" w:rsidP="007B6D67">
            <w:pPr>
              <w:spacing w:after="120" w:line="240" w:lineRule="auto"/>
              <w:jc w:val="both"/>
              <w:rPr>
                <w:rFonts w:ascii="Times New Roman" w:hAnsi="Times New Roman"/>
                <w:color w:val="000000" w:themeColor="text1"/>
              </w:rPr>
            </w:pPr>
            <w:r w:rsidRPr="00AC7BAF">
              <w:rPr>
                <w:rFonts w:ascii="Times New Roman" w:eastAsia="Times New Roman" w:hAnsi="Times New Roman"/>
                <w:bCs/>
                <w:vertAlign w:val="superscript"/>
                <w:lang w:eastAsia="pl-PL"/>
              </w:rPr>
              <w:t xml:space="preserve">1) </w:t>
            </w:r>
            <w:r w:rsidRPr="00AC7BAF">
              <w:rPr>
                <w:rFonts w:ascii="Times New Roman" w:eastAsia="Times New Roman" w:hAnsi="Times New Roman"/>
                <w:bCs/>
                <w:lang w:eastAsia="pl-PL"/>
              </w:rPr>
              <w:t>Założono następującą liczbę zakupu kas online w poszczególnych latach przez podatników: 2021 r.: 6901, dla poszczególnych lat 2022-2026: 1380.</w:t>
            </w:r>
          </w:p>
        </w:tc>
      </w:tr>
      <w:tr w:rsidR="00137CF0" w:rsidRPr="00945976" w14:paraId="3CDE4433" w14:textId="77777777" w:rsidTr="00695F17">
        <w:trPr>
          <w:gridAfter w:val="1"/>
          <w:wAfter w:w="10" w:type="dxa"/>
          <w:trHeight w:val="342"/>
        </w:trPr>
        <w:tc>
          <w:tcPr>
            <w:tcW w:w="10937" w:type="dxa"/>
            <w:gridSpan w:val="23"/>
            <w:shd w:val="clear" w:color="auto" w:fill="99CCFF"/>
            <w:vAlign w:val="center"/>
          </w:tcPr>
          <w:p w14:paraId="3A572975" w14:textId="77777777" w:rsidR="00137CF0" w:rsidRPr="00945976" w:rsidRDefault="00137CF0" w:rsidP="00137CF0">
            <w:pPr>
              <w:numPr>
                <w:ilvl w:val="0"/>
                <w:numId w:val="3"/>
              </w:numPr>
              <w:spacing w:after="120" w:line="240" w:lineRule="auto"/>
              <w:ind w:left="318" w:hanging="284"/>
              <w:jc w:val="both"/>
              <w:rPr>
                <w:rFonts w:ascii="Times New Roman" w:hAnsi="Times New Roman"/>
                <w:b/>
                <w:color w:val="000000" w:themeColor="text1"/>
              </w:rPr>
            </w:pPr>
            <w:r w:rsidRPr="00945976">
              <w:rPr>
                <w:rFonts w:ascii="Times New Roman" w:hAnsi="Times New Roman"/>
                <w:b/>
                <w:color w:val="000000" w:themeColor="text1"/>
              </w:rPr>
              <w:t xml:space="preserve"> Zmiana obciążeń regulacyjnych (w tym obowiązków informacyjnych) wynikających z projektu</w:t>
            </w:r>
          </w:p>
        </w:tc>
      </w:tr>
      <w:tr w:rsidR="00137CF0" w:rsidRPr="00945976" w14:paraId="17D8F5C7" w14:textId="77777777" w:rsidTr="00695F17">
        <w:trPr>
          <w:gridAfter w:val="1"/>
          <w:wAfter w:w="10" w:type="dxa"/>
          <w:trHeight w:val="151"/>
        </w:trPr>
        <w:tc>
          <w:tcPr>
            <w:tcW w:w="10937" w:type="dxa"/>
            <w:gridSpan w:val="23"/>
            <w:shd w:val="clear" w:color="auto" w:fill="FFFFFF"/>
          </w:tcPr>
          <w:p w14:paraId="35EB1D8A"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spacing w:val="-2"/>
                </w:rPr>
                <w:id w:val="1930998347"/>
                <w14:checkbox>
                  <w14:checked w14:val="0"/>
                  <w14:checkedState w14:val="2612" w14:font="MS Gothic"/>
                  <w14:uncheckedState w14:val="2610" w14:font="MS Gothic"/>
                </w14:checkbox>
              </w:sdtPr>
              <w:sdtEndPr/>
              <w:sdtContent>
                <w:r w:rsidR="00AC7BAF">
                  <w:rPr>
                    <w:rFonts w:ascii="MS Gothic" w:eastAsia="MS Gothic" w:hAnsi="MS Gothic" w:hint="eastAsia"/>
                    <w:color w:val="000000" w:themeColor="text1"/>
                    <w:spacing w:val="-2"/>
                  </w:rPr>
                  <w:t>☐</w:t>
                </w:r>
              </w:sdtContent>
            </w:sdt>
            <w:r w:rsidR="00137CF0" w:rsidRPr="00945976">
              <w:rPr>
                <w:rFonts w:ascii="Times New Roman" w:hAnsi="Times New Roman"/>
                <w:color w:val="000000" w:themeColor="text1"/>
                <w:spacing w:val="-2"/>
              </w:rPr>
              <w:t xml:space="preserve"> nie dotyczy</w:t>
            </w:r>
          </w:p>
        </w:tc>
      </w:tr>
      <w:tr w:rsidR="00137CF0" w:rsidRPr="00945976" w14:paraId="4F945C23" w14:textId="77777777" w:rsidTr="00AC7BAF">
        <w:trPr>
          <w:gridAfter w:val="1"/>
          <w:wAfter w:w="10" w:type="dxa"/>
          <w:trHeight w:val="946"/>
        </w:trPr>
        <w:tc>
          <w:tcPr>
            <w:tcW w:w="4282" w:type="dxa"/>
            <w:gridSpan w:val="7"/>
            <w:shd w:val="clear" w:color="auto" w:fill="FFFFFF"/>
          </w:tcPr>
          <w:p w14:paraId="79598112" w14:textId="77777777" w:rsidR="00137CF0" w:rsidRPr="00945976" w:rsidRDefault="00137CF0" w:rsidP="00137CF0">
            <w:pPr>
              <w:spacing w:after="120" w:line="240" w:lineRule="auto"/>
              <w:rPr>
                <w:rFonts w:ascii="Times New Roman" w:hAnsi="Times New Roman"/>
                <w:color w:val="000000" w:themeColor="text1"/>
                <w:spacing w:val="-2"/>
              </w:rPr>
            </w:pPr>
            <w:r w:rsidRPr="00945976">
              <w:rPr>
                <w:rFonts w:ascii="Times New Roman" w:hAnsi="Times New Roman"/>
                <w:color w:val="000000" w:themeColor="text1"/>
                <w:spacing w:val="-2"/>
              </w:rPr>
              <w:t xml:space="preserve">Wprowadzane są obciążenia poza bezwzględnie wymaganymi przez UE </w:t>
            </w:r>
            <w:r w:rsidRPr="00945976">
              <w:rPr>
                <w:rFonts w:ascii="Times New Roman" w:hAnsi="Times New Roman"/>
                <w:color w:val="000000" w:themeColor="text1"/>
              </w:rPr>
              <w:t>(szczegóły w odwróconej tabeli zgodności).</w:t>
            </w:r>
          </w:p>
        </w:tc>
        <w:tc>
          <w:tcPr>
            <w:tcW w:w="6655" w:type="dxa"/>
            <w:gridSpan w:val="16"/>
            <w:shd w:val="clear" w:color="auto" w:fill="FFFFFF"/>
          </w:tcPr>
          <w:p w14:paraId="79B98F10"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rPr>
                <w:id w:val="-501432790"/>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tak</w:t>
            </w:r>
          </w:p>
          <w:p w14:paraId="5EB25F02"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rPr>
                <w:id w:val="-1774005171"/>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nie</w:t>
            </w:r>
          </w:p>
          <w:p w14:paraId="7BF3B5DA"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rPr>
                <w:id w:val="351533669"/>
                <w14:checkbox>
                  <w14:checked w14:val="1"/>
                  <w14:checkedState w14:val="2612" w14:font="MS Gothic"/>
                  <w14:uncheckedState w14:val="2610" w14:font="MS Gothic"/>
                </w14:checkbox>
              </w:sdtPr>
              <w:sdtEndPr/>
              <w:sdtContent>
                <w:r w:rsidR="00137CF0">
                  <w:rPr>
                    <w:rFonts w:ascii="MS Gothic" w:eastAsia="MS Gothic" w:hAnsi="MS Gothic" w:hint="eastAsia"/>
                    <w:color w:val="000000" w:themeColor="text1"/>
                  </w:rPr>
                  <w:t>☒</w:t>
                </w:r>
              </w:sdtContent>
            </w:sdt>
            <w:r w:rsidR="00137CF0" w:rsidRPr="00945976">
              <w:rPr>
                <w:rFonts w:ascii="Times New Roman" w:hAnsi="Times New Roman"/>
                <w:color w:val="000000" w:themeColor="text1"/>
              </w:rPr>
              <w:t xml:space="preserve"> nie dotyczy</w:t>
            </w:r>
          </w:p>
        </w:tc>
      </w:tr>
      <w:tr w:rsidR="00137CF0" w:rsidRPr="00945976" w14:paraId="203F4AEA" w14:textId="77777777" w:rsidTr="00AC7BAF">
        <w:trPr>
          <w:gridAfter w:val="1"/>
          <w:wAfter w:w="10" w:type="dxa"/>
          <w:trHeight w:val="1245"/>
        </w:trPr>
        <w:tc>
          <w:tcPr>
            <w:tcW w:w="4282" w:type="dxa"/>
            <w:gridSpan w:val="7"/>
            <w:shd w:val="clear" w:color="auto" w:fill="FFFFFF"/>
          </w:tcPr>
          <w:p w14:paraId="099F92F2"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spacing w:val="-2"/>
                </w:rPr>
                <w:id w:val="-1646118103"/>
                <w14:checkbox>
                  <w14:checked w14:val="1"/>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zmniejszenie liczby dokumentów </w:t>
            </w:r>
          </w:p>
          <w:p w14:paraId="49D4F46D"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spacing w:val="-2"/>
                </w:rPr>
                <w:id w:val="1876505849"/>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zmniejszenie liczby procedur</w:t>
            </w:r>
          </w:p>
          <w:p w14:paraId="09B1E161"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spacing w:val="-2"/>
                </w:rPr>
                <w:id w:val="-2082051990"/>
                <w14:checkbox>
                  <w14:checked w14:val="1"/>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skrócenie czasu na załatwienie sprawy</w:t>
            </w:r>
          </w:p>
          <w:p w14:paraId="081FE94F" w14:textId="77777777" w:rsidR="00137CF0" w:rsidRPr="00945976" w:rsidRDefault="004A33A4" w:rsidP="00137CF0">
            <w:pPr>
              <w:spacing w:after="120" w:line="240" w:lineRule="auto"/>
              <w:rPr>
                <w:rFonts w:ascii="Times New Roman" w:hAnsi="Times New Roman"/>
                <w:b/>
                <w:color w:val="000000" w:themeColor="text1"/>
                <w:spacing w:val="-2"/>
              </w:rPr>
            </w:pPr>
            <w:sdt>
              <w:sdtPr>
                <w:rPr>
                  <w:rFonts w:ascii="Times New Roman" w:hAnsi="Times New Roman"/>
                  <w:color w:val="000000" w:themeColor="text1"/>
                  <w:spacing w:val="-2"/>
                </w:rPr>
                <w:id w:val="2112540246"/>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inne:</w:t>
            </w:r>
            <w:r w:rsidR="00137CF0" w:rsidRPr="00945976">
              <w:rPr>
                <w:rFonts w:ascii="Times New Roman" w:hAnsi="Times New Roman"/>
                <w:color w:val="000000" w:themeColor="text1"/>
              </w:rPr>
              <w:t xml:space="preserve"> …</w:t>
            </w:r>
          </w:p>
        </w:tc>
        <w:tc>
          <w:tcPr>
            <w:tcW w:w="6655" w:type="dxa"/>
            <w:gridSpan w:val="16"/>
            <w:shd w:val="clear" w:color="auto" w:fill="FFFFFF"/>
          </w:tcPr>
          <w:p w14:paraId="4B462F79"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spacing w:val="-2"/>
                </w:rPr>
                <w:id w:val="2104995084"/>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zwiększenie liczby dokumentów</w:t>
            </w:r>
          </w:p>
          <w:p w14:paraId="5E982280"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rPr>
                <w:id w:val="762415844"/>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w:t>
            </w:r>
            <w:r w:rsidR="00137CF0" w:rsidRPr="00945976">
              <w:rPr>
                <w:rFonts w:ascii="Times New Roman" w:hAnsi="Times New Roman"/>
                <w:color w:val="000000" w:themeColor="text1"/>
                <w:spacing w:val="-2"/>
              </w:rPr>
              <w:t>zwiększenie liczby procedur</w:t>
            </w:r>
          </w:p>
          <w:p w14:paraId="0D7077C6"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spacing w:val="-2"/>
                </w:rPr>
                <w:id w:val="-357036351"/>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wydłużenie czasu na załatwienie sprawy</w:t>
            </w:r>
          </w:p>
          <w:p w14:paraId="2EAF904B"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spacing w:val="-2"/>
                </w:rPr>
                <w:id w:val="1149557140"/>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inne:</w:t>
            </w:r>
            <w:r w:rsidR="00137CF0" w:rsidRPr="00945976">
              <w:rPr>
                <w:rFonts w:ascii="Times New Roman" w:hAnsi="Times New Roman"/>
                <w:color w:val="000000" w:themeColor="text1"/>
              </w:rPr>
              <w:t xml:space="preserve"> …</w:t>
            </w:r>
          </w:p>
        </w:tc>
      </w:tr>
      <w:tr w:rsidR="00137CF0" w:rsidRPr="00945976" w14:paraId="1884478E" w14:textId="77777777" w:rsidTr="00AC7BAF">
        <w:trPr>
          <w:gridAfter w:val="1"/>
          <w:wAfter w:w="10" w:type="dxa"/>
          <w:trHeight w:val="870"/>
        </w:trPr>
        <w:tc>
          <w:tcPr>
            <w:tcW w:w="4282" w:type="dxa"/>
            <w:gridSpan w:val="7"/>
            <w:shd w:val="clear" w:color="auto" w:fill="FFFFFF"/>
          </w:tcPr>
          <w:p w14:paraId="3729B94B"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spacing w:val="-2"/>
              </w:rPr>
              <w:t xml:space="preserve">Wprowadzane obciążenia są przystosowane do ich elektronizacji. </w:t>
            </w:r>
          </w:p>
        </w:tc>
        <w:tc>
          <w:tcPr>
            <w:tcW w:w="6655" w:type="dxa"/>
            <w:gridSpan w:val="16"/>
            <w:shd w:val="clear" w:color="auto" w:fill="FFFFFF"/>
          </w:tcPr>
          <w:p w14:paraId="56B63442"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rPr>
                <w:id w:val="297268939"/>
                <w14:checkbox>
                  <w14:checked w14:val="1"/>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tak</w:t>
            </w:r>
          </w:p>
          <w:p w14:paraId="26FFA2CB"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rPr>
                <w:id w:val="-1887021666"/>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nie</w:t>
            </w:r>
          </w:p>
          <w:p w14:paraId="3814FEEB"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rPr>
                <w:id w:val="1904862519"/>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nie dotyczy</w:t>
            </w:r>
          </w:p>
        </w:tc>
      </w:tr>
      <w:tr w:rsidR="00137CF0" w:rsidRPr="00945976" w14:paraId="0975A5B1" w14:textId="77777777" w:rsidTr="00695F17">
        <w:trPr>
          <w:gridAfter w:val="1"/>
          <w:wAfter w:w="10" w:type="dxa"/>
          <w:trHeight w:val="630"/>
        </w:trPr>
        <w:tc>
          <w:tcPr>
            <w:tcW w:w="10937" w:type="dxa"/>
            <w:gridSpan w:val="23"/>
            <w:shd w:val="clear" w:color="auto" w:fill="FFFFFF"/>
          </w:tcPr>
          <w:p w14:paraId="25B9BF52" w14:textId="77777777" w:rsidR="00452CDE" w:rsidRDefault="00137CF0" w:rsidP="00137CF0">
            <w:pPr>
              <w:spacing w:after="120" w:line="240" w:lineRule="auto"/>
              <w:jc w:val="both"/>
              <w:rPr>
                <w:rFonts w:ascii="Times New Roman" w:hAnsi="Times New Roman"/>
                <w:color w:val="000000" w:themeColor="text1"/>
              </w:rPr>
            </w:pPr>
            <w:r w:rsidRPr="00945976">
              <w:rPr>
                <w:rFonts w:ascii="Times New Roman" w:hAnsi="Times New Roman"/>
                <w:color w:val="000000" w:themeColor="text1"/>
              </w:rPr>
              <w:t xml:space="preserve">Komentarz: </w:t>
            </w:r>
          </w:p>
          <w:p w14:paraId="61ED711F" w14:textId="77777777" w:rsidR="00452CDE" w:rsidRPr="00452CDE" w:rsidRDefault="00137CF0" w:rsidP="007E1AC5">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rPr>
              <w:t xml:space="preserve">Wprowadzenie obowiązku wystawiania dokumentów TAX FREE z zastosowaniem </w:t>
            </w:r>
            <w:r w:rsidRPr="00945976">
              <w:rPr>
                <w:rFonts w:ascii="Times New Roman" w:hAnsi="Times New Roman"/>
                <w:color w:val="000000" w:themeColor="text1"/>
                <w:spacing w:val="-2"/>
              </w:rPr>
              <w:t>elektronicznego systemu TAX FREE na Platformie Usług Elektronicznych Skarbowo – Celnych (PUESC) spowoduje zmniejszenie liczby dokumentów w formie papierowej, skrócenie czasu związanego z obiegiem dokumentów TAX FREE oraz wprowadzi wiele korzystnych zmian dla</w:t>
            </w:r>
            <w:r w:rsidR="000D4806">
              <w:rPr>
                <w:rFonts w:ascii="Times New Roman" w:hAnsi="Times New Roman"/>
                <w:color w:val="000000" w:themeColor="text1"/>
                <w:spacing w:val="-2"/>
              </w:rPr>
              <w:t> </w:t>
            </w:r>
            <w:r w:rsidRPr="00945976">
              <w:rPr>
                <w:rFonts w:ascii="Times New Roman" w:hAnsi="Times New Roman"/>
                <w:color w:val="000000" w:themeColor="text1"/>
                <w:spacing w:val="-2"/>
              </w:rPr>
              <w:t>przedsiębiorców, podróżnych oraz budżetu państwa.</w:t>
            </w:r>
            <w:r w:rsidR="00452CDE">
              <w:rPr>
                <w:rFonts w:ascii="Times New Roman" w:hAnsi="Times New Roman"/>
                <w:color w:val="000000" w:themeColor="text1"/>
                <w:spacing w:val="-2"/>
              </w:rPr>
              <w:t xml:space="preserve"> </w:t>
            </w:r>
            <w:r w:rsidR="00452CDE" w:rsidRPr="00452CDE">
              <w:rPr>
                <w:rFonts w:ascii="Times New Roman" w:hAnsi="Times New Roman"/>
                <w:color w:val="000000" w:themeColor="text1"/>
                <w:spacing w:val="-2"/>
              </w:rPr>
              <w:t xml:space="preserve">Zmiany </w:t>
            </w:r>
            <w:r w:rsidR="00452CDE">
              <w:rPr>
                <w:rFonts w:ascii="Times New Roman" w:hAnsi="Times New Roman"/>
                <w:color w:val="000000" w:themeColor="text1"/>
                <w:spacing w:val="-2"/>
              </w:rPr>
              <w:t xml:space="preserve">w systemie TAX FREE </w:t>
            </w:r>
            <w:r w:rsidR="00452CDE" w:rsidRPr="00452CDE">
              <w:rPr>
                <w:rFonts w:ascii="Times New Roman" w:hAnsi="Times New Roman"/>
                <w:color w:val="000000" w:themeColor="text1"/>
                <w:spacing w:val="-2"/>
              </w:rPr>
              <w:t>umożliwią skrócenie czasu/ przyspieszenie zwrotu podatku podróżnym w formie bezgotówkowej. W kwestii natomiast nakładania na podmioty nowych obowiązków to jest  obowiązek dokonania rejestracji na Platformie Usług Elektroniczn</w:t>
            </w:r>
            <w:r w:rsidR="000D4806">
              <w:rPr>
                <w:rFonts w:ascii="Times New Roman" w:hAnsi="Times New Roman"/>
                <w:color w:val="000000" w:themeColor="text1"/>
                <w:spacing w:val="-2"/>
              </w:rPr>
              <w:t>ych Skarbowo-Celnych (PUESC) do </w:t>
            </w:r>
            <w:r w:rsidR="00452CDE" w:rsidRPr="00452CDE">
              <w:rPr>
                <w:rFonts w:ascii="Times New Roman" w:hAnsi="Times New Roman"/>
                <w:color w:val="000000" w:themeColor="text1"/>
                <w:spacing w:val="-2"/>
              </w:rPr>
              <w:t>systemu TAX FREE dla wszystkich sprzedawców uczestniczących w tym systemie również tych</w:t>
            </w:r>
            <w:r w:rsidR="000D4806">
              <w:rPr>
                <w:rFonts w:ascii="Times New Roman" w:hAnsi="Times New Roman"/>
                <w:color w:val="000000" w:themeColor="text1"/>
                <w:spacing w:val="-2"/>
              </w:rPr>
              <w:t>, którzy już obecnie są w </w:t>
            </w:r>
            <w:r w:rsidR="00452CDE" w:rsidRPr="00452CDE">
              <w:rPr>
                <w:rFonts w:ascii="Times New Roman" w:hAnsi="Times New Roman"/>
                <w:color w:val="000000" w:themeColor="text1"/>
                <w:spacing w:val="-2"/>
              </w:rPr>
              <w:t xml:space="preserve">tym systemie.  </w:t>
            </w:r>
          </w:p>
          <w:p w14:paraId="6D19A546" w14:textId="77777777" w:rsidR="00452CDE" w:rsidRDefault="00452CDE" w:rsidP="00452CDE">
            <w:pPr>
              <w:spacing w:after="120" w:line="240" w:lineRule="auto"/>
              <w:jc w:val="both"/>
              <w:rPr>
                <w:rFonts w:ascii="Times New Roman" w:hAnsi="Times New Roman"/>
                <w:color w:val="000000" w:themeColor="text1"/>
              </w:rPr>
            </w:pPr>
            <w:r w:rsidRPr="00607B50">
              <w:rPr>
                <w:rFonts w:ascii="Times New Roman" w:hAnsi="Times New Roman"/>
                <w:color w:val="000000" w:themeColor="text1"/>
              </w:rPr>
              <w:t>Wprowadzane zmiany w zakresie mechanizmu podzielonej płatności</w:t>
            </w:r>
            <w:r>
              <w:rPr>
                <w:rFonts w:ascii="Times New Roman" w:hAnsi="Times New Roman"/>
                <w:color w:val="000000" w:themeColor="text1"/>
              </w:rPr>
              <w:t xml:space="preserve"> jak też </w:t>
            </w:r>
            <w:r w:rsidRPr="00607B50">
              <w:rPr>
                <w:rFonts w:ascii="Times New Roman" w:hAnsi="Times New Roman"/>
                <w:color w:val="000000" w:themeColor="text1"/>
              </w:rPr>
              <w:t>przełożenia symboli PKWiU 2008 na symbole PKWiU 2015 w załączniku nr 15 do ustawy o VAT</w:t>
            </w:r>
            <w:r>
              <w:rPr>
                <w:rFonts w:ascii="Times New Roman" w:hAnsi="Times New Roman"/>
                <w:color w:val="000000" w:themeColor="text1"/>
              </w:rPr>
              <w:t xml:space="preserve"> </w:t>
            </w:r>
            <w:r w:rsidR="00CF36BD">
              <w:rPr>
                <w:rFonts w:ascii="Times New Roman" w:hAnsi="Times New Roman"/>
                <w:color w:val="000000" w:themeColor="text1"/>
              </w:rPr>
              <w:t>i w przepisach dotyczących wyłącze</w:t>
            </w:r>
            <w:r w:rsidR="000D4806">
              <w:rPr>
                <w:rFonts w:ascii="Times New Roman" w:hAnsi="Times New Roman"/>
                <w:color w:val="000000" w:themeColor="text1"/>
              </w:rPr>
              <w:t>nia z możliwości korzystania ze </w:t>
            </w:r>
            <w:r w:rsidR="00CF36BD">
              <w:rPr>
                <w:rFonts w:ascii="Times New Roman" w:hAnsi="Times New Roman"/>
                <w:color w:val="000000" w:themeColor="text1"/>
              </w:rPr>
              <w:t>zwolnienia podmiotowego podatników dokonujących dostaw towarów, o których mowa w art. 113 ust. 13 pkt</w:t>
            </w:r>
            <w:r w:rsidR="000D4806">
              <w:rPr>
                <w:rFonts w:ascii="Times New Roman" w:hAnsi="Times New Roman"/>
                <w:color w:val="000000" w:themeColor="text1"/>
              </w:rPr>
              <w:t xml:space="preserve"> 1 lit. f  i </w:t>
            </w:r>
            <w:r w:rsidR="00CF36BD">
              <w:rPr>
                <w:rFonts w:ascii="Times New Roman" w:hAnsi="Times New Roman"/>
                <w:color w:val="000000" w:themeColor="text1"/>
              </w:rPr>
              <w:t>g</w:t>
            </w:r>
            <w:r w:rsidR="000D4806">
              <w:rPr>
                <w:rFonts w:ascii="Times New Roman" w:hAnsi="Times New Roman"/>
                <w:color w:val="000000" w:themeColor="text1"/>
              </w:rPr>
              <w:t xml:space="preserve"> ustawy o VAT</w:t>
            </w:r>
            <w:r w:rsidR="00CF36BD">
              <w:rPr>
                <w:rFonts w:ascii="Times New Roman" w:hAnsi="Times New Roman"/>
                <w:color w:val="000000" w:themeColor="text1"/>
              </w:rPr>
              <w:t>, a także zmiany dotyczące</w:t>
            </w:r>
            <w:r w:rsidR="00D55B33">
              <w:rPr>
                <w:rFonts w:ascii="Times New Roman" w:hAnsi="Times New Roman"/>
                <w:color w:val="000000" w:themeColor="text1"/>
              </w:rPr>
              <w:t xml:space="preserve"> </w:t>
            </w:r>
            <w:r w:rsidR="00CF36BD">
              <w:rPr>
                <w:rFonts w:ascii="Times New Roman" w:hAnsi="Times New Roman"/>
                <w:color w:val="000000" w:themeColor="text1"/>
              </w:rPr>
              <w:t xml:space="preserve">white listy, </w:t>
            </w:r>
            <w:r>
              <w:rPr>
                <w:rFonts w:ascii="Times New Roman" w:hAnsi="Times New Roman"/>
                <w:color w:val="000000" w:themeColor="text1"/>
              </w:rPr>
              <w:t xml:space="preserve">nie generują nowych obciążeń dla przedsiębiorców. </w:t>
            </w:r>
          </w:p>
          <w:p w14:paraId="0BE667AB" w14:textId="77777777" w:rsidR="00452CDE" w:rsidRDefault="00452CDE" w:rsidP="00452CDE">
            <w:pPr>
              <w:spacing w:after="120" w:line="240" w:lineRule="auto"/>
              <w:jc w:val="both"/>
              <w:rPr>
                <w:rFonts w:ascii="Times New Roman" w:hAnsi="Times New Roman"/>
                <w:color w:val="000000" w:themeColor="text1"/>
              </w:rPr>
            </w:pPr>
            <w:r>
              <w:rPr>
                <w:rFonts w:ascii="Times New Roman" w:hAnsi="Times New Roman"/>
                <w:color w:val="000000" w:themeColor="text1"/>
              </w:rPr>
              <w:t xml:space="preserve">Rezygnacja z </w:t>
            </w:r>
            <w:r w:rsidRPr="002E16E0">
              <w:rPr>
                <w:rFonts w:ascii="Times New Roman" w:hAnsi="Times New Roman"/>
                <w:color w:val="000000" w:themeColor="text1"/>
              </w:rPr>
              <w:t>konieczności uzyskiwania potwierdzeń odbioru faktur korygujących „in minus” jako warunku dla pomniejszenia</w:t>
            </w:r>
            <w:r w:rsidR="00EC2F25">
              <w:rPr>
                <w:rFonts w:ascii="Times New Roman" w:hAnsi="Times New Roman"/>
                <w:color w:val="000000" w:themeColor="text1"/>
              </w:rPr>
              <w:t xml:space="preserve"> podstawy opodatkowania i</w:t>
            </w:r>
            <w:r w:rsidRPr="002E16E0">
              <w:rPr>
                <w:rFonts w:ascii="Times New Roman" w:hAnsi="Times New Roman"/>
                <w:color w:val="000000" w:themeColor="text1"/>
              </w:rPr>
              <w:t xml:space="preserve"> podatku należnego</w:t>
            </w:r>
            <w:r>
              <w:t xml:space="preserve"> </w:t>
            </w:r>
            <w:r w:rsidRPr="002E16E0">
              <w:rPr>
                <w:rFonts w:ascii="Times New Roman" w:hAnsi="Times New Roman"/>
                <w:color w:val="000000" w:themeColor="text1"/>
              </w:rPr>
              <w:t>spowoduje brak konieczności gromadzenia potwierdzeń otrzymania faktury korygującej oraz oczekiwania na ich dostarczenie.</w:t>
            </w:r>
            <w:r>
              <w:rPr>
                <w:rFonts w:ascii="Times New Roman" w:hAnsi="Times New Roman"/>
                <w:color w:val="000000" w:themeColor="text1"/>
              </w:rPr>
              <w:t xml:space="preserve"> Zmiana </w:t>
            </w:r>
            <w:r w:rsidR="000D4806">
              <w:rPr>
                <w:rFonts w:ascii="Times New Roman" w:hAnsi="Times New Roman"/>
                <w:color w:val="000000" w:themeColor="text1"/>
              </w:rPr>
              <w:t xml:space="preserve">jest </w:t>
            </w:r>
            <w:r w:rsidRPr="002E16E0">
              <w:rPr>
                <w:rFonts w:ascii="Times New Roman" w:hAnsi="Times New Roman"/>
                <w:color w:val="000000" w:themeColor="text1"/>
              </w:rPr>
              <w:t>istotna przede wszystkim dla tych podatników, u których okres oczekiwania na potwierdzenia odbioru faktur korygujących jest wydłużony.</w:t>
            </w:r>
          </w:p>
          <w:p w14:paraId="2123BAB4" w14:textId="02A36918" w:rsidR="00452CDE" w:rsidRDefault="00452CDE" w:rsidP="00452CDE">
            <w:pPr>
              <w:spacing w:after="120" w:line="240" w:lineRule="auto"/>
              <w:jc w:val="both"/>
              <w:rPr>
                <w:rFonts w:ascii="Times New Roman" w:hAnsi="Times New Roman"/>
                <w:color w:val="000000" w:themeColor="text1"/>
              </w:rPr>
            </w:pPr>
            <w:r>
              <w:rPr>
                <w:rFonts w:ascii="Times New Roman" w:hAnsi="Times New Roman"/>
                <w:color w:val="000000" w:themeColor="text1"/>
              </w:rPr>
              <w:t>Wprowadzenie opcjonalnego rozwiązania w zakresie spójnych kursów</w:t>
            </w:r>
            <w:r w:rsidRPr="00A8513B">
              <w:rPr>
                <w:rFonts w:ascii="Times New Roman" w:hAnsi="Times New Roman"/>
                <w:color w:val="000000" w:themeColor="text1"/>
              </w:rPr>
              <w:t xml:space="preserve"> walut dla celów rozliczeń VAT i podatku dochodowego</w:t>
            </w:r>
            <w:r>
              <w:rPr>
                <w:rFonts w:ascii="Times New Roman" w:hAnsi="Times New Roman"/>
                <w:color w:val="000000" w:themeColor="text1"/>
              </w:rPr>
              <w:t xml:space="preserve"> </w:t>
            </w:r>
            <w:r w:rsidRPr="00A8513B">
              <w:rPr>
                <w:rFonts w:ascii="Times New Roman" w:hAnsi="Times New Roman"/>
                <w:color w:val="000000" w:themeColor="text1"/>
              </w:rPr>
              <w:t>oznacza uproszczenie dla podatników zasad stosowania kursów do przeliczenia podstawy opodatkowania wyrażonej w walucie obcej.</w:t>
            </w:r>
            <w:r>
              <w:t xml:space="preserve"> </w:t>
            </w:r>
            <w:r w:rsidRPr="00A8513B">
              <w:rPr>
                <w:rFonts w:ascii="Times New Roman" w:hAnsi="Times New Roman"/>
                <w:color w:val="000000" w:themeColor="text1"/>
              </w:rPr>
              <w:t xml:space="preserve">Ze względu na charakter upraszczający zmiany nie nakłada się na podatników dodatkowych obowiązków informacyjnych związanych ze zmianą zasad przeliczania kursów walut. </w:t>
            </w:r>
          </w:p>
          <w:p w14:paraId="72BE4BFA" w14:textId="77777777" w:rsidR="00452CDE" w:rsidRPr="00945976" w:rsidRDefault="00452CDE" w:rsidP="000D4806">
            <w:pPr>
              <w:spacing w:after="120" w:line="240" w:lineRule="auto"/>
              <w:jc w:val="both"/>
              <w:rPr>
                <w:rFonts w:ascii="Times New Roman" w:hAnsi="Times New Roman"/>
                <w:color w:val="000000" w:themeColor="text1"/>
              </w:rPr>
            </w:pPr>
            <w:r w:rsidRPr="00482492">
              <w:rPr>
                <w:rFonts w:ascii="Times New Roman" w:hAnsi="Times New Roman"/>
                <w:color w:val="000000" w:themeColor="text1"/>
              </w:rPr>
              <w:t>Wydłużenie terminu do odliczenia VAT naliczonego na bieżąco łącznie do 4 okresów rozliczeniowych</w:t>
            </w:r>
            <w:r w:rsidR="000D4806">
              <w:rPr>
                <w:rFonts w:ascii="Times New Roman" w:hAnsi="Times New Roman"/>
                <w:color w:val="000000" w:themeColor="text1"/>
              </w:rPr>
              <w:t xml:space="preserve"> w przypadku podatników rozliczających się za okresy miesięczne – w</w:t>
            </w:r>
            <w:r w:rsidRPr="00482492">
              <w:rPr>
                <w:rFonts w:ascii="Times New Roman" w:hAnsi="Times New Roman"/>
                <w:color w:val="000000" w:themeColor="text1"/>
              </w:rPr>
              <w:t>ydłuży podatnikom rozliczającym się miesięcznie efektywnie czas na dokonanie odliczenia łącznie do 4 miesięcy</w:t>
            </w:r>
            <w:r w:rsidR="00EC2F25">
              <w:rPr>
                <w:rFonts w:ascii="Times New Roman" w:hAnsi="Times New Roman"/>
                <w:color w:val="000000" w:themeColor="text1"/>
              </w:rPr>
              <w:t xml:space="preserve"> bez konieczności dokonywania korekty deklaracji podatkowej za okres rozliczeniowy, w którym powstało u podatnika prawo do odliczenia (np. z otrzymanej faktury dokumentującej nabycie towarów lub usług). </w:t>
            </w:r>
            <w:r w:rsidRPr="00482492">
              <w:rPr>
                <w:rFonts w:ascii="Times New Roman" w:hAnsi="Times New Roman"/>
                <w:color w:val="000000" w:themeColor="text1"/>
              </w:rPr>
              <w:t>W stosunku do podatników rozliczających się kwartalnie rozwiązanie pozo</w:t>
            </w:r>
            <w:r w:rsidR="000D4806">
              <w:rPr>
                <w:rFonts w:ascii="Times New Roman" w:hAnsi="Times New Roman"/>
                <w:color w:val="000000" w:themeColor="text1"/>
              </w:rPr>
              <w:t>staje bez zmian do </w:t>
            </w:r>
            <w:r w:rsidRPr="00482492">
              <w:rPr>
                <w:rFonts w:ascii="Times New Roman" w:hAnsi="Times New Roman"/>
                <w:color w:val="000000" w:themeColor="text1"/>
              </w:rPr>
              <w:t>obowiązującego stanu prawnego.</w:t>
            </w:r>
            <w:r w:rsidR="00EC2F25">
              <w:rPr>
                <w:rFonts w:ascii="Times New Roman" w:hAnsi="Times New Roman"/>
                <w:color w:val="000000" w:themeColor="text1"/>
              </w:rPr>
              <w:t xml:space="preserve"> </w:t>
            </w:r>
          </w:p>
        </w:tc>
      </w:tr>
      <w:tr w:rsidR="00137CF0" w:rsidRPr="00945976" w14:paraId="2F29994B" w14:textId="77777777" w:rsidTr="00695F17">
        <w:trPr>
          <w:gridAfter w:val="1"/>
          <w:wAfter w:w="10" w:type="dxa"/>
          <w:trHeight w:val="142"/>
        </w:trPr>
        <w:tc>
          <w:tcPr>
            <w:tcW w:w="10937" w:type="dxa"/>
            <w:gridSpan w:val="23"/>
            <w:shd w:val="clear" w:color="auto" w:fill="99CCFF"/>
          </w:tcPr>
          <w:p w14:paraId="01623220" w14:textId="77777777" w:rsidR="00137CF0" w:rsidRPr="00945976" w:rsidRDefault="00137CF0" w:rsidP="00137CF0">
            <w:pPr>
              <w:numPr>
                <w:ilvl w:val="0"/>
                <w:numId w:val="3"/>
              </w:numPr>
              <w:spacing w:after="120" w:line="240" w:lineRule="auto"/>
              <w:jc w:val="both"/>
              <w:rPr>
                <w:rFonts w:ascii="Times New Roman" w:hAnsi="Times New Roman"/>
                <w:b/>
                <w:color w:val="000000" w:themeColor="text1"/>
              </w:rPr>
            </w:pPr>
            <w:r w:rsidRPr="00945976">
              <w:rPr>
                <w:rFonts w:ascii="Times New Roman" w:hAnsi="Times New Roman"/>
                <w:b/>
                <w:color w:val="000000" w:themeColor="text1"/>
              </w:rPr>
              <w:t xml:space="preserve">Wpływ na rynek pracy </w:t>
            </w:r>
          </w:p>
        </w:tc>
      </w:tr>
      <w:tr w:rsidR="00137CF0" w:rsidRPr="00945976" w14:paraId="67BF48DB" w14:textId="77777777" w:rsidTr="00695F17">
        <w:trPr>
          <w:gridAfter w:val="1"/>
          <w:wAfter w:w="10" w:type="dxa"/>
          <w:trHeight w:val="142"/>
        </w:trPr>
        <w:tc>
          <w:tcPr>
            <w:tcW w:w="10937" w:type="dxa"/>
            <w:gridSpan w:val="23"/>
            <w:shd w:val="clear" w:color="auto" w:fill="auto"/>
          </w:tcPr>
          <w:p w14:paraId="69EA9767" w14:textId="77777777" w:rsidR="00137CF0" w:rsidRPr="00945976" w:rsidRDefault="00137CF0" w:rsidP="00137CF0">
            <w:pPr>
              <w:spacing w:after="120" w:line="240" w:lineRule="auto"/>
              <w:jc w:val="both"/>
              <w:rPr>
                <w:rFonts w:ascii="Times New Roman" w:hAnsi="Times New Roman"/>
                <w:color w:val="000000" w:themeColor="text1"/>
              </w:rPr>
            </w:pPr>
            <w:r w:rsidRPr="00945976">
              <w:rPr>
                <w:rFonts w:ascii="Times New Roman" w:hAnsi="Times New Roman"/>
                <w:color w:val="000000" w:themeColor="text1"/>
              </w:rPr>
              <w:t>Charakter proponowanych zmian nie powinien wpływać na zmianę układu funkcjonowania rynku pracy.</w:t>
            </w:r>
          </w:p>
        </w:tc>
      </w:tr>
      <w:tr w:rsidR="00137CF0" w:rsidRPr="00945976" w14:paraId="2D465E59" w14:textId="77777777" w:rsidTr="00695F17">
        <w:trPr>
          <w:gridAfter w:val="1"/>
          <w:wAfter w:w="10" w:type="dxa"/>
          <w:trHeight w:val="142"/>
        </w:trPr>
        <w:tc>
          <w:tcPr>
            <w:tcW w:w="10937" w:type="dxa"/>
            <w:gridSpan w:val="23"/>
            <w:shd w:val="clear" w:color="auto" w:fill="99CCFF"/>
          </w:tcPr>
          <w:p w14:paraId="305AFA70" w14:textId="77777777" w:rsidR="00137CF0" w:rsidRPr="00945976" w:rsidRDefault="00137CF0" w:rsidP="00137CF0">
            <w:pPr>
              <w:numPr>
                <w:ilvl w:val="0"/>
                <w:numId w:val="3"/>
              </w:numPr>
              <w:spacing w:after="120" w:line="240" w:lineRule="auto"/>
              <w:jc w:val="both"/>
              <w:rPr>
                <w:rFonts w:ascii="Times New Roman" w:hAnsi="Times New Roman"/>
                <w:b/>
                <w:color w:val="000000" w:themeColor="text1"/>
              </w:rPr>
            </w:pPr>
            <w:r w:rsidRPr="00945976">
              <w:rPr>
                <w:rFonts w:ascii="Times New Roman" w:hAnsi="Times New Roman"/>
                <w:b/>
                <w:color w:val="000000" w:themeColor="text1"/>
              </w:rPr>
              <w:t>Wpływ na pozostałe obszary</w:t>
            </w:r>
          </w:p>
        </w:tc>
      </w:tr>
      <w:tr w:rsidR="00137CF0" w:rsidRPr="00945976" w14:paraId="59385B72" w14:textId="77777777" w:rsidTr="00695F17">
        <w:trPr>
          <w:gridAfter w:val="1"/>
          <w:wAfter w:w="10" w:type="dxa"/>
          <w:trHeight w:val="1031"/>
        </w:trPr>
        <w:tc>
          <w:tcPr>
            <w:tcW w:w="3432" w:type="dxa"/>
            <w:gridSpan w:val="6"/>
            <w:shd w:val="clear" w:color="auto" w:fill="FFFFFF"/>
          </w:tcPr>
          <w:p w14:paraId="7F9E56FE"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rPr>
                <w:id w:val="365952688"/>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w:t>
            </w:r>
            <w:r w:rsidR="00137CF0" w:rsidRPr="00945976">
              <w:rPr>
                <w:rFonts w:ascii="Times New Roman" w:hAnsi="Times New Roman"/>
                <w:color w:val="000000" w:themeColor="text1"/>
                <w:spacing w:val="-2"/>
              </w:rPr>
              <w:t>środowisko naturalne</w:t>
            </w:r>
          </w:p>
          <w:p w14:paraId="787C463B"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rPr>
                <w:id w:val="-1888785328"/>
                <w14:checkbox>
                  <w14:checked w14:val="1"/>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sytuacja i rozwój regionalny</w:t>
            </w:r>
          </w:p>
          <w:p w14:paraId="529F3E4B"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spacing w:val="-2"/>
                </w:rPr>
                <w:id w:val="366884454"/>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inne: </w:t>
            </w:r>
            <w:r w:rsidR="00137CF0" w:rsidRPr="00945976">
              <w:rPr>
                <w:rFonts w:ascii="Times New Roman" w:hAnsi="Times New Roman"/>
                <w:color w:val="000000" w:themeColor="text1"/>
              </w:rPr>
              <w:t>…</w:t>
            </w:r>
          </w:p>
        </w:tc>
        <w:tc>
          <w:tcPr>
            <w:tcW w:w="3802" w:type="dxa"/>
            <w:gridSpan w:val="9"/>
            <w:shd w:val="clear" w:color="auto" w:fill="FFFFFF"/>
          </w:tcPr>
          <w:p w14:paraId="42259CA3"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spacing w:val="-2"/>
                </w:rPr>
                <w:id w:val="-1170861332"/>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demografia</w:t>
            </w:r>
          </w:p>
          <w:p w14:paraId="37F6E771"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rPr>
                <w:id w:val="1090503991"/>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rPr>
                  <w:t>☐</w:t>
                </w:r>
              </w:sdtContent>
            </w:sdt>
            <w:r w:rsidR="00137CF0" w:rsidRPr="00945976">
              <w:rPr>
                <w:rFonts w:ascii="Times New Roman" w:hAnsi="Times New Roman"/>
                <w:color w:val="000000" w:themeColor="text1"/>
              </w:rPr>
              <w:t xml:space="preserve"> mienie państwowe</w:t>
            </w:r>
          </w:p>
        </w:tc>
        <w:tc>
          <w:tcPr>
            <w:tcW w:w="3703" w:type="dxa"/>
            <w:gridSpan w:val="8"/>
            <w:shd w:val="clear" w:color="auto" w:fill="FFFFFF"/>
          </w:tcPr>
          <w:p w14:paraId="1619A5CE" w14:textId="77777777" w:rsidR="00137CF0" w:rsidRPr="00945976" w:rsidRDefault="004A33A4" w:rsidP="00137CF0">
            <w:pPr>
              <w:spacing w:after="120" w:line="240" w:lineRule="auto"/>
              <w:rPr>
                <w:rFonts w:ascii="Times New Roman" w:hAnsi="Times New Roman"/>
                <w:color w:val="000000" w:themeColor="text1"/>
                <w:spacing w:val="-2"/>
              </w:rPr>
            </w:pPr>
            <w:sdt>
              <w:sdtPr>
                <w:rPr>
                  <w:rFonts w:ascii="Times New Roman" w:hAnsi="Times New Roman"/>
                  <w:color w:val="000000" w:themeColor="text1"/>
                  <w:spacing w:val="-2"/>
                </w:rPr>
                <w:id w:val="1485042436"/>
                <w14:checkbox>
                  <w14:checked w14:val="1"/>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informatyzacja</w:t>
            </w:r>
          </w:p>
          <w:p w14:paraId="70FA9BD0" w14:textId="77777777" w:rsidR="00137CF0" w:rsidRPr="00945976" w:rsidRDefault="004A33A4" w:rsidP="00137CF0">
            <w:pPr>
              <w:spacing w:after="120" w:line="240" w:lineRule="auto"/>
              <w:rPr>
                <w:rFonts w:ascii="Times New Roman" w:hAnsi="Times New Roman"/>
                <w:color w:val="000000" w:themeColor="text1"/>
              </w:rPr>
            </w:pPr>
            <w:sdt>
              <w:sdtPr>
                <w:rPr>
                  <w:rFonts w:ascii="Times New Roman" w:hAnsi="Times New Roman"/>
                  <w:color w:val="000000" w:themeColor="text1"/>
                  <w:spacing w:val="-2"/>
                </w:rPr>
                <w:id w:val="-170105530"/>
                <w14:checkbox>
                  <w14:checked w14:val="0"/>
                  <w14:checkedState w14:val="2612" w14:font="MS Gothic"/>
                  <w14:uncheckedState w14:val="2610" w14:font="MS Gothic"/>
                </w14:checkbox>
              </w:sdtPr>
              <w:sdtEndPr/>
              <w:sdtContent>
                <w:r w:rsidR="00137CF0" w:rsidRPr="00945976">
                  <w:rPr>
                    <w:rFonts w:ascii="Segoe UI Symbol" w:eastAsia="MS Gothic" w:hAnsi="Segoe UI Symbol" w:cs="Segoe UI Symbol"/>
                    <w:color w:val="000000" w:themeColor="text1"/>
                    <w:spacing w:val="-2"/>
                  </w:rPr>
                  <w:t>☐</w:t>
                </w:r>
              </w:sdtContent>
            </w:sdt>
            <w:r w:rsidR="00137CF0" w:rsidRPr="00945976">
              <w:rPr>
                <w:rFonts w:ascii="Times New Roman" w:hAnsi="Times New Roman"/>
                <w:color w:val="000000" w:themeColor="text1"/>
                <w:spacing w:val="-2"/>
              </w:rPr>
              <w:t xml:space="preserve"> zdrowie</w:t>
            </w:r>
          </w:p>
        </w:tc>
      </w:tr>
      <w:tr w:rsidR="00137CF0" w:rsidRPr="00945976" w14:paraId="1F683691" w14:textId="77777777" w:rsidTr="00695F17">
        <w:trPr>
          <w:gridAfter w:val="1"/>
          <w:wAfter w:w="10" w:type="dxa"/>
          <w:trHeight w:val="712"/>
        </w:trPr>
        <w:tc>
          <w:tcPr>
            <w:tcW w:w="1960" w:type="dxa"/>
            <w:gridSpan w:val="3"/>
            <w:shd w:val="clear" w:color="auto" w:fill="FFFFFF"/>
            <w:vAlign w:val="center"/>
          </w:tcPr>
          <w:p w14:paraId="6218F902" w14:textId="77777777" w:rsidR="00137CF0" w:rsidRPr="00945976" w:rsidRDefault="00137CF0" w:rsidP="00137CF0">
            <w:pPr>
              <w:spacing w:after="120" w:line="240" w:lineRule="auto"/>
              <w:rPr>
                <w:rFonts w:ascii="Times New Roman" w:hAnsi="Times New Roman"/>
                <w:color w:val="000000" w:themeColor="text1"/>
              </w:rPr>
            </w:pPr>
            <w:r w:rsidRPr="00945976">
              <w:rPr>
                <w:rFonts w:ascii="Times New Roman" w:hAnsi="Times New Roman"/>
                <w:color w:val="000000" w:themeColor="text1"/>
              </w:rPr>
              <w:t>Omówienie wpływu</w:t>
            </w:r>
          </w:p>
        </w:tc>
        <w:tc>
          <w:tcPr>
            <w:tcW w:w="8977" w:type="dxa"/>
            <w:gridSpan w:val="20"/>
            <w:shd w:val="clear" w:color="auto" w:fill="FFFFFF"/>
            <w:vAlign w:val="center"/>
          </w:tcPr>
          <w:p w14:paraId="73159E56" w14:textId="77777777" w:rsidR="00137CF0" w:rsidRPr="00945976" w:rsidRDefault="00137CF0" w:rsidP="00137CF0">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rPr>
              <w:t xml:space="preserve">Wejście w życie proponowanych zmian, poprzez wprowadzenie ułatwień w stosowaniu systemu TAX FREE oraz przyśpieszenie i uproszczenie zwrotu podatku podróżnym, może pozytywnie wpłynąć na rozwój regionów przygranicznych, dzięki zwiększeniu zainteresowania podróżnych zakupami towarów z zastosowaniem dokumentów TAX FREE </w:t>
            </w:r>
            <w:r w:rsidR="00816EE6">
              <w:rPr>
                <w:rFonts w:ascii="Times New Roman" w:hAnsi="Times New Roman"/>
                <w:color w:val="000000" w:themeColor="text1"/>
              </w:rPr>
              <w:t>i wejściu nowych sprzedawców do </w:t>
            </w:r>
            <w:r w:rsidRPr="00945976">
              <w:rPr>
                <w:rFonts w:ascii="Times New Roman" w:hAnsi="Times New Roman"/>
                <w:color w:val="000000" w:themeColor="text1"/>
              </w:rPr>
              <w:t>systemu. Proponowane zmiany przewidują w pełni elektroniczny obieg dokumentów TAX FREE, rozliczanie podatku i zwrot tego podatku podróżnym.</w:t>
            </w:r>
          </w:p>
        </w:tc>
      </w:tr>
      <w:tr w:rsidR="00137CF0" w:rsidRPr="00945976" w14:paraId="75B004CD" w14:textId="77777777" w:rsidTr="00695F17">
        <w:trPr>
          <w:gridAfter w:val="1"/>
          <w:wAfter w:w="10" w:type="dxa"/>
          <w:trHeight w:val="142"/>
        </w:trPr>
        <w:tc>
          <w:tcPr>
            <w:tcW w:w="10937" w:type="dxa"/>
            <w:gridSpan w:val="23"/>
            <w:shd w:val="clear" w:color="auto" w:fill="99CCFF"/>
          </w:tcPr>
          <w:p w14:paraId="7C020CBF" w14:textId="77777777" w:rsidR="00137CF0" w:rsidRPr="00945976" w:rsidRDefault="00137CF0" w:rsidP="00137CF0">
            <w:pPr>
              <w:numPr>
                <w:ilvl w:val="0"/>
                <w:numId w:val="3"/>
              </w:numPr>
              <w:spacing w:after="120" w:line="240" w:lineRule="auto"/>
              <w:ind w:left="318" w:hanging="284"/>
              <w:jc w:val="both"/>
              <w:rPr>
                <w:rFonts w:ascii="Times New Roman" w:hAnsi="Times New Roman"/>
                <w:b/>
                <w:color w:val="000000" w:themeColor="text1"/>
              </w:rPr>
            </w:pPr>
            <w:r w:rsidRPr="00945976">
              <w:rPr>
                <w:rFonts w:ascii="Times New Roman" w:hAnsi="Times New Roman"/>
                <w:b/>
                <w:color w:val="000000" w:themeColor="text1"/>
                <w:spacing w:val="-2"/>
              </w:rPr>
              <w:t>Planowane wykonanie przepisów aktu prawnego</w:t>
            </w:r>
          </w:p>
        </w:tc>
      </w:tr>
      <w:tr w:rsidR="00137CF0" w:rsidRPr="00945976" w14:paraId="2DA35220" w14:textId="77777777" w:rsidTr="00695F17">
        <w:trPr>
          <w:gridAfter w:val="1"/>
          <w:wAfter w:w="10" w:type="dxa"/>
          <w:trHeight w:val="142"/>
        </w:trPr>
        <w:tc>
          <w:tcPr>
            <w:tcW w:w="10937" w:type="dxa"/>
            <w:gridSpan w:val="23"/>
            <w:shd w:val="clear" w:color="auto" w:fill="FFFFFF"/>
          </w:tcPr>
          <w:p w14:paraId="7CB531C4" w14:textId="77777777" w:rsidR="00137CF0" w:rsidRPr="00945976" w:rsidRDefault="00137CF0" w:rsidP="00137CF0">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t>Zgodnie z projektem ustawa wejdzie w życie z dniem 1 stycznia 2021 r., z wyjątkiem:</w:t>
            </w:r>
          </w:p>
          <w:p w14:paraId="4E4331CD" w14:textId="77777777" w:rsidR="00137CF0" w:rsidRPr="00945976" w:rsidRDefault="00137CF0" w:rsidP="00137CF0">
            <w:pPr>
              <w:pStyle w:val="Akapitzlist"/>
              <w:numPr>
                <w:ilvl w:val="0"/>
                <w:numId w:val="27"/>
              </w:numPr>
              <w:spacing w:after="120" w:line="240" w:lineRule="auto"/>
              <w:contextualSpacing w:val="0"/>
              <w:jc w:val="both"/>
              <w:rPr>
                <w:rFonts w:ascii="Times New Roman" w:hAnsi="Times New Roman"/>
                <w:color w:val="000000" w:themeColor="text1"/>
                <w:spacing w:val="-2"/>
              </w:rPr>
            </w:pPr>
            <w:r w:rsidRPr="00945976">
              <w:rPr>
                <w:rFonts w:ascii="Times New Roman" w:hAnsi="Times New Roman"/>
                <w:color w:val="000000" w:themeColor="text1"/>
                <w:spacing w:val="-2"/>
              </w:rPr>
              <w:t xml:space="preserve">art. 1 pkt </w:t>
            </w:r>
            <w:r>
              <w:rPr>
                <w:rFonts w:ascii="Times New Roman" w:hAnsi="Times New Roman"/>
                <w:color w:val="000000" w:themeColor="text1"/>
                <w:spacing w:val="-2"/>
              </w:rPr>
              <w:t>15</w:t>
            </w:r>
            <w:r w:rsidRPr="00945976">
              <w:rPr>
                <w:rFonts w:ascii="Times New Roman" w:hAnsi="Times New Roman"/>
                <w:color w:val="000000" w:themeColor="text1"/>
                <w:spacing w:val="-2"/>
              </w:rPr>
              <w:t xml:space="preserve"> lit. b, w zakresie przekazywania przy wykorzystaniu STIR informacji o numerach rachunków, o których mowa w art. 119zh pkt 2-9 Ordynacji podatkowej, będących rachunkami rozliczeniowymi, o których mowa w art. 49 ust. 1 pkt 1 ustawy z dnia 29 sierpnia 1997 r. – Prawo bankowe, lub imiennymi rachunkami w spółdzielczej kasie oszczędnościowo-kredytowej, której podmiot jest członkiem, otwartymi w związku z prowadzoną przez członka działalnością gospodarczą do Szefa Krajowej Administracji Skarbowej, który wchodzi w życie z dniem 1 czerwca 2021 r.;</w:t>
            </w:r>
          </w:p>
          <w:p w14:paraId="02DA5A38" w14:textId="77777777" w:rsidR="00137CF0" w:rsidRDefault="00137CF0" w:rsidP="00137CF0">
            <w:pPr>
              <w:pStyle w:val="Akapitzlist"/>
              <w:numPr>
                <w:ilvl w:val="0"/>
                <w:numId w:val="27"/>
              </w:numPr>
              <w:spacing w:after="120" w:line="240" w:lineRule="auto"/>
              <w:contextualSpacing w:val="0"/>
              <w:jc w:val="both"/>
              <w:rPr>
                <w:rFonts w:ascii="Times New Roman" w:hAnsi="Times New Roman"/>
                <w:color w:val="000000" w:themeColor="text1"/>
                <w:spacing w:val="-2"/>
              </w:rPr>
            </w:pPr>
            <w:r w:rsidRPr="00463DE4">
              <w:rPr>
                <w:rFonts w:ascii="Times New Roman" w:hAnsi="Times New Roman"/>
                <w:color w:val="000000" w:themeColor="text1"/>
                <w:spacing w:val="-2"/>
              </w:rPr>
              <w:t xml:space="preserve">art. 1 pkt 1 lit. c, pkt </w:t>
            </w:r>
            <w:r>
              <w:rPr>
                <w:rFonts w:ascii="Times New Roman" w:hAnsi="Times New Roman"/>
                <w:color w:val="000000" w:themeColor="text1"/>
                <w:spacing w:val="-2"/>
              </w:rPr>
              <w:t>23</w:t>
            </w:r>
            <w:r w:rsidRPr="00463DE4">
              <w:rPr>
                <w:rFonts w:ascii="Times New Roman" w:hAnsi="Times New Roman"/>
                <w:color w:val="000000" w:themeColor="text1"/>
                <w:spacing w:val="-2"/>
              </w:rPr>
              <w:t xml:space="preserve"> lit. b</w:t>
            </w:r>
            <w:r>
              <w:rPr>
                <w:rFonts w:ascii="Times New Roman" w:hAnsi="Times New Roman"/>
                <w:color w:val="000000" w:themeColor="text1"/>
                <w:spacing w:val="-2"/>
              </w:rPr>
              <w:t xml:space="preserve"> i lit. c, pkt 28-32 i pkt 34</w:t>
            </w:r>
            <w:r w:rsidRPr="00945976">
              <w:rPr>
                <w:rFonts w:ascii="Times New Roman" w:hAnsi="Times New Roman"/>
                <w:color w:val="000000" w:themeColor="text1"/>
                <w:spacing w:val="-2"/>
              </w:rPr>
              <w:t>, które wchodzą w życie z dniem 1 stycznia 2022 r.;</w:t>
            </w:r>
          </w:p>
          <w:p w14:paraId="0DC3DA88" w14:textId="77777777" w:rsidR="00137CF0" w:rsidRPr="00463DE4" w:rsidRDefault="00137CF0" w:rsidP="00137CF0">
            <w:pPr>
              <w:pStyle w:val="Akapitzlist"/>
              <w:numPr>
                <w:ilvl w:val="0"/>
                <w:numId w:val="27"/>
              </w:numPr>
              <w:spacing w:after="120" w:line="240" w:lineRule="auto"/>
              <w:contextualSpacing w:val="0"/>
              <w:jc w:val="both"/>
              <w:rPr>
                <w:rFonts w:ascii="Times New Roman" w:hAnsi="Times New Roman"/>
                <w:color w:val="000000" w:themeColor="text1"/>
                <w:spacing w:val="-2"/>
              </w:rPr>
            </w:pPr>
            <w:r w:rsidRPr="00463DE4">
              <w:rPr>
                <w:rFonts w:ascii="Times New Roman" w:hAnsi="Times New Roman"/>
                <w:color w:val="000000" w:themeColor="text1"/>
                <w:spacing w:val="-2"/>
              </w:rPr>
              <w:t>art.</w:t>
            </w:r>
            <w:r>
              <w:rPr>
                <w:rFonts w:ascii="Times New Roman" w:hAnsi="Times New Roman"/>
                <w:color w:val="000000" w:themeColor="text1"/>
                <w:spacing w:val="-2"/>
              </w:rPr>
              <w:t xml:space="preserve"> </w:t>
            </w:r>
            <w:r w:rsidRPr="00463DE4">
              <w:rPr>
                <w:rFonts w:ascii="Times New Roman" w:hAnsi="Times New Roman"/>
                <w:color w:val="000000" w:themeColor="text1"/>
                <w:spacing w:val="-2"/>
              </w:rPr>
              <w:t>9, który wejdzie w życie z dniem 1 lipca 2021 r.</w:t>
            </w:r>
          </w:p>
        </w:tc>
      </w:tr>
      <w:tr w:rsidR="00137CF0" w:rsidRPr="00945976" w14:paraId="23AE9238" w14:textId="77777777" w:rsidTr="00695F17">
        <w:trPr>
          <w:gridAfter w:val="1"/>
          <w:wAfter w:w="10" w:type="dxa"/>
          <w:trHeight w:val="142"/>
        </w:trPr>
        <w:tc>
          <w:tcPr>
            <w:tcW w:w="10937" w:type="dxa"/>
            <w:gridSpan w:val="23"/>
            <w:shd w:val="clear" w:color="auto" w:fill="99CCFF"/>
          </w:tcPr>
          <w:p w14:paraId="6D926160" w14:textId="77777777" w:rsidR="00137CF0" w:rsidRPr="00945976" w:rsidRDefault="00137CF0" w:rsidP="00137CF0">
            <w:pPr>
              <w:numPr>
                <w:ilvl w:val="0"/>
                <w:numId w:val="3"/>
              </w:numPr>
              <w:spacing w:after="120" w:line="240" w:lineRule="auto"/>
              <w:ind w:left="318" w:hanging="284"/>
              <w:jc w:val="both"/>
              <w:rPr>
                <w:rFonts w:ascii="Times New Roman" w:hAnsi="Times New Roman"/>
                <w:b/>
                <w:color w:val="000000" w:themeColor="text1"/>
              </w:rPr>
            </w:pPr>
            <w:r w:rsidRPr="00945976">
              <w:rPr>
                <w:rFonts w:ascii="Times New Roman" w:hAnsi="Times New Roman"/>
                <w:b/>
                <w:color w:val="000000" w:themeColor="text1"/>
              </w:rPr>
              <w:t xml:space="preserve"> </w:t>
            </w:r>
            <w:r w:rsidRPr="00945976">
              <w:rPr>
                <w:rFonts w:ascii="Times New Roman" w:hAnsi="Times New Roman"/>
                <w:b/>
                <w:color w:val="000000" w:themeColor="text1"/>
                <w:spacing w:val="-2"/>
              </w:rPr>
              <w:t>W jaki sposób i kiedy nastąpi ewaluacja efektów projektu oraz jakie mierniki zostaną zastosowane?</w:t>
            </w:r>
          </w:p>
        </w:tc>
      </w:tr>
      <w:tr w:rsidR="00137CF0" w:rsidRPr="00945976" w14:paraId="682E3A8B" w14:textId="77777777" w:rsidTr="00695F17">
        <w:trPr>
          <w:gridAfter w:val="1"/>
          <w:wAfter w:w="10" w:type="dxa"/>
          <w:trHeight w:val="142"/>
        </w:trPr>
        <w:tc>
          <w:tcPr>
            <w:tcW w:w="10937" w:type="dxa"/>
            <w:gridSpan w:val="23"/>
            <w:shd w:val="clear" w:color="auto" w:fill="FFFFFF"/>
          </w:tcPr>
          <w:p w14:paraId="7B2C2902" w14:textId="77777777" w:rsidR="000D4806" w:rsidRPr="00945976" w:rsidRDefault="00EC2F25" w:rsidP="000D4806">
            <w:pPr>
              <w:pStyle w:val="Default"/>
              <w:rPr>
                <w:color w:val="000000" w:themeColor="text1"/>
                <w:spacing w:val="-2"/>
              </w:rPr>
            </w:pPr>
            <w:r>
              <w:rPr>
                <w:sz w:val="22"/>
                <w:szCs w:val="22"/>
              </w:rPr>
              <w:t xml:space="preserve">Z uwagi na charakter proponowanych zmian nie przewiduje się ewaluacji projektu. Możliwa ewaluacja efektów projektu będzie dotyczyła funkcjonowania w praktyce wprowadzonych rozwiązań prawnych. </w:t>
            </w:r>
          </w:p>
        </w:tc>
      </w:tr>
      <w:tr w:rsidR="00137CF0" w:rsidRPr="00945976" w14:paraId="2D2FC7E9" w14:textId="77777777" w:rsidTr="00695F17">
        <w:trPr>
          <w:gridAfter w:val="1"/>
          <w:wAfter w:w="10" w:type="dxa"/>
          <w:trHeight w:val="142"/>
        </w:trPr>
        <w:tc>
          <w:tcPr>
            <w:tcW w:w="10937" w:type="dxa"/>
            <w:gridSpan w:val="23"/>
            <w:shd w:val="clear" w:color="auto" w:fill="99CCFF"/>
          </w:tcPr>
          <w:p w14:paraId="5088DA69" w14:textId="77777777" w:rsidR="00137CF0" w:rsidRPr="00945976" w:rsidRDefault="00137CF0" w:rsidP="00137CF0">
            <w:pPr>
              <w:numPr>
                <w:ilvl w:val="0"/>
                <w:numId w:val="3"/>
              </w:numPr>
              <w:spacing w:after="120" w:line="240" w:lineRule="auto"/>
              <w:ind w:left="318" w:hanging="284"/>
              <w:jc w:val="both"/>
              <w:rPr>
                <w:rFonts w:ascii="Times New Roman" w:hAnsi="Times New Roman"/>
                <w:b/>
                <w:color w:val="000000" w:themeColor="text1"/>
                <w:spacing w:val="-2"/>
              </w:rPr>
            </w:pPr>
            <w:r w:rsidRPr="00945976">
              <w:rPr>
                <w:rFonts w:ascii="Times New Roman" w:hAnsi="Times New Roman"/>
                <w:b/>
                <w:color w:val="000000" w:themeColor="text1"/>
                <w:spacing w:val="-2"/>
              </w:rPr>
              <w:t xml:space="preserve">Załączniki (istotne dokumenty źródłowe, badania, analizy itp.) </w:t>
            </w:r>
          </w:p>
        </w:tc>
      </w:tr>
      <w:tr w:rsidR="00137CF0" w:rsidRPr="00945976" w14:paraId="49BB33D8" w14:textId="77777777" w:rsidTr="00695F17">
        <w:trPr>
          <w:gridAfter w:val="1"/>
          <w:wAfter w:w="10" w:type="dxa"/>
          <w:trHeight w:val="142"/>
        </w:trPr>
        <w:tc>
          <w:tcPr>
            <w:tcW w:w="10937" w:type="dxa"/>
            <w:gridSpan w:val="23"/>
            <w:shd w:val="clear" w:color="auto" w:fill="FFFFFF"/>
          </w:tcPr>
          <w:p w14:paraId="1D15005A" w14:textId="77777777" w:rsidR="00137CF0" w:rsidRPr="00945976" w:rsidRDefault="00137CF0" w:rsidP="00137CF0">
            <w:pPr>
              <w:spacing w:after="120" w:line="240" w:lineRule="auto"/>
              <w:jc w:val="both"/>
              <w:rPr>
                <w:rFonts w:ascii="Times New Roman" w:hAnsi="Times New Roman"/>
                <w:color w:val="000000" w:themeColor="text1"/>
                <w:spacing w:val="-2"/>
              </w:rPr>
            </w:pPr>
            <w:r w:rsidRPr="00945976">
              <w:rPr>
                <w:rFonts w:ascii="Times New Roman" w:hAnsi="Times New Roman"/>
                <w:color w:val="000000" w:themeColor="text1"/>
                <w:spacing w:val="-2"/>
              </w:rPr>
              <w:t>Brak</w:t>
            </w:r>
          </w:p>
        </w:tc>
      </w:tr>
    </w:tbl>
    <w:p w14:paraId="2DC0B352" w14:textId="77777777" w:rsidR="006176ED" w:rsidRPr="00945976" w:rsidRDefault="006176ED" w:rsidP="00522CA7">
      <w:pPr>
        <w:spacing w:after="120" w:line="240" w:lineRule="auto"/>
        <w:jc w:val="both"/>
        <w:rPr>
          <w:rFonts w:ascii="Times New Roman" w:hAnsi="Times New Roman"/>
          <w:color w:val="000000" w:themeColor="text1"/>
        </w:rPr>
      </w:pPr>
    </w:p>
    <w:sectPr w:rsidR="006176ED" w:rsidRPr="00945976"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C292" w14:textId="77777777" w:rsidR="007126EF" w:rsidRDefault="007126EF" w:rsidP="00044739">
      <w:pPr>
        <w:spacing w:line="240" w:lineRule="auto"/>
      </w:pPr>
      <w:r>
        <w:separator/>
      </w:r>
    </w:p>
  </w:endnote>
  <w:endnote w:type="continuationSeparator" w:id="0">
    <w:p w14:paraId="1DB8A65F" w14:textId="77777777" w:rsidR="007126EF" w:rsidRDefault="007126EF"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5AF69" w14:textId="77777777" w:rsidR="007126EF" w:rsidRDefault="007126EF" w:rsidP="00044739">
      <w:pPr>
        <w:spacing w:line="240" w:lineRule="auto"/>
      </w:pPr>
      <w:r>
        <w:separator/>
      </w:r>
    </w:p>
  </w:footnote>
  <w:footnote w:type="continuationSeparator" w:id="0">
    <w:p w14:paraId="400B7995" w14:textId="77777777" w:rsidR="007126EF" w:rsidRDefault="007126EF"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E5B5A"/>
    <w:multiLevelType w:val="hybridMultilevel"/>
    <w:tmpl w:val="46D4A65E"/>
    <w:lvl w:ilvl="0" w:tplc="CBAC2BA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273E7"/>
    <w:multiLevelType w:val="hybridMultilevel"/>
    <w:tmpl w:val="5FF83604"/>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74740"/>
    <w:multiLevelType w:val="hybridMultilevel"/>
    <w:tmpl w:val="415243F8"/>
    <w:lvl w:ilvl="0" w:tplc="A32EB7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174B5"/>
    <w:multiLevelType w:val="hybridMultilevel"/>
    <w:tmpl w:val="57AE27D0"/>
    <w:lvl w:ilvl="0" w:tplc="FF005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30778A4"/>
    <w:multiLevelType w:val="hybridMultilevel"/>
    <w:tmpl w:val="279289AC"/>
    <w:lvl w:ilvl="0" w:tplc="4754D51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27EE7"/>
    <w:multiLevelType w:val="hybridMultilevel"/>
    <w:tmpl w:val="07DE3EF0"/>
    <w:lvl w:ilvl="0" w:tplc="C8AE755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91FC7"/>
    <w:multiLevelType w:val="hybridMultilevel"/>
    <w:tmpl w:val="B0D0CDC0"/>
    <w:lvl w:ilvl="0" w:tplc="0102E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2556CD"/>
    <w:multiLevelType w:val="hybridMultilevel"/>
    <w:tmpl w:val="0A943BCA"/>
    <w:lvl w:ilvl="0" w:tplc="06E4ADE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23C28A7"/>
    <w:multiLevelType w:val="hybridMultilevel"/>
    <w:tmpl w:val="3BDA88D0"/>
    <w:lvl w:ilvl="0" w:tplc="09462EC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3F35C43"/>
    <w:multiLevelType w:val="hybridMultilevel"/>
    <w:tmpl w:val="016CCD5C"/>
    <w:lvl w:ilvl="0" w:tplc="BF8AAD9E">
      <w:start w:val="1"/>
      <w:numFmt w:val="upperRoman"/>
      <w:lvlText w:val="%1."/>
      <w:lvlJc w:val="left"/>
      <w:pPr>
        <w:ind w:left="369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A955A98"/>
    <w:multiLevelType w:val="hybridMultilevel"/>
    <w:tmpl w:val="64825E9A"/>
    <w:lvl w:ilvl="0" w:tplc="56C2C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759076A"/>
    <w:multiLevelType w:val="hybridMultilevel"/>
    <w:tmpl w:val="CE509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F6BC4"/>
    <w:multiLevelType w:val="hybridMultilevel"/>
    <w:tmpl w:val="A68A7510"/>
    <w:lvl w:ilvl="0" w:tplc="D6087F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146003"/>
    <w:multiLevelType w:val="multilevel"/>
    <w:tmpl w:val="07DE3EF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BF34EC"/>
    <w:multiLevelType w:val="hybridMultilevel"/>
    <w:tmpl w:val="DB06FBF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15:restartNumberingAfterBreak="0">
    <w:nsid w:val="791D30C8"/>
    <w:multiLevelType w:val="hybridMultilevel"/>
    <w:tmpl w:val="271E2748"/>
    <w:lvl w:ilvl="0" w:tplc="09462EC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3627A3"/>
    <w:multiLevelType w:val="hybridMultilevel"/>
    <w:tmpl w:val="1A48A8B6"/>
    <w:lvl w:ilvl="0" w:tplc="56C2C028">
      <w:start w:val="1"/>
      <w:numFmt w:val="bullet"/>
      <w:lvlText w:val=""/>
      <w:lvlJc w:val="left"/>
      <w:pPr>
        <w:ind w:left="644"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16"/>
  </w:num>
  <w:num w:numId="4">
    <w:abstractNumId w:val="28"/>
  </w:num>
  <w:num w:numId="5">
    <w:abstractNumId w:val="4"/>
  </w:num>
  <w:num w:numId="6">
    <w:abstractNumId w:val="12"/>
  </w:num>
  <w:num w:numId="7">
    <w:abstractNumId w:val="20"/>
  </w:num>
  <w:num w:numId="8">
    <w:abstractNumId w:val="8"/>
  </w:num>
  <w:num w:numId="9">
    <w:abstractNumId w:val="22"/>
  </w:num>
  <w:num w:numId="10">
    <w:abstractNumId w:val="18"/>
  </w:num>
  <w:num w:numId="11">
    <w:abstractNumId w:val="21"/>
  </w:num>
  <w:num w:numId="12">
    <w:abstractNumId w:val="6"/>
  </w:num>
  <w:num w:numId="13">
    <w:abstractNumId w:val="17"/>
  </w:num>
  <w:num w:numId="14">
    <w:abstractNumId w:val="29"/>
  </w:num>
  <w:num w:numId="15">
    <w:abstractNumId w:val="24"/>
  </w:num>
  <w:num w:numId="16">
    <w:abstractNumId w:val="27"/>
  </w:num>
  <w:num w:numId="17">
    <w:abstractNumId w:val="9"/>
  </w:num>
  <w:num w:numId="18">
    <w:abstractNumId w:val="32"/>
  </w:num>
  <w:num w:numId="19">
    <w:abstractNumId w:val="36"/>
  </w:num>
  <w:num w:numId="20">
    <w:abstractNumId w:val="26"/>
  </w:num>
  <w:num w:numId="21">
    <w:abstractNumId w:val="10"/>
  </w:num>
  <w:num w:numId="22">
    <w:abstractNumId w:val="37"/>
  </w:num>
  <w:num w:numId="23">
    <w:abstractNumId w:val="19"/>
  </w:num>
  <w:num w:numId="24">
    <w:abstractNumId w:val="2"/>
  </w:num>
  <w:num w:numId="25">
    <w:abstractNumId w:val="23"/>
  </w:num>
  <w:num w:numId="26">
    <w:abstractNumId w:val="25"/>
  </w:num>
  <w:num w:numId="27">
    <w:abstractNumId w:val="34"/>
  </w:num>
  <w:num w:numId="28">
    <w:abstractNumId w:val="11"/>
  </w:num>
  <w:num w:numId="29">
    <w:abstractNumId w:val="3"/>
  </w:num>
  <w:num w:numId="30">
    <w:abstractNumId w:val="1"/>
  </w:num>
  <w:num w:numId="31">
    <w:abstractNumId w:val="30"/>
  </w:num>
  <w:num w:numId="32">
    <w:abstractNumId w:val="31"/>
  </w:num>
  <w:num w:numId="33">
    <w:abstractNumId w:val="14"/>
  </w:num>
  <w:num w:numId="34">
    <w:abstractNumId w:val="5"/>
  </w:num>
  <w:num w:numId="35">
    <w:abstractNumId w:val="13"/>
  </w:num>
  <w:num w:numId="36">
    <w:abstractNumId w:val="33"/>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1538C"/>
    <w:rsid w:val="00017D07"/>
    <w:rsid w:val="00023836"/>
    <w:rsid w:val="00025CC1"/>
    <w:rsid w:val="00027655"/>
    <w:rsid w:val="000356A9"/>
    <w:rsid w:val="00044138"/>
    <w:rsid w:val="00044739"/>
    <w:rsid w:val="00045AA2"/>
    <w:rsid w:val="00051637"/>
    <w:rsid w:val="0005484D"/>
    <w:rsid w:val="00056681"/>
    <w:rsid w:val="000648A7"/>
    <w:rsid w:val="00065C30"/>
    <w:rsid w:val="0006618B"/>
    <w:rsid w:val="000670C0"/>
    <w:rsid w:val="00071B99"/>
    <w:rsid w:val="000756E5"/>
    <w:rsid w:val="0007704E"/>
    <w:rsid w:val="00080EC8"/>
    <w:rsid w:val="00085288"/>
    <w:rsid w:val="00086A69"/>
    <w:rsid w:val="000937E6"/>
    <w:rsid w:val="000944AC"/>
    <w:rsid w:val="00094CB9"/>
    <w:rsid w:val="000956B2"/>
    <w:rsid w:val="000964A9"/>
    <w:rsid w:val="000969E7"/>
    <w:rsid w:val="000A07A6"/>
    <w:rsid w:val="000A23DE"/>
    <w:rsid w:val="000A4020"/>
    <w:rsid w:val="000A7890"/>
    <w:rsid w:val="000B54FB"/>
    <w:rsid w:val="000C29B0"/>
    <w:rsid w:val="000C5519"/>
    <w:rsid w:val="000C76FC"/>
    <w:rsid w:val="000D2103"/>
    <w:rsid w:val="000D38FC"/>
    <w:rsid w:val="000D4806"/>
    <w:rsid w:val="000D4D90"/>
    <w:rsid w:val="000E2D10"/>
    <w:rsid w:val="000F3204"/>
    <w:rsid w:val="0010548B"/>
    <w:rsid w:val="001072D1"/>
    <w:rsid w:val="00111224"/>
    <w:rsid w:val="00117017"/>
    <w:rsid w:val="001240FC"/>
    <w:rsid w:val="00130E8E"/>
    <w:rsid w:val="0013216E"/>
    <w:rsid w:val="00137CF0"/>
    <w:rsid w:val="001401B5"/>
    <w:rsid w:val="001422B9"/>
    <w:rsid w:val="001449AC"/>
    <w:rsid w:val="0014665F"/>
    <w:rsid w:val="001518CF"/>
    <w:rsid w:val="00153464"/>
    <w:rsid w:val="001541B3"/>
    <w:rsid w:val="00155B15"/>
    <w:rsid w:val="001625BE"/>
    <w:rsid w:val="00164282"/>
    <w:rsid w:val="001643A4"/>
    <w:rsid w:val="00166436"/>
    <w:rsid w:val="001727BB"/>
    <w:rsid w:val="00172A0F"/>
    <w:rsid w:val="001767E1"/>
    <w:rsid w:val="00180D25"/>
    <w:rsid w:val="0018318D"/>
    <w:rsid w:val="00184307"/>
    <w:rsid w:val="0018572C"/>
    <w:rsid w:val="00185AA9"/>
    <w:rsid w:val="00187E79"/>
    <w:rsid w:val="00187F0D"/>
    <w:rsid w:val="00192B8A"/>
    <w:rsid w:val="00192CC5"/>
    <w:rsid w:val="001954AB"/>
    <w:rsid w:val="001956A7"/>
    <w:rsid w:val="00196B98"/>
    <w:rsid w:val="001A118A"/>
    <w:rsid w:val="001A1406"/>
    <w:rsid w:val="001A2613"/>
    <w:rsid w:val="001A27F4"/>
    <w:rsid w:val="001A2D95"/>
    <w:rsid w:val="001B04AA"/>
    <w:rsid w:val="001B3460"/>
    <w:rsid w:val="001B4CA1"/>
    <w:rsid w:val="001B4E7B"/>
    <w:rsid w:val="001B75D8"/>
    <w:rsid w:val="001C004D"/>
    <w:rsid w:val="001C1060"/>
    <w:rsid w:val="001C3C63"/>
    <w:rsid w:val="001C4D58"/>
    <w:rsid w:val="001D4732"/>
    <w:rsid w:val="001D6A3C"/>
    <w:rsid w:val="001D6D51"/>
    <w:rsid w:val="001F068D"/>
    <w:rsid w:val="001F43D8"/>
    <w:rsid w:val="001F653A"/>
    <w:rsid w:val="001F6979"/>
    <w:rsid w:val="00202839"/>
    <w:rsid w:val="00202BC6"/>
    <w:rsid w:val="00203E28"/>
    <w:rsid w:val="00205141"/>
    <w:rsid w:val="0020516B"/>
    <w:rsid w:val="00205CBF"/>
    <w:rsid w:val="00213559"/>
    <w:rsid w:val="00213EFD"/>
    <w:rsid w:val="002172F1"/>
    <w:rsid w:val="00223C7B"/>
    <w:rsid w:val="00224AB1"/>
    <w:rsid w:val="0022687A"/>
    <w:rsid w:val="00230728"/>
    <w:rsid w:val="00232006"/>
    <w:rsid w:val="00232E6C"/>
    <w:rsid w:val="00234040"/>
    <w:rsid w:val="00234DFF"/>
    <w:rsid w:val="00235CD2"/>
    <w:rsid w:val="00236011"/>
    <w:rsid w:val="00245557"/>
    <w:rsid w:val="002528DD"/>
    <w:rsid w:val="00252D61"/>
    <w:rsid w:val="00254DED"/>
    <w:rsid w:val="00255619"/>
    <w:rsid w:val="00255DAD"/>
    <w:rsid w:val="00256108"/>
    <w:rsid w:val="00260C94"/>
    <w:rsid w:val="00260F33"/>
    <w:rsid w:val="002613BD"/>
    <w:rsid w:val="0026155C"/>
    <w:rsid w:val="002624F1"/>
    <w:rsid w:val="00263493"/>
    <w:rsid w:val="00270C81"/>
    <w:rsid w:val="00271558"/>
    <w:rsid w:val="00274862"/>
    <w:rsid w:val="00282D72"/>
    <w:rsid w:val="00283402"/>
    <w:rsid w:val="00285EDF"/>
    <w:rsid w:val="00290FD6"/>
    <w:rsid w:val="00292207"/>
    <w:rsid w:val="00294259"/>
    <w:rsid w:val="00296D34"/>
    <w:rsid w:val="002A295A"/>
    <w:rsid w:val="002A2C81"/>
    <w:rsid w:val="002A3893"/>
    <w:rsid w:val="002A4B61"/>
    <w:rsid w:val="002A7B91"/>
    <w:rsid w:val="002B01B7"/>
    <w:rsid w:val="002B2BF5"/>
    <w:rsid w:val="002B3D1A"/>
    <w:rsid w:val="002B4899"/>
    <w:rsid w:val="002C203F"/>
    <w:rsid w:val="002C27D0"/>
    <w:rsid w:val="002C2C9B"/>
    <w:rsid w:val="002C45AB"/>
    <w:rsid w:val="002C5CE2"/>
    <w:rsid w:val="002D17D6"/>
    <w:rsid w:val="002D18D7"/>
    <w:rsid w:val="002D21CE"/>
    <w:rsid w:val="002E3DA3"/>
    <w:rsid w:val="002E450F"/>
    <w:rsid w:val="002E6ACC"/>
    <w:rsid w:val="002E6B38"/>
    <w:rsid w:val="002E6D63"/>
    <w:rsid w:val="002E6E2B"/>
    <w:rsid w:val="002F4B31"/>
    <w:rsid w:val="002F500B"/>
    <w:rsid w:val="00300991"/>
    <w:rsid w:val="00301959"/>
    <w:rsid w:val="00304650"/>
    <w:rsid w:val="00305B8A"/>
    <w:rsid w:val="00310142"/>
    <w:rsid w:val="00313F38"/>
    <w:rsid w:val="003168C0"/>
    <w:rsid w:val="0032571F"/>
    <w:rsid w:val="00327199"/>
    <w:rsid w:val="0032760A"/>
    <w:rsid w:val="00331BF9"/>
    <w:rsid w:val="00333564"/>
    <w:rsid w:val="0033495E"/>
    <w:rsid w:val="00334A79"/>
    <w:rsid w:val="00334D8D"/>
    <w:rsid w:val="00337345"/>
    <w:rsid w:val="00337DD2"/>
    <w:rsid w:val="003404D1"/>
    <w:rsid w:val="003443FF"/>
    <w:rsid w:val="00355808"/>
    <w:rsid w:val="00355A65"/>
    <w:rsid w:val="003613CF"/>
    <w:rsid w:val="00362C7E"/>
    <w:rsid w:val="00363309"/>
    <w:rsid w:val="00363601"/>
    <w:rsid w:val="00367C4A"/>
    <w:rsid w:val="00367F32"/>
    <w:rsid w:val="00370006"/>
    <w:rsid w:val="00371857"/>
    <w:rsid w:val="00376AC9"/>
    <w:rsid w:val="00386894"/>
    <w:rsid w:val="00393032"/>
    <w:rsid w:val="00394B69"/>
    <w:rsid w:val="00397078"/>
    <w:rsid w:val="003A39A7"/>
    <w:rsid w:val="003A657B"/>
    <w:rsid w:val="003A6953"/>
    <w:rsid w:val="003A6A11"/>
    <w:rsid w:val="003B1816"/>
    <w:rsid w:val="003B426E"/>
    <w:rsid w:val="003B4B3C"/>
    <w:rsid w:val="003B6083"/>
    <w:rsid w:val="003C1AA4"/>
    <w:rsid w:val="003C1DCB"/>
    <w:rsid w:val="003C1F2D"/>
    <w:rsid w:val="003C37BF"/>
    <w:rsid w:val="003C3838"/>
    <w:rsid w:val="003C5847"/>
    <w:rsid w:val="003C7CFD"/>
    <w:rsid w:val="003D0681"/>
    <w:rsid w:val="003D12F6"/>
    <w:rsid w:val="003D1426"/>
    <w:rsid w:val="003D6DD8"/>
    <w:rsid w:val="003E1F71"/>
    <w:rsid w:val="003E2F4E"/>
    <w:rsid w:val="003E720A"/>
    <w:rsid w:val="00403E6E"/>
    <w:rsid w:val="004129B4"/>
    <w:rsid w:val="00417EF0"/>
    <w:rsid w:val="00422181"/>
    <w:rsid w:val="00423414"/>
    <w:rsid w:val="004244A8"/>
    <w:rsid w:val="00425F72"/>
    <w:rsid w:val="00427736"/>
    <w:rsid w:val="00441787"/>
    <w:rsid w:val="00441C51"/>
    <w:rsid w:val="00444343"/>
    <w:rsid w:val="00444F2D"/>
    <w:rsid w:val="00445F54"/>
    <w:rsid w:val="00446CDD"/>
    <w:rsid w:val="00452034"/>
    <w:rsid w:val="00452CDE"/>
    <w:rsid w:val="0045462A"/>
    <w:rsid w:val="00455FA6"/>
    <w:rsid w:val="00463DE4"/>
    <w:rsid w:val="00466C70"/>
    <w:rsid w:val="00466DC0"/>
    <w:rsid w:val="00467ABF"/>
    <w:rsid w:val="004702C9"/>
    <w:rsid w:val="00471C58"/>
    <w:rsid w:val="004724F2"/>
    <w:rsid w:val="00472E45"/>
    <w:rsid w:val="00473FEA"/>
    <w:rsid w:val="0047579D"/>
    <w:rsid w:val="00483262"/>
    <w:rsid w:val="00484107"/>
    <w:rsid w:val="00485CC5"/>
    <w:rsid w:val="00486489"/>
    <w:rsid w:val="004925F7"/>
    <w:rsid w:val="0049343F"/>
    <w:rsid w:val="00494A10"/>
    <w:rsid w:val="004964FC"/>
    <w:rsid w:val="004A125B"/>
    <w:rsid w:val="004A145E"/>
    <w:rsid w:val="004A1F15"/>
    <w:rsid w:val="004A2A81"/>
    <w:rsid w:val="004A33A4"/>
    <w:rsid w:val="004A4455"/>
    <w:rsid w:val="004A7BD7"/>
    <w:rsid w:val="004B10FB"/>
    <w:rsid w:val="004C15C2"/>
    <w:rsid w:val="004C36D8"/>
    <w:rsid w:val="004C4031"/>
    <w:rsid w:val="004D11FB"/>
    <w:rsid w:val="004D1248"/>
    <w:rsid w:val="004D1E3C"/>
    <w:rsid w:val="004D4169"/>
    <w:rsid w:val="004D6E14"/>
    <w:rsid w:val="004F0575"/>
    <w:rsid w:val="004F4E17"/>
    <w:rsid w:val="0050082F"/>
    <w:rsid w:val="00500C56"/>
    <w:rsid w:val="00501713"/>
    <w:rsid w:val="00506568"/>
    <w:rsid w:val="0051551B"/>
    <w:rsid w:val="00517F2A"/>
    <w:rsid w:val="00520C57"/>
    <w:rsid w:val="00522CA7"/>
    <w:rsid w:val="00522D94"/>
    <w:rsid w:val="0052455D"/>
    <w:rsid w:val="00531294"/>
    <w:rsid w:val="00533D89"/>
    <w:rsid w:val="00536564"/>
    <w:rsid w:val="00542699"/>
    <w:rsid w:val="00544597"/>
    <w:rsid w:val="00544FFE"/>
    <w:rsid w:val="005473F5"/>
    <w:rsid w:val="005477E7"/>
    <w:rsid w:val="00552794"/>
    <w:rsid w:val="0056084F"/>
    <w:rsid w:val="00560875"/>
    <w:rsid w:val="00563199"/>
    <w:rsid w:val="00564874"/>
    <w:rsid w:val="00567963"/>
    <w:rsid w:val="00567F4E"/>
    <w:rsid w:val="0057009A"/>
    <w:rsid w:val="00571260"/>
    <w:rsid w:val="0057189C"/>
    <w:rsid w:val="00573FC1"/>
    <w:rsid w:val="005741EE"/>
    <w:rsid w:val="005743BF"/>
    <w:rsid w:val="00575B5D"/>
    <w:rsid w:val="0057668E"/>
    <w:rsid w:val="00582237"/>
    <w:rsid w:val="00584684"/>
    <w:rsid w:val="00587D82"/>
    <w:rsid w:val="00593808"/>
    <w:rsid w:val="00595E83"/>
    <w:rsid w:val="00596530"/>
    <w:rsid w:val="005967F3"/>
    <w:rsid w:val="005A06DF"/>
    <w:rsid w:val="005A5527"/>
    <w:rsid w:val="005A5AE6"/>
    <w:rsid w:val="005B1206"/>
    <w:rsid w:val="005B37E8"/>
    <w:rsid w:val="005C0056"/>
    <w:rsid w:val="005C0B1E"/>
    <w:rsid w:val="005C320D"/>
    <w:rsid w:val="005D4E06"/>
    <w:rsid w:val="005D61D6"/>
    <w:rsid w:val="005E0D13"/>
    <w:rsid w:val="005E37F0"/>
    <w:rsid w:val="005E3EAF"/>
    <w:rsid w:val="005E5047"/>
    <w:rsid w:val="005E7205"/>
    <w:rsid w:val="005E7371"/>
    <w:rsid w:val="005F116C"/>
    <w:rsid w:val="005F2131"/>
    <w:rsid w:val="00605EF6"/>
    <w:rsid w:val="00606242"/>
    <w:rsid w:val="00606455"/>
    <w:rsid w:val="00607B50"/>
    <w:rsid w:val="00607DF2"/>
    <w:rsid w:val="00611214"/>
    <w:rsid w:val="006144B8"/>
    <w:rsid w:val="00614929"/>
    <w:rsid w:val="006153C3"/>
    <w:rsid w:val="00616511"/>
    <w:rsid w:val="006176ED"/>
    <w:rsid w:val="00617748"/>
    <w:rsid w:val="006202F3"/>
    <w:rsid w:val="0062097A"/>
    <w:rsid w:val="00621DA6"/>
    <w:rsid w:val="00623101"/>
    <w:rsid w:val="00623CFE"/>
    <w:rsid w:val="00624284"/>
    <w:rsid w:val="00627221"/>
    <w:rsid w:val="00627EE8"/>
    <w:rsid w:val="006316FA"/>
    <w:rsid w:val="0063275A"/>
    <w:rsid w:val="006370D2"/>
    <w:rsid w:val="0064074F"/>
    <w:rsid w:val="00641F55"/>
    <w:rsid w:val="006432E2"/>
    <w:rsid w:val="0064430E"/>
    <w:rsid w:val="00645E4A"/>
    <w:rsid w:val="00653688"/>
    <w:rsid w:val="0066091B"/>
    <w:rsid w:val="0066109C"/>
    <w:rsid w:val="006660E9"/>
    <w:rsid w:val="00667249"/>
    <w:rsid w:val="00667558"/>
    <w:rsid w:val="00671523"/>
    <w:rsid w:val="006754EF"/>
    <w:rsid w:val="00676C8D"/>
    <w:rsid w:val="00676F1F"/>
    <w:rsid w:val="00677381"/>
    <w:rsid w:val="00677414"/>
    <w:rsid w:val="00680CA7"/>
    <w:rsid w:val="006832CF"/>
    <w:rsid w:val="0068601E"/>
    <w:rsid w:val="0069486B"/>
    <w:rsid w:val="00695F17"/>
    <w:rsid w:val="0069601A"/>
    <w:rsid w:val="006A1688"/>
    <w:rsid w:val="006A2082"/>
    <w:rsid w:val="006A30F8"/>
    <w:rsid w:val="006A4904"/>
    <w:rsid w:val="006A548F"/>
    <w:rsid w:val="006A701A"/>
    <w:rsid w:val="006B35B3"/>
    <w:rsid w:val="006B64DC"/>
    <w:rsid w:val="006B7515"/>
    <w:rsid w:val="006B7A91"/>
    <w:rsid w:val="006C1C42"/>
    <w:rsid w:val="006C3DDD"/>
    <w:rsid w:val="006C6D85"/>
    <w:rsid w:val="006D3881"/>
    <w:rsid w:val="006D4704"/>
    <w:rsid w:val="006D68A5"/>
    <w:rsid w:val="006D6A2D"/>
    <w:rsid w:val="006D74F9"/>
    <w:rsid w:val="006E1215"/>
    <w:rsid w:val="006E1E18"/>
    <w:rsid w:val="006E31CE"/>
    <w:rsid w:val="006E34D3"/>
    <w:rsid w:val="006F0C43"/>
    <w:rsid w:val="006F1435"/>
    <w:rsid w:val="006F78C4"/>
    <w:rsid w:val="0070175C"/>
    <w:rsid w:val="007031A0"/>
    <w:rsid w:val="00705A29"/>
    <w:rsid w:val="00707498"/>
    <w:rsid w:val="00711A65"/>
    <w:rsid w:val="007126EF"/>
    <w:rsid w:val="00713FC0"/>
    <w:rsid w:val="00714133"/>
    <w:rsid w:val="00714DA4"/>
    <w:rsid w:val="007158B2"/>
    <w:rsid w:val="00716081"/>
    <w:rsid w:val="007173C3"/>
    <w:rsid w:val="00722B48"/>
    <w:rsid w:val="00724164"/>
    <w:rsid w:val="00725DE7"/>
    <w:rsid w:val="0072636A"/>
    <w:rsid w:val="00726B44"/>
    <w:rsid w:val="007318DD"/>
    <w:rsid w:val="00733167"/>
    <w:rsid w:val="00740D2C"/>
    <w:rsid w:val="007415D0"/>
    <w:rsid w:val="00744BF9"/>
    <w:rsid w:val="00745C6A"/>
    <w:rsid w:val="00752623"/>
    <w:rsid w:val="00755857"/>
    <w:rsid w:val="00760F1F"/>
    <w:rsid w:val="00763AAA"/>
    <w:rsid w:val="0076423E"/>
    <w:rsid w:val="007646CB"/>
    <w:rsid w:val="007648C8"/>
    <w:rsid w:val="0076658F"/>
    <w:rsid w:val="0077040A"/>
    <w:rsid w:val="007718D3"/>
    <w:rsid w:val="00771D78"/>
    <w:rsid w:val="00772D64"/>
    <w:rsid w:val="007808DC"/>
    <w:rsid w:val="00782CC7"/>
    <w:rsid w:val="00792609"/>
    <w:rsid w:val="00792887"/>
    <w:rsid w:val="00793119"/>
    <w:rsid w:val="007943E2"/>
    <w:rsid w:val="00794F2C"/>
    <w:rsid w:val="00795D53"/>
    <w:rsid w:val="0079602C"/>
    <w:rsid w:val="007A07FB"/>
    <w:rsid w:val="007A124A"/>
    <w:rsid w:val="007A3BC7"/>
    <w:rsid w:val="007A5AC4"/>
    <w:rsid w:val="007B0FDD"/>
    <w:rsid w:val="007B4802"/>
    <w:rsid w:val="007B6668"/>
    <w:rsid w:val="007B6B33"/>
    <w:rsid w:val="007B6D67"/>
    <w:rsid w:val="007B7A23"/>
    <w:rsid w:val="007C2701"/>
    <w:rsid w:val="007C2D81"/>
    <w:rsid w:val="007D0385"/>
    <w:rsid w:val="007D0463"/>
    <w:rsid w:val="007D2192"/>
    <w:rsid w:val="007E1AC5"/>
    <w:rsid w:val="007F0021"/>
    <w:rsid w:val="007F01C2"/>
    <w:rsid w:val="007F2F52"/>
    <w:rsid w:val="00801B88"/>
    <w:rsid w:val="00801F71"/>
    <w:rsid w:val="00805062"/>
    <w:rsid w:val="008056D8"/>
    <w:rsid w:val="00805F28"/>
    <w:rsid w:val="0080749F"/>
    <w:rsid w:val="00811B3D"/>
    <w:rsid w:val="00811B75"/>
    <w:rsid w:val="00811D46"/>
    <w:rsid w:val="008125B0"/>
    <w:rsid w:val="008144CB"/>
    <w:rsid w:val="00816EE6"/>
    <w:rsid w:val="00821717"/>
    <w:rsid w:val="00822D1A"/>
    <w:rsid w:val="00824210"/>
    <w:rsid w:val="008263C0"/>
    <w:rsid w:val="00841422"/>
    <w:rsid w:val="00841D3B"/>
    <w:rsid w:val="0084314C"/>
    <w:rsid w:val="00843171"/>
    <w:rsid w:val="00843989"/>
    <w:rsid w:val="0085018D"/>
    <w:rsid w:val="008560DE"/>
    <w:rsid w:val="00856799"/>
    <w:rsid w:val="008575C3"/>
    <w:rsid w:val="0085790B"/>
    <w:rsid w:val="00862205"/>
    <w:rsid w:val="00863808"/>
    <w:rsid w:val="00863D28"/>
    <w:rsid w:val="00864872"/>
    <w:rsid w:val="008648C3"/>
    <w:rsid w:val="00880F26"/>
    <w:rsid w:val="008868A6"/>
    <w:rsid w:val="0089115D"/>
    <w:rsid w:val="00896C2E"/>
    <w:rsid w:val="008A0A54"/>
    <w:rsid w:val="008A2240"/>
    <w:rsid w:val="008A5095"/>
    <w:rsid w:val="008A608F"/>
    <w:rsid w:val="008B1A9A"/>
    <w:rsid w:val="008B3280"/>
    <w:rsid w:val="008B33D9"/>
    <w:rsid w:val="008B34C7"/>
    <w:rsid w:val="008B4FE6"/>
    <w:rsid w:val="008B6C37"/>
    <w:rsid w:val="008C1DF7"/>
    <w:rsid w:val="008C6191"/>
    <w:rsid w:val="008D3F31"/>
    <w:rsid w:val="008E18F7"/>
    <w:rsid w:val="008E1E10"/>
    <w:rsid w:val="008E291B"/>
    <w:rsid w:val="008E32F0"/>
    <w:rsid w:val="008E4F2F"/>
    <w:rsid w:val="008E74B0"/>
    <w:rsid w:val="008F3EE1"/>
    <w:rsid w:val="009008A8"/>
    <w:rsid w:val="009063B0"/>
    <w:rsid w:val="00907106"/>
    <w:rsid w:val="009107FD"/>
    <w:rsid w:val="0091137C"/>
    <w:rsid w:val="00911567"/>
    <w:rsid w:val="00913C5F"/>
    <w:rsid w:val="009155E7"/>
    <w:rsid w:val="00917AAE"/>
    <w:rsid w:val="00924688"/>
    <w:rsid w:val="009251A9"/>
    <w:rsid w:val="00930699"/>
    <w:rsid w:val="00931F69"/>
    <w:rsid w:val="00932A1A"/>
    <w:rsid w:val="00934123"/>
    <w:rsid w:val="00937E96"/>
    <w:rsid w:val="009425E0"/>
    <w:rsid w:val="00945976"/>
    <w:rsid w:val="00955774"/>
    <w:rsid w:val="00955E9E"/>
    <w:rsid w:val="009560B5"/>
    <w:rsid w:val="00965EDF"/>
    <w:rsid w:val="009660A4"/>
    <w:rsid w:val="009703D6"/>
    <w:rsid w:val="0097181B"/>
    <w:rsid w:val="009761BB"/>
    <w:rsid w:val="00976DC5"/>
    <w:rsid w:val="009818C7"/>
    <w:rsid w:val="00982DD4"/>
    <w:rsid w:val="009841E5"/>
    <w:rsid w:val="0098430F"/>
    <w:rsid w:val="0098479F"/>
    <w:rsid w:val="00984A8A"/>
    <w:rsid w:val="009857B6"/>
    <w:rsid w:val="00985A8D"/>
    <w:rsid w:val="00986610"/>
    <w:rsid w:val="009877DC"/>
    <w:rsid w:val="00991F96"/>
    <w:rsid w:val="00994D24"/>
    <w:rsid w:val="00996F0A"/>
    <w:rsid w:val="009A0658"/>
    <w:rsid w:val="009A1D86"/>
    <w:rsid w:val="009A32E0"/>
    <w:rsid w:val="009A7DEB"/>
    <w:rsid w:val="009B049C"/>
    <w:rsid w:val="009B11C8"/>
    <w:rsid w:val="009B2BCF"/>
    <w:rsid w:val="009B2FF8"/>
    <w:rsid w:val="009B5BA3"/>
    <w:rsid w:val="009D0027"/>
    <w:rsid w:val="009D0655"/>
    <w:rsid w:val="009D6B5C"/>
    <w:rsid w:val="009E1E98"/>
    <w:rsid w:val="009E37D4"/>
    <w:rsid w:val="009E3ABE"/>
    <w:rsid w:val="009E3C4B"/>
    <w:rsid w:val="009F0637"/>
    <w:rsid w:val="009F6212"/>
    <w:rsid w:val="009F62A6"/>
    <w:rsid w:val="009F674F"/>
    <w:rsid w:val="009F799E"/>
    <w:rsid w:val="00A02020"/>
    <w:rsid w:val="00A056CB"/>
    <w:rsid w:val="00A07A29"/>
    <w:rsid w:val="00A10FF1"/>
    <w:rsid w:val="00A1506B"/>
    <w:rsid w:val="00A17CB2"/>
    <w:rsid w:val="00A22EDC"/>
    <w:rsid w:val="00A23191"/>
    <w:rsid w:val="00A24A2D"/>
    <w:rsid w:val="00A319C0"/>
    <w:rsid w:val="00A33560"/>
    <w:rsid w:val="00A345EB"/>
    <w:rsid w:val="00A356E2"/>
    <w:rsid w:val="00A364E4"/>
    <w:rsid w:val="00A365CA"/>
    <w:rsid w:val="00A371A5"/>
    <w:rsid w:val="00A44314"/>
    <w:rsid w:val="00A45CA1"/>
    <w:rsid w:val="00A47BDF"/>
    <w:rsid w:val="00A51CD7"/>
    <w:rsid w:val="00A52ADB"/>
    <w:rsid w:val="00A533E8"/>
    <w:rsid w:val="00A542D9"/>
    <w:rsid w:val="00A5573F"/>
    <w:rsid w:val="00A56E64"/>
    <w:rsid w:val="00A604C7"/>
    <w:rsid w:val="00A60612"/>
    <w:rsid w:val="00A624C3"/>
    <w:rsid w:val="00A64DF0"/>
    <w:rsid w:val="00A6610C"/>
    <w:rsid w:val="00A6641C"/>
    <w:rsid w:val="00A767D2"/>
    <w:rsid w:val="00A77616"/>
    <w:rsid w:val="00A805DA"/>
    <w:rsid w:val="00A80647"/>
    <w:rsid w:val="00A811B4"/>
    <w:rsid w:val="00A868D8"/>
    <w:rsid w:val="00A87CDE"/>
    <w:rsid w:val="00A91099"/>
    <w:rsid w:val="00A92BAF"/>
    <w:rsid w:val="00A94737"/>
    <w:rsid w:val="00A94BA3"/>
    <w:rsid w:val="00A96CBA"/>
    <w:rsid w:val="00AA131F"/>
    <w:rsid w:val="00AB1ACD"/>
    <w:rsid w:val="00AB277F"/>
    <w:rsid w:val="00AB4099"/>
    <w:rsid w:val="00AB449A"/>
    <w:rsid w:val="00AB4E31"/>
    <w:rsid w:val="00AC18C7"/>
    <w:rsid w:val="00AC3D81"/>
    <w:rsid w:val="00AC7BAF"/>
    <w:rsid w:val="00AD14F9"/>
    <w:rsid w:val="00AD35D6"/>
    <w:rsid w:val="00AD58C5"/>
    <w:rsid w:val="00AD640B"/>
    <w:rsid w:val="00AD7643"/>
    <w:rsid w:val="00AE0879"/>
    <w:rsid w:val="00AE3006"/>
    <w:rsid w:val="00AE36C4"/>
    <w:rsid w:val="00AE472C"/>
    <w:rsid w:val="00AE5375"/>
    <w:rsid w:val="00AE6CF8"/>
    <w:rsid w:val="00AF1B76"/>
    <w:rsid w:val="00AF4CAC"/>
    <w:rsid w:val="00B013D5"/>
    <w:rsid w:val="00B03E0D"/>
    <w:rsid w:val="00B054F8"/>
    <w:rsid w:val="00B17093"/>
    <w:rsid w:val="00B2219A"/>
    <w:rsid w:val="00B22C26"/>
    <w:rsid w:val="00B234E6"/>
    <w:rsid w:val="00B3581B"/>
    <w:rsid w:val="00B36B81"/>
    <w:rsid w:val="00B36FEE"/>
    <w:rsid w:val="00B37C80"/>
    <w:rsid w:val="00B410B6"/>
    <w:rsid w:val="00B5092B"/>
    <w:rsid w:val="00B5194E"/>
    <w:rsid w:val="00B51AF5"/>
    <w:rsid w:val="00B531FC"/>
    <w:rsid w:val="00B54ADF"/>
    <w:rsid w:val="00B55347"/>
    <w:rsid w:val="00B57E5E"/>
    <w:rsid w:val="00B61F37"/>
    <w:rsid w:val="00B64FB6"/>
    <w:rsid w:val="00B7770F"/>
    <w:rsid w:val="00B77A89"/>
    <w:rsid w:val="00B77B27"/>
    <w:rsid w:val="00B80960"/>
    <w:rsid w:val="00B8134E"/>
    <w:rsid w:val="00B81B55"/>
    <w:rsid w:val="00B84613"/>
    <w:rsid w:val="00B84F30"/>
    <w:rsid w:val="00B87AF0"/>
    <w:rsid w:val="00B9037B"/>
    <w:rsid w:val="00B910BD"/>
    <w:rsid w:val="00B9189C"/>
    <w:rsid w:val="00B93834"/>
    <w:rsid w:val="00B94F3B"/>
    <w:rsid w:val="00B96469"/>
    <w:rsid w:val="00BA0DA2"/>
    <w:rsid w:val="00BA2981"/>
    <w:rsid w:val="00BA2BB7"/>
    <w:rsid w:val="00BA42EE"/>
    <w:rsid w:val="00BA45AB"/>
    <w:rsid w:val="00BA48F9"/>
    <w:rsid w:val="00BA5DBA"/>
    <w:rsid w:val="00BB0DCA"/>
    <w:rsid w:val="00BB2666"/>
    <w:rsid w:val="00BB6B80"/>
    <w:rsid w:val="00BC3773"/>
    <w:rsid w:val="00BC381A"/>
    <w:rsid w:val="00BD0962"/>
    <w:rsid w:val="00BD1EED"/>
    <w:rsid w:val="00BD26AB"/>
    <w:rsid w:val="00BD7581"/>
    <w:rsid w:val="00BE40BE"/>
    <w:rsid w:val="00BE7FA9"/>
    <w:rsid w:val="00BF0DA2"/>
    <w:rsid w:val="00BF109C"/>
    <w:rsid w:val="00BF34FA"/>
    <w:rsid w:val="00BF50CF"/>
    <w:rsid w:val="00C004B6"/>
    <w:rsid w:val="00C047A7"/>
    <w:rsid w:val="00C05DE5"/>
    <w:rsid w:val="00C1634A"/>
    <w:rsid w:val="00C2717C"/>
    <w:rsid w:val="00C33027"/>
    <w:rsid w:val="00C33E96"/>
    <w:rsid w:val="00C35676"/>
    <w:rsid w:val="00C37667"/>
    <w:rsid w:val="00C435DB"/>
    <w:rsid w:val="00C44D73"/>
    <w:rsid w:val="00C50B42"/>
    <w:rsid w:val="00C516FF"/>
    <w:rsid w:val="00C51FFF"/>
    <w:rsid w:val="00C52BFA"/>
    <w:rsid w:val="00C53D1D"/>
    <w:rsid w:val="00C53F26"/>
    <w:rsid w:val="00C540BC"/>
    <w:rsid w:val="00C5499D"/>
    <w:rsid w:val="00C57F15"/>
    <w:rsid w:val="00C64F7D"/>
    <w:rsid w:val="00C67309"/>
    <w:rsid w:val="00C74BCD"/>
    <w:rsid w:val="00C7614E"/>
    <w:rsid w:val="00C77BF1"/>
    <w:rsid w:val="00C80D60"/>
    <w:rsid w:val="00C82FBD"/>
    <w:rsid w:val="00C85267"/>
    <w:rsid w:val="00C8721B"/>
    <w:rsid w:val="00C9372C"/>
    <w:rsid w:val="00C93FE1"/>
    <w:rsid w:val="00C9470E"/>
    <w:rsid w:val="00C95CEB"/>
    <w:rsid w:val="00C96670"/>
    <w:rsid w:val="00CA1054"/>
    <w:rsid w:val="00CA63EB"/>
    <w:rsid w:val="00CA69F1"/>
    <w:rsid w:val="00CA6D4D"/>
    <w:rsid w:val="00CB6991"/>
    <w:rsid w:val="00CC1A20"/>
    <w:rsid w:val="00CC1B6E"/>
    <w:rsid w:val="00CC3014"/>
    <w:rsid w:val="00CC6194"/>
    <w:rsid w:val="00CC62FB"/>
    <w:rsid w:val="00CC6305"/>
    <w:rsid w:val="00CC78A5"/>
    <w:rsid w:val="00CD0516"/>
    <w:rsid w:val="00CD1560"/>
    <w:rsid w:val="00CD415E"/>
    <w:rsid w:val="00CD5AB9"/>
    <w:rsid w:val="00CD756B"/>
    <w:rsid w:val="00CE2D36"/>
    <w:rsid w:val="00CE5E58"/>
    <w:rsid w:val="00CE734F"/>
    <w:rsid w:val="00CF112E"/>
    <w:rsid w:val="00CF36BD"/>
    <w:rsid w:val="00CF5F4F"/>
    <w:rsid w:val="00CF6B9E"/>
    <w:rsid w:val="00CF6EB3"/>
    <w:rsid w:val="00D02F27"/>
    <w:rsid w:val="00D035A8"/>
    <w:rsid w:val="00D0511E"/>
    <w:rsid w:val="00D218DC"/>
    <w:rsid w:val="00D234E8"/>
    <w:rsid w:val="00D24E56"/>
    <w:rsid w:val="00D31643"/>
    <w:rsid w:val="00D31AEB"/>
    <w:rsid w:val="00D32ECD"/>
    <w:rsid w:val="00D361E4"/>
    <w:rsid w:val="00D42A8F"/>
    <w:rsid w:val="00D439F6"/>
    <w:rsid w:val="00D459C6"/>
    <w:rsid w:val="00D50729"/>
    <w:rsid w:val="00D50C19"/>
    <w:rsid w:val="00D5379E"/>
    <w:rsid w:val="00D55B33"/>
    <w:rsid w:val="00D61B8A"/>
    <w:rsid w:val="00D6215C"/>
    <w:rsid w:val="00D62643"/>
    <w:rsid w:val="00D64C0F"/>
    <w:rsid w:val="00D657EC"/>
    <w:rsid w:val="00D66E1A"/>
    <w:rsid w:val="00D71EF6"/>
    <w:rsid w:val="00D72EFE"/>
    <w:rsid w:val="00D76227"/>
    <w:rsid w:val="00D77DF1"/>
    <w:rsid w:val="00D86AFF"/>
    <w:rsid w:val="00D91E45"/>
    <w:rsid w:val="00D956B7"/>
    <w:rsid w:val="00D95A44"/>
    <w:rsid w:val="00D95D16"/>
    <w:rsid w:val="00D97C76"/>
    <w:rsid w:val="00DA2F29"/>
    <w:rsid w:val="00DA3706"/>
    <w:rsid w:val="00DB02B4"/>
    <w:rsid w:val="00DB177E"/>
    <w:rsid w:val="00DB457D"/>
    <w:rsid w:val="00DB498C"/>
    <w:rsid w:val="00DB538D"/>
    <w:rsid w:val="00DC275C"/>
    <w:rsid w:val="00DC4B0D"/>
    <w:rsid w:val="00DC7EE5"/>
    <w:rsid w:val="00DC7FE1"/>
    <w:rsid w:val="00DD3F3F"/>
    <w:rsid w:val="00DD5572"/>
    <w:rsid w:val="00DE25DD"/>
    <w:rsid w:val="00DE5D80"/>
    <w:rsid w:val="00DF58CD"/>
    <w:rsid w:val="00DF65DE"/>
    <w:rsid w:val="00DF7FA8"/>
    <w:rsid w:val="00E019A5"/>
    <w:rsid w:val="00E02EC8"/>
    <w:rsid w:val="00E037F5"/>
    <w:rsid w:val="00E04ECB"/>
    <w:rsid w:val="00E05A09"/>
    <w:rsid w:val="00E06818"/>
    <w:rsid w:val="00E06CA1"/>
    <w:rsid w:val="00E14B38"/>
    <w:rsid w:val="00E14D5A"/>
    <w:rsid w:val="00E172B8"/>
    <w:rsid w:val="00E17FB4"/>
    <w:rsid w:val="00E20B75"/>
    <w:rsid w:val="00E214F2"/>
    <w:rsid w:val="00E222CB"/>
    <w:rsid w:val="00E2371E"/>
    <w:rsid w:val="00E24BD7"/>
    <w:rsid w:val="00E26523"/>
    <w:rsid w:val="00E26809"/>
    <w:rsid w:val="00E3412D"/>
    <w:rsid w:val="00E4119E"/>
    <w:rsid w:val="00E44005"/>
    <w:rsid w:val="00E4616C"/>
    <w:rsid w:val="00E50883"/>
    <w:rsid w:val="00E55554"/>
    <w:rsid w:val="00E57322"/>
    <w:rsid w:val="00E61466"/>
    <w:rsid w:val="00E628CB"/>
    <w:rsid w:val="00E62AD9"/>
    <w:rsid w:val="00E638C8"/>
    <w:rsid w:val="00E7509B"/>
    <w:rsid w:val="00E86590"/>
    <w:rsid w:val="00E907FF"/>
    <w:rsid w:val="00E95050"/>
    <w:rsid w:val="00E968DE"/>
    <w:rsid w:val="00EA0395"/>
    <w:rsid w:val="00EA42D1"/>
    <w:rsid w:val="00EA42EF"/>
    <w:rsid w:val="00EA7AA0"/>
    <w:rsid w:val="00EA7CB1"/>
    <w:rsid w:val="00EB23FB"/>
    <w:rsid w:val="00EB2DD1"/>
    <w:rsid w:val="00EB6B37"/>
    <w:rsid w:val="00EB77D3"/>
    <w:rsid w:val="00EC29FE"/>
    <w:rsid w:val="00EC2F25"/>
    <w:rsid w:val="00EC38A9"/>
    <w:rsid w:val="00EC3C70"/>
    <w:rsid w:val="00ED229F"/>
    <w:rsid w:val="00ED3A3D"/>
    <w:rsid w:val="00ED538A"/>
    <w:rsid w:val="00ED6FBC"/>
    <w:rsid w:val="00ED7C7E"/>
    <w:rsid w:val="00EE18E5"/>
    <w:rsid w:val="00EE2F16"/>
    <w:rsid w:val="00EE3861"/>
    <w:rsid w:val="00EF290C"/>
    <w:rsid w:val="00EF2E73"/>
    <w:rsid w:val="00EF7683"/>
    <w:rsid w:val="00EF7A2D"/>
    <w:rsid w:val="00F04F8D"/>
    <w:rsid w:val="00F10AD0"/>
    <w:rsid w:val="00F116CC"/>
    <w:rsid w:val="00F12BD1"/>
    <w:rsid w:val="00F15327"/>
    <w:rsid w:val="00F168CF"/>
    <w:rsid w:val="00F2555C"/>
    <w:rsid w:val="00F31DF3"/>
    <w:rsid w:val="00F32279"/>
    <w:rsid w:val="00F33AE5"/>
    <w:rsid w:val="00F3597D"/>
    <w:rsid w:val="00F4211E"/>
    <w:rsid w:val="00F4376D"/>
    <w:rsid w:val="00F443FE"/>
    <w:rsid w:val="00F45399"/>
    <w:rsid w:val="00F465EA"/>
    <w:rsid w:val="00F4788C"/>
    <w:rsid w:val="00F54E7B"/>
    <w:rsid w:val="00F55A88"/>
    <w:rsid w:val="00F66FF7"/>
    <w:rsid w:val="00F7295D"/>
    <w:rsid w:val="00F73229"/>
    <w:rsid w:val="00F74005"/>
    <w:rsid w:val="00F76884"/>
    <w:rsid w:val="00F81782"/>
    <w:rsid w:val="00F83D24"/>
    <w:rsid w:val="00F83DD9"/>
    <w:rsid w:val="00F83F40"/>
    <w:rsid w:val="00F96B69"/>
    <w:rsid w:val="00FA09D3"/>
    <w:rsid w:val="00FA117A"/>
    <w:rsid w:val="00FA2A2E"/>
    <w:rsid w:val="00FA2E78"/>
    <w:rsid w:val="00FA441D"/>
    <w:rsid w:val="00FB386A"/>
    <w:rsid w:val="00FB5075"/>
    <w:rsid w:val="00FC0786"/>
    <w:rsid w:val="00FC49EF"/>
    <w:rsid w:val="00FD783E"/>
    <w:rsid w:val="00FE36E2"/>
    <w:rsid w:val="00FE382A"/>
    <w:rsid w:val="00FF11AD"/>
    <w:rsid w:val="00FF2971"/>
    <w:rsid w:val="00FF34D4"/>
    <w:rsid w:val="00FF4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42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Default">
    <w:name w:val="Default"/>
    <w:rsid w:val="00EC2F2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77631849">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733775075">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002FA"/>
    <w:rsid w:val="00053BCB"/>
    <w:rsid w:val="000624AB"/>
    <w:rsid w:val="0009034B"/>
    <w:rsid w:val="000A49D9"/>
    <w:rsid w:val="000A5FDB"/>
    <w:rsid w:val="000B1FBF"/>
    <w:rsid w:val="000C4888"/>
    <w:rsid w:val="000F390E"/>
    <w:rsid w:val="00106D58"/>
    <w:rsid w:val="00143A81"/>
    <w:rsid w:val="0014636B"/>
    <w:rsid w:val="00177309"/>
    <w:rsid w:val="0020674F"/>
    <w:rsid w:val="00216022"/>
    <w:rsid w:val="00233035"/>
    <w:rsid w:val="00285335"/>
    <w:rsid w:val="002C250B"/>
    <w:rsid w:val="002F4F62"/>
    <w:rsid w:val="00322458"/>
    <w:rsid w:val="00351FE7"/>
    <w:rsid w:val="00381E55"/>
    <w:rsid w:val="003A49DB"/>
    <w:rsid w:val="003E282D"/>
    <w:rsid w:val="003E4FB6"/>
    <w:rsid w:val="003F1BDC"/>
    <w:rsid w:val="003F6ECA"/>
    <w:rsid w:val="00402E1C"/>
    <w:rsid w:val="00420E5E"/>
    <w:rsid w:val="00470D09"/>
    <w:rsid w:val="004A31E1"/>
    <w:rsid w:val="004A3BCA"/>
    <w:rsid w:val="004D462D"/>
    <w:rsid w:val="004D5E57"/>
    <w:rsid w:val="004D7A52"/>
    <w:rsid w:val="004F1D6F"/>
    <w:rsid w:val="004F6F11"/>
    <w:rsid w:val="00532FEF"/>
    <w:rsid w:val="00560310"/>
    <w:rsid w:val="005A6EA0"/>
    <w:rsid w:val="00612C17"/>
    <w:rsid w:val="00697BD4"/>
    <w:rsid w:val="006C5FBD"/>
    <w:rsid w:val="006E755E"/>
    <w:rsid w:val="007109D7"/>
    <w:rsid w:val="00725D4D"/>
    <w:rsid w:val="00754664"/>
    <w:rsid w:val="0076705D"/>
    <w:rsid w:val="007A179B"/>
    <w:rsid w:val="007B1A1A"/>
    <w:rsid w:val="00800413"/>
    <w:rsid w:val="008149B4"/>
    <w:rsid w:val="00816C44"/>
    <w:rsid w:val="00830028"/>
    <w:rsid w:val="00835C44"/>
    <w:rsid w:val="00881857"/>
    <w:rsid w:val="00882426"/>
    <w:rsid w:val="008C7CA2"/>
    <w:rsid w:val="00915E16"/>
    <w:rsid w:val="009C5BD9"/>
    <w:rsid w:val="00A23C5A"/>
    <w:rsid w:val="00A24FD6"/>
    <w:rsid w:val="00A27F5D"/>
    <w:rsid w:val="00A32956"/>
    <w:rsid w:val="00AA5DDE"/>
    <w:rsid w:val="00AD66A9"/>
    <w:rsid w:val="00AE3847"/>
    <w:rsid w:val="00AF2839"/>
    <w:rsid w:val="00AF5A2A"/>
    <w:rsid w:val="00B11148"/>
    <w:rsid w:val="00B1223B"/>
    <w:rsid w:val="00B15EA3"/>
    <w:rsid w:val="00B220DC"/>
    <w:rsid w:val="00B72BDA"/>
    <w:rsid w:val="00B75ED3"/>
    <w:rsid w:val="00B82F74"/>
    <w:rsid w:val="00BE6486"/>
    <w:rsid w:val="00C14E26"/>
    <w:rsid w:val="00C2347C"/>
    <w:rsid w:val="00C344A1"/>
    <w:rsid w:val="00C54AFC"/>
    <w:rsid w:val="00C567CE"/>
    <w:rsid w:val="00C71CA9"/>
    <w:rsid w:val="00CC3F13"/>
    <w:rsid w:val="00CE5CFF"/>
    <w:rsid w:val="00D0574C"/>
    <w:rsid w:val="00D24674"/>
    <w:rsid w:val="00D2709A"/>
    <w:rsid w:val="00D27A21"/>
    <w:rsid w:val="00D30919"/>
    <w:rsid w:val="00D80255"/>
    <w:rsid w:val="00D856F7"/>
    <w:rsid w:val="00DE041E"/>
    <w:rsid w:val="00DF1BE7"/>
    <w:rsid w:val="00E14455"/>
    <w:rsid w:val="00E152C1"/>
    <w:rsid w:val="00E207C5"/>
    <w:rsid w:val="00E63D50"/>
    <w:rsid w:val="00ED69DE"/>
    <w:rsid w:val="00EE3F1F"/>
    <w:rsid w:val="00EE42FA"/>
    <w:rsid w:val="00F11612"/>
    <w:rsid w:val="00F333A9"/>
    <w:rsid w:val="00F523DD"/>
    <w:rsid w:val="00F819FA"/>
    <w:rsid w:val="00F87B9B"/>
    <w:rsid w:val="00FA64B9"/>
    <w:rsid w:val="00FC3A61"/>
    <w:rsid w:val="00FC40CB"/>
    <w:rsid w:val="00FC79EA"/>
    <w:rsid w:val="00FE0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D640-4089-4F99-B8B8-CC066EF5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4185</Words>
  <Characters>27343</Characters>
  <Application>Microsoft Office Word</Application>
  <DocSecurity>4</DocSecurity>
  <Lines>227</Lines>
  <Paragraphs>62</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31466</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2020-08-18T13:12:00Z</dcterms:created>
  <dcterms:modified xsi:type="dcterms:W3CDTF">2020-08-18T13:12:00Z</dcterms:modified>
</cp:coreProperties>
</file>