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309"/>
        <w:gridCol w:w="581"/>
        <w:gridCol w:w="414"/>
        <w:gridCol w:w="155"/>
        <w:gridCol w:w="187"/>
        <w:gridCol w:w="364"/>
        <w:gridCol w:w="19"/>
        <w:gridCol w:w="554"/>
        <w:gridCol w:w="16"/>
        <w:gridCol w:w="269"/>
        <w:gridCol w:w="300"/>
        <w:gridCol w:w="353"/>
        <w:gridCol w:w="190"/>
        <w:gridCol w:w="27"/>
        <w:gridCol w:w="570"/>
        <w:gridCol w:w="80"/>
        <w:gridCol w:w="71"/>
        <w:gridCol w:w="419"/>
        <w:gridCol w:w="113"/>
        <w:gridCol w:w="405"/>
        <w:gridCol w:w="51"/>
        <w:gridCol w:w="266"/>
        <w:gridCol w:w="304"/>
        <w:gridCol w:w="317"/>
        <w:gridCol w:w="253"/>
        <w:gridCol w:w="570"/>
        <w:gridCol w:w="115"/>
        <w:gridCol w:w="1422"/>
        <w:gridCol w:w="10"/>
      </w:tblGrid>
      <w:tr w:rsidR="006A701A" w:rsidRPr="008B4FE6" w14:paraId="71CC87FE" w14:textId="77777777" w:rsidTr="00676C8D">
        <w:trPr>
          <w:gridAfter w:val="1"/>
          <w:wAfter w:w="10" w:type="dxa"/>
          <w:trHeight w:val="1611"/>
        </w:trPr>
        <w:tc>
          <w:tcPr>
            <w:tcW w:w="6631" w:type="dxa"/>
            <w:gridSpan w:val="18"/>
          </w:tcPr>
          <w:p w14:paraId="60A60206" w14:textId="77777777"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6B8E6A44" w14:textId="6EB0A4FE" w:rsidR="006A701A" w:rsidRPr="00882DF1" w:rsidRDefault="00EA4E2D" w:rsidP="00EA4E2D">
            <w:pPr>
              <w:pStyle w:val="Bezodstpw"/>
              <w:jc w:val="both"/>
              <w:rPr>
                <w:rFonts w:ascii="Times New Roman" w:hAnsi="Times New Roman"/>
                <w:color w:val="000000"/>
              </w:rPr>
            </w:pPr>
            <w:r>
              <w:rPr>
                <w:rStyle w:val="PodtytuZnak"/>
                <w:rFonts w:ascii="Times New Roman" w:eastAsia="Calibri" w:hAnsi="Times New Roman"/>
                <w:sz w:val="22"/>
                <w:szCs w:val="22"/>
              </w:rPr>
              <w:t>Projekt r</w:t>
            </w:r>
            <w:r w:rsidR="00476E77" w:rsidRPr="00682E07">
              <w:rPr>
                <w:rStyle w:val="PodtytuZnak"/>
                <w:rFonts w:ascii="Times New Roman" w:eastAsia="Calibri" w:hAnsi="Times New Roman"/>
                <w:sz w:val="22"/>
                <w:szCs w:val="22"/>
              </w:rPr>
              <w:t>o</w:t>
            </w:r>
            <w:r w:rsidR="00984589" w:rsidRPr="00682E07">
              <w:rPr>
                <w:rStyle w:val="PodtytuZnak"/>
                <w:rFonts w:ascii="Times New Roman" w:eastAsia="Calibri" w:hAnsi="Times New Roman"/>
                <w:sz w:val="22"/>
                <w:szCs w:val="22"/>
              </w:rPr>
              <w:t>z</w:t>
            </w:r>
            <w:r w:rsidR="00476E77" w:rsidRPr="00682E07">
              <w:rPr>
                <w:rStyle w:val="PodtytuZnak"/>
                <w:rFonts w:ascii="Times New Roman" w:eastAsia="Calibri" w:hAnsi="Times New Roman"/>
                <w:sz w:val="22"/>
                <w:szCs w:val="22"/>
              </w:rPr>
              <w:t>p</w:t>
            </w:r>
            <w:r w:rsidR="00984589" w:rsidRPr="00682E07">
              <w:rPr>
                <w:rStyle w:val="PodtytuZnak"/>
                <w:rFonts w:ascii="Times New Roman" w:eastAsia="Calibri" w:hAnsi="Times New Roman"/>
                <w:sz w:val="22"/>
                <w:szCs w:val="22"/>
              </w:rPr>
              <w:t>o</w:t>
            </w:r>
            <w:r>
              <w:rPr>
                <w:rStyle w:val="PodtytuZnak"/>
                <w:rFonts w:ascii="Times New Roman" w:eastAsia="Calibri" w:hAnsi="Times New Roman"/>
                <w:sz w:val="22"/>
                <w:szCs w:val="22"/>
              </w:rPr>
              <w:t>rządzenia</w:t>
            </w:r>
            <w:r w:rsidR="00476E77" w:rsidRPr="00682E07">
              <w:rPr>
                <w:rStyle w:val="PodtytuZnak"/>
                <w:rFonts w:ascii="Times New Roman" w:eastAsia="Calibri" w:hAnsi="Times New Roman"/>
                <w:sz w:val="22"/>
                <w:szCs w:val="22"/>
              </w:rPr>
              <w:t xml:space="preserve"> </w:t>
            </w:r>
            <w:r w:rsidR="00AF7844" w:rsidRPr="00AF7844">
              <w:rPr>
                <w:rStyle w:val="PodtytuZnak"/>
                <w:rFonts w:ascii="Times New Roman" w:eastAsia="Calibri" w:hAnsi="Times New Roman"/>
                <w:sz w:val="22"/>
                <w:szCs w:val="22"/>
              </w:rPr>
              <w:t xml:space="preserve">Ministra Finansów </w:t>
            </w:r>
            <w:r>
              <w:rPr>
                <w:rStyle w:val="PodtytuZnak"/>
                <w:rFonts w:ascii="Times New Roman" w:eastAsia="Calibri" w:hAnsi="Times New Roman"/>
                <w:sz w:val="22"/>
                <w:szCs w:val="22"/>
              </w:rPr>
              <w:t>zmieniając</w:t>
            </w:r>
            <w:r w:rsidR="00186302">
              <w:rPr>
                <w:rStyle w:val="PodtytuZnak"/>
                <w:rFonts w:ascii="Times New Roman" w:eastAsia="Calibri" w:hAnsi="Times New Roman"/>
                <w:sz w:val="22"/>
                <w:szCs w:val="22"/>
              </w:rPr>
              <w:t>ego</w:t>
            </w:r>
            <w:r>
              <w:rPr>
                <w:rStyle w:val="PodtytuZnak"/>
                <w:rFonts w:ascii="Times New Roman" w:eastAsia="Calibri" w:hAnsi="Times New Roman"/>
                <w:sz w:val="22"/>
                <w:szCs w:val="22"/>
              </w:rPr>
              <w:t xml:space="preserve"> rozporządzenie w sprawie </w:t>
            </w:r>
            <w:r w:rsidRPr="00EA4E2D">
              <w:rPr>
                <w:rStyle w:val="PodtytuZnak"/>
                <w:rFonts w:ascii="Times New Roman" w:eastAsia="Calibri" w:hAnsi="Times New Roman"/>
                <w:sz w:val="22"/>
                <w:szCs w:val="22"/>
              </w:rPr>
              <w:t>określenia innych terminów wykonania niektórych obowiązków sprawozdawczych i informacyjnych</w:t>
            </w:r>
          </w:p>
          <w:p w14:paraId="518FB47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6FA251A0" w14:textId="77777777" w:rsidR="00E821A0" w:rsidRDefault="001B2D78" w:rsidP="00E821A0">
            <w:pPr>
              <w:spacing w:line="240" w:lineRule="auto"/>
              <w:ind w:hanging="34"/>
              <w:rPr>
                <w:rFonts w:ascii="Times New Roman" w:hAnsi="Times New Roman"/>
                <w:color w:val="000000"/>
              </w:rPr>
            </w:pPr>
            <w:r>
              <w:rPr>
                <w:rFonts w:ascii="Times New Roman" w:hAnsi="Times New Roman"/>
                <w:color w:val="000000"/>
              </w:rPr>
              <w:t>Ministerstwo Finansów</w:t>
            </w:r>
          </w:p>
          <w:p w14:paraId="059BFCBD" w14:textId="0162AECC" w:rsidR="001B3460" w:rsidRPr="00E821A0" w:rsidRDefault="001B3460" w:rsidP="00E821A0">
            <w:pPr>
              <w:spacing w:line="240" w:lineRule="auto"/>
              <w:ind w:hanging="34"/>
              <w:rPr>
                <w:rFonts w:ascii="Times New Roman" w:hAnsi="Times New Roman"/>
                <w:color w:val="000000"/>
              </w:rPr>
            </w:pPr>
            <w:r w:rsidRPr="00642825">
              <w:rPr>
                <w:rFonts w:ascii="Times New Roman" w:hAnsi="Times New Roman"/>
                <w:b/>
                <w:sz w:val="21"/>
                <w:szCs w:val="24"/>
              </w:rPr>
              <w:t>Osoba odpowiedzialna za projekt w ra</w:t>
            </w:r>
            <w:r w:rsidR="00EA4E2D">
              <w:rPr>
                <w:rFonts w:ascii="Times New Roman" w:hAnsi="Times New Roman"/>
                <w:b/>
                <w:sz w:val="21"/>
                <w:szCs w:val="24"/>
              </w:rPr>
              <w:t xml:space="preserve">ndze Ministra, Sekretarza Stanu </w:t>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4C3B8E64" w14:textId="77777777" w:rsidR="00476E77" w:rsidRPr="00476E77" w:rsidRDefault="0015496E" w:rsidP="00476E77">
            <w:pPr>
              <w:spacing w:line="240" w:lineRule="auto"/>
              <w:ind w:hanging="45"/>
              <w:rPr>
                <w:rFonts w:ascii="Times New Roman" w:hAnsi="Times New Roman"/>
                <w:color w:val="000000"/>
              </w:rPr>
            </w:pPr>
            <w:r w:rsidRPr="0015496E">
              <w:rPr>
                <w:rFonts w:ascii="Times New Roman" w:hAnsi="Times New Roman"/>
                <w:color w:val="000000"/>
              </w:rPr>
              <w:t>Pan Piotr Nowak, Podsekretarz Stanu w Ministerstwie Finansów</w:t>
            </w:r>
          </w:p>
          <w:p w14:paraId="23D260DB" w14:textId="77777777" w:rsidR="00EC258E" w:rsidRDefault="006A701A" w:rsidP="00E658F6">
            <w:pPr>
              <w:spacing w:before="120"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5B622732" w14:textId="7C02D7C1" w:rsidR="00E821A0" w:rsidRPr="00E821A0" w:rsidRDefault="00E821A0" w:rsidP="00E658F6">
            <w:pPr>
              <w:spacing w:before="120" w:line="240" w:lineRule="auto"/>
              <w:rPr>
                <w:rFonts w:ascii="Times New Roman" w:hAnsi="Times New Roman"/>
                <w:color w:val="000000"/>
              </w:rPr>
            </w:pPr>
            <w:r w:rsidRPr="00E821A0">
              <w:rPr>
                <w:rFonts w:ascii="Times New Roman" w:hAnsi="Times New Roman"/>
                <w:color w:val="000000"/>
              </w:rPr>
              <w:t>Adriana Kamińska</w:t>
            </w:r>
            <w:r>
              <w:rPr>
                <w:rFonts w:ascii="Times New Roman" w:hAnsi="Times New Roman"/>
                <w:color w:val="000000"/>
              </w:rPr>
              <w:t xml:space="preserve">, </w:t>
            </w:r>
            <w:hyperlink r:id="rId8" w:history="1">
              <w:r w:rsidRPr="00E821A0">
                <w:rPr>
                  <w:rStyle w:val="Hipercze"/>
                  <w:rFonts w:ascii="Times New Roman" w:hAnsi="Times New Roman"/>
                  <w:color w:val="000000" w:themeColor="text1"/>
                  <w:u w:val="none"/>
                </w:rPr>
                <w:t>adriana.kaminska@mf.gov.pl</w:t>
              </w:r>
            </w:hyperlink>
            <w:r>
              <w:rPr>
                <w:rFonts w:ascii="Times New Roman" w:hAnsi="Times New Roman"/>
                <w:color w:val="000000"/>
              </w:rPr>
              <w:t xml:space="preserve">, 22 694 51 07; </w:t>
            </w:r>
          </w:p>
          <w:p w14:paraId="58DA72D2" w14:textId="6BA9D384" w:rsidR="00825D04" w:rsidRPr="00E658F6" w:rsidRDefault="00825D04" w:rsidP="003B305A">
            <w:pPr>
              <w:spacing w:line="240" w:lineRule="auto"/>
              <w:ind w:hanging="34"/>
              <w:rPr>
                <w:rFonts w:ascii="Times New Roman" w:hAnsi="Times New Roman"/>
                <w:color w:val="000000"/>
              </w:rPr>
            </w:pPr>
          </w:p>
        </w:tc>
        <w:tc>
          <w:tcPr>
            <w:tcW w:w="4306" w:type="dxa"/>
            <w:gridSpan w:val="12"/>
            <w:shd w:val="clear" w:color="auto" w:fill="FFFFFF"/>
          </w:tcPr>
          <w:p w14:paraId="4F73C425" w14:textId="199C18CD" w:rsidR="00F76884" w:rsidRDefault="001B3460" w:rsidP="00F76884">
            <w:pPr>
              <w:spacing w:line="240" w:lineRule="auto"/>
              <w:rPr>
                <w:rFonts w:ascii="Times New Roman" w:hAnsi="Times New Roman"/>
                <w:b/>
              </w:rPr>
            </w:pPr>
            <w:r w:rsidRPr="00642825">
              <w:rPr>
                <w:rFonts w:ascii="Times New Roman" w:hAnsi="Times New Roman"/>
                <w:b/>
                <w:sz w:val="21"/>
                <w:szCs w:val="21"/>
              </w:rPr>
              <w:t>Data sporządzenia</w:t>
            </w:r>
            <w:r w:rsidR="008E2BE0">
              <w:rPr>
                <w:rFonts w:ascii="Times New Roman" w:hAnsi="Times New Roman"/>
                <w:b/>
                <w:sz w:val="21"/>
                <w:szCs w:val="21"/>
              </w:rPr>
              <w:t>:</w:t>
            </w:r>
            <w:r w:rsidR="0015496E">
              <w:rPr>
                <w:rFonts w:ascii="Times New Roman" w:hAnsi="Times New Roman"/>
                <w:b/>
                <w:sz w:val="21"/>
                <w:szCs w:val="21"/>
              </w:rPr>
              <w:t xml:space="preserve"> </w:t>
            </w:r>
            <w:r w:rsidR="00E15455">
              <w:rPr>
                <w:rFonts w:ascii="Times New Roman" w:hAnsi="Times New Roman"/>
                <w:b/>
                <w:sz w:val="21"/>
                <w:szCs w:val="21"/>
              </w:rPr>
              <w:t>24</w:t>
            </w:r>
            <w:r w:rsidR="00EA4E2D">
              <w:rPr>
                <w:rFonts w:ascii="Times New Roman" w:hAnsi="Times New Roman"/>
                <w:b/>
                <w:sz w:val="21"/>
                <w:szCs w:val="21"/>
              </w:rPr>
              <w:t xml:space="preserve"> sierpnia</w:t>
            </w:r>
            <w:r w:rsidR="001342B2">
              <w:rPr>
                <w:rFonts w:ascii="Times New Roman" w:hAnsi="Times New Roman"/>
                <w:b/>
                <w:sz w:val="21"/>
                <w:szCs w:val="21"/>
              </w:rPr>
              <w:t xml:space="preserve"> </w:t>
            </w:r>
            <w:r w:rsidR="0055158C">
              <w:rPr>
                <w:rFonts w:ascii="Times New Roman" w:hAnsi="Times New Roman"/>
                <w:b/>
                <w:sz w:val="21"/>
                <w:szCs w:val="21"/>
              </w:rPr>
              <w:t>2020</w:t>
            </w:r>
            <w:r w:rsidR="0015496E">
              <w:rPr>
                <w:rFonts w:ascii="Times New Roman" w:hAnsi="Times New Roman"/>
                <w:b/>
                <w:sz w:val="21"/>
                <w:szCs w:val="21"/>
              </w:rPr>
              <w:t xml:space="preserve"> r.</w:t>
            </w:r>
            <w:r w:rsidRPr="00642825">
              <w:rPr>
                <w:rFonts w:ascii="Times New Roman" w:hAnsi="Times New Roman"/>
                <w:b/>
                <w:sz w:val="21"/>
                <w:szCs w:val="21"/>
              </w:rPr>
              <w:br/>
            </w:r>
          </w:p>
          <w:p w14:paraId="0DD91D9F" w14:textId="77777777" w:rsidR="00FD4053" w:rsidRDefault="00F76884" w:rsidP="00F76884">
            <w:pPr>
              <w:spacing w:line="240" w:lineRule="auto"/>
              <w:rPr>
                <w:rFonts w:ascii="Times New Roman" w:hAnsi="Times New Roman"/>
                <w:b/>
              </w:rPr>
            </w:pPr>
            <w:r w:rsidRPr="0065019F">
              <w:rPr>
                <w:rFonts w:ascii="Times New Roman" w:hAnsi="Times New Roman"/>
                <w:b/>
              </w:rPr>
              <w:t>Źródło:</w:t>
            </w:r>
          </w:p>
          <w:p w14:paraId="2738A1D3" w14:textId="6DB53936" w:rsidR="00F76884" w:rsidRPr="00FD4053" w:rsidRDefault="00FD4053" w:rsidP="00F76884">
            <w:pPr>
              <w:spacing w:line="240" w:lineRule="auto"/>
              <w:rPr>
                <w:rFonts w:ascii="Times New Roman" w:hAnsi="Times New Roman"/>
              </w:rPr>
            </w:pPr>
            <w:bookmarkStart w:id="2" w:name="Lista1"/>
            <w:r w:rsidRPr="00FD4053">
              <w:rPr>
                <w:rFonts w:ascii="Times New Roman" w:hAnsi="Times New Roman"/>
              </w:rPr>
              <w:t>A</w:t>
            </w:r>
            <w:r w:rsidRPr="00FD4053">
              <w:rPr>
                <w:rFonts w:ascii="Times New Roman" w:hAnsi="Times New Roman"/>
                <w:bCs/>
              </w:rPr>
              <w:t>rt. 15zzg ust. 1 ustawy z dnia 2 marca 2020 r. o szczególnych rozwiązaniach związanych z zapobieganiem, przeciwdziałaniem i zwalczaniem COVID-19, innych chorób zakaźnych oraz wywołanych nimi sytuacji kryzysowych (Dz. U. poz. 374 z późn. zm.</w:t>
            </w:r>
            <w:r>
              <w:rPr>
                <w:rFonts w:ascii="Times New Roman" w:hAnsi="Times New Roman"/>
                <w:bCs/>
              </w:rPr>
              <w:t>)</w:t>
            </w:r>
          </w:p>
          <w:bookmarkEnd w:id="2"/>
          <w:p w14:paraId="1562E432" w14:textId="77777777" w:rsidR="00FD4053" w:rsidRDefault="00FD4053" w:rsidP="00663FBB">
            <w:pPr>
              <w:spacing w:line="240" w:lineRule="auto"/>
              <w:rPr>
                <w:rFonts w:ascii="Times New Roman" w:hAnsi="Times New Roman"/>
              </w:rPr>
            </w:pPr>
          </w:p>
          <w:p w14:paraId="005C3120" w14:textId="2C86A433" w:rsidR="006A701A" w:rsidRDefault="006A701A" w:rsidP="00663FBB">
            <w:pPr>
              <w:spacing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0055158C">
              <w:rPr>
                <w:rFonts w:ascii="Times New Roman" w:hAnsi="Times New Roman"/>
                <w:b/>
                <w:color w:val="000000"/>
              </w:rPr>
              <w:t xml:space="preserve"> prac</w:t>
            </w:r>
            <w:r w:rsidR="00186302">
              <w:rPr>
                <w:rFonts w:ascii="Times New Roman" w:hAnsi="Times New Roman"/>
                <w:b/>
                <w:color w:val="000000"/>
              </w:rPr>
              <w:t xml:space="preserve"> legislacyjnych Ministra Finansów</w:t>
            </w:r>
            <w:r w:rsidR="00405805">
              <w:rPr>
                <w:rFonts w:ascii="Times New Roman" w:hAnsi="Times New Roman"/>
                <w:b/>
                <w:color w:val="000000"/>
              </w:rPr>
              <w:t>: 219</w:t>
            </w:r>
          </w:p>
          <w:p w14:paraId="6BD5528B" w14:textId="77777777" w:rsidR="0023276B" w:rsidRPr="0023276B" w:rsidRDefault="0023276B" w:rsidP="00663FBB">
            <w:pPr>
              <w:spacing w:line="240" w:lineRule="auto"/>
              <w:rPr>
                <w:rFonts w:ascii="Times New Roman" w:hAnsi="Times New Roman"/>
                <w:color w:val="000000"/>
                <w:sz w:val="28"/>
                <w:szCs w:val="28"/>
              </w:rPr>
            </w:pPr>
          </w:p>
        </w:tc>
      </w:tr>
      <w:tr w:rsidR="006A701A" w:rsidRPr="0022687A" w14:paraId="2404E0CB" w14:textId="77777777" w:rsidTr="00825D04">
        <w:trPr>
          <w:gridAfter w:val="1"/>
          <w:wAfter w:w="10" w:type="dxa"/>
          <w:trHeight w:val="547"/>
        </w:trPr>
        <w:tc>
          <w:tcPr>
            <w:tcW w:w="10937" w:type="dxa"/>
            <w:gridSpan w:val="30"/>
            <w:shd w:val="clear" w:color="auto" w:fill="99CCFF"/>
          </w:tcPr>
          <w:p w14:paraId="4E8A2045"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633F8BD9" w14:textId="77777777" w:rsidTr="00676C8D">
        <w:trPr>
          <w:gridAfter w:val="1"/>
          <w:wAfter w:w="10" w:type="dxa"/>
          <w:trHeight w:val="333"/>
        </w:trPr>
        <w:tc>
          <w:tcPr>
            <w:tcW w:w="10937" w:type="dxa"/>
            <w:gridSpan w:val="30"/>
            <w:shd w:val="clear" w:color="auto" w:fill="99CCFF"/>
            <w:vAlign w:val="center"/>
          </w:tcPr>
          <w:p w14:paraId="6A308A89"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6FBF0FA5" w14:textId="77777777" w:rsidTr="00676C8D">
        <w:trPr>
          <w:gridAfter w:val="1"/>
          <w:wAfter w:w="10" w:type="dxa"/>
          <w:trHeight w:val="142"/>
        </w:trPr>
        <w:tc>
          <w:tcPr>
            <w:tcW w:w="10937" w:type="dxa"/>
            <w:gridSpan w:val="30"/>
            <w:shd w:val="clear" w:color="auto" w:fill="FFFFFF"/>
          </w:tcPr>
          <w:p w14:paraId="104678C3" w14:textId="63EE345A" w:rsidR="008D57C8" w:rsidRPr="008D57C8" w:rsidRDefault="00746A62" w:rsidP="008D57C8">
            <w:pPr>
              <w:spacing w:line="240" w:lineRule="auto"/>
              <w:jc w:val="both"/>
              <w:rPr>
                <w:rFonts w:ascii="Times New Roman" w:hAnsi="Times New Roman"/>
                <w:color w:val="000000"/>
              </w:rPr>
            </w:pPr>
            <w:r w:rsidRPr="00746A62">
              <w:rPr>
                <w:rFonts w:ascii="Times New Roman" w:hAnsi="Times New Roman"/>
                <w:color w:val="000000"/>
              </w:rPr>
              <w:t>Z uwagi na trudną sytuację finansową podmiotów prowadzących działalność na rynku kapitałowym, zidentyfikowaną przez Urząd Komisji Nadzoru Finansowego, będącą następstwem obowiązującego od marca br. na obszarze całego kraju stanu epidemii, terminowe uiszczenie opłaty rocznej na pokrycie kosztów nadzoru nad rynkiem kapitałowym, może być znacznie utrudnione.</w:t>
            </w:r>
            <w:r w:rsidR="00186302">
              <w:rPr>
                <w:rFonts w:ascii="Times New Roman" w:hAnsi="Times New Roman"/>
                <w:color w:val="000000"/>
                <w:spacing w:val="-2"/>
              </w:rPr>
              <w:t xml:space="preserve"> Ze względu</w:t>
            </w:r>
            <w:r w:rsidR="00186302" w:rsidRPr="00B31838">
              <w:rPr>
                <w:rFonts w:ascii="Times New Roman" w:hAnsi="Times New Roman"/>
                <w:color w:val="000000"/>
                <w:spacing w:val="-2"/>
              </w:rPr>
              <w:t xml:space="preserve"> na powyższe</w:t>
            </w:r>
            <w:r w:rsidR="00186302">
              <w:rPr>
                <w:rFonts w:ascii="Times New Roman" w:hAnsi="Times New Roman"/>
                <w:color w:val="000000"/>
                <w:spacing w:val="-2"/>
              </w:rPr>
              <w:t xml:space="preserve"> konieczne</w:t>
            </w:r>
            <w:r w:rsidR="00186302" w:rsidRPr="00B31838">
              <w:rPr>
                <w:rFonts w:ascii="Times New Roman" w:hAnsi="Times New Roman"/>
                <w:color w:val="000000"/>
                <w:spacing w:val="-2"/>
              </w:rPr>
              <w:t xml:space="preserve"> </w:t>
            </w:r>
            <w:r w:rsidR="00186302">
              <w:rPr>
                <w:rFonts w:ascii="Times New Roman" w:hAnsi="Times New Roman"/>
                <w:color w:val="000000"/>
                <w:spacing w:val="-2"/>
              </w:rPr>
              <w:t>jest prze</w:t>
            </w:r>
            <w:r w:rsidR="00186302" w:rsidRPr="00B31838">
              <w:rPr>
                <w:rFonts w:ascii="Times New Roman" w:hAnsi="Times New Roman"/>
                <w:color w:val="000000"/>
                <w:spacing w:val="-2"/>
              </w:rPr>
              <w:t>dłużenie ter</w:t>
            </w:r>
            <w:r w:rsidR="00186302">
              <w:rPr>
                <w:rFonts w:ascii="Times New Roman" w:hAnsi="Times New Roman"/>
                <w:color w:val="000000"/>
                <w:spacing w:val="-2"/>
              </w:rPr>
              <w:t xml:space="preserve">minu określonego w </w:t>
            </w:r>
            <w:r w:rsidR="00186302" w:rsidRPr="008D57C8">
              <w:rPr>
                <w:rFonts w:ascii="Times New Roman" w:hAnsi="Times New Roman"/>
                <w:color w:val="000000"/>
                <w:spacing w:val="-2"/>
              </w:rPr>
              <w:t>§ 22 ust. 1 rozporządzenia Ministra Finansów z</w:t>
            </w:r>
            <w:r w:rsidR="00186302">
              <w:rPr>
                <w:rFonts w:ascii="Times New Roman" w:hAnsi="Times New Roman"/>
                <w:color w:val="000000"/>
                <w:spacing w:val="-2"/>
              </w:rPr>
              <w:t> </w:t>
            </w:r>
            <w:r w:rsidR="00186302" w:rsidRPr="008D57C8">
              <w:rPr>
                <w:rFonts w:ascii="Times New Roman" w:hAnsi="Times New Roman"/>
                <w:color w:val="000000"/>
                <w:spacing w:val="-2"/>
              </w:rPr>
              <w:t>dnia 17 grudnia 2019 r. w sprawie opłat na pokrycie kosztów nadzoru nad rynkiem kapitałowym (Dz. U. 2019 poz. 2486)</w:t>
            </w:r>
            <w:r w:rsidR="00186302">
              <w:rPr>
                <w:rFonts w:ascii="Times New Roman" w:hAnsi="Times New Roman"/>
                <w:color w:val="000000"/>
                <w:spacing w:val="-2"/>
              </w:rPr>
              <w:t xml:space="preserve"> do </w:t>
            </w:r>
            <w:r w:rsidR="000A7710">
              <w:rPr>
                <w:rFonts w:ascii="Times New Roman" w:hAnsi="Times New Roman"/>
                <w:color w:val="000000"/>
                <w:spacing w:val="-2"/>
              </w:rPr>
              <w:t xml:space="preserve">dnia </w:t>
            </w:r>
            <w:r w:rsidR="00186302">
              <w:rPr>
                <w:rFonts w:ascii="Times New Roman" w:hAnsi="Times New Roman"/>
                <w:color w:val="000000"/>
                <w:spacing w:val="-2"/>
              </w:rPr>
              <w:t>30 listopada br., poprzez zmianę rozporządzenia</w:t>
            </w:r>
            <w:r w:rsidR="00186302">
              <w:t xml:space="preserve"> </w:t>
            </w:r>
            <w:r w:rsidR="00186302">
              <w:rPr>
                <w:rFonts w:ascii="Times New Roman" w:hAnsi="Times New Roman"/>
              </w:rPr>
              <w:t>M</w:t>
            </w:r>
            <w:r w:rsidR="00186302" w:rsidRPr="00166DC5">
              <w:rPr>
                <w:rFonts w:ascii="Times New Roman" w:hAnsi="Times New Roman"/>
              </w:rPr>
              <w:t xml:space="preserve">inistra </w:t>
            </w:r>
            <w:r w:rsidR="00186302">
              <w:rPr>
                <w:rFonts w:ascii="Times New Roman" w:hAnsi="Times New Roman"/>
              </w:rPr>
              <w:t>F</w:t>
            </w:r>
            <w:r w:rsidR="00186302" w:rsidRPr="00166DC5">
              <w:rPr>
                <w:rFonts w:ascii="Times New Roman" w:hAnsi="Times New Roman"/>
              </w:rPr>
              <w:t>inansów</w:t>
            </w:r>
            <w:r w:rsidR="00186302">
              <w:t xml:space="preserve"> </w:t>
            </w:r>
            <w:r w:rsidR="00186302" w:rsidRPr="00166DC5">
              <w:rPr>
                <w:rFonts w:ascii="Times New Roman" w:hAnsi="Times New Roman"/>
                <w:color w:val="000000"/>
                <w:spacing w:val="-2"/>
              </w:rPr>
              <w:t>z dnia 7 kwietnia 2020 r. w sprawie określenia innych terminów wykonania niektórych obowiązków sprawozdawczych i informacyjnych</w:t>
            </w:r>
            <w:r w:rsidR="00186302">
              <w:t xml:space="preserve"> </w:t>
            </w:r>
            <w:r w:rsidR="00186302" w:rsidRPr="00166DC5">
              <w:rPr>
                <w:rFonts w:ascii="Times New Roman" w:hAnsi="Times New Roman"/>
                <w:color w:val="000000"/>
                <w:spacing w:val="-2"/>
              </w:rPr>
              <w:t>(Dz.</w:t>
            </w:r>
            <w:r w:rsidR="000A7710">
              <w:rPr>
                <w:rFonts w:ascii="Times New Roman" w:hAnsi="Times New Roman"/>
                <w:color w:val="000000"/>
                <w:spacing w:val="-2"/>
              </w:rPr>
              <w:t xml:space="preserve"> </w:t>
            </w:r>
            <w:r w:rsidR="00186302" w:rsidRPr="00166DC5">
              <w:rPr>
                <w:rFonts w:ascii="Times New Roman" w:hAnsi="Times New Roman"/>
                <w:color w:val="000000"/>
                <w:spacing w:val="-2"/>
              </w:rPr>
              <w:t>U. z 2020 r. poz. 622</w:t>
            </w:r>
            <w:r w:rsidR="001F4C9F">
              <w:rPr>
                <w:rFonts w:ascii="Times New Roman" w:hAnsi="Times New Roman"/>
                <w:color w:val="000000"/>
                <w:spacing w:val="-2"/>
              </w:rPr>
              <w:t xml:space="preserve"> i 1243</w:t>
            </w:r>
            <w:r w:rsidR="00186302">
              <w:rPr>
                <w:rFonts w:ascii="Times New Roman" w:hAnsi="Times New Roman"/>
                <w:color w:val="000000"/>
                <w:spacing w:val="-2"/>
              </w:rPr>
              <w:t>).</w:t>
            </w:r>
          </w:p>
          <w:p w14:paraId="199B23F4" w14:textId="658C61C2" w:rsidR="008D2166" w:rsidRPr="00B37C80" w:rsidRDefault="008D2166" w:rsidP="008D57C8">
            <w:pPr>
              <w:spacing w:line="240" w:lineRule="auto"/>
              <w:jc w:val="both"/>
              <w:rPr>
                <w:rFonts w:ascii="Times New Roman" w:hAnsi="Times New Roman"/>
                <w:color w:val="000000"/>
              </w:rPr>
            </w:pPr>
          </w:p>
        </w:tc>
      </w:tr>
      <w:tr w:rsidR="006A701A" w:rsidRPr="008B4FE6" w14:paraId="0AEC3379" w14:textId="77777777" w:rsidTr="00676C8D">
        <w:trPr>
          <w:gridAfter w:val="1"/>
          <w:wAfter w:w="10" w:type="dxa"/>
          <w:trHeight w:val="142"/>
        </w:trPr>
        <w:tc>
          <w:tcPr>
            <w:tcW w:w="10937" w:type="dxa"/>
            <w:gridSpan w:val="30"/>
            <w:shd w:val="clear" w:color="auto" w:fill="99CCFF"/>
            <w:vAlign w:val="center"/>
          </w:tcPr>
          <w:p w14:paraId="0FC81C23"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7B1B07D2" w14:textId="77777777" w:rsidTr="00676C8D">
        <w:trPr>
          <w:gridAfter w:val="1"/>
          <w:wAfter w:w="10" w:type="dxa"/>
          <w:trHeight w:val="142"/>
        </w:trPr>
        <w:tc>
          <w:tcPr>
            <w:tcW w:w="10937" w:type="dxa"/>
            <w:gridSpan w:val="30"/>
            <w:shd w:val="clear" w:color="auto" w:fill="auto"/>
          </w:tcPr>
          <w:p w14:paraId="01F50845" w14:textId="43BFB2F1" w:rsidR="0049126C" w:rsidRDefault="00186302" w:rsidP="00746A62">
            <w:pPr>
              <w:spacing w:line="240" w:lineRule="auto"/>
              <w:jc w:val="both"/>
              <w:rPr>
                <w:rFonts w:ascii="Times New Roman" w:hAnsi="Times New Roman"/>
              </w:rPr>
            </w:pPr>
            <w:r>
              <w:rPr>
                <w:rFonts w:ascii="Times New Roman" w:hAnsi="Times New Roman"/>
                <w:color w:val="000000"/>
                <w:spacing w:val="-2"/>
              </w:rPr>
              <w:t xml:space="preserve">Uwzględnienie w rozporządzeniu </w:t>
            </w:r>
            <w:r>
              <w:rPr>
                <w:rFonts w:ascii="Times New Roman" w:hAnsi="Times New Roman"/>
              </w:rPr>
              <w:t>M</w:t>
            </w:r>
            <w:r w:rsidRPr="00166DC5">
              <w:rPr>
                <w:rFonts w:ascii="Times New Roman" w:hAnsi="Times New Roman"/>
              </w:rPr>
              <w:t xml:space="preserve">inistra </w:t>
            </w:r>
            <w:r>
              <w:rPr>
                <w:rFonts w:ascii="Times New Roman" w:hAnsi="Times New Roman"/>
              </w:rPr>
              <w:t>F</w:t>
            </w:r>
            <w:r w:rsidRPr="00166DC5">
              <w:rPr>
                <w:rFonts w:ascii="Times New Roman" w:hAnsi="Times New Roman"/>
              </w:rPr>
              <w:t>inansów</w:t>
            </w:r>
            <w:r>
              <w:t xml:space="preserve"> </w:t>
            </w:r>
            <w:r w:rsidRPr="00166DC5">
              <w:rPr>
                <w:rFonts w:ascii="Times New Roman" w:hAnsi="Times New Roman"/>
                <w:color w:val="000000"/>
                <w:spacing w:val="-2"/>
              </w:rPr>
              <w:t>z dnia 7 kwietnia 2020 r.</w:t>
            </w:r>
            <w:r>
              <w:rPr>
                <w:rFonts w:ascii="Times New Roman" w:hAnsi="Times New Roman"/>
                <w:color w:val="000000"/>
                <w:spacing w:val="-2"/>
              </w:rPr>
              <w:t xml:space="preserve"> </w:t>
            </w:r>
            <w:r w:rsidRPr="00166DC5">
              <w:rPr>
                <w:rFonts w:ascii="Times New Roman" w:hAnsi="Times New Roman"/>
                <w:color w:val="000000"/>
                <w:spacing w:val="-2"/>
              </w:rPr>
              <w:t>w sprawie określenia innych terminów wykonania niektórych obowiązków sprawozdawczych i informacyjnych</w:t>
            </w:r>
            <w:r>
              <w:rPr>
                <w:rFonts w:ascii="Times New Roman" w:hAnsi="Times New Roman"/>
                <w:color w:val="000000"/>
                <w:spacing w:val="-2"/>
              </w:rPr>
              <w:t xml:space="preserve"> – </w:t>
            </w:r>
            <w:r w:rsidR="00913F35">
              <w:rPr>
                <w:rFonts w:ascii="Times New Roman" w:hAnsi="Times New Roman"/>
                <w:color w:val="000000"/>
                <w:spacing w:val="-2"/>
              </w:rPr>
              <w:t xml:space="preserve">zmiany </w:t>
            </w:r>
            <w:r>
              <w:rPr>
                <w:rFonts w:ascii="Times New Roman" w:hAnsi="Times New Roman"/>
                <w:color w:val="000000"/>
                <w:spacing w:val="-2"/>
              </w:rPr>
              <w:t xml:space="preserve">rozporządzenia </w:t>
            </w:r>
            <w:r w:rsidRPr="003B051C">
              <w:rPr>
                <w:rFonts w:ascii="Times New Roman" w:hAnsi="Times New Roman"/>
              </w:rPr>
              <w:t>Ministra Finansów z dnia 17 grudnia 2019 r. w sprawie opłat na pokrycie kosztów nadzoru nad rynkiem kapitałowym</w:t>
            </w:r>
            <w:r w:rsidR="00913F35">
              <w:rPr>
                <w:rFonts w:ascii="Times New Roman" w:hAnsi="Times New Roman"/>
              </w:rPr>
              <w:t>,</w:t>
            </w:r>
            <w:r w:rsidRPr="003B051C">
              <w:rPr>
                <w:rFonts w:ascii="Times New Roman" w:hAnsi="Times New Roman"/>
              </w:rPr>
              <w:t xml:space="preserve"> </w:t>
            </w:r>
            <w:r>
              <w:rPr>
                <w:rFonts w:ascii="Times New Roman" w:hAnsi="Times New Roman"/>
              </w:rPr>
              <w:t xml:space="preserve"> </w:t>
            </w:r>
            <w:r w:rsidR="00913F35">
              <w:rPr>
                <w:rFonts w:ascii="Times New Roman" w:hAnsi="Times New Roman"/>
              </w:rPr>
              <w:t>polegającej na</w:t>
            </w:r>
            <w:r>
              <w:rPr>
                <w:rFonts w:ascii="Times New Roman" w:hAnsi="Times New Roman"/>
              </w:rPr>
              <w:t xml:space="preserve"> przedłużeni</w:t>
            </w:r>
            <w:r w:rsidR="00913F35">
              <w:rPr>
                <w:rFonts w:ascii="Times New Roman" w:hAnsi="Times New Roman"/>
              </w:rPr>
              <w:t>u</w:t>
            </w:r>
            <w:r>
              <w:rPr>
                <w:rFonts w:ascii="Times New Roman" w:hAnsi="Times New Roman"/>
              </w:rPr>
              <w:t xml:space="preserve"> terminu uiszczenia opłaty rocznej na pokrycie kosztów nadzoru nad rynkiem kapitałowym pozwoli na uniknięcie przez podmioty prowadzące działalność na rynku kapitałowym dodatkowych obciążeń finansowych w postaci naliczonych odsetek.</w:t>
            </w:r>
          </w:p>
          <w:p w14:paraId="2F634FF2" w14:textId="77777777" w:rsidR="00186302" w:rsidRPr="00186302" w:rsidRDefault="00186302" w:rsidP="00746A62">
            <w:pPr>
              <w:spacing w:line="240" w:lineRule="auto"/>
              <w:jc w:val="both"/>
              <w:rPr>
                <w:rFonts w:ascii="Times New Roman" w:hAnsi="Times New Roman"/>
                <w:color w:val="000000"/>
                <w:spacing w:val="-2"/>
              </w:rPr>
            </w:pPr>
          </w:p>
          <w:p w14:paraId="70A19599" w14:textId="77777777" w:rsidR="00746A62" w:rsidRDefault="00746A62" w:rsidP="00746A62">
            <w:pPr>
              <w:spacing w:line="240" w:lineRule="auto"/>
              <w:jc w:val="both"/>
              <w:rPr>
                <w:rFonts w:ascii="Times New Roman" w:hAnsi="Times New Roman"/>
                <w:color w:val="000000"/>
                <w:spacing w:val="-2"/>
              </w:rPr>
            </w:pPr>
            <w:r w:rsidRPr="00746A62">
              <w:rPr>
                <w:rFonts w:ascii="Times New Roman" w:hAnsi="Times New Roman"/>
                <w:color w:val="000000"/>
                <w:spacing w:val="-2"/>
              </w:rPr>
              <w:t>Termin ogłoszenia komunikatu Przewodniczącego Komisji Nadzoru Finansowego, o którym mowa w § 21 powołanego rozporządzenia, tj. 31 sierpnia br. pozostaje niezmieniony.</w:t>
            </w:r>
          </w:p>
          <w:p w14:paraId="53839C96" w14:textId="2D37ECB7" w:rsidR="0049126C" w:rsidRPr="00EA2814" w:rsidRDefault="0049126C" w:rsidP="00746A62">
            <w:pPr>
              <w:spacing w:line="240" w:lineRule="auto"/>
              <w:jc w:val="both"/>
              <w:rPr>
                <w:rFonts w:ascii="Times New Roman" w:hAnsi="Times New Roman"/>
                <w:color w:val="000000"/>
                <w:spacing w:val="-2"/>
              </w:rPr>
            </w:pPr>
          </w:p>
        </w:tc>
      </w:tr>
      <w:tr w:rsidR="006A701A" w:rsidRPr="008B4FE6" w14:paraId="6932EDD3" w14:textId="77777777" w:rsidTr="00676C8D">
        <w:trPr>
          <w:gridAfter w:val="1"/>
          <w:wAfter w:w="10" w:type="dxa"/>
          <w:trHeight w:val="307"/>
        </w:trPr>
        <w:tc>
          <w:tcPr>
            <w:tcW w:w="10937" w:type="dxa"/>
            <w:gridSpan w:val="30"/>
            <w:shd w:val="clear" w:color="auto" w:fill="99CCFF"/>
            <w:vAlign w:val="center"/>
          </w:tcPr>
          <w:p w14:paraId="5708019E"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46EA72BF" w14:textId="77777777" w:rsidTr="00676C8D">
        <w:trPr>
          <w:gridAfter w:val="1"/>
          <w:wAfter w:w="10" w:type="dxa"/>
          <w:trHeight w:val="142"/>
        </w:trPr>
        <w:tc>
          <w:tcPr>
            <w:tcW w:w="10937" w:type="dxa"/>
            <w:gridSpan w:val="30"/>
            <w:shd w:val="clear" w:color="auto" w:fill="auto"/>
          </w:tcPr>
          <w:p w14:paraId="1F02BBC7" w14:textId="379345F5" w:rsidR="006A701A" w:rsidRPr="00B37C80" w:rsidRDefault="00984589" w:rsidP="00BB4981">
            <w:pPr>
              <w:spacing w:line="240" w:lineRule="auto"/>
              <w:jc w:val="both"/>
              <w:rPr>
                <w:rFonts w:ascii="Times New Roman" w:hAnsi="Times New Roman"/>
                <w:color w:val="000000"/>
                <w:spacing w:val="-2"/>
              </w:rPr>
            </w:pPr>
            <w:r w:rsidRPr="00984589">
              <w:rPr>
                <w:rFonts w:ascii="Times New Roman" w:hAnsi="Times New Roman"/>
              </w:rPr>
              <w:t xml:space="preserve">Projekt rozporządzenia </w:t>
            </w:r>
            <w:r w:rsidR="008325B9">
              <w:rPr>
                <w:rFonts w:ascii="Times New Roman" w:hAnsi="Times New Roman"/>
              </w:rPr>
              <w:t>n</w:t>
            </w:r>
            <w:r w:rsidR="00287048">
              <w:rPr>
                <w:rFonts w:ascii="Times New Roman" w:hAnsi="Times New Roman"/>
              </w:rPr>
              <w:t>i</w:t>
            </w:r>
            <w:r w:rsidR="008325B9">
              <w:rPr>
                <w:rFonts w:ascii="Times New Roman" w:hAnsi="Times New Roman"/>
              </w:rPr>
              <w:t>e wynika z implementacji aktów prawnych Unii Europejskiej</w:t>
            </w:r>
            <w:r w:rsidR="00B603AD">
              <w:rPr>
                <w:rFonts w:ascii="Times New Roman" w:hAnsi="Times New Roman"/>
              </w:rPr>
              <w:t>.</w:t>
            </w:r>
          </w:p>
        </w:tc>
      </w:tr>
      <w:tr w:rsidR="006A701A" w:rsidRPr="008B4FE6" w14:paraId="72AD8180" w14:textId="77777777" w:rsidTr="00676C8D">
        <w:trPr>
          <w:gridAfter w:val="1"/>
          <w:wAfter w:w="10" w:type="dxa"/>
          <w:trHeight w:val="359"/>
        </w:trPr>
        <w:tc>
          <w:tcPr>
            <w:tcW w:w="10937" w:type="dxa"/>
            <w:gridSpan w:val="30"/>
            <w:shd w:val="clear" w:color="auto" w:fill="99CCFF"/>
            <w:vAlign w:val="center"/>
          </w:tcPr>
          <w:p w14:paraId="2B40DEBB"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0D599FEC" w14:textId="77777777" w:rsidTr="00A96314">
        <w:trPr>
          <w:gridAfter w:val="1"/>
          <w:wAfter w:w="10" w:type="dxa"/>
          <w:trHeight w:val="142"/>
        </w:trPr>
        <w:tc>
          <w:tcPr>
            <w:tcW w:w="4253" w:type="dxa"/>
            <w:gridSpan w:val="8"/>
            <w:shd w:val="clear" w:color="auto" w:fill="auto"/>
          </w:tcPr>
          <w:p w14:paraId="054DF5F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701" w:type="dxa"/>
            <w:gridSpan w:val="7"/>
            <w:shd w:val="clear" w:color="auto" w:fill="auto"/>
          </w:tcPr>
          <w:p w14:paraId="1AE22FA5" w14:textId="5B2EF37C"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r w:rsidR="00B31838">
              <w:rPr>
                <w:rFonts w:ascii="Times New Roman" w:hAnsi="Times New Roman"/>
                <w:color w:val="000000"/>
                <w:spacing w:val="-2"/>
              </w:rPr>
              <w:t xml:space="preserve"> (stan z dn. 12.08</w:t>
            </w:r>
            <w:r w:rsidR="00152F08">
              <w:rPr>
                <w:rFonts w:ascii="Times New Roman" w:hAnsi="Times New Roman"/>
                <w:color w:val="000000"/>
                <w:spacing w:val="-2"/>
              </w:rPr>
              <w:t>.2020)</w:t>
            </w:r>
          </w:p>
        </w:tc>
        <w:tc>
          <w:tcPr>
            <w:tcW w:w="2002" w:type="dxa"/>
            <w:gridSpan w:val="9"/>
            <w:shd w:val="clear" w:color="auto" w:fill="auto"/>
          </w:tcPr>
          <w:p w14:paraId="724A8CC7"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3107A535"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D69A3" w:rsidRPr="008B4FE6" w14:paraId="4D6483B2" w14:textId="77777777" w:rsidTr="00A96314">
        <w:trPr>
          <w:gridAfter w:val="1"/>
          <w:wAfter w:w="10" w:type="dxa"/>
          <w:trHeight w:val="142"/>
        </w:trPr>
        <w:tc>
          <w:tcPr>
            <w:tcW w:w="4253" w:type="dxa"/>
            <w:gridSpan w:val="8"/>
            <w:shd w:val="clear" w:color="auto" w:fill="auto"/>
          </w:tcPr>
          <w:p w14:paraId="41B6DCE8" w14:textId="24BED55F" w:rsidR="002D69A3" w:rsidRPr="00AF6F84" w:rsidRDefault="002D69A3" w:rsidP="002D69A3">
            <w:pPr>
              <w:tabs>
                <w:tab w:val="left" w:pos="318"/>
              </w:tabs>
              <w:spacing w:line="240" w:lineRule="auto"/>
              <w:rPr>
                <w:rFonts w:ascii="Times New Roman" w:hAnsi="Times New Roman"/>
                <w:b/>
                <w:color w:val="000000"/>
                <w:spacing w:val="-2"/>
              </w:rPr>
            </w:pPr>
            <w:r w:rsidRPr="00AF6F84">
              <w:rPr>
                <w:rFonts w:ascii="Times New Roman" w:hAnsi="Times New Roman"/>
                <w:b/>
                <w:color w:val="000000"/>
                <w:spacing w:val="-2"/>
              </w:rPr>
              <w:t>I  Podmioty rynku kapitałowego:</w:t>
            </w:r>
          </w:p>
          <w:p w14:paraId="5F9101F5" w14:textId="77777777" w:rsidR="002D69A3" w:rsidRPr="00AF6F84" w:rsidRDefault="002D69A3" w:rsidP="0072636A">
            <w:pPr>
              <w:spacing w:before="40" w:line="240" w:lineRule="auto"/>
              <w:jc w:val="center"/>
              <w:rPr>
                <w:rFonts w:ascii="Times New Roman" w:hAnsi="Times New Roman"/>
                <w:b/>
                <w:color w:val="000000"/>
                <w:spacing w:val="-2"/>
              </w:rPr>
            </w:pPr>
          </w:p>
        </w:tc>
        <w:tc>
          <w:tcPr>
            <w:tcW w:w="1701" w:type="dxa"/>
            <w:gridSpan w:val="7"/>
            <w:shd w:val="clear" w:color="auto" w:fill="auto"/>
          </w:tcPr>
          <w:p w14:paraId="5904FABB" w14:textId="77777777" w:rsidR="002D69A3" w:rsidRPr="00AF6F84" w:rsidRDefault="002D69A3" w:rsidP="0072636A">
            <w:pPr>
              <w:spacing w:before="40" w:line="240" w:lineRule="auto"/>
              <w:jc w:val="center"/>
              <w:rPr>
                <w:rFonts w:ascii="Times New Roman" w:hAnsi="Times New Roman"/>
                <w:b/>
                <w:color w:val="000000"/>
                <w:spacing w:val="-2"/>
              </w:rPr>
            </w:pPr>
          </w:p>
        </w:tc>
        <w:tc>
          <w:tcPr>
            <w:tcW w:w="2002" w:type="dxa"/>
            <w:gridSpan w:val="9"/>
            <w:shd w:val="clear" w:color="auto" w:fill="auto"/>
          </w:tcPr>
          <w:p w14:paraId="2F13B2E6" w14:textId="5CB418EA" w:rsidR="002D69A3" w:rsidRPr="00AF6F84" w:rsidRDefault="002D69A3" w:rsidP="0072636A">
            <w:pPr>
              <w:spacing w:before="40" w:line="240" w:lineRule="auto"/>
              <w:jc w:val="center"/>
              <w:rPr>
                <w:rFonts w:ascii="Times New Roman" w:hAnsi="Times New Roman"/>
                <w:b/>
                <w:color w:val="000000"/>
                <w:spacing w:val="-2"/>
              </w:rPr>
            </w:pPr>
            <w:r w:rsidRPr="00AF6F84">
              <w:rPr>
                <w:rFonts w:ascii="Times New Roman" w:hAnsi="Times New Roman"/>
                <w:b/>
                <w:color w:val="000000"/>
                <w:spacing w:val="-2"/>
              </w:rPr>
              <w:t>UKNF</w:t>
            </w:r>
          </w:p>
        </w:tc>
        <w:tc>
          <w:tcPr>
            <w:tcW w:w="2981" w:type="dxa"/>
            <w:gridSpan w:val="6"/>
            <w:shd w:val="clear" w:color="auto" w:fill="auto"/>
          </w:tcPr>
          <w:p w14:paraId="21C2E8AA" w14:textId="24B610B1" w:rsidR="002D69A3" w:rsidRPr="00B31838" w:rsidRDefault="00B31838" w:rsidP="00B31838">
            <w:pPr>
              <w:spacing w:before="40" w:line="240" w:lineRule="auto"/>
              <w:rPr>
                <w:rFonts w:ascii="Times New Roman" w:hAnsi="Times New Roman"/>
                <w:color w:val="000000"/>
                <w:spacing w:val="-2"/>
              </w:rPr>
            </w:pPr>
            <w:r w:rsidRPr="00B31838">
              <w:rPr>
                <w:rFonts w:ascii="Times New Roman" w:hAnsi="Times New Roman"/>
                <w:color w:val="000000"/>
                <w:spacing w:val="-2"/>
              </w:rPr>
              <w:t>Ułatwienie spełnienia obowiązku terminowego uiszczenia opłaty rocznej na pokrycie kosztów nadzoru nad rynkiem kapitałowym</w:t>
            </w:r>
          </w:p>
        </w:tc>
      </w:tr>
      <w:tr w:rsidR="00E658F6" w:rsidRPr="008B4FE6" w14:paraId="0330DEEB" w14:textId="77777777" w:rsidTr="002D69A3">
        <w:trPr>
          <w:gridAfter w:val="1"/>
          <w:wAfter w:w="10" w:type="dxa"/>
          <w:trHeight w:val="590"/>
        </w:trPr>
        <w:tc>
          <w:tcPr>
            <w:tcW w:w="4253" w:type="dxa"/>
            <w:gridSpan w:val="8"/>
            <w:shd w:val="clear" w:color="auto" w:fill="auto"/>
          </w:tcPr>
          <w:p w14:paraId="3BD3EE38" w14:textId="6FC8B2A8" w:rsidR="00A96314" w:rsidRPr="002D69A3" w:rsidRDefault="00A96314" w:rsidP="002D69A3">
            <w:pPr>
              <w:pStyle w:val="Akapitzlist"/>
              <w:numPr>
                <w:ilvl w:val="0"/>
                <w:numId w:val="22"/>
              </w:numPr>
              <w:tabs>
                <w:tab w:val="left" w:pos="460"/>
              </w:tabs>
              <w:spacing w:after="120" w:line="240" w:lineRule="auto"/>
              <w:ind w:left="460" w:hanging="426"/>
              <w:rPr>
                <w:rFonts w:ascii="Times New Roman" w:hAnsi="Times New Roman"/>
              </w:rPr>
            </w:pPr>
            <w:r w:rsidRPr="002D69A3">
              <w:rPr>
                <w:rFonts w:ascii="Times New Roman" w:hAnsi="Times New Roman"/>
              </w:rPr>
              <w:t>towarzystwa funduszy inwestycyjnych (TFI),</w:t>
            </w:r>
          </w:p>
        </w:tc>
        <w:tc>
          <w:tcPr>
            <w:tcW w:w="1701" w:type="dxa"/>
            <w:gridSpan w:val="7"/>
            <w:shd w:val="clear" w:color="auto" w:fill="auto"/>
          </w:tcPr>
          <w:p w14:paraId="26D75266" w14:textId="5AF7A29F" w:rsidR="00197EC5" w:rsidRPr="002D69A3" w:rsidRDefault="00D06405" w:rsidP="00AF6F84">
            <w:pPr>
              <w:spacing w:after="120" w:line="240" w:lineRule="auto"/>
              <w:jc w:val="center"/>
              <w:rPr>
                <w:rFonts w:ascii="Times New Roman" w:hAnsi="Times New Roman"/>
              </w:rPr>
            </w:pPr>
            <w:r>
              <w:rPr>
                <w:rFonts w:ascii="Times New Roman" w:hAnsi="Times New Roman"/>
              </w:rPr>
              <w:t>63</w:t>
            </w:r>
          </w:p>
        </w:tc>
        <w:tc>
          <w:tcPr>
            <w:tcW w:w="2002" w:type="dxa"/>
            <w:gridSpan w:val="9"/>
            <w:shd w:val="clear" w:color="auto" w:fill="auto"/>
          </w:tcPr>
          <w:p w14:paraId="2D80D61E" w14:textId="4954FE7F" w:rsidR="00E658F6" w:rsidRPr="002D69A3" w:rsidRDefault="00E658F6" w:rsidP="002D69A3">
            <w:pPr>
              <w:spacing w:line="240" w:lineRule="auto"/>
              <w:rPr>
                <w:rFonts w:ascii="Times New Roman" w:hAnsi="Times New Roman"/>
                <w:color w:val="000000"/>
                <w:spacing w:val="-2"/>
              </w:rPr>
            </w:pPr>
          </w:p>
        </w:tc>
        <w:tc>
          <w:tcPr>
            <w:tcW w:w="2981" w:type="dxa"/>
            <w:gridSpan w:val="6"/>
            <w:shd w:val="clear" w:color="auto" w:fill="auto"/>
          </w:tcPr>
          <w:p w14:paraId="42A3062E" w14:textId="79105AB9" w:rsidR="00E658F6" w:rsidRPr="002D69A3" w:rsidRDefault="00E658F6"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12E64C14" w14:textId="77777777" w:rsidTr="002D69A3">
        <w:trPr>
          <w:gridAfter w:val="1"/>
          <w:wAfter w:w="10" w:type="dxa"/>
          <w:trHeight w:val="373"/>
        </w:trPr>
        <w:tc>
          <w:tcPr>
            <w:tcW w:w="4253" w:type="dxa"/>
            <w:gridSpan w:val="8"/>
            <w:shd w:val="clear" w:color="auto" w:fill="auto"/>
          </w:tcPr>
          <w:p w14:paraId="78403090" w14:textId="041F43CE" w:rsidR="002D69A3" w:rsidRPr="002D69A3" w:rsidRDefault="002D69A3" w:rsidP="00AF6F84">
            <w:pPr>
              <w:tabs>
                <w:tab w:val="left" w:pos="460"/>
              </w:tabs>
              <w:rPr>
                <w:rFonts w:ascii="Times New Roman" w:hAnsi="Times New Roman"/>
              </w:rPr>
            </w:pPr>
            <w:r w:rsidRPr="002D69A3">
              <w:rPr>
                <w:rFonts w:ascii="Times New Roman" w:hAnsi="Times New Roman"/>
              </w:rPr>
              <w:t>2.</w:t>
            </w:r>
            <w:r w:rsidRPr="002D69A3">
              <w:rPr>
                <w:rFonts w:ascii="Times New Roman" w:hAnsi="Times New Roman"/>
              </w:rPr>
              <w:tab/>
            </w:r>
            <w:r w:rsidR="00AF6F84">
              <w:rPr>
                <w:rFonts w:ascii="Times New Roman" w:hAnsi="Times New Roman"/>
              </w:rPr>
              <w:t>z</w:t>
            </w:r>
            <w:r w:rsidRPr="002D69A3">
              <w:rPr>
                <w:rFonts w:ascii="Times New Roman" w:hAnsi="Times New Roman"/>
              </w:rPr>
              <w:t>arządzający ASI</w:t>
            </w:r>
          </w:p>
        </w:tc>
        <w:tc>
          <w:tcPr>
            <w:tcW w:w="1701" w:type="dxa"/>
            <w:gridSpan w:val="7"/>
            <w:shd w:val="clear" w:color="auto" w:fill="auto"/>
          </w:tcPr>
          <w:p w14:paraId="5193FC59" w14:textId="0A6C4B07"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80</w:t>
            </w:r>
          </w:p>
        </w:tc>
        <w:tc>
          <w:tcPr>
            <w:tcW w:w="2002" w:type="dxa"/>
            <w:gridSpan w:val="9"/>
            <w:shd w:val="clear" w:color="auto" w:fill="auto"/>
          </w:tcPr>
          <w:p w14:paraId="3544BBB9" w14:textId="1F7F9E10"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28E2766F" w14:textId="480C6B5D"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278DC201" w14:textId="77777777" w:rsidTr="00A96314">
        <w:trPr>
          <w:gridAfter w:val="1"/>
          <w:wAfter w:w="10" w:type="dxa"/>
          <w:trHeight w:val="671"/>
        </w:trPr>
        <w:tc>
          <w:tcPr>
            <w:tcW w:w="4253" w:type="dxa"/>
            <w:gridSpan w:val="8"/>
            <w:shd w:val="clear" w:color="auto" w:fill="auto"/>
          </w:tcPr>
          <w:p w14:paraId="126AB037" w14:textId="000D07D2" w:rsidR="002D69A3" w:rsidRPr="002D69A3" w:rsidRDefault="002D69A3" w:rsidP="002D69A3">
            <w:pPr>
              <w:tabs>
                <w:tab w:val="left" w:pos="460"/>
              </w:tabs>
              <w:rPr>
                <w:rFonts w:ascii="Times New Roman" w:hAnsi="Times New Roman"/>
              </w:rPr>
            </w:pPr>
            <w:r w:rsidRPr="002D69A3">
              <w:rPr>
                <w:rFonts w:ascii="Times New Roman" w:hAnsi="Times New Roman"/>
              </w:rPr>
              <w:t>3.</w:t>
            </w:r>
            <w:r w:rsidRPr="002D69A3">
              <w:rPr>
                <w:rFonts w:ascii="Times New Roman" w:hAnsi="Times New Roman"/>
              </w:rPr>
              <w:tab/>
              <w:t>podmioty prowadzące rejestr uczestników funduszu inwestycyjnego (tzw. agenci transferowi funduszy inwestycyjnych),</w:t>
            </w:r>
          </w:p>
        </w:tc>
        <w:tc>
          <w:tcPr>
            <w:tcW w:w="1701" w:type="dxa"/>
            <w:gridSpan w:val="7"/>
            <w:shd w:val="clear" w:color="auto" w:fill="auto"/>
          </w:tcPr>
          <w:p w14:paraId="21F6EA00" w14:textId="7786F0C7"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7</w:t>
            </w:r>
          </w:p>
        </w:tc>
        <w:tc>
          <w:tcPr>
            <w:tcW w:w="2002" w:type="dxa"/>
            <w:gridSpan w:val="9"/>
            <w:shd w:val="clear" w:color="auto" w:fill="auto"/>
          </w:tcPr>
          <w:p w14:paraId="187BC86F" w14:textId="0325BFEB"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5FC51A45" w14:textId="7DDF8607"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15079DF2" w14:textId="77777777" w:rsidTr="00A96314">
        <w:trPr>
          <w:gridAfter w:val="1"/>
          <w:wAfter w:w="10" w:type="dxa"/>
          <w:trHeight w:val="671"/>
        </w:trPr>
        <w:tc>
          <w:tcPr>
            <w:tcW w:w="4253" w:type="dxa"/>
            <w:gridSpan w:val="8"/>
            <w:shd w:val="clear" w:color="auto" w:fill="auto"/>
          </w:tcPr>
          <w:p w14:paraId="08466DDC" w14:textId="2C7307CF" w:rsidR="002D69A3" w:rsidRPr="002D69A3" w:rsidRDefault="002D69A3" w:rsidP="002D69A3">
            <w:pPr>
              <w:tabs>
                <w:tab w:val="left" w:pos="460"/>
              </w:tabs>
              <w:spacing w:line="240" w:lineRule="auto"/>
              <w:rPr>
                <w:rFonts w:ascii="Times New Roman" w:hAnsi="Times New Roman"/>
                <w:color w:val="000000"/>
                <w:spacing w:val="-2"/>
              </w:rPr>
            </w:pPr>
            <w:r w:rsidRPr="002D69A3">
              <w:rPr>
                <w:rFonts w:ascii="Times New Roman" w:hAnsi="Times New Roman"/>
                <w:color w:val="000000"/>
                <w:spacing w:val="-2"/>
              </w:rPr>
              <w:lastRenderedPageBreak/>
              <w:t>4.</w:t>
            </w:r>
            <w:r w:rsidRPr="002D69A3">
              <w:rPr>
                <w:rFonts w:ascii="Times New Roman" w:hAnsi="Times New Roman"/>
                <w:color w:val="000000"/>
                <w:spacing w:val="-2"/>
              </w:rPr>
              <w:tab/>
              <w:t>podmioty pośredniczące w zbywaniu i odkupywaniu jednostek uczestnictwa funduszy inwestycyjnych, które uzyskały zezwolenie na podstawie art. 32 ust. 2 ustawy o funduszach inwestycyjnych,</w:t>
            </w:r>
          </w:p>
        </w:tc>
        <w:tc>
          <w:tcPr>
            <w:tcW w:w="1701" w:type="dxa"/>
            <w:gridSpan w:val="7"/>
            <w:shd w:val="clear" w:color="auto" w:fill="auto"/>
          </w:tcPr>
          <w:p w14:paraId="10F1430D" w14:textId="172F689E" w:rsidR="002D69A3" w:rsidRPr="002D69A3" w:rsidRDefault="004E3F8A" w:rsidP="00AF6F84">
            <w:pPr>
              <w:spacing w:line="240" w:lineRule="auto"/>
              <w:jc w:val="center"/>
              <w:rPr>
                <w:rFonts w:ascii="Times New Roman" w:hAnsi="Times New Roman"/>
                <w:color w:val="000000"/>
                <w:spacing w:val="-2"/>
              </w:rPr>
            </w:pPr>
            <w:r>
              <w:rPr>
                <w:rFonts w:ascii="Times New Roman" w:hAnsi="Times New Roman"/>
                <w:color w:val="000000"/>
                <w:spacing w:val="-2"/>
              </w:rPr>
              <w:t>75</w:t>
            </w:r>
          </w:p>
        </w:tc>
        <w:tc>
          <w:tcPr>
            <w:tcW w:w="2002" w:type="dxa"/>
            <w:gridSpan w:val="9"/>
            <w:shd w:val="clear" w:color="auto" w:fill="auto"/>
          </w:tcPr>
          <w:p w14:paraId="12A6110F" w14:textId="71CEBA4B"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07E91CEE" w14:textId="5A405A22"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3723584F" w14:textId="77777777" w:rsidTr="00A96314">
        <w:trPr>
          <w:gridAfter w:val="1"/>
          <w:wAfter w:w="10" w:type="dxa"/>
          <w:trHeight w:val="671"/>
        </w:trPr>
        <w:tc>
          <w:tcPr>
            <w:tcW w:w="4253" w:type="dxa"/>
            <w:gridSpan w:val="8"/>
            <w:shd w:val="clear" w:color="auto" w:fill="auto"/>
          </w:tcPr>
          <w:p w14:paraId="41AB9022" w14:textId="14D0241B" w:rsidR="002D69A3" w:rsidRPr="002D69A3" w:rsidRDefault="002D69A3" w:rsidP="002D69A3">
            <w:pPr>
              <w:tabs>
                <w:tab w:val="left" w:pos="460"/>
              </w:tabs>
              <w:rPr>
                <w:rFonts w:ascii="Times New Roman" w:hAnsi="Times New Roman"/>
              </w:rPr>
            </w:pPr>
            <w:r w:rsidRPr="002D69A3">
              <w:rPr>
                <w:rFonts w:ascii="Times New Roman" w:hAnsi="Times New Roman"/>
              </w:rPr>
              <w:t>5.</w:t>
            </w:r>
            <w:r w:rsidRPr="002D69A3">
              <w:rPr>
                <w:rFonts w:ascii="Times New Roman" w:hAnsi="Times New Roman"/>
              </w:rPr>
              <w:tab/>
              <w:t>podmioty zarządzające sekurytyzowanymi wierzytelnościami funduszu sekurytyzacyjnego,</w:t>
            </w:r>
          </w:p>
        </w:tc>
        <w:tc>
          <w:tcPr>
            <w:tcW w:w="1701" w:type="dxa"/>
            <w:gridSpan w:val="7"/>
            <w:shd w:val="clear" w:color="auto" w:fill="auto"/>
          </w:tcPr>
          <w:p w14:paraId="5F18E6A2" w14:textId="07AB3F6C" w:rsidR="002D69A3" w:rsidRPr="002D69A3" w:rsidRDefault="00D06405" w:rsidP="00AF6F84">
            <w:pPr>
              <w:spacing w:line="240" w:lineRule="auto"/>
              <w:jc w:val="center"/>
              <w:rPr>
                <w:rFonts w:ascii="Times New Roman" w:hAnsi="Times New Roman"/>
                <w:color w:val="000000"/>
                <w:spacing w:val="-2"/>
              </w:rPr>
            </w:pPr>
            <w:r>
              <w:rPr>
                <w:rFonts w:ascii="Times New Roman" w:hAnsi="Times New Roman"/>
                <w:color w:val="000000"/>
                <w:spacing w:val="-2"/>
              </w:rPr>
              <w:t>43</w:t>
            </w:r>
          </w:p>
        </w:tc>
        <w:tc>
          <w:tcPr>
            <w:tcW w:w="2002" w:type="dxa"/>
            <w:gridSpan w:val="9"/>
            <w:shd w:val="clear" w:color="auto" w:fill="auto"/>
          </w:tcPr>
          <w:p w14:paraId="5954C23F" w14:textId="4C712263"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23ACCC38" w14:textId="22CDCE54"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4A55F4BD" w14:textId="77777777" w:rsidTr="00A96314">
        <w:trPr>
          <w:gridAfter w:val="1"/>
          <w:wAfter w:w="10" w:type="dxa"/>
          <w:trHeight w:val="671"/>
        </w:trPr>
        <w:tc>
          <w:tcPr>
            <w:tcW w:w="4253" w:type="dxa"/>
            <w:gridSpan w:val="8"/>
            <w:shd w:val="clear" w:color="auto" w:fill="auto"/>
          </w:tcPr>
          <w:p w14:paraId="68B66189" w14:textId="57496BB0" w:rsidR="002D69A3" w:rsidRPr="002D69A3" w:rsidRDefault="002D69A3" w:rsidP="002D69A3">
            <w:pPr>
              <w:tabs>
                <w:tab w:val="left" w:pos="460"/>
              </w:tabs>
              <w:rPr>
                <w:rFonts w:ascii="Times New Roman" w:hAnsi="Times New Roman"/>
              </w:rPr>
            </w:pPr>
            <w:r w:rsidRPr="002D69A3">
              <w:rPr>
                <w:rFonts w:ascii="Times New Roman" w:hAnsi="Times New Roman"/>
              </w:rPr>
              <w:t>6.</w:t>
            </w:r>
            <w:r w:rsidRPr="002D69A3">
              <w:rPr>
                <w:rFonts w:ascii="Times New Roman" w:hAnsi="Times New Roman"/>
              </w:rPr>
              <w:tab/>
              <w:t>spółki prowadzące giełdę papierów wartościowych,</w:t>
            </w:r>
          </w:p>
        </w:tc>
        <w:tc>
          <w:tcPr>
            <w:tcW w:w="1701" w:type="dxa"/>
            <w:gridSpan w:val="7"/>
            <w:shd w:val="clear" w:color="auto" w:fill="auto"/>
          </w:tcPr>
          <w:p w14:paraId="37C8BC35" w14:textId="1D87982D"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2AE90543" w14:textId="7C946DCD"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487BA42C" w14:textId="2B4120CF"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2B7F0EAF" w14:textId="77777777" w:rsidTr="002D69A3">
        <w:trPr>
          <w:gridAfter w:val="1"/>
          <w:wAfter w:w="10" w:type="dxa"/>
          <w:trHeight w:val="375"/>
        </w:trPr>
        <w:tc>
          <w:tcPr>
            <w:tcW w:w="4253" w:type="dxa"/>
            <w:gridSpan w:val="8"/>
            <w:shd w:val="clear" w:color="auto" w:fill="auto"/>
          </w:tcPr>
          <w:p w14:paraId="3BA6BAD7" w14:textId="576EF8BE" w:rsidR="002D69A3" w:rsidRPr="002D69A3" w:rsidRDefault="002D69A3" w:rsidP="002D69A3">
            <w:pPr>
              <w:tabs>
                <w:tab w:val="left" w:pos="460"/>
              </w:tabs>
              <w:rPr>
                <w:rFonts w:ascii="Times New Roman" w:hAnsi="Times New Roman"/>
              </w:rPr>
            </w:pPr>
            <w:r w:rsidRPr="002D69A3">
              <w:rPr>
                <w:rFonts w:ascii="Times New Roman" w:hAnsi="Times New Roman"/>
              </w:rPr>
              <w:t>7.</w:t>
            </w:r>
            <w:r w:rsidRPr="002D69A3">
              <w:rPr>
                <w:rFonts w:ascii="Times New Roman" w:hAnsi="Times New Roman"/>
              </w:rPr>
              <w:tab/>
              <w:t>spółki prowadzące rynek pozagiełdowy,</w:t>
            </w:r>
          </w:p>
        </w:tc>
        <w:tc>
          <w:tcPr>
            <w:tcW w:w="1701" w:type="dxa"/>
            <w:gridSpan w:val="7"/>
            <w:shd w:val="clear" w:color="auto" w:fill="auto"/>
          </w:tcPr>
          <w:p w14:paraId="065A97E3" w14:textId="75E5ACAB"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5C818168" w14:textId="2F698AE0"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6F4E577B" w14:textId="6545520C"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4F50A27C" w14:textId="77777777" w:rsidTr="002D69A3">
        <w:trPr>
          <w:gridAfter w:val="1"/>
          <w:wAfter w:w="10" w:type="dxa"/>
          <w:trHeight w:val="578"/>
        </w:trPr>
        <w:tc>
          <w:tcPr>
            <w:tcW w:w="4253" w:type="dxa"/>
            <w:gridSpan w:val="8"/>
            <w:shd w:val="clear" w:color="auto" w:fill="auto"/>
          </w:tcPr>
          <w:p w14:paraId="5DC273BE" w14:textId="74875E98" w:rsidR="002D69A3" w:rsidRPr="002D69A3" w:rsidRDefault="002D69A3" w:rsidP="002D69A3">
            <w:pPr>
              <w:tabs>
                <w:tab w:val="left" w:pos="460"/>
              </w:tabs>
              <w:rPr>
                <w:rFonts w:ascii="Times New Roman" w:hAnsi="Times New Roman"/>
              </w:rPr>
            </w:pPr>
            <w:r w:rsidRPr="002D69A3">
              <w:rPr>
                <w:rFonts w:ascii="Times New Roman" w:hAnsi="Times New Roman"/>
              </w:rPr>
              <w:t>8.</w:t>
            </w:r>
            <w:r w:rsidRPr="002D69A3">
              <w:rPr>
                <w:rFonts w:ascii="Times New Roman" w:hAnsi="Times New Roman"/>
              </w:rPr>
              <w:tab/>
              <w:t>Krajowy Depozyt Papierów Wartościowych,</w:t>
            </w:r>
          </w:p>
        </w:tc>
        <w:tc>
          <w:tcPr>
            <w:tcW w:w="1701" w:type="dxa"/>
            <w:gridSpan w:val="7"/>
            <w:shd w:val="clear" w:color="auto" w:fill="auto"/>
          </w:tcPr>
          <w:p w14:paraId="07DF18F8" w14:textId="071E106A"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14CD8683" w14:textId="766B8CFD"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2BAE0DB5" w14:textId="7F017828"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6200B668" w14:textId="77777777" w:rsidTr="00A96314">
        <w:trPr>
          <w:gridAfter w:val="1"/>
          <w:wAfter w:w="10" w:type="dxa"/>
          <w:trHeight w:val="671"/>
        </w:trPr>
        <w:tc>
          <w:tcPr>
            <w:tcW w:w="4253" w:type="dxa"/>
            <w:gridSpan w:val="8"/>
            <w:shd w:val="clear" w:color="auto" w:fill="auto"/>
          </w:tcPr>
          <w:p w14:paraId="7FB74682" w14:textId="30B395D2" w:rsidR="002D69A3" w:rsidRPr="002D69A3" w:rsidRDefault="002D69A3" w:rsidP="002D69A3">
            <w:pPr>
              <w:tabs>
                <w:tab w:val="left" w:pos="460"/>
              </w:tabs>
              <w:rPr>
                <w:rFonts w:ascii="Times New Roman" w:hAnsi="Times New Roman"/>
              </w:rPr>
            </w:pPr>
            <w:r w:rsidRPr="002D69A3">
              <w:rPr>
                <w:rFonts w:ascii="Times New Roman" w:hAnsi="Times New Roman"/>
              </w:rPr>
              <w:t>9.</w:t>
            </w:r>
            <w:r w:rsidRPr="002D69A3">
              <w:rPr>
                <w:rFonts w:ascii="Times New Roman" w:hAnsi="Times New Roman"/>
              </w:rPr>
              <w:tab/>
              <w:t>spółki prowadzące izbę rozliczeniową oraz spółki, którym Krajowy Depozyt Papierów Wartościowych przekazał wykonywanie czynności z zakresu rozliczania transakcji,</w:t>
            </w:r>
          </w:p>
        </w:tc>
        <w:tc>
          <w:tcPr>
            <w:tcW w:w="1701" w:type="dxa"/>
            <w:gridSpan w:val="7"/>
            <w:shd w:val="clear" w:color="auto" w:fill="auto"/>
          </w:tcPr>
          <w:p w14:paraId="3518D859" w14:textId="27686264"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2</w:t>
            </w:r>
          </w:p>
        </w:tc>
        <w:tc>
          <w:tcPr>
            <w:tcW w:w="2002" w:type="dxa"/>
            <w:gridSpan w:val="9"/>
            <w:shd w:val="clear" w:color="auto" w:fill="auto"/>
          </w:tcPr>
          <w:p w14:paraId="15309032" w14:textId="611BCCA4"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03189B0B" w14:textId="170CCCDC"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161073BB" w14:textId="77777777" w:rsidTr="00A96314">
        <w:trPr>
          <w:gridAfter w:val="1"/>
          <w:wAfter w:w="10" w:type="dxa"/>
          <w:trHeight w:val="671"/>
        </w:trPr>
        <w:tc>
          <w:tcPr>
            <w:tcW w:w="4253" w:type="dxa"/>
            <w:gridSpan w:val="8"/>
            <w:shd w:val="clear" w:color="auto" w:fill="auto"/>
          </w:tcPr>
          <w:p w14:paraId="7FF0BACD" w14:textId="0844EE19" w:rsidR="002D69A3" w:rsidRPr="002D69A3" w:rsidRDefault="002D69A3" w:rsidP="002D69A3">
            <w:pPr>
              <w:tabs>
                <w:tab w:val="left" w:pos="460"/>
              </w:tabs>
              <w:rPr>
                <w:rFonts w:ascii="Times New Roman" w:hAnsi="Times New Roman"/>
              </w:rPr>
            </w:pPr>
            <w:r w:rsidRPr="002D69A3">
              <w:rPr>
                <w:rFonts w:ascii="Times New Roman" w:hAnsi="Times New Roman"/>
              </w:rPr>
              <w:t>10.</w:t>
            </w:r>
            <w:r w:rsidRPr="002D69A3">
              <w:rPr>
                <w:rFonts w:ascii="Times New Roman" w:hAnsi="Times New Roman"/>
              </w:rPr>
              <w:tab/>
              <w:t>spółki prowadzące izbę rozliczeniową i rozrachunkową, która wykonuje funkcję giełdowej izby rozrachunkowej,</w:t>
            </w:r>
          </w:p>
        </w:tc>
        <w:tc>
          <w:tcPr>
            <w:tcW w:w="1701" w:type="dxa"/>
            <w:gridSpan w:val="7"/>
            <w:shd w:val="clear" w:color="auto" w:fill="auto"/>
          </w:tcPr>
          <w:p w14:paraId="513B4EA5" w14:textId="6A934C6D"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6B44F9AA" w14:textId="01355E4F"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502AD3E9" w14:textId="02869CAE"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320521CF" w14:textId="77777777" w:rsidTr="002D69A3">
        <w:trPr>
          <w:gridAfter w:val="1"/>
          <w:wAfter w:w="10" w:type="dxa"/>
          <w:trHeight w:val="322"/>
        </w:trPr>
        <w:tc>
          <w:tcPr>
            <w:tcW w:w="4253" w:type="dxa"/>
            <w:gridSpan w:val="8"/>
            <w:shd w:val="clear" w:color="auto" w:fill="auto"/>
          </w:tcPr>
          <w:p w14:paraId="4E47237A" w14:textId="279402F6" w:rsidR="002D69A3" w:rsidRPr="002D69A3" w:rsidRDefault="002D69A3" w:rsidP="002D69A3">
            <w:pPr>
              <w:tabs>
                <w:tab w:val="left" w:pos="460"/>
              </w:tabs>
              <w:rPr>
                <w:rFonts w:ascii="Times New Roman" w:hAnsi="Times New Roman"/>
              </w:rPr>
            </w:pPr>
            <w:r w:rsidRPr="002D69A3">
              <w:rPr>
                <w:rFonts w:ascii="Times New Roman" w:hAnsi="Times New Roman"/>
              </w:rPr>
              <w:t>11.</w:t>
            </w:r>
            <w:r w:rsidRPr="002D69A3">
              <w:rPr>
                <w:rFonts w:ascii="Times New Roman" w:hAnsi="Times New Roman"/>
              </w:rPr>
              <w:tab/>
              <w:t>domy maklerskie,</w:t>
            </w:r>
          </w:p>
        </w:tc>
        <w:tc>
          <w:tcPr>
            <w:tcW w:w="1701" w:type="dxa"/>
            <w:gridSpan w:val="7"/>
            <w:shd w:val="clear" w:color="auto" w:fill="auto"/>
          </w:tcPr>
          <w:p w14:paraId="1A28D950" w14:textId="5055146E" w:rsidR="002D69A3" w:rsidRPr="002D69A3" w:rsidRDefault="00191F4C" w:rsidP="00AF6F84">
            <w:pPr>
              <w:spacing w:line="240" w:lineRule="auto"/>
              <w:jc w:val="center"/>
              <w:rPr>
                <w:rFonts w:ascii="Times New Roman" w:hAnsi="Times New Roman"/>
                <w:color w:val="000000"/>
                <w:spacing w:val="-2"/>
              </w:rPr>
            </w:pPr>
            <w:r>
              <w:rPr>
                <w:rFonts w:ascii="Times New Roman" w:hAnsi="Times New Roman"/>
                <w:color w:val="000000"/>
                <w:spacing w:val="-2"/>
              </w:rPr>
              <w:t>40</w:t>
            </w:r>
          </w:p>
        </w:tc>
        <w:tc>
          <w:tcPr>
            <w:tcW w:w="2002" w:type="dxa"/>
            <w:gridSpan w:val="9"/>
            <w:shd w:val="clear" w:color="auto" w:fill="auto"/>
          </w:tcPr>
          <w:p w14:paraId="2C258B4F" w14:textId="14F71DCD"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375E26D9" w14:textId="776FBEC9"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0E491941" w14:textId="77777777" w:rsidTr="002D69A3">
        <w:trPr>
          <w:gridAfter w:val="1"/>
          <w:wAfter w:w="10" w:type="dxa"/>
          <w:trHeight w:val="357"/>
        </w:trPr>
        <w:tc>
          <w:tcPr>
            <w:tcW w:w="4253" w:type="dxa"/>
            <w:gridSpan w:val="8"/>
            <w:shd w:val="clear" w:color="auto" w:fill="auto"/>
          </w:tcPr>
          <w:p w14:paraId="7E949BF5" w14:textId="16F3F1E8" w:rsidR="002D69A3" w:rsidRPr="002D69A3" w:rsidRDefault="002D69A3" w:rsidP="002D69A3">
            <w:pPr>
              <w:tabs>
                <w:tab w:val="left" w:pos="460"/>
              </w:tabs>
              <w:rPr>
                <w:rFonts w:ascii="Times New Roman" w:hAnsi="Times New Roman"/>
              </w:rPr>
            </w:pPr>
            <w:r w:rsidRPr="002D69A3">
              <w:rPr>
                <w:rFonts w:ascii="Times New Roman" w:hAnsi="Times New Roman"/>
              </w:rPr>
              <w:t>12.</w:t>
            </w:r>
            <w:r w:rsidRPr="002D69A3">
              <w:rPr>
                <w:rFonts w:ascii="Times New Roman" w:hAnsi="Times New Roman"/>
              </w:rPr>
              <w:tab/>
              <w:t>agenci firm inwestycyjnych,</w:t>
            </w:r>
          </w:p>
        </w:tc>
        <w:tc>
          <w:tcPr>
            <w:tcW w:w="1701" w:type="dxa"/>
            <w:gridSpan w:val="7"/>
            <w:shd w:val="clear" w:color="auto" w:fill="auto"/>
          </w:tcPr>
          <w:p w14:paraId="262FF101" w14:textId="02BFEA79" w:rsidR="002D69A3" w:rsidRPr="002D69A3" w:rsidRDefault="003647BD" w:rsidP="00AF6F84">
            <w:pPr>
              <w:spacing w:line="240" w:lineRule="auto"/>
              <w:jc w:val="center"/>
              <w:rPr>
                <w:rFonts w:ascii="Times New Roman" w:hAnsi="Times New Roman"/>
                <w:color w:val="000000"/>
                <w:spacing w:val="-2"/>
              </w:rPr>
            </w:pPr>
            <w:r>
              <w:rPr>
                <w:rFonts w:ascii="Times New Roman" w:hAnsi="Times New Roman"/>
                <w:color w:val="000000"/>
                <w:spacing w:val="-2"/>
              </w:rPr>
              <w:t>26</w:t>
            </w:r>
            <w:r w:rsidR="002D69A3" w:rsidRPr="002D69A3">
              <w:rPr>
                <w:rFonts w:ascii="Times New Roman" w:hAnsi="Times New Roman"/>
                <w:color w:val="000000"/>
                <w:spacing w:val="-2"/>
              </w:rPr>
              <w:t>9</w:t>
            </w:r>
          </w:p>
        </w:tc>
        <w:tc>
          <w:tcPr>
            <w:tcW w:w="2002" w:type="dxa"/>
            <w:gridSpan w:val="9"/>
            <w:shd w:val="clear" w:color="auto" w:fill="auto"/>
          </w:tcPr>
          <w:p w14:paraId="183D7587" w14:textId="77084BC5"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08D27E6F" w14:textId="673F00A3"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38E5A6CE" w14:textId="77777777" w:rsidTr="00A96314">
        <w:trPr>
          <w:gridAfter w:val="1"/>
          <w:wAfter w:w="10" w:type="dxa"/>
          <w:trHeight w:val="671"/>
        </w:trPr>
        <w:tc>
          <w:tcPr>
            <w:tcW w:w="4253" w:type="dxa"/>
            <w:gridSpan w:val="8"/>
            <w:shd w:val="clear" w:color="auto" w:fill="auto"/>
          </w:tcPr>
          <w:p w14:paraId="6374F9B8" w14:textId="16ECD6AA" w:rsidR="002D69A3" w:rsidRPr="002D69A3" w:rsidRDefault="002D69A3" w:rsidP="002D69A3">
            <w:pPr>
              <w:tabs>
                <w:tab w:val="left" w:pos="460"/>
              </w:tabs>
              <w:rPr>
                <w:rFonts w:ascii="Times New Roman" w:hAnsi="Times New Roman"/>
              </w:rPr>
            </w:pPr>
            <w:r w:rsidRPr="002D69A3">
              <w:rPr>
                <w:rFonts w:ascii="Times New Roman" w:hAnsi="Times New Roman"/>
              </w:rPr>
              <w:t>13.</w:t>
            </w:r>
            <w:r w:rsidRPr="002D69A3">
              <w:rPr>
                <w:rFonts w:ascii="Times New Roman" w:hAnsi="Times New Roman"/>
              </w:rPr>
              <w:tab/>
              <w:t>zagraniczne firmy inwestycyjne prowadzące działalność maklerską na terytorium Rzeczypospolitej Polskiej w formie oddziału oraz zagraniczne osoby prawne prowadzące taką działalność na terytorium Rzeczypospolitej Polskiej,</w:t>
            </w:r>
          </w:p>
        </w:tc>
        <w:tc>
          <w:tcPr>
            <w:tcW w:w="1701" w:type="dxa"/>
            <w:gridSpan w:val="7"/>
            <w:shd w:val="clear" w:color="auto" w:fill="auto"/>
          </w:tcPr>
          <w:p w14:paraId="297E542D" w14:textId="20AC1893" w:rsidR="002D69A3" w:rsidRPr="002D69A3" w:rsidRDefault="00102BC9" w:rsidP="00AF6F84">
            <w:pPr>
              <w:spacing w:line="240" w:lineRule="auto"/>
              <w:jc w:val="center"/>
              <w:rPr>
                <w:rFonts w:ascii="Times New Roman" w:hAnsi="Times New Roman"/>
                <w:color w:val="000000"/>
                <w:spacing w:val="-2"/>
              </w:rPr>
            </w:pPr>
            <w:r>
              <w:rPr>
                <w:rFonts w:ascii="Times New Roman" w:hAnsi="Times New Roman"/>
                <w:color w:val="000000"/>
                <w:spacing w:val="-2"/>
              </w:rPr>
              <w:t>18</w:t>
            </w:r>
          </w:p>
        </w:tc>
        <w:tc>
          <w:tcPr>
            <w:tcW w:w="2002" w:type="dxa"/>
            <w:gridSpan w:val="9"/>
            <w:shd w:val="clear" w:color="auto" w:fill="auto"/>
          </w:tcPr>
          <w:p w14:paraId="6E701537" w14:textId="548FBC0D"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5CEADB23" w14:textId="144FCD9D"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280250C0" w14:textId="77777777" w:rsidTr="00A96314">
        <w:trPr>
          <w:gridAfter w:val="1"/>
          <w:wAfter w:w="10" w:type="dxa"/>
          <w:trHeight w:val="671"/>
        </w:trPr>
        <w:tc>
          <w:tcPr>
            <w:tcW w:w="4253" w:type="dxa"/>
            <w:gridSpan w:val="8"/>
            <w:shd w:val="clear" w:color="auto" w:fill="auto"/>
          </w:tcPr>
          <w:p w14:paraId="59DAAD30" w14:textId="67A097CF" w:rsidR="002D69A3" w:rsidRPr="002D69A3" w:rsidRDefault="002D69A3" w:rsidP="002D69A3">
            <w:pPr>
              <w:tabs>
                <w:tab w:val="left" w:pos="460"/>
              </w:tabs>
              <w:rPr>
                <w:rFonts w:ascii="Times New Roman" w:hAnsi="Times New Roman"/>
              </w:rPr>
            </w:pPr>
            <w:r w:rsidRPr="002D69A3">
              <w:rPr>
                <w:rFonts w:ascii="Times New Roman" w:hAnsi="Times New Roman"/>
              </w:rPr>
              <w:t>14.</w:t>
            </w:r>
            <w:r w:rsidRPr="002D69A3">
              <w:rPr>
                <w:rFonts w:ascii="Times New Roman" w:hAnsi="Times New Roman"/>
              </w:rPr>
              <w:tab/>
              <w:t>zagraniczne firmy inwestycyjne nieprowadzące działalności maklerskiej na terytorium Rzeczypospolitej Polskiej, a będące stronami transakcji zawieranych na rynku giełdowym (tzw. zdalni członkowi giełdy),</w:t>
            </w:r>
          </w:p>
        </w:tc>
        <w:tc>
          <w:tcPr>
            <w:tcW w:w="1701" w:type="dxa"/>
            <w:gridSpan w:val="7"/>
            <w:shd w:val="clear" w:color="auto" w:fill="auto"/>
          </w:tcPr>
          <w:p w14:paraId="3532F8E2" w14:textId="3E02E3DE"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27</w:t>
            </w:r>
          </w:p>
        </w:tc>
        <w:tc>
          <w:tcPr>
            <w:tcW w:w="2002" w:type="dxa"/>
            <w:gridSpan w:val="9"/>
            <w:shd w:val="clear" w:color="auto" w:fill="auto"/>
          </w:tcPr>
          <w:p w14:paraId="7F82C5E6" w14:textId="6B485D43"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56EEF38D" w14:textId="292E2B85"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0AA5CEDD" w14:textId="77777777" w:rsidTr="002D69A3">
        <w:trPr>
          <w:gridAfter w:val="1"/>
          <w:wAfter w:w="10" w:type="dxa"/>
          <w:trHeight w:val="430"/>
        </w:trPr>
        <w:tc>
          <w:tcPr>
            <w:tcW w:w="4253" w:type="dxa"/>
            <w:gridSpan w:val="8"/>
            <w:shd w:val="clear" w:color="auto" w:fill="auto"/>
          </w:tcPr>
          <w:p w14:paraId="63C7A584" w14:textId="24CD00B3" w:rsidR="002D69A3" w:rsidRPr="002D69A3" w:rsidRDefault="002D69A3" w:rsidP="002D69A3">
            <w:pPr>
              <w:tabs>
                <w:tab w:val="left" w:pos="460"/>
              </w:tabs>
              <w:rPr>
                <w:rFonts w:ascii="Times New Roman" w:hAnsi="Times New Roman"/>
              </w:rPr>
            </w:pPr>
            <w:r w:rsidRPr="002D69A3">
              <w:rPr>
                <w:rFonts w:ascii="Times New Roman" w:hAnsi="Times New Roman"/>
              </w:rPr>
              <w:t>15.</w:t>
            </w:r>
            <w:r w:rsidRPr="002D69A3">
              <w:rPr>
                <w:rFonts w:ascii="Times New Roman" w:hAnsi="Times New Roman"/>
              </w:rPr>
              <w:tab/>
              <w:t>spółki prowadzące giełdę towarową,</w:t>
            </w:r>
          </w:p>
        </w:tc>
        <w:tc>
          <w:tcPr>
            <w:tcW w:w="1701" w:type="dxa"/>
            <w:gridSpan w:val="7"/>
            <w:shd w:val="clear" w:color="auto" w:fill="auto"/>
          </w:tcPr>
          <w:p w14:paraId="7D25A55F" w14:textId="0FEC9664"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284635BC" w14:textId="685F79B6"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28882951" w14:textId="522ECC46"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58F17673" w14:textId="77777777" w:rsidTr="00A96314">
        <w:trPr>
          <w:gridAfter w:val="1"/>
          <w:wAfter w:w="10" w:type="dxa"/>
          <w:trHeight w:val="671"/>
        </w:trPr>
        <w:tc>
          <w:tcPr>
            <w:tcW w:w="4253" w:type="dxa"/>
            <w:gridSpan w:val="8"/>
            <w:shd w:val="clear" w:color="auto" w:fill="auto"/>
          </w:tcPr>
          <w:p w14:paraId="36F2C429" w14:textId="119F3BFD" w:rsidR="002D69A3" w:rsidRPr="002D69A3" w:rsidRDefault="002D69A3" w:rsidP="002D69A3">
            <w:pPr>
              <w:tabs>
                <w:tab w:val="left" w:pos="460"/>
              </w:tabs>
              <w:rPr>
                <w:rFonts w:ascii="Times New Roman" w:hAnsi="Times New Roman"/>
              </w:rPr>
            </w:pPr>
            <w:r w:rsidRPr="002D69A3">
              <w:rPr>
                <w:rFonts w:ascii="Times New Roman" w:hAnsi="Times New Roman"/>
              </w:rPr>
              <w:t>16.</w:t>
            </w:r>
            <w:r w:rsidRPr="002D69A3">
              <w:rPr>
                <w:rFonts w:ascii="Times New Roman" w:hAnsi="Times New Roman"/>
              </w:rPr>
              <w:tab/>
              <w:t>spółki prowadzące giełdowe izby rozrachunkowe na podstawie ustawy o giełdach towarowych,</w:t>
            </w:r>
          </w:p>
        </w:tc>
        <w:tc>
          <w:tcPr>
            <w:tcW w:w="1701" w:type="dxa"/>
            <w:gridSpan w:val="7"/>
            <w:shd w:val="clear" w:color="auto" w:fill="auto"/>
          </w:tcPr>
          <w:p w14:paraId="1A5C379B" w14:textId="02522C89"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0</w:t>
            </w:r>
          </w:p>
        </w:tc>
        <w:tc>
          <w:tcPr>
            <w:tcW w:w="2002" w:type="dxa"/>
            <w:gridSpan w:val="9"/>
            <w:shd w:val="clear" w:color="auto" w:fill="auto"/>
          </w:tcPr>
          <w:p w14:paraId="5ECDFF90" w14:textId="260291A6"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1FD21161" w14:textId="31CD249E"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44887E3B" w14:textId="77777777" w:rsidTr="002D69A3">
        <w:trPr>
          <w:gridAfter w:val="1"/>
          <w:wAfter w:w="10" w:type="dxa"/>
          <w:trHeight w:val="373"/>
        </w:trPr>
        <w:tc>
          <w:tcPr>
            <w:tcW w:w="4253" w:type="dxa"/>
            <w:gridSpan w:val="8"/>
            <w:shd w:val="clear" w:color="auto" w:fill="auto"/>
          </w:tcPr>
          <w:p w14:paraId="14BBC876" w14:textId="25A3A28A" w:rsidR="002D69A3" w:rsidRPr="002D69A3" w:rsidRDefault="002D69A3" w:rsidP="002D69A3">
            <w:pPr>
              <w:tabs>
                <w:tab w:val="left" w:pos="460"/>
              </w:tabs>
              <w:rPr>
                <w:rFonts w:ascii="Times New Roman" w:hAnsi="Times New Roman"/>
              </w:rPr>
            </w:pPr>
            <w:r w:rsidRPr="002D69A3">
              <w:rPr>
                <w:rFonts w:ascii="Times New Roman" w:hAnsi="Times New Roman"/>
              </w:rPr>
              <w:t>17.</w:t>
            </w:r>
            <w:r w:rsidRPr="002D69A3">
              <w:rPr>
                <w:rFonts w:ascii="Times New Roman" w:hAnsi="Times New Roman"/>
              </w:rPr>
              <w:tab/>
              <w:t>towarowe domy maklerskie,</w:t>
            </w:r>
          </w:p>
        </w:tc>
        <w:tc>
          <w:tcPr>
            <w:tcW w:w="1701" w:type="dxa"/>
            <w:gridSpan w:val="7"/>
            <w:shd w:val="clear" w:color="auto" w:fill="auto"/>
          </w:tcPr>
          <w:p w14:paraId="03060D45" w14:textId="25832BB5"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1</w:t>
            </w:r>
          </w:p>
        </w:tc>
        <w:tc>
          <w:tcPr>
            <w:tcW w:w="2002" w:type="dxa"/>
            <w:gridSpan w:val="9"/>
            <w:shd w:val="clear" w:color="auto" w:fill="auto"/>
          </w:tcPr>
          <w:p w14:paraId="1A37BE99" w14:textId="7ACA86C3"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6797C5B4" w14:textId="4B9A5563"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77B21C32" w14:textId="77777777" w:rsidTr="00A96314">
        <w:trPr>
          <w:gridAfter w:val="1"/>
          <w:wAfter w:w="10" w:type="dxa"/>
          <w:trHeight w:val="671"/>
        </w:trPr>
        <w:tc>
          <w:tcPr>
            <w:tcW w:w="4253" w:type="dxa"/>
            <w:gridSpan w:val="8"/>
            <w:shd w:val="clear" w:color="auto" w:fill="auto"/>
          </w:tcPr>
          <w:p w14:paraId="03479CF4" w14:textId="10AF06C6" w:rsidR="002D69A3" w:rsidRPr="002D69A3" w:rsidRDefault="002D69A3" w:rsidP="002D69A3">
            <w:pPr>
              <w:tabs>
                <w:tab w:val="left" w:pos="460"/>
              </w:tabs>
              <w:rPr>
                <w:rFonts w:ascii="Times New Roman" w:hAnsi="Times New Roman"/>
              </w:rPr>
            </w:pPr>
            <w:r w:rsidRPr="002D69A3">
              <w:rPr>
                <w:rFonts w:ascii="Times New Roman" w:hAnsi="Times New Roman"/>
              </w:rPr>
              <w:t>18.</w:t>
            </w:r>
            <w:r w:rsidRPr="002D69A3">
              <w:rPr>
                <w:rFonts w:ascii="Times New Roman" w:hAnsi="Times New Roman"/>
              </w:rPr>
              <w:tab/>
              <w:t>podmioty posiadające zezwolenie na prowadzenie rachunków i rejestrów towarów giełdowych,</w:t>
            </w:r>
          </w:p>
        </w:tc>
        <w:tc>
          <w:tcPr>
            <w:tcW w:w="1701" w:type="dxa"/>
            <w:gridSpan w:val="7"/>
            <w:shd w:val="clear" w:color="auto" w:fill="auto"/>
          </w:tcPr>
          <w:p w14:paraId="7CB776CA" w14:textId="3430917A"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57</w:t>
            </w:r>
          </w:p>
        </w:tc>
        <w:tc>
          <w:tcPr>
            <w:tcW w:w="2002" w:type="dxa"/>
            <w:gridSpan w:val="9"/>
            <w:shd w:val="clear" w:color="auto" w:fill="auto"/>
          </w:tcPr>
          <w:p w14:paraId="25552CCE" w14:textId="229EE745"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4FA49342" w14:textId="46A0D1D6"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78356C98" w14:textId="77777777" w:rsidTr="00A96314">
        <w:trPr>
          <w:gridAfter w:val="1"/>
          <w:wAfter w:w="10" w:type="dxa"/>
          <w:trHeight w:val="671"/>
        </w:trPr>
        <w:tc>
          <w:tcPr>
            <w:tcW w:w="4253" w:type="dxa"/>
            <w:gridSpan w:val="8"/>
            <w:shd w:val="clear" w:color="auto" w:fill="auto"/>
          </w:tcPr>
          <w:p w14:paraId="4C720494" w14:textId="713B72C6" w:rsidR="002D69A3" w:rsidRPr="002D69A3" w:rsidRDefault="002D69A3" w:rsidP="002D69A3">
            <w:pPr>
              <w:tabs>
                <w:tab w:val="left" w:pos="460"/>
              </w:tabs>
              <w:rPr>
                <w:rFonts w:ascii="Times New Roman" w:hAnsi="Times New Roman"/>
              </w:rPr>
            </w:pPr>
            <w:r w:rsidRPr="002D69A3">
              <w:rPr>
                <w:rFonts w:ascii="Times New Roman" w:hAnsi="Times New Roman"/>
              </w:rPr>
              <w:t>19.</w:t>
            </w:r>
            <w:r w:rsidRPr="002D69A3">
              <w:rPr>
                <w:rFonts w:ascii="Times New Roman" w:hAnsi="Times New Roman"/>
              </w:rPr>
              <w:tab/>
              <w:t>zagraniczne osoby prawne, o których mowa w art. 50 ust. 1 ustawy o giełdach towarowych, prowadzące działalność na terytorium Rzeczypospolitej Polskiej w formie oddziału,</w:t>
            </w:r>
          </w:p>
        </w:tc>
        <w:tc>
          <w:tcPr>
            <w:tcW w:w="1701" w:type="dxa"/>
            <w:gridSpan w:val="7"/>
            <w:shd w:val="clear" w:color="auto" w:fill="auto"/>
          </w:tcPr>
          <w:p w14:paraId="4D26754F" w14:textId="4649D42E"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0</w:t>
            </w:r>
          </w:p>
        </w:tc>
        <w:tc>
          <w:tcPr>
            <w:tcW w:w="2002" w:type="dxa"/>
            <w:gridSpan w:val="9"/>
            <w:shd w:val="clear" w:color="auto" w:fill="auto"/>
          </w:tcPr>
          <w:p w14:paraId="576F45D8" w14:textId="3886AD6F"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62D749C1" w14:textId="451B0474"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7679612E" w14:textId="77777777" w:rsidTr="00A96314">
        <w:trPr>
          <w:gridAfter w:val="1"/>
          <w:wAfter w:w="10" w:type="dxa"/>
          <w:trHeight w:val="671"/>
        </w:trPr>
        <w:tc>
          <w:tcPr>
            <w:tcW w:w="4253" w:type="dxa"/>
            <w:gridSpan w:val="8"/>
            <w:shd w:val="clear" w:color="auto" w:fill="auto"/>
          </w:tcPr>
          <w:p w14:paraId="0F026B4D" w14:textId="7697FD16" w:rsidR="002D69A3" w:rsidRPr="002D69A3" w:rsidRDefault="002D69A3" w:rsidP="002D69A3">
            <w:pPr>
              <w:tabs>
                <w:tab w:val="left" w:pos="460"/>
              </w:tabs>
              <w:rPr>
                <w:rFonts w:ascii="Times New Roman" w:hAnsi="Times New Roman"/>
              </w:rPr>
            </w:pPr>
            <w:r w:rsidRPr="002D69A3">
              <w:rPr>
                <w:rFonts w:ascii="Times New Roman" w:hAnsi="Times New Roman"/>
              </w:rPr>
              <w:lastRenderedPageBreak/>
              <w:t>20.</w:t>
            </w:r>
            <w:r w:rsidRPr="002D69A3">
              <w:rPr>
                <w:rFonts w:ascii="Times New Roman" w:hAnsi="Times New Roman"/>
              </w:rPr>
              <w:tab/>
              <w:t>krajowe spółki publiczne, których akcje dopuszczone są do obrotu na rynku regulowanym lub których akcje wprowadzone są do alternatywnego systemu obrotu,</w:t>
            </w:r>
          </w:p>
        </w:tc>
        <w:tc>
          <w:tcPr>
            <w:tcW w:w="1701" w:type="dxa"/>
            <w:gridSpan w:val="7"/>
            <w:shd w:val="clear" w:color="auto" w:fill="auto"/>
          </w:tcPr>
          <w:p w14:paraId="6ADB33D3" w14:textId="195DC0E7"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812</w:t>
            </w:r>
          </w:p>
        </w:tc>
        <w:tc>
          <w:tcPr>
            <w:tcW w:w="2002" w:type="dxa"/>
            <w:gridSpan w:val="9"/>
            <w:shd w:val="clear" w:color="auto" w:fill="auto"/>
          </w:tcPr>
          <w:p w14:paraId="76601119" w14:textId="356BF7AB"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5E7CD80D" w14:textId="21B84641"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59ECD7F8" w14:textId="77777777" w:rsidTr="00A96314">
        <w:trPr>
          <w:gridAfter w:val="1"/>
          <w:wAfter w:w="10" w:type="dxa"/>
          <w:trHeight w:val="671"/>
        </w:trPr>
        <w:tc>
          <w:tcPr>
            <w:tcW w:w="4253" w:type="dxa"/>
            <w:gridSpan w:val="8"/>
            <w:shd w:val="clear" w:color="auto" w:fill="auto"/>
          </w:tcPr>
          <w:p w14:paraId="2B25495C" w14:textId="5E3D7400" w:rsidR="002D69A3" w:rsidRPr="002D69A3" w:rsidRDefault="002D69A3" w:rsidP="002D69A3">
            <w:pPr>
              <w:tabs>
                <w:tab w:val="left" w:pos="460"/>
              </w:tabs>
              <w:rPr>
                <w:rFonts w:ascii="Times New Roman" w:hAnsi="Times New Roman"/>
              </w:rPr>
            </w:pPr>
            <w:r w:rsidRPr="002D69A3">
              <w:rPr>
                <w:rFonts w:ascii="Times New Roman" w:hAnsi="Times New Roman"/>
              </w:rPr>
              <w:t>21.</w:t>
            </w:r>
            <w:r w:rsidRPr="002D69A3">
              <w:rPr>
                <w:rFonts w:ascii="Times New Roman" w:hAnsi="Times New Roman"/>
              </w:rPr>
              <w:tab/>
              <w:t>krajowi emitenci papierów wartościowych, innych niż akcje, dopuszczonych do obrotu na rynku regulowanym,</w:t>
            </w:r>
          </w:p>
        </w:tc>
        <w:tc>
          <w:tcPr>
            <w:tcW w:w="1701" w:type="dxa"/>
            <w:gridSpan w:val="7"/>
            <w:shd w:val="clear" w:color="auto" w:fill="auto"/>
          </w:tcPr>
          <w:p w14:paraId="507C0EC9" w14:textId="3CBE2FBD"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Ok. 75</w:t>
            </w:r>
          </w:p>
        </w:tc>
        <w:tc>
          <w:tcPr>
            <w:tcW w:w="2002" w:type="dxa"/>
            <w:gridSpan w:val="9"/>
            <w:shd w:val="clear" w:color="auto" w:fill="auto"/>
          </w:tcPr>
          <w:p w14:paraId="42500FFC" w14:textId="1A9B5D13"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1481FDA8" w14:textId="0A091C9D"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75E976B5" w14:textId="77777777" w:rsidTr="00A96314">
        <w:trPr>
          <w:gridAfter w:val="1"/>
          <w:wAfter w:w="10" w:type="dxa"/>
          <w:trHeight w:val="671"/>
        </w:trPr>
        <w:tc>
          <w:tcPr>
            <w:tcW w:w="4253" w:type="dxa"/>
            <w:gridSpan w:val="8"/>
            <w:shd w:val="clear" w:color="auto" w:fill="auto"/>
          </w:tcPr>
          <w:p w14:paraId="6C4CCA03" w14:textId="24DA1AA8" w:rsidR="002D69A3" w:rsidRPr="002D69A3" w:rsidRDefault="002D69A3" w:rsidP="002D69A3">
            <w:pPr>
              <w:tabs>
                <w:tab w:val="left" w:pos="460"/>
              </w:tabs>
              <w:rPr>
                <w:rFonts w:ascii="Times New Roman" w:hAnsi="Times New Roman"/>
              </w:rPr>
            </w:pPr>
            <w:r w:rsidRPr="002D69A3">
              <w:rPr>
                <w:rFonts w:ascii="Times New Roman" w:hAnsi="Times New Roman"/>
              </w:rPr>
              <w:t>22.</w:t>
            </w:r>
            <w:r w:rsidRPr="002D69A3">
              <w:rPr>
                <w:rFonts w:ascii="Times New Roman" w:hAnsi="Times New Roman"/>
              </w:rPr>
              <w:tab/>
              <w:t>podmioty o statusie agencji informacyjnej.</w:t>
            </w:r>
          </w:p>
        </w:tc>
        <w:tc>
          <w:tcPr>
            <w:tcW w:w="1701" w:type="dxa"/>
            <w:gridSpan w:val="7"/>
            <w:shd w:val="clear" w:color="auto" w:fill="auto"/>
          </w:tcPr>
          <w:p w14:paraId="58EEC0D6" w14:textId="673A4CFC" w:rsidR="002D69A3" w:rsidRPr="002D69A3" w:rsidRDefault="002D69A3" w:rsidP="00AF6F84">
            <w:pPr>
              <w:spacing w:line="240" w:lineRule="auto"/>
              <w:jc w:val="center"/>
              <w:rPr>
                <w:rFonts w:ascii="Times New Roman" w:hAnsi="Times New Roman"/>
                <w:color w:val="000000"/>
                <w:spacing w:val="-2"/>
              </w:rPr>
            </w:pPr>
            <w:r w:rsidRPr="002D69A3">
              <w:rPr>
                <w:rFonts w:ascii="Times New Roman" w:hAnsi="Times New Roman"/>
                <w:color w:val="000000"/>
                <w:spacing w:val="-2"/>
              </w:rPr>
              <w:t>4</w:t>
            </w:r>
          </w:p>
        </w:tc>
        <w:tc>
          <w:tcPr>
            <w:tcW w:w="2002" w:type="dxa"/>
            <w:gridSpan w:val="9"/>
            <w:shd w:val="clear" w:color="auto" w:fill="auto"/>
          </w:tcPr>
          <w:p w14:paraId="5A68B339" w14:textId="389BA282" w:rsidR="002D69A3" w:rsidRPr="002D69A3" w:rsidRDefault="002D69A3" w:rsidP="002D69A3">
            <w:pPr>
              <w:spacing w:line="240" w:lineRule="auto"/>
              <w:rPr>
                <w:rFonts w:ascii="Times New Roman" w:hAnsi="Times New Roman"/>
                <w:color w:val="000000"/>
                <w:spacing w:val="-2"/>
              </w:rPr>
            </w:pPr>
          </w:p>
        </w:tc>
        <w:tc>
          <w:tcPr>
            <w:tcW w:w="2981" w:type="dxa"/>
            <w:gridSpan w:val="6"/>
            <w:shd w:val="clear" w:color="auto" w:fill="auto"/>
          </w:tcPr>
          <w:p w14:paraId="7DB0779B" w14:textId="554E518E" w:rsidR="002D69A3" w:rsidRPr="002D69A3" w:rsidRDefault="002D69A3" w:rsidP="002D69A3">
            <w:pPr>
              <w:pStyle w:val="ZUSTzmustartykuempunktem"/>
              <w:spacing w:before="120" w:line="240" w:lineRule="auto"/>
              <w:ind w:left="0" w:firstLine="0"/>
              <w:jc w:val="left"/>
              <w:rPr>
                <w:rFonts w:ascii="Times New Roman" w:hAnsi="Times New Roman" w:cs="Times New Roman"/>
                <w:color w:val="000000"/>
                <w:spacing w:val="-2"/>
                <w:sz w:val="22"/>
                <w:szCs w:val="22"/>
              </w:rPr>
            </w:pPr>
          </w:p>
        </w:tc>
      </w:tr>
      <w:tr w:rsidR="002D69A3" w:rsidRPr="008B4FE6" w14:paraId="770D526A" w14:textId="77777777" w:rsidTr="00A96314">
        <w:trPr>
          <w:gridAfter w:val="1"/>
          <w:wAfter w:w="10" w:type="dxa"/>
          <w:trHeight w:val="1179"/>
        </w:trPr>
        <w:tc>
          <w:tcPr>
            <w:tcW w:w="4253" w:type="dxa"/>
            <w:gridSpan w:val="8"/>
            <w:shd w:val="clear" w:color="auto" w:fill="auto"/>
          </w:tcPr>
          <w:p w14:paraId="04E48670" w14:textId="45B61A9C" w:rsidR="002D69A3" w:rsidRPr="00AF6F84" w:rsidRDefault="002D69A3" w:rsidP="002D69A3">
            <w:pPr>
              <w:spacing w:line="240" w:lineRule="auto"/>
              <w:rPr>
                <w:rFonts w:ascii="Times New Roman" w:hAnsi="Times New Roman"/>
                <w:b/>
                <w:color w:val="000000"/>
                <w:spacing w:val="-2"/>
              </w:rPr>
            </w:pPr>
            <w:r w:rsidRPr="00AF6F84">
              <w:rPr>
                <w:rFonts w:ascii="Times New Roman" w:hAnsi="Times New Roman"/>
                <w:b/>
                <w:color w:val="000000"/>
                <w:spacing w:val="-2"/>
              </w:rPr>
              <w:t>II  UKNF</w:t>
            </w:r>
          </w:p>
          <w:p w14:paraId="4E06187B" w14:textId="77777777" w:rsidR="002D69A3" w:rsidRPr="00AF6F84" w:rsidRDefault="002D69A3" w:rsidP="002D69A3">
            <w:pPr>
              <w:spacing w:line="240" w:lineRule="auto"/>
              <w:rPr>
                <w:rFonts w:ascii="Times New Roman" w:hAnsi="Times New Roman"/>
                <w:b/>
                <w:color w:val="000000"/>
                <w:spacing w:val="-2"/>
              </w:rPr>
            </w:pPr>
          </w:p>
        </w:tc>
        <w:tc>
          <w:tcPr>
            <w:tcW w:w="1701" w:type="dxa"/>
            <w:gridSpan w:val="7"/>
            <w:shd w:val="clear" w:color="auto" w:fill="auto"/>
          </w:tcPr>
          <w:p w14:paraId="5AE61471" w14:textId="77777777" w:rsidR="002D69A3" w:rsidRPr="00AF6F84" w:rsidRDefault="002D69A3" w:rsidP="002D69A3">
            <w:pPr>
              <w:spacing w:line="240" w:lineRule="auto"/>
              <w:rPr>
                <w:rFonts w:ascii="Times New Roman" w:hAnsi="Times New Roman"/>
                <w:b/>
                <w:color w:val="000000"/>
                <w:spacing w:val="-2"/>
              </w:rPr>
            </w:pPr>
          </w:p>
        </w:tc>
        <w:tc>
          <w:tcPr>
            <w:tcW w:w="2002" w:type="dxa"/>
            <w:gridSpan w:val="9"/>
            <w:shd w:val="clear" w:color="auto" w:fill="auto"/>
          </w:tcPr>
          <w:p w14:paraId="47AB27F0" w14:textId="77777777" w:rsidR="002D69A3" w:rsidRPr="00AF6F84" w:rsidRDefault="002D69A3" w:rsidP="002D69A3">
            <w:pPr>
              <w:spacing w:line="240" w:lineRule="auto"/>
              <w:rPr>
                <w:rFonts w:ascii="Times New Roman" w:hAnsi="Times New Roman"/>
                <w:b/>
                <w:color w:val="000000"/>
                <w:spacing w:val="-2"/>
              </w:rPr>
            </w:pPr>
          </w:p>
        </w:tc>
        <w:tc>
          <w:tcPr>
            <w:tcW w:w="2981" w:type="dxa"/>
            <w:gridSpan w:val="6"/>
            <w:shd w:val="clear" w:color="auto" w:fill="auto"/>
          </w:tcPr>
          <w:p w14:paraId="0C2809D1" w14:textId="367D258B" w:rsidR="002D69A3" w:rsidRPr="00B31838" w:rsidRDefault="00B31838" w:rsidP="00B31838">
            <w:pPr>
              <w:pStyle w:val="ZUSTzmustartykuempunktem"/>
              <w:spacing w:before="120" w:line="240" w:lineRule="auto"/>
              <w:ind w:left="0" w:firstLine="0"/>
              <w:jc w:val="left"/>
              <w:rPr>
                <w:rFonts w:ascii="Times New Roman" w:hAnsi="Times New Roman" w:cs="Times New Roman"/>
                <w:color w:val="000000"/>
                <w:spacing w:val="-2"/>
                <w:sz w:val="22"/>
                <w:szCs w:val="22"/>
              </w:rPr>
            </w:pPr>
            <w:r w:rsidRPr="00B31838">
              <w:rPr>
                <w:rFonts w:ascii="Times New Roman" w:hAnsi="Times New Roman" w:cs="Times New Roman"/>
                <w:color w:val="000000"/>
                <w:spacing w:val="-2"/>
                <w:sz w:val="22"/>
                <w:szCs w:val="22"/>
              </w:rPr>
              <w:t>Termin ogłoszenia komunikatu Przewodniczącego Komisji Nadzoru Finansowego, o którym mowa w § 21 powołanego rozporządzenia, pozostaje niezmieniony – tzn. komunikat ten będzie ogłoszony do dnia 31 sierpnia br.</w:t>
            </w:r>
          </w:p>
        </w:tc>
      </w:tr>
      <w:tr w:rsidR="002D69A3" w:rsidRPr="008B4FE6" w14:paraId="3C79451F" w14:textId="77777777" w:rsidTr="00676C8D">
        <w:trPr>
          <w:gridAfter w:val="1"/>
          <w:wAfter w:w="10" w:type="dxa"/>
          <w:trHeight w:val="302"/>
        </w:trPr>
        <w:tc>
          <w:tcPr>
            <w:tcW w:w="10937" w:type="dxa"/>
            <w:gridSpan w:val="30"/>
            <w:shd w:val="clear" w:color="auto" w:fill="99CCFF"/>
            <w:vAlign w:val="center"/>
          </w:tcPr>
          <w:p w14:paraId="551FB540" w14:textId="77777777" w:rsidR="002D69A3" w:rsidRPr="008B4FE6" w:rsidRDefault="002D69A3"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D69A3" w:rsidRPr="008B4FE6" w14:paraId="5659C18D" w14:textId="77777777" w:rsidTr="00676C8D">
        <w:trPr>
          <w:gridAfter w:val="1"/>
          <w:wAfter w:w="10" w:type="dxa"/>
          <w:trHeight w:val="342"/>
        </w:trPr>
        <w:tc>
          <w:tcPr>
            <w:tcW w:w="10937" w:type="dxa"/>
            <w:gridSpan w:val="30"/>
            <w:shd w:val="clear" w:color="auto" w:fill="FFFFFF"/>
          </w:tcPr>
          <w:p w14:paraId="7692A033" w14:textId="6809A90F" w:rsidR="00B31838" w:rsidRDefault="00B31838" w:rsidP="00925BEC">
            <w:pPr>
              <w:spacing w:line="240" w:lineRule="auto"/>
              <w:jc w:val="both"/>
              <w:rPr>
                <w:rFonts w:ascii="Times New Roman" w:hAnsi="Times New Roman"/>
              </w:rPr>
            </w:pPr>
            <w:r w:rsidRPr="00B31838">
              <w:rPr>
                <w:rFonts w:ascii="Times New Roman" w:hAnsi="Times New Roman"/>
              </w:rPr>
              <w:t xml:space="preserve">Projekt zostanie </w:t>
            </w:r>
            <w:r w:rsidR="000A7710">
              <w:rPr>
                <w:rFonts w:ascii="Times New Roman" w:hAnsi="Times New Roman"/>
              </w:rPr>
              <w:t>przekazany</w:t>
            </w:r>
            <w:r w:rsidR="000A7710" w:rsidRPr="00B31838">
              <w:rPr>
                <w:rFonts w:ascii="Times New Roman" w:hAnsi="Times New Roman"/>
              </w:rPr>
              <w:t xml:space="preserve"> </w:t>
            </w:r>
            <w:r w:rsidRPr="00B31838">
              <w:rPr>
                <w:rFonts w:ascii="Times New Roman" w:hAnsi="Times New Roman"/>
              </w:rPr>
              <w:t xml:space="preserve">do konsultacji </w:t>
            </w:r>
            <w:r w:rsidR="00186302">
              <w:rPr>
                <w:rFonts w:ascii="Times New Roman" w:hAnsi="Times New Roman"/>
              </w:rPr>
              <w:t xml:space="preserve">publicznych </w:t>
            </w:r>
            <w:r w:rsidRPr="00B31838">
              <w:rPr>
                <w:rFonts w:ascii="Times New Roman" w:hAnsi="Times New Roman"/>
              </w:rPr>
              <w:t>do następujących podmiotów: Komisji Nadzoru Finansowego, Narodowego Banku Polskiego, Ba</w:t>
            </w:r>
            <w:r>
              <w:rPr>
                <w:rFonts w:ascii="Times New Roman" w:hAnsi="Times New Roman"/>
              </w:rPr>
              <w:t xml:space="preserve">nkowego Funduszu Gwarancyjnego, </w:t>
            </w:r>
            <w:r w:rsidRPr="00B31838">
              <w:rPr>
                <w:rFonts w:ascii="Times New Roman" w:hAnsi="Times New Roman"/>
              </w:rPr>
              <w:t>Związku Banków Polskich,</w:t>
            </w:r>
            <w:r>
              <w:rPr>
                <w:rFonts w:ascii="Times New Roman" w:hAnsi="Times New Roman"/>
              </w:rPr>
              <w:t xml:space="preserve"> Krajowemu </w:t>
            </w:r>
            <w:r w:rsidRPr="00B31838">
              <w:rPr>
                <w:rFonts w:ascii="Times New Roman" w:hAnsi="Times New Roman"/>
              </w:rPr>
              <w:t>Związkowi Banków Spółdzielczych,</w:t>
            </w:r>
            <w:r>
              <w:t xml:space="preserve"> </w:t>
            </w:r>
            <w:r w:rsidRPr="00B31838">
              <w:rPr>
                <w:rFonts w:ascii="Times New Roman" w:hAnsi="Times New Roman"/>
              </w:rPr>
              <w:t>Giełdzie Papierów Wartościowych S.A., BondSpot S.A., Krajowemu Depozytowi Papierów Wartościowych S.A., Stowarzyszeniu Inwestorów Indywidualnych, Związkowi Maklerów i Doradców, Izbie Domów Maklerskich, Stowarzyszeniu Emitentów Giełdowych, Izbie Zarządzających Funduszami i Aktywami</w:t>
            </w:r>
            <w:r>
              <w:rPr>
                <w:rFonts w:ascii="Times New Roman" w:hAnsi="Times New Roman"/>
              </w:rPr>
              <w:t xml:space="preserve">, Radzie Banków Depozytariuszy, </w:t>
            </w:r>
            <w:r w:rsidRPr="00B31838">
              <w:rPr>
                <w:rFonts w:ascii="Times New Roman" w:hAnsi="Times New Roman"/>
              </w:rPr>
              <w:t>Polskiemu Stowarzyszeniu Inwestorów Kapitałowych oraz Stowarzyszeniu Rynków Finansowych - ACI Polska.  Projekt rozporządzenia zostanie udostępniony na stronie Biuletynu Informacji Publicznej Rządowego Centrum Legislacji.</w:t>
            </w:r>
          </w:p>
          <w:p w14:paraId="06FDEC2A" w14:textId="77777777" w:rsidR="002D69A3" w:rsidRPr="00B37C80" w:rsidRDefault="002D69A3" w:rsidP="00B31838">
            <w:pPr>
              <w:spacing w:line="240" w:lineRule="auto"/>
              <w:jc w:val="both"/>
              <w:rPr>
                <w:rFonts w:ascii="Times New Roman" w:hAnsi="Times New Roman"/>
                <w:color w:val="000000"/>
                <w:spacing w:val="-2"/>
              </w:rPr>
            </w:pPr>
          </w:p>
        </w:tc>
      </w:tr>
      <w:tr w:rsidR="002D69A3" w:rsidRPr="008B4FE6" w14:paraId="12709A89" w14:textId="77777777" w:rsidTr="00676C8D">
        <w:trPr>
          <w:gridAfter w:val="1"/>
          <w:wAfter w:w="10" w:type="dxa"/>
          <w:trHeight w:val="363"/>
        </w:trPr>
        <w:tc>
          <w:tcPr>
            <w:tcW w:w="10937" w:type="dxa"/>
            <w:gridSpan w:val="30"/>
            <w:shd w:val="clear" w:color="auto" w:fill="99CCFF"/>
            <w:vAlign w:val="center"/>
          </w:tcPr>
          <w:p w14:paraId="4C632433" w14:textId="77777777" w:rsidR="002D69A3" w:rsidRPr="008B4FE6" w:rsidRDefault="002D69A3"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D69A3" w:rsidRPr="008B4FE6" w14:paraId="17B1AD8A" w14:textId="77777777" w:rsidTr="00676C8D">
        <w:trPr>
          <w:gridAfter w:val="1"/>
          <w:wAfter w:w="10" w:type="dxa"/>
          <w:trHeight w:val="142"/>
        </w:trPr>
        <w:tc>
          <w:tcPr>
            <w:tcW w:w="3133" w:type="dxa"/>
            <w:gridSpan w:val="4"/>
            <w:vMerge w:val="restart"/>
            <w:shd w:val="clear" w:color="auto" w:fill="FFFFFF"/>
          </w:tcPr>
          <w:p w14:paraId="04E543BA" w14:textId="77777777" w:rsidR="002D69A3" w:rsidRPr="00C53F26" w:rsidRDefault="002D69A3"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6"/>
            <w:shd w:val="clear" w:color="auto" w:fill="FFFFFF"/>
          </w:tcPr>
          <w:p w14:paraId="6A63F4C2" w14:textId="77777777" w:rsidR="002D69A3" w:rsidRPr="00C53F26" w:rsidRDefault="002D69A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D69A3" w:rsidRPr="008B4FE6" w14:paraId="08078CF6" w14:textId="77777777" w:rsidTr="00676C8D">
        <w:trPr>
          <w:gridAfter w:val="1"/>
          <w:wAfter w:w="10" w:type="dxa"/>
          <w:trHeight w:val="142"/>
        </w:trPr>
        <w:tc>
          <w:tcPr>
            <w:tcW w:w="3133" w:type="dxa"/>
            <w:gridSpan w:val="4"/>
            <w:vMerge/>
            <w:shd w:val="clear" w:color="auto" w:fill="FFFFFF"/>
          </w:tcPr>
          <w:p w14:paraId="165B52AA" w14:textId="77777777" w:rsidR="002D69A3" w:rsidRPr="00C53F26" w:rsidRDefault="002D69A3"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487EFAD4"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3"/>
            <w:shd w:val="clear" w:color="auto" w:fill="FFFFFF"/>
          </w:tcPr>
          <w:p w14:paraId="4A698443"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4D03D1BC"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2691F982"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3"/>
            <w:shd w:val="clear" w:color="auto" w:fill="FFFFFF"/>
          </w:tcPr>
          <w:p w14:paraId="491DAC65"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126B7310"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3F29F485"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479665A3"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6FC5F774"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8B303CC"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26A556E4" w14:textId="77777777" w:rsidR="002D69A3" w:rsidRPr="00C53F26" w:rsidRDefault="002D69A3"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00341FE" w14:textId="77777777" w:rsidR="002D69A3" w:rsidRPr="00C53F26" w:rsidRDefault="002D69A3"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D69A3" w:rsidRPr="008B4FE6" w14:paraId="59987FC8" w14:textId="77777777" w:rsidTr="00676C8D">
        <w:trPr>
          <w:trHeight w:val="321"/>
        </w:trPr>
        <w:tc>
          <w:tcPr>
            <w:tcW w:w="3133" w:type="dxa"/>
            <w:gridSpan w:val="4"/>
            <w:shd w:val="clear" w:color="auto" w:fill="FFFFFF"/>
            <w:vAlign w:val="center"/>
          </w:tcPr>
          <w:p w14:paraId="24B76B1F"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2B954F1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1A08F6F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64F7E727"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156BB98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60BA562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6786E5C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D2A39E5"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17FBD2E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2D75B3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AD2F84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A8C0845"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492633A8" w14:textId="77777777" w:rsidR="002D69A3" w:rsidRPr="00B37C80" w:rsidRDefault="002D69A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 zł</w:t>
            </w:r>
          </w:p>
        </w:tc>
      </w:tr>
      <w:tr w:rsidR="002D69A3" w:rsidRPr="008B4FE6" w14:paraId="6AEE6A57" w14:textId="77777777" w:rsidTr="00676C8D">
        <w:trPr>
          <w:trHeight w:val="321"/>
        </w:trPr>
        <w:tc>
          <w:tcPr>
            <w:tcW w:w="3133" w:type="dxa"/>
            <w:gridSpan w:val="4"/>
            <w:shd w:val="clear" w:color="auto" w:fill="FFFFFF"/>
            <w:vAlign w:val="center"/>
          </w:tcPr>
          <w:p w14:paraId="4A6B0DFF"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804D08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BC052D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5C36B16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393FEE0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649BF5F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4E38A42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6DFE63AD"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5342D92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692CB4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88DF9A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49B03E3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09505C37" w14:textId="77777777" w:rsidR="002D69A3" w:rsidRPr="00B37C80" w:rsidRDefault="002D69A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 zł</w:t>
            </w:r>
          </w:p>
        </w:tc>
      </w:tr>
      <w:tr w:rsidR="002D69A3" w:rsidRPr="008B4FE6" w14:paraId="687CDC7F" w14:textId="77777777" w:rsidTr="00676C8D">
        <w:trPr>
          <w:trHeight w:val="344"/>
        </w:trPr>
        <w:tc>
          <w:tcPr>
            <w:tcW w:w="3133" w:type="dxa"/>
            <w:gridSpan w:val="4"/>
            <w:shd w:val="clear" w:color="auto" w:fill="FFFFFF"/>
            <w:vAlign w:val="center"/>
          </w:tcPr>
          <w:p w14:paraId="57728CEE"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095741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6093198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646357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4E7DFAA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520501F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2529A79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A0F288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42932A6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22CF477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4F5EFC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69FCAB0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1D3A813E" w14:textId="77777777" w:rsidR="002D69A3" w:rsidRPr="00B37C80" w:rsidRDefault="002D69A3" w:rsidP="000B54FB">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16733EAA" w14:textId="77777777" w:rsidTr="00676C8D">
        <w:trPr>
          <w:trHeight w:val="344"/>
        </w:trPr>
        <w:tc>
          <w:tcPr>
            <w:tcW w:w="3133" w:type="dxa"/>
            <w:gridSpan w:val="4"/>
            <w:shd w:val="clear" w:color="auto" w:fill="FFFFFF"/>
            <w:vAlign w:val="center"/>
          </w:tcPr>
          <w:p w14:paraId="1923DE17"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00BC5B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2EABC6A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EF0ED15"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4BC3EE2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6936E5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0FCA6D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079A736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4B493D2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53BD11F5"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1766D4B3"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EFA91B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4DB43C1F" w14:textId="77777777" w:rsidR="002D69A3" w:rsidRPr="00B37C80" w:rsidRDefault="002D69A3" w:rsidP="000B54FB">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28FDB56B" w14:textId="77777777" w:rsidTr="00676C8D">
        <w:trPr>
          <w:trHeight w:val="330"/>
        </w:trPr>
        <w:tc>
          <w:tcPr>
            <w:tcW w:w="3133" w:type="dxa"/>
            <w:gridSpan w:val="4"/>
            <w:shd w:val="clear" w:color="auto" w:fill="FFFFFF"/>
            <w:vAlign w:val="center"/>
          </w:tcPr>
          <w:p w14:paraId="5E37CB95"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D8A0C7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540C0173"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6BA06DA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049C319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7727E42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0683B4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9B7ED7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301E9932"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20E7E34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7B0661D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3EE499E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62EFEA55"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6B67663E" w14:textId="77777777" w:rsidTr="00676C8D">
        <w:trPr>
          <w:trHeight w:val="330"/>
        </w:trPr>
        <w:tc>
          <w:tcPr>
            <w:tcW w:w="3133" w:type="dxa"/>
            <w:gridSpan w:val="4"/>
            <w:shd w:val="clear" w:color="auto" w:fill="FFFFFF"/>
            <w:vAlign w:val="center"/>
          </w:tcPr>
          <w:p w14:paraId="28258AFC"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351B977"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144F4D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D723B3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62579083"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544FED5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1952320D"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0156DCB7"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7C5E109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FAFBFA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545881F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627FF80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625B80C1"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7F244A54" w14:textId="77777777" w:rsidTr="00676C8D">
        <w:trPr>
          <w:trHeight w:val="351"/>
        </w:trPr>
        <w:tc>
          <w:tcPr>
            <w:tcW w:w="3133" w:type="dxa"/>
            <w:gridSpan w:val="4"/>
            <w:shd w:val="clear" w:color="auto" w:fill="FFFFFF"/>
            <w:vAlign w:val="center"/>
          </w:tcPr>
          <w:p w14:paraId="78CA5B92"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627E46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37220B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C5D78B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78EC46A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1B5FC73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446A72B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2BF488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3F4EDE9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FBDA4B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963D45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45D7119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66CA6F7F"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13DB4B5E" w14:textId="77777777" w:rsidTr="00676C8D">
        <w:trPr>
          <w:trHeight w:val="351"/>
        </w:trPr>
        <w:tc>
          <w:tcPr>
            <w:tcW w:w="3133" w:type="dxa"/>
            <w:gridSpan w:val="4"/>
            <w:shd w:val="clear" w:color="auto" w:fill="FFFFFF"/>
            <w:vAlign w:val="center"/>
          </w:tcPr>
          <w:p w14:paraId="2E4467A3"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1489A1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294BBE25"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59CA52D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41D964FD"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C04180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41B71E7"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BED9A3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2540F32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7BD4FE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4AFFD6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2E985A9D"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25D913DA"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30D24225" w14:textId="77777777" w:rsidTr="00676C8D">
        <w:trPr>
          <w:trHeight w:val="360"/>
        </w:trPr>
        <w:tc>
          <w:tcPr>
            <w:tcW w:w="3133" w:type="dxa"/>
            <w:gridSpan w:val="4"/>
            <w:shd w:val="clear" w:color="auto" w:fill="FFFFFF"/>
            <w:vAlign w:val="center"/>
          </w:tcPr>
          <w:p w14:paraId="5EE71F53"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63A9AC9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7F4FC75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2A0542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4BC9A23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116081A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3E5AB89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39673E6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48D3052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6279D1C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7670CD7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60879E8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4DD99FBF"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4C233EE6" w14:textId="77777777" w:rsidTr="00676C8D">
        <w:trPr>
          <w:trHeight w:val="360"/>
        </w:trPr>
        <w:tc>
          <w:tcPr>
            <w:tcW w:w="3133" w:type="dxa"/>
            <w:gridSpan w:val="4"/>
            <w:shd w:val="clear" w:color="auto" w:fill="FFFFFF"/>
            <w:vAlign w:val="center"/>
          </w:tcPr>
          <w:p w14:paraId="0D406487"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A5D55C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69B078C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32154647"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7535D42D"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2D19C00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4FE7B15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068C362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4C06F35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1B2947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7AF6921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604F55AB"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5E966EBD"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 xml:space="preserve">0 </w:t>
            </w:r>
            <w:r>
              <w:rPr>
                <w:rFonts w:ascii="Times New Roman" w:hAnsi="Times New Roman"/>
                <w:color w:val="000000"/>
                <w:spacing w:val="-2"/>
                <w:sz w:val="21"/>
                <w:szCs w:val="21"/>
              </w:rPr>
              <w:t>zł</w:t>
            </w:r>
          </w:p>
        </w:tc>
      </w:tr>
      <w:tr w:rsidR="002D69A3" w:rsidRPr="008B4FE6" w14:paraId="7B32A988" w14:textId="77777777" w:rsidTr="00676C8D">
        <w:trPr>
          <w:trHeight w:val="357"/>
        </w:trPr>
        <w:tc>
          <w:tcPr>
            <w:tcW w:w="3133" w:type="dxa"/>
            <w:gridSpan w:val="4"/>
            <w:shd w:val="clear" w:color="auto" w:fill="FFFFFF"/>
            <w:vAlign w:val="center"/>
          </w:tcPr>
          <w:p w14:paraId="7F30C927"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DA1E7F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174BA4F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4C03D20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499DF30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B81E14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0AC83C3"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0547AC4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29A9E55C"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75D0B6A9"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62FC731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09D849B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4991D8B0"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r>
              <w:rPr>
                <w:rFonts w:ascii="Times New Roman" w:hAnsi="Times New Roman"/>
                <w:color w:val="000000"/>
                <w:spacing w:val="-2"/>
                <w:sz w:val="21"/>
                <w:szCs w:val="21"/>
              </w:rPr>
              <w:t xml:space="preserve"> zł</w:t>
            </w:r>
          </w:p>
        </w:tc>
      </w:tr>
      <w:tr w:rsidR="002D69A3" w:rsidRPr="008B4FE6" w14:paraId="5D290025" w14:textId="77777777" w:rsidTr="00676C8D">
        <w:trPr>
          <w:trHeight w:val="357"/>
        </w:trPr>
        <w:tc>
          <w:tcPr>
            <w:tcW w:w="3133" w:type="dxa"/>
            <w:gridSpan w:val="4"/>
            <w:shd w:val="clear" w:color="auto" w:fill="FFFFFF"/>
            <w:vAlign w:val="center"/>
          </w:tcPr>
          <w:p w14:paraId="619EBF30" w14:textId="77777777" w:rsidR="002D69A3" w:rsidRPr="00C53F26" w:rsidRDefault="002D69A3"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2198D2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4948B62F"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0581F894"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2"/>
            <w:shd w:val="clear" w:color="auto" w:fill="FFFFFF"/>
          </w:tcPr>
          <w:p w14:paraId="6629EE86"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71B083B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1BB8DE31"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3"/>
            <w:shd w:val="clear" w:color="auto" w:fill="FFFFFF"/>
          </w:tcPr>
          <w:p w14:paraId="1E30BCF8"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69" w:type="dxa"/>
            <w:gridSpan w:val="3"/>
            <w:shd w:val="clear" w:color="auto" w:fill="FFFFFF"/>
          </w:tcPr>
          <w:p w14:paraId="4ECE2E4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56D2AF90"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gridSpan w:val="2"/>
            <w:shd w:val="clear" w:color="auto" w:fill="FFFFFF"/>
          </w:tcPr>
          <w:p w14:paraId="6BA6099E"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570" w:type="dxa"/>
            <w:shd w:val="clear" w:color="auto" w:fill="FFFFFF"/>
          </w:tcPr>
          <w:p w14:paraId="5BCBD83A" w14:textId="77777777" w:rsidR="002D69A3" w:rsidRPr="00B37C80" w:rsidRDefault="002D69A3" w:rsidP="001B5986">
            <w:pPr>
              <w:spacing w:line="240" w:lineRule="auto"/>
              <w:rPr>
                <w:rFonts w:ascii="Times New Roman" w:hAnsi="Times New Roman"/>
                <w:color w:val="000000"/>
                <w:sz w:val="21"/>
                <w:szCs w:val="21"/>
              </w:rPr>
            </w:pPr>
            <w:r>
              <w:rPr>
                <w:rFonts w:ascii="Times New Roman" w:hAnsi="Times New Roman"/>
                <w:color w:val="000000"/>
                <w:spacing w:val="-2"/>
                <w:sz w:val="21"/>
                <w:szCs w:val="21"/>
              </w:rPr>
              <w:t>0 zł</w:t>
            </w:r>
          </w:p>
        </w:tc>
        <w:tc>
          <w:tcPr>
            <w:tcW w:w="1547" w:type="dxa"/>
            <w:gridSpan w:val="3"/>
            <w:shd w:val="clear" w:color="auto" w:fill="FFFFFF"/>
          </w:tcPr>
          <w:p w14:paraId="3632FD37" w14:textId="77777777" w:rsidR="002D69A3" w:rsidRPr="00B37C80" w:rsidRDefault="002D69A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r>
              <w:rPr>
                <w:rFonts w:ascii="Times New Roman" w:hAnsi="Times New Roman"/>
                <w:color w:val="000000"/>
                <w:spacing w:val="-2"/>
                <w:sz w:val="21"/>
                <w:szCs w:val="21"/>
              </w:rPr>
              <w:t xml:space="preserve"> zł</w:t>
            </w:r>
          </w:p>
        </w:tc>
      </w:tr>
      <w:tr w:rsidR="002D69A3" w:rsidRPr="008B4FE6" w14:paraId="25BAE5D3" w14:textId="77777777" w:rsidTr="00676C8D">
        <w:trPr>
          <w:gridAfter w:val="1"/>
          <w:wAfter w:w="10" w:type="dxa"/>
          <w:trHeight w:val="348"/>
        </w:trPr>
        <w:tc>
          <w:tcPr>
            <w:tcW w:w="2243" w:type="dxa"/>
            <w:gridSpan w:val="2"/>
            <w:shd w:val="clear" w:color="auto" w:fill="FFFFFF"/>
            <w:vAlign w:val="center"/>
          </w:tcPr>
          <w:p w14:paraId="08F76B21" w14:textId="77777777" w:rsidR="002D69A3" w:rsidRPr="00C53F26" w:rsidRDefault="002D69A3"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8"/>
            <w:shd w:val="clear" w:color="auto" w:fill="FFFFFF"/>
            <w:vAlign w:val="center"/>
          </w:tcPr>
          <w:p w14:paraId="16D582BE" w14:textId="77777777" w:rsidR="002D69A3" w:rsidRDefault="002D69A3" w:rsidP="00BE43EC">
            <w:pPr>
              <w:jc w:val="both"/>
              <w:rPr>
                <w:rFonts w:ascii="Times New Roman" w:hAnsi="Times New Roman"/>
              </w:rPr>
            </w:pPr>
            <w:r w:rsidRPr="0015496E">
              <w:rPr>
                <w:rFonts w:ascii="Times New Roman" w:hAnsi="Times New Roman"/>
              </w:rPr>
              <w:t>Wejście w życie rozporządzenia nie wpłynie na sektor finansów publicznych, w tym budżet państwa i budżety jednostek samorządu terytorialnego.</w:t>
            </w:r>
            <w:r>
              <w:rPr>
                <w:rFonts w:ascii="Times New Roman" w:hAnsi="Times New Roman"/>
              </w:rPr>
              <w:t xml:space="preserve"> UKNF od 1 stycznia 2019 r. ma status państwowej osoby prawnej, która prowadzi samodzielną gospodarkę finansową na podstawie planu finansowego uchwalonego przez KNF oraz zatwierdzonego przez Prezesa Rady Ministrów. </w:t>
            </w:r>
          </w:p>
          <w:p w14:paraId="18057DE1" w14:textId="37ACFBB0" w:rsidR="002D69A3" w:rsidRPr="00CE0038" w:rsidRDefault="002D69A3" w:rsidP="00D16508">
            <w:pPr>
              <w:jc w:val="both"/>
              <w:rPr>
                <w:rFonts w:ascii="Times New Roman" w:hAnsi="Times New Roman"/>
                <w:b/>
              </w:rPr>
            </w:pPr>
            <w:r>
              <w:rPr>
                <w:rFonts w:ascii="Times New Roman" w:hAnsi="Times New Roman"/>
              </w:rPr>
              <w:t>W dotychczasowym stanie prawnym wydatki i dochody Komisji Nadzoru Finansowego były realizowane w części 70. budżetu państwa. Zgodnie z u</w:t>
            </w:r>
            <w:r>
              <w:rPr>
                <w:rFonts w:ascii="Times New Roman" w:hAnsi="Times New Roman"/>
                <w:color w:val="000000"/>
              </w:rPr>
              <w:t>stawą</w:t>
            </w:r>
            <w:r w:rsidRPr="001A10D6">
              <w:rPr>
                <w:rFonts w:ascii="Times New Roman" w:hAnsi="Times New Roman"/>
                <w:color w:val="000000"/>
              </w:rPr>
              <w:t xml:space="preserve"> z dnia 9 listopada 2018 r. o zmianie niektórych ustaw w związku ze wzmocnieniem nadzoru nad rynkiem finansowym oraz ochrony inwestorów na tym rynku</w:t>
            </w:r>
            <w:r w:rsidRPr="00BA3273">
              <w:rPr>
                <w:rFonts w:ascii="Times New Roman" w:hAnsi="Times New Roman"/>
                <w:color w:val="000000"/>
              </w:rPr>
              <w:t xml:space="preserve"> </w:t>
            </w:r>
            <w:r>
              <w:rPr>
                <w:rFonts w:ascii="Times New Roman" w:hAnsi="Times New Roman"/>
                <w:color w:val="000000"/>
              </w:rPr>
              <w:t xml:space="preserve">od dnia 1 stycznia 2019 r. UKNF z osiąganych przychodów pokrywać będzie koszty działalności UKNF i jego organów. Przychody pochodzą głównie z </w:t>
            </w:r>
            <w:r w:rsidRPr="00CE0038">
              <w:rPr>
                <w:rFonts w:ascii="Times New Roman" w:hAnsi="Times New Roman"/>
              </w:rPr>
              <w:t>wpłat wnoszonych przez podmioty nadzorowane w wysokości i na zasadach określonych w przepisach ustaw</w:t>
            </w:r>
            <w:r>
              <w:rPr>
                <w:rFonts w:ascii="Times New Roman" w:hAnsi="Times New Roman"/>
              </w:rPr>
              <w:t xml:space="preserve"> sektorowych.</w:t>
            </w:r>
          </w:p>
        </w:tc>
      </w:tr>
      <w:tr w:rsidR="002D69A3" w:rsidRPr="008B4FE6" w14:paraId="0D00F854" w14:textId="77777777" w:rsidTr="00C71193">
        <w:trPr>
          <w:gridAfter w:val="1"/>
          <w:wAfter w:w="10" w:type="dxa"/>
          <w:trHeight w:val="1221"/>
        </w:trPr>
        <w:tc>
          <w:tcPr>
            <w:tcW w:w="2243" w:type="dxa"/>
            <w:gridSpan w:val="2"/>
            <w:shd w:val="clear" w:color="auto" w:fill="FFFFFF"/>
          </w:tcPr>
          <w:p w14:paraId="0E0F9544" w14:textId="77777777" w:rsidR="002D69A3" w:rsidRPr="00C53F26" w:rsidRDefault="002D69A3"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8"/>
            <w:shd w:val="clear" w:color="auto" w:fill="FFFFFF"/>
          </w:tcPr>
          <w:p w14:paraId="06DDFB5E" w14:textId="77777777" w:rsidR="002D69A3" w:rsidRPr="00C53F26" w:rsidRDefault="002D69A3" w:rsidP="00712539">
            <w:pPr>
              <w:spacing w:line="240" w:lineRule="auto"/>
              <w:jc w:val="both"/>
              <w:rPr>
                <w:rFonts w:ascii="Times New Roman" w:hAnsi="Times New Roman"/>
                <w:color w:val="000000"/>
                <w:sz w:val="21"/>
                <w:szCs w:val="21"/>
              </w:rPr>
            </w:pPr>
            <w:r w:rsidRPr="0015496E">
              <w:rPr>
                <w:rFonts w:ascii="Times New Roman" w:hAnsi="Times New Roman"/>
                <w:color w:val="000000"/>
                <w:sz w:val="21"/>
                <w:szCs w:val="21"/>
              </w:rPr>
              <w:t>Wejście w życie rozporządzenia nie będzie miało wpływu na dochody i wydatki sektora finansów publicznych.</w:t>
            </w:r>
          </w:p>
        </w:tc>
      </w:tr>
      <w:tr w:rsidR="002D69A3" w:rsidRPr="008B4FE6" w14:paraId="296C3AF0" w14:textId="77777777" w:rsidTr="00676C8D">
        <w:trPr>
          <w:gridAfter w:val="1"/>
          <w:wAfter w:w="10" w:type="dxa"/>
          <w:trHeight w:val="345"/>
        </w:trPr>
        <w:tc>
          <w:tcPr>
            <w:tcW w:w="10937" w:type="dxa"/>
            <w:gridSpan w:val="30"/>
            <w:shd w:val="clear" w:color="auto" w:fill="99CCFF"/>
          </w:tcPr>
          <w:p w14:paraId="79436450" w14:textId="77777777" w:rsidR="002D69A3" w:rsidRPr="008B4FE6" w:rsidRDefault="002D69A3"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2D69A3" w:rsidRPr="008B4FE6" w14:paraId="6BA72BB7" w14:textId="77777777" w:rsidTr="00676C8D">
        <w:trPr>
          <w:gridAfter w:val="1"/>
          <w:wAfter w:w="10" w:type="dxa"/>
          <w:trHeight w:val="142"/>
        </w:trPr>
        <w:tc>
          <w:tcPr>
            <w:tcW w:w="10937" w:type="dxa"/>
            <w:gridSpan w:val="30"/>
            <w:shd w:val="clear" w:color="auto" w:fill="FFFFFF"/>
          </w:tcPr>
          <w:p w14:paraId="381DD5FD" w14:textId="77777777" w:rsidR="002D69A3" w:rsidRPr="00301959" w:rsidRDefault="002D69A3"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D69A3" w:rsidRPr="008B4FE6" w14:paraId="3806EFC6" w14:textId="77777777" w:rsidTr="00676C8D">
        <w:trPr>
          <w:gridAfter w:val="1"/>
          <w:wAfter w:w="10" w:type="dxa"/>
          <w:trHeight w:val="142"/>
        </w:trPr>
        <w:tc>
          <w:tcPr>
            <w:tcW w:w="3889" w:type="dxa"/>
            <w:gridSpan w:val="7"/>
            <w:shd w:val="clear" w:color="auto" w:fill="FFFFFF"/>
          </w:tcPr>
          <w:p w14:paraId="0744FF66"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3"/>
            <w:shd w:val="clear" w:color="auto" w:fill="FFFFFF"/>
          </w:tcPr>
          <w:p w14:paraId="7D069F87"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4"/>
            <w:shd w:val="clear" w:color="auto" w:fill="FFFFFF"/>
          </w:tcPr>
          <w:p w14:paraId="0222F615"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5"/>
            <w:shd w:val="clear" w:color="auto" w:fill="FFFFFF"/>
          </w:tcPr>
          <w:p w14:paraId="124736CF"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510E5900"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2E792F84"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7A209E9C" w14:textId="77777777" w:rsidR="002D69A3" w:rsidRPr="00301959" w:rsidRDefault="002D69A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5071C7B3" w14:textId="77777777" w:rsidR="002D69A3" w:rsidRPr="001B3460" w:rsidRDefault="002D69A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2D69A3" w:rsidRPr="008B4FE6" w14:paraId="7CA13CE7" w14:textId="77777777" w:rsidTr="009F4515">
        <w:trPr>
          <w:gridAfter w:val="1"/>
          <w:wAfter w:w="10" w:type="dxa"/>
          <w:trHeight w:val="142"/>
        </w:trPr>
        <w:tc>
          <w:tcPr>
            <w:tcW w:w="1596" w:type="dxa"/>
            <w:vMerge w:val="restart"/>
            <w:shd w:val="clear" w:color="auto" w:fill="FFFFFF"/>
          </w:tcPr>
          <w:p w14:paraId="7D295F49" w14:textId="77777777" w:rsidR="002D69A3" w:rsidRDefault="002D69A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73963FD" w14:textId="77777777" w:rsidR="002D69A3" w:rsidRDefault="002D69A3"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2FBDAD1D" w14:textId="77777777" w:rsidR="002D69A3" w:rsidRPr="00301959" w:rsidRDefault="002D69A3"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1AA700F6"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3"/>
            <w:shd w:val="clear" w:color="auto" w:fill="FFFFFF"/>
          </w:tcPr>
          <w:p w14:paraId="13DCA587"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12C6DC73"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5"/>
            <w:shd w:val="clear" w:color="auto" w:fill="FFFFFF"/>
          </w:tcPr>
          <w:p w14:paraId="7203E84A" w14:textId="77777777" w:rsidR="002D69A3" w:rsidRPr="00B37C80" w:rsidRDefault="002D69A3" w:rsidP="00811D46">
            <w:pPr>
              <w:spacing w:line="240" w:lineRule="auto"/>
              <w:rPr>
                <w:rFonts w:ascii="Times New Roman" w:hAnsi="Times New Roman"/>
                <w:color w:val="000000"/>
                <w:sz w:val="21"/>
                <w:szCs w:val="21"/>
              </w:rPr>
            </w:pPr>
          </w:p>
        </w:tc>
        <w:tc>
          <w:tcPr>
            <w:tcW w:w="937" w:type="dxa"/>
            <w:gridSpan w:val="3"/>
            <w:shd w:val="clear" w:color="auto" w:fill="FFFFFF"/>
          </w:tcPr>
          <w:p w14:paraId="1AF347C9"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0215A8E3"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3"/>
            <w:shd w:val="clear" w:color="auto" w:fill="FFFFFF"/>
          </w:tcPr>
          <w:p w14:paraId="13FCCF27" w14:textId="77777777" w:rsidR="002D69A3" w:rsidRPr="00B37C80" w:rsidRDefault="002D69A3" w:rsidP="00811D46">
            <w:pPr>
              <w:spacing w:line="240" w:lineRule="auto"/>
              <w:rPr>
                <w:rFonts w:ascii="Times New Roman" w:hAnsi="Times New Roman"/>
                <w:color w:val="000000"/>
                <w:sz w:val="21"/>
                <w:szCs w:val="21"/>
              </w:rPr>
            </w:pPr>
          </w:p>
        </w:tc>
        <w:tc>
          <w:tcPr>
            <w:tcW w:w="1422" w:type="dxa"/>
            <w:shd w:val="clear" w:color="auto" w:fill="FFFFFF"/>
          </w:tcPr>
          <w:p w14:paraId="64A3D7F8" w14:textId="77777777" w:rsidR="002D69A3" w:rsidRPr="00B37C80" w:rsidRDefault="002D69A3" w:rsidP="00811D46">
            <w:pPr>
              <w:spacing w:line="240" w:lineRule="auto"/>
              <w:rPr>
                <w:rFonts w:ascii="Times New Roman" w:hAnsi="Times New Roman"/>
                <w:color w:val="000000"/>
                <w:spacing w:val="-2"/>
                <w:sz w:val="21"/>
                <w:szCs w:val="21"/>
              </w:rPr>
            </w:pPr>
          </w:p>
        </w:tc>
      </w:tr>
      <w:tr w:rsidR="002D69A3" w:rsidRPr="008B4FE6" w14:paraId="5B58F8E5" w14:textId="77777777" w:rsidTr="009F4515">
        <w:trPr>
          <w:gridAfter w:val="1"/>
          <w:wAfter w:w="10" w:type="dxa"/>
          <w:trHeight w:val="142"/>
        </w:trPr>
        <w:tc>
          <w:tcPr>
            <w:tcW w:w="1596" w:type="dxa"/>
            <w:vMerge/>
            <w:shd w:val="clear" w:color="auto" w:fill="FFFFFF"/>
          </w:tcPr>
          <w:p w14:paraId="50AA54C4" w14:textId="77777777" w:rsidR="002D69A3" w:rsidRPr="00301959" w:rsidRDefault="002D69A3" w:rsidP="00811D46">
            <w:pPr>
              <w:spacing w:line="240" w:lineRule="auto"/>
              <w:rPr>
                <w:rFonts w:ascii="Times New Roman" w:hAnsi="Times New Roman"/>
                <w:color w:val="000000"/>
                <w:sz w:val="21"/>
                <w:szCs w:val="21"/>
              </w:rPr>
            </w:pPr>
          </w:p>
        </w:tc>
        <w:tc>
          <w:tcPr>
            <w:tcW w:w="2293" w:type="dxa"/>
            <w:gridSpan w:val="6"/>
            <w:shd w:val="clear" w:color="auto" w:fill="FFFFFF"/>
          </w:tcPr>
          <w:p w14:paraId="3182BDF1"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3"/>
            <w:shd w:val="clear" w:color="auto" w:fill="FFFFFF"/>
          </w:tcPr>
          <w:p w14:paraId="7FBD9F1D"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288E1033"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5"/>
            <w:shd w:val="clear" w:color="auto" w:fill="FFFFFF"/>
          </w:tcPr>
          <w:p w14:paraId="6D104752" w14:textId="77777777" w:rsidR="002D69A3" w:rsidRPr="00B37C80" w:rsidRDefault="002D69A3" w:rsidP="00811D46">
            <w:pPr>
              <w:spacing w:line="240" w:lineRule="auto"/>
              <w:rPr>
                <w:rFonts w:ascii="Times New Roman" w:hAnsi="Times New Roman"/>
                <w:color w:val="000000"/>
                <w:sz w:val="21"/>
                <w:szCs w:val="21"/>
              </w:rPr>
            </w:pPr>
          </w:p>
        </w:tc>
        <w:tc>
          <w:tcPr>
            <w:tcW w:w="937" w:type="dxa"/>
            <w:gridSpan w:val="3"/>
            <w:shd w:val="clear" w:color="auto" w:fill="FFFFFF"/>
          </w:tcPr>
          <w:p w14:paraId="248D09FB"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51C498F5"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3"/>
            <w:shd w:val="clear" w:color="auto" w:fill="FFFFFF"/>
          </w:tcPr>
          <w:p w14:paraId="7E2CC05F" w14:textId="77777777" w:rsidR="002D69A3" w:rsidRPr="00B37C80" w:rsidRDefault="002D69A3" w:rsidP="00811D46">
            <w:pPr>
              <w:spacing w:line="240" w:lineRule="auto"/>
              <w:rPr>
                <w:rFonts w:ascii="Times New Roman" w:hAnsi="Times New Roman"/>
                <w:color w:val="000000"/>
                <w:sz w:val="21"/>
                <w:szCs w:val="21"/>
              </w:rPr>
            </w:pPr>
          </w:p>
        </w:tc>
        <w:tc>
          <w:tcPr>
            <w:tcW w:w="1422" w:type="dxa"/>
            <w:shd w:val="clear" w:color="auto" w:fill="FFFFFF"/>
          </w:tcPr>
          <w:p w14:paraId="15DD06C2" w14:textId="77777777" w:rsidR="002D69A3" w:rsidRPr="00B37C80" w:rsidRDefault="002D69A3" w:rsidP="00811D46">
            <w:pPr>
              <w:spacing w:line="240" w:lineRule="auto"/>
              <w:rPr>
                <w:rFonts w:ascii="Times New Roman" w:hAnsi="Times New Roman"/>
                <w:color w:val="000000"/>
                <w:spacing w:val="-2"/>
                <w:sz w:val="21"/>
                <w:szCs w:val="21"/>
              </w:rPr>
            </w:pPr>
          </w:p>
        </w:tc>
      </w:tr>
      <w:tr w:rsidR="002D69A3" w:rsidRPr="008B4FE6" w14:paraId="3257984E" w14:textId="77777777" w:rsidTr="009F4515">
        <w:trPr>
          <w:gridAfter w:val="1"/>
          <w:wAfter w:w="10" w:type="dxa"/>
          <w:trHeight w:val="142"/>
        </w:trPr>
        <w:tc>
          <w:tcPr>
            <w:tcW w:w="1596" w:type="dxa"/>
            <w:vMerge/>
            <w:shd w:val="clear" w:color="auto" w:fill="FFFFFF"/>
          </w:tcPr>
          <w:p w14:paraId="7F5160C6" w14:textId="77777777" w:rsidR="002D69A3" w:rsidRPr="00301959" w:rsidRDefault="002D69A3" w:rsidP="00811D46">
            <w:pPr>
              <w:spacing w:line="240" w:lineRule="auto"/>
              <w:rPr>
                <w:rFonts w:ascii="Times New Roman" w:hAnsi="Times New Roman"/>
                <w:color w:val="000000"/>
                <w:sz w:val="21"/>
                <w:szCs w:val="21"/>
              </w:rPr>
            </w:pPr>
          </w:p>
        </w:tc>
        <w:tc>
          <w:tcPr>
            <w:tcW w:w="2293" w:type="dxa"/>
            <w:gridSpan w:val="6"/>
            <w:shd w:val="clear" w:color="auto" w:fill="FFFFFF"/>
          </w:tcPr>
          <w:p w14:paraId="6FFA883C" w14:textId="77777777" w:rsidR="002D69A3" w:rsidRPr="00301959" w:rsidRDefault="002D69A3"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3"/>
            <w:shd w:val="clear" w:color="auto" w:fill="FFFFFF"/>
          </w:tcPr>
          <w:p w14:paraId="79494CD2"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0C150B34"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5"/>
            <w:shd w:val="clear" w:color="auto" w:fill="FFFFFF"/>
          </w:tcPr>
          <w:p w14:paraId="1E5B878F" w14:textId="77777777" w:rsidR="002D69A3" w:rsidRPr="00B37C80" w:rsidRDefault="002D69A3" w:rsidP="00811D46">
            <w:pPr>
              <w:spacing w:line="240" w:lineRule="auto"/>
              <w:rPr>
                <w:rFonts w:ascii="Times New Roman" w:hAnsi="Times New Roman"/>
                <w:color w:val="000000"/>
                <w:sz w:val="21"/>
                <w:szCs w:val="21"/>
              </w:rPr>
            </w:pPr>
          </w:p>
        </w:tc>
        <w:tc>
          <w:tcPr>
            <w:tcW w:w="937" w:type="dxa"/>
            <w:gridSpan w:val="3"/>
            <w:shd w:val="clear" w:color="auto" w:fill="FFFFFF"/>
          </w:tcPr>
          <w:p w14:paraId="386C3F3C"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4"/>
            <w:shd w:val="clear" w:color="auto" w:fill="FFFFFF"/>
          </w:tcPr>
          <w:p w14:paraId="2BC2A2CF" w14:textId="77777777" w:rsidR="002D69A3" w:rsidRPr="00B37C80" w:rsidRDefault="002D69A3" w:rsidP="00811D46">
            <w:pPr>
              <w:spacing w:line="240" w:lineRule="auto"/>
              <w:rPr>
                <w:rFonts w:ascii="Times New Roman" w:hAnsi="Times New Roman"/>
                <w:color w:val="000000"/>
                <w:sz w:val="21"/>
                <w:szCs w:val="21"/>
              </w:rPr>
            </w:pPr>
          </w:p>
        </w:tc>
        <w:tc>
          <w:tcPr>
            <w:tcW w:w="938" w:type="dxa"/>
            <w:gridSpan w:val="3"/>
            <w:shd w:val="clear" w:color="auto" w:fill="FFFFFF"/>
          </w:tcPr>
          <w:p w14:paraId="64ECBA03" w14:textId="77777777" w:rsidR="002D69A3" w:rsidRPr="00B37C80" w:rsidRDefault="002D69A3" w:rsidP="00811D46">
            <w:pPr>
              <w:spacing w:line="240" w:lineRule="auto"/>
              <w:rPr>
                <w:rFonts w:ascii="Times New Roman" w:hAnsi="Times New Roman"/>
                <w:color w:val="000000"/>
                <w:sz w:val="21"/>
                <w:szCs w:val="21"/>
              </w:rPr>
            </w:pPr>
          </w:p>
        </w:tc>
        <w:tc>
          <w:tcPr>
            <w:tcW w:w="1422" w:type="dxa"/>
            <w:shd w:val="clear" w:color="auto" w:fill="FFFFFF"/>
          </w:tcPr>
          <w:p w14:paraId="68A8E49F" w14:textId="77777777" w:rsidR="002D69A3" w:rsidRPr="00B37C80" w:rsidRDefault="002D69A3" w:rsidP="00811D46">
            <w:pPr>
              <w:spacing w:line="240" w:lineRule="auto"/>
              <w:rPr>
                <w:rFonts w:ascii="Times New Roman" w:hAnsi="Times New Roman"/>
                <w:color w:val="000000"/>
                <w:spacing w:val="-2"/>
                <w:sz w:val="21"/>
                <w:szCs w:val="21"/>
              </w:rPr>
            </w:pPr>
          </w:p>
        </w:tc>
      </w:tr>
      <w:tr w:rsidR="002D69A3" w:rsidRPr="008B4FE6" w14:paraId="3788FC3B" w14:textId="77777777" w:rsidTr="00676C8D">
        <w:trPr>
          <w:gridAfter w:val="1"/>
          <w:wAfter w:w="10" w:type="dxa"/>
          <w:trHeight w:val="142"/>
        </w:trPr>
        <w:tc>
          <w:tcPr>
            <w:tcW w:w="1596" w:type="dxa"/>
            <w:vMerge w:val="restart"/>
            <w:shd w:val="clear" w:color="auto" w:fill="FFFFFF"/>
          </w:tcPr>
          <w:p w14:paraId="657ABB6E"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307555A9"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3"/>
            <w:shd w:val="clear" w:color="auto" w:fill="FFFFFF"/>
          </w:tcPr>
          <w:p w14:paraId="2064010C" w14:textId="77777777" w:rsidR="002D69A3" w:rsidRPr="00B37C80" w:rsidRDefault="002D69A3" w:rsidP="00811D46">
            <w:pPr>
              <w:spacing w:line="240" w:lineRule="auto"/>
              <w:rPr>
                <w:rFonts w:ascii="Times New Roman" w:hAnsi="Times New Roman"/>
                <w:color w:val="000000"/>
                <w:spacing w:val="-2"/>
                <w:sz w:val="21"/>
                <w:szCs w:val="21"/>
              </w:rPr>
            </w:pPr>
          </w:p>
        </w:tc>
      </w:tr>
      <w:tr w:rsidR="002D69A3" w:rsidRPr="008B4FE6" w14:paraId="76EB3304" w14:textId="77777777" w:rsidTr="00676C8D">
        <w:trPr>
          <w:gridAfter w:val="1"/>
          <w:wAfter w:w="10" w:type="dxa"/>
          <w:trHeight w:val="142"/>
        </w:trPr>
        <w:tc>
          <w:tcPr>
            <w:tcW w:w="1596" w:type="dxa"/>
            <w:vMerge/>
            <w:shd w:val="clear" w:color="auto" w:fill="FFFFFF"/>
          </w:tcPr>
          <w:p w14:paraId="1D41393B" w14:textId="77777777" w:rsidR="002D69A3" w:rsidRPr="00301959" w:rsidRDefault="002D69A3" w:rsidP="00811D46">
            <w:pPr>
              <w:spacing w:line="240" w:lineRule="auto"/>
              <w:rPr>
                <w:rFonts w:ascii="Times New Roman" w:hAnsi="Times New Roman"/>
                <w:color w:val="000000"/>
                <w:sz w:val="21"/>
                <w:szCs w:val="21"/>
              </w:rPr>
            </w:pPr>
          </w:p>
        </w:tc>
        <w:tc>
          <w:tcPr>
            <w:tcW w:w="2293" w:type="dxa"/>
            <w:gridSpan w:val="6"/>
            <w:shd w:val="clear" w:color="auto" w:fill="FFFFFF"/>
          </w:tcPr>
          <w:p w14:paraId="6A3D3F15" w14:textId="77777777" w:rsidR="002D69A3" w:rsidRPr="00301959" w:rsidRDefault="002D69A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3"/>
            <w:shd w:val="clear" w:color="auto" w:fill="FFFFFF"/>
          </w:tcPr>
          <w:p w14:paraId="4AAA00BD" w14:textId="77777777" w:rsidR="002D69A3" w:rsidRPr="00B37C80" w:rsidRDefault="002D69A3" w:rsidP="00811D46">
            <w:pPr>
              <w:spacing w:line="240" w:lineRule="auto"/>
              <w:rPr>
                <w:rFonts w:ascii="Times New Roman" w:hAnsi="Times New Roman"/>
                <w:color w:val="000000"/>
                <w:spacing w:val="-2"/>
                <w:sz w:val="21"/>
                <w:szCs w:val="21"/>
              </w:rPr>
            </w:pPr>
          </w:p>
        </w:tc>
      </w:tr>
      <w:tr w:rsidR="002D69A3" w:rsidRPr="008B4FE6" w14:paraId="542ABE31" w14:textId="77777777" w:rsidTr="00676C8D">
        <w:trPr>
          <w:gridAfter w:val="1"/>
          <w:wAfter w:w="10" w:type="dxa"/>
          <w:trHeight w:val="596"/>
        </w:trPr>
        <w:tc>
          <w:tcPr>
            <w:tcW w:w="1596" w:type="dxa"/>
            <w:vMerge/>
            <w:shd w:val="clear" w:color="auto" w:fill="FFFFFF"/>
          </w:tcPr>
          <w:p w14:paraId="381110EC" w14:textId="77777777" w:rsidR="002D69A3" w:rsidRPr="00301959" w:rsidRDefault="002D69A3" w:rsidP="00811D46">
            <w:pPr>
              <w:spacing w:line="240" w:lineRule="auto"/>
              <w:rPr>
                <w:rFonts w:ascii="Times New Roman" w:hAnsi="Times New Roman"/>
                <w:color w:val="000000"/>
                <w:sz w:val="21"/>
                <w:szCs w:val="21"/>
              </w:rPr>
            </w:pPr>
          </w:p>
        </w:tc>
        <w:tc>
          <w:tcPr>
            <w:tcW w:w="2293" w:type="dxa"/>
            <w:gridSpan w:val="6"/>
            <w:shd w:val="clear" w:color="auto" w:fill="FFFFFF"/>
          </w:tcPr>
          <w:p w14:paraId="01C2F9F1" w14:textId="77777777" w:rsidR="002D69A3" w:rsidRPr="00301959" w:rsidRDefault="002D69A3"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3"/>
            <w:shd w:val="clear" w:color="auto" w:fill="FFFFFF"/>
          </w:tcPr>
          <w:p w14:paraId="2FFB3B9D" w14:textId="77777777" w:rsidR="002D69A3" w:rsidRPr="00B37C80" w:rsidRDefault="002D69A3" w:rsidP="00955774">
            <w:pPr>
              <w:spacing w:line="240" w:lineRule="auto"/>
              <w:rPr>
                <w:rFonts w:ascii="Times New Roman" w:hAnsi="Times New Roman"/>
                <w:color w:val="000000"/>
                <w:spacing w:val="-2"/>
                <w:sz w:val="21"/>
                <w:szCs w:val="21"/>
              </w:rPr>
            </w:pPr>
          </w:p>
        </w:tc>
      </w:tr>
      <w:tr w:rsidR="002D69A3" w:rsidRPr="008B4FE6" w14:paraId="7721578E" w14:textId="77777777" w:rsidTr="00C71193">
        <w:trPr>
          <w:gridAfter w:val="1"/>
          <w:wAfter w:w="10" w:type="dxa"/>
          <w:trHeight w:val="995"/>
        </w:trPr>
        <w:tc>
          <w:tcPr>
            <w:tcW w:w="2552" w:type="dxa"/>
            <w:gridSpan w:val="3"/>
            <w:shd w:val="clear" w:color="auto" w:fill="FFFFFF"/>
          </w:tcPr>
          <w:p w14:paraId="06CF4B93" w14:textId="77777777" w:rsidR="002D69A3" w:rsidRPr="00301959" w:rsidRDefault="002D69A3"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385" w:type="dxa"/>
            <w:gridSpan w:val="27"/>
            <w:shd w:val="clear" w:color="auto" w:fill="FFFFFF"/>
            <w:vAlign w:val="center"/>
          </w:tcPr>
          <w:p w14:paraId="5992FDD9" w14:textId="77777777" w:rsidR="002D69A3" w:rsidRPr="00C71193" w:rsidRDefault="002D69A3" w:rsidP="00696EE7">
            <w:pPr>
              <w:spacing w:line="240" w:lineRule="auto"/>
              <w:jc w:val="both"/>
              <w:rPr>
                <w:rFonts w:ascii="Times New Roman" w:hAnsi="Times New Roman"/>
              </w:rPr>
            </w:pPr>
            <w:r w:rsidRPr="00A1639A">
              <w:rPr>
                <w:rFonts w:ascii="Times New Roman" w:hAnsi="Times New Roman"/>
              </w:rPr>
              <w:t xml:space="preserve">Wejście w życie rozporządzenia nie będzie miało wpływu na konkurencyjność gospodarki i przedsiębiorczość. </w:t>
            </w:r>
          </w:p>
        </w:tc>
      </w:tr>
      <w:tr w:rsidR="002D69A3" w:rsidRPr="008B4FE6" w14:paraId="18837FE5" w14:textId="77777777" w:rsidTr="00676C8D">
        <w:trPr>
          <w:gridAfter w:val="1"/>
          <w:wAfter w:w="10" w:type="dxa"/>
          <w:trHeight w:val="342"/>
        </w:trPr>
        <w:tc>
          <w:tcPr>
            <w:tcW w:w="10937" w:type="dxa"/>
            <w:gridSpan w:val="30"/>
            <w:shd w:val="clear" w:color="auto" w:fill="99CCFF"/>
            <w:vAlign w:val="center"/>
          </w:tcPr>
          <w:p w14:paraId="5528C7BD" w14:textId="77777777" w:rsidR="002D69A3" w:rsidRPr="008B4FE6" w:rsidRDefault="002D69A3"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D69A3" w:rsidRPr="008B4FE6" w14:paraId="0B953422" w14:textId="77777777" w:rsidTr="00676C8D">
        <w:trPr>
          <w:gridAfter w:val="1"/>
          <w:wAfter w:w="10" w:type="dxa"/>
          <w:trHeight w:val="151"/>
        </w:trPr>
        <w:tc>
          <w:tcPr>
            <w:tcW w:w="10937" w:type="dxa"/>
            <w:gridSpan w:val="30"/>
            <w:shd w:val="clear" w:color="auto" w:fill="FFFFFF"/>
          </w:tcPr>
          <w:p w14:paraId="07CE2CB1" w14:textId="77777777" w:rsidR="002D69A3" w:rsidRPr="008B4FE6" w:rsidRDefault="002D69A3"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2D69A3" w:rsidRPr="008B4FE6" w14:paraId="73BB8C2F" w14:textId="77777777" w:rsidTr="00676C8D">
        <w:trPr>
          <w:gridAfter w:val="1"/>
          <w:wAfter w:w="10" w:type="dxa"/>
          <w:trHeight w:val="946"/>
        </w:trPr>
        <w:tc>
          <w:tcPr>
            <w:tcW w:w="5111" w:type="dxa"/>
            <w:gridSpan w:val="12"/>
            <w:shd w:val="clear" w:color="auto" w:fill="FFFFFF"/>
          </w:tcPr>
          <w:p w14:paraId="75FDA7CF" w14:textId="77777777" w:rsidR="002D69A3" w:rsidRDefault="002D69A3"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8"/>
            <w:shd w:val="clear" w:color="auto" w:fill="FFFFFF"/>
          </w:tcPr>
          <w:p w14:paraId="1F1B9787" w14:textId="77777777" w:rsidR="002D69A3" w:rsidRDefault="002D69A3"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090DC1B" w14:textId="77777777" w:rsidR="002D69A3" w:rsidRDefault="002D69A3"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5058A4EA" w14:textId="77777777" w:rsidR="002D69A3" w:rsidRDefault="002D69A3" w:rsidP="004F4E17">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2D69A3" w:rsidRPr="008B4FE6" w14:paraId="2F8D0D67" w14:textId="77777777" w:rsidTr="00676C8D">
        <w:trPr>
          <w:gridAfter w:val="1"/>
          <w:wAfter w:w="10" w:type="dxa"/>
          <w:trHeight w:val="1245"/>
        </w:trPr>
        <w:tc>
          <w:tcPr>
            <w:tcW w:w="5111" w:type="dxa"/>
            <w:gridSpan w:val="12"/>
            <w:shd w:val="clear" w:color="auto" w:fill="FFFFFF"/>
          </w:tcPr>
          <w:p w14:paraId="7CFDD0F2" w14:textId="77777777" w:rsidR="002D69A3" w:rsidRPr="008B4FE6" w:rsidRDefault="002D69A3"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3045C715" w14:textId="77777777" w:rsidR="002D69A3" w:rsidRPr="008B4FE6" w:rsidRDefault="002D69A3"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7FF32B25" w14:textId="77777777" w:rsidR="002D69A3" w:rsidRDefault="002D69A3"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2ECB2553" w14:textId="77777777" w:rsidR="002D69A3" w:rsidRPr="008B4FE6" w:rsidRDefault="002D69A3"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8"/>
            <w:shd w:val="clear" w:color="auto" w:fill="FFFFFF"/>
          </w:tcPr>
          <w:p w14:paraId="4263B6CC" w14:textId="77777777" w:rsidR="002D69A3" w:rsidRPr="008B4FE6" w:rsidRDefault="002D69A3"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06687B31" w14:textId="77777777" w:rsidR="002D69A3" w:rsidRPr="008B4FE6" w:rsidRDefault="002D69A3"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67AB05D2" w14:textId="79FFCD28" w:rsidR="00120E24" w:rsidRPr="00120E24" w:rsidRDefault="00120E24" w:rsidP="00120E24">
            <w:pPr>
              <w:spacing w:line="240" w:lineRule="auto"/>
              <w:rPr>
                <w:rFonts w:ascii="Times New Roman" w:hAnsi="Times New Roman"/>
                <w:color w:val="000000"/>
              </w:rPr>
            </w:pPr>
            <w:r w:rsidRPr="00120E24">
              <w:rPr>
                <w:rFonts w:ascii="Times New Roman" w:hAnsi="Times New Roman"/>
                <w:color w:val="000000"/>
              </w:rPr>
              <w:fldChar w:fldCharType="begin">
                <w:ffData>
                  <w:name w:val=""/>
                  <w:enabled/>
                  <w:calcOnExit w:val="0"/>
                  <w:checkBox>
                    <w:sizeAuto/>
                    <w:default w:val="1"/>
                  </w:checkBox>
                </w:ffData>
              </w:fldChar>
            </w:r>
            <w:r w:rsidRPr="00120E24">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120E24">
              <w:rPr>
                <w:rFonts w:ascii="Times New Roman" w:hAnsi="Times New Roman"/>
                <w:color w:val="000000"/>
              </w:rPr>
              <w:fldChar w:fldCharType="end"/>
            </w:r>
            <w:r w:rsidRPr="00120E24">
              <w:rPr>
                <w:rFonts w:ascii="Times New Roman" w:hAnsi="Times New Roman"/>
                <w:color w:val="000000"/>
              </w:rPr>
              <w:t xml:space="preserve"> wydłużenie czasu na załatwienie sprawy</w:t>
            </w:r>
          </w:p>
          <w:p w14:paraId="5ADEC734" w14:textId="270B29CC" w:rsidR="002D69A3" w:rsidRPr="008B4FE6" w:rsidRDefault="00120E24" w:rsidP="00120E24">
            <w:pPr>
              <w:spacing w:line="240" w:lineRule="auto"/>
              <w:rPr>
                <w:rFonts w:ascii="Times New Roman" w:hAnsi="Times New Roman"/>
                <w:color w:val="000000"/>
              </w:rPr>
            </w:pPr>
            <w:r w:rsidRPr="00120E24">
              <w:rPr>
                <w:rFonts w:ascii="Times New Roman" w:hAnsi="Times New Roman"/>
                <w:color w:val="000000"/>
              </w:rPr>
              <w:fldChar w:fldCharType="begin">
                <w:ffData>
                  <w:name w:val=""/>
                  <w:enabled/>
                  <w:calcOnExit w:val="0"/>
                  <w:checkBox>
                    <w:sizeAuto/>
                    <w:default w:val="0"/>
                  </w:checkBox>
                </w:ffData>
              </w:fldChar>
            </w:r>
            <w:r w:rsidRPr="00120E24">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120E24">
              <w:rPr>
                <w:rFonts w:ascii="Times New Roman" w:hAnsi="Times New Roman"/>
                <w:color w:val="000000"/>
              </w:rPr>
              <w:fldChar w:fldCharType="end"/>
            </w:r>
            <w:r w:rsidRPr="00120E24">
              <w:rPr>
                <w:rFonts w:ascii="Times New Roman" w:hAnsi="Times New Roman"/>
                <w:color w:val="000000"/>
              </w:rPr>
              <w:t xml:space="preserve"> inne:</w:t>
            </w:r>
          </w:p>
        </w:tc>
      </w:tr>
      <w:tr w:rsidR="002D69A3" w:rsidRPr="008B4FE6" w14:paraId="4D2CB813" w14:textId="77777777" w:rsidTr="00676C8D">
        <w:trPr>
          <w:gridAfter w:val="1"/>
          <w:wAfter w:w="10" w:type="dxa"/>
          <w:trHeight w:val="870"/>
        </w:trPr>
        <w:tc>
          <w:tcPr>
            <w:tcW w:w="5111" w:type="dxa"/>
            <w:gridSpan w:val="12"/>
            <w:shd w:val="clear" w:color="auto" w:fill="FFFFFF"/>
          </w:tcPr>
          <w:p w14:paraId="5147F764" w14:textId="77777777" w:rsidR="002D69A3" w:rsidRPr="008B4FE6" w:rsidRDefault="002D69A3"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8"/>
            <w:shd w:val="clear" w:color="auto" w:fill="FFFFFF"/>
          </w:tcPr>
          <w:p w14:paraId="50EAA266" w14:textId="77777777" w:rsidR="002D69A3" w:rsidRDefault="002D69A3"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5465128C" w14:textId="77777777" w:rsidR="002D69A3" w:rsidRDefault="002D69A3"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4485697D" w14:textId="0B99559C" w:rsidR="002D69A3" w:rsidRPr="008B4FE6" w:rsidRDefault="00120E24"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Pr>
                <w:rFonts w:ascii="Times New Roman" w:hAnsi="Times New Roman"/>
                <w:color w:val="000000"/>
              </w:rPr>
              <w:fldChar w:fldCharType="end"/>
            </w:r>
            <w:r w:rsidR="002D69A3">
              <w:rPr>
                <w:rFonts w:ascii="Times New Roman" w:hAnsi="Times New Roman"/>
                <w:color w:val="000000"/>
              </w:rPr>
              <w:t xml:space="preserve"> nie dotyczy</w:t>
            </w:r>
          </w:p>
        </w:tc>
      </w:tr>
      <w:tr w:rsidR="002D69A3" w:rsidRPr="008B4FE6" w14:paraId="2B3A0A4C" w14:textId="77777777" w:rsidTr="00C71193">
        <w:trPr>
          <w:gridAfter w:val="1"/>
          <w:wAfter w:w="10" w:type="dxa"/>
          <w:trHeight w:val="360"/>
        </w:trPr>
        <w:tc>
          <w:tcPr>
            <w:tcW w:w="10937" w:type="dxa"/>
            <w:gridSpan w:val="30"/>
            <w:shd w:val="clear" w:color="auto" w:fill="FFFFFF"/>
          </w:tcPr>
          <w:p w14:paraId="479E9EAC" w14:textId="77777777" w:rsidR="002D69A3" w:rsidRPr="008B4FE6" w:rsidRDefault="002D69A3" w:rsidP="00C71193">
            <w:pPr>
              <w:spacing w:line="240" w:lineRule="auto"/>
              <w:jc w:val="both"/>
              <w:rPr>
                <w:rFonts w:ascii="Times New Roman" w:hAnsi="Times New Roman"/>
                <w:color w:val="000000"/>
              </w:rPr>
            </w:pPr>
            <w:r>
              <w:rPr>
                <w:rFonts w:ascii="Times New Roman" w:hAnsi="Times New Roman"/>
                <w:color w:val="000000"/>
              </w:rPr>
              <w:t>Komentarz:</w:t>
            </w:r>
          </w:p>
        </w:tc>
      </w:tr>
      <w:tr w:rsidR="002D69A3" w:rsidRPr="008B4FE6" w14:paraId="488FB73F" w14:textId="77777777" w:rsidTr="00676C8D">
        <w:trPr>
          <w:gridAfter w:val="1"/>
          <w:wAfter w:w="10" w:type="dxa"/>
          <w:trHeight w:val="142"/>
        </w:trPr>
        <w:tc>
          <w:tcPr>
            <w:tcW w:w="10937" w:type="dxa"/>
            <w:gridSpan w:val="30"/>
            <w:shd w:val="clear" w:color="auto" w:fill="99CCFF"/>
          </w:tcPr>
          <w:p w14:paraId="6CA9C8F8" w14:textId="77777777" w:rsidR="002D69A3" w:rsidRPr="008B4FE6" w:rsidRDefault="002D69A3"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D69A3" w:rsidRPr="008B4FE6" w14:paraId="5E7133C2" w14:textId="77777777" w:rsidTr="00676C8D">
        <w:trPr>
          <w:gridAfter w:val="1"/>
          <w:wAfter w:w="10" w:type="dxa"/>
          <w:trHeight w:val="142"/>
        </w:trPr>
        <w:tc>
          <w:tcPr>
            <w:tcW w:w="10937" w:type="dxa"/>
            <w:gridSpan w:val="30"/>
            <w:shd w:val="clear" w:color="auto" w:fill="auto"/>
          </w:tcPr>
          <w:p w14:paraId="4C75CE1E" w14:textId="77777777" w:rsidR="002D69A3" w:rsidRPr="00C71193" w:rsidRDefault="002D69A3" w:rsidP="00032378">
            <w:pPr>
              <w:jc w:val="both"/>
              <w:rPr>
                <w:rFonts w:ascii="Times New Roman" w:hAnsi="Times New Roman"/>
              </w:rPr>
            </w:pPr>
            <w:r w:rsidRPr="008C0E81">
              <w:rPr>
                <w:rFonts w:ascii="Times New Roman" w:hAnsi="Times New Roman"/>
              </w:rPr>
              <w:t>Wejście w życie rozporządzenia nie będzie miało wpływu na rynek pracy.</w:t>
            </w:r>
          </w:p>
        </w:tc>
      </w:tr>
      <w:tr w:rsidR="002D69A3" w:rsidRPr="008B4FE6" w14:paraId="78A47EF1" w14:textId="77777777" w:rsidTr="00676C8D">
        <w:trPr>
          <w:gridAfter w:val="1"/>
          <w:wAfter w:w="10" w:type="dxa"/>
          <w:trHeight w:val="142"/>
        </w:trPr>
        <w:tc>
          <w:tcPr>
            <w:tcW w:w="10937" w:type="dxa"/>
            <w:gridSpan w:val="30"/>
            <w:shd w:val="clear" w:color="auto" w:fill="99CCFF"/>
          </w:tcPr>
          <w:p w14:paraId="37DB71AB" w14:textId="77777777" w:rsidR="002D69A3" w:rsidRPr="008B4FE6" w:rsidRDefault="002D69A3"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2D69A3" w:rsidRPr="008B4FE6" w14:paraId="2142A05B" w14:textId="77777777" w:rsidTr="00676C8D">
        <w:trPr>
          <w:gridAfter w:val="1"/>
          <w:wAfter w:w="10" w:type="dxa"/>
          <w:trHeight w:val="1031"/>
        </w:trPr>
        <w:tc>
          <w:tcPr>
            <w:tcW w:w="3547" w:type="dxa"/>
            <w:gridSpan w:val="5"/>
            <w:shd w:val="clear" w:color="auto" w:fill="FFFFFF"/>
          </w:tcPr>
          <w:p w14:paraId="59A6CAE0" w14:textId="77777777" w:rsidR="002D69A3" w:rsidRPr="008B4FE6" w:rsidRDefault="002D69A3" w:rsidP="00254DED">
            <w:pPr>
              <w:spacing w:line="240" w:lineRule="auto"/>
              <w:rPr>
                <w:rFonts w:ascii="Times New Roman" w:hAnsi="Times New Roman"/>
                <w:color w:val="000000"/>
              </w:rPr>
            </w:pPr>
          </w:p>
          <w:p w14:paraId="6EC1DFCB" w14:textId="77777777" w:rsidR="002D69A3" w:rsidRPr="008B4FE6" w:rsidRDefault="002D69A3"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1EB36895" w14:textId="77777777" w:rsidR="002D69A3" w:rsidRDefault="002D69A3"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63BFDD17" w14:textId="77777777" w:rsidR="002D69A3" w:rsidRPr="008B4FE6" w:rsidRDefault="002D69A3"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6"/>
            <w:shd w:val="clear" w:color="auto" w:fill="FFFFFF"/>
          </w:tcPr>
          <w:p w14:paraId="5291A7B3" w14:textId="77777777" w:rsidR="002D69A3" w:rsidRPr="008B4FE6" w:rsidRDefault="002D69A3" w:rsidP="00254DED">
            <w:pPr>
              <w:spacing w:line="240" w:lineRule="auto"/>
              <w:rPr>
                <w:rFonts w:ascii="Times New Roman" w:hAnsi="Times New Roman"/>
                <w:color w:val="000000"/>
              </w:rPr>
            </w:pPr>
          </w:p>
          <w:p w14:paraId="38DB70E5" w14:textId="77777777" w:rsidR="002D69A3" w:rsidRPr="008B4FE6" w:rsidRDefault="002D69A3"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5586C620" w14:textId="77777777" w:rsidR="002D69A3" w:rsidRPr="008B4FE6" w:rsidRDefault="002D69A3"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14:paraId="2E6B97A9" w14:textId="77777777" w:rsidR="002D69A3" w:rsidRPr="008B4FE6" w:rsidRDefault="002D69A3" w:rsidP="006A701A">
            <w:pPr>
              <w:spacing w:line="240" w:lineRule="auto"/>
              <w:rPr>
                <w:rFonts w:ascii="Times New Roman" w:hAnsi="Times New Roman"/>
                <w:color w:val="000000"/>
              </w:rPr>
            </w:pPr>
          </w:p>
          <w:p w14:paraId="70A606A8" w14:textId="77777777" w:rsidR="002D69A3" w:rsidRDefault="002D69A3"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2C5A5A30" w14:textId="77777777" w:rsidR="002D69A3" w:rsidRPr="008B4FE6" w:rsidRDefault="002D69A3"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61B43">
              <w:rPr>
                <w:rFonts w:ascii="Times New Roman" w:hAnsi="Times New Roman"/>
                <w:color w:val="000000"/>
              </w:rPr>
            </w:r>
            <w:r w:rsidR="00E61B4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2D69A3" w:rsidRPr="008B4FE6" w14:paraId="2E3671ED" w14:textId="77777777" w:rsidTr="00676C8D">
        <w:trPr>
          <w:gridAfter w:val="1"/>
          <w:wAfter w:w="10" w:type="dxa"/>
          <w:trHeight w:val="712"/>
        </w:trPr>
        <w:tc>
          <w:tcPr>
            <w:tcW w:w="2243" w:type="dxa"/>
            <w:gridSpan w:val="2"/>
            <w:shd w:val="clear" w:color="auto" w:fill="FFFFFF"/>
            <w:vAlign w:val="center"/>
          </w:tcPr>
          <w:p w14:paraId="140E9063" w14:textId="77777777" w:rsidR="002D69A3" w:rsidRPr="008B4FE6" w:rsidRDefault="002D69A3"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8"/>
            <w:shd w:val="clear" w:color="auto" w:fill="FFFFFF"/>
            <w:vAlign w:val="center"/>
          </w:tcPr>
          <w:p w14:paraId="0DC5EAD4" w14:textId="77777777" w:rsidR="002D69A3" w:rsidRDefault="002D69A3" w:rsidP="00B37C80">
            <w:pPr>
              <w:spacing w:line="240" w:lineRule="auto"/>
              <w:jc w:val="both"/>
              <w:rPr>
                <w:rFonts w:ascii="Times New Roman" w:hAnsi="Times New Roman"/>
              </w:rPr>
            </w:pPr>
            <w:r w:rsidRPr="008C0E81">
              <w:rPr>
                <w:rFonts w:ascii="Times New Roman" w:hAnsi="Times New Roman"/>
              </w:rPr>
              <w:t>Wejście w życie rozporządzenia nie będzie miało wpływu</w:t>
            </w:r>
            <w:r>
              <w:rPr>
                <w:rFonts w:ascii="Times New Roman" w:hAnsi="Times New Roman"/>
              </w:rPr>
              <w:t xml:space="preserve"> </w:t>
            </w:r>
            <w:r w:rsidRPr="001E2AE0">
              <w:rPr>
                <w:rFonts w:ascii="Times New Roman" w:hAnsi="Times New Roman"/>
              </w:rPr>
              <w:t>na sytuację i rozwój regionalny</w:t>
            </w:r>
            <w:r>
              <w:rPr>
                <w:rFonts w:ascii="Times New Roman" w:hAnsi="Times New Roman"/>
              </w:rPr>
              <w:t xml:space="preserve"> oraz pozostałe obszary, o których mowa w pkt 10. </w:t>
            </w:r>
          </w:p>
          <w:p w14:paraId="7CCE77B7" w14:textId="77777777" w:rsidR="002D69A3" w:rsidRPr="008B4FE6" w:rsidRDefault="002D69A3" w:rsidP="00B37C80">
            <w:pPr>
              <w:spacing w:line="240" w:lineRule="auto"/>
              <w:jc w:val="both"/>
              <w:rPr>
                <w:rFonts w:ascii="Times New Roman" w:hAnsi="Times New Roman"/>
                <w:color w:val="000000"/>
                <w:spacing w:val="-2"/>
              </w:rPr>
            </w:pPr>
            <w:r w:rsidRPr="0015496E">
              <w:rPr>
                <w:rFonts w:ascii="Times New Roman" w:hAnsi="Times New Roman"/>
                <w:color w:val="000000"/>
                <w:spacing w:val="-2"/>
              </w:rPr>
              <w:t>Projektowane rozporządzenie nie wpłynie na wymienione obszary oraz sytuację ekonomiczną i społeczną rodziny, a także osób niepełnosprawnych oraz osób starszych.</w:t>
            </w:r>
          </w:p>
          <w:p w14:paraId="17D3AA3C" w14:textId="77777777" w:rsidR="002D69A3" w:rsidRPr="008B4FE6" w:rsidRDefault="002D69A3" w:rsidP="00B37C80">
            <w:pPr>
              <w:spacing w:line="240" w:lineRule="auto"/>
              <w:jc w:val="both"/>
              <w:rPr>
                <w:rFonts w:ascii="Times New Roman" w:hAnsi="Times New Roman"/>
                <w:color w:val="000000"/>
                <w:spacing w:val="-2"/>
              </w:rPr>
            </w:pPr>
          </w:p>
        </w:tc>
      </w:tr>
      <w:tr w:rsidR="002D69A3" w:rsidRPr="008B4FE6" w14:paraId="6FF64ACD" w14:textId="77777777" w:rsidTr="00676C8D">
        <w:trPr>
          <w:gridAfter w:val="1"/>
          <w:wAfter w:w="10" w:type="dxa"/>
          <w:trHeight w:val="142"/>
        </w:trPr>
        <w:tc>
          <w:tcPr>
            <w:tcW w:w="10937" w:type="dxa"/>
            <w:gridSpan w:val="30"/>
            <w:shd w:val="clear" w:color="auto" w:fill="99CCFF"/>
          </w:tcPr>
          <w:p w14:paraId="79BD586D" w14:textId="77777777" w:rsidR="002D69A3" w:rsidRPr="00627221" w:rsidRDefault="002D69A3"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2D69A3" w:rsidRPr="008B4FE6" w14:paraId="1918AA42" w14:textId="77777777" w:rsidTr="00676C8D">
        <w:trPr>
          <w:gridAfter w:val="1"/>
          <w:wAfter w:w="10" w:type="dxa"/>
          <w:trHeight w:val="142"/>
        </w:trPr>
        <w:tc>
          <w:tcPr>
            <w:tcW w:w="10937" w:type="dxa"/>
            <w:gridSpan w:val="30"/>
            <w:shd w:val="clear" w:color="auto" w:fill="FFFFFF"/>
          </w:tcPr>
          <w:p w14:paraId="679D5026" w14:textId="7849934C" w:rsidR="002D69A3" w:rsidRPr="00B37C80" w:rsidRDefault="00186302" w:rsidP="00186302">
            <w:pPr>
              <w:spacing w:line="240" w:lineRule="auto"/>
              <w:jc w:val="both"/>
              <w:rPr>
                <w:rFonts w:ascii="Times New Roman" w:hAnsi="Times New Roman"/>
                <w:spacing w:val="-2"/>
              </w:rPr>
            </w:pPr>
            <w:r>
              <w:rPr>
                <w:rFonts w:ascii="Times New Roman" w:hAnsi="Times New Roman"/>
                <w:spacing w:val="-2"/>
              </w:rPr>
              <w:t>Wykonanie przepisów aktu prawnego nastąpi z dniem jego wejścia w życie.</w:t>
            </w:r>
          </w:p>
        </w:tc>
      </w:tr>
      <w:tr w:rsidR="002D69A3" w:rsidRPr="008B4FE6" w14:paraId="0DCD3B1B" w14:textId="77777777" w:rsidTr="00676C8D">
        <w:trPr>
          <w:gridAfter w:val="1"/>
          <w:wAfter w:w="10" w:type="dxa"/>
          <w:trHeight w:val="142"/>
        </w:trPr>
        <w:tc>
          <w:tcPr>
            <w:tcW w:w="10937" w:type="dxa"/>
            <w:gridSpan w:val="30"/>
            <w:shd w:val="clear" w:color="auto" w:fill="99CCFF"/>
          </w:tcPr>
          <w:p w14:paraId="62486165" w14:textId="77777777" w:rsidR="002D69A3" w:rsidRPr="008B4FE6" w:rsidRDefault="002D69A3"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D69A3" w:rsidRPr="008B4FE6" w14:paraId="4FAED05C" w14:textId="77777777" w:rsidTr="00676C8D">
        <w:trPr>
          <w:gridAfter w:val="1"/>
          <w:wAfter w:w="10" w:type="dxa"/>
          <w:trHeight w:val="142"/>
        </w:trPr>
        <w:tc>
          <w:tcPr>
            <w:tcW w:w="10937" w:type="dxa"/>
            <w:gridSpan w:val="30"/>
            <w:shd w:val="clear" w:color="auto" w:fill="FFFFFF"/>
          </w:tcPr>
          <w:p w14:paraId="1561455D" w14:textId="77777777" w:rsidR="002D69A3" w:rsidRPr="00B37C80" w:rsidRDefault="002D69A3" w:rsidP="004855EB">
            <w:pPr>
              <w:jc w:val="both"/>
              <w:rPr>
                <w:rFonts w:ascii="Times New Roman" w:hAnsi="Times New Roman"/>
                <w:color w:val="000000"/>
                <w:spacing w:val="-2"/>
              </w:rPr>
            </w:pPr>
            <w:r w:rsidRPr="0015496E">
              <w:rPr>
                <w:rFonts w:ascii="Times New Roman" w:hAnsi="Times New Roman"/>
                <w:color w:val="000000"/>
                <w:spacing w:val="-2"/>
              </w:rPr>
              <w:t>Ewaluacja efektów projektu będzie dokonywana na bieżąco, na podstawie wniosków wynikających z działań nadzorczych Komisji Nadzoru Finansowego.</w:t>
            </w:r>
          </w:p>
        </w:tc>
      </w:tr>
      <w:tr w:rsidR="002D69A3" w:rsidRPr="008B4FE6" w14:paraId="3737A97B" w14:textId="77777777" w:rsidTr="00676C8D">
        <w:trPr>
          <w:gridAfter w:val="1"/>
          <w:wAfter w:w="10" w:type="dxa"/>
          <w:trHeight w:val="142"/>
        </w:trPr>
        <w:tc>
          <w:tcPr>
            <w:tcW w:w="10937" w:type="dxa"/>
            <w:gridSpan w:val="30"/>
            <w:shd w:val="clear" w:color="auto" w:fill="99CCFF"/>
          </w:tcPr>
          <w:p w14:paraId="007C2F85" w14:textId="77777777" w:rsidR="002D69A3" w:rsidRPr="008B4FE6" w:rsidRDefault="002D69A3"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2D69A3" w:rsidRPr="008B4FE6" w14:paraId="0687D93D" w14:textId="77777777" w:rsidTr="00E658F6">
        <w:trPr>
          <w:gridAfter w:val="1"/>
          <w:wAfter w:w="10" w:type="dxa"/>
          <w:trHeight w:val="209"/>
        </w:trPr>
        <w:tc>
          <w:tcPr>
            <w:tcW w:w="10937" w:type="dxa"/>
            <w:gridSpan w:val="30"/>
            <w:shd w:val="clear" w:color="auto" w:fill="FFFFFF"/>
          </w:tcPr>
          <w:p w14:paraId="6D6D94F2" w14:textId="77777777" w:rsidR="002D69A3" w:rsidRDefault="002D69A3" w:rsidP="00B37C80">
            <w:pPr>
              <w:spacing w:line="240" w:lineRule="auto"/>
              <w:jc w:val="both"/>
              <w:rPr>
                <w:rFonts w:ascii="Times New Roman" w:hAnsi="Times New Roman"/>
                <w:color w:val="000000"/>
                <w:spacing w:val="-2"/>
              </w:rPr>
            </w:pPr>
          </w:p>
          <w:p w14:paraId="1FF7F53D" w14:textId="77777777" w:rsidR="002D69A3" w:rsidRPr="00B37C80" w:rsidRDefault="002D69A3" w:rsidP="00B37C80">
            <w:pPr>
              <w:spacing w:line="240" w:lineRule="auto"/>
              <w:jc w:val="both"/>
              <w:rPr>
                <w:rFonts w:ascii="Times New Roman" w:hAnsi="Times New Roman"/>
                <w:color w:val="000000"/>
                <w:spacing w:val="-2"/>
              </w:rPr>
            </w:pPr>
          </w:p>
        </w:tc>
      </w:tr>
    </w:tbl>
    <w:p w14:paraId="24A5B5DB" w14:textId="77777777" w:rsidR="006176ED" w:rsidRPr="00E658F6" w:rsidRDefault="006176ED" w:rsidP="00E658F6">
      <w:pPr>
        <w:pStyle w:val="Nagwek1"/>
        <w:rPr>
          <w:sz w:val="16"/>
          <w:szCs w:val="16"/>
        </w:rPr>
      </w:pPr>
    </w:p>
    <w:sectPr w:rsidR="006176ED" w:rsidRPr="00E658F6" w:rsidSect="00825D04">
      <w:pgSz w:w="11906" w:h="16838"/>
      <w:pgMar w:top="851" w:right="707" w:bottom="1135"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F767" w14:textId="77777777" w:rsidR="00F539B1" w:rsidRDefault="00F539B1" w:rsidP="00044739">
      <w:pPr>
        <w:spacing w:line="240" w:lineRule="auto"/>
      </w:pPr>
      <w:r>
        <w:separator/>
      </w:r>
    </w:p>
  </w:endnote>
  <w:endnote w:type="continuationSeparator" w:id="0">
    <w:p w14:paraId="6EB68AF5" w14:textId="77777777" w:rsidR="00F539B1" w:rsidRDefault="00F539B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90812" w14:textId="77777777" w:rsidR="00F539B1" w:rsidRDefault="00F539B1" w:rsidP="00044739">
      <w:pPr>
        <w:spacing w:line="240" w:lineRule="auto"/>
      </w:pPr>
      <w:r>
        <w:separator/>
      </w:r>
    </w:p>
  </w:footnote>
  <w:footnote w:type="continuationSeparator" w:id="0">
    <w:p w14:paraId="77EB8449" w14:textId="77777777" w:rsidR="00F539B1" w:rsidRDefault="00F539B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4C41DAA"/>
    <w:multiLevelType w:val="hybridMultilevel"/>
    <w:tmpl w:val="F82A0E3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44BF5"/>
    <w:multiLevelType w:val="hybridMultilevel"/>
    <w:tmpl w:val="7856FD8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0D42D3B"/>
    <w:multiLevelType w:val="hybridMultilevel"/>
    <w:tmpl w:val="7856FD8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2" w15:restartNumberingAfterBreak="0">
    <w:nsid w:val="6B602360"/>
    <w:multiLevelType w:val="hybridMultilevel"/>
    <w:tmpl w:val="9274150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0"/>
  </w:num>
  <w:num w:numId="4">
    <w:abstractNumId w:val="20"/>
  </w:num>
  <w:num w:numId="5">
    <w:abstractNumId w:val="1"/>
  </w:num>
  <w:num w:numId="6">
    <w:abstractNumId w:val="8"/>
  </w:num>
  <w:num w:numId="7">
    <w:abstractNumId w:val="13"/>
  </w:num>
  <w:num w:numId="8">
    <w:abstractNumId w:val="4"/>
  </w:num>
  <w:num w:numId="9">
    <w:abstractNumId w:val="16"/>
  </w:num>
  <w:num w:numId="10">
    <w:abstractNumId w:val="12"/>
  </w:num>
  <w:num w:numId="11">
    <w:abstractNumId w:val="14"/>
  </w:num>
  <w:num w:numId="12">
    <w:abstractNumId w:val="2"/>
  </w:num>
  <w:num w:numId="13">
    <w:abstractNumId w:val="11"/>
  </w:num>
  <w:num w:numId="14">
    <w:abstractNumId w:val="21"/>
  </w:num>
  <w:num w:numId="15">
    <w:abstractNumId w:val="17"/>
  </w:num>
  <w:num w:numId="16">
    <w:abstractNumId w:val="19"/>
  </w:num>
  <w:num w:numId="17">
    <w:abstractNumId w:val="5"/>
  </w:num>
  <w:num w:numId="18">
    <w:abstractNumId w:val="23"/>
  </w:num>
  <w:num w:numId="19">
    <w:abstractNumId w:val="24"/>
  </w:num>
  <w:num w:numId="20">
    <w:abstractNumId w:val="18"/>
  </w:num>
  <w:num w:numId="21">
    <w:abstractNumId w:val="6"/>
  </w:num>
  <w:num w:numId="22">
    <w:abstractNumId w:val="9"/>
  </w:num>
  <w:num w:numId="23">
    <w:abstractNumId w:val="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103A"/>
    <w:rsid w:val="00011EE3"/>
    <w:rsid w:val="00012D11"/>
    <w:rsid w:val="00013EB5"/>
    <w:rsid w:val="00023836"/>
    <w:rsid w:val="00032378"/>
    <w:rsid w:val="000356A9"/>
    <w:rsid w:val="00044138"/>
    <w:rsid w:val="00044739"/>
    <w:rsid w:val="0005108D"/>
    <w:rsid w:val="00051637"/>
    <w:rsid w:val="000536B8"/>
    <w:rsid w:val="00054AA0"/>
    <w:rsid w:val="00056681"/>
    <w:rsid w:val="000648A7"/>
    <w:rsid w:val="00065D2A"/>
    <w:rsid w:val="0006618B"/>
    <w:rsid w:val="000670C0"/>
    <w:rsid w:val="00071B99"/>
    <w:rsid w:val="000756E5"/>
    <w:rsid w:val="0007704E"/>
    <w:rsid w:val="00080EC8"/>
    <w:rsid w:val="00085081"/>
    <w:rsid w:val="00087841"/>
    <w:rsid w:val="00091EBB"/>
    <w:rsid w:val="00094074"/>
    <w:rsid w:val="000944AC"/>
    <w:rsid w:val="00094CB9"/>
    <w:rsid w:val="000956B2"/>
    <w:rsid w:val="000A23DE"/>
    <w:rsid w:val="000A4020"/>
    <w:rsid w:val="000A7710"/>
    <w:rsid w:val="000B490A"/>
    <w:rsid w:val="000B54FB"/>
    <w:rsid w:val="000C29B0"/>
    <w:rsid w:val="000C4A06"/>
    <w:rsid w:val="000C76FC"/>
    <w:rsid w:val="000D0956"/>
    <w:rsid w:val="000D36F3"/>
    <w:rsid w:val="000D38FC"/>
    <w:rsid w:val="000D4D90"/>
    <w:rsid w:val="000E2D10"/>
    <w:rsid w:val="000E65E5"/>
    <w:rsid w:val="000E7B17"/>
    <w:rsid w:val="000F3204"/>
    <w:rsid w:val="00102BC9"/>
    <w:rsid w:val="0010487B"/>
    <w:rsid w:val="0010548B"/>
    <w:rsid w:val="001072D1"/>
    <w:rsid w:val="00117017"/>
    <w:rsid w:val="00120E24"/>
    <w:rsid w:val="00121A60"/>
    <w:rsid w:val="001258F7"/>
    <w:rsid w:val="001275E3"/>
    <w:rsid w:val="00130E8E"/>
    <w:rsid w:val="0013216E"/>
    <w:rsid w:val="001342B2"/>
    <w:rsid w:val="001401B5"/>
    <w:rsid w:val="00142051"/>
    <w:rsid w:val="001422B9"/>
    <w:rsid w:val="0014665F"/>
    <w:rsid w:val="00147B15"/>
    <w:rsid w:val="00152F08"/>
    <w:rsid w:val="00153464"/>
    <w:rsid w:val="00153674"/>
    <w:rsid w:val="001541B3"/>
    <w:rsid w:val="0015496E"/>
    <w:rsid w:val="00155B15"/>
    <w:rsid w:val="00156BB6"/>
    <w:rsid w:val="001576A8"/>
    <w:rsid w:val="001625BE"/>
    <w:rsid w:val="001643A4"/>
    <w:rsid w:val="00166DC5"/>
    <w:rsid w:val="001727BB"/>
    <w:rsid w:val="00180D25"/>
    <w:rsid w:val="001823CA"/>
    <w:rsid w:val="0018318D"/>
    <w:rsid w:val="00183780"/>
    <w:rsid w:val="0018572C"/>
    <w:rsid w:val="00186302"/>
    <w:rsid w:val="00187E79"/>
    <w:rsid w:val="00187F0D"/>
    <w:rsid w:val="00187FF0"/>
    <w:rsid w:val="00191F4C"/>
    <w:rsid w:val="00192CC5"/>
    <w:rsid w:val="001943E6"/>
    <w:rsid w:val="001956A7"/>
    <w:rsid w:val="00197EC5"/>
    <w:rsid w:val="001A10D6"/>
    <w:rsid w:val="001A118A"/>
    <w:rsid w:val="001A27F4"/>
    <w:rsid w:val="001A2D95"/>
    <w:rsid w:val="001B2D78"/>
    <w:rsid w:val="001B3460"/>
    <w:rsid w:val="001B4CA1"/>
    <w:rsid w:val="001B5986"/>
    <w:rsid w:val="001B75D8"/>
    <w:rsid w:val="001C1060"/>
    <w:rsid w:val="001C3C63"/>
    <w:rsid w:val="001D130E"/>
    <w:rsid w:val="001D3166"/>
    <w:rsid w:val="001D4732"/>
    <w:rsid w:val="001D6A3C"/>
    <w:rsid w:val="001D6D51"/>
    <w:rsid w:val="001E0CE6"/>
    <w:rsid w:val="001E2AE0"/>
    <w:rsid w:val="001E4362"/>
    <w:rsid w:val="001F1529"/>
    <w:rsid w:val="001F2E53"/>
    <w:rsid w:val="001F35B2"/>
    <w:rsid w:val="001F4C9F"/>
    <w:rsid w:val="001F6979"/>
    <w:rsid w:val="00202BC6"/>
    <w:rsid w:val="00205141"/>
    <w:rsid w:val="0020516B"/>
    <w:rsid w:val="00206C5A"/>
    <w:rsid w:val="00211D3A"/>
    <w:rsid w:val="00213559"/>
    <w:rsid w:val="00213EFD"/>
    <w:rsid w:val="002172F1"/>
    <w:rsid w:val="002204D5"/>
    <w:rsid w:val="00223C7B"/>
    <w:rsid w:val="002243FF"/>
    <w:rsid w:val="002246EE"/>
    <w:rsid w:val="00224AB1"/>
    <w:rsid w:val="0022687A"/>
    <w:rsid w:val="00230728"/>
    <w:rsid w:val="002307C3"/>
    <w:rsid w:val="002319E2"/>
    <w:rsid w:val="0023276B"/>
    <w:rsid w:val="00234040"/>
    <w:rsid w:val="00235CD2"/>
    <w:rsid w:val="00235DDA"/>
    <w:rsid w:val="00242E5D"/>
    <w:rsid w:val="00247137"/>
    <w:rsid w:val="00254853"/>
    <w:rsid w:val="00254DED"/>
    <w:rsid w:val="00255619"/>
    <w:rsid w:val="00255DAD"/>
    <w:rsid w:val="00256108"/>
    <w:rsid w:val="00256A74"/>
    <w:rsid w:val="00260F33"/>
    <w:rsid w:val="002613BD"/>
    <w:rsid w:val="002624F1"/>
    <w:rsid w:val="0026533F"/>
    <w:rsid w:val="00266D38"/>
    <w:rsid w:val="00270C81"/>
    <w:rsid w:val="00271558"/>
    <w:rsid w:val="00273FBA"/>
    <w:rsid w:val="00274862"/>
    <w:rsid w:val="00274A84"/>
    <w:rsid w:val="002767F7"/>
    <w:rsid w:val="00277646"/>
    <w:rsid w:val="002805CF"/>
    <w:rsid w:val="00282D72"/>
    <w:rsid w:val="00282F01"/>
    <w:rsid w:val="00283402"/>
    <w:rsid w:val="00287048"/>
    <w:rsid w:val="00290FD6"/>
    <w:rsid w:val="00294259"/>
    <w:rsid w:val="002A2B44"/>
    <w:rsid w:val="002A2C81"/>
    <w:rsid w:val="002A4595"/>
    <w:rsid w:val="002A4CA0"/>
    <w:rsid w:val="002A571C"/>
    <w:rsid w:val="002A6C34"/>
    <w:rsid w:val="002B3D1A"/>
    <w:rsid w:val="002C2C9B"/>
    <w:rsid w:val="002C65DD"/>
    <w:rsid w:val="002D17D6"/>
    <w:rsid w:val="002D18D7"/>
    <w:rsid w:val="002D21CE"/>
    <w:rsid w:val="002D2321"/>
    <w:rsid w:val="002D69A3"/>
    <w:rsid w:val="002E3DA3"/>
    <w:rsid w:val="002E450F"/>
    <w:rsid w:val="002E6B38"/>
    <w:rsid w:val="002E6D63"/>
    <w:rsid w:val="002E6E2B"/>
    <w:rsid w:val="002F500B"/>
    <w:rsid w:val="002F66E9"/>
    <w:rsid w:val="003009FF"/>
    <w:rsid w:val="00301959"/>
    <w:rsid w:val="00303C8E"/>
    <w:rsid w:val="00305B8A"/>
    <w:rsid w:val="00306E0F"/>
    <w:rsid w:val="003277EC"/>
    <w:rsid w:val="00331BF9"/>
    <w:rsid w:val="003329B2"/>
    <w:rsid w:val="0033495E"/>
    <w:rsid w:val="00334A79"/>
    <w:rsid w:val="00334D8D"/>
    <w:rsid w:val="00337345"/>
    <w:rsid w:val="00337DD2"/>
    <w:rsid w:val="003404D1"/>
    <w:rsid w:val="003409BB"/>
    <w:rsid w:val="00341CC2"/>
    <w:rsid w:val="003443FF"/>
    <w:rsid w:val="00354D5D"/>
    <w:rsid w:val="00355808"/>
    <w:rsid w:val="003621D8"/>
    <w:rsid w:val="00362C7E"/>
    <w:rsid w:val="00363601"/>
    <w:rsid w:val="003640BC"/>
    <w:rsid w:val="003647BD"/>
    <w:rsid w:val="00367B4F"/>
    <w:rsid w:val="00376AC9"/>
    <w:rsid w:val="00380B39"/>
    <w:rsid w:val="003902A7"/>
    <w:rsid w:val="00393032"/>
    <w:rsid w:val="00394B69"/>
    <w:rsid w:val="00397078"/>
    <w:rsid w:val="003A144C"/>
    <w:rsid w:val="003A6953"/>
    <w:rsid w:val="003B051C"/>
    <w:rsid w:val="003B305A"/>
    <w:rsid w:val="003B5397"/>
    <w:rsid w:val="003B6083"/>
    <w:rsid w:val="003B6A09"/>
    <w:rsid w:val="003C22A6"/>
    <w:rsid w:val="003C3838"/>
    <w:rsid w:val="003C5847"/>
    <w:rsid w:val="003D0681"/>
    <w:rsid w:val="003D12F6"/>
    <w:rsid w:val="003D1426"/>
    <w:rsid w:val="003E0F46"/>
    <w:rsid w:val="003E2F4E"/>
    <w:rsid w:val="003E720A"/>
    <w:rsid w:val="00401642"/>
    <w:rsid w:val="00403E6E"/>
    <w:rsid w:val="00404FB2"/>
    <w:rsid w:val="00405805"/>
    <w:rsid w:val="004129B4"/>
    <w:rsid w:val="00417082"/>
    <w:rsid w:val="00417650"/>
    <w:rsid w:val="00417EF0"/>
    <w:rsid w:val="00422181"/>
    <w:rsid w:val="004244A8"/>
    <w:rsid w:val="00425F72"/>
    <w:rsid w:val="00427736"/>
    <w:rsid w:val="00427B2E"/>
    <w:rsid w:val="00434809"/>
    <w:rsid w:val="00441787"/>
    <w:rsid w:val="00441E5C"/>
    <w:rsid w:val="00442E64"/>
    <w:rsid w:val="00444F2D"/>
    <w:rsid w:val="00445529"/>
    <w:rsid w:val="0044783D"/>
    <w:rsid w:val="00451759"/>
    <w:rsid w:val="00452034"/>
    <w:rsid w:val="00455FA6"/>
    <w:rsid w:val="0046691A"/>
    <w:rsid w:val="00466C70"/>
    <w:rsid w:val="004702C9"/>
    <w:rsid w:val="00472E45"/>
    <w:rsid w:val="00473FEA"/>
    <w:rsid w:val="0047509C"/>
    <w:rsid w:val="0047579D"/>
    <w:rsid w:val="00476E77"/>
    <w:rsid w:val="004816F9"/>
    <w:rsid w:val="00483262"/>
    <w:rsid w:val="00484107"/>
    <w:rsid w:val="004844E9"/>
    <w:rsid w:val="004855EB"/>
    <w:rsid w:val="00485CC5"/>
    <w:rsid w:val="0049126C"/>
    <w:rsid w:val="00491952"/>
    <w:rsid w:val="0049343F"/>
    <w:rsid w:val="004964FC"/>
    <w:rsid w:val="004A145E"/>
    <w:rsid w:val="004A1D85"/>
    <w:rsid w:val="004A1F15"/>
    <w:rsid w:val="004A2A81"/>
    <w:rsid w:val="004A5E61"/>
    <w:rsid w:val="004A6695"/>
    <w:rsid w:val="004A7520"/>
    <w:rsid w:val="004A7BD7"/>
    <w:rsid w:val="004B5C0B"/>
    <w:rsid w:val="004C15C2"/>
    <w:rsid w:val="004C36D8"/>
    <w:rsid w:val="004C7C2B"/>
    <w:rsid w:val="004D1248"/>
    <w:rsid w:val="004D1E3C"/>
    <w:rsid w:val="004D4169"/>
    <w:rsid w:val="004D46FE"/>
    <w:rsid w:val="004D6E14"/>
    <w:rsid w:val="004E0828"/>
    <w:rsid w:val="004E3F8A"/>
    <w:rsid w:val="004E68DE"/>
    <w:rsid w:val="004F4E17"/>
    <w:rsid w:val="0050082F"/>
    <w:rsid w:val="00500C56"/>
    <w:rsid w:val="00501713"/>
    <w:rsid w:val="00503441"/>
    <w:rsid w:val="00506568"/>
    <w:rsid w:val="005067CA"/>
    <w:rsid w:val="005109EA"/>
    <w:rsid w:val="00511C60"/>
    <w:rsid w:val="0051551B"/>
    <w:rsid w:val="00520C57"/>
    <w:rsid w:val="00522D94"/>
    <w:rsid w:val="00527331"/>
    <w:rsid w:val="00533D89"/>
    <w:rsid w:val="00536564"/>
    <w:rsid w:val="00544597"/>
    <w:rsid w:val="00544FFE"/>
    <w:rsid w:val="005473F5"/>
    <w:rsid w:val="005477E7"/>
    <w:rsid w:val="00547AE6"/>
    <w:rsid w:val="005506E7"/>
    <w:rsid w:val="0055073D"/>
    <w:rsid w:val="0055158C"/>
    <w:rsid w:val="00552794"/>
    <w:rsid w:val="00563199"/>
    <w:rsid w:val="0056399F"/>
    <w:rsid w:val="00564874"/>
    <w:rsid w:val="0056656A"/>
    <w:rsid w:val="00567963"/>
    <w:rsid w:val="0057009A"/>
    <w:rsid w:val="00571260"/>
    <w:rsid w:val="0057189C"/>
    <w:rsid w:val="0057392A"/>
    <w:rsid w:val="00573FC1"/>
    <w:rsid w:val="005741EE"/>
    <w:rsid w:val="0057668E"/>
    <w:rsid w:val="005822FB"/>
    <w:rsid w:val="005845C5"/>
    <w:rsid w:val="00595E83"/>
    <w:rsid w:val="005963F8"/>
    <w:rsid w:val="00596530"/>
    <w:rsid w:val="005967F3"/>
    <w:rsid w:val="005A06DF"/>
    <w:rsid w:val="005A5527"/>
    <w:rsid w:val="005A5AE6"/>
    <w:rsid w:val="005B1206"/>
    <w:rsid w:val="005B288F"/>
    <w:rsid w:val="005B37E8"/>
    <w:rsid w:val="005C0056"/>
    <w:rsid w:val="005D1298"/>
    <w:rsid w:val="005D183F"/>
    <w:rsid w:val="005D29DA"/>
    <w:rsid w:val="005E0D13"/>
    <w:rsid w:val="005E5047"/>
    <w:rsid w:val="005E7205"/>
    <w:rsid w:val="005E7371"/>
    <w:rsid w:val="005F054A"/>
    <w:rsid w:val="005F116C"/>
    <w:rsid w:val="005F2131"/>
    <w:rsid w:val="00601792"/>
    <w:rsid w:val="00605EF6"/>
    <w:rsid w:val="00606455"/>
    <w:rsid w:val="00611807"/>
    <w:rsid w:val="0061344E"/>
    <w:rsid w:val="00614929"/>
    <w:rsid w:val="00616511"/>
    <w:rsid w:val="006176ED"/>
    <w:rsid w:val="006202F3"/>
    <w:rsid w:val="0062097A"/>
    <w:rsid w:val="00621DA6"/>
    <w:rsid w:val="0062360D"/>
    <w:rsid w:val="00623CFE"/>
    <w:rsid w:val="0062408B"/>
    <w:rsid w:val="00625160"/>
    <w:rsid w:val="00627221"/>
    <w:rsid w:val="00627EE8"/>
    <w:rsid w:val="006316FA"/>
    <w:rsid w:val="00635947"/>
    <w:rsid w:val="006370D2"/>
    <w:rsid w:val="0064074F"/>
    <w:rsid w:val="00641F55"/>
    <w:rsid w:val="00645E4A"/>
    <w:rsid w:val="0064637D"/>
    <w:rsid w:val="0065320F"/>
    <w:rsid w:val="00653688"/>
    <w:rsid w:val="00655553"/>
    <w:rsid w:val="0066091B"/>
    <w:rsid w:val="00663FBB"/>
    <w:rsid w:val="006660E9"/>
    <w:rsid w:val="00667249"/>
    <w:rsid w:val="00667558"/>
    <w:rsid w:val="00671523"/>
    <w:rsid w:val="006754EF"/>
    <w:rsid w:val="00676C8D"/>
    <w:rsid w:val="00676F1F"/>
    <w:rsid w:val="00677346"/>
    <w:rsid w:val="00677381"/>
    <w:rsid w:val="00677414"/>
    <w:rsid w:val="006823FC"/>
    <w:rsid w:val="006826ED"/>
    <w:rsid w:val="00682E07"/>
    <w:rsid w:val="006832CF"/>
    <w:rsid w:val="0068601E"/>
    <w:rsid w:val="0069486B"/>
    <w:rsid w:val="00696EE7"/>
    <w:rsid w:val="006A4904"/>
    <w:rsid w:val="006A548F"/>
    <w:rsid w:val="006A701A"/>
    <w:rsid w:val="006A7398"/>
    <w:rsid w:val="006B0408"/>
    <w:rsid w:val="006B64DC"/>
    <w:rsid w:val="006B7A91"/>
    <w:rsid w:val="006B7F1E"/>
    <w:rsid w:val="006D2A5A"/>
    <w:rsid w:val="006D4704"/>
    <w:rsid w:val="006D4A08"/>
    <w:rsid w:val="006D6A2D"/>
    <w:rsid w:val="006E1E18"/>
    <w:rsid w:val="006E208A"/>
    <w:rsid w:val="006E2204"/>
    <w:rsid w:val="006E31CE"/>
    <w:rsid w:val="006E34D3"/>
    <w:rsid w:val="006E5E97"/>
    <w:rsid w:val="006F1435"/>
    <w:rsid w:val="006F1DA7"/>
    <w:rsid w:val="006F1FCE"/>
    <w:rsid w:val="006F78C4"/>
    <w:rsid w:val="007031A0"/>
    <w:rsid w:val="00703C5B"/>
    <w:rsid w:val="007047BD"/>
    <w:rsid w:val="00705A29"/>
    <w:rsid w:val="00707498"/>
    <w:rsid w:val="00711A65"/>
    <w:rsid w:val="00712539"/>
    <w:rsid w:val="007139B2"/>
    <w:rsid w:val="00714133"/>
    <w:rsid w:val="00714DA4"/>
    <w:rsid w:val="007158B2"/>
    <w:rsid w:val="00715CD9"/>
    <w:rsid w:val="00716081"/>
    <w:rsid w:val="00717B24"/>
    <w:rsid w:val="00722B48"/>
    <w:rsid w:val="00724164"/>
    <w:rsid w:val="00725DE7"/>
    <w:rsid w:val="0072636A"/>
    <w:rsid w:val="00726B44"/>
    <w:rsid w:val="007318DD"/>
    <w:rsid w:val="00733167"/>
    <w:rsid w:val="00740D2C"/>
    <w:rsid w:val="00741C46"/>
    <w:rsid w:val="00742071"/>
    <w:rsid w:val="00744BF9"/>
    <w:rsid w:val="00746A62"/>
    <w:rsid w:val="007510B8"/>
    <w:rsid w:val="00752623"/>
    <w:rsid w:val="00760F1F"/>
    <w:rsid w:val="0076423E"/>
    <w:rsid w:val="007646CB"/>
    <w:rsid w:val="0076658F"/>
    <w:rsid w:val="0077040A"/>
    <w:rsid w:val="00772122"/>
    <w:rsid w:val="00772D64"/>
    <w:rsid w:val="00774326"/>
    <w:rsid w:val="00790721"/>
    <w:rsid w:val="00791A6D"/>
    <w:rsid w:val="00792609"/>
    <w:rsid w:val="007943E2"/>
    <w:rsid w:val="00794F2C"/>
    <w:rsid w:val="007A3BC7"/>
    <w:rsid w:val="007A5AC4"/>
    <w:rsid w:val="007B0FDD"/>
    <w:rsid w:val="007B4802"/>
    <w:rsid w:val="007B6668"/>
    <w:rsid w:val="007B6A5B"/>
    <w:rsid w:val="007B6B33"/>
    <w:rsid w:val="007C2701"/>
    <w:rsid w:val="007C671F"/>
    <w:rsid w:val="007D0513"/>
    <w:rsid w:val="007D094F"/>
    <w:rsid w:val="007D2192"/>
    <w:rsid w:val="007D4776"/>
    <w:rsid w:val="007F0021"/>
    <w:rsid w:val="007F2F52"/>
    <w:rsid w:val="007F669C"/>
    <w:rsid w:val="00805F28"/>
    <w:rsid w:val="0080749F"/>
    <w:rsid w:val="00811D46"/>
    <w:rsid w:val="008125B0"/>
    <w:rsid w:val="008144CB"/>
    <w:rsid w:val="00821717"/>
    <w:rsid w:val="00824210"/>
    <w:rsid w:val="00825D04"/>
    <w:rsid w:val="008263C0"/>
    <w:rsid w:val="008325B9"/>
    <w:rsid w:val="00832F43"/>
    <w:rsid w:val="00841422"/>
    <w:rsid w:val="00841D3B"/>
    <w:rsid w:val="0084314C"/>
    <w:rsid w:val="00843171"/>
    <w:rsid w:val="008444D7"/>
    <w:rsid w:val="008504FE"/>
    <w:rsid w:val="008545A0"/>
    <w:rsid w:val="008575C3"/>
    <w:rsid w:val="008578CC"/>
    <w:rsid w:val="00863D28"/>
    <w:rsid w:val="008648C3"/>
    <w:rsid w:val="00880F26"/>
    <w:rsid w:val="00881E90"/>
    <w:rsid w:val="00882DF1"/>
    <w:rsid w:val="00886585"/>
    <w:rsid w:val="00893636"/>
    <w:rsid w:val="00896C2E"/>
    <w:rsid w:val="008A5095"/>
    <w:rsid w:val="008A608F"/>
    <w:rsid w:val="008B1A9A"/>
    <w:rsid w:val="008B2AD0"/>
    <w:rsid w:val="008B4FE6"/>
    <w:rsid w:val="008B63EB"/>
    <w:rsid w:val="008B6C37"/>
    <w:rsid w:val="008B6D80"/>
    <w:rsid w:val="008B7D38"/>
    <w:rsid w:val="008C0500"/>
    <w:rsid w:val="008C08D7"/>
    <w:rsid w:val="008C0E81"/>
    <w:rsid w:val="008C2746"/>
    <w:rsid w:val="008C5385"/>
    <w:rsid w:val="008C5B5F"/>
    <w:rsid w:val="008D006D"/>
    <w:rsid w:val="008D2166"/>
    <w:rsid w:val="008D3B43"/>
    <w:rsid w:val="008D520B"/>
    <w:rsid w:val="008D57C8"/>
    <w:rsid w:val="008E18AD"/>
    <w:rsid w:val="008E18F7"/>
    <w:rsid w:val="008E1E10"/>
    <w:rsid w:val="008E291B"/>
    <w:rsid w:val="008E2BE0"/>
    <w:rsid w:val="008E37F8"/>
    <w:rsid w:val="008E4F2F"/>
    <w:rsid w:val="008E74B0"/>
    <w:rsid w:val="009008A8"/>
    <w:rsid w:val="00905661"/>
    <w:rsid w:val="009063B0"/>
    <w:rsid w:val="00907106"/>
    <w:rsid w:val="009107FD"/>
    <w:rsid w:val="0091137C"/>
    <w:rsid w:val="00911567"/>
    <w:rsid w:val="00913F35"/>
    <w:rsid w:val="009165A1"/>
    <w:rsid w:val="00917AAE"/>
    <w:rsid w:val="00922248"/>
    <w:rsid w:val="009251A9"/>
    <w:rsid w:val="00925BEC"/>
    <w:rsid w:val="00930699"/>
    <w:rsid w:val="00931AEA"/>
    <w:rsid w:val="00931F69"/>
    <w:rsid w:val="00934123"/>
    <w:rsid w:val="00936277"/>
    <w:rsid w:val="0094106C"/>
    <w:rsid w:val="00944A26"/>
    <w:rsid w:val="00955265"/>
    <w:rsid w:val="00955774"/>
    <w:rsid w:val="00955867"/>
    <w:rsid w:val="00956080"/>
    <w:rsid w:val="009560B5"/>
    <w:rsid w:val="009610E5"/>
    <w:rsid w:val="00965FEB"/>
    <w:rsid w:val="009703D6"/>
    <w:rsid w:val="0097181B"/>
    <w:rsid w:val="009740F3"/>
    <w:rsid w:val="00976DC5"/>
    <w:rsid w:val="009818C7"/>
    <w:rsid w:val="00982DD4"/>
    <w:rsid w:val="00983CE8"/>
    <w:rsid w:val="009841E5"/>
    <w:rsid w:val="00984589"/>
    <w:rsid w:val="0098479F"/>
    <w:rsid w:val="00984A8A"/>
    <w:rsid w:val="009857B6"/>
    <w:rsid w:val="00985A8D"/>
    <w:rsid w:val="009863B9"/>
    <w:rsid w:val="00986610"/>
    <w:rsid w:val="009877DC"/>
    <w:rsid w:val="00991F96"/>
    <w:rsid w:val="0099351E"/>
    <w:rsid w:val="00995FDF"/>
    <w:rsid w:val="00996F0A"/>
    <w:rsid w:val="009A019E"/>
    <w:rsid w:val="009A5538"/>
    <w:rsid w:val="009B049C"/>
    <w:rsid w:val="009B11C8"/>
    <w:rsid w:val="009B2BCF"/>
    <w:rsid w:val="009B2FF8"/>
    <w:rsid w:val="009B5899"/>
    <w:rsid w:val="009B5BA3"/>
    <w:rsid w:val="009B5C4E"/>
    <w:rsid w:val="009D0027"/>
    <w:rsid w:val="009D0655"/>
    <w:rsid w:val="009D2F26"/>
    <w:rsid w:val="009E1855"/>
    <w:rsid w:val="009E1E98"/>
    <w:rsid w:val="009E3ABE"/>
    <w:rsid w:val="009E3C4B"/>
    <w:rsid w:val="009F0637"/>
    <w:rsid w:val="009F4515"/>
    <w:rsid w:val="009F62A6"/>
    <w:rsid w:val="009F674F"/>
    <w:rsid w:val="009F799E"/>
    <w:rsid w:val="00A02020"/>
    <w:rsid w:val="00A04AFE"/>
    <w:rsid w:val="00A056CB"/>
    <w:rsid w:val="00A07A29"/>
    <w:rsid w:val="00A10FF1"/>
    <w:rsid w:val="00A1300B"/>
    <w:rsid w:val="00A13C4E"/>
    <w:rsid w:val="00A1506B"/>
    <w:rsid w:val="00A1639A"/>
    <w:rsid w:val="00A171F6"/>
    <w:rsid w:val="00A17C8F"/>
    <w:rsid w:val="00A17CB2"/>
    <w:rsid w:val="00A17DA2"/>
    <w:rsid w:val="00A23191"/>
    <w:rsid w:val="00A25139"/>
    <w:rsid w:val="00A319C0"/>
    <w:rsid w:val="00A33560"/>
    <w:rsid w:val="00A335A6"/>
    <w:rsid w:val="00A371A5"/>
    <w:rsid w:val="00A400B8"/>
    <w:rsid w:val="00A44A1D"/>
    <w:rsid w:val="00A47BDF"/>
    <w:rsid w:val="00A51A21"/>
    <w:rsid w:val="00A51CD7"/>
    <w:rsid w:val="00A52ADB"/>
    <w:rsid w:val="00A53176"/>
    <w:rsid w:val="00A533E8"/>
    <w:rsid w:val="00A542D9"/>
    <w:rsid w:val="00A56DE2"/>
    <w:rsid w:val="00A56E64"/>
    <w:rsid w:val="00A61C9E"/>
    <w:rsid w:val="00A624C3"/>
    <w:rsid w:val="00A6641C"/>
    <w:rsid w:val="00A72C36"/>
    <w:rsid w:val="00A751DA"/>
    <w:rsid w:val="00A767D2"/>
    <w:rsid w:val="00A77616"/>
    <w:rsid w:val="00A805DA"/>
    <w:rsid w:val="00A811B4"/>
    <w:rsid w:val="00A87CDE"/>
    <w:rsid w:val="00A9000C"/>
    <w:rsid w:val="00A91317"/>
    <w:rsid w:val="00A92BAF"/>
    <w:rsid w:val="00A94737"/>
    <w:rsid w:val="00A94BA3"/>
    <w:rsid w:val="00A96314"/>
    <w:rsid w:val="00A963A6"/>
    <w:rsid w:val="00A96CBA"/>
    <w:rsid w:val="00A96D27"/>
    <w:rsid w:val="00A97945"/>
    <w:rsid w:val="00AA52B0"/>
    <w:rsid w:val="00AA66E4"/>
    <w:rsid w:val="00AB1ACD"/>
    <w:rsid w:val="00AB277F"/>
    <w:rsid w:val="00AB4099"/>
    <w:rsid w:val="00AB449A"/>
    <w:rsid w:val="00AB4B8D"/>
    <w:rsid w:val="00AC0BF4"/>
    <w:rsid w:val="00AC38E2"/>
    <w:rsid w:val="00AD14F9"/>
    <w:rsid w:val="00AD35D6"/>
    <w:rsid w:val="00AD58C5"/>
    <w:rsid w:val="00AE03A6"/>
    <w:rsid w:val="00AE29B2"/>
    <w:rsid w:val="00AE36C4"/>
    <w:rsid w:val="00AE472C"/>
    <w:rsid w:val="00AE5375"/>
    <w:rsid w:val="00AE6CF8"/>
    <w:rsid w:val="00AF4CAC"/>
    <w:rsid w:val="00AF6F84"/>
    <w:rsid w:val="00AF7844"/>
    <w:rsid w:val="00B03D35"/>
    <w:rsid w:val="00B03E0D"/>
    <w:rsid w:val="00B046FB"/>
    <w:rsid w:val="00B054F8"/>
    <w:rsid w:val="00B05F2E"/>
    <w:rsid w:val="00B142BA"/>
    <w:rsid w:val="00B21E91"/>
    <w:rsid w:val="00B2219A"/>
    <w:rsid w:val="00B23CD3"/>
    <w:rsid w:val="00B31838"/>
    <w:rsid w:val="00B319DE"/>
    <w:rsid w:val="00B32B0B"/>
    <w:rsid w:val="00B3581B"/>
    <w:rsid w:val="00B36B81"/>
    <w:rsid w:val="00B36FEE"/>
    <w:rsid w:val="00B37C80"/>
    <w:rsid w:val="00B502A3"/>
    <w:rsid w:val="00B5092B"/>
    <w:rsid w:val="00B5194E"/>
    <w:rsid w:val="00B51AF5"/>
    <w:rsid w:val="00B531FC"/>
    <w:rsid w:val="00B55347"/>
    <w:rsid w:val="00B57E5E"/>
    <w:rsid w:val="00B603AD"/>
    <w:rsid w:val="00B61F37"/>
    <w:rsid w:val="00B64D53"/>
    <w:rsid w:val="00B774FE"/>
    <w:rsid w:val="00B7770F"/>
    <w:rsid w:val="00B77A89"/>
    <w:rsid w:val="00B77B27"/>
    <w:rsid w:val="00B8134E"/>
    <w:rsid w:val="00B81B55"/>
    <w:rsid w:val="00B8234E"/>
    <w:rsid w:val="00B84613"/>
    <w:rsid w:val="00B8756E"/>
    <w:rsid w:val="00B87AF0"/>
    <w:rsid w:val="00B9037B"/>
    <w:rsid w:val="00B908DD"/>
    <w:rsid w:val="00B90F1F"/>
    <w:rsid w:val="00B910BD"/>
    <w:rsid w:val="00B93834"/>
    <w:rsid w:val="00B96469"/>
    <w:rsid w:val="00BA06D6"/>
    <w:rsid w:val="00BA0DA2"/>
    <w:rsid w:val="00BA2981"/>
    <w:rsid w:val="00BA3273"/>
    <w:rsid w:val="00BA4311"/>
    <w:rsid w:val="00BA48F9"/>
    <w:rsid w:val="00BB0632"/>
    <w:rsid w:val="00BB0DCA"/>
    <w:rsid w:val="00BB362C"/>
    <w:rsid w:val="00BB4981"/>
    <w:rsid w:val="00BB6ABD"/>
    <w:rsid w:val="00BB6B80"/>
    <w:rsid w:val="00BC3773"/>
    <w:rsid w:val="00BC381A"/>
    <w:rsid w:val="00BD0962"/>
    <w:rsid w:val="00BD1EED"/>
    <w:rsid w:val="00BE2901"/>
    <w:rsid w:val="00BE43EC"/>
    <w:rsid w:val="00BE6182"/>
    <w:rsid w:val="00BF0A8E"/>
    <w:rsid w:val="00BF0DA2"/>
    <w:rsid w:val="00BF109C"/>
    <w:rsid w:val="00BF34FA"/>
    <w:rsid w:val="00BF3856"/>
    <w:rsid w:val="00BF72EE"/>
    <w:rsid w:val="00C004B6"/>
    <w:rsid w:val="00C047A7"/>
    <w:rsid w:val="00C048F5"/>
    <w:rsid w:val="00C05DE5"/>
    <w:rsid w:val="00C11E5C"/>
    <w:rsid w:val="00C1420D"/>
    <w:rsid w:val="00C146B3"/>
    <w:rsid w:val="00C303FD"/>
    <w:rsid w:val="00C33027"/>
    <w:rsid w:val="00C35467"/>
    <w:rsid w:val="00C37667"/>
    <w:rsid w:val="00C408F2"/>
    <w:rsid w:val="00C435DB"/>
    <w:rsid w:val="00C44D73"/>
    <w:rsid w:val="00C45107"/>
    <w:rsid w:val="00C50B42"/>
    <w:rsid w:val="00C516FF"/>
    <w:rsid w:val="00C52BFA"/>
    <w:rsid w:val="00C52EF2"/>
    <w:rsid w:val="00C53D1D"/>
    <w:rsid w:val="00C53F26"/>
    <w:rsid w:val="00C540BC"/>
    <w:rsid w:val="00C54573"/>
    <w:rsid w:val="00C611E1"/>
    <w:rsid w:val="00C64F7D"/>
    <w:rsid w:val="00C67309"/>
    <w:rsid w:val="00C71193"/>
    <w:rsid w:val="00C7142A"/>
    <w:rsid w:val="00C7598F"/>
    <w:rsid w:val="00C7614E"/>
    <w:rsid w:val="00C80D60"/>
    <w:rsid w:val="00C82FBD"/>
    <w:rsid w:val="00C83285"/>
    <w:rsid w:val="00C85267"/>
    <w:rsid w:val="00C85B06"/>
    <w:rsid w:val="00C8721B"/>
    <w:rsid w:val="00C9020F"/>
    <w:rsid w:val="00C9372C"/>
    <w:rsid w:val="00C9470E"/>
    <w:rsid w:val="00C95CEB"/>
    <w:rsid w:val="00CA1054"/>
    <w:rsid w:val="00CA63EB"/>
    <w:rsid w:val="00CA69F1"/>
    <w:rsid w:val="00CA7771"/>
    <w:rsid w:val="00CB6991"/>
    <w:rsid w:val="00CC1F53"/>
    <w:rsid w:val="00CC5993"/>
    <w:rsid w:val="00CC6194"/>
    <w:rsid w:val="00CC6305"/>
    <w:rsid w:val="00CC66E1"/>
    <w:rsid w:val="00CC78A5"/>
    <w:rsid w:val="00CD0516"/>
    <w:rsid w:val="00CD24FB"/>
    <w:rsid w:val="00CD7311"/>
    <w:rsid w:val="00CD756B"/>
    <w:rsid w:val="00CD7A56"/>
    <w:rsid w:val="00CE0038"/>
    <w:rsid w:val="00CE734F"/>
    <w:rsid w:val="00CF112E"/>
    <w:rsid w:val="00CF4006"/>
    <w:rsid w:val="00CF5027"/>
    <w:rsid w:val="00CF5F4F"/>
    <w:rsid w:val="00CF7C7E"/>
    <w:rsid w:val="00D00131"/>
    <w:rsid w:val="00D01ABB"/>
    <w:rsid w:val="00D01D84"/>
    <w:rsid w:val="00D06405"/>
    <w:rsid w:val="00D14657"/>
    <w:rsid w:val="00D16508"/>
    <w:rsid w:val="00D218DC"/>
    <w:rsid w:val="00D225F5"/>
    <w:rsid w:val="00D24E56"/>
    <w:rsid w:val="00D253AD"/>
    <w:rsid w:val="00D27941"/>
    <w:rsid w:val="00D31643"/>
    <w:rsid w:val="00D31AEB"/>
    <w:rsid w:val="00D32ECD"/>
    <w:rsid w:val="00D361E4"/>
    <w:rsid w:val="00D372C4"/>
    <w:rsid w:val="00D41C97"/>
    <w:rsid w:val="00D439F6"/>
    <w:rsid w:val="00D459C6"/>
    <w:rsid w:val="00D46EE6"/>
    <w:rsid w:val="00D50729"/>
    <w:rsid w:val="00D50C19"/>
    <w:rsid w:val="00D5379E"/>
    <w:rsid w:val="00D618FA"/>
    <w:rsid w:val="00D62643"/>
    <w:rsid w:val="00D63108"/>
    <w:rsid w:val="00D6413D"/>
    <w:rsid w:val="00D64C0F"/>
    <w:rsid w:val="00D67460"/>
    <w:rsid w:val="00D70895"/>
    <w:rsid w:val="00D720D1"/>
    <w:rsid w:val="00D724A4"/>
    <w:rsid w:val="00D72EFE"/>
    <w:rsid w:val="00D7317A"/>
    <w:rsid w:val="00D76227"/>
    <w:rsid w:val="00D77DF1"/>
    <w:rsid w:val="00D86AFF"/>
    <w:rsid w:val="00D92ADC"/>
    <w:rsid w:val="00D95A44"/>
    <w:rsid w:val="00D95D16"/>
    <w:rsid w:val="00D9626F"/>
    <w:rsid w:val="00D97C76"/>
    <w:rsid w:val="00DA77DC"/>
    <w:rsid w:val="00DB02B4"/>
    <w:rsid w:val="00DB148F"/>
    <w:rsid w:val="00DB51E6"/>
    <w:rsid w:val="00DB538D"/>
    <w:rsid w:val="00DB6D34"/>
    <w:rsid w:val="00DB75BC"/>
    <w:rsid w:val="00DC275C"/>
    <w:rsid w:val="00DC4B0D"/>
    <w:rsid w:val="00DC7FE1"/>
    <w:rsid w:val="00DD1B13"/>
    <w:rsid w:val="00DD3644"/>
    <w:rsid w:val="00DD3F3F"/>
    <w:rsid w:val="00DD4062"/>
    <w:rsid w:val="00DD5572"/>
    <w:rsid w:val="00DE31C6"/>
    <w:rsid w:val="00DE5D80"/>
    <w:rsid w:val="00DF5866"/>
    <w:rsid w:val="00DF58CD"/>
    <w:rsid w:val="00DF5C86"/>
    <w:rsid w:val="00DF65DE"/>
    <w:rsid w:val="00E019A5"/>
    <w:rsid w:val="00E02C65"/>
    <w:rsid w:val="00E02EC8"/>
    <w:rsid w:val="00E037F5"/>
    <w:rsid w:val="00E04ECB"/>
    <w:rsid w:val="00E05A09"/>
    <w:rsid w:val="00E06CA1"/>
    <w:rsid w:val="00E128B6"/>
    <w:rsid w:val="00E15455"/>
    <w:rsid w:val="00E172B8"/>
    <w:rsid w:val="00E17FB4"/>
    <w:rsid w:val="00E20B75"/>
    <w:rsid w:val="00E214F2"/>
    <w:rsid w:val="00E2371E"/>
    <w:rsid w:val="00E24BD7"/>
    <w:rsid w:val="00E26523"/>
    <w:rsid w:val="00E26809"/>
    <w:rsid w:val="00E26910"/>
    <w:rsid w:val="00E311A8"/>
    <w:rsid w:val="00E31954"/>
    <w:rsid w:val="00E3412D"/>
    <w:rsid w:val="00E42D89"/>
    <w:rsid w:val="00E53BEB"/>
    <w:rsid w:val="00E542EE"/>
    <w:rsid w:val="00E57322"/>
    <w:rsid w:val="00E60374"/>
    <w:rsid w:val="00E61B43"/>
    <w:rsid w:val="00E628CB"/>
    <w:rsid w:val="00E62AD9"/>
    <w:rsid w:val="00E62EC2"/>
    <w:rsid w:val="00E638C8"/>
    <w:rsid w:val="00E658F6"/>
    <w:rsid w:val="00E72686"/>
    <w:rsid w:val="00E72C9B"/>
    <w:rsid w:val="00E7509B"/>
    <w:rsid w:val="00E821A0"/>
    <w:rsid w:val="00E82654"/>
    <w:rsid w:val="00E86590"/>
    <w:rsid w:val="00E907FF"/>
    <w:rsid w:val="00E9140F"/>
    <w:rsid w:val="00E93867"/>
    <w:rsid w:val="00EA2814"/>
    <w:rsid w:val="00EA31D1"/>
    <w:rsid w:val="00EA345D"/>
    <w:rsid w:val="00EA42D1"/>
    <w:rsid w:val="00EA42EF"/>
    <w:rsid w:val="00EA4E2D"/>
    <w:rsid w:val="00EA58FF"/>
    <w:rsid w:val="00EB2DD1"/>
    <w:rsid w:val="00EB6B37"/>
    <w:rsid w:val="00EC258E"/>
    <w:rsid w:val="00EC29FE"/>
    <w:rsid w:val="00EC73DB"/>
    <w:rsid w:val="00EC7415"/>
    <w:rsid w:val="00EC7A6F"/>
    <w:rsid w:val="00ED052D"/>
    <w:rsid w:val="00ED3A3D"/>
    <w:rsid w:val="00ED538A"/>
    <w:rsid w:val="00ED6FBC"/>
    <w:rsid w:val="00EE2F16"/>
    <w:rsid w:val="00EE3861"/>
    <w:rsid w:val="00EE6B49"/>
    <w:rsid w:val="00EF2E73"/>
    <w:rsid w:val="00EF7683"/>
    <w:rsid w:val="00EF7A2D"/>
    <w:rsid w:val="00F00CA0"/>
    <w:rsid w:val="00F04F8D"/>
    <w:rsid w:val="00F10542"/>
    <w:rsid w:val="00F10AD0"/>
    <w:rsid w:val="00F116CC"/>
    <w:rsid w:val="00F12BD1"/>
    <w:rsid w:val="00F15327"/>
    <w:rsid w:val="00F168CF"/>
    <w:rsid w:val="00F17DC3"/>
    <w:rsid w:val="00F237EB"/>
    <w:rsid w:val="00F2555C"/>
    <w:rsid w:val="00F31DF3"/>
    <w:rsid w:val="00F33AE5"/>
    <w:rsid w:val="00F347B6"/>
    <w:rsid w:val="00F3597D"/>
    <w:rsid w:val="00F4376D"/>
    <w:rsid w:val="00F45399"/>
    <w:rsid w:val="00F465EA"/>
    <w:rsid w:val="00F5013E"/>
    <w:rsid w:val="00F50744"/>
    <w:rsid w:val="00F539B1"/>
    <w:rsid w:val="00F549B1"/>
    <w:rsid w:val="00F54E7B"/>
    <w:rsid w:val="00F55833"/>
    <w:rsid w:val="00F55A88"/>
    <w:rsid w:val="00F63CB9"/>
    <w:rsid w:val="00F74005"/>
    <w:rsid w:val="00F75B04"/>
    <w:rsid w:val="00F76884"/>
    <w:rsid w:val="00F775E9"/>
    <w:rsid w:val="00F83D24"/>
    <w:rsid w:val="00F83DD9"/>
    <w:rsid w:val="00F83F40"/>
    <w:rsid w:val="00FA117A"/>
    <w:rsid w:val="00FA5227"/>
    <w:rsid w:val="00FB2F9B"/>
    <w:rsid w:val="00FB3225"/>
    <w:rsid w:val="00FB386A"/>
    <w:rsid w:val="00FB6A22"/>
    <w:rsid w:val="00FC0786"/>
    <w:rsid w:val="00FC12BE"/>
    <w:rsid w:val="00FC207F"/>
    <w:rsid w:val="00FC2A7D"/>
    <w:rsid w:val="00FC49EF"/>
    <w:rsid w:val="00FC6533"/>
    <w:rsid w:val="00FD3986"/>
    <w:rsid w:val="00FD4053"/>
    <w:rsid w:val="00FD6E45"/>
    <w:rsid w:val="00FD7DBE"/>
    <w:rsid w:val="00FE0BBF"/>
    <w:rsid w:val="00FE1369"/>
    <w:rsid w:val="00FE36E2"/>
    <w:rsid w:val="00FE5445"/>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styleId="NormalnyWeb">
    <w:name w:val="Normal (Web)"/>
    <w:basedOn w:val="Normalny"/>
    <w:rsid w:val="008C0E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ustnpkodeksu">
    <w:name w:val="UST(§) – ust. (§ np. kodeksu)"/>
    <w:basedOn w:val="Normalny"/>
    <w:link w:val="USTustnpkodeksuZnak"/>
    <w:qFormat/>
    <w:rsid w:val="00EA58FF"/>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rsid w:val="00EA58FF"/>
    <w:rPr>
      <w:rFonts w:ascii="Times" w:hAnsi="Times" w:cs="Arial"/>
      <w:bCs/>
      <w:sz w:val="24"/>
      <w:lang w:val="pl-PL" w:eastAsia="pl-PL" w:bidi="ar-SA"/>
    </w:rPr>
  </w:style>
  <w:style w:type="paragraph" w:styleId="Tekstpodstawowy">
    <w:name w:val="Body Text"/>
    <w:basedOn w:val="Normalny"/>
    <w:rsid w:val="004E68DE"/>
    <w:pPr>
      <w:spacing w:line="280" w:lineRule="atLeast"/>
      <w:jc w:val="both"/>
    </w:pPr>
    <w:rPr>
      <w:rFonts w:ascii="Times New Roman" w:eastAsia="Times New Roman" w:hAnsi="Times New Roman"/>
      <w:sz w:val="24"/>
      <w:szCs w:val="20"/>
      <w:lang w:eastAsia="pl-PL"/>
    </w:rPr>
  </w:style>
  <w:style w:type="paragraph" w:customStyle="1" w:styleId="ZUSTzmustartykuempunktem">
    <w:name w:val="Z/UST(§) – zm. ust. (§) artykułem (punktem)"/>
    <w:basedOn w:val="Normalny"/>
    <w:qFormat/>
    <w:rsid w:val="00503441"/>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D618FA"/>
    <w:pPr>
      <w:keepNext/>
      <w:suppressAutoHyphens/>
      <w:spacing w:before="120" w:after="360" w:line="360" w:lineRule="auto"/>
      <w:jc w:val="center"/>
    </w:pPr>
    <w:rPr>
      <w:rFonts w:ascii="Times" w:eastAsia="Times New Roman"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rsid w:val="00D618FA"/>
    <w:rPr>
      <w:rFonts w:ascii="Times" w:eastAsia="Times New Roman" w:hAnsi="Times" w:cs="Arial"/>
      <w:b/>
      <w:bCs/>
      <w:sz w:val="24"/>
      <w:szCs w:val="24"/>
    </w:rPr>
  </w:style>
  <w:style w:type="paragraph" w:styleId="Podtytu">
    <w:name w:val="Subtitle"/>
    <w:basedOn w:val="Normalny"/>
    <w:next w:val="Normalny"/>
    <w:link w:val="PodtytuZnak"/>
    <w:qFormat/>
    <w:locked/>
    <w:rsid w:val="00D618FA"/>
    <w:pPr>
      <w:spacing w:after="60"/>
      <w:jc w:val="center"/>
      <w:outlineLvl w:val="1"/>
    </w:pPr>
    <w:rPr>
      <w:rFonts w:ascii="Cambria" w:eastAsia="Times New Roman" w:hAnsi="Cambria"/>
      <w:sz w:val="24"/>
      <w:szCs w:val="24"/>
    </w:rPr>
  </w:style>
  <w:style w:type="character" w:customStyle="1" w:styleId="PodtytuZnak">
    <w:name w:val="Podtytuł Znak"/>
    <w:link w:val="Podtytu"/>
    <w:rsid w:val="00D618FA"/>
    <w:rPr>
      <w:rFonts w:ascii="Cambria" w:eastAsia="Times New Roman" w:hAnsi="Cambria" w:cs="Times New Roman"/>
      <w:sz w:val="24"/>
      <w:szCs w:val="24"/>
      <w:lang w:eastAsia="en-US"/>
    </w:rPr>
  </w:style>
  <w:style w:type="paragraph" w:styleId="Bezodstpw">
    <w:name w:val="No Spacing"/>
    <w:uiPriority w:val="1"/>
    <w:qFormat/>
    <w:rsid w:val="00D618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8296889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kaminska@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EE50-23FA-4716-9905-A05A05A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9711</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2014-03-17T11:25:00Z</cp:lastPrinted>
  <dcterms:created xsi:type="dcterms:W3CDTF">2020-08-25T09:17:00Z</dcterms:created>
  <dcterms:modified xsi:type="dcterms:W3CDTF">2020-08-25T09:17:00Z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