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7245BAD" w14:textId="1F6CDFA8" w:rsidR="006A701A" w:rsidRDefault="00DB4FBE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4D6503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ECCEA67" w14:textId="77777777" w:rsidR="00631123" w:rsidRPr="008B4FE6" w:rsidRDefault="00631123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180F0ED" w14:textId="4E783ACF" w:rsidR="007415D0" w:rsidRDefault="00DB4FBE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5750843" w14:textId="77777777" w:rsidR="00631123" w:rsidRDefault="00631123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77777777" w:rsidR="001B3460" w:rsidRPr="004577CA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77CA">
              <w:rPr>
                <w:rFonts w:ascii="Times New Roman" w:hAnsi="Times New Roman"/>
              </w:rPr>
              <w:t xml:space="preserve">Pan Janusz Cieszyński – Podsekretarz Stanu w Ministerstwie Zdrowia 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77777777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</w:p>
          <w:p w14:paraId="7D09FF8A" w14:textId="7B6C061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Departament Systemu Zdrowia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66C03A78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8-1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24F33">
                  <w:rPr>
                    <w:rFonts w:ascii="Times New Roman" w:hAnsi="Times New Roman"/>
                    <w:b/>
                    <w:sz w:val="21"/>
                    <w:szCs w:val="21"/>
                  </w:rPr>
                  <w:t>1</w:t>
                </w:r>
                <w:r w:rsidR="00FA1EA6">
                  <w:rPr>
                    <w:rFonts w:ascii="Times New Roman" w:hAnsi="Times New Roman"/>
                    <w:b/>
                    <w:sz w:val="21"/>
                    <w:szCs w:val="21"/>
                  </w:rPr>
                  <w:t>7</w:t>
                </w:r>
                <w:r w:rsidR="007D5E75">
                  <w:rPr>
                    <w:rFonts w:ascii="Times New Roman" w:hAnsi="Times New Roman"/>
                    <w:b/>
                    <w:sz w:val="21"/>
                    <w:szCs w:val="21"/>
                  </w:rPr>
                  <w:t>.08.2020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777777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3A6B6A6E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2004r. o świadczeniach opieki zdrowotnej finansowanych ze środków publicznych (Dz. U. z 2020 r. poz. </w:t>
            </w:r>
            <w:r w:rsidR="00FA1EA6">
              <w:rPr>
                <w:rFonts w:ascii="Times New Roman" w:hAnsi="Times New Roman"/>
              </w:rPr>
              <w:t>1398 i …</w:t>
            </w:r>
            <w:r w:rsidR="004D6503">
              <w:rPr>
                <w:rFonts w:ascii="Times New Roman" w:hAnsi="Times New Roman"/>
              </w:rPr>
              <w:t>)</w:t>
            </w:r>
          </w:p>
          <w:p w14:paraId="493870A8" w14:textId="77777777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1546B53A" w14:textId="48C71DA5" w:rsidR="006A701A" w:rsidRPr="008B4FE6" w:rsidRDefault="00FA1EA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1032</w:t>
            </w:r>
          </w:p>
          <w:p w14:paraId="54A31D87" w14:textId="77777777" w:rsidR="006A701A" w:rsidRPr="008B4FE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430FED69" w:rsidR="006A701A" w:rsidRPr="00B37C80" w:rsidRDefault="007D5E75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Ustawa </w:t>
            </w:r>
            <w:r w:rsidR="00FF6C6F" w:rsidRPr="00FF6C6F">
              <w:rPr>
                <w:rFonts w:ascii="Times New Roman" w:hAnsi="Times New Roman"/>
                <w:color w:val="000000"/>
              </w:rPr>
              <w:t xml:space="preserve">z dnia </w:t>
            </w:r>
            <w:r w:rsidR="00FA1EA6">
              <w:rPr>
                <w:rFonts w:ascii="Times New Roman" w:hAnsi="Times New Roman"/>
                <w:color w:val="000000"/>
              </w:rPr>
              <w:t>14 sierpnia</w:t>
            </w:r>
            <w:r w:rsidR="00FF6C6F" w:rsidRPr="00FF6C6F">
              <w:rPr>
                <w:rFonts w:ascii="Times New Roman" w:hAnsi="Times New Roman"/>
                <w:color w:val="000000"/>
              </w:rPr>
              <w:t xml:space="preserve"> 2020 r. o zmianie niektórych ustaw w celu zapewnienia funkcjonowania ochrony zdrowia w związku z epidemią COVID-19 oraz po jej ustaniu (</w:t>
            </w:r>
            <w:r w:rsidR="00FA1EA6">
              <w:rPr>
                <w:rFonts w:ascii="Times New Roman" w:hAnsi="Times New Roman"/>
                <w:color w:val="000000"/>
              </w:rPr>
              <w:t>Dz. U. poz. …</w:t>
            </w:r>
            <w:r w:rsidR="00FF6C6F" w:rsidRPr="00FF6C6F">
              <w:rPr>
                <w:rFonts w:ascii="Times New Roman" w:hAnsi="Times New Roman"/>
                <w:color w:val="000000"/>
              </w:rPr>
              <w:t>),</w:t>
            </w:r>
            <w:r w:rsidRPr="00FF6C6F">
              <w:rPr>
                <w:rFonts w:ascii="Times New Roman" w:hAnsi="Times New Roman"/>
                <w:color w:val="000000"/>
              </w:rPr>
              <w:t>wprowadz</w:t>
            </w:r>
            <w:r>
              <w:rPr>
                <w:rFonts w:ascii="Times New Roman" w:hAnsi="Times New Roman"/>
                <w:color w:val="000000"/>
              </w:rPr>
              <w:t>iła</w:t>
            </w:r>
            <w:r w:rsidRPr="00FF6C6F">
              <w:rPr>
                <w:rFonts w:ascii="Times New Roman" w:hAnsi="Times New Roman"/>
                <w:color w:val="000000"/>
              </w:rPr>
              <w:t xml:space="preserve"> </w:t>
            </w:r>
            <w:r w:rsidR="00FF6C6F" w:rsidRPr="00FF6C6F">
              <w:rPr>
                <w:rFonts w:ascii="Times New Roman" w:hAnsi="Times New Roman"/>
                <w:color w:val="000000"/>
              </w:rPr>
              <w:t>znaczące zmiany w zakresie kompetencji organów N</w:t>
            </w:r>
            <w:r>
              <w:rPr>
                <w:rFonts w:ascii="Times New Roman" w:hAnsi="Times New Roman"/>
                <w:color w:val="000000"/>
              </w:rPr>
              <w:t xml:space="preserve">arodowego </w:t>
            </w:r>
            <w:r w:rsidR="00FF6C6F" w:rsidRPr="00FF6C6F">
              <w:rPr>
                <w:rFonts w:ascii="Times New Roman" w:hAnsi="Times New Roman"/>
                <w:color w:val="000000"/>
              </w:rPr>
              <w:t>F</w:t>
            </w:r>
            <w:r>
              <w:rPr>
                <w:rFonts w:ascii="Times New Roman" w:hAnsi="Times New Roman"/>
                <w:color w:val="000000"/>
              </w:rPr>
              <w:t xml:space="preserve">unduszu </w:t>
            </w:r>
            <w:r w:rsidR="00FF6C6F" w:rsidRPr="00FF6C6F"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drowia</w:t>
            </w:r>
            <w:r w:rsidR="00FA1EA6">
              <w:rPr>
                <w:rFonts w:ascii="Times New Roman" w:hAnsi="Times New Roman"/>
                <w:color w:val="000000"/>
              </w:rPr>
              <w:t>, zwanego dalej „</w:t>
            </w:r>
            <w:r w:rsidR="00F24F33">
              <w:rPr>
                <w:rFonts w:ascii="Times New Roman" w:hAnsi="Times New Roman"/>
                <w:color w:val="000000"/>
              </w:rPr>
              <w:t>NFZ</w:t>
            </w:r>
            <w:r w:rsidR="00FA1EA6">
              <w:rPr>
                <w:rFonts w:ascii="Times New Roman" w:hAnsi="Times New Roman"/>
                <w:color w:val="000000"/>
              </w:rPr>
              <w:t>”</w:t>
            </w:r>
            <w:r w:rsidR="00FF6C6F" w:rsidRPr="00FF6C6F">
              <w:rPr>
                <w:rFonts w:ascii="Times New Roman" w:hAnsi="Times New Roman"/>
                <w:color w:val="000000"/>
              </w:rPr>
              <w:t xml:space="preserve">, a co za tym idzie konieczność zmian w aktach wykonawczych do ustawy </w:t>
            </w:r>
            <w:r>
              <w:rPr>
                <w:rFonts w:ascii="Times New Roman" w:hAnsi="Times New Roman"/>
                <w:color w:val="000000"/>
              </w:rPr>
              <w:t>z dnia 27 sierpnia 20</w:t>
            </w:r>
            <w:r w:rsidR="00933D4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4 r. </w:t>
            </w:r>
            <w:r w:rsidR="00FF6C6F" w:rsidRPr="00FF6C6F">
              <w:rPr>
                <w:rFonts w:ascii="Times New Roman" w:hAnsi="Times New Roman"/>
                <w:color w:val="000000"/>
              </w:rPr>
              <w:t>o świadczeniach</w:t>
            </w:r>
            <w:r>
              <w:rPr>
                <w:rFonts w:ascii="Times New Roman" w:hAnsi="Times New Roman"/>
                <w:color w:val="000000"/>
              </w:rPr>
              <w:t xml:space="preserve"> opieki zdrowotnej finansowanych ze środków publicznych.</w:t>
            </w:r>
            <w:r w:rsidR="00450D51">
              <w:rPr>
                <w:rFonts w:ascii="Times New Roman" w:hAnsi="Times New Roman"/>
                <w:color w:val="000000"/>
              </w:rPr>
              <w:t xml:space="preserve"> Ponadto </w:t>
            </w:r>
            <w:r w:rsidR="00575E9A">
              <w:rPr>
                <w:rFonts w:ascii="Times New Roman" w:hAnsi="Times New Roman"/>
                <w:color w:val="000000"/>
              </w:rPr>
              <w:t xml:space="preserve">projekt rozporządzenia wprowadza nową definicję okresu rozliczeniowego, która umożliwia świadczeniodawcom zawierającym umowy poza systemem podstawowego szpitalnego zabezpieczenia świadczeń opieki zdrowotnej, rozliczanie umów w okresie dłuższym niż rok kalendarzowy. 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069B18" w14:textId="25CAF637" w:rsidR="00450D51" w:rsidRDefault="007D5E7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7D5E75">
              <w:rPr>
                <w:rFonts w:ascii="Times New Roman" w:hAnsi="Times New Roman"/>
                <w:color w:val="000000"/>
                <w:spacing w:val="-2"/>
              </w:rPr>
              <w:t>owelizowane rozporządzenie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7D5E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3B9A8E5" w14:textId="765469D4" w:rsidR="00450D51" w:rsidRDefault="00450D5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C0366A">
              <w:t xml:space="preserve"> </w:t>
            </w:r>
            <w:r w:rsidR="00C0366A" w:rsidRPr="00C0366A">
              <w:rPr>
                <w:rFonts w:ascii="Times New Roman" w:hAnsi="Times New Roman"/>
                <w:color w:val="000000"/>
                <w:spacing w:val="-2"/>
              </w:rPr>
              <w:t>wprowadza zmiany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 xml:space="preserve"> polegające na wskazaniu jako organu właściwego </w:t>
            </w:r>
            <w:r w:rsidR="002E6DAA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 xml:space="preserve"> Prezesa N</w:t>
            </w:r>
            <w:r w:rsidR="00F24F33">
              <w:rPr>
                <w:rFonts w:ascii="Times New Roman" w:hAnsi="Times New Roman"/>
                <w:color w:val="000000"/>
                <w:spacing w:val="-2"/>
              </w:rPr>
              <w:t xml:space="preserve">FZ 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 xml:space="preserve">w miejsce dyrektora oddziału wojewódzkiego </w:t>
            </w:r>
            <w:r w:rsidR="00F24F3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>oraz na zastąpieniu oddziału wojewódzkiego N</w:t>
            </w:r>
            <w:r w:rsidR="00F24F33">
              <w:rPr>
                <w:rFonts w:ascii="Times New Roman" w:hAnsi="Times New Roman"/>
                <w:color w:val="000000"/>
                <w:spacing w:val="-2"/>
              </w:rPr>
              <w:t>FZ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 xml:space="preserve"> – Funduszem Zdrowia rozumianym jako oddział</w:t>
            </w:r>
            <w:r w:rsidR="007D5E75">
              <w:rPr>
                <w:rFonts w:ascii="Times New Roman" w:hAnsi="Times New Roman"/>
                <w:color w:val="000000"/>
                <w:spacing w:val="-2"/>
              </w:rPr>
              <w:t xml:space="preserve"> wojewódzki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 xml:space="preserve"> lub </w:t>
            </w:r>
            <w:r w:rsidR="007D5E75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7D5E75" w:rsidRPr="007D5E75">
              <w:rPr>
                <w:rFonts w:ascii="Times New Roman" w:hAnsi="Times New Roman"/>
                <w:color w:val="000000"/>
                <w:spacing w:val="-2"/>
              </w:rPr>
              <w:t>entrala N</w:t>
            </w:r>
            <w:r w:rsidR="00F24F33">
              <w:rPr>
                <w:rFonts w:ascii="Times New Roman" w:hAnsi="Times New Roman"/>
                <w:color w:val="000000"/>
                <w:spacing w:val="-2"/>
              </w:rPr>
              <w:t>FZ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F335AE6" w14:textId="6ECC56EE" w:rsidR="00450D51" w:rsidRPr="000A6466" w:rsidRDefault="00450D5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C0366A"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zmi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>ni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definicj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okresu rozliczeniowego 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co</w:t>
            </w:r>
            <w:r w:rsidR="00C0366A" w:rsidRPr="00C0366A">
              <w:rPr>
                <w:rFonts w:ascii="Times New Roman" w:hAnsi="Times New Roman"/>
                <w:color w:val="000000"/>
                <w:spacing w:val="-2"/>
              </w:rPr>
              <w:t xml:space="preserve"> umożliwi bardziej elastyczne kształtowanie długości okresów rozliczeniowych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 xml:space="preserve">. Okres rozliczeniowy nie będzie już trwał rok kalendarzowy. Nie będzie mógł przekraczać terminu obowiązywania umowy. </w:t>
            </w:r>
            <w:r w:rsidR="00C0366A" w:rsidRPr="00C0366A">
              <w:rPr>
                <w:rFonts w:ascii="Times New Roman" w:hAnsi="Times New Roman"/>
                <w:color w:val="000000"/>
                <w:spacing w:val="-2"/>
              </w:rPr>
              <w:t>Wydłużenie okresu rozliczeniowego pozwoli na pełne wykorzystanie określonej w umowie kwoty zobowiązań</w:t>
            </w:r>
            <w:r w:rsidR="00C0366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77777777" w:rsidR="006A701A" w:rsidRPr="00B37C80" w:rsidRDefault="008845B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631123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631123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631123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631123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6311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37BF9C49" w:rsidR="007B2979" w:rsidRPr="007B2979" w:rsidRDefault="00B1514B" w:rsidP="00631123">
            <w:pPr>
              <w:jc w:val="both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6311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0169505A" w:rsidR="007B2979" w:rsidRPr="00B37C80" w:rsidRDefault="005B41F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doprecyzowanie kompetencji Prezesa NFZ oraz dyrektorów oddziałów wojewódzkich NFZ</w:t>
            </w: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631123">
            <w:pPr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1D8E8BC7" w:rsidR="005B41F0" w:rsidRPr="00B1514B" w:rsidRDefault="005B41F0" w:rsidP="00631123">
            <w:pPr>
              <w:jc w:val="both"/>
              <w:rPr>
                <w:rFonts w:ascii="Times New Roman" w:hAnsi="Times New Roman"/>
              </w:rPr>
            </w:pPr>
            <w:r w:rsidRPr="005B41F0">
              <w:rPr>
                <w:rFonts w:ascii="Times New Roman" w:hAnsi="Times New Roman"/>
              </w:rPr>
              <w:t>posiadający  umowę o udzielenie świadczeń opieki zdrowotnej zawartej z 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2B95BA36" w:rsidR="005B41F0" w:rsidRDefault="005B41F0" w:rsidP="00631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2B626ACB" w:rsidR="005B41F0" w:rsidRDefault="005B41F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5522EE9" w14:textId="77777777" w:rsidR="00363309" w:rsidRDefault="00EA2CA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EA2CA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EA2CAD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CDE91A3" w14:textId="1BBCE90F" w:rsidR="00EA2CAD" w:rsidRDefault="00EA2CA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2E6DAA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A2CAD">
              <w:rPr>
                <w:rFonts w:ascii="Times New Roman" w:hAnsi="Times New Roman"/>
                <w:color w:val="000000"/>
                <w:spacing w:val="-2"/>
              </w:rPr>
              <w:t>skierowany do konsultacji publicznych i opiniowania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, m.in. następującym podmiotom:</w:t>
            </w:r>
          </w:p>
          <w:p w14:paraId="33BAE093" w14:textId="77777777" w:rsidR="005D2E38" w:rsidRPr="005D2E38" w:rsidRDefault="00E670F5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Naczelnej Radzie Lekarskiej;</w:t>
            </w:r>
          </w:p>
          <w:p w14:paraId="23463D59" w14:textId="77777777" w:rsidR="005D2E38" w:rsidRPr="005D2E38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>Naczelnej Radzie Pielęgniarek i Położnych;</w:t>
            </w:r>
          </w:p>
          <w:p w14:paraId="58AC3FEB" w14:textId="77777777" w:rsidR="005D2E38" w:rsidRPr="005D2E38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>Naczelnej Radzie Aptekarskiej;</w:t>
            </w:r>
          </w:p>
          <w:p w14:paraId="631D0A3D" w14:textId="77777777" w:rsidR="005D2E38" w:rsidRPr="005D2E38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 xml:space="preserve">Krajowej Radzie Diagnostów Laboratoryjnych; </w:t>
            </w:r>
          </w:p>
          <w:p w14:paraId="6C1EA744" w14:textId="77777777" w:rsidR="005D2E38" w:rsidRPr="005D2E38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>Krajowej Radzie Fizjoterapeutów;</w:t>
            </w:r>
          </w:p>
          <w:p w14:paraId="6F03C520" w14:textId="77777777" w:rsidR="005D2E38" w:rsidRPr="005D2E38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 xml:space="preserve">Porozumieniu Pracodawców Ochrony Zdrowia; </w:t>
            </w:r>
          </w:p>
          <w:p w14:paraId="1FFD3B6B" w14:textId="77777777" w:rsidR="007A1033" w:rsidRDefault="005D2E3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ab/>
              <w:t>Federacji Związków Pracodawców Ochrony Zdrowia „Porozumienie Zielonogórskie”;</w:t>
            </w:r>
          </w:p>
          <w:p w14:paraId="38643D40" w14:textId="3F2A9071" w:rsidR="007A1033" w:rsidRDefault="007A103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8)          </w:t>
            </w:r>
            <w:r w:rsidRPr="007A1033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 </w:t>
            </w:r>
            <w:r w:rsidRPr="007A1033">
              <w:rPr>
                <w:rFonts w:ascii="Times New Roman" w:hAnsi="Times New Roman"/>
                <w:color w:val="000000"/>
                <w:spacing w:val="-2"/>
              </w:rPr>
              <w:t>Polska Unia Szpitali Klinicznych;</w:t>
            </w:r>
          </w:p>
          <w:p w14:paraId="6BA2BACB" w14:textId="5ECC9E88" w:rsidR="007A1033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ab/>
              <w:t>Izb</w:t>
            </w:r>
            <w:r w:rsidR="007A1033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 xml:space="preserve"> Lecznictwa Polskiego;</w:t>
            </w:r>
          </w:p>
          <w:p w14:paraId="5049623B" w14:textId="1AE22EEF" w:rsidR="007A1033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7A1033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bookmarkStart w:id="3" w:name="_Hlk48219800"/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Ogólnopolskiemu Związkowi Pracodawców Samodzielnych Publicznych Szpitali Klinicznych;</w:t>
            </w:r>
            <w:bookmarkEnd w:id="3"/>
          </w:p>
          <w:p w14:paraId="36D18FA2" w14:textId="4E39F67C" w:rsidR="007A1033" w:rsidRDefault="00E3184D" w:rsidP="00631123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2"/>
              </w:rPr>
              <w:t>11</w:t>
            </w:r>
            <w:r w:rsidR="007A103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      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  <w:r w:rsidR="007A1033">
              <w:t xml:space="preserve"> </w:t>
            </w:r>
          </w:p>
          <w:p w14:paraId="50D7370F" w14:textId="20B1D98D" w:rsidR="007A1033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Niezależnemu Samorządnemu Związkowi Zawodowemu „Solidarność”;</w:t>
            </w:r>
          </w:p>
          <w:p w14:paraId="18E6DC45" w14:textId="61F3BC47" w:rsidR="007A1033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Krajowemu Sekretariatowi Ochrony Zdrowia NSZZ „Solidarność 80”;</w:t>
            </w:r>
          </w:p>
          <w:p w14:paraId="453FCC43" w14:textId="5E8AE9A0" w:rsidR="007A1033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Ogólnopolskiemu Porozumieniu Związków Zawodowych;</w:t>
            </w:r>
          </w:p>
          <w:p w14:paraId="45418070" w14:textId="1231864E" w:rsidR="007A1033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Pracodawcom Rzeczypospolitej Polskiej;</w:t>
            </w:r>
          </w:p>
          <w:p w14:paraId="6CE8A172" w14:textId="10FA1663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Związkowi Przedsiębiorców i Pracodawców;</w:t>
            </w:r>
          </w:p>
          <w:p w14:paraId="33867625" w14:textId="6A4A5484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Związkowi Pracodawców Business Centre Club;</w:t>
            </w:r>
          </w:p>
          <w:p w14:paraId="486F3A4A" w14:textId="4FFADB05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Związkowi Rzemiosła Polskiego;</w:t>
            </w:r>
          </w:p>
          <w:p w14:paraId="078ED44E" w14:textId="57B98EFB" w:rsidR="007A1033" w:rsidRDefault="00E3184D" w:rsidP="00631123">
            <w:pPr>
              <w:spacing w:line="240" w:lineRule="auto"/>
              <w:jc w:val="both"/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Konfederacji „Lewiatan”;</w:t>
            </w:r>
            <w:r w:rsidR="007A1033">
              <w:t xml:space="preserve"> </w:t>
            </w:r>
          </w:p>
          <w:p w14:paraId="5AE7D3E4" w14:textId="04AF07C8" w:rsidR="007848CE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       </w:t>
            </w:r>
            <w:bookmarkStart w:id="4" w:name="_Hlk48219996"/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Krajowej Izbie Gospodarczej;</w:t>
            </w:r>
            <w:bookmarkEnd w:id="4"/>
          </w:p>
          <w:p w14:paraId="757C33BF" w14:textId="49CA39E7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Pielęgniarek i Położnych;</w:t>
            </w:r>
          </w:p>
          <w:p w14:paraId="38DA2012" w14:textId="6E1C403C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Lekarzy;</w:t>
            </w:r>
          </w:p>
          <w:p w14:paraId="230D2BC8" w14:textId="454076EB" w:rsid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Położnych;</w:t>
            </w:r>
          </w:p>
          <w:p w14:paraId="241BB2E9" w14:textId="48851D93" w:rsidR="005D2E38" w:rsidRPr="005D2E38" w:rsidRDefault="00E3184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    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 xml:space="preserve">emu 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7848CE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="007A1033" w:rsidRPr="007A1033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16A5F0E3" w14:textId="7212BFE4" w:rsidR="005D43FB" w:rsidRDefault="00E3184D" w:rsidP="00631123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2E38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43FB">
              <w:rPr>
                <w:rFonts w:ascii="Times New Roman" w:hAnsi="Times New Roman"/>
                <w:color w:val="000000"/>
                <w:spacing w:val="-2"/>
              </w:rPr>
              <w:t xml:space="preserve">        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Instytutowi Praw Pacjenta i Edukacji Zdrowotnej;</w:t>
            </w:r>
          </w:p>
          <w:p w14:paraId="58BE0800" w14:textId="79503FA1" w:rsidR="005D43FB" w:rsidRDefault="005D43FB" w:rsidP="00631123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26)        </w:t>
            </w:r>
            <w:r w:rsidRPr="005D43FB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D43FB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5C48110" w14:textId="403A7EFC" w:rsidR="007D5E75" w:rsidRDefault="005D43F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27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Prezesowi 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>Narodowe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D2E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2E38" w:rsidRPr="005D2E38">
              <w:rPr>
                <w:rFonts w:ascii="Times New Roman" w:hAnsi="Times New Roman"/>
                <w:color w:val="000000"/>
                <w:spacing w:val="-2"/>
              </w:rPr>
              <w:t>Zdrowia</w:t>
            </w:r>
            <w:r w:rsidR="007D5E7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87458F" w14:textId="6C4A2B52" w:rsidR="002E6DAA" w:rsidRDefault="005D43F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28</w:t>
            </w:r>
            <w:r w:rsidR="007D5E75">
              <w:rPr>
                <w:rFonts w:ascii="Times New Roman" w:hAnsi="Times New Roman"/>
                <w:color w:val="000000"/>
                <w:spacing w:val="-2"/>
              </w:rPr>
              <w:t xml:space="preserve">)      </w:t>
            </w:r>
            <w:r w:rsidR="002E6DAA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  <w:r w:rsidR="007D5E75">
              <w:rPr>
                <w:rFonts w:ascii="Times New Roman" w:hAnsi="Times New Roman"/>
                <w:color w:val="000000"/>
                <w:spacing w:val="-2"/>
              </w:rPr>
              <w:t xml:space="preserve"> oddziałom wojewódzkim Narodowego Funduszu Zdrowia</w:t>
            </w:r>
            <w:r w:rsidR="002E6DA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29557A0" w14:textId="746CD8F4" w:rsidR="00E670F5" w:rsidRPr="00E670F5" w:rsidRDefault="002E6DA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29)        </w:t>
            </w:r>
            <w:r w:rsidRPr="002E6DAA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2E6DAA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Zdrowotnej.</w:t>
            </w:r>
          </w:p>
          <w:p w14:paraId="14DC5532" w14:textId="77777777" w:rsidR="00EA2CAD" w:rsidRDefault="00EA2CA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CE34BC" w14:textId="5E30E65F" w:rsidR="006A701A" w:rsidRPr="00B37C80" w:rsidRDefault="00E5517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22EA6">
              <w:rPr>
                <w:rFonts w:ascii="Times New Roman" w:hAnsi="Times New Roman"/>
                <w:szCs w:val="24"/>
              </w:rPr>
              <w:t>W celu realizacji obowiązku określonego w art. 5 ustawy z dnia 7 lipca 2005 r. o działalności lobbingowej w procesie stanowienia prawa (Dz. U. z 2017 r. poz. 248) projekt rozporządzenia zosta</w:t>
            </w:r>
            <w:r w:rsidR="002E6DAA">
              <w:rPr>
                <w:rFonts w:ascii="Times New Roman" w:hAnsi="Times New Roman"/>
                <w:szCs w:val="24"/>
              </w:rPr>
              <w:t>ł</w:t>
            </w:r>
            <w:r w:rsidRPr="00422EA6">
              <w:rPr>
                <w:rFonts w:ascii="Times New Roman" w:hAnsi="Times New Roman"/>
                <w:szCs w:val="24"/>
              </w:rPr>
              <w:t xml:space="preserve"> umieszczony na stronie podmiotowej Ministra Zdrowia w Biuletynie Informacji Publicznej. Podmioty prowadzące działalność lobbingową zgodnie z przepisami ww. ustawy będą mogły zgłosić zainteresowanie pracami nad projektem rozporządzenia. Projekt zosta</w:t>
            </w:r>
            <w:r w:rsidR="00F75561">
              <w:rPr>
                <w:rFonts w:ascii="Times New Roman" w:hAnsi="Times New Roman"/>
                <w:szCs w:val="24"/>
              </w:rPr>
              <w:t>ł</w:t>
            </w:r>
            <w:r w:rsidRPr="00422EA6">
              <w:rPr>
                <w:rFonts w:ascii="Times New Roman" w:hAnsi="Times New Roman"/>
                <w:szCs w:val="24"/>
              </w:rPr>
              <w:t xml:space="preserve"> udostępniony w Biuletynie Informacji Publicznej Rządowego Centrum Legislacji w serwisie Rządowy Proces Legislacyjny, zgodnie z § 52 ust. 1 uchwały nr 190 z dnia 29 października 2013 r. Rady Ministrów ¬ Regulamin Pracy Rady Ministrów (M.P. z 2016 r. poz. 1006, z </w:t>
            </w:r>
            <w:proofErr w:type="spellStart"/>
            <w:r w:rsidRPr="00422EA6">
              <w:rPr>
                <w:rFonts w:ascii="Times New Roman" w:hAnsi="Times New Roman"/>
                <w:szCs w:val="24"/>
              </w:rPr>
              <w:t>późn</w:t>
            </w:r>
            <w:proofErr w:type="spellEnd"/>
            <w:r w:rsidRPr="00422EA6">
              <w:rPr>
                <w:rFonts w:ascii="Times New Roman" w:hAnsi="Times New Roman"/>
                <w:szCs w:val="24"/>
              </w:rPr>
              <w:t>. zm.).</w:t>
            </w:r>
            <w:r w:rsidR="007A1033">
              <w:rPr>
                <w:rFonts w:ascii="Times New Roman" w:hAnsi="Times New Roman"/>
                <w:szCs w:val="24"/>
              </w:rPr>
              <w:t xml:space="preserve"> Skrócony, termin na zgłoszenie uwag wynika z konieczności </w:t>
            </w:r>
            <w:r w:rsidR="007A1033" w:rsidRPr="007A1033">
              <w:rPr>
                <w:rFonts w:ascii="Times New Roman" w:hAnsi="Times New Roman"/>
                <w:szCs w:val="24"/>
              </w:rPr>
              <w:t>dostosowania przepisów rozporządzenia do obowiązujących przepisów prawnych.</w:t>
            </w:r>
            <w:r w:rsidR="007A103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C81B917" w14:textId="77777777" w:rsidR="006A701A" w:rsidRPr="00B37C80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7A69BF2" w14:textId="6DE6C0AC" w:rsidR="006A701A" w:rsidRPr="00B37C80" w:rsidRDefault="002810E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prowadzane rozwiązania mają </w:t>
            </w:r>
            <w:r w:rsidR="00E3184D">
              <w:rPr>
                <w:rFonts w:ascii="Times New Roman" w:hAnsi="Times New Roman"/>
                <w:color w:val="000000"/>
                <w:sz w:val="21"/>
                <w:szCs w:val="21"/>
              </w:rPr>
              <w:t>wyłączenie na celu dostosowanie rozporządzenia do przepisów</w:t>
            </w:r>
            <w:r w:rsidR="00E3184D">
              <w:t xml:space="preserve"> </w:t>
            </w:r>
            <w:r w:rsidR="00E3184D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="00E3184D" w:rsidRPr="00E3184D">
              <w:rPr>
                <w:rFonts w:ascii="Times New Roman" w:hAnsi="Times New Roman"/>
                <w:color w:val="000000"/>
                <w:sz w:val="21"/>
                <w:szCs w:val="21"/>
              </w:rPr>
              <w:t>staw</w:t>
            </w:r>
            <w:r w:rsidR="00E3184D">
              <w:rPr>
                <w:rFonts w:ascii="Times New Roman" w:hAnsi="Times New Roman"/>
                <w:color w:val="000000"/>
                <w:sz w:val="21"/>
                <w:szCs w:val="21"/>
              </w:rPr>
              <w:t>y</w:t>
            </w:r>
            <w:r w:rsidR="00E3184D" w:rsidRPr="00E3184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dnia 24 lipca 2020 r. o zmianie niektórych ustaw w celu zapewnienia funkcjonowania ochrony zdrowia w związku z epidemią COVID-19 oraz po jej ustaniu</w:t>
            </w:r>
            <w:r w:rsidR="00E3184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. Konieczność  wprowadzenia zmian zawartych w projekcie wynika z ww. ustawy 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</w:t>
            </w:r>
            <w:r w:rsidR="00E3184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zmiany te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będą wymagać dodatkowych nakładów finansowych</w:t>
            </w:r>
            <w:r w:rsidR="00D346C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Projektowane rozporządzenie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  <w:r w:rsidR="000948C8" w:rsidRPr="000948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ie </w:t>
            </w:r>
            <w:r w:rsidR="000948C8">
              <w:rPr>
                <w:rFonts w:ascii="Times New Roman" w:hAnsi="Times New Roman"/>
                <w:color w:val="000000"/>
                <w:sz w:val="21"/>
                <w:szCs w:val="21"/>
              </w:rPr>
              <w:t>spowoduje</w:t>
            </w:r>
            <w:r w:rsidR="000948C8" w:rsidRPr="000948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skutków finansowych dla budżetu państwa i jednostek samorządu terytorialnego.  </w:t>
            </w:r>
          </w:p>
          <w:p w14:paraId="6DB95EAA" w14:textId="77777777" w:rsidR="006A701A" w:rsidRPr="00B37C80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B983470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E15900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42007E0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BDB0306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Projektowane rozporządzenie nie będzie miało wpływu na mikro-,  małych i 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49D4DB" w14:textId="77777777" w:rsidR="00260F33" w:rsidRDefault="00260F3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77C1AE" w14:textId="77777777" w:rsidR="00CF5F4F" w:rsidRPr="00301959" w:rsidRDefault="00CF5F4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4E0E2B" w14:textId="77777777" w:rsidR="00260F33" w:rsidRPr="00301959" w:rsidRDefault="00260F3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7777777" w:rsidR="00D86AFF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77777777" w:rsidR="00D86AFF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77777777" w:rsidR="00D86AFF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7777777" w:rsidR="00D86AFF" w:rsidRDefault="004D53EB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718220A1" w:rsidR="001B3460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77777777" w:rsidR="001B3460" w:rsidRPr="008B4FE6" w:rsidRDefault="004D53EB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081B7B7D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4D7761B8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E1076B6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58A71B2D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77777777" w:rsidR="00BF0DA2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7777777" w:rsidR="00BF0DA2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3668A193" w14:textId="45256380" w:rsidR="00BF0DA2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670B4E5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4EE17D4" w14:textId="77777777" w:rsidTr="00F4418F">
        <w:trPr>
          <w:gridAfter w:val="1"/>
          <w:wAfter w:w="10" w:type="dxa"/>
          <w:trHeight w:val="471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77777777" w:rsidR="001B3460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7777777" w:rsidR="001B3460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5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4D53E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C8AD10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A41189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4417CA1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56E761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6A60A833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781D8B84" w:rsidR="001B3460" w:rsidRPr="00B37C80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F24F3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1AC9" w14:textId="77777777" w:rsidR="004D53EB" w:rsidRDefault="004D53EB" w:rsidP="00044739">
      <w:pPr>
        <w:spacing w:line="240" w:lineRule="auto"/>
      </w:pPr>
      <w:r>
        <w:separator/>
      </w:r>
    </w:p>
  </w:endnote>
  <w:endnote w:type="continuationSeparator" w:id="0">
    <w:p w14:paraId="6FB069A7" w14:textId="77777777" w:rsidR="004D53EB" w:rsidRDefault="004D53E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51EE" w14:textId="77777777" w:rsidR="004D53EB" w:rsidRDefault="004D53EB" w:rsidP="00044739">
      <w:pPr>
        <w:spacing w:line="240" w:lineRule="auto"/>
      </w:pPr>
      <w:r>
        <w:separator/>
      </w:r>
    </w:p>
  </w:footnote>
  <w:footnote w:type="continuationSeparator" w:id="0">
    <w:p w14:paraId="4FC3CFA5" w14:textId="77777777" w:rsidR="004D53EB" w:rsidRDefault="004D53E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47BD"/>
    <w:rsid w:val="000862DD"/>
    <w:rsid w:val="000944AC"/>
    <w:rsid w:val="000948C8"/>
    <w:rsid w:val="00094CB9"/>
    <w:rsid w:val="000956B2"/>
    <w:rsid w:val="000969E7"/>
    <w:rsid w:val="000A23DE"/>
    <w:rsid w:val="000A4020"/>
    <w:rsid w:val="000A6466"/>
    <w:rsid w:val="000B54FB"/>
    <w:rsid w:val="000B71BA"/>
    <w:rsid w:val="000C22A9"/>
    <w:rsid w:val="000C29B0"/>
    <w:rsid w:val="000C76FC"/>
    <w:rsid w:val="000D38FC"/>
    <w:rsid w:val="000D4D90"/>
    <w:rsid w:val="000E2D10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9C8"/>
    <w:rsid w:val="002E3DA3"/>
    <w:rsid w:val="002E450F"/>
    <w:rsid w:val="002E6B38"/>
    <w:rsid w:val="002E6D63"/>
    <w:rsid w:val="002E6DAA"/>
    <w:rsid w:val="002E6E2B"/>
    <w:rsid w:val="002F500B"/>
    <w:rsid w:val="00300991"/>
    <w:rsid w:val="00300B85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0D51"/>
    <w:rsid w:val="00452034"/>
    <w:rsid w:val="00455FA6"/>
    <w:rsid w:val="004577CA"/>
    <w:rsid w:val="00466C70"/>
    <w:rsid w:val="004702C9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4FC"/>
    <w:rsid w:val="004A145E"/>
    <w:rsid w:val="004A1F15"/>
    <w:rsid w:val="004A2A81"/>
    <w:rsid w:val="004A7BD7"/>
    <w:rsid w:val="004B40E5"/>
    <w:rsid w:val="004C15C2"/>
    <w:rsid w:val="004C36D8"/>
    <w:rsid w:val="004D1248"/>
    <w:rsid w:val="004D1E3C"/>
    <w:rsid w:val="004D4169"/>
    <w:rsid w:val="004D53EB"/>
    <w:rsid w:val="004D6503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77FA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D2E38"/>
    <w:rsid w:val="005D43FB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4074F"/>
    <w:rsid w:val="00641F55"/>
    <w:rsid w:val="00645E4A"/>
    <w:rsid w:val="00653688"/>
    <w:rsid w:val="00654A7C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D4704"/>
    <w:rsid w:val="006D6A2D"/>
    <w:rsid w:val="006E1E18"/>
    <w:rsid w:val="006E31CE"/>
    <w:rsid w:val="006E34D3"/>
    <w:rsid w:val="006E790A"/>
    <w:rsid w:val="006F1435"/>
    <w:rsid w:val="006F1BD9"/>
    <w:rsid w:val="006F78C4"/>
    <w:rsid w:val="00701CEA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2D64"/>
    <w:rsid w:val="007848CE"/>
    <w:rsid w:val="00792609"/>
    <w:rsid w:val="00792887"/>
    <w:rsid w:val="007943E2"/>
    <w:rsid w:val="00794F2C"/>
    <w:rsid w:val="007A1033"/>
    <w:rsid w:val="007A3BC7"/>
    <w:rsid w:val="007A5AC4"/>
    <w:rsid w:val="007B0FDD"/>
    <w:rsid w:val="007B2979"/>
    <w:rsid w:val="007B4802"/>
    <w:rsid w:val="007B6668"/>
    <w:rsid w:val="007B6B33"/>
    <w:rsid w:val="007C2701"/>
    <w:rsid w:val="007D0BD3"/>
    <w:rsid w:val="007D2192"/>
    <w:rsid w:val="007D5E75"/>
    <w:rsid w:val="007D671A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77A9"/>
    <w:rsid w:val="008525C8"/>
    <w:rsid w:val="00856799"/>
    <w:rsid w:val="008575C3"/>
    <w:rsid w:val="00863D28"/>
    <w:rsid w:val="008648C3"/>
    <w:rsid w:val="0087212C"/>
    <w:rsid w:val="0087535B"/>
    <w:rsid w:val="00880F26"/>
    <w:rsid w:val="008845B2"/>
    <w:rsid w:val="00886151"/>
    <w:rsid w:val="00887F70"/>
    <w:rsid w:val="00896C2E"/>
    <w:rsid w:val="00897279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3D4C"/>
    <w:rsid w:val="00934123"/>
    <w:rsid w:val="00955680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08AF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CF8"/>
    <w:rsid w:val="00AF4CAC"/>
    <w:rsid w:val="00B03E0D"/>
    <w:rsid w:val="00B054F8"/>
    <w:rsid w:val="00B1514B"/>
    <w:rsid w:val="00B15F74"/>
    <w:rsid w:val="00B2219A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7AF0"/>
    <w:rsid w:val="00B9037B"/>
    <w:rsid w:val="00B910BD"/>
    <w:rsid w:val="00B9189C"/>
    <w:rsid w:val="00B93834"/>
    <w:rsid w:val="00B96469"/>
    <w:rsid w:val="00B96A25"/>
    <w:rsid w:val="00BA0DA2"/>
    <w:rsid w:val="00BA2981"/>
    <w:rsid w:val="00BA2BB7"/>
    <w:rsid w:val="00BA42EE"/>
    <w:rsid w:val="00BA48F9"/>
    <w:rsid w:val="00BA61F2"/>
    <w:rsid w:val="00BB0DCA"/>
    <w:rsid w:val="00BB2666"/>
    <w:rsid w:val="00BB2E82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366A"/>
    <w:rsid w:val="00C047A7"/>
    <w:rsid w:val="00C05DE5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4FBE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14B"/>
    <w:rsid w:val="00E24BD7"/>
    <w:rsid w:val="00E254AA"/>
    <w:rsid w:val="00E26523"/>
    <w:rsid w:val="00E26809"/>
    <w:rsid w:val="00E3184D"/>
    <w:rsid w:val="00E3412D"/>
    <w:rsid w:val="00E43D81"/>
    <w:rsid w:val="00E55173"/>
    <w:rsid w:val="00E57322"/>
    <w:rsid w:val="00E628CB"/>
    <w:rsid w:val="00E62AD9"/>
    <w:rsid w:val="00E638C8"/>
    <w:rsid w:val="00E670F5"/>
    <w:rsid w:val="00E7509B"/>
    <w:rsid w:val="00E829E9"/>
    <w:rsid w:val="00E86590"/>
    <w:rsid w:val="00E86B7A"/>
    <w:rsid w:val="00E907FF"/>
    <w:rsid w:val="00EA2CAD"/>
    <w:rsid w:val="00EA42D1"/>
    <w:rsid w:val="00EA42EF"/>
    <w:rsid w:val="00EB2DD1"/>
    <w:rsid w:val="00EB6B37"/>
    <w:rsid w:val="00EC19C6"/>
    <w:rsid w:val="00EC29FE"/>
    <w:rsid w:val="00EC3C70"/>
    <w:rsid w:val="00EC5007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B15"/>
    <w:rsid w:val="00F04F8D"/>
    <w:rsid w:val="00F10AD0"/>
    <w:rsid w:val="00F116CC"/>
    <w:rsid w:val="00F12BD1"/>
    <w:rsid w:val="00F12F2F"/>
    <w:rsid w:val="00F15327"/>
    <w:rsid w:val="00F168CF"/>
    <w:rsid w:val="00F24F33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74005"/>
    <w:rsid w:val="00F75561"/>
    <w:rsid w:val="00F76884"/>
    <w:rsid w:val="00F83D24"/>
    <w:rsid w:val="00F83DD9"/>
    <w:rsid w:val="00F83F40"/>
    <w:rsid w:val="00FA117A"/>
    <w:rsid w:val="00FA1EA6"/>
    <w:rsid w:val="00FB386A"/>
    <w:rsid w:val="00FB45D1"/>
    <w:rsid w:val="00FC0786"/>
    <w:rsid w:val="00FC49EF"/>
    <w:rsid w:val="00FD19A1"/>
    <w:rsid w:val="00FE36E2"/>
    <w:rsid w:val="00FF11AD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120F89"/>
    <w:rsid w:val="00146709"/>
    <w:rsid w:val="003C2384"/>
    <w:rsid w:val="004D2A7C"/>
    <w:rsid w:val="005E6A29"/>
    <w:rsid w:val="006433C9"/>
    <w:rsid w:val="006A3078"/>
    <w:rsid w:val="008C7CA2"/>
    <w:rsid w:val="0093683D"/>
    <w:rsid w:val="00AD66A9"/>
    <w:rsid w:val="00C651E7"/>
    <w:rsid w:val="00D15F54"/>
    <w:rsid w:val="00DB52FB"/>
    <w:rsid w:val="00DD4859"/>
    <w:rsid w:val="00DD6DA2"/>
    <w:rsid w:val="00E05E22"/>
    <w:rsid w:val="00E4479C"/>
    <w:rsid w:val="00E671AE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8954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2020-08-17T12:01:00Z</dcterms:created>
  <dcterms:modified xsi:type="dcterms:W3CDTF">2020-08-17T12:01:00Z</dcterms:modified>
</cp:coreProperties>
</file>