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87" w:rsidRPr="004D20C5" w:rsidRDefault="006E4487" w:rsidP="006E4487">
      <w:pPr>
        <w:pStyle w:val="DATAAKTUdatauchwalenialubwydaniaaktu"/>
        <w:rPr>
          <w:b/>
        </w:rPr>
      </w:pPr>
      <w:bookmarkStart w:id="0" w:name="_GoBack"/>
      <w:bookmarkEnd w:id="0"/>
      <w:r>
        <w:rPr>
          <w:rStyle w:val="Ppogrubienie"/>
        </w:rPr>
        <w:t>UZASADNIENIE</w:t>
      </w:r>
    </w:p>
    <w:p w:rsidR="006E4487" w:rsidRDefault="006E4487" w:rsidP="006E4487">
      <w:pPr>
        <w:pStyle w:val="ARTartustawynprozporzdzenia"/>
      </w:pPr>
      <w:r w:rsidRPr="00507C45">
        <w:t xml:space="preserve">Projekt rozporządzenia </w:t>
      </w:r>
      <w:r>
        <w:t>zmienia rozporządzenie Ministra Gospodarki z dnia 20</w:t>
      </w:r>
      <w:r w:rsidR="00901EFD">
        <w:t> </w:t>
      </w:r>
      <w:r>
        <w:t>lipca</w:t>
      </w:r>
      <w:r w:rsidR="00901EFD">
        <w:t> </w:t>
      </w:r>
      <w:r>
        <w:t>2009</w:t>
      </w:r>
      <w:r w:rsidR="00901EFD">
        <w:t> </w:t>
      </w:r>
      <w:r>
        <w:t>r.</w:t>
      </w:r>
      <w:r w:rsidRPr="00507C45">
        <w:t xml:space="preserve"> w sprawie szczegółowych wymagań dotyczących oznakowań towarów paczkowanych</w:t>
      </w:r>
      <w:r>
        <w:t xml:space="preserve"> (Dz. U. poz. 1010), które</w:t>
      </w:r>
      <w:r w:rsidRPr="00507C45">
        <w:t xml:space="preserve"> stanowi wykonanie upoważnienia ustawowego zawartego w art.</w:t>
      </w:r>
      <w:r w:rsidR="00901EFD">
        <w:t> </w:t>
      </w:r>
      <w:r>
        <w:t>7</w:t>
      </w:r>
      <w:r w:rsidRPr="00507C45">
        <w:t xml:space="preserve"> ust.</w:t>
      </w:r>
      <w:r w:rsidR="00901EFD">
        <w:t> </w:t>
      </w:r>
      <w:r w:rsidRPr="00507C45">
        <w:t>2 ustawy z dnia 7 maja 2009</w:t>
      </w:r>
      <w:r w:rsidR="00901EFD">
        <w:t> </w:t>
      </w:r>
      <w:r w:rsidRPr="00507C45">
        <w:t>r. o towarach paczkowanych (Dz.</w:t>
      </w:r>
      <w:r>
        <w:t> </w:t>
      </w:r>
      <w:r w:rsidRPr="00507C45">
        <w:t>U.</w:t>
      </w:r>
      <w:r>
        <w:t> </w:t>
      </w:r>
      <w:r w:rsidRPr="00507C45">
        <w:t>z</w:t>
      </w:r>
      <w:r>
        <w:t> </w:t>
      </w:r>
      <w:r w:rsidRPr="00507C45">
        <w:t xml:space="preserve">2018 r. poz. 2335 </w:t>
      </w:r>
      <w:r>
        <w:t xml:space="preserve">oraz </w:t>
      </w:r>
      <w:r w:rsidRPr="00507C45">
        <w:t>z 2019 r. poz. 1495), zwanej dalej „ustawą”.</w:t>
      </w:r>
    </w:p>
    <w:p w:rsidR="006E4487" w:rsidRDefault="006E4487" w:rsidP="006E4487">
      <w:pPr>
        <w:pStyle w:val="ARTartustawynprozporzdzenia"/>
      </w:pPr>
      <w:r w:rsidRPr="004D20C5">
        <w:t>W</w:t>
      </w:r>
      <w:r>
        <w:t xml:space="preserve"> § 3 w ust. 1 </w:t>
      </w:r>
      <w:r w:rsidRPr="004D20C5">
        <w:t>rozporządzeni</w:t>
      </w:r>
      <w:r>
        <w:t>a</w:t>
      </w:r>
      <w:r w:rsidRPr="004D20C5">
        <w:t xml:space="preserve"> Ministra Gospodarki z dnia 20 lipca 2009 r. w sprawie szczegółowych wymagań dotyczących oznakowań towarów paczkowanych </w:t>
      </w:r>
      <w:r>
        <w:t xml:space="preserve">widnieje odniesienie do uchylonego aktu normatywnego, tj. </w:t>
      </w:r>
      <w:r w:rsidRPr="00397AA9">
        <w:t>rozporz</w:t>
      </w:r>
      <w:r>
        <w:t>ą</w:t>
      </w:r>
      <w:r w:rsidRPr="00397AA9">
        <w:t>dzenia Ministra Gospodarki z</w:t>
      </w:r>
      <w:r>
        <w:t> </w:t>
      </w:r>
      <w:r w:rsidRPr="00397AA9">
        <w:t>dnia</w:t>
      </w:r>
      <w:r>
        <w:t xml:space="preserve"> </w:t>
      </w:r>
      <w:r w:rsidRPr="00397AA9">
        <w:t>20 grudnia 2005 r. w sprawie szczegó</w:t>
      </w:r>
      <w:r>
        <w:t>ł</w:t>
      </w:r>
      <w:r w:rsidRPr="00397AA9">
        <w:t>owych wymaga</w:t>
      </w:r>
      <w:r>
        <w:t>ń</w:t>
      </w:r>
      <w:r w:rsidRPr="00397AA9">
        <w:t>,</w:t>
      </w:r>
      <w:r>
        <w:t xml:space="preserve"> </w:t>
      </w:r>
      <w:r w:rsidRPr="00397AA9">
        <w:t>jakim powinny odpowiada</w:t>
      </w:r>
      <w:r>
        <w:t>ć</w:t>
      </w:r>
      <w:r w:rsidRPr="00397AA9">
        <w:t xml:space="preserve"> wyroby aerozolowe</w:t>
      </w:r>
      <w:r>
        <w:t xml:space="preserve"> (Dz. U. poz. 2199).</w:t>
      </w:r>
    </w:p>
    <w:p w:rsidR="006E4487" w:rsidRDefault="006E4487" w:rsidP="006E4487">
      <w:pPr>
        <w:pStyle w:val="ARTartustawynprozporzdzenia"/>
      </w:pPr>
      <w:r>
        <w:t>Z</w:t>
      </w:r>
      <w:r w:rsidRPr="00507C45">
        <w:t>aistniała sytuacja, w której obowiązujący akt normatywny, czyli ww. rozporządzenie Ministra Gospodarki</w:t>
      </w:r>
      <w:r>
        <w:t xml:space="preserve"> z dnia 20 lipca 2009 r. </w:t>
      </w:r>
      <w:r w:rsidRPr="00A829D2">
        <w:t>w sprawie szczegółowych wymagań dotyczących oznakowań towarów paczkowanych</w:t>
      </w:r>
      <w:r w:rsidRPr="00507C45">
        <w:t xml:space="preserve">, zawiera w swojej treści odesłanie w zakresie definicji wyrobów aerozolowych do nieobowiązującego już innego </w:t>
      </w:r>
      <w:r>
        <w:t xml:space="preserve">aktu normatywnego, nawet w sytuacji gdy </w:t>
      </w:r>
      <w:r w:rsidRPr="00507C45">
        <w:t xml:space="preserve">definicja wyrobów aerozolowych zawarta w nieobowiązującym akcie normatywnym jest identyczna z definicją zawartą w obowiązującym akcie normatywnym, </w:t>
      </w:r>
      <w:r>
        <w:t>nie może być,</w:t>
      </w:r>
      <w:r w:rsidRPr="00507C45">
        <w:t xml:space="preserve"> zgodnie z zasadami poprawnej legislacji</w:t>
      </w:r>
      <w:r>
        <w:t>, zaakceptowana i konieczna jest</w:t>
      </w:r>
      <w:r w:rsidRPr="00507C45">
        <w:t xml:space="preserve"> </w:t>
      </w:r>
      <w:r>
        <w:t xml:space="preserve">odpowiednia </w:t>
      </w:r>
      <w:r w:rsidRPr="00507C45">
        <w:t>nowelizacj</w:t>
      </w:r>
      <w:r>
        <w:t>a</w:t>
      </w:r>
      <w:r w:rsidRPr="00507C45">
        <w:t xml:space="preserve"> rozporządzenia Ministra Gospodarki</w:t>
      </w:r>
      <w:r>
        <w:t xml:space="preserve"> z dnia 20 lipca 2009</w:t>
      </w:r>
      <w:r w:rsidR="00901EFD">
        <w:t> </w:t>
      </w:r>
      <w:r>
        <w:t>r</w:t>
      </w:r>
      <w:r w:rsidRPr="00507C45">
        <w:t>.</w:t>
      </w:r>
      <w:r>
        <w:t xml:space="preserve"> </w:t>
      </w:r>
      <w:r w:rsidRPr="00A829D2">
        <w:t>w</w:t>
      </w:r>
      <w:r w:rsidR="00901EFD">
        <w:t> </w:t>
      </w:r>
      <w:r w:rsidRPr="00A829D2">
        <w:t>sprawie szczegółowych wymagań dotyczących oznakowań towarów paczkowanych</w:t>
      </w:r>
      <w:r>
        <w:t xml:space="preserve"> poprzez odwołanie w nim do aktualnego aktu prawnego odnoszącego się do wyrobów </w:t>
      </w:r>
      <w:r w:rsidRPr="00CE2391">
        <w:t>aerozolowych</w:t>
      </w:r>
      <w:r>
        <w:t xml:space="preserve">, tj. </w:t>
      </w:r>
      <w:r w:rsidRPr="00CE2391">
        <w:t>ustawy z dnia 30 sierpnia 2002 r. o systemie oceny zgodności (Dz.</w:t>
      </w:r>
      <w:r w:rsidR="00901EFD">
        <w:t> </w:t>
      </w:r>
      <w:r w:rsidRPr="00CE2391">
        <w:t>U.</w:t>
      </w:r>
      <w:r w:rsidR="00901EFD">
        <w:t> </w:t>
      </w:r>
      <w:r w:rsidRPr="00CE2391">
        <w:t>z</w:t>
      </w:r>
      <w:r w:rsidR="00901EFD">
        <w:t> </w:t>
      </w:r>
      <w:r w:rsidRPr="00CE2391">
        <w:t>2019 r. poz. 155 oraz z 2020 r. poz. 1339)</w:t>
      </w:r>
      <w:r>
        <w:t>.</w:t>
      </w:r>
    </w:p>
    <w:p w:rsidR="006E4487" w:rsidRPr="00507C45" w:rsidRDefault="006E4487" w:rsidP="006E4487">
      <w:pPr>
        <w:pStyle w:val="ARTartustawynprozporzdzenia"/>
      </w:pPr>
      <w:r>
        <w:t>Proponuje się, aby r</w:t>
      </w:r>
      <w:r w:rsidRPr="00507C45">
        <w:t>ozporządzenie w</w:t>
      </w:r>
      <w:r>
        <w:t>eszło</w:t>
      </w:r>
      <w:r w:rsidRPr="00507C45">
        <w:t xml:space="preserve"> w życie </w:t>
      </w:r>
      <w:r>
        <w:t>po upływie 14 dni od dnia ogłoszenia</w:t>
      </w:r>
      <w:r w:rsidRPr="00507C45">
        <w:t>.</w:t>
      </w:r>
    </w:p>
    <w:p w:rsidR="006E4487" w:rsidRPr="00507C45" w:rsidRDefault="006E4487" w:rsidP="006E4487">
      <w:pPr>
        <w:pStyle w:val="ARTartustawynprozporzdzenia"/>
      </w:pPr>
      <w:r w:rsidRPr="00507C45">
        <w:t>Wejście w życie projektowanego rozporządzenia nie będzie miało wpływu na</w:t>
      </w:r>
      <w:r>
        <w:t> </w:t>
      </w:r>
      <w:r w:rsidRPr="00507C45">
        <w:t xml:space="preserve">działalność mikroprzedsiębiorców, małych i średnich przedsiębiorców. </w:t>
      </w:r>
    </w:p>
    <w:p w:rsidR="006E4487" w:rsidRPr="00507C45" w:rsidRDefault="006E4487" w:rsidP="006E4487">
      <w:pPr>
        <w:pStyle w:val="ARTartustawynprozporzdzenia"/>
      </w:pPr>
      <w:r w:rsidRPr="00507C45">
        <w:t>Przedkładany projekt rozporządzenia jest zgodny z prawem Unii Europejskiej.</w:t>
      </w:r>
    </w:p>
    <w:p w:rsidR="006E4487" w:rsidRPr="00507C45" w:rsidRDefault="006E4487" w:rsidP="006E4487">
      <w:pPr>
        <w:pStyle w:val="ARTartustawynprozporzdzenia"/>
      </w:pPr>
      <w:r w:rsidRPr="00507C45">
        <w:t xml:space="preserve">Projektowane rozporządzenie nie podlega notyfikacji zgodnie z rozporządzeniem Rady Ministrów z dnia 23 grudnia 2002 r. w sprawie sposobu funkcjonowania krajowego systemu notyfikacji norm i aktów prawnych (Dz. U. poz. 2039, z późn. zm.), które wdraża dyrektywę </w:t>
      </w:r>
      <w:r w:rsidRPr="00507C45">
        <w:lastRenderedPageBreak/>
        <w:t>(UE) 2015/1535 Parlamentu Europejskiego i Rady z dnia 9 września 2015 r. ustanawiającą procedurę udzielania informacji w dziedzinie przepisów technicznych oraz zasad dotyczących usług społeczeństwa informacyjnego (ujednolicenie) (Dz.</w:t>
      </w:r>
      <w:r>
        <w:t> </w:t>
      </w:r>
      <w:r w:rsidRPr="00507C45">
        <w:t>Urz.</w:t>
      </w:r>
      <w:r>
        <w:t> </w:t>
      </w:r>
      <w:r w:rsidRPr="00507C45">
        <w:t>UE</w:t>
      </w:r>
      <w:r>
        <w:t> </w:t>
      </w:r>
      <w:r w:rsidRPr="00507C45">
        <w:t>L</w:t>
      </w:r>
      <w:r>
        <w:t> </w:t>
      </w:r>
      <w:r w:rsidRPr="00507C45">
        <w:t>241</w:t>
      </w:r>
      <w:r>
        <w:t> </w:t>
      </w:r>
      <w:r w:rsidRPr="00507C45">
        <w:t>z</w:t>
      </w:r>
      <w:r>
        <w:t> </w:t>
      </w:r>
      <w:r w:rsidRPr="00507C45">
        <w:t>17.09.2015</w:t>
      </w:r>
      <w:r>
        <w:t xml:space="preserve"> r.</w:t>
      </w:r>
      <w:r w:rsidRPr="00507C45">
        <w:t>,</w:t>
      </w:r>
      <w:r>
        <w:t xml:space="preserve"> </w:t>
      </w:r>
      <w:r w:rsidRPr="00507C45">
        <w:t>str.</w:t>
      </w:r>
      <w:r>
        <w:t> </w:t>
      </w:r>
      <w:r w:rsidRPr="00507C45">
        <w:t>1).</w:t>
      </w:r>
    </w:p>
    <w:p w:rsidR="006E4487" w:rsidRPr="00507C45" w:rsidRDefault="006E4487" w:rsidP="006E4487">
      <w:pPr>
        <w:pStyle w:val="ARTartustawynprozporzdzenia"/>
      </w:pPr>
      <w:r w:rsidRPr="00507C45">
        <w:t>Zgodnie z § 27 ust. 4 uchwały nr 190 Rady Ministrów z dnia 29 października 2013 r. –Regulamin pracy Rady Ministrów (M. P. z 2016 r. poz. 1006, z późn. zm.) projekt rozporządzenia nie podlega przedstawieniu właściwym organom i instytucjom Unii Europejskiej, w tym Europejskiemu Bankowi Centralnemu, w celu uzyskania opinii, dokonania powiadomienia, konsultacji albo uzgodnienia.</w:t>
      </w:r>
    </w:p>
    <w:p w:rsidR="006E4487" w:rsidRPr="004D20C5" w:rsidRDefault="006E4487" w:rsidP="006E4487">
      <w:pPr>
        <w:pStyle w:val="ARTartustawynprozporzdzenia"/>
      </w:pPr>
      <w:r w:rsidRPr="00507C45">
        <w:t xml:space="preserve">Zgodnie z art. 5 ustawy z dnia 7 lipca 2005 r. o działalności lobbingowej w procesie stanowienia prawa (Dz. U. z 2017 r. poz. 248) oraz § 52 ust. 1 uchwały nr 190 Rady Ministrów z dnia 29 października 2013 r. – Regulamin pracy Rady Ministrów z chwilą skierowania projektu rozporządzenia do uzgodnień międzyresortowych i konsultacji publicznych, przedmiotowy projekt zostanie zamieszczony w Biuletynie Informacji Publicznej </w:t>
      </w:r>
      <w:r>
        <w:t xml:space="preserve">Ministerstwa Rozwoju oraz </w:t>
      </w:r>
      <w:r w:rsidRPr="00507C45">
        <w:t>na stronie podmiotowej Rządowego Centrum Legislacji w zakładce Rządowy Proces Legislacyjny.</w:t>
      </w:r>
    </w:p>
    <w:p w:rsidR="00C74374" w:rsidRDefault="00C74374"/>
    <w:sectPr w:rsidR="00C74374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F6" w:rsidRDefault="004807F6" w:rsidP="00263F15">
      <w:pPr>
        <w:spacing w:line="240" w:lineRule="auto"/>
      </w:pPr>
      <w:r>
        <w:separator/>
      </w:r>
    </w:p>
  </w:endnote>
  <w:endnote w:type="continuationSeparator" w:id="0">
    <w:p w:rsidR="004807F6" w:rsidRDefault="004807F6" w:rsidP="00263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F6" w:rsidRDefault="004807F6" w:rsidP="00263F15">
      <w:pPr>
        <w:spacing w:line="240" w:lineRule="auto"/>
      </w:pPr>
      <w:r>
        <w:separator/>
      </w:r>
    </w:p>
  </w:footnote>
  <w:footnote w:type="continuationSeparator" w:id="0">
    <w:p w:rsidR="004807F6" w:rsidRDefault="004807F6" w:rsidP="00263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6E4487" w:rsidP="00B371CC">
    <w:pPr>
      <w:pStyle w:val="Nagwek"/>
      <w:jc w:val="center"/>
    </w:pPr>
    <w:r>
      <w:t xml:space="preserve">– </w:t>
    </w:r>
    <w:r w:rsidR="00263F15">
      <w:fldChar w:fldCharType="begin"/>
    </w:r>
    <w:r>
      <w:instrText xml:space="preserve"> PAGE  \* MERGEFORMAT </w:instrText>
    </w:r>
    <w:r w:rsidR="00263F15">
      <w:fldChar w:fldCharType="separate"/>
    </w:r>
    <w:r w:rsidR="00D215EA">
      <w:rPr>
        <w:noProof/>
      </w:rPr>
      <w:t>2</w:t>
    </w:r>
    <w:r w:rsidR="00263F15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7"/>
    <w:rsid w:val="00263F15"/>
    <w:rsid w:val="004807F6"/>
    <w:rsid w:val="004A24F2"/>
    <w:rsid w:val="006E4487"/>
    <w:rsid w:val="00901EFD"/>
    <w:rsid w:val="00C74374"/>
    <w:rsid w:val="00D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E448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448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E44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E448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E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448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87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E448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E448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448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E44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E448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E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448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87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E448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&amp; Karina</dc:creator>
  <cp:lastModifiedBy>Joanna Klimczak</cp:lastModifiedBy>
  <cp:revision>2</cp:revision>
  <dcterms:created xsi:type="dcterms:W3CDTF">2020-08-26T14:48:00Z</dcterms:created>
  <dcterms:modified xsi:type="dcterms:W3CDTF">2020-08-26T14:48:00Z</dcterms:modified>
</cp:coreProperties>
</file>