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CF22" w14:textId="6DD022B7" w:rsidR="004125DB" w:rsidRDefault="004125DB" w:rsidP="00CB0280">
      <w:pPr>
        <w:keepNext/>
        <w:suppressAutoHyphens/>
        <w:spacing w:after="0" w:line="276" w:lineRule="auto"/>
        <w:jc w:val="center"/>
        <w:rPr>
          <w:rFonts w:ascii="Times New Roman" w:eastAsia="Times New Roman" w:hAnsi="Times New Roman" w:cs="Times New Roman"/>
          <w:bCs/>
          <w:caps/>
          <w:sz w:val="24"/>
          <w:szCs w:val="24"/>
          <w:lang w:eastAsia="pl-PL"/>
        </w:rPr>
      </w:pPr>
      <w:bookmarkStart w:id="0" w:name="_GoBack"/>
      <w:bookmarkEnd w:id="0"/>
      <w:r w:rsidRPr="000C3D2E">
        <w:rPr>
          <w:rFonts w:ascii="Times New Roman" w:eastAsia="Times New Roman" w:hAnsi="Times New Roman" w:cs="Times New Roman"/>
          <w:bCs/>
          <w:caps/>
          <w:sz w:val="24"/>
          <w:szCs w:val="24"/>
          <w:lang w:eastAsia="pl-PL"/>
        </w:rPr>
        <w:t>Uzasadnienie</w:t>
      </w:r>
    </w:p>
    <w:p w14:paraId="64D0B320" w14:textId="77777777" w:rsidR="00CB0280" w:rsidRPr="000C3D2E" w:rsidRDefault="00CB0280" w:rsidP="0066553A">
      <w:pPr>
        <w:keepNext/>
        <w:suppressAutoHyphens/>
        <w:spacing w:after="0" w:line="276" w:lineRule="auto"/>
        <w:jc w:val="center"/>
        <w:rPr>
          <w:rFonts w:ascii="Times New Roman" w:eastAsia="Times New Roman" w:hAnsi="Times New Roman" w:cs="Times New Roman"/>
          <w:bCs/>
          <w:caps/>
          <w:sz w:val="24"/>
          <w:szCs w:val="24"/>
          <w:lang w:eastAsia="pl-PL"/>
        </w:rPr>
      </w:pPr>
    </w:p>
    <w:p w14:paraId="72FCEC8B" w14:textId="1023C1D5" w:rsidR="004125DB" w:rsidRPr="000C3D2E" w:rsidRDefault="00E50304"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Pr="000C3D2E">
        <w:rPr>
          <w:rFonts w:ascii="Times New Roman" w:eastAsia="Times New Roman" w:hAnsi="Times New Roman" w:cs="Times New Roman"/>
          <w:bCs/>
          <w:sz w:val="24"/>
          <w:szCs w:val="24"/>
          <w:lang w:eastAsia="pl-PL"/>
        </w:rPr>
        <w:t xml:space="preserve">miany </w:t>
      </w:r>
      <w:r>
        <w:rPr>
          <w:rFonts w:ascii="Times New Roman" w:eastAsia="Times New Roman" w:hAnsi="Times New Roman" w:cs="Times New Roman"/>
          <w:bCs/>
          <w:sz w:val="24"/>
          <w:szCs w:val="24"/>
          <w:lang w:eastAsia="pl-PL"/>
        </w:rPr>
        <w:t>z</w:t>
      </w:r>
      <w:r w:rsidRPr="000C3D2E">
        <w:rPr>
          <w:rFonts w:ascii="Times New Roman" w:eastAsia="Times New Roman" w:hAnsi="Times New Roman" w:cs="Times New Roman"/>
          <w:bCs/>
          <w:sz w:val="24"/>
          <w:szCs w:val="24"/>
          <w:lang w:eastAsia="pl-PL"/>
        </w:rPr>
        <w:t xml:space="preserve">aproponowane </w:t>
      </w:r>
      <w:r w:rsidR="004125DB" w:rsidRPr="000C3D2E">
        <w:rPr>
          <w:rFonts w:ascii="Times New Roman" w:eastAsia="Times New Roman" w:hAnsi="Times New Roman" w:cs="Times New Roman"/>
          <w:bCs/>
          <w:sz w:val="24"/>
          <w:szCs w:val="24"/>
          <w:lang w:eastAsia="pl-PL"/>
        </w:rPr>
        <w:t xml:space="preserve">w projekcie ustawy mają na celu ograniczenie obowiązków koncesyjnych dla przedsiębiorców wykonujących działalność gospodarczą w zakresie małych instalacji. Nastąpił to przez podniesienie progu łącznej mocy zainstalowanej elektrycznej lub mocy osiągalnej cieplnej w skojarzeniu dla instalacji odnawialnego źródła energii (OZE), określonej w ustawie </w:t>
      </w:r>
      <w:r w:rsidR="00E66D87" w:rsidRPr="00E66D87">
        <w:rPr>
          <w:rFonts w:ascii="Times New Roman" w:eastAsia="Times New Roman" w:hAnsi="Times New Roman" w:cs="Times New Roman"/>
          <w:bCs/>
          <w:sz w:val="24"/>
          <w:szCs w:val="24"/>
          <w:lang w:eastAsia="pl-PL"/>
        </w:rPr>
        <w:t>z dnia 20 lutego 2015 r. o odnawialnych źródłach energii</w:t>
      </w:r>
      <w:r w:rsidR="0066553A">
        <w:rPr>
          <w:rFonts w:ascii="Times New Roman" w:eastAsia="Times New Roman" w:hAnsi="Times New Roman" w:cs="Times New Roman"/>
          <w:bCs/>
          <w:sz w:val="24"/>
          <w:szCs w:val="24"/>
          <w:lang w:eastAsia="pl-PL"/>
        </w:rPr>
        <w:br/>
      </w:r>
      <w:r w:rsidR="00E66D87" w:rsidRPr="00E66D87">
        <w:rPr>
          <w:rFonts w:ascii="Times New Roman" w:eastAsia="Times New Roman" w:hAnsi="Times New Roman" w:cs="Times New Roman"/>
          <w:bCs/>
          <w:sz w:val="24"/>
          <w:szCs w:val="24"/>
          <w:lang w:eastAsia="pl-PL"/>
        </w:rPr>
        <w:t>(Dz. U. z</w:t>
      </w:r>
      <w:r>
        <w:rPr>
          <w:rFonts w:ascii="Times New Roman" w:eastAsia="Times New Roman" w:hAnsi="Times New Roman" w:cs="Times New Roman"/>
          <w:bCs/>
          <w:sz w:val="24"/>
          <w:szCs w:val="24"/>
          <w:lang w:eastAsia="pl-PL"/>
        </w:rPr>
        <w:t xml:space="preserve"> </w:t>
      </w:r>
      <w:r w:rsidR="00E66D87" w:rsidRPr="00E66D87">
        <w:rPr>
          <w:rFonts w:ascii="Times New Roman" w:eastAsia="Times New Roman" w:hAnsi="Times New Roman" w:cs="Times New Roman"/>
          <w:bCs/>
          <w:sz w:val="24"/>
          <w:szCs w:val="24"/>
          <w:lang w:eastAsia="pl-PL"/>
        </w:rPr>
        <w:t>2020 r. poz. 261</w:t>
      </w:r>
      <w:r w:rsidR="00E66D87">
        <w:rPr>
          <w:rFonts w:ascii="Times New Roman" w:eastAsia="Times New Roman" w:hAnsi="Times New Roman" w:cs="Times New Roman"/>
          <w:bCs/>
          <w:sz w:val="24"/>
          <w:szCs w:val="24"/>
          <w:lang w:eastAsia="pl-PL"/>
        </w:rPr>
        <w:t xml:space="preserve">, z późn. zm.), zwanej dalej „ustawą”, </w:t>
      </w:r>
      <w:r w:rsidR="004125DB" w:rsidRPr="000C3D2E">
        <w:rPr>
          <w:rFonts w:ascii="Times New Roman" w:eastAsia="Times New Roman" w:hAnsi="Times New Roman" w:cs="Times New Roman"/>
          <w:bCs/>
          <w:sz w:val="24"/>
          <w:szCs w:val="24"/>
          <w:lang w:eastAsia="pl-PL"/>
        </w:rPr>
        <w:t xml:space="preserve">jako mała </w:t>
      </w:r>
      <w:r w:rsidR="003E7265" w:rsidRPr="000C3D2E">
        <w:rPr>
          <w:rFonts w:ascii="Times New Roman" w:eastAsia="Times New Roman" w:hAnsi="Times New Roman" w:cs="Times New Roman"/>
          <w:bCs/>
          <w:sz w:val="24"/>
          <w:szCs w:val="24"/>
          <w:lang w:eastAsia="pl-PL"/>
        </w:rPr>
        <w:t>instalacj</w:t>
      </w:r>
      <w:r w:rsidR="003E7265">
        <w:rPr>
          <w:rFonts w:ascii="Times New Roman" w:eastAsia="Times New Roman" w:hAnsi="Times New Roman" w:cs="Times New Roman"/>
          <w:bCs/>
          <w:sz w:val="24"/>
          <w:szCs w:val="24"/>
          <w:lang w:eastAsia="pl-PL"/>
        </w:rPr>
        <w:t>a</w:t>
      </w:r>
      <w:r w:rsidR="004125DB" w:rsidRPr="000C3D2E">
        <w:rPr>
          <w:rFonts w:ascii="Times New Roman" w:eastAsia="Times New Roman" w:hAnsi="Times New Roman" w:cs="Times New Roman"/>
          <w:bCs/>
          <w:sz w:val="24"/>
          <w:szCs w:val="24"/>
          <w:lang w:eastAsia="pl-PL"/>
        </w:rPr>
        <w:t xml:space="preserve">. </w:t>
      </w:r>
    </w:p>
    <w:p w14:paraId="6C0B7C3E" w14:textId="46D53326"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Drugim niezwykle ważnym zagadnieniem jest potwierdzenie na poziomie ustawy dotychczasowej praktyki dotyczącej sposobu określania łącznej mocy zainstalowanej elektrycznej instalacji OZE. Ma to jeszcze większe znaczenie w kontekście perspektywy zmiany kwalifikacji obowiązku - z koncesyjnego na rejestrowy - dla wytwórców energii z OZE w przypadku kilku tysięcy instalacji. Zatem projekt dokonuje ujęcia w przepisach jednego </w:t>
      </w:r>
      <w:r w:rsidRPr="000C3D2E">
        <w:rPr>
          <w:rFonts w:ascii="Times New Roman" w:eastAsia="Times New Roman" w:hAnsi="Times New Roman" w:cs="Times New Roman"/>
          <w:bCs/>
          <w:sz w:val="24"/>
          <w:szCs w:val="24"/>
          <w:lang w:eastAsia="pl-PL"/>
        </w:rPr>
        <w:br/>
        <w:t>z kluczowych elementów</w:t>
      </w:r>
      <w:r w:rsidR="00E66D87">
        <w:rPr>
          <w:rFonts w:ascii="Times New Roman" w:eastAsia="Times New Roman" w:hAnsi="Times New Roman" w:cs="Times New Roman"/>
          <w:bCs/>
          <w:sz w:val="24"/>
          <w:szCs w:val="24"/>
          <w:lang w:eastAsia="pl-PL"/>
        </w:rPr>
        <w:t xml:space="preserve"> (</w:t>
      </w:r>
      <w:r w:rsidRPr="000C3D2E">
        <w:rPr>
          <w:rFonts w:ascii="Times New Roman" w:eastAsia="Times New Roman" w:hAnsi="Times New Roman" w:cs="Times New Roman"/>
          <w:bCs/>
          <w:sz w:val="24"/>
          <w:szCs w:val="24"/>
          <w:lang w:eastAsia="pl-PL"/>
        </w:rPr>
        <w:t>parametrów</w:t>
      </w:r>
      <w:r w:rsidR="00E66D87">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systemu aukcyjnego</w:t>
      </w:r>
      <w:r w:rsidR="00E66D87">
        <w:rPr>
          <w:rFonts w:ascii="Times New Roman" w:eastAsia="Times New Roman" w:hAnsi="Times New Roman" w:cs="Times New Roman"/>
          <w:bCs/>
          <w:sz w:val="24"/>
          <w:szCs w:val="24"/>
          <w:lang w:eastAsia="pl-PL"/>
        </w:rPr>
        <w:t xml:space="preserve"> –</w:t>
      </w:r>
      <w:r w:rsidRPr="000C3D2E">
        <w:rPr>
          <w:rFonts w:ascii="Times New Roman" w:eastAsia="Times New Roman" w:hAnsi="Times New Roman" w:cs="Times New Roman"/>
          <w:bCs/>
          <w:sz w:val="24"/>
          <w:szCs w:val="24"/>
          <w:lang w:eastAsia="pl-PL"/>
        </w:rPr>
        <w:t xml:space="preserve"> </w:t>
      </w:r>
      <w:r w:rsidR="00E66D87">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mocy zainstalowanej elektrycznej</w:t>
      </w:r>
      <w:r w:rsidR="00E66D87">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danej instalacji, determinującej choćby udział we właściwym koszyku aukcyjnym. Należy także podkreślić, że zaprezentowane w projekcie rozwiązanie zostało wypracowane wspólnie z branżą energetyki odnawialnej, w ramach prac jednego </w:t>
      </w:r>
      <w:r w:rsidRPr="000C3D2E">
        <w:rPr>
          <w:rFonts w:ascii="Times New Roman" w:eastAsia="Times New Roman" w:hAnsi="Times New Roman" w:cs="Times New Roman"/>
          <w:bCs/>
          <w:sz w:val="24"/>
          <w:szCs w:val="24"/>
          <w:lang w:eastAsia="pl-PL"/>
        </w:rPr>
        <w:br/>
        <w:t>z zespołów roboczych.</w:t>
      </w:r>
    </w:p>
    <w:p w14:paraId="0FAA4F16" w14:textId="44F45A11"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Nowelizacja wprowadzi z jednej strony ograniczenie obowiązków dla podmiotów chcących wytwarzać energię z małych instalacjach, z drugiej spowoduje przeniesienie </w:t>
      </w:r>
      <w:r w:rsidRPr="000C3D2E">
        <w:rPr>
          <w:rFonts w:ascii="Times New Roman" w:eastAsia="Times New Roman" w:hAnsi="Times New Roman" w:cs="Times New Roman"/>
          <w:bCs/>
          <w:sz w:val="24"/>
          <w:szCs w:val="24"/>
          <w:lang w:eastAsia="pl-PL"/>
        </w:rPr>
        <w:br/>
        <w:t>„z urzędu” przedsiębiorców posiadających koncesję, a których instalacje spełniają warunki określone dla małej instalacji, do rejestru wytwórców energii w małej instalacji</w:t>
      </w:r>
      <w:r w:rsidR="00E66D87">
        <w:rPr>
          <w:rFonts w:ascii="Times New Roman" w:eastAsia="Times New Roman" w:hAnsi="Times New Roman" w:cs="Times New Roman"/>
          <w:bCs/>
          <w:sz w:val="24"/>
          <w:szCs w:val="24"/>
          <w:lang w:eastAsia="pl-PL"/>
        </w:rPr>
        <w:t>.</w:t>
      </w:r>
    </w:p>
    <w:p w14:paraId="13A8BC83" w14:textId="69B71BE1"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W związku ze znacznym zwiększeniem liczby podmiotów (pow</w:t>
      </w:r>
      <w:r w:rsidR="00E66D87">
        <w:rPr>
          <w:rFonts w:ascii="Times New Roman" w:eastAsia="Times New Roman" w:hAnsi="Times New Roman" w:cs="Times New Roman"/>
          <w:sz w:val="24"/>
          <w:szCs w:val="24"/>
          <w:lang w:eastAsia="pl-PL"/>
        </w:rPr>
        <w:t>yżej</w:t>
      </w:r>
      <w:r w:rsidRPr="000C3D2E">
        <w:rPr>
          <w:rFonts w:ascii="Times New Roman" w:eastAsia="Times New Roman" w:hAnsi="Times New Roman" w:cs="Times New Roman"/>
          <w:sz w:val="24"/>
          <w:szCs w:val="24"/>
          <w:lang w:eastAsia="pl-PL"/>
        </w:rPr>
        <w:t xml:space="preserve"> 1400), które uzyskają wpis do rejestru wytwórców energii w małej instalacji, zaproponowano zmianę, w art. 11a ust. 1 ustawy, terminu wpisu do rejestru z dotychczasowego 14 dniu na 21</w:t>
      </w:r>
      <w:r w:rsidR="00E66D87">
        <w:rPr>
          <w:rFonts w:ascii="Times New Roman" w:eastAsia="Times New Roman" w:hAnsi="Times New Roman" w:cs="Times New Roman"/>
          <w:sz w:val="24"/>
          <w:szCs w:val="24"/>
          <w:lang w:eastAsia="pl-PL"/>
        </w:rPr>
        <w:t xml:space="preserve"> dni</w:t>
      </w:r>
      <w:r w:rsidRPr="000C3D2E">
        <w:rPr>
          <w:rFonts w:ascii="Times New Roman" w:eastAsia="Times New Roman" w:hAnsi="Times New Roman" w:cs="Times New Roman"/>
          <w:sz w:val="24"/>
          <w:szCs w:val="24"/>
          <w:lang w:eastAsia="pl-PL"/>
        </w:rPr>
        <w:t>. Z tych samych względów zaproponowano stosowne przedłużenie terminów o 7 dni w następnym ustępie tego artykułu.</w:t>
      </w:r>
    </w:p>
    <w:p w14:paraId="4B54A5F0" w14:textId="32F1D532" w:rsidR="004125DB"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Dla zachowania spójności terminologicznej </w:t>
      </w:r>
      <w:r w:rsidR="00AD530C" w:rsidRPr="000C3D2E">
        <w:rPr>
          <w:rFonts w:ascii="Times New Roman" w:eastAsia="Times New Roman" w:hAnsi="Times New Roman" w:cs="Times New Roman"/>
          <w:sz w:val="24"/>
          <w:szCs w:val="24"/>
          <w:lang w:eastAsia="pl-PL"/>
        </w:rPr>
        <w:t>zaproponowano,</w:t>
      </w:r>
      <w:r w:rsidRPr="000C3D2E">
        <w:rPr>
          <w:rFonts w:ascii="Times New Roman" w:eastAsia="Times New Roman" w:hAnsi="Times New Roman" w:cs="Times New Roman"/>
          <w:sz w:val="24"/>
          <w:szCs w:val="24"/>
          <w:lang w:eastAsia="pl-PL"/>
        </w:rPr>
        <w:t xml:space="preserve"> aby</w:t>
      </w:r>
      <w:r w:rsidR="006254FD">
        <w:rPr>
          <w:rFonts w:ascii="Times New Roman" w:eastAsia="Times New Roman" w:hAnsi="Times New Roman" w:cs="Times New Roman"/>
          <w:sz w:val="24"/>
          <w:szCs w:val="24"/>
          <w:lang w:eastAsia="pl-PL"/>
        </w:rPr>
        <w:t xml:space="preserve"> m.in.</w:t>
      </w:r>
      <w:r w:rsidRPr="000C3D2E">
        <w:rPr>
          <w:rFonts w:ascii="Times New Roman" w:eastAsia="Times New Roman" w:hAnsi="Times New Roman" w:cs="Times New Roman"/>
          <w:sz w:val="24"/>
          <w:szCs w:val="24"/>
          <w:lang w:eastAsia="pl-PL"/>
        </w:rPr>
        <w:t xml:space="preserve"> w art. 70a </w:t>
      </w:r>
      <w:r w:rsidRPr="000C3D2E">
        <w:rPr>
          <w:rFonts w:ascii="Times New Roman" w:eastAsia="Times New Roman" w:hAnsi="Times New Roman" w:cs="Times New Roman"/>
          <w:sz w:val="24"/>
          <w:szCs w:val="24"/>
          <w:lang w:eastAsia="pl-PL"/>
        </w:rPr>
        <w:br/>
        <w:t>ust. 1 we wstępie do wyliczenia wyrazy „w małej instalacji lub w mikroinstalacji” zastąpić wyrazami „w instalacji odnawialnego źródła energii o łącznej mocy zainstalowanej elektrycznej mniejszej niż 500 kW”.</w:t>
      </w:r>
    </w:p>
    <w:p w14:paraId="1E297E46" w14:textId="783463DF" w:rsidR="006254FD" w:rsidRDefault="006254F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Dalsze korekty, w związku ze zmianą definicji małej instalacji zaproponowano </w:t>
      </w:r>
      <w:r>
        <w:rPr>
          <w:rFonts w:ascii="Times New Roman" w:eastAsia="Times New Roman" w:hAnsi="Times New Roman" w:cs="Times New Roman"/>
          <w:sz w:val="24"/>
          <w:szCs w:val="24"/>
          <w:lang w:eastAsia="pl-PL"/>
        </w:rPr>
        <w:br/>
        <w:t xml:space="preserve">w następujących przepisach ustawy: w </w:t>
      </w:r>
      <w:r w:rsidR="00E50004" w:rsidRPr="00E50004">
        <w:rPr>
          <w:rFonts w:ascii="Times New Roman" w:eastAsia="Times New Roman" w:hAnsi="Times New Roman" w:cs="Times New Roman"/>
          <w:sz w:val="24"/>
          <w:szCs w:val="24"/>
          <w:lang w:eastAsia="pl-PL"/>
        </w:rPr>
        <w:t>art. 1 w ust. 1 w pkt 5, w tytule rozdziału 7, w art. 136 w ust. 1 w pkt 2, w art. 136 w ust. 3 w pkt 3, w art. 141 w ust. 1 pkt 4, w art. 142 w pkt 3, w art. 143 w ust. 2 w pkt 3 we wprowadzeniu do wyliczenia, w art. 143 w ust. 2 pkt 3 lit. b, w art. 145 w ust. 1 we wprowadzeniu do wyliczenia, w art. 145 w ust. 1 pkt 1, w art. 152 w części wspólne</w:t>
      </w:r>
      <w:r w:rsidRPr="006254FD">
        <w:rPr>
          <w:rFonts w:ascii="Times New Roman" w:eastAsia="Times New Roman" w:hAnsi="Times New Roman" w:cs="Times New Roman"/>
          <w:sz w:val="24"/>
          <w:szCs w:val="24"/>
          <w:lang w:eastAsia="pl-PL"/>
        </w:rPr>
        <w:t>j</w:t>
      </w:r>
      <w:r w:rsidR="00E50004">
        <w:rPr>
          <w:rFonts w:ascii="Times New Roman" w:eastAsia="Times New Roman" w:hAnsi="Times New Roman" w:cs="Times New Roman"/>
          <w:sz w:val="24"/>
          <w:szCs w:val="24"/>
          <w:lang w:eastAsia="pl-PL"/>
        </w:rPr>
        <w:t>, gdzie</w:t>
      </w:r>
      <w:r>
        <w:rPr>
          <w:rFonts w:ascii="Times New Roman" w:eastAsia="Times New Roman" w:hAnsi="Times New Roman" w:cs="Times New Roman"/>
          <w:sz w:val="24"/>
          <w:szCs w:val="24"/>
          <w:lang w:eastAsia="pl-PL"/>
        </w:rPr>
        <w:t xml:space="preserve"> użyte </w:t>
      </w:r>
      <w:r w:rsidRPr="006254FD">
        <w:rPr>
          <w:rFonts w:ascii="Times New Roman" w:eastAsia="Times New Roman" w:hAnsi="Times New Roman" w:cs="Times New Roman"/>
          <w:sz w:val="24"/>
          <w:szCs w:val="24"/>
          <w:lang w:eastAsia="pl-PL"/>
        </w:rPr>
        <w:t>w różnej liczbie i różnym przypadku, wyrazy „</w:t>
      </w:r>
      <w:r w:rsidR="00E66D87" w:rsidRPr="006254FD">
        <w:rPr>
          <w:rFonts w:ascii="Times New Roman" w:eastAsia="Times New Roman" w:hAnsi="Times New Roman" w:cs="Times New Roman"/>
          <w:sz w:val="24"/>
          <w:szCs w:val="24"/>
          <w:lang w:eastAsia="pl-PL"/>
        </w:rPr>
        <w:t>mał</w:t>
      </w:r>
      <w:r w:rsidR="00E66D87">
        <w:rPr>
          <w:rFonts w:ascii="Times New Roman" w:eastAsia="Times New Roman" w:hAnsi="Times New Roman" w:cs="Times New Roman"/>
          <w:sz w:val="24"/>
          <w:szCs w:val="24"/>
          <w:lang w:eastAsia="pl-PL"/>
        </w:rPr>
        <w:t>a</w:t>
      </w:r>
      <w:r w:rsidR="00E66D87" w:rsidRPr="006254FD">
        <w:rPr>
          <w:rFonts w:ascii="Times New Roman" w:eastAsia="Times New Roman" w:hAnsi="Times New Roman" w:cs="Times New Roman"/>
          <w:sz w:val="24"/>
          <w:szCs w:val="24"/>
          <w:lang w:eastAsia="pl-PL"/>
        </w:rPr>
        <w:t xml:space="preserve"> instalacj</w:t>
      </w:r>
      <w:r w:rsidR="00E66D87">
        <w:rPr>
          <w:rFonts w:ascii="Times New Roman" w:eastAsia="Times New Roman" w:hAnsi="Times New Roman" w:cs="Times New Roman"/>
          <w:sz w:val="24"/>
          <w:szCs w:val="24"/>
          <w:lang w:eastAsia="pl-PL"/>
        </w:rPr>
        <w:t>a</w:t>
      </w:r>
      <w:r w:rsidRPr="006254FD">
        <w:rPr>
          <w:rFonts w:ascii="Times New Roman" w:eastAsia="Times New Roman" w:hAnsi="Times New Roman" w:cs="Times New Roman"/>
          <w:sz w:val="24"/>
          <w:szCs w:val="24"/>
          <w:lang w:eastAsia="pl-PL"/>
        </w:rPr>
        <w:t>” zast</w:t>
      </w:r>
      <w:r w:rsidR="00E50004">
        <w:rPr>
          <w:rFonts w:ascii="Times New Roman" w:eastAsia="Times New Roman" w:hAnsi="Times New Roman" w:cs="Times New Roman"/>
          <w:sz w:val="24"/>
          <w:szCs w:val="24"/>
          <w:lang w:eastAsia="pl-PL"/>
        </w:rPr>
        <w:t>ąpiono</w:t>
      </w:r>
      <w:r w:rsidRPr="006254FD">
        <w:rPr>
          <w:rFonts w:ascii="Times New Roman" w:eastAsia="Times New Roman" w:hAnsi="Times New Roman" w:cs="Times New Roman"/>
          <w:sz w:val="24"/>
          <w:szCs w:val="24"/>
          <w:lang w:eastAsia="pl-PL"/>
        </w:rPr>
        <w:t xml:space="preserve"> użytymi w odpowiedniej liczbie i odpowiednim przypadku wyrazami „</w:t>
      </w:r>
      <w:r w:rsidR="00E66D87" w:rsidRPr="006254FD">
        <w:rPr>
          <w:rFonts w:ascii="Times New Roman" w:eastAsia="Times New Roman" w:hAnsi="Times New Roman" w:cs="Times New Roman"/>
          <w:sz w:val="24"/>
          <w:szCs w:val="24"/>
          <w:lang w:eastAsia="pl-PL"/>
        </w:rPr>
        <w:t>instalacj</w:t>
      </w:r>
      <w:r w:rsidR="00E66D87">
        <w:rPr>
          <w:rFonts w:ascii="Times New Roman" w:eastAsia="Times New Roman" w:hAnsi="Times New Roman" w:cs="Times New Roman"/>
          <w:sz w:val="24"/>
          <w:szCs w:val="24"/>
          <w:lang w:eastAsia="pl-PL"/>
        </w:rPr>
        <w:t>a</w:t>
      </w:r>
      <w:r w:rsidR="00E66D87" w:rsidRPr="006254FD">
        <w:rPr>
          <w:rFonts w:ascii="Times New Roman" w:eastAsia="Times New Roman" w:hAnsi="Times New Roman" w:cs="Times New Roman"/>
          <w:sz w:val="24"/>
          <w:szCs w:val="24"/>
          <w:lang w:eastAsia="pl-PL"/>
        </w:rPr>
        <w:t xml:space="preserve"> </w:t>
      </w:r>
      <w:r w:rsidRPr="006254FD">
        <w:rPr>
          <w:rFonts w:ascii="Times New Roman" w:eastAsia="Times New Roman" w:hAnsi="Times New Roman" w:cs="Times New Roman"/>
          <w:sz w:val="24"/>
          <w:szCs w:val="24"/>
          <w:lang w:eastAsia="pl-PL"/>
        </w:rPr>
        <w:t xml:space="preserve">odnawialnego źródła energii o łącznej mocy zainstalowanej elektrycznej większej niż 50 kW i mniejszej niż 500 kW, </w:t>
      </w:r>
      <w:r w:rsidR="00E66D87" w:rsidRPr="006254FD">
        <w:rPr>
          <w:rFonts w:ascii="Times New Roman" w:eastAsia="Times New Roman" w:hAnsi="Times New Roman" w:cs="Times New Roman"/>
          <w:sz w:val="24"/>
          <w:szCs w:val="24"/>
          <w:lang w:eastAsia="pl-PL"/>
        </w:rPr>
        <w:t>przyłączon</w:t>
      </w:r>
      <w:r w:rsidR="00E66D87">
        <w:rPr>
          <w:rFonts w:ascii="Times New Roman" w:eastAsia="Times New Roman" w:hAnsi="Times New Roman" w:cs="Times New Roman"/>
          <w:sz w:val="24"/>
          <w:szCs w:val="24"/>
          <w:lang w:eastAsia="pl-PL"/>
        </w:rPr>
        <w:t>a</w:t>
      </w:r>
      <w:r w:rsidR="00E66D87" w:rsidRPr="006254FD">
        <w:rPr>
          <w:rFonts w:ascii="Times New Roman" w:eastAsia="Times New Roman" w:hAnsi="Times New Roman" w:cs="Times New Roman"/>
          <w:sz w:val="24"/>
          <w:szCs w:val="24"/>
          <w:lang w:eastAsia="pl-PL"/>
        </w:rPr>
        <w:t xml:space="preserve"> </w:t>
      </w:r>
      <w:r w:rsidRPr="006254FD">
        <w:rPr>
          <w:rFonts w:ascii="Times New Roman" w:eastAsia="Times New Roman" w:hAnsi="Times New Roman" w:cs="Times New Roman"/>
          <w:sz w:val="24"/>
          <w:szCs w:val="24"/>
          <w:lang w:eastAsia="pl-PL"/>
        </w:rPr>
        <w:t xml:space="preserve">do sieci elektroenergetycznej o napięciu znamionowym niższym niż 110 kV albo o mocy osiągalnej cieplnej w skojarzeniu większej niż 150 kW i nie </w:t>
      </w:r>
      <w:r w:rsidRPr="006254FD">
        <w:rPr>
          <w:rFonts w:ascii="Times New Roman" w:eastAsia="Times New Roman" w:hAnsi="Times New Roman" w:cs="Times New Roman"/>
          <w:sz w:val="24"/>
          <w:szCs w:val="24"/>
          <w:lang w:eastAsia="pl-PL"/>
        </w:rPr>
        <w:lastRenderedPageBreak/>
        <w:t>większej niż 900 kW, w której łączna moc zainstalowana elektryczna jest większa niż 50 kW i mniejsza niż 500 kW</w:t>
      </w:r>
      <w:r>
        <w:rPr>
          <w:rFonts w:ascii="Times New Roman" w:eastAsia="Times New Roman" w:hAnsi="Times New Roman" w:cs="Times New Roman"/>
          <w:sz w:val="24"/>
          <w:szCs w:val="24"/>
          <w:lang w:eastAsia="pl-PL"/>
        </w:rPr>
        <w:t>.</w:t>
      </w:r>
    </w:p>
    <w:p w14:paraId="724C8FC7" w14:textId="4D6FE3CC" w:rsidR="006254FD" w:rsidRPr="006254FD" w:rsidRDefault="006254F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ocenie wnioskodawcy zmiana definicji małej instalacji nie niesie konieczności zmian </w:t>
      </w:r>
      <w:r w:rsidR="00E50004">
        <w:rPr>
          <w:rFonts w:ascii="Times New Roman" w:eastAsia="Times New Roman" w:hAnsi="Times New Roman" w:cs="Times New Roman"/>
          <w:sz w:val="24"/>
          <w:szCs w:val="24"/>
          <w:lang w:eastAsia="pl-PL"/>
        </w:rPr>
        <w:t>w innych przepisach, w tym m.in. w</w:t>
      </w:r>
      <w:r>
        <w:rPr>
          <w:rFonts w:ascii="Times New Roman" w:eastAsia="Times New Roman" w:hAnsi="Times New Roman" w:cs="Times New Roman"/>
          <w:sz w:val="24"/>
          <w:szCs w:val="24"/>
          <w:lang w:eastAsia="pl-PL"/>
        </w:rPr>
        <w:t xml:space="preserve">: </w:t>
      </w:r>
      <w:r w:rsidRPr="006254FD">
        <w:rPr>
          <w:rFonts w:ascii="Times New Roman" w:eastAsia="Times New Roman" w:hAnsi="Times New Roman" w:cs="Times New Roman"/>
          <w:sz w:val="24"/>
          <w:szCs w:val="24"/>
          <w:lang w:eastAsia="pl-PL"/>
        </w:rPr>
        <w:t>art. 44 ust. 3, art. 45 ust. 2 pkt 7, art. 70b ust. 3 pkt 6, art. 71 ust. 3, art. 73 ust. 2, art. 75 ust. 4 pkt 4, art. 79 ust. 3 pkt 9</w:t>
      </w:r>
      <w:r>
        <w:rPr>
          <w:rFonts w:ascii="Times New Roman" w:eastAsia="Times New Roman" w:hAnsi="Times New Roman" w:cs="Times New Roman"/>
          <w:sz w:val="24"/>
          <w:szCs w:val="24"/>
          <w:lang w:eastAsia="pl-PL"/>
        </w:rPr>
        <w:t>.</w:t>
      </w:r>
    </w:p>
    <w:p w14:paraId="096EB272" w14:textId="77777777" w:rsidR="00323FA1" w:rsidRPr="000C3D2E" w:rsidRDefault="00323FA1"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rPr>
      </w:pPr>
      <w:r w:rsidRPr="000C3D2E">
        <w:rPr>
          <w:rFonts w:ascii="Times New Roman" w:eastAsia="Times New Roman" w:hAnsi="Times New Roman" w:cs="Times New Roman"/>
          <w:sz w:val="24"/>
          <w:szCs w:val="24"/>
          <w:lang w:eastAsia="pl-PL"/>
        </w:rPr>
        <w:t xml:space="preserve">Trzecim obszarem zmian jest </w:t>
      </w:r>
      <w:r w:rsidRPr="000C3D2E">
        <w:rPr>
          <w:rFonts w:ascii="Times New Roman" w:eastAsia="Times New Roman" w:hAnsi="Times New Roman" w:cs="Times New Roman"/>
          <w:sz w:val="24"/>
          <w:szCs w:val="24"/>
        </w:rPr>
        <w:t>przedłużenie maksymalnego okresu</w:t>
      </w:r>
      <w:r w:rsidRPr="000C3D2E">
        <w:rPr>
          <w:rFonts w:ascii="Times New Roman" w:eastAsia="Times New Roman" w:hAnsi="Times New Roman" w:cs="Times New Roman"/>
          <w:sz w:val="24"/>
          <w:szCs w:val="24"/>
          <w:lang w:eastAsia="pl-PL"/>
        </w:rPr>
        <w:t>:</w:t>
      </w:r>
    </w:p>
    <w:p w14:paraId="76C0731D" w14:textId="77777777" w:rsidR="00323FA1" w:rsidRPr="000C3D2E" w:rsidRDefault="00323FA1"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0C3D2E">
        <w:rPr>
          <w:rFonts w:ascii="Times New Roman" w:eastAsia="Times New Roman" w:hAnsi="Times New Roman" w:cs="Times New Roman"/>
          <w:sz w:val="24"/>
          <w:szCs w:val="24"/>
          <w:lang w:eastAsia="pl-PL"/>
        </w:rPr>
        <w:t>obowiązywania mechanizmu</w:t>
      </w:r>
      <w:r w:rsidRPr="000C3D2E">
        <w:rPr>
          <w:rFonts w:ascii="Times New Roman" w:eastAsia="Times New Roman" w:hAnsi="Times New Roman" w:cs="Times New Roman"/>
          <w:sz w:val="24"/>
          <w:szCs w:val="24"/>
        </w:rPr>
        <w:t xml:space="preserve"> </w:t>
      </w:r>
      <w:r w:rsidRPr="000C3D2E">
        <w:rPr>
          <w:rFonts w:ascii="Times New Roman" w:eastAsia="Times New Roman" w:hAnsi="Times New Roman" w:cs="Times New Roman"/>
          <w:sz w:val="24"/>
          <w:szCs w:val="24"/>
          <w:lang w:eastAsia="pl-PL"/>
        </w:rPr>
        <w:t>rozliczeń „opustu”</w:t>
      </w:r>
      <w:r w:rsidRPr="000C3D2E">
        <w:rPr>
          <w:rFonts w:ascii="Times New Roman" w:eastAsia="Times New Roman" w:hAnsi="Times New Roman" w:cs="Times New Roman"/>
          <w:sz w:val="24"/>
          <w:szCs w:val="24"/>
        </w:rPr>
        <w:t xml:space="preserve"> w ramach systemu prosumenckiego</w:t>
      </w:r>
      <w:r w:rsidRPr="000C3D2E">
        <w:rPr>
          <w:rFonts w:ascii="Times New Roman" w:eastAsia="Times New Roman" w:hAnsi="Times New Roman" w:cs="Times New Roman"/>
          <w:sz w:val="24"/>
          <w:szCs w:val="24"/>
          <w:lang w:eastAsia="pl-PL"/>
        </w:rPr>
        <w:t>;</w:t>
      </w:r>
    </w:p>
    <w:p w14:paraId="500D061D" w14:textId="77777777" w:rsidR="00323FA1" w:rsidRPr="000C3D2E" w:rsidRDefault="00323FA1"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obowiązku zakupu niewykorzystanej energii elektrycznej przez mikroinstalacje OZE działające poza systemem prosumenckim;</w:t>
      </w:r>
    </w:p>
    <w:p w14:paraId="1EB053A4" w14:textId="29BB4F45" w:rsidR="00323FA1" w:rsidRPr="000C3D2E" w:rsidRDefault="00323FA1"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iCs/>
          <w:sz w:val="24"/>
          <w:szCs w:val="24"/>
          <w:lang w:eastAsia="pl-PL"/>
        </w:rPr>
      </w:pPr>
      <w:r w:rsidRPr="000C3D2E">
        <w:rPr>
          <w:rFonts w:ascii="Times New Roman" w:eastAsia="Times New Roman" w:hAnsi="Times New Roman" w:cs="Times New Roman"/>
          <w:iCs/>
          <w:sz w:val="24"/>
          <w:szCs w:val="24"/>
          <w:lang w:eastAsia="pl-PL"/>
        </w:rPr>
        <w:t xml:space="preserve">obowiązku zakupu niewykorzystanej energii elektrycznej po stałej cenie albo prawa do dopłaty do ceny rynkowej energii elektrycznej w ramach </w:t>
      </w:r>
      <w:bookmarkStart w:id="1" w:name="_Hlk39689481"/>
      <w:r w:rsidRPr="000C3D2E">
        <w:rPr>
          <w:rFonts w:ascii="Times New Roman" w:eastAsia="Times New Roman" w:hAnsi="Times New Roman" w:cs="Times New Roman"/>
          <w:iCs/>
          <w:sz w:val="24"/>
          <w:szCs w:val="24"/>
          <w:lang w:eastAsia="pl-PL"/>
        </w:rPr>
        <w:t xml:space="preserve">systemów FIT </w:t>
      </w:r>
      <w:r w:rsidR="00485285">
        <w:rPr>
          <w:rFonts w:ascii="Times New Roman" w:eastAsia="Times New Roman" w:hAnsi="Times New Roman" w:cs="Times New Roman"/>
          <w:iCs/>
          <w:sz w:val="24"/>
          <w:szCs w:val="24"/>
          <w:lang w:eastAsia="pl-PL"/>
        </w:rPr>
        <w:t>oraz</w:t>
      </w:r>
      <w:r w:rsidR="00485285" w:rsidRPr="000C3D2E">
        <w:rPr>
          <w:rFonts w:ascii="Times New Roman" w:eastAsia="Times New Roman" w:hAnsi="Times New Roman" w:cs="Times New Roman"/>
          <w:iCs/>
          <w:sz w:val="24"/>
          <w:szCs w:val="24"/>
          <w:lang w:eastAsia="pl-PL"/>
        </w:rPr>
        <w:t xml:space="preserve"> </w:t>
      </w:r>
      <w:r w:rsidRPr="000C3D2E">
        <w:rPr>
          <w:rFonts w:ascii="Times New Roman" w:eastAsia="Times New Roman" w:hAnsi="Times New Roman" w:cs="Times New Roman"/>
          <w:iCs/>
          <w:sz w:val="24"/>
          <w:szCs w:val="24"/>
          <w:lang w:eastAsia="pl-PL"/>
        </w:rPr>
        <w:t>FIP;</w:t>
      </w:r>
      <w:bookmarkEnd w:id="1"/>
    </w:p>
    <w:p w14:paraId="6D856A88" w14:textId="23F97733" w:rsidR="00323FA1" w:rsidRPr="000C3D2E" w:rsidRDefault="00C057DC"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iCs/>
          <w:sz w:val="24"/>
          <w:szCs w:val="24"/>
          <w:lang w:eastAsia="pl-PL"/>
        </w:rPr>
      </w:pPr>
      <w:r w:rsidRPr="000C3D2E">
        <w:rPr>
          <w:rFonts w:ascii="Times New Roman" w:eastAsia="Times New Roman" w:hAnsi="Times New Roman" w:cs="Times New Roman"/>
          <w:iCs/>
          <w:sz w:val="24"/>
          <w:szCs w:val="24"/>
          <w:lang w:eastAsia="pl-PL"/>
        </w:rPr>
        <w:t xml:space="preserve">obowiązku zakupu energii elektrycznej po stałej cenie albo prawa do dopłaty do ceny rynkowej energii elektrycznej w ramach </w:t>
      </w:r>
      <w:r w:rsidR="00323FA1" w:rsidRPr="000C3D2E">
        <w:rPr>
          <w:rFonts w:ascii="Times New Roman" w:eastAsia="Times New Roman" w:hAnsi="Times New Roman" w:cs="Times New Roman"/>
          <w:iCs/>
          <w:sz w:val="24"/>
          <w:szCs w:val="24"/>
          <w:lang w:eastAsia="pl-PL"/>
        </w:rPr>
        <w:t xml:space="preserve">systemu aukcyjnego </w:t>
      </w:r>
    </w:p>
    <w:p w14:paraId="3254C6D6" w14:textId="60A0E836" w:rsidR="00323FA1" w:rsidRPr="000C3D2E" w:rsidRDefault="00323FA1" w:rsidP="0066553A">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 do dnia </w:t>
      </w:r>
      <w:r w:rsidR="006254FD">
        <w:rPr>
          <w:rFonts w:ascii="Times New Roman" w:eastAsia="Times New Roman" w:hAnsi="Times New Roman" w:cs="Times New Roman"/>
          <w:sz w:val="24"/>
          <w:szCs w:val="24"/>
          <w:lang w:eastAsia="pl-PL"/>
        </w:rPr>
        <w:t>30 czerwca</w:t>
      </w:r>
      <w:r w:rsidRPr="000C3D2E">
        <w:rPr>
          <w:rFonts w:ascii="Times New Roman" w:eastAsia="Times New Roman" w:hAnsi="Times New Roman" w:cs="Times New Roman"/>
          <w:sz w:val="24"/>
          <w:szCs w:val="24"/>
          <w:lang w:eastAsia="pl-PL"/>
        </w:rPr>
        <w:t xml:space="preserve"> 2045 r.</w:t>
      </w:r>
    </w:p>
    <w:p w14:paraId="795CDB14" w14:textId="11DCD200" w:rsidR="00323FA1" w:rsidRDefault="004A2C43"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6C1B1A">
        <w:rPr>
          <w:rFonts w:ascii="Times New Roman" w:eastAsia="Times New Roman" w:hAnsi="Times New Roman" w:cs="Times New Roman"/>
          <w:sz w:val="24"/>
          <w:szCs w:val="24"/>
          <w:lang w:eastAsia="pl-PL"/>
        </w:rPr>
        <w:t xml:space="preserve">Należy przy tym wyjaśnić, iż </w:t>
      </w:r>
      <w:r w:rsidRPr="006C1B1A">
        <w:rPr>
          <w:rFonts w:ascii="Times New Roman" w:eastAsia="Times New Roman" w:hAnsi="Times New Roman" w:cs="Times New Roman"/>
          <w:sz w:val="24"/>
          <w:szCs w:val="24"/>
        </w:rPr>
        <w:t xml:space="preserve">przedłużenie </w:t>
      </w:r>
      <w:r w:rsidR="00104786" w:rsidRPr="006C1B1A">
        <w:rPr>
          <w:rFonts w:ascii="Times New Roman" w:eastAsia="Times New Roman" w:hAnsi="Times New Roman" w:cs="Times New Roman"/>
          <w:sz w:val="24"/>
          <w:szCs w:val="24"/>
        </w:rPr>
        <w:t xml:space="preserve">możliwości udzielenia pomocy publicznej </w:t>
      </w:r>
      <w:r w:rsidR="00C057DC" w:rsidRPr="006C1B1A">
        <w:rPr>
          <w:rFonts w:ascii="Times New Roman" w:eastAsia="Times New Roman" w:hAnsi="Times New Roman" w:cs="Times New Roman"/>
          <w:sz w:val="24"/>
          <w:szCs w:val="24"/>
        </w:rPr>
        <w:br/>
      </w:r>
      <w:r w:rsidR="00104786" w:rsidRPr="006C1B1A">
        <w:rPr>
          <w:rFonts w:ascii="Times New Roman" w:eastAsia="Times New Roman" w:hAnsi="Times New Roman" w:cs="Times New Roman"/>
          <w:sz w:val="24"/>
          <w:szCs w:val="24"/>
        </w:rPr>
        <w:t xml:space="preserve">w ramach mechanizmów </w:t>
      </w:r>
      <w:r w:rsidRPr="006C1B1A">
        <w:rPr>
          <w:rFonts w:ascii="Times New Roman" w:eastAsia="Times New Roman" w:hAnsi="Times New Roman" w:cs="Times New Roman"/>
          <w:sz w:val="24"/>
          <w:szCs w:val="24"/>
        </w:rPr>
        <w:t>określonych w</w:t>
      </w:r>
      <w:r w:rsidRPr="006C1B1A">
        <w:rPr>
          <w:rFonts w:ascii="Times New Roman" w:eastAsia="Times New Roman" w:hAnsi="Times New Roman" w:cs="Times New Roman"/>
          <w:sz w:val="24"/>
          <w:szCs w:val="24"/>
          <w:lang w:eastAsia="pl-PL"/>
        </w:rPr>
        <w:t xml:space="preserve"> pkt 3 i 4</w:t>
      </w:r>
      <w:r w:rsidR="00104786" w:rsidRPr="006C1B1A">
        <w:rPr>
          <w:rFonts w:ascii="Times New Roman" w:eastAsia="Times New Roman" w:hAnsi="Times New Roman" w:cs="Times New Roman"/>
          <w:sz w:val="24"/>
          <w:szCs w:val="24"/>
          <w:lang w:eastAsia="pl-PL"/>
        </w:rPr>
        <w:t xml:space="preserve"> liczy się nie maksymalnym terminem realizacji </w:t>
      </w:r>
      <w:r w:rsidR="00DA1E62" w:rsidRPr="006C1B1A">
        <w:rPr>
          <w:rFonts w:ascii="Times New Roman" w:eastAsia="Times New Roman" w:hAnsi="Times New Roman" w:cs="Times New Roman"/>
          <w:sz w:val="24"/>
          <w:szCs w:val="24"/>
          <w:lang w:eastAsia="pl-PL"/>
        </w:rPr>
        <w:t xml:space="preserve">zawartego w nim </w:t>
      </w:r>
      <w:r w:rsidR="00104786" w:rsidRPr="006C1B1A">
        <w:rPr>
          <w:rFonts w:ascii="Times New Roman" w:eastAsia="Times New Roman" w:hAnsi="Times New Roman" w:cs="Times New Roman"/>
          <w:sz w:val="24"/>
          <w:szCs w:val="24"/>
          <w:lang w:eastAsia="pl-PL"/>
        </w:rPr>
        <w:t xml:space="preserve">obowiązku, </w:t>
      </w:r>
      <w:r w:rsidR="00DA1E62" w:rsidRPr="006C1B1A">
        <w:rPr>
          <w:rFonts w:ascii="Times New Roman" w:eastAsia="Times New Roman" w:hAnsi="Times New Roman" w:cs="Times New Roman"/>
          <w:sz w:val="24"/>
          <w:szCs w:val="24"/>
          <w:lang w:eastAsia="pl-PL"/>
        </w:rPr>
        <w:t xml:space="preserve">a maksymalnym </w:t>
      </w:r>
      <w:r w:rsidR="00104786" w:rsidRPr="006C1B1A">
        <w:rPr>
          <w:rFonts w:ascii="Times New Roman" w:eastAsia="Times New Roman" w:hAnsi="Times New Roman" w:cs="Times New Roman"/>
          <w:sz w:val="24"/>
          <w:szCs w:val="24"/>
          <w:lang w:eastAsia="pl-PL"/>
        </w:rPr>
        <w:t>terminem udzielenia pomocy publicznej</w:t>
      </w:r>
      <w:r w:rsidR="00DA1E62" w:rsidRPr="006C1B1A">
        <w:rPr>
          <w:rFonts w:ascii="Times New Roman" w:eastAsia="Times New Roman" w:hAnsi="Times New Roman" w:cs="Times New Roman"/>
          <w:sz w:val="24"/>
          <w:szCs w:val="24"/>
          <w:lang w:eastAsia="pl-PL"/>
        </w:rPr>
        <w:t>. Termin ten</w:t>
      </w:r>
      <w:r w:rsidR="00104786" w:rsidRPr="006C1B1A">
        <w:rPr>
          <w:rFonts w:ascii="Times New Roman" w:eastAsia="Times New Roman" w:hAnsi="Times New Roman" w:cs="Times New Roman"/>
          <w:sz w:val="24"/>
          <w:szCs w:val="24"/>
          <w:lang w:eastAsia="pl-PL"/>
        </w:rPr>
        <w:t xml:space="preserve"> został określony w art. 92 ust. 1 i 5 ustawy. Stąd </w:t>
      </w:r>
      <w:r w:rsidR="00DA1E62" w:rsidRPr="006C1B1A">
        <w:rPr>
          <w:rFonts w:ascii="Times New Roman" w:eastAsia="Times New Roman" w:hAnsi="Times New Roman" w:cs="Times New Roman"/>
          <w:sz w:val="24"/>
          <w:szCs w:val="24"/>
          <w:lang w:eastAsia="pl-PL"/>
        </w:rPr>
        <w:t xml:space="preserve">zgodnie z projektowaną zmianą maksymalny termin udzielenia pomocy publicznej w ramach </w:t>
      </w:r>
      <w:r w:rsidR="00DA1E62" w:rsidRPr="006C1B1A">
        <w:rPr>
          <w:rFonts w:ascii="Times New Roman" w:eastAsia="Times New Roman" w:hAnsi="Times New Roman" w:cs="Times New Roman"/>
          <w:iCs/>
          <w:sz w:val="24"/>
          <w:szCs w:val="24"/>
          <w:lang w:eastAsia="pl-PL"/>
        </w:rPr>
        <w:t xml:space="preserve">systemu aukcyjnego oraz systemów FIT </w:t>
      </w:r>
      <w:r w:rsidR="00C057DC" w:rsidRPr="006C1B1A">
        <w:rPr>
          <w:rFonts w:ascii="Times New Roman" w:eastAsia="Times New Roman" w:hAnsi="Times New Roman" w:cs="Times New Roman"/>
          <w:iCs/>
          <w:sz w:val="24"/>
          <w:szCs w:val="24"/>
          <w:lang w:eastAsia="pl-PL"/>
        </w:rPr>
        <w:t>i</w:t>
      </w:r>
      <w:r w:rsidR="00DA1E62" w:rsidRPr="006C1B1A">
        <w:rPr>
          <w:rFonts w:ascii="Times New Roman" w:eastAsia="Times New Roman" w:hAnsi="Times New Roman" w:cs="Times New Roman"/>
          <w:iCs/>
          <w:sz w:val="24"/>
          <w:szCs w:val="24"/>
          <w:lang w:eastAsia="pl-PL"/>
        </w:rPr>
        <w:t xml:space="preserve"> FIP z</w:t>
      </w:r>
      <w:r w:rsidR="00DA1E62" w:rsidRPr="006C1B1A">
        <w:rPr>
          <w:rFonts w:ascii="Times New Roman" w:eastAsiaTheme="minorEastAsia" w:hAnsi="Times New Roman" w:cs="Times New Roman"/>
          <w:sz w:val="24"/>
          <w:szCs w:val="24"/>
          <w:lang w:eastAsia="pl-PL"/>
        </w:rPr>
        <w:t xml:space="preserve"> </w:t>
      </w:r>
      <w:r w:rsidR="00DA1E62" w:rsidRPr="006C1B1A">
        <w:rPr>
          <w:rFonts w:ascii="Times New Roman" w:eastAsia="Times New Roman" w:hAnsi="Times New Roman" w:cs="Times New Roman"/>
          <w:iCs/>
          <w:sz w:val="24"/>
          <w:szCs w:val="24"/>
          <w:lang w:eastAsia="pl-PL"/>
        </w:rPr>
        <w:t>„30 czerwca 2021 r.” przedłuż</w:t>
      </w:r>
      <w:r w:rsidR="00365E9B" w:rsidRPr="006C1B1A">
        <w:rPr>
          <w:rFonts w:ascii="Times New Roman" w:eastAsia="Times New Roman" w:hAnsi="Times New Roman" w:cs="Times New Roman"/>
          <w:iCs/>
          <w:sz w:val="24"/>
          <w:szCs w:val="24"/>
          <w:lang w:eastAsia="pl-PL"/>
        </w:rPr>
        <w:t>a się</w:t>
      </w:r>
      <w:r w:rsidR="00DA1E62" w:rsidRPr="006C1B1A">
        <w:rPr>
          <w:rFonts w:ascii="Times New Roman" w:eastAsia="Times New Roman" w:hAnsi="Times New Roman" w:cs="Times New Roman"/>
          <w:iCs/>
          <w:sz w:val="24"/>
          <w:szCs w:val="24"/>
          <w:lang w:eastAsia="pl-PL"/>
        </w:rPr>
        <w:t xml:space="preserve"> do „3</w:t>
      </w:r>
      <w:r w:rsidR="00587A1B">
        <w:rPr>
          <w:rFonts w:ascii="Times New Roman" w:eastAsia="Times New Roman" w:hAnsi="Times New Roman" w:cs="Times New Roman"/>
          <w:iCs/>
          <w:sz w:val="24"/>
          <w:szCs w:val="24"/>
          <w:lang w:eastAsia="pl-PL"/>
        </w:rPr>
        <w:t>0</w:t>
      </w:r>
      <w:r w:rsidR="00DA1E62" w:rsidRPr="006C1B1A">
        <w:rPr>
          <w:rFonts w:ascii="Times New Roman" w:eastAsia="Times New Roman" w:hAnsi="Times New Roman" w:cs="Times New Roman"/>
          <w:iCs/>
          <w:sz w:val="24"/>
          <w:szCs w:val="24"/>
          <w:lang w:eastAsia="pl-PL"/>
        </w:rPr>
        <w:t xml:space="preserve"> </w:t>
      </w:r>
      <w:r w:rsidR="00587A1B">
        <w:rPr>
          <w:rFonts w:ascii="Times New Roman" w:eastAsia="Times New Roman" w:hAnsi="Times New Roman" w:cs="Times New Roman"/>
          <w:iCs/>
          <w:sz w:val="24"/>
          <w:szCs w:val="24"/>
          <w:lang w:eastAsia="pl-PL"/>
        </w:rPr>
        <w:t>czerwca</w:t>
      </w:r>
      <w:r w:rsidR="00587A1B" w:rsidRPr="006C1B1A">
        <w:rPr>
          <w:rFonts w:ascii="Times New Roman" w:eastAsia="Times New Roman" w:hAnsi="Times New Roman" w:cs="Times New Roman"/>
          <w:iCs/>
          <w:sz w:val="24"/>
          <w:szCs w:val="24"/>
          <w:lang w:eastAsia="pl-PL"/>
        </w:rPr>
        <w:t xml:space="preserve"> </w:t>
      </w:r>
      <w:r w:rsidR="00DA1E62" w:rsidRPr="006C1B1A">
        <w:rPr>
          <w:rFonts w:ascii="Times New Roman" w:eastAsia="Times New Roman" w:hAnsi="Times New Roman" w:cs="Times New Roman"/>
          <w:iCs/>
          <w:sz w:val="24"/>
          <w:szCs w:val="24"/>
          <w:lang w:eastAsia="pl-PL"/>
        </w:rPr>
        <w:t>202</w:t>
      </w:r>
      <w:r w:rsidR="00A5271A" w:rsidRPr="006C1B1A">
        <w:rPr>
          <w:rFonts w:ascii="Times New Roman" w:eastAsia="Times New Roman" w:hAnsi="Times New Roman" w:cs="Times New Roman"/>
          <w:iCs/>
          <w:sz w:val="24"/>
          <w:szCs w:val="24"/>
          <w:lang w:eastAsia="pl-PL"/>
        </w:rPr>
        <w:t>6</w:t>
      </w:r>
      <w:r w:rsidR="00DA1E62" w:rsidRPr="006C1B1A">
        <w:rPr>
          <w:rFonts w:ascii="Times New Roman" w:eastAsia="Times New Roman" w:hAnsi="Times New Roman" w:cs="Times New Roman"/>
          <w:iCs/>
          <w:sz w:val="24"/>
          <w:szCs w:val="24"/>
          <w:lang w:eastAsia="pl-PL"/>
        </w:rPr>
        <w:t xml:space="preserve"> r.”, czyli o </w:t>
      </w:r>
      <w:r w:rsidR="00A5271A" w:rsidRPr="006C1B1A">
        <w:rPr>
          <w:rFonts w:ascii="Times New Roman" w:eastAsia="Times New Roman" w:hAnsi="Times New Roman" w:cs="Times New Roman"/>
          <w:iCs/>
          <w:sz w:val="24"/>
          <w:szCs w:val="24"/>
          <w:lang w:eastAsia="pl-PL"/>
        </w:rPr>
        <w:t>5</w:t>
      </w:r>
      <w:r w:rsidR="00DA1E62" w:rsidRPr="006C1B1A">
        <w:rPr>
          <w:rFonts w:ascii="Times New Roman" w:eastAsia="Times New Roman" w:hAnsi="Times New Roman" w:cs="Times New Roman"/>
          <w:iCs/>
          <w:sz w:val="24"/>
          <w:szCs w:val="24"/>
          <w:lang w:eastAsia="pl-PL"/>
        </w:rPr>
        <w:t xml:space="preserve"> </w:t>
      </w:r>
      <w:r w:rsidR="00587A1B">
        <w:rPr>
          <w:rFonts w:ascii="Times New Roman" w:eastAsia="Times New Roman" w:hAnsi="Times New Roman" w:cs="Times New Roman"/>
          <w:iCs/>
          <w:sz w:val="24"/>
          <w:szCs w:val="24"/>
          <w:lang w:eastAsia="pl-PL"/>
        </w:rPr>
        <w:t>lat</w:t>
      </w:r>
      <w:r w:rsidR="00DA1E62" w:rsidRPr="006C1B1A">
        <w:rPr>
          <w:rFonts w:ascii="Times New Roman" w:eastAsia="Times New Roman" w:hAnsi="Times New Roman" w:cs="Times New Roman"/>
          <w:iCs/>
          <w:sz w:val="24"/>
          <w:szCs w:val="24"/>
          <w:lang w:eastAsia="pl-PL"/>
        </w:rPr>
        <w:t xml:space="preserve">. Zaprezentowane przedłużenie, </w:t>
      </w:r>
      <w:r w:rsidR="001C227A" w:rsidRPr="006C1B1A">
        <w:rPr>
          <w:rFonts w:ascii="Times New Roman" w:eastAsia="Times New Roman" w:hAnsi="Times New Roman" w:cs="Times New Roman"/>
          <w:sz w:val="24"/>
          <w:szCs w:val="24"/>
          <w:lang w:eastAsia="pl-PL"/>
        </w:rPr>
        <w:t>jakkolwiek</w:t>
      </w:r>
      <w:r w:rsidR="00323FA1" w:rsidRPr="006C1B1A">
        <w:rPr>
          <w:rFonts w:ascii="Times New Roman" w:eastAsia="Times New Roman" w:hAnsi="Times New Roman" w:cs="Times New Roman"/>
          <w:sz w:val="24"/>
          <w:szCs w:val="24"/>
          <w:lang w:eastAsia="pl-PL"/>
        </w:rPr>
        <w:t xml:space="preserve"> zgodne z zasadami przedłużenia okresu obowiązywania lub rozszerzeni</w:t>
      </w:r>
      <w:r w:rsidR="00C057DC" w:rsidRPr="006C1B1A">
        <w:rPr>
          <w:rFonts w:ascii="Times New Roman" w:eastAsia="Times New Roman" w:hAnsi="Times New Roman" w:cs="Times New Roman"/>
          <w:sz w:val="24"/>
          <w:szCs w:val="24"/>
          <w:lang w:eastAsia="pl-PL"/>
        </w:rPr>
        <w:t>a</w:t>
      </w:r>
      <w:r w:rsidR="00323FA1" w:rsidRPr="006C1B1A">
        <w:rPr>
          <w:rFonts w:ascii="Times New Roman" w:eastAsia="Times New Roman" w:hAnsi="Times New Roman" w:cs="Times New Roman"/>
          <w:sz w:val="24"/>
          <w:szCs w:val="24"/>
          <w:lang w:eastAsia="pl-PL"/>
        </w:rPr>
        <w:t xml:space="preserve"> zakresu istniejących programów</w:t>
      </w:r>
      <w:r w:rsidR="00365E9B" w:rsidRPr="006C1B1A">
        <w:rPr>
          <w:rFonts w:ascii="Times New Roman" w:eastAsia="Times New Roman" w:hAnsi="Times New Roman" w:cs="Times New Roman"/>
          <w:sz w:val="24"/>
          <w:szCs w:val="24"/>
          <w:lang w:eastAsia="pl-PL"/>
        </w:rPr>
        <w:t xml:space="preserve"> </w:t>
      </w:r>
      <w:r w:rsidR="00323FA1" w:rsidRPr="006C1B1A">
        <w:rPr>
          <w:rFonts w:ascii="Times New Roman" w:eastAsia="Times New Roman" w:hAnsi="Times New Roman" w:cs="Times New Roman"/>
          <w:sz w:val="24"/>
          <w:szCs w:val="24"/>
          <w:lang w:eastAsia="pl-PL"/>
        </w:rPr>
        <w:t>przewidzian</w:t>
      </w:r>
      <w:r w:rsidR="00C057DC" w:rsidRPr="006C1B1A">
        <w:rPr>
          <w:rFonts w:ascii="Times New Roman" w:eastAsia="Times New Roman" w:hAnsi="Times New Roman" w:cs="Times New Roman"/>
          <w:sz w:val="24"/>
          <w:szCs w:val="24"/>
          <w:lang w:eastAsia="pl-PL"/>
        </w:rPr>
        <w:t>ymi</w:t>
      </w:r>
      <w:r w:rsidR="00323FA1" w:rsidRPr="006C1B1A">
        <w:rPr>
          <w:rFonts w:ascii="Times New Roman" w:eastAsia="Times New Roman" w:hAnsi="Times New Roman" w:cs="Times New Roman"/>
          <w:sz w:val="24"/>
          <w:szCs w:val="24"/>
          <w:lang w:eastAsia="pl-PL"/>
        </w:rPr>
        <w:t xml:space="preserve"> w </w:t>
      </w:r>
      <w:r w:rsidR="002A589E" w:rsidRPr="006C1B1A">
        <w:rPr>
          <w:rFonts w:ascii="Times New Roman" w:eastAsia="Times New Roman" w:hAnsi="Times New Roman" w:cs="Times New Roman"/>
          <w:sz w:val="24"/>
          <w:szCs w:val="24"/>
          <w:lang w:eastAsia="pl-PL"/>
        </w:rPr>
        <w:t>Komunika</w:t>
      </w:r>
      <w:r w:rsidR="00CB4D51" w:rsidRPr="006C1B1A">
        <w:rPr>
          <w:rFonts w:ascii="Times New Roman" w:eastAsia="Times New Roman" w:hAnsi="Times New Roman" w:cs="Times New Roman"/>
          <w:sz w:val="24"/>
          <w:szCs w:val="24"/>
          <w:lang w:eastAsia="pl-PL"/>
        </w:rPr>
        <w:t>cie</w:t>
      </w:r>
      <w:r w:rsidR="002A589E" w:rsidRPr="006C1B1A">
        <w:rPr>
          <w:rFonts w:ascii="Times New Roman" w:eastAsia="Times New Roman" w:hAnsi="Times New Roman" w:cs="Times New Roman"/>
          <w:sz w:val="24"/>
          <w:szCs w:val="24"/>
          <w:lang w:eastAsia="pl-PL"/>
        </w:rPr>
        <w:t xml:space="preserve"> Komisji </w:t>
      </w:r>
      <w:r w:rsidR="0028377E">
        <w:rPr>
          <w:rFonts w:ascii="Times New Roman" w:eastAsia="Times New Roman" w:hAnsi="Times New Roman" w:cs="Times New Roman"/>
          <w:sz w:val="24"/>
          <w:szCs w:val="24"/>
          <w:lang w:eastAsia="pl-PL"/>
        </w:rPr>
        <w:t>- W</w:t>
      </w:r>
      <w:r w:rsidR="0028377E" w:rsidRPr="006C1B1A">
        <w:rPr>
          <w:rFonts w:ascii="Times New Roman" w:eastAsia="Times New Roman" w:hAnsi="Times New Roman" w:cs="Times New Roman"/>
          <w:sz w:val="24"/>
          <w:szCs w:val="24"/>
          <w:lang w:eastAsia="pl-PL"/>
        </w:rPr>
        <w:t>ytyczn</w:t>
      </w:r>
      <w:r w:rsidR="0028377E">
        <w:rPr>
          <w:rFonts w:ascii="Times New Roman" w:eastAsia="Times New Roman" w:hAnsi="Times New Roman" w:cs="Times New Roman"/>
          <w:sz w:val="24"/>
          <w:szCs w:val="24"/>
          <w:lang w:eastAsia="pl-PL"/>
        </w:rPr>
        <w:t>e</w:t>
      </w:r>
      <w:r w:rsidR="0028377E" w:rsidRPr="006C1B1A">
        <w:rPr>
          <w:rFonts w:ascii="Times New Roman" w:eastAsia="Times New Roman" w:hAnsi="Times New Roman" w:cs="Times New Roman"/>
          <w:sz w:val="24"/>
          <w:szCs w:val="24"/>
          <w:lang w:eastAsia="pl-PL"/>
        </w:rPr>
        <w:t xml:space="preserve"> </w:t>
      </w:r>
      <w:r w:rsidR="002A589E" w:rsidRPr="006C1B1A">
        <w:rPr>
          <w:rFonts w:ascii="Times New Roman" w:eastAsia="Times New Roman" w:hAnsi="Times New Roman" w:cs="Times New Roman"/>
          <w:sz w:val="24"/>
          <w:szCs w:val="24"/>
          <w:lang w:eastAsia="pl-PL"/>
        </w:rPr>
        <w:t>w sprawie pomocy państwa na ochronę środowiska i cele związane z energią w latach 2014-2020</w:t>
      </w:r>
      <w:r w:rsidR="00CB4D51" w:rsidRPr="006C1B1A">
        <w:rPr>
          <w:rFonts w:ascii="Times New Roman" w:eastAsia="Times New Roman" w:hAnsi="Times New Roman" w:cs="Times New Roman"/>
          <w:sz w:val="24"/>
          <w:szCs w:val="24"/>
          <w:lang w:eastAsia="pl-PL"/>
        </w:rPr>
        <w:t xml:space="preserve"> (Dz.U. C 200 z 28.</w:t>
      </w:r>
      <w:r w:rsidR="00E50304">
        <w:rPr>
          <w:rFonts w:ascii="Times New Roman" w:eastAsia="Times New Roman" w:hAnsi="Times New Roman" w:cs="Times New Roman"/>
          <w:sz w:val="24"/>
          <w:szCs w:val="24"/>
          <w:lang w:eastAsia="pl-PL"/>
        </w:rPr>
        <w:t>0</w:t>
      </w:r>
      <w:r w:rsidR="00CB4D51" w:rsidRPr="006C1B1A">
        <w:rPr>
          <w:rFonts w:ascii="Times New Roman" w:eastAsia="Times New Roman" w:hAnsi="Times New Roman" w:cs="Times New Roman"/>
          <w:sz w:val="24"/>
          <w:szCs w:val="24"/>
          <w:lang w:eastAsia="pl-PL"/>
        </w:rPr>
        <w:t>6.2014, str. 1—55</w:t>
      </w:r>
      <w:r w:rsidR="002A589E" w:rsidRPr="006C1B1A">
        <w:rPr>
          <w:rFonts w:ascii="Times New Roman" w:eastAsia="Times New Roman" w:hAnsi="Times New Roman" w:cs="Times New Roman"/>
          <w:sz w:val="24"/>
          <w:szCs w:val="24"/>
          <w:lang w:eastAsia="pl-PL"/>
        </w:rPr>
        <w:t>)</w:t>
      </w:r>
      <w:r w:rsidR="001C227A" w:rsidRPr="006C1B1A">
        <w:rPr>
          <w:rFonts w:ascii="Times New Roman" w:eastAsia="Times New Roman" w:hAnsi="Times New Roman" w:cs="Times New Roman"/>
          <w:sz w:val="24"/>
          <w:szCs w:val="24"/>
          <w:lang w:eastAsia="pl-PL"/>
        </w:rPr>
        <w:t>, wymaga przeprowadzenia dodatkowych działań.</w:t>
      </w:r>
      <w:r w:rsidR="00323FA1" w:rsidRPr="006C1B1A">
        <w:rPr>
          <w:rFonts w:ascii="Times New Roman" w:eastAsia="Times New Roman" w:hAnsi="Times New Roman" w:cs="Times New Roman"/>
          <w:sz w:val="24"/>
          <w:szCs w:val="24"/>
          <w:lang w:eastAsia="pl-PL"/>
        </w:rPr>
        <w:t xml:space="preserve"> </w:t>
      </w:r>
      <w:r w:rsidR="00E90E23" w:rsidRPr="006C1B1A">
        <w:rPr>
          <w:rFonts w:ascii="Times New Roman" w:eastAsia="Times New Roman" w:hAnsi="Times New Roman" w:cs="Times New Roman"/>
          <w:sz w:val="24"/>
          <w:szCs w:val="24"/>
          <w:lang w:eastAsia="pl-PL"/>
        </w:rPr>
        <w:t>Warunkiem możliwości zastosowania ww. przepisów jest uzyskanie pozytywnej decyzji Komisji Europejskiej o zgodności pomocy publicznej przewidzianej w tych przepisach z rynkiem wewnętrznym albo uznania przez Komisję Europejską, że zmiany w tych przepisach nie stanowią nowej pomocy publicznej.</w:t>
      </w:r>
      <w:r w:rsidR="00DA1E62" w:rsidRPr="006C1B1A">
        <w:rPr>
          <w:rFonts w:ascii="Times New Roman" w:eastAsia="Times New Roman" w:hAnsi="Times New Roman" w:cs="Times New Roman"/>
          <w:sz w:val="24"/>
          <w:szCs w:val="24"/>
          <w:lang w:eastAsia="pl-PL"/>
        </w:rPr>
        <w:t xml:space="preserve"> Projekt w przepisach przejściowych przewiduje </w:t>
      </w:r>
      <w:r w:rsidR="00E50304">
        <w:rPr>
          <w:rFonts w:ascii="Times New Roman" w:eastAsia="Times New Roman" w:hAnsi="Times New Roman" w:cs="Times New Roman"/>
          <w:sz w:val="24"/>
          <w:szCs w:val="24"/>
          <w:lang w:eastAsia="pl-PL"/>
        </w:rPr>
        <w:t>regulację</w:t>
      </w:r>
      <w:r w:rsidR="00DA1E62" w:rsidRPr="006C1B1A">
        <w:rPr>
          <w:rFonts w:ascii="Times New Roman" w:eastAsia="Times New Roman" w:hAnsi="Times New Roman" w:cs="Times New Roman"/>
          <w:sz w:val="24"/>
          <w:szCs w:val="24"/>
          <w:lang w:eastAsia="pl-PL"/>
        </w:rPr>
        <w:t xml:space="preserve"> zawieszającą stosowanie </w:t>
      </w:r>
      <w:r w:rsidR="00C057DC" w:rsidRPr="006C1B1A">
        <w:rPr>
          <w:rFonts w:ascii="Times New Roman" w:eastAsia="Times New Roman" w:hAnsi="Times New Roman" w:cs="Times New Roman"/>
          <w:sz w:val="24"/>
          <w:szCs w:val="24"/>
          <w:lang w:eastAsia="pl-PL"/>
        </w:rPr>
        <w:t xml:space="preserve">ww. </w:t>
      </w:r>
      <w:r w:rsidR="00365E9B" w:rsidRPr="006C1B1A">
        <w:rPr>
          <w:rFonts w:ascii="Times New Roman" w:eastAsia="Times New Roman" w:hAnsi="Times New Roman" w:cs="Times New Roman"/>
          <w:sz w:val="24"/>
          <w:szCs w:val="24"/>
          <w:lang w:eastAsia="pl-PL"/>
        </w:rPr>
        <w:t xml:space="preserve">zmienianych </w:t>
      </w:r>
      <w:r w:rsidR="00DA1E62" w:rsidRPr="006C1B1A">
        <w:rPr>
          <w:rFonts w:ascii="Times New Roman" w:eastAsia="Times New Roman" w:hAnsi="Times New Roman" w:cs="Times New Roman"/>
          <w:sz w:val="24"/>
          <w:szCs w:val="24"/>
          <w:lang w:eastAsia="pl-PL"/>
        </w:rPr>
        <w:t>przepisów.</w:t>
      </w:r>
    </w:p>
    <w:p w14:paraId="7EBF51D0" w14:textId="0EE0EA2A" w:rsidR="00C73950" w:rsidRPr="00C73950" w:rsidRDefault="00C73950"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C73950">
        <w:rPr>
          <w:rFonts w:ascii="Times New Roman" w:eastAsia="Times New Roman" w:hAnsi="Times New Roman" w:cs="Times New Roman"/>
          <w:sz w:val="24"/>
          <w:szCs w:val="24"/>
          <w:lang w:eastAsia="pl-PL"/>
        </w:rPr>
        <w:t xml:space="preserve">Utrzymanie bieżącego tempa rozwoju projektów energetyki odnawialnej, zwłaszcza fotowoltaicznych i wiatrowych, wymaga utrzymania jasnych, stabilnych ram polityki państwa w zakresie rozwoju odnawialnych źródeł energii. Powyższe stanowi czynnik niezbędny do osiągnięcia celu OZE 2020, a także dla osiągniecia do 2030 </w:t>
      </w:r>
      <w:r w:rsidR="00E50304" w:rsidRPr="00C73950">
        <w:rPr>
          <w:rFonts w:ascii="Times New Roman" w:eastAsia="Times New Roman" w:hAnsi="Times New Roman" w:cs="Times New Roman"/>
          <w:sz w:val="24"/>
          <w:szCs w:val="24"/>
          <w:lang w:eastAsia="pl-PL"/>
        </w:rPr>
        <w:t>r</w:t>
      </w:r>
      <w:r w:rsidR="00E50304">
        <w:rPr>
          <w:rFonts w:ascii="Times New Roman" w:eastAsia="Times New Roman" w:hAnsi="Times New Roman" w:cs="Times New Roman"/>
          <w:sz w:val="24"/>
          <w:szCs w:val="24"/>
          <w:lang w:eastAsia="pl-PL"/>
        </w:rPr>
        <w:t>.</w:t>
      </w:r>
      <w:r w:rsidR="00E50304" w:rsidRPr="00C73950">
        <w:rPr>
          <w:rFonts w:ascii="Times New Roman" w:eastAsia="Times New Roman" w:hAnsi="Times New Roman" w:cs="Times New Roman"/>
          <w:sz w:val="24"/>
          <w:szCs w:val="24"/>
          <w:lang w:eastAsia="pl-PL"/>
        </w:rPr>
        <w:t xml:space="preserve"> </w:t>
      </w:r>
      <w:r w:rsidRPr="00C73950">
        <w:rPr>
          <w:rFonts w:ascii="Times New Roman" w:eastAsia="Times New Roman" w:hAnsi="Times New Roman" w:cs="Times New Roman"/>
          <w:sz w:val="24"/>
          <w:szCs w:val="24"/>
          <w:lang w:eastAsia="pl-PL"/>
        </w:rPr>
        <w:t xml:space="preserve">21 </w:t>
      </w:r>
      <w:r w:rsidR="00AD35D1">
        <w:rPr>
          <w:rFonts w:ascii="Times New Roman" w:eastAsia="Times New Roman" w:hAnsi="Times New Roman" w:cs="Times New Roman"/>
          <w:sz w:val="24"/>
          <w:szCs w:val="24"/>
          <w:lang w:eastAsia="pl-PL"/>
        </w:rPr>
        <w:t>- 23</w:t>
      </w:r>
      <w:r w:rsidR="00E50304">
        <w:rPr>
          <w:rFonts w:ascii="Times New Roman" w:eastAsia="Times New Roman" w:hAnsi="Times New Roman" w:cs="Times New Roman"/>
          <w:sz w:val="24"/>
          <w:szCs w:val="24"/>
          <w:lang w:eastAsia="pl-PL"/>
        </w:rPr>
        <w:t>%</w:t>
      </w:r>
      <w:r w:rsidR="00E50304" w:rsidRPr="00C73950">
        <w:rPr>
          <w:rFonts w:ascii="Times New Roman" w:eastAsia="Times New Roman" w:hAnsi="Times New Roman" w:cs="Times New Roman"/>
          <w:sz w:val="24"/>
          <w:szCs w:val="24"/>
          <w:lang w:eastAsia="pl-PL"/>
        </w:rPr>
        <w:t xml:space="preserve"> </w:t>
      </w:r>
      <w:r w:rsidRPr="00C73950">
        <w:rPr>
          <w:rFonts w:ascii="Times New Roman" w:eastAsia="Times New Roman" w:hAnsi="Times New Roman" w:cs="Times New Roman"/>
          <w:sz w:val="24"/>
          <w:szCs w:val="24"/>
          <w:lang w:eastAsia="pl-PL"/>
        </w:rPr>
        <w:t>udziału OZE w finalnym zużyciu energii brutto, postulowanego w opublikowanym w grudniu 2019 roku Krajowym Planie na Rzecz Energii i Klimatu. Wspomniany dokument prognozuje niezbędne nakłady inwestycyjne na moce wytwórcze energii elektrycznej w latach 2021-2030 na poziomie 17,6 mld EUR’2016, z czego blisko 75% stanowić mają nakłady na źródła wiatrowe i fotowoltaiczne.</w:t>
      </w:r>
    </w:p>
    <w:p w14:paraId="0CB28F07" w14:textId="77777777" w:rsidR="00C73950" w:rsidRPr="00C73950" w:rsidRDefault="00C73950"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C73950">
        <w:rPr>
          <w:rFonts w:ascii="Times New Roman" w:eastAsia="Times New Roman" w:hAnsi="Times New Roman" w:cs="Times New Roman"/>
          <w:sz w:val="24"/>
          <w:szCs w:val="24"/>
          <w:lang w:eastAsia="pl-PL"/>
        </w:rPr>
        <w:t xml:space="preserve">Aukcyjny system wsparcia należy ocenić jako tani i efektywny z punktu widzenia interesu państwa i odbiorców energii.  W wyniku rosnącej konkurencyjności cenowej technologii wiatru na lądzie i fotowoltaiki, stale obniża się wartość udzielanej w ramach aukcji pomocy publicznej, stanowiącej różnicę pomiędzy wartością energii elektrycznej </w:t>
      </w:r>
      <w:r w:rsidRPr="00C73950">
        <w:rPr>
          <w:rFonts w:ascii="Times New Roman" w:eastAsia="Times New Roman" w:hAnsi="Times New Roman" w:cs="Times New Roman"/>
          <w:sz w:val="24"/>
          <w:szCs w:val="24"/>
          <w:lang w:eastAsia="pl-PL"/>
        </w:rPr>
        <w:lastRenderedPageBreak/>
        <w:t xml:space="preserve">zakontraktowanej w drodze aukcji, a rynkową wartością energii elektrycznej w 15-letnim okresie wsparcia. </w:t>
      </w:r>
    </w:p>
    <w:p w14:paraId="3925B9C3" w14:textId="77777777" w:rsidR="00C73950" w:rsidRPr="00C73950" w:rsidRDefault="00C73950" w:rsidP="0066553A">
      <w:pPr>
        <w:suppressAutoHyphens/>
        <w:autoSpaceDE w:val="0"/>
        <w:autoSpaceDN w:val="0"/>
        <w:adjustRightInd w:val="0"/>
        <w:spacing w:after="0" w:line="276" w:lineRule="auto"/>
        <w:ind w:firstLine="510"/>
        <w:jc w:val="both"/>
        <w:rPr>
          <w:rFonts w:ascii="Times New Roman" w:eastAsia="Times New Roman" w:hAnsi="Times New Roman" w:cs="Times New Roman"/>
          <w:iCs/>
          <w:sz w:val="24"/>
          <w:szCs w:val="24"/>
          <w:lang w:eastAsia="pl-PL"/>
        </w:rPr>
      </w:pPr>
      <w:r w:rsidRPr="00C73950">
        <w:rPr>
          <w:rFonts w:ascii="Times New Roman" w:eastAsia="Times New Roman" w:hAnsi="Times New Roman" w:cs="Times New Roman"/>
          <w:sz w:val="24"/>
          <w:szCs w:val="24"/>
          <w:lang w:eastAsia="pl-PL"/>
        </w:rPr>
        <w:t>W przypadku technologii wiatrowej z dużym prawdopodobieństwem można zakładać, że przy obecnych prognozach cen energii, do budżetu Zarządcy Rozliczeń zwrócona zostanie część zysku z wybudowanych instalacji. Tym bardziej w przypadku dalszego spadku cen energii wytwarzanej w wietrze na lądzie i PV, system aukcyjny służyć będzie zabezpieczaniu oczekiwanego w systemie poziomu inwestycji w nowe moce wytwórcze, bez istotnych kosztów dla budżetu państwa. Przedłużenie systemu aukcyjnego pozwoli na ciągłość korzystania ze sprawdzonego i znanego interesariuszom rozwiązania.</w:t>
      </w:r>
    </w:p>
    <w:p w14:paraId="7A4D7836" w14:textId="1DB0B5EE" w:rsidR="0016054D" w:rsidRPr="000C3D2E" w:rsidRDefault="00470E0E"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Czwartym zagadnieniem jest określenie długoterminowego harmonogramu </w:t>
      </w:r>
      <w:r w:rsidR="005C146A" w:rsidRPr="000C3D2E">
        <w:rPr>
          <w:rFonts w:ascii="Times New Roman" w:eastAsia="Times New Roman" w:hAnsi="Times New Roman" w:cs="Times New Roman"/>
          <w:sz w:val="24"/>
          <w:szCs w:val="24"/>
          <w:lang w:eastAsia="pl-PL"/>
        </w:rPr>
        <w:t>udzielania wytwórcom OZE</w:t>
      </w:r>
      <w:r w:rsidRPr="000C3D2E">
        <w:rPr>
          <w:rFonts w:ascii="Times New Roman" w:eastAsia="Times New Roman" w:hAnsi="Times New Roman" w:cs="Times New Roman"/>
          <w:sz w:val="24"/>
          <w:szCs w:val="24"/>
          <w:lang w:eastAsia="pl-PL"/>
        </w:rPr>
        <w:t xml:space="preserve"> wsparcia </w:t>
      </w:r>
      <w:r w:rsidR="00AD530C" w:rsidRPr="000C3D2E">
        <w:rPr>
          <w:rFonts w:ascii="Times New Roman" w:eastAsia="Times New Roman" w:hAnsi="Times New Roman" w:cs="Times New Roman"/>
          <w:sz w:val="24"/>
          <w:szCs w:val="24"/>
          <w:lang w:eastAsia="pl-PL"/>
        </w:rPr>
        <w:t>obejmującego</w:t>
      </w:r>
      <w:r w:rsidRPr="000C3D2E">
        <w:rPr>
          <w:rFonts w:ascii="Times New Roman" w:eastAsia="Times New Roman" w:hAnsi="Times New Roman" w:cs="Times New Roman"/>
          <w:sz w:val="24"/>
          <w:szCs w:val="24"/>
          <w:lang w:eastAsia="pl-PL"/>
        </w:rPr>
        <w:t xml:space="preserve"> jako punkt odniesienia</w:t>
      </w:r>
      <w:r w:rsidR="005C146A" w:rsidRPr="000C3D2E">
        <w:rPr>
          <w:rFonts w:ascii="Times New Roman" w:eastAsia="Times New Roman" w:hAnsi="Times New Roman" w:cs="Times New Roman"/>
          <w:sz w:val="24"/>
          <w:szCs w:val="24"/>
          <w:lang w:eastAsia="pl-PL"/>
        </w:rPr>
        <w:t xml:space="preserve"> </w:t>
      </w:r>
      <w:r w:rsidR="0016054D" w:rsidRPr="000C3D2E">
        <w:rPr>
          <w:rFonts w:ascii="Times New Roman" w:eastAsia="Times New Roman" w:hAnsi="Times New Roman" w:cs="Times New Roman"/>
          <w:sz w:val="24"/>
          <w:szCs w:val="24"/>
          <w:lang w:eastAsia="pl-PL"/>
        </w:rPr>
        <w:t>cztery</w:t>
      </w:r>
      <w:r w:rsidRPr="000C3D2E">
        <w:rPr>
          <w:rFonts w:ascii="Times New Roman" w:eastAsia="Times New Roman" w:hAnsi="Times New Roman" w:cs="Times New Roman"/>
          <w:sz w:val="24"/>
          <w:szCs w:val="24"/>
          <w:lang w:eastAsia="pl-PL"/>
        </w:rPr>
        <w:t xml:space="preserve"> kolejne lat</w:t>
      </w:r>
      <w:r w:rsidR="0016054D" w:rsidRPr="000C3D2E">
        <w:rPr>
          <w:rFonts w:ascii="Times New Roman" w:eastAsia="Times New Roman" w:hAnsi="Times New Roman" w:cs="Times New Roman"/>
          <w:sz w:val="24"/>
          <w:szCs w:val="24"/>
          <w:lang w:eastAsia="pl-PL"/>
        </w:rPr>
        <w:t>a</w:t>
      </w:r>
      <w:r w:rsidR="005C146A" w:rsidRPr="000C3D2E">
        <w:rPr>
          <w:rFonts w:ascii="Times New Roman" w:eastAsia="Times New Roman" w:hAnsi="Times New Roman" w:cs="Times New Roman"/>
          <w:sz w:val="24"/>
          <w:szCs w:val="24"/>
          <w:lang w:eastAsia="pl-PL"/>
        </w:rPr>
        <w:t>. Cel ten osiągn</w:t>
      </w:r>
      <w:r w:rsidR="00571435" w:rsidRPr="000C3D2E">
        <w:rPr>
          <w:rFonts w:ascii="Times New Roman" w:eastAsia="Times New Roman" w:hAnsi="Times New Roman" w:cs="Times New Roman"/>
          <w:sz w:val="24"/>
          <w:szCs w:val="24"/>
          <w:lang w:eastAsia="pl-PL"/>
        </w:rPr>
        <w:t>ięto</w:t>
      </w:r>
      <w:r w:rsidR="005C146A" w:rsidRPr="000C3D2E">
        <w:rPr>
          <w:rFonts w:ascii="Times New Roman" w:eastAsia="Times New Roman" w:hAnsi="Times New Roman" w:cs="Times New Roman"/>
          <w:sz w:val="24"/>
          <w:szCs w:val="24"/>
          <w:lang w:eastAsia="pl-PL"/>
        </w:rPr>
        <w:t xml:space="preserve"> przez </w:t>
      </w:r>
      <w:r w:rsidR="0016054D" w:rsidRPr="000C3D2E">
        <w:rPr>
          <w:rFonts w:ascii="Times New Roman" w:eastAsia="Times New Roman" w:hAnsi="Times New Roman" w:cs="Times New Roman"/>
          <w:sz w:val="24"/>
          <w:szCs w:val="24"/>
          <w:lang w:eastAsia="pl-PL"/>
        </w:rPr>
        <w:t>wprowadzenie delegacji ustawowej do wydania rozporządzenia określającego ilości i wartości energii elektrycznej z odnawialnych źródeł energii, które mogą zostać sprzedane w drodze aukcji w l</w:t>
      </w:r>
      <w:r w:rsidR="00D24102">
        <w:rPr>
          <w:rFonts w:ascii="Times New Roman" w:eastAsia="Times New Roman" w:hAnsi="Times New Roman" w:cs="Times New Roman"/>
          <w:sz w:val="24"/>
          <w:szCs w:val="24"/>
          <w:lang w:eastAsia="pl-PL"/>
        </w:rPr>
        <w:t>atach kalendarzowych 2022–2026</w:t>
      </w:r>
      <w:r w:rsidR="0016054D" w:rsidRPr="000C3D2E">
        <w:rPr>
          <w:rFonts w:ascii="Times New Roman" w:eastAsia="Times New Roman" w:hAnsi="Times New Roman" w:cs="Times New Roman"/>
          <w:sz w:val="24"/>
          <w:szCs w:val="24"/>
          <w:lang w:eastAsia="pl-PL"/>
        </w:rPr>
        <w:t xml:space="preserve">. </w:t>
      </w:r>
      <w:r w:rsidR="00571435" w:rsidRPr="000C3D2E">
        <w:rPr>
          <w:rFonts w:ascii="Times New Roman" w:eastAsia="Times New Roman" w:hAnsi="Times New Roman" w:cs="Times New Roman"/>
          <w:sz w:val="24"/>
          <w:szCs w:val="24"/>
          <w:lang w:eastAsia="pl-PL"/>
        </w:rPr>
        <w:t>Ilość i wartość</w:t>
      </w:r>
      <w:r w:rsidR="0016054D" w:rsidRPr="000C3D2E">
        <w:rPr>
          <w:rFonts w:ascii="Times New Roman" w:eastAsia="Times New Roman" w:hAnsi="Times New Roman" w:cs="Times New Roman"/>
          <w:sz w:val="24"/>
          <w:szCs w:val="24"/>
          <w:lang w:eastAsia="pl-PL"/>
        </w:rPr>
        <w:t xml:space="preserve"> nie będą mogły zostać zmniejszone. Powyższe tworzy przewidywalne ramy rozwoju sektora OZE w następnych latach w ramach wydłużenia okresu obowiązywania </w:t>
      </w:r>
      <w:r w:rsidR="00D64A36" w:rsidRPr="000C3D2E">
        <w:rPr>
          <w:rFonts w:ascii="Times New Roman" w:eastAsia="Times New Roman" w:hAnsi="Times New Roman" w:cs="Times New Roman"/>
          <w:sz w:val="24"/>
          <w:szCs w:val="24"/>
          <w:lang w:eastAsia="pl-PL"/>
        </w:rPr>
        <w:t xml:space="preserve">systemu </w:t>
      </w:r>
      <w:r w:rsidR="0016054D" w:rsidRPr="000C3D2E">
        <w:rPr>
          <w:rFonts w:ascii="Times New Roman" w:eastAsia="Times New Roman" w:hAnsi="Times New Roman" w:cs="Times New Roman"/>
          <w:sz w:val="24"/>
          <w:szCs w:val="24"/>
          <w:lang w:eastAsia="pl-PL"/>
        </w:rPr>
        <w:t xml:space="preserve">aukcyjnego </w:t>
      </w:r>
      <w:r w:rsidR="00D64A36" w:rsidRPr="000C3D2E">
        <w:rPr>
          <w:rFonts w:ascii="Times New Roman" w:eastAsia="Times New Roman" w:hAnsi="Times New Roman" w:cs="Times New Roman"/>
          <w:sz w:val="24"/>
          <w:szCs w:val="24"/>
          <w:lang w:eastAsia="pl-PL"/>
        </w:rPr>
        <w:t>dla</w:t>
      </w:r>
      <w:r w:rsidR="0016054D" w:rsidRPr="000C3D2E">
        <w:rPr>
          <w:rFonts w:ascii="Times New Roman" w:eastAsia="Times New Roman" w:hAnsi="Times New Roman" w:cs="Times New Roman"/>
          <w:sz w:val="24"/>
          <w:szCs w:val="24"/>
          <w:lang w:eastAsia="pl-PL"/>
        </w:rPr>
        <w:t xml:space="preserve"> </w:t>
      </w:r>
      <w:r w:rsidR="00D64A36" w:rsidRPr="000C3D2E">
        <w:rPr>
          <w:rFonts w:ascii="Times New Roman" w:eastAsia="Times New Roman" w:hAnsi="Times New Roman" w:cs="Times New Roman"/>
          <w:sz w:val="24"/>
          <w:szCs w:val="24"/>
          <w:lang w:eastAsia="pl-PL"/>
        </w:rPr>
        <w:t xml:space="preserve">wytwórców energii z OZE </w:t>
      </w:r>
      <w:r w:rsidR="0016054D" w:rsidRPr="000C3D2E">
        <w:rPr>
          <w:rFonts w:ascii="Times New Roman" w:eastAsia="Times New Roman" w:hAnsi="Times New Roman" w:cs="Times New Roman"/>
          <w:sz w:val="24"/>
          <w:szCs w:val="24"/>
          <w:lang w:eastAsia="pl-PL"/>
        </w:rPr>
        <w:t>i ma na celu zapewnienia stabilnej perspektywy inwestycyjnej.</w:t>
      </w:r>
    </w:p>
    <w:p w14:paraId="5223BDC1" w14:textId="09134A25" w:rsidR="004125DB" w:rsidRPr="000C3D2E" w:rsidRDefault="0028377E"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bookmarkStart w:id="2" w:name="mip53125624"/>
      <w:bookmarkEnd w:id="2"/>
      <w:r>
        <w:rPr>
          <w:rFonts w:ascii="Times New Roman" w:eastAsia="Times New Roman" w:hAnsi="Times New Roman" w:cs="Times New Roman"/>
          <w:sz w:val="24"/>
          <w:szCs w:val="24"/>
          <w:lang w:eastAsia="pl-PL"/>
        </w:rPr>
        <w:t xml:space="preserve">Pozostałe </w:t>
      </w:r>
      <w:r w:rsidR="004125DB" w:rsidRPr="000C3D2E">
        <w:rPr>
          <w:rFonts w:ascii="Times New Roman" w:eastAsia="Times New Roman" w:hAnsi="Times New Roman" w:cs="Times New Roman"/>
          <w:sz w:val="24"/>
          <w:szCs w:val="24"/>
          <w:lang w:eastAsia="pl-PL"/>
        </w:rPr>
        <w:t>zmiany w art. 1 projektu mają na celu doprecyzowanie przepisów wprowadzonych zmianami do ustawy z dnia z dnia 31 marca 2020 r. o szczególnych rozwiązaniach związanych z zapobieganiem, przeciwdziałaniem i zwalczaniem COVID-19</w:t>
      </w:r>
      <w:r>
        <w:rPr>
          <w:rFonts w:ascii="Times New Roman" w:eastAsia="Times New Roman" w:hAnsi="Times New Roman" w:cs="Times New Roman"/>
          <w:sz w:val="24"/>
          <w:szCs w:val="24"/>
          <w:lang w:eastAsia="pl-PL"/>
        </w:rPr>
        <w:t xml:space="preserve">, </w:t>
      </w:r>
      <w:r w:rsidR="004125DB" w:rsidRPr="000C3D2E">
        <w:rPr>
          <w:rFonts w:ascii="Times New Roman" w:eastAsia="Times New Roman" w:hAnsi="Times New Roman" w:cs="Times New Roman"/>
          <w:sz w:val="24"/>
          <w:szCs w:val="24"/>
          <w:lang w:eastAsia="pl-PL"/>
        </w:rPr>
        <w:t>innych chorób zakaźnych oraz wywołanych nimi sytuacji kryzysowych oraz niektórych innych ustaw</w:t>
      </w:r>
      <w:r>
        <w:rPr>
          <w:rFonts w:ascii="Times New Roman" w:eastAsia="Times New Roman" w:hAnsi="Times New Roman" w:cs="Times New Roman"/>
          <w:sz w:val="24"/>
          <w:szCs w:val="24"/>
          <w:lang w:eastAsia="pl-PL"/>
        </w:rPr>
        <w:t xml:space="preserve"> </w:t>
      </w:r>
      <w:r w:rsidRPr="0028377E">
        <w:rPr>
          <w:rFonts w:ascii="Times New Roman" w:eastAsia="Times New Roman" w:hAnsi="Times New Roman" w:cs="Times New Roman"/>
          <w:sz w:val="24"/>
          <w:szCs w:val="24"/>
          <w:lang w:eastAsia="pl-PL"/>
        </w:rPr>
        <w:t>(Dz. U. poz. 568)</w:t>
      </w:r>
      <w:r w:rsidR="004125DB" w:rsidRPr="000C3D2E">
        <w:rPr>
          <w:rFonts w:ascii="Times New Roman" w:eastAsia="Times New Roman" w:hAnsi="Times New Roman" w:cs="Times New Roman"/>
          <w:sz w:val="24"/>
          <w:szCs w:val="24"/>
          <w:lang w:eastAsia="pl-PL"/>
        </w:rPr>
        <w:t>, a dotyczących ustawy. Dlatego też m.in. w:</w:t>
      </w:r>
    </w:p>
    <w:p w14:paraId="40337AA4" w14:textId="3927D06A"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70b ust. 12a ustawy zaproponowano nowe brzmienie mające na celu prawidłowe określenie </w:t>
      </w:r>
      <w:r w:rsidRPr="000C3D2E">
        <w:rPr>
          <w:rFonts w:ascii="Times New Roman" w:eastAsia="Times New Roman" w:hAnsi="Times New Roman" w:cs="Times New Roman"/>
          <w:sz w:val="24"/>
          <w:szCs w:val="24"/>
        </w:rPr>
        <w:t xml:space="preserve">przepisów dotyczących przepadku zabezpieczenia ustanowionego zgodnie z art. 70b ust. 6 w przypadku przekroczenia maksymalnych terminów na wytworzenie po raz pierwszy energii elektrycznej lub pierwszej sprzedaży, przez objęcie </w:t>
      </w:r>
      <w:r w:rsidRPr="000C3D2E">
        <w:rPr>
          <w:rFonts w:ascii="Times New Roman" w:eastAsia="Times New Roman" w:hAnsi="Times New Roman" w:cs="Times New Roman"/>
          <w:sz w:val="24"/>
          <w:szCs w:val="24"/>
          <w:lang w:eastAsia="pl-PL"/>
        </w:rPr>
        <w:t xml:space="preserve">przepisem </w:t>
      </w:r>
      <w:r w:rsidRPr="000C3D2E">
        <w:rPr>
          <w:rFonts w:ascii="Times New Roman" w:eastAsia="Times New Roman" w:hAnsi="Times New Roman" w:cs="Times New Roman"/>
          <w:sz w:val="24"/>
          <w:szCs w:val="24"/>
        </w:rPr>
        <w:t>wytwórców, którzy uzyskali przedłużenie terminu, o którym mowa w art. 70ba ust. 1</w:t>
      </w:r>
      <w:r w:rsidRPr="000C3D2E">
        <w:rPr>
          <w:rFonts w:ascii="Times New Roman" w:eastAsia="Times New Roman" w:hAnsi="Times New Roman" w:cs="Times New Roman"/>
          <w:sz w:val="24"/>
          <w:szCs w:val="24"/>
          <w:lang w:eastAsia="pl-PL"/>
        </w:rPr>
        <w:t xml:space="preserve"> ustawy</w:t>
      </w:r>
      <w:r w:rsidR="0028377E">
        <w:rPr>
          <w:rFonts w:ascii="Times New Roman" w:eastAsia="Times New Roman" w:hAnsi="Times New Roman" w:cs="Times New Roman"/>
          <w:sz w:val="24"/>
          <w:szCs w:val="24"/>
          <w:lang w:eastAsia="pl-PL"/>
        </w:rPr>
        <w:t>;</w:t>
      </w:r>
    </w:p>
    <w:p w14:paraId="11F4C424" w14:textId="009225FB"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art. 70ba w ust. 2:</w:t>
      </w:r>
    </w:p>
    <w:p w14:paraId="76155564" w14:textId="4F43D94D" w:rsidR="004125DB" w:rsidRPr="000C3D2E" w:rsidRDefault="004125DB" w:rsidP="0066553A">
      <w:pPr>
        <w:pStyle w:val="Akapitzlist"/>
        <w:numPr>
          <w:ilvl w:val="1"/>
          <w:numId w:val="5"/>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w pkt 2 ustawy uzupełniono wniosek, o którym mowa art. 70ba, o określenie okresu o jaki przedłużany jest okres, o którym mowa w art. 70b ust. 4 pkt 1 lit. c, co doprowadzi do ujednolicenia elementów wniosku z zakresem postanowienia Prezesa URE, które dotyczyć ma zarówno przedłużeniu terminu spełnienia zobowiązania, o którym mowa w art. 70b ust. 4 pkt 1 lit. d, jak i okresu, o którym mowa w art. 70b ust. 4 pkt 1 lit. c, </w:t>
      </w:r>
    </w:p>
    <w:p w14:paraId="2B79E600" w14:textId="4FCDC785" w:rsidR="004125DB" w:rsidRPr="000C3D2E" w:rsidRDefault="004125DB" w:rsidP="0066553A">
      <w:pPr>
        <w:pStyle w:val="Akapitzlist"/>
        <w:numPr>
          <w:ilvl w:val="1"/>
          <w:numId w:val="5"/>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dodano wymóg dołączenia do wniosku zaktualizowanego oświadczenia, o którym mowa</w:t>
      </w:r>
      <w:r w:rsidR="0028377E">
        <w:rPr>
          <w:rFonts w:ascii="Times New Roman" w:eastAsia="Times New Roman" w:hAnsi="Times New Roman" w:cs="Times New Roman"/>
          <w:sz w:val="24"/>
          <w:szCs w:val="24"/>
          <w:lang w:eastAsia="pl-PL"/>
        </w:rPr>
        <w:t xml:space="preserve"> </w:t>
      </w:r>
      <w:r w:rsidRPr="000C3D2E">
        <w:rPr>
          <w:rFonts w:ascii="Times New Roman" w:eastAsia="Times New Roman" w:hAnsi="Times New Roman" w:cs="Times New Roman"/>
          <w:sz w:val="24"/>
          <w:szCs w:val="24"/>
          <w:lang w:eastAsia="pl-PL"/>
        </w:rPr>
        <w:t>w art. 70b ust. 4 pkt 1 lit. c, co stanowi konsekwencję zmiany w pkt 2 i wnioskowania o wydłużenie okresu, którego to oświadczenie dotyczy</w:t>
      </w:r>
      <w:r w:rsidR="0028377E">
        <w:rPr>
          <w:rFonts w:ascii="Times New Roman" w:eastAsia="Times New Roman" w:hAnsi="Times New Roman" w:cs="Times New Roman"/>
          <w:sz w:val="24"/>
          <w:szCs w:val="24"/>
          <w:lang w:eastAsia="pl-PL"/>
        </w:rPr>
        <w:t>;</w:t>
      </w:r>
    </w:p>
    <w:p w14:paraId="7E794D76" w14:textId="246C1CE6"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art. 79 w ust. 2 doprecyzowano pkt 2 oraz dodano pkt 7 wymóg przedłożenia zaktualizowanego oświadczenia, które zastępuje to złożone uprzednio</w:t>
      </w:r>
      <w:r w:rsidR="0028377E">
        <w:rPr>
          <w:rFonts w:ascii="Times New Roman" w:eastAsia="Times New Roman" w:hAnsi="Times New Roman" w:cs="Times New Roman"/>
          <w:sz w:val="24"/>
          <w:szCs w:val="24"/>
          <w:lang w:eastAsia="pl-PL"/>
        </w:rPr>
        <w:t>;</w:t>
      </w:r>
    </w:p>
    <w:p w14:paraId="0E9DA24E" w14:textId="4B6DE511"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81 ust. 11 i 12 uzupełniono zmiany wprowadzone uprzednio, a z których wynika że umowy o przyłączenie i harmonogramy ich realizacji powinny być dostosowywane </w:t>
      </w:r>
      <w:r w:rsidRPr="000C3D2E">
        <w:rPr>
          <w:rFonts w:ascii="Times New Roman" w:eastAsia="Times New Roman" w:hAnsi="Times New Roman" w:cs="Times New Roman"/>
          <w:sz w:val="24"/>
          <w:szCs w:val="24"/>
          <w:lang w:eastAsia="pl-PL"/>
        </w:rPr>
        <w:br/>
        <w:t xml:space="preserve">w przypadkach, gdy termin określony w art. 7 ust. 2a pkt 1 </w:t>
      </w:r>
      <w:r w:rsidR="0028377E" w:rsidRPr="0028377E">
        <w:rPr>
          <w:rFonts w:ascii="Times New Roman" w:eastAsia="Times New Roman" w:hAnsi="Times New Roman" w:cs="Times New Roman"/>
          <w:sz w:val="24"/>
          <w:szCs w:val="24"/>
          <w:lang w:eastAsia="pl-PL"/>
        </w:rPr>
        <w:t xml:space="preserve">z dnia 10 kwietnia 1997 r. – </w:t>
      </w:r>
      <w:r w:rsidR="0028377E" w:rsidRPr="0028377E">
        <w:rPr>
          <w:rFonts w:ascii="Times New Roman" w:eastAsia="Times New Roman" w:hAnsi="Times New Roman" w:cs="Times New Roman"/>
          <w:sz w:val="24"/>
          <w:szCs w:val="24"/>
          <w:lang w:eastAsia="pl-PL"/>
        </w:rPr>
        <w:lastRenderedPageBreak/>
        <w:t>Prawo energetyczne (Dz. U. z 2020 r. poz. 833</w:t>
      </w:r>
      <w:r w:rsidR="0028377E">
        <w:rPr>
          <w:rFonts w:ascii="Times New Roman" w:eastAsia="Times New Roman" w:hAnsi="Times New Roman" w:cs="Times New Roman"/>
          <w:sz w:val="24"/>
          <w:szCs w:val="24"/>
          <w:lang w:eastAsia="pl-PL"/>
        </w:rPr>
        <w:t>, z późn. zm.)</w:t>
      </w:r>
      <w:r w:rsidR="0028377E" w:rsidRPr="0028377E">
        <w:rPr>
          <w:rFonts w:ascii="Times New Roman" w:eastAsia="Times New Roman" w:hAnsi="Times New Roman" w:cs="Times New Roman"/>
          <w:sz w:val="24"/>
          <w:szCs w:val="24"/>
          <w:lang w:eastAsia="pl-PL"/>
        </w:rPr>
        <w:t xml:space="preserve"> </w:t>
      </w:r>
      <w:r w:rsidRPr="000C3D2E">
        <w:rPr>
          <w:rFonts w:ascii="Times New Roman" w:eastAsia="Times New Roman" w:hAnsi="Times New Roman" w:cs="Times New Roman"/>
          <w:sz w:val="24"/>
          <w:szCs w:val="24"/>
          <w:lang w:eastAsia="pl-PL"/>
        </w:rPr>
        <w:t>, upływa przed końcem terminu określonego w art. 79 ust. 3 pkt 8 z uwzględnieniem ewentualnego przedłużenia tego terminu na podstawie art. 70ba ust. 1 albo art. 79a ust. 1. Zmiany oprócz uwzględnienia przedłużenia terminów, obejmują również wprowadzenie możliwości dostosowania harmonogramu realizacji umowy o przyłączenie. Powyższe zabezpieczy sytuację podmiotów, których umowy o przyłączenie mogłyby wygasnąć pomimo wydłużenia terminów w związku z sytuacją kryzysową wywołaną epidemią COVID-19</w:t>
      </w:r>
      <w:r w:rsidR="0028377E">
        <w:rPr>
          <w:rFonts w:ascii="Times New Roman" w:eastAsia="Times New Roman" w:hAnsi="Times New Roman" w:cs="Times New Roman"/>
          <w:sz w:val="24"/>
          <w:szCs w:val="24"/>
          <w:lang w:eastAsia="pl-PL"/>
        </w:rPr>
        <w:t>;</w:t>
      </w:r>
    </w:p>
    <w:p w14:paraId="50683651" w14:textId="51F995BE"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92 w ust. 6a ustawy zaproponowano nowe brzmienie mające na celu jednoznaczne sformułowanie przepisu, zgodnie z którym przepisów ust. 1-6 nie stosuje się zarówno </w:t>
      </w:r>
      <w:r w:rsidRPr="000C3D2E">
        <w:rPr>
          <w:rFonts w:ascii="Times New Roman" w:eastAsia="Times New Roman" w:hAnsi="Times New Roman" w:cs="Times New Roman"/>
          <w:sz w:val="24"/>
          <w:szCs w:val="24"/>
          <w:lang w:eastAsia="pl-PL"/>
        </w:rPr>
        <w:br/>
        <w:t xml:space="preserve">w przypadku wytwórców, którzy nie wypełnią zobowiązania z art. 79 ust. 3 pkt 8, jak </w:t>
      </w:r>
      <w:r w:rsidRPr="000C3D2E">
        <w:rPr>
          <w:rFonts w:ascii="Times New Roman" w:eastAsia="Times New Roman" w:hAnsi="Times New Roman" w:cs="Times New Roman"/>
          <w:sz w:val="24"/>
          <w:szCs w:val="24"/>
          <w:lang w:eastAsia="pl-PL"/>
        </w:rPr>
        <w:br/>
        <w:t>i wytwórców, którzy uzyskali przedłużenie terminu zgodnie z art. 79a ust. 1 i nie wypełnili zobowiązania w ramach przedłużonego terminu</w:t>
      </w:r>
      <w:r w:rsidR="0028377E">
        <w:rPr>
          <w:rFonts w:ascii="Times New Roman" w:eastAsia="Times New Roman" w:hAnsi="Times New Roman" w:cs="Times New Roman"/>
          <w:sz w:val="24"/>
          <w:szCs w:val="24"/>
          <w:lang w:eastAsia="pl-PL"/>
        </w:rPr>
        <w:t>;</w:t>
      </w:r>
    </w:p>
    <w:p w14:paraId="07FE4820" w14:textId="367F7D11"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2 projektu wprowadza w przepisach ustawy </w:t>
      </w:r>
      <w:r w:rsidR="0028377E" w:rsidRPr="0028377E">
        <w:rPr>
          <w:rFonts w:ascii="Times New Roman" w:eastAsia="Times New Roman" w:hAnsi="Times New Roman" w:cs="Times New Roman"/>
          <w:sz w:val="24"/>
          <w:szCs w:val="24"/>
          <w:lang w:eastAsia="pl-PL"/>
        </w:rPr>
        <w:t xml:space="preserve">z dnia 10 kwietnia 1997 r. </w:t>
      </w:r>
      <w:r w:rsidRPr="000C3D2E">
        <w:rPr>
          <w:rFonts w:ascii="Times New Roman" w:eastAsia="Times New Roman" w:hAnsi="Times New Roman" w:cs="Times New Roman"/>
          <w:sz w:val="24"/>
          <w:szCs w:val="24"/>
          <w:lang w:eastAsia="pl-PL"/>
        </w:rPr>
        <w:t xml:space="preserve">– Prawo energetyczne </w:t>
      </w:r>
      <w:r w:rsidR="00A07BA0">
        <w:rPr>
          <w:rFonts w:ascii="Times New Roman" w:eastAsia="Times New Roman" w:hAnsi="Times New Roman" w:cs="Times New Roman"/>
          <w:sz w:val="24"/>
          <w:szCs w:val="24"/>
          <w:lang w:eastAsia="pl-PL"/>
        </w:rPr>
        <w:t xml:space="preserve">zmiany porządkujące związane </w:t>
      </w:r>
      <w:r w:rsidR="001F5AEE">
        <w:rPr>
          <w:rFonts w:ascii="Times New Roman" w:eastAsia="Times New Roman" w:hAnsi="Times New Roman" w:cs="Times New Roman"/>
          <w:sz w:val="24"/>
          <w:szCs w:val="24"/>
          <w:lang w:eastAsia="pl-PL"/>
        </w:rPr>
        <w:t xml:space="preserve">z </w:t>
      </w:r>
      <w:r w:rsidR="00A07BA0">
        <w:rPr>
          <w:rFonts w:ascii="Times New Roman" w:eastAsia="Times New Roman" w:hAnsi="Times New Roman" w:cs="Times New Roman"/>
          <w:sz w:val="24"/>
          <w:szCs w:val="24"/>
          <w:lang w:eastAsia="pl-PL"/>
        </w:rPr>
        <w:t>wyłączeni</w:t>
      </w:r>
      <w:r w:rsidR="001F5AEE">
        <w:rPr>
          <w:rFonts w:ascii="Times New Roman" w:eastAsia="Times New Roman" w:hAnsi="Times New Roman" w:cs="Times New Roman"/>
          <w:sz w:val="24"/>
          <w:szCs w:val="24"/>
          <w:lang w:eastAsia="pl-PL"/>
        </w:rPr>
        <w:t>em</w:t>
      </w:r>
      <w:r w:rsidR="00A07BA0">
        <w:rPr>
          <w:rFonts w:ascii="Times New Roman" w:eastAsia="Times New Roman" w:hAnsi="Times New Roman" w:cs="Times New Roman"/>
          <w:sz w:val="24"/>
          <w:szCs w:val="24"/>
          <w:lang w:eastAsia="pl-PL"/>
        </w:rPr>
        <w:t xml:space="preserve"> obowiązku koncesyjnego dla biogazowni rolniczych, w tym pracujących w kogeneracji.</w:t>
      </w:r>
    </w:p>
    <w:p w14:paraId="4179549C" w14:textId="06ED6708"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Zmian</w:t>
      </w:r>
      <w:r w:rsidR="00084D0D" w:rsidRPr="000C3D2E">
        <w:rPr>
          <w:rFonts w:ascii="Times New Roman" w:eastAsia="Times New Roman" w:hAnsi="Times New Roman" w:cs="Times New Roman"/>
          <w:sz w:val="24"/>
          <w:szCs w:val="24"/>
          <w:lang w:eastAsia="pl-PL"/>
        </w:rPr>
        <w:t>a</w:t>
      </w:r>
      <w:r w:rsidRPr="000C3D2E">
        <w:rPr>
          <w:rFonts w:ascii="Times New Roman" w:eastAsia="Times New Roman" w:hAnsi="Times New Roman" w:cs="Times New Roman"/>
          <w:sz w:val="24"/>
          <w:szCs w:val="24"/>
          <w:lang w:eastAsia="pl-PL"/>
        </w:rPr>
        <w:t xml:space="preserve"> w art. 3 projektu </w:t>
      </w:r>
      <w:r w:rsidR="00084D0D" w:rsidRPr="000C3D2E">
        <w:rPr>
          <w:rFonts w:ascii="Times New Roman" w:eastAsia="Times New Roman" w:hAnsi="Times New Roman" w:cs="Times New Roman"/>
          <w:sz w:val="24"/>
          <w:szCs w:val="24"/>
          <w:lang w:eastAsia="pl-PL"/>
        </w:rPr>
        <w:t>dotycząca</w:t>
      </w:r>
      <w:r w:rsidRPr="000C3D2E">
        <w:rPr>
          <w:rFonts w:ascii="Times New Roman" w:eastAsia="Times New Roman" w:hAnsi="Times New Roman" w:cs="Times New Roman"/>
          <w:sz w:val="24"/>
          <w:szCs w:val="24"/>
          <w:lang w:eastAsia="pl-PL"/>
        </w:rPr>
        <w:t xml:space="preserve"> ustawy z dnia 27 marca 2003 r. o planowaniu </w:t>
      </w:r>
      <w:r w:rsidRPr="000C3D2E">
        <w:rPr>
          <w:rFonts w:ascii="Times New Roman" w:eastAsia="Times New Roman" w:hAnsi="Times New Roman" w:cs="Times New Roman"/>
          <w:sz w:val="24"/>
          <w:szCs w:val="24"/>
          <w:lang w:eastAsia="pl-PL"/>
        </w:rPr>
        <w:br/>
        <w:t>i zagospodarowaniu przestrzennym</w:t>
      </w:r>
      <w:r w:rsidR="0028377E">
        <w:rPr>
          <w:rFonts w:ascii="Times New Roman" w:eastAsia="Times New Roman" w:hAnsi="Times New Roman" w:cs="Times New Roman"/>
          <w:sz w:val="24"/>
          <w:szCs w:val="24"/>
          <w:lang w:eastAsia="pl-PL"/>
        </w:rPr>
        <w:t xml:space="preserve"> </w:t>
      </w:r>
      <w:r w:rsidR="0028377E" w:rsidRPr="0028377E">
        <w:rPr>
          <w:rFonts w:ascii="Times New Roman" w:eastAsia="Times New Roman" w:hAnsi="Times New Roman" w:cs="Times New Roman"/>
          <w:sz w:val="24"/>
          <w:szCs w:val="24"/>
          <w:lang w:eastAsia="pl-PL"/>
        </w:rPr>
        <w:t>(Dz.</w:t>
      </w:r>
      <w:r w:rsidR="00E50304">
        <w:rPr>
          <w:rFonts w:ascii="Times New Roman" w:eastAsia="Times New Roman" w:hAnsi="Times New Roman" w:cs="Times New Roman"/>
          <w:sz w:val="24"/>
          <w:szCs w:val="24"/>
          <w:lang w:eastAsia="pl-PL"/>
        </w:rPr>
        <w:t xml:space="preserve"> </w:t>
      </w:r>
      <w:r w:rsidR="0028377E" w:rsidRPr="0028377E">
        <w:rPr>
          <w:rFonts w:ascii="Times New Roman" w:eastAsia="Times New Roman" w:hAnsi="Times New Roman" w:cs="Times New Roman"/>
          <w:sz w:val="24"/>
          <w:szCs w:val="24"/>
          <w:lang w:eastAsia="pl-PL"/>
        </w:rPr>
        <w:t>U. z 2020 r. poz. 293</w:t>
      </w:r>
      <w:r w:rsidR="0028377E">
        <w:rPr>
          <w:rFonts w:ascii="Times New Roman" w:eastAsia="Times New Roman" w:hAnsi="Times New Roman" w:cs="Times New Roman"/>
          <w:sz w:val="24"/>
          <w:szCs w:val="24"/>
          <w:lang w:eastAsia="pl-PL"/>
        </w:rPr>
        <w:t>, z późn. zm.)</w:t>
      </w:r>
      <w:r w:rsidR="0028377E" w:rsidRPr="0028377E">
        <w:rPr>
          <w:rFonts w:ascii="Times New Roman" w:eastAsia="Times New Roman" w:hAnsi="Times New Roman" w:cs="Times New Roman"/>
          <w:sz w:val="24"/>
          <w:szCs w:val="24"/>
          <w:lang w:eastAsia="pl-PL"/>
        </w:rPr>
        <w:t>,</w:t>
      </w:r>
      <w:r w:rsidR="00084D0D" w:rsidRPr="000C3D2E">
        <w:rPr>
          <w:rFonts w:ascii="Times New Roman" w:eastAsia="Times New Roman" w:hAnsi="Times New Roman" w:cs="Times New Roman"/>
          <w:sz w:val="24"/>
          <w:szCs w:val="24"/>
          <w:lang w:eastAsia="pl-PL"/>
        </w:rPr>
        <w:t xml:space="preserve"> </w:t>
      </w:r>
      <w:r w:rsidRPr="000C3D2E">
        <w:rPr>
          <w:rFonts w:ascii="Times New Roman" w:eastAsia="Times New Roman" w:hAnsi="Times New Roman" w:cs="Times New Roman"/>
          <w:sz w:val="24"/>
          <w:szCs w:val="24"/>
          <w:lang w:eastAsia="pl-PL"/>
        </w:rPr>
        <w:t xml:space="preserve">jest odpowiedzią na </w:t>
      </w:r>
      <w:r w:rsidR="002A51BB" w:rsidRPr="000C3D2E">
        <w:rPr>
          <w:rFonts w:ascii="Times New Roman" w:eastAsia="Times New Roman" w:hAnsi="Times New Roman" w:cs="Times New Roman"/>
          <w:sz w:val="24"/>
          <w:szCs w:val="24"/>
          <w:lang w:eastAsia="pl-PL"/>
        </w:rPr>
        <w:t>pojawiające</w:t>
      </w:r>
      <w:r w:rsidRPr="000C3D2E">
        <w:rPr>
          <w:rFonts w:ascii="Times New Roman" w:eastAsia="Times New Roman" w:hAnsi="Times New Roman" w:cs="Times New Roman"/>
          <w:sz w:val="24"/>
          <w:szCs w:val="24"/>
          <w:lang w:eastAsia="pl-PL"/>
        </w:rPr>
        <w:t xml:space="preserve"> się bariery, które utrudniają dalszy rozwój wykorzystania odnawialnych źródeł energii w Polsce. Do kwestii kluczowych, dostrzeganych w powyższym zakresie, którą potwierdzają liczne głosy przedstawicieli branży OZE oraz partnerów społecznych zainteresowanych partycypacją w przedmiotowym sektorze, zaliczyć należy regulacje związane z planowaniem przestrzennym. Jedną z nich jest </w:t>
      </w:r>
      <w:r w:rsidR="0028377E">
        <w:rPr>
          <w:rFonts w:ascii="Times New Roman" w:eastAsia="Times New Roman" w:hAnsi="Times New Roman" w:cs="Times New Roman"/>
          <w:sz w:val="24"/>
          <w:szCs w:val="24"/>
          <w:lang w:eastAsia="pl-PL"/>
        </w:rPr>
        <w:t>przepis</w:t>
      </w:r>
      <w:r w:rsidRPr="000C3D2E">
        <w:rPr>
          <w:rFonts w:ascii="Times New Roman" w:eastAsia="Times New Roman" w:hAnsi="Times New Roman" w:cs="Times New Roman"/>
          <w:sz w:val="24"/>
          <w:szCs w:val="24"/>
          <w:lang w:eastAsia="pl-PL"/>
        </w:rPr>
        <w:t xml:space="preserve"> art. 10 ust. 2a ustawy z dnia 27 marca 2003 r. o planowaniu i zagospodarowaniu przestrzennym, który wskazuje, że „jeżeli na obszarze gminy przewiduje się wyznaczenie obszarów, na których rozmieszczone będą urządzenia wytwarzające energię z odnawialnych źródeł energii o mocy przekraczającej 100 kW, a także ich stref ochronnych związanych z ograniczeniami w zabudowie oraz zagospodarowaniu i użytkowaniu terenu; w studium ustala się ich rozmieszczenie”. Mając na uwadze powyższe należy zatem stwierdzić, że </w:t>
      </w:r>
      <w:r w:rsidR="0028377E">
        <w:rPr>
          <w:rFonts w:ascii="Times New Roman" w:eastAsia="Times New Roman" w:hAnsi="Times New Roman" w:cs="Times New Roman"/>
          <w:sz w:val="24"/>
          <w:szCs w:val="24"/>
          <w:lang w:eastAsia="pl-PL"/>
        </w:rPr>
        <w:t>regulacja ta</w:t>
      </w:r>
      <w:r w:rsidRPr="000C3D2E">
        <w:rPr>
          <w:rFonts w:ascii="Times New Roman" w:eastAsia="Times New Roman" w:hAnsi="Times New Roman" w:cs="Times New Roman"/>
          <w:sz w:val="24"/>
          <w:szCs w:val="24"/>
          <w:lang w:eastAsia="pl-PL"/>
        </w:rPr>
        <w:t xml:space="preserve"> uniemożliwia posadowienie urządzeń wytwarzających energię z odnawialnych źródeł energii o mocy przekraczającej 100 kW bez odpowiedniego uwzględnienia w studium uwarunkowań i kierunków zagospodarowania przestrzennego danej gminy, a co za tym idzie w miejscowych planach zagospodarowania przestrzennego, które mogą być sporządzane dla tej gminy lub jej mniejszych obszarów. Jednocześnie trzeba podkreślić, że procedury zmian studium, jak i planów zagospodarowania przestrzennego są długotrwałe i kosztowne, co znacząco przedłuża proces inwestycyjny. Wyrażając pełne zrozumienie dla potrzeby racjonalnego planowania i gospodarowania przestrzennego, a także kierując się troską o dynamiczny rozwój energetyki odnawialnej w Polsce, zauważono negatywny wpływ przedmiotowego zapisu na inwestycje </w:t>
      </w:r>
      <w:r w:rsidRPr="000C3D2E">
        <w:rPr>
          <w:rFonts w:ascii="Times New Roman" w:eastAsia="Times New Roman" w:hAnsi="Times New Roman" w:cs="Times New Roman"/>
          <w:sz w:val="24"/>
          <w:szCs w:val="24"/>
          <w:lang w:eastAsia="pl-PL"/>
        </w:rPr>
        <w:br/>
        <w:t>w odnawialne źródła energii cechujące się najbardziej przyjaznym wpływem na środowisko, lokalną społeczność oraz gospodarkę przestrzenną. Mając na uwadze powyższe, zaproponowano możliwość podniesienia przedmiotowej granicy 100 kW dla wybranych instalacji wykorzystujących odnawialne źródła energii, które nie będzie skutkowało negatywnymi konsekwencjami dla planowania i zagospodarowania przestrzennego w Polsce.</w:t>
      </w:r>
    </w:p>
    <w:p w14:paraId="37A42F01" w14:textId="293DBD6B" w:rsidR="00084D0D" w:rsidRPr="000C3D2E" w:rsidRDefault="00084D0D" w:rsidP="0066553A">
      <w:pPr>
        <w:suppressAutoHyphens/>
        <w:autoSpaceDE w:val="0"/>
        <w:autoSpaceDN w:val="0"/>
        <w:adjustRightInd w:val="0"/>
        <w:spacing w:after="0" w:line="276" w:lineRule="auto"/>
        <w:ind w:firstLine="510"/>
        <w:jc w:val="both"/>
        <w:rPr>
          <w:rFonts w:ascii="Times New Roman" w:hAnsi="Times New Roman" w:cs="Times New Roman"/>
          <w:sz w:val="24"/>
          <w:szCs w:val="24"/>
        </w:rPr>
      </w:pPr>
      <w:r w:rsidRPr="00084D0D">
        <w:rPr>
          <w:rFonts w:ascii="Times New Roman" w:eastAsia="Times New Roman" w:hAnsi="Times New Roman" w:cs="Times New Roman"/>
          <w:sz w:val="24"/>
          <w:szCs w:val="24"/>
          <w:lang w:eastAsia="pl-PL"/>
        </w:rPr>
        <w:t xml:space="preserve">Celem przedmiotowej interwencji regulacyjnej jest zatem podniesienie przedmiotowej granicy 100 kW, zawartej w art. 10 ust. 2a </w:t>
      </w:r>
      <w:r w:rsidR="0006643C" w:rsidRPr="0006643C">
        <w:rPr>
          <w:rFonts w:ascii="Times New Roman" w:eastAsia="Times New Roman" w:hAnsi="Times New Roman" w:cs="Times New Roman"/>
          <w:sz w:val="24"/>
          <w:szCs w:val="24"/>
          <w:lang w:eastAsia="pl-PL"/>
        </w:rPr>
        <w:t xml:space="preserve">ustawy z dnia 27 marca 2003 r. o planowaniu i zagospodarowaniu przestrzennym </w:t>
      </w:r>
      <w:r w:rsidRPr="00084D0D">
        <w:rPr>
          <w:rFonts w:ascii="Times New Roman" w:eastAsia="Times New Roman" w:hAnsi="Times New Roman" w:cs="Times New Roman"/>
          <w:sz w:val="24"/>
          <w:szCs w:val="24"/>
          <w:lang w:eastAsia="pl-PL"/>
        </w:rPr>
        <w:t>do</w:t>
      </w:r>
      <w:r w:rsidRPr="000C3D2E">
        <w:rPr>
          <w:rFonts w:ascii="Times New Roman" w:eastAsia="Times New Roman" w:hAnsi="Times New Roman" w:cs="Times New Roman"/>
          <w:sz w:val="24"/>
          <w:szCs w:val="24"/>
          <w:lang w:eastAsia="pl-PL"/>
        </w:rPr>
        <w:t xml:space="preserve"> </w:t>
      </w:r>
      <w:r w:rsidRPr="000C3D2E">
        <w:rPr>
          <w:rFonts w:ascii="Times New Roman" w:hAnsi="Times New Roman" w:cs="Times New Roman"/>
          <w:sz w:val="24"/>
          <w:szCs w:val="24"/>
        </w:rPr>
        <w:t>500 kW dla urządze</w:t>
      </w:r>
      <w:r w:rsidR="00534019" w:rsidRPr="000C3D2E">
        <w:rPr>
          <w:rFonts w:ascii="Times New Roman" w:hAnsi="Times New Roman" w:cs="Times New Roman"/>
          <w:sz w:val="24"/>
          <w:szCs w:val="24"/>
        </w:rPr>
        <w:t>ń</w:t>
      </w:r>
      <w:r w:rsidRPr="000C3D2E">
        <w:rPr>
          <w:rFonts w:ascii="Times New Roman" w:hAnsi="Times New Roman" w:cs="Times New Roman"/>
          <w:sz w:val="24"/>
          <w:szCs w:val="24"/>
        </w:rPr>
        <w:t xml:space="preserve"> wytwarzając</w:t>
      </w:r>
      <w:r w:rsidR="00534019" w:rsidRPr="000C3D2E">
        <w:rPr>
          <w:rFonts w:ascii="Times New Roman" w:hAnsi="Times New Roman" w:cs="Times New Roman"/>
          <w:sz w:val="24"/>
          <w:szCs w:val="24"/>
        </w:rPr>
        <w:t>ych</w:t>
      </w:r>
      <w:r w:rsidRPr="000C3D2E">
        <w:rPr>
          <w:rFonts w:ascii="Times New Roman" w:hAnsi="Times New Roman" w:cs="Times New Roman"/>
          <w:sz w:val="24"/>
          <w:szCs w:val="24"/>
        </w:rPr>
        <w:t xml:space="preserve"> energię z odnawialnych źródeł energii o mocy zainstalowanej większej, z wyłączeniem:</w:t>
      </w:r>
    </w:p>
    <w:p w14:paraId="30AC1022" w14:textId="77777777" w:rsidR="00084D0D" w:rsidRPr="000C3D2E" w:rsidRDefault="00084D0D" w:rsidP="0066553A">
      <w:pPr>
        <w:pStyle w:val="PKTpunkt"/>
        <w:spacing w:line="276" w:lineRule="auto"/>
        <w:rPr>
          <w:rFonts w:ascii="Times New Roman" w:hAnsi="Times New Roman" w:cs="Times New Roman"/>
          <w:szCs w:val="24"/>
        </w:rPr>
      </w:pPr>
      <w:r w:rsidRPr="000C3D2E">
        <w:rPr>
          <w:rFonts w:ascii="Times New Roman" w:hAnsi="Times New Roman" w:cs="Times New Roman"/>
          <w:szCs w:val="24"/>
        </w:rPr>
        <w:t>1)</w:t>
      </w:r>
      <w:r w:rsidRPr="000C3D2E">
        <w:rPr>
          <w:rFonts w:ascii="Times New Roman" w:hAnsi="Times New Roman" w:cs="Times New Roman"/>
          <w:szCs w:val="24"/>
        </w:rPr>
        <w:tab/>
        <w:t>wolnostojących urządzeń fotowoltaicznych, o mocy zainstalowanej elektrycznej nie większej niż 1000 kW;</w:t>
      </w:r>
    </w:p>
    <w:p w14:paraId="53F3A8DD" w14:textId="4098886A" w:rsidR="00084D0D" w:rsidRPr="000C3D2E" w:rsidRDefault="00084D0D" w:rsidP="0066553A">
      <w:pPr>
        <w:pStyle w:val="PKTpunkt"/>
        <w:spacing w:line="276" w:lineRule="auto"/>
        <w:rPr>
          <w:rFonts w:ascii="Times New Roman" w:hAnsi="Times New Roman" w:cs="Times New Roman"/>
          <w:szCs w:val="24"/>
        </w:rPr>
      </w:pPr>
      <w:r w:rsidRPr="000C3D2E">
        <w:rPr>
          <w:rFonts w:ascii="Times New Roman" w:hAnsi="Times New Roman" w:cs="Times New Roman"/>
          <w:szCs w:val="24"/>
        </w:rPr>
        <w:t>2)</w:t>
      </w:r>
      <w:r w:rsidRPr="000C3D2E">
        <w:rPr>
          <w:rFonts w:ascii="Times New Roman" w:hAnsi="Times New Roman" w:cs="Times New Roman"/>
          <w:szCs w:val="24"/>
        </w:rPr>
        <w:tab/>
        <w:t>urządzeń fotowoltaicznych innych niż wolnostojące.</w:t>
      </w:r>
    </w:p>
    <w:p w14:paraId="17063860" w14:textId="1633A5EB" w:rsidR="00084D0D" w:rsidRPr="00084D0D" w:rsidRDefault="00534019"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Propozycja wyłącza ww. ograniczenie dla urządzeń fotowoltaicznych innych niż wolnostojące, do których zalicza</w:t>
      </w:r>
      <w:r w:rsidR="00717D7C">
        <w:rPr>
          <w:rFonts w:ascii="Times New Roman" w:eastAsia="Times New Roman" w:hAnsi="Times New Roman" w:cs="Times New Roman"/>
          <w:sz w:val="24"/>
          <w:szCs w:val="24"/>
          <w:lang w:eastAsia="pl-PL"/>
        </w:rPr>
        <w:t>ją</w:t>
      </w:r>
      <w:r w:rsidRPr="000C3D2E">
        <w:rPr>
          <w:rFonts w:ascii="Times New Roman" w:eastAsia="Times New Roman" w:hAnsi="Times New Roman" w:cs="Times New Roman"/>
          <w:sz w:val="24"/>
          <w:szCs w:val="24"/>
          <w:lang w:eastAsia="pl-PL"/>
        </w:rPr>
        <w:t xml:space="preserve"> się </w:t>
      </w:r>
      <w:r w:rsidR="00717D7C">
        <w:rPr>
          <w:rFonts w:ascii="Times New Roman" w:eastAsia="Times New Roman" w:hAnsi="Times New Roman" w:cs="Times New Roman"/>
          <w:sz w:val="24"/>
          <w:szCs w:val="24"/>
          <w:lang w:eastAsia="pl-PL"/>
        </w:rPr>
        <w:t xml:space="preserve">między innymi </w:t>
      </w:r>
      <w:r w:rsidRPr="000C3D2E">
        <w:rPr>
          <w:rFonts w:ascii="Times New Roman" w:eastAsia="Times New Roman" w:hAnsi="Times New Roman" w:cs="Times New Roman"/>
          <w:sz w:val="24"/>
          <w:szCs w:val="24"/>
          <w:lang w:eastAsia="pl-PL"/>
        </w:rPr>
        <w:t xml:space="preserve">najpopularniejsze urządzenia nadachowe </w:t>
      </w:r>
      <w:r w:rsidR="00717D7C">
        <w:rPr>
          <w:rFonts w:ascii="Times New Roman" w:eastAsia="Times New Roman" w:hAnsi="Times New Roman" w:cs="Times New Roman"/>
          <w:sz w:val="24"/>
          <w:szCs w:val="24"/>
          <w:lang w:eastAsia="pl-PL"/>
        </w:rPr>
        <w:t>ale również</w:t>
      </w:r>
      <w:r w:rsidRPr="000C3D2E">
        <w:rPr>
          <w:rFonts w:ascii="Times New Roman" w:eastAsia="Times New Roman" w:hAnsi="Times New Roman" w:cs="Times New Roman"/>
          <w:sz w:val="24"/>
          <w:szCs w:val="24"/>
          <w:lang w:eastAsia="pl-PL"/>
        </w:rPr>
        <w:t xml:space="preserve"> droższe i </w:t>
      </w:r>
      <w:r w:rsidR="00312938">
        <w:rPr>
          <w:rFonts w:ascii="Times New Roman" w:eastAsia="Times New Roman" w:hAnsi="Times New Roman" w:cs="Times New Roman"/>
          <w:sz w:val="24"/>
          <w:szCs w:val="24"/>
          <w:lang w:eastAsia="pl-PL"/>
        </w:rPr>
        <w:t xml:space="preserve">bardziej </w:t>
      </w:r>
      <w:r w:rsidRPr="000C3D2E">
        <w:rPr>
          <w:rFonts w:ascii="Times New Roman" w:eastAsia="Times New Roman" w:hAnsi="Times New Roman" w:cs="Times New Roman"/>
          <w:sz w:val="24"/>
          <w:szCs w:val="24"/>
          <w:lang w:eastAsia="pl-PL"/>
        </w:rPr>
        <w:t>zaawansowane technologicznie</w:t>
      </w:r>
      <w:r w:rsidRPr="000C3D2E">
        <w:rPr>
          <w:rFonts w:ascii="Times New Roman" w:hAnsi="Times New Roman" w:cs="Times New Roman"/>
          <w:sz w:val="24"/>
          <w:szCs w:val="24"/>
        </w:rPr>
        <w:t xml:space="preserve"> urządzenia fotowoltaiczne </w:t>
      </w:r>
      <w:r w:rsidRPr="000C3D2E">
        <w:rPr>
          <w:rFonts w:ascii="Times New Roman" w:eastAsia="Times New Roman" w:hAnsi="Times New Roman" w:cs="Times New Roman"/>
          <w:sz w:val="24"/>
          <w:szCs w:val="24"/>
          <w:lang w:eastAsia="pl-PL"/>
        </w:rPr>
        <w:t>zintegrowane z budynkiem</w:t>
      </w:r>
      <w:r w:rsidRPr="000C3D2E">
        <w:rPr>
          <w:rFonts w:ascii="Times New Roman" w:hAnsi="Times New Roman" w:cs="Times New Roman"/>
          <w:sz w:val="24"/>
          <w:szCs w:val="24"/>
        </w:rPr>
        <w:t xml:space="preserve"> </w:t>
      </w:r>
      <w:r w:rsidRPr="000C3D2E">
        <w:rPr>
          <w:rFonts w:ascii="Times New Roman" w:eastAsia="Times New Roman" w:hAnsi="Times New Roman" w:cs="Times New Roman"/>
          <w:sz w:val="24"/>
          <w:szCs w:val="24"/>
          <w:lang w:eastAsia="pl-PL"/>
        </w:rPr>
        <w:t>(BIPV).</w:t>
      </w:r>
    </w:p>
    <w:p w14:paraId="7BF0AC56" w14:textId="77777777" w:rsidR="00534019" w:rsidRPr="000C3D2E" w:rsidRDefault="00084D0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84D0D">
        <w:rPr>
          <w:rFonts w:ascii="Times New Roman" w:eastAsia="Times New Roman" w:hAnsi="Times New Roman" w:cs="Times New Roman"/>
          <w:sz w:val="24"/>
          <w:szCs w:val="24"/>
          <w:lang w:eastAsia="pl-PL"/>
        </w:rPr>
        <w:t xml:space="preserve">Zaproponowane zmiany </w:t>
      </w:r>
      <w:r w:rsidR="00534019" w:rsidRPr="000C3D2E">
        <w:rPr>
          <w:rFonts w:ascii="Times New Roman" w:eastAsia="Times New Roman" w:hAnsi="Times New Roman" w:cs="Times New Roman"/>
          <w:sz w:val="24"/>
          <w:szCs w:val="24"/>
          <w:lang w:eastAsia="pl-PL"/>
        </w:rPr>
        <w:t xml:space="preserve">stanowić będą istotny czynnik powodujący ożywienie gospodarcze, który wychodzi </w:t>
      </w:r>
      <w:r w:rsidRPr="00084D0D">
        <w:rPr>
          <w:rFonts w:ascii="Times New Roman" w:eastAsia="Times New Roman" w:hAnsi="Times New Roman" w:cs="Times New Roman"/>
          <w:sz w:val="24"/>
          <w:szCs w:val="24"/>
          <w:lang w:eastAsia="pl-PL"/>
        </w:rPr>
        <w:t xml:space="preserve">naprzeciw oczekiwaniom społecznym oraz przedsiębiorców, stanowiąc istotne rozwiązania w szczególności dla wytwórców energii z OZE oraz całej branży działającej na rzecz rozwoju instalacji OZE. </w:t>
      </w:r>
    </w:p>
    <w:p w14:paraId="64AD6AFA" w14:textId="2D77F8F5" w:rsidR="00084D0D" w:rsidRPr="00084D0D" w:rsidRDefault="00084D0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84D0D">
        <w:rPr>
          <w:rFonts w:ascii="Times New Roman" w:eastAsia="Times New Roman" w:hAnsi="Times New Roman" w:cs="Times New Roman"/>
          <w:sz w:val="24"/>
          <w:szCs w:val="24"/>
          <w:lang w:eastAsia="pl-PL"/>
        </w:rPr>
        <w:t>Jednocześnie</w:t>
      </w:r>
      <w:r w:rsidR="00534019" w:rsidRPr="000C3D2E">
        <w:rPr>
          <w:rFonts w:ascii="Times New Roman" w:eastAsia="Times New Roman" w:hAnsi="Times New Roman" w:cs="Times New Roman"/>
          <w:sz w:val="24"/>
          <w:szCs w:val="24"/>
          <w:lang w:eastAsia="pl-PL"/>
        </w:rPr>
        <w:t xml:space="preserve"> </w:t>
      </w:r>
      <w:r w:rsidRPr="00084D0D">
        <w:rPr>
          <w:rFonts w:ascii="Times New Roman" w:eastAsia="Times New Roman" w:hAnsi="Times New Roman" w:cs="Times New Roman"/>
          <w:sz w:val="24"/>
          <w:szCs w:val="24"/>
          <w:lang w:eastAsia="pl-PL"/>
        </w:rPr>
        <w:t xml:space="preserve">ww. rozwiązania staną się skutecznym elementem procesu wychodzenia </w:t>
      </w:r>
      <w:r w:rsidR="00534019" w:rsidRPr="000C3D2E">
        <w:rPr>
          <w:rFonts w:ascii="Times New Roman" w:eastAsia="Times New Roman" w:hAnsi="Times New Roman" w:cs="Times New Roman"/>
          <w:sz w:val="24"/>
          <w:szCs w:val="24"/>
          <w:lang w:eastAsia="pl-PL"/>
        </w:rPr>
        <w:br/>
      </w:r>
      <w:r w:rsidRPr="00084D0D">
        <w:rPr>
          <w:rFonts w:ascii="Times New Roman" w:eastAsia="Times New Roman" w:hAnsi="Times New Roman" w:cs="Times New Roman"/>
          <w:sz w:val="24"/>
          <w:szCs w:val="24"/>
          <w:lang w:eastAsia="pl-PL"/>
        </w:rPr>
        <w:t xml:space="preserve">z kryzysu gospodarczego, związanego z pandemią COVID-19, w którym znaczną rolę przypisuje się rozwojowi energetyki odnawialnej. </w:t>
      </w:r>
      <w:r w:rsidR="00534019" w:rsidRPr="000C3D2E">
        <w:rPr>
          <w:rFonts w:ascii="Times New Roman" w:eastAsia="Times New Roman" w:hAnsi="Times New Roman" w:cs="Times New Roman"/>
          <w:sz w:val="24"/>
          <w:szCs w:val="24"/>
          <w:lang w:eastAsia="pl-PL"/>
        </w:rPr>
        <w:t>Z kolei</w:t>
      </w:r>
      <w:r w:rsidRPr="00084D0D">
        <w:rPr>
          <w:rFonts w:ascii="Times New Roman" w:eastAsia="Times New Roman" w:hAnsi="Times New Roman" w:cs="Times New Roman"/>
          <w:sz w:val="24"/>
          <w:szCs w:val="24"/>
          <w:lang w:eastAsia="pl-PL"/>
        </w:rPr>
        <w:t xml:space="preserve"> rozwój gospodarczy</w:t>
      </w:r>
      <w:r w:rsidRPr="00084D0D">
        <w:rPr>
          <w:rFonts w:ascii="Times New Roman" w:eastAsia="Times New Roman" w:hAnsi="Times New Roman" w:cs="Times New Roman"/>
          <w:sz w:val="24"/>
          <w:szCs w:val="24"/>
          <w:lang w:eastAsia="pl-PL"/>
        </w:rPr>
        <w:br/>
        <w:t>i aktywizacja lokalnych społeczności mogą przyczynić się do wzrostu gospodarczego</w:t>
      </w:r>
      <w:r w:rsidR="00534019" w:rsidRPr="000C3D2E">
        <w:rPr>
          <w:rFonts w:ascii="Times New Roman" w:eastAsia="Times New Roman" w:hAnsi="Times New Roman" w:cs="Times New Roman"/>
          <w:sz w:val="24"/>
          <w:szCs w:val="24"/>
          <w:lang w:eastAsia="pl-PL"/>
        </w:rPr>
        <w:t xml:space="preserve"> </w:t>
      </w:r>
      <w:r w:rsidR="00534019" w:rsidRPr="000C3D2E">
        <w:rPr>
          <w:rFonts w:ascii="Times New Roman" w:eastAsia="Times New Roman" w:hAnsi="Times New Roman" w:cs="Times New Roman"/>
          <w:sz w:val="24"/>
          <w:szCs w:val="24"/>
          <w:lang w:eastAsia="pl-PL"/>
        </w:rPr>
        <w:br/>
      </w:r>
      <w:r w:rsidRPr="00084D0D">
        <w:rPr>
          <w:rFonts w:ascii="Times New Roman" w:eastAsia="Times New Roman" w:hAnsi="Times New Roman" w:cs="Times New Roman"/>
          <w:sz w:val="24"/>
          <w:szCs w:val="24"/>
          <w:lang w:eastAsia="pl-PL"/>
        </w:rPr>
        <w:t>i zwiększenia dochodów do budżetu państwa z tytułu nowych inwestycji. Co więcej,</w:t>
      </w:r>
      <w:r w:rsidRPr="00084D0D">
        <w:rPr>
          <w:rFonts w:ascii="Times New Roman" w:eastAsia="Times New Roman" w:hAnsi="Times New Roman" w:cs="Times New Roman"/>
          <w:sz w:val="24"/>
          <w:szCs w:val="24"/>
          <w:lang w:eastAsia="pl-PL"/>
        </w:rPr>
        <w:br/>
        <w:t>w perspektywie rosnących cen energii elektrycznej, stymulacja rozwoju odnawialnych źródeł energii przyczyni się do stabilizacji, bądź nawet obniżania cen energii dla odbiorców końcowych. Zakontraktowane poziomy cenowe na podstawie ofert składanych w aukcjach OZE w latach 2018 i 2019, znajdują się bowiem na bardzo konkurencyjnym poziomie</w:t>
      </w:r>
      <w:r w:rsidRPr="00084D0D">
        <w:rPr>
          <w:rFonts w:ascii="Times New Roman" w:eastAsia="Times New Roman" w:hAnsi="Times New Roman" w:cs="Times New Roman"/>
          <w:sz w:val="24"/>
          <w:szCs w:val="24"/>
          <w:lang w:eastAsia="pl-PL"/>
        </w:rPr>
        <w:br/>
        <w:t>w stosunku do cen energii na rynku hurtowym. Dodatkowo intensyfikacja rozwoju odnawialnych źródeł energii pozwoli na zwiększenie udziału produkcji energii elektrycznej</w:t>
      </w:r>
      <w:r w:rsidRPr="00084D0D">
        <w:rPr>
          <w:rFonts w:ascii="Times New Roman" w:eastAsia="Times New Roman" w:hAnsi="Times New Roman" w:cs="Times New Roman"/>
          <w:sz w:val="24"/>
          <w:szCs w:val="24"/>
          <w:lang w:eastAsia="pl-PL"/>
        </w:rPr>
        <w:br/>
        <w:t>z OZE, co stanowi ważny argument w perspektywie osiągania celów w 2020 r.</w:t>
      </w:r>
    </w:p>
    <w:p w14:paraId="46D5CC7E" w14:textId="101934CD" w:rsidR="00767B1F" w:rsidRDefault="00084D0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84D0D">
        <w:rPr>
          <w:rFonts w:ascii="Times New Roman" w:eastAsia="Times New Roman" w:hAnsi="Times New Roman" w:cs="Times New Roman"/>
          <w:sz w:val="24"/>
          <w:szCs w:val="24"/>
          <w:lang w:eastAsia="pl-PL"/>
        </w:rPr>
        <w:t xml:space="preserve">Jednocześnie, </w:t>
      </w:r>
      <w:r w:rsidR="00534019" w:rsidRPr="000C3D2E">
        <w:rPr>
          <w:rFonts w:ascii="Times New Roman" w:eastAsia="Times New Roman" w:hAnsi="Times New Roman" w:cs="Times New Roman"/>
          <w:sz w:val="24"/>
          <w:szCs w:val="24"/>
          <w:lang w:eastAsia="pl-PL"/>
        </w:rPr>
        <w:t>w ocenie wnioskodawcy</w:t>
      </w:r>
      <w:r w:rsidRPr="00084D0D">
        <w:rPr>
          <w:rFonts w:ascii="Times New Roman" w:eastAsia="Times New Roman" w:hAnsi="Times New Roman" w:cs="Times New Roman"/>
          <w:sz w:val="24"/>
          <w:szCs w:val="24"/>
          <w:lang w:eastAsia="pl-PL"/>
        </w:rPr>
        <w:t xml:space="preserve"> zaproponowana zmiana nie będzie skutkowała negatywnymi konsekwencjami dla obszaru planowania i zagospodarowania </w:t>
      </w:r>
      <w:r w:rsidR="00534019" w:rsidRPr="000C3D2E">
        <w:rPr>
          <w:rFonts w:ascii="Times New Roman" w:eastAsia="Times New Roman" w:hAnsi="Times New Roman" w:cs="Times New Roman"/>
          <w:sz w:val="24"/>
          <w:szCs w:val="24"/>
          <w:lang w:eastAsia="pl-PL"/>
        </w:rPr>
        <w:t>przestrzennego</w:t>
      </w:r>
      <w:r w:rsidRPr="00084D0D">
        <w:rPr>
          <w:rFonts w:ascii="Times New Roman" w:eastAsia="Times New Roman" w:hAnsi="Times New Roman" w:cs="Times New Roman"/>
          <w:sz w:val="24"/>
          <w:szCs w:val="24"/>
          <w:lang w:eastAsia="pl-PL"/>
        </w:rPr>
        <w:t xml:space="preserve"> </w:t>
      </w:r>
      <w:r w:rsidR="00534019" w:rsidRPr="000C3D2E">
        <w:rPr>
          <w:rFonts w:ascii="Times New Roman" w:eastAsia="Times New Roman" w:hAnsi="Times New Roman" w:cs="Times New Roman"/>
          <w:sz w:val="24"/>
          <w:szCs w:val="24"/>
          <w:lang w:eastAsia="pl-PL"/>
        </w:rPr>
        <w:br/>
        <w:t xml:space="preserve">w </w:t>
      </w:r>
      <w:r w:rsidRPr="00084D0D">
        <w:rPr>
          <w:rFonts w:ascii="Times New Roman" w:eastAsia="Times New Roman" w:hAnsi="Times New Roman" w:cs="Times New Roman"/>
          <w:sz w:val="24"/>
          <w:szCs w:val="24"/>
          <w:lang w:eastAsia="pl-PL"/>
        </w:rPr>
        <w:t>Polsce. Podniesienie przedmiotowej granicy, wskazanej w art. 10 ust. 2a</w:t>
      </w:r>
      <w:r w:rsidR="0006643C" w:rsidRPr="0006643C">
        <w:t xml:space="preserve"> </w:t>
      </w:r>
      <w:r w:rsidR="0006643C" w:rsidRPr="0006643C">
        <w:rPr>
          <w:rFonts w:ascii="Times New Roman" w:eastAsia="Times New Roman" w:hAnsi="Times New Roman" w:cs="Times New Roman"/>
          <w:sz w:val="24"/>
          <w:szCs w:val="24"/>
          <w:lang w:eastAsia="pl-PL"/>
        </w:rPr>
        <w:t>ustawy z dnia 27 marca 2003 r. o planowaniu i zagospodarowaniu przestrzennym</w:t>
      </w:r>
      <w:r w:rsidRPr="00084D0D">
        <w:rPr>
          <w:rFonts w:ascii="Times New Roman" w:eastAsia="Times New Roman" w:hAnsi="Times New Roman" w:cs="Times New Roman"/>
          <w:sz w:val="24"/>
          <w:szCs w:val="24"/>
          <w:lang w:eastAsia="pl-PL"/>
        </w:rPr>
        <w:t>, do 500 kW dotyczy małych instalacji odnawialnego źródła energii, o których mowa w art. 2 pkt 18 ustawy, za wyjątkiem wolnostojących instalacji wykorzystujących wyłącznie energię promieniowania słonecznego do wytwarzania energii elektrycznej. Instalacje PV cechują się jednak przyjaznym wpływem na środowisko naturalne, a także cieszą się największym zaufaniem obywateli spośród wszystkich rodzajów odnawialnych źródeł energii, o czym świadczy dynamiczny rozwój energetyki prosumenckiej. Z punktu widzenia gospodarki przestrzennej, instalacje PV do 1 MW mocy zainstalowanej są neutralne, zaś w poszczególnych przypadkach mogą wpływać na nią dodatnio</w:t>
      </w:r>
      <w:r w:rsidR="00767B1F" w:rsidRPr="000C3D2E">
        <w:rPr>
          <w:rFonts w:ascii="Times New Roman" w:eastAsia="Times New Roman" w:hAnsi="Times New Roman" w:cs="Times New Roman"/>
          <w:sz w:val="24"/>
          <w:szCs w:val="24"/>
          <w:lang w:eastAsia="pl-PL"/>
        </w:rPr>
        <w:t>, zastępując stare system</w:t>
      </w:r>
      <w:r w:rsidR="00E50304">
        <w:rPr>
          <w:rFonts w:ascii="Times New Roman" w:eastAsia="Times New Roman" w:hAnsi="Times New Roman" w:cs="Times New Roman"/>
          <w:sz w:val="24"/>
          <w:szCs w:val="24"/>
          <w:lang w:eastAsia="pl-PL"/>
        </w:rPr>
        <w:t>y</w:t>
      </w:r>
      <w:r w:rsidR="00767B1F" w:rsidRPr="000C3D2E">
        <w:rPr>
          <w:rFonts w:ascii="Times New Roman" w:eastAsia="Times New Roman" w:hAnsi="Times New Roman" w:cs="Times New Roman"/>
          <w:sz w:val="24"/>
          <w:szCs w:val="24"/>
          <w:lang w:eastAsia="pl-PL"/>
        </w:rPr>
        <w:t xml:space="preserve"> centralnego ogrzewania i wody użytkowej</w:t>
      </w:r>
      <w:r w:rsidRPr="00084D0D">
        <w:rPr>
          <w:rFonts w:ascii="Times New Roman" w:eastAsia="Times New Roman" w:hAnsi="Times New Roman" w:cs="Times New Roman"/>
          <w:sz w:val="24"/>
          <w:szCs w:val="24"/>
          <w:lang w:eastAsia="pl-PL"/>
        </w:rPr>
        <w:t xml:space="preserve">. Wykorzystanie tego typu urządzeń stanowi </w:t>
      </w:r>
      <w:r w:rsidR="00767B1F" w:rsidRPr="000C3D2E">
        <w:rPr>
          <w:rFonts w:ascii="Times New Roman" w:eastAsia="Times New Roman" w:hAnsi="Times New Roman" w:cs="Times New Roman"/>
          <w:sz w:val="24"/>
          <w:szCs w:val="24"/>
          <w:lang w:eastAsia="pl-PL"/>
        </w:rPr>
        <w:t>także</w:t>
      </w:r>
      <w:r w:rsidRPr="00084D0D">
        <w:rPr>
          <w:rFonts w:ascii="Times New Roman" w:eastAsia="Times New Roman" w:hAnsi="Times New Roman" w:cs="Times New Roman"/>
          <w:sz w:val="24"/>
          <w:szCs w:val="24"/>
          <w:lang w:eastAsia="pl-PL"/>
        </w:rPr>
        <w:t xml:space="preserve"> alternatywę dla zagospodarowania terenów poprzemysłowych, pogórniczych oraz słabej jakości gruntów, a także dachów </w:t>
      </w:r>
      <w:r w:rsidR="00767B1F" w:rsidRPr="000C3D2E">
        <w:rPr>
          <w:rFonts w:ascii="Times New Roman" w:eastAsia="Times New Roman" w:hAnsi="Times New Roman" w:cs="Times New Roman"/>
          <w:sz w:val="24"/>
          <w:szCs w:val="24"/>
          <w:lang w:eastAsia="pl-PL"/>
        </w:rPr>
        <w:t>wszelkich obiektów budowlanych</w:t>
      </w:r>
      <w:r w:rsidR="00312938">
        <w:rPr>
          <w:rFonts w:ascii="Times New Roman" w:eastAsia="Times New Roman" w:hAnsi="Times New Roman" w:cs="Times New Roman"/>
          <w:sz w:val="24"/>
          <w:szCs w:val="24"/>
          <w:lang w:eastAsia="pl-PL"/>
        </w:rPr>
        <w:t xml:space="preserve"> </w:t>
      </w:r>
      <w:r w:rsidR="003F0D12">
        <w:rPr>
          <w:rFonts w:ascii="Times New Roman" w:eastAsia="Times New Roman" w:hAnsi="Times New Roman" w:cs="Times New Roman"/>
          <w:sz w:val="24"/>
          <w:szCs w:val="24"/>
          <w:lang w:eastAsia="pl-PL"/>
        </w:rPr>
        <w:t xml:space="preserve">m.in. </w:t>
      </w:r>
      <w:r w:rsidR="00312938">
        <w:rPr>
          <w:rFonts w:ascii="Times New Roman" w:eastAsia="Times New Roman" w:hAnsi="Times New Roman" w:cs="Times New Roman"/>
          <w:sz w:val="24"/>
          <w:szCs w:val="24"/>
          <w:lang w:eastAsia="pl-PL"/>
        </w:rPr>
        <w:t xml:space="preserve">w </w:t>
      </w:r>
      <w:r w:rsidR="00312938" w:rsidRPr="00312938">
        <w:rPr>
          <w:rFonts w:ascii="Times New Roman" w:eastAsia="Times New Roman" w:hAnsi="Times New Roman" w:cs="Times New Roman"/>
          <w:sz w:val="24"/>
          <w:szCs w:val="24"/>
          <w:lang w:eastAsia="pl-PL"/>
        </w:rPr>
        <w:t>urządzenia nadachowe oraz BIPV</w:t>
      </w:r>
      <w:r w:rsidR="00312938">
        <w:rPr>
          <w:rFonts w:ascii="Times New Roman" w:eastAsia="Times New Roman" w:hAnsi="Times New Roman" w:cs="Times New Roman"/>
          <w:sz w:val="24"/>
          <w:szCs w:val="24"/>
          <w:lang w:eastAsia="pl-PL"/>
        </w:rPr>
        <w:t>.</w:t>
      </w:r>
    </w:p>
    <w:p w14:paraId="320B6202" w14:textId="0065402E" w:rsidR="00B23A1B" w:rsidRPr="000C3D2E" w:rsidRDefault="00B23A1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przewiduje przepis przejściowy</w:t>
      </w:r>
      <w:r w:rsidRPr="00B23A1B">
        <w:rPr>
          <w:rFonts w:ascii="Times New Roman" w:eastAsia="Times New Roman" w:hAnsi="Times New Roman" w:cs="Times New Roman"/>
          <w:sz w:val="24"/>
          <w:szCs w:val="24"/>
          <w:lang w:eastAsia="pl-PL"/>
        </w:rPr>
        <w:t xml:space="preserve"> uwzględni</w:t>
      </w:r>
      <w:r>
        <w:rPr>
          <w:rFonts w:ascii="Times New Roman" w:eastAsia="Times New Roman" w:hAnsi="Times New Roman" w:cs="Times New Roman"/>
          <w:sz w:val="24"/>
          <w:szCs w:val="24"/>
          <w:lang w:eastAsia="pl-PL"/>
        </w:rPr>
        <w:t>ający</w:t>
      </w:r>
      <w:r w:rsidRPr="00B23A1B">
        <w:rPr>
          <w:rFonts w:ascii="Times New Roman" w:eastAsia="Times New Roman" w:hAnsi="Times New Roman" w:cs="Times New Roman"/>
          <w:sz w:val="24"/>
          <w:szCs w:val="24"/>
          <w:lang w:eastAsia="pl-PL"/>
        </w:rPr>
        <w:t xml:space="preserve"> sytuacj</w:t>
      </w:r>
      <w:r>
        <w:rPr>
          <w:rFonts w:ascii="Times New Roman" w:eastAsia="Times New Roman" w:hAnsi="Times New Roman" w:cs="Times New Roman"/>
          <w:sz w:val="24"/>
          <w:szCs w:val="24"/>
          <w:lang w:eastAsia="pl-PL"/>
        </w:rPr>
        <w:t>ę</w:t>
      </w:r>
      <w:r w:rsidRPr="00B23A1B">
        <w:rPr>
          <w:rFonts w:ascii="Times New Roman" w:eastAsia="Times New Roman" w:hAnsi="Times New Roman" w:cs="Times New Roman"/>
          <w:sz w:val="24"/>
          <w:szCs w:val="24"/>
          <w:lang w:eastAsia="pl-PL"/>
        </w:rPr>
        <w:t xml:space="preserve"> wytwórców, którzy uzyskali przedłużenie terminu, o którym mowa w art. 79a ust. 1 </w:t>
      </w:r>
      <w:r>
        <w:rPr>
          <w:rFonts w:ascii="Times New Roman" w:eastAsia="Times New Roman" w:hAnsi="Times New Roman" w:cs="Times New Roman"/>
          <w:sz w:val="24"/>
          <w:szCs w:val="24"/>
          <w:lang w:eastAsia="pl-PL"/>
        </w:rPr>
        <w:t xml:space="preserve">ustawy </w:t>
      </w:r>
      <w:r w:rsidRPr="00B23A1B">
        <w:rPr>
          <w:rFonts w:ascii="Times New Roman" w:eastAsia="Times New Roman" w:hAnsi="Times New Roman" w:cs="Times New Roman"/>
          <w:sz w:val="24"/>
          <w:szCs w:val="24"/>
          <w:lang w:eastAsia="pl-PL"/>
        </w:rPr>
        <w:t>i z jego uwzględnieniem wypełnili zobowiązanie, o którym mowa w art. 79 ust. 3 pkt 8</w:t>
      </w:r>
      <w:r>
        <w:rPr>
          <w:rFonts w:ascii="Times New Roman" w:eastAsia="Times New Roman" w:hAnsi="Times New Roman" w:cs="Times New Roman"/>
          <w:sz w:val="24"/>
          <w:szCs w:val="24"/>
          <w:lang w:eastAsia="pl-PL"/>
        </w:rPr>
        <w:t xml:space="preserve"> ustawy. Zgodnie z projektowanymi regulacjami w</w:t>
      </w:r>
      <w:r w:rsidRPr="00B23A1B">
        <w:rPr>
          <w:rFonts w:ascii="Times New Roman" w:eastAsia="Times New Roman" w:hAnsi="Times New Roman" w:cs="Times New Roman"/>
          <w:sz w:val="24"/>
          <w:szCs w:val="24"/>
          <w:lang w:eastAsia="pl-PL"/>
        </w:rPr>
        <w:t>nioski, o których mowa w art. 184c ust. 1</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do których dołączono opinię akredytowanej jednostki, o której mowa w art. 77 ust. 3 ustawy z dnia 14 grudnia 2018 r. o promowaniu energii elektrycznej z wysokosprawnej kogeneracji</w:t>
      </w:r>
      <w:r>
        <w:rPr>
          <w:rFonts w:ascii="Times New Roman" w:eastAsia="Times New Roman" w:hAnsi="Times New Roman" w:cs="Times New Roman"/>
          <w:sz w:val="24"/>
          <w:szCs w:val="24"/>
          <w:lang w:eastAsia="pl-PL"/>
        </w:rPr>
        <w:t xml:space="preserve"> </w:t>
      </w:r>
      <w:r w:rsidRPr="00B23A1B">
        <w:rPr>
          <w:rFonts w:ascii="Times New Roman" w:eastAsia="Times New Roman" w:hAnsi="Times New Roman" w:cs="Times New Roman"/>
          <w:sz w:val="24"/>
          <w:szCs w:val="24"/>
          <w:lang w:eastAsia="pl-PL"/>
        </w:rPr>
        <w:t>(Dz. U. z 2020 r. poz. 250</w:t>
      </w:r>
      <w:r>
        <w:rPr>
          <w:rFonts w:ascii="Times New Roman" w:eastAsia="Times New Roman" w:hAnsi="Times New Roman" w:cs="Times New Roman"/>
          <w:sz w:val="24"/>
          <w:szCs w:val="24"/>
          <w:lang w:eastAsia="pl-PL"/>
        </w:rPr>
        <w:t>, z późn. zm.</w:t>
      </w:r>
      <w:r w:rsidRPr="00B23A1B">
        <w:rPr>
          <w:rFonts w:ascii="Times New Roman" w:eastAsia="Times New Roman" w:hAnsi="Times New Roman" w:cs="Times New Roman"/>
          <w:sz w:val="24"/>
          <w:szCs w:val="24"/>
          <w:lang w:eastAsia="pl-PL"/>
        </w:rPr>
        <w:t>), sporządzaną na podstawie badania przeprowadzonego dla danej instalacji, stwierdzającą zasadność uznania tej instalacji, za instalację, o której mowa w art. 77 ust. 5 pkt 1a, 2a, 3a, 4a, 6a, 7a, 8a, 9a lub 10a</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w tym datę pierwszego wytworzenia energii elektrycznej w wysokosprawnej kogeneracji, w przypadku wytwórcy, który wypełnił zobowiązanie, o którym mowa w art. 79 ust. 3 pkt 8</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albo wypełnił to zobowiązanie z uwzględnieniem przedłużenia terminu, o którym mowa w art. 79a ust. 1</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uznaje się za ważnie złożone.</w:t>
      </w:r>
    </w:p>
    <w:p w14:paraId="5E477AAA" w14:textId="565995EE"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Regulacja nie wywiera wpływu na zmniejszenie dochodów budżetu państwa, ponieważ zgodnie z art. 34 ust. 7 ustawy</w:t>
      </w:r>
      <w:r w:rsidR="0006643C" w:rsidRPr="0006643C">
        <w:t xml:space="preserve"> </w:t>
      </w:r>
      <w:r w:rsidR="0006643C" w:rsidRPr="0006643C">
        <w:rPr>
          <w:rFonts w:ascii="Times New Roman" w:eastAsia="Times New Roman" w:hAnsi="Times New Roman" w:cs="Times New Roman"/>
          <w:sz w:val="24"/>
          <w:szCs w:val="24"/>
          <w:lang w:eastAsia="pl-PL"/>
        </w:rPr>
        <w:t>z dnia 10 kwietnia 1997 r</w:t>
      </w:r>
      <w:r w:rsidR="0006643C">
        <w:rPr>
          <w:rFonts w:ascii="Times New Roman" w:eastAsia="Times New Roman" w:hAnsi="Times New Roman" w:cs="Times New Roman"/>
          <w:sz w:val="24"/>
          <w:szCs w:val="24"/>
          <w:lang w:eastAsia="pl-PL"/>
        </w:rPr>
        <w:t>.</w:t>
      </w:r>
      <w:r w:rsidRPr="000C3D2E">
        <w:rPr>
          <w:rFonts w:ascii="Times New Roman" w:eastAsia="Times New Roman" w:hAnsi="Times New Roman" w:cs="Times New Roman"/>
          <w:sz w:val="24"/>
          <w:szCs w:val="24"/>
          <w:lang w:eastAsia="pl-PL"/>
        </w:rPr>
        <w:t xml:space="preserve"> - Prawo energetyczne</w:t>
      </w:r>
      <w:r w:rsidR="00E50304">
        <w:rPr>
          <w:rFonts w:ascii="Times New Roman" w:eastAsia="Times New Roman" w:hAnsi="Times New Roman" w:cs="Times New Roman"/>
          <w:sz w:val="24"/>
          <w:szCs w:val="24"/>
          <w:lang w:eastAsia="pl-PL"/>
        </w:rPr>
        <w:t xml:space="preserve"> (Dz. U. z 2020 r. poz. 833, z późn. zm.)</w:t>
      </w:r>
      <w:r w:rsidRPr="000C3D2E">
        <w:rPr>
          <w:rFonts w:ascii="Times New Roman" w:eastAsia="Times New Roman" w:hAnsi="Times New Roman" w:cs="Times New Roman"/>
          <w:sz w:val="24"/>
          <w:szCs w:val="24"/>
          <w:lang w:eastAsia="pl-PL"/>
        </w:rPr>
        <w:t>, przedsiębiorstwa energetyczne wytwarzające energię elektryczną w instalacji odnawialnego źródła energii o łącznej mocy instalacji odnawialnego źródła energii nieprzekraczającej 5 MW są zwolnione z opłaty koncesyjnej w zakresie wytwarzania energii w tej instalacji.</w:t>
      </w:r>
    </w:p>
    <w:p w14:paraId="7B223E46" w14:textId="5F88D134"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W zakresie wpływu regulacji na funkcjonowanie mikro</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małych i średnich przedsiębiorstw wyjaśnienia wymaga, iż prezentowane rozwiązania legislacyjne wychodzą naprzeciw oczekiwaniom społecznym, branży oraz oczekiwaniom lokalnych przedsiębiorców, które kierowane były do administracji rządowej. Powyższy wniosek wynika z faktu istnienia obecnie niewspółmiernie skomplikowanych obciążeń związanych z prowadzeniem działalności regulowanej dla podmiotów o bardzo zbliżonej skali działalności. Obowiązek uzyskania wpisu do rejestru wytwórców energii w małej instalacji jest dla instalacji o mocy zainstalowanej elektrycznej większej niż 50 kW i mniejszej niż 500 kW, a obowiązek uzyskania koncesji od mocy zainstalowanej 500 kW i powyżej. Projektowana regulacja ma na celu zniesienie obowiązku uzyskiwania koncesji dla instalacji OZE o mocy zainstalowanej elektrycznej nie większej niż 1 MW. Powyższe spowoduje utrzymanie spójności np. </w:t>
      </w:r>
      <w:r w:rsidRPr="000C3D2E">
        <w:rPr>
          <w:rFonts w:ascii="Times New Roman" w:eastAsia="Times New Roman" w:hAnsi="Times New Roman" w:cs="Times New Roman"/>
          <w:bCs/>
          <w:sz w:val="24"/>
          <w:szCs w:val="24"/>
          <w:lang w:eastAsia="pl-PL"/>
        </w:rPr>
        <w:br/>
        <w:t>z zasadniczym podziałem w systemie aukcyjnym określonym w art. 73 ust. 3 ustawy. Jednocześnie w ocenie wnioskodawcy, niniejsza inicjatywa nie zwiększa ryzyka dla systemu elektroenergetycznego związanego z podniesieniem progu obowiązku posiadania koncesji na wytwarzanie energii elektrycznej w instalacji OZE z 0,5 MW większej niż 1 MW.</w:t>
      </w:r>
    </w:p>
    <w:p w14:paraId="6BBC05E1" w14:textId="155B4465"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Poziom skomplikowania przepisów prawnych, których adresatami są przedsiębiorcy, jak również nadmiar obowiązków administracyjno-formalnych oddziałuje na mikro</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małe i średnie przedsiębiorstwa w znacznie większym stopniu, niż na przedsiębiorstwa duże. Jako rozwiązanie powyższego, przygotowano mechanizm rejestracji adresowany dla większej liczby podmiotów eksploatujących małe instalacje odnawialnego źródła energii. </w:t>
      </w:r>
    </w:p>
    <w:p w14:paraId="273A6BB8" w14:textId="77777777"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Zakres wprowadzanych w ramach niniejszej nowelizacji zmian, przewiduje: </w:t>
      </w:r>
    </w:p>
    <w:p w14:paraId="074349BD" w14:textId="036F6996" w:rsidR="004125DB" w:rsidRPr="000C3D2E" w:rsidRDefault="004125DB" w:rsidP="0066553A">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1)</w:t>
      </w:r>
      <w:r w:rsidRPr="000C3D2E">
        <w:rPr>
          <w:rFonts w:ascii="Times New Roman" w:eastAsia="Times New Roman" w:hAnsi="Times New Roman" w:cs="Times New Roman"/>
          <w:bCs/>
          <w:sz w:val="24"/>
          <w:szCs w:val="24"/>
          <w:lang w:eastAsia="pl-PL"/>
        </w:rPr>
        <w:tab/>
        <w:t xml:space="preserve">zmniejszenie obciążeń administracyjnych dla Urzędu Regulacji Energetyki, </w:t>
      </w:r>
      <w:r w:rsidRPr="000C3D2E">
        <w:rPr>
          <w:rFonts w:ascii="Times New Roman" w:eastAsia="Times New Roman" w:hAnsi="Times New Roman" w:cs="Times New Roman"/>
          <w:bCs/>
          <w:sz w:val="24"/>
          <w:szCs w:val="24"/>
          <w:lang w:eastAsia="pl-PL"/>
        </w:rPr>
        <w:br/>
        <w:t>w zakresie obowiązku prowadzenia postępowań o udzielenie, zmianę lub cofniecie promesy koncesji albo koncesji na wytwarzanie energii elektrycznej w instancji odnawialnego źródła energii, o której mowa w art. 32 ust. 1 pkt 1 lit. b ustawy</w:t>
      </w:r>
      <w:r w:rsidR="0006643C" w:rsidRPr="0006643C">
        <w:t xml:space="preserve"> </w:t>
      </w:r>
      <w:r w:rsidR="0006643C" w:rsidRPr="0006643C">
        <w:rPr>
          <w:rFonts w:ascii="Times New Roman" w:eastAsia="Times New Roman" w:hAnsi="Times New Roman" w:cs="Times New Roman"/>
          <w:bCs/>
          <w:sz w:val="24"/>
          <w:szCs w:val="24"/>
          <w:lang w:eastAsia="pl-PL"/>
        </w:rPr>
        <w:t>z dnia 10 kwietnia 1997 r</w:t>
      </w:r>
      <w:r w:rsidRPr="000C3D2E">
        <w:rPr>
          <w:rFonts w:ascii="Times New Roman" w:eastAsia="Times New Roman" w:hAnsi="Times New Roman" w:cs="Times New Roman"/>
          <w:bCs/>
          <w:sz w:val="24"/>
          <w:szCs w:val="24"/>
          <w:lang w:eastAsia="pl-PL"/>
        </w:rPr>
        <w:t xml:space="preserve"> - Prawo energetyczne</w:t>
      </w:r>
      <w:r w:rsidR="0006643C">
        <w:rPr>
          <w:rFonts w:ascii="Times New Roman" w:eastAsia="Times New Roman" w:hAnsi="Times New Roman" w:cs="Times New Roman"/>
          <w:bCs/>
          <w:sz w:val="24"/>
          <w:szCs w:val="24"/>
          <w:lang w:eastAsia="pl-PL"/>
        </w:rPr>
        <w:t>;</w:t>
      </w:r>
    </w:p>
    <w:p w14:paraId="3B708D9C" w14:textId="2A15B5E4" w:rsidR="004125DB" w:rsidRPr="000C3D2E" w:rsidRDefault="004125DB" w:rsidP="0066553A">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2) uproszczenie procedur i zmniejszenie nakładu pracy postępowań wyjaśniających prowadzonych przez Urząd Regulacji Energetyki</w:t>
      </w:r>
      <w:r w:rsidR="0006643C">
        <w:rPr>
          <w:rFonts w:ascii="Times New Roman" w:eastAsia="Times New Roman" w:hAnsi="Times New Roman" w:cs="Times New Roman"/>
          <w:bCs/>
          <w:sz w:val="24"/>
          <w:szCs w:val="24"/>
          <w:lang w:eastAsia="pl-PL"/>
        </w:rPr>
        <w:t>.</w:t>
      </w:r>
    </w:p>
    <w:p w14:paraId="67F56B1E" w14:textId="1DEFA8D2"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Wprowadzenie powyższych ułatwień dla mikro</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małych i średnich przedsiębiorców wpisuje się w działania łagodzenia skutków wprowadzenia na terytorium Rzeczypospolitej Polskiej stanu epidemicznego.</w:t>
      </w:r>
    </w:p>
    <w:p w14:paraId="4D1B48BF" w14:textId="6B4F749C"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Projekt wejdzie w życie po upływie 14 dni od dnia ogłoszenia</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w:t>
      </w:r>
      <w:r w:rsidR="0006643C" w:rsidRPr="0006643C">
        <w:rPr>
          <w:rFonts w:ascii="Times New Roman" w:eastAsia="Times New Roman" w:hAnsi="Times New Roman" w:cs="Times New Roman"/>
          <w:bCs/>
          <w:sz w:val="24"/>
          <w:szCs w:val="24"/>
          <w:lang w:eastAsia="pl-PL"/>
        </w:rPr>
        <w:t>z wyjątkiem art. 1 pkt 10 i 21 oraz art. 7 ust. 1, które wchodzą w życie z dniem 1 stycznia 2021 r.</w:t>
      </w:r>
    </w:p>
    <w:p w14:paraId="2AC2A1FA" w14:textId="77777777" w:rsidR="004125DB" w:rsidRPr="003853E4"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3853E4">
        <w:rPr>
          <w:rFonts w:ascii="Times New Roman" w:eastAsia="Times New Roman" w:hAnsi="Times New Roman" w:cs="Times New Roman"/>
          <w:sz w:val="24"/>
          <w:szCs w:val="24"/>
          <w:lang w:eastAsia="pl-PL"/>
        </w:rPr>
        <w:t>Projekt nie jest objęty zakresem prawa Unii Europejskiej.</w:t>
      </w:r>
    </w:p>
    <w:p w14:paraId="07CCBE74" w14:textId="0CBA6670"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Projekt nie podlega procedurze notyfikacji zgodnie z trybem przewidzianym </w:t>
      </w:r>
      <w:r w:rsidRPr="000C3D2E">
        <w:rPr>
          <w:rFonts w:ascii="Times New Roman" w:eastAsia="Times New Roman" w:hAnsi="Times New Roman" w:cs="Times New Roman"/>
          <w:bCs/>
          <w:sz w:val="24"/>
          <w:szCs w:val="24"/>
          <w:lang w:eastAsia="pl-PL"/>
        </w:rPr>
        <w:br/>
        <w:t>w rozporządzeniu Rady Ministrów z dnia 23 grudnia 2002 r. w sprawie sposobu funkcjonowania krajowego systemu notyfikacji norm i aktów prawnych (Dz. U. poz. 2039</w:t>
      </w:r>
      <w:r w:rsidR="0006643C">
        <w:rPr>
          <w:rFonts w:ascii="Times New Roman" w:eastAsia="Times New Roman" w:hAnsi="Times New Roman" w:cs="Times New Roman"/>
          <w:bCs/>
          <w:sz w:val="24"/>
          <w:szCs w:val="24"/>
          <w:lang w:eastAsia="pl-PL"/>
        </w:rPr>
        <w:t>, z późn. zm.).</w:t>
      </w:r>
    </w:p>
    <w:p w14:paraId="54B31852" w14:textId="52E85205"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Projekt nie podlega obowiązkowi uzyskania opinii organów i instytucji Unii Europejskiej, </w:t>
      </w:r>
      <w:r w:rsidRPr="000C3D2E">
        <w:rPr>
          <w:rFonts w:ascii="Times New Roman" w:eastAsia="Times New Roman" w:hAnsi="Times New Roman" w:cs="Times New Roman"/>
          <w:bCs/>
          <w:sz w:val="24"/>
          <w:szCs w:val="24"/>
          <w:lang w:eastAsia="pl-PL"/>
        </w:rPr>
        <w:br/>
        <w:t>w tym Europejskiego Banku Centralnego, o którym mowa w § 39 uchwały nr 190 Rady Ministrów z dnia 29 października 2013 r. – Regulamin pracy Rady Ministrów (M.P. z 2016 r. poz. 1006</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z późn. zm.).</w:t>
      </w:r>
    </w:p>
    <w:p w14:paraId="75B8D3C2" w14:textId="77777777"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p>
    <w:p w14:paraId="4EA0AEBD" w14:textId="77777777" w:rsidR="00FC6793" w:rsidRPr="000C3D2E" w:rsidRDefault="00FC6793" w:rsidP="0066553A">
      <w:pPr>
        <w:spacing w:after="0" w:line="276" w:lineRule="auto"/>
        <w:rPr>
          <w:rFonts w:ascii="Times New Roman" w:hAnsi="Times New Roman" w:cs="Times New Roman"/>
          <w:sz w:val="24"/>
          <w:szCs w:val="24"/>
        </w:rPr>
      </w:pPr>
    </w:p>
    <w:sectPr w:rsidR="00FC6793" w:rsidRPr="000C3D2E"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C227" w16cex:dateUtc="2020-07-21T17:36:00Z"/>
  <w16cex:commentExtensible w16cex:durableId="22C1C114" w16cex:dateUtc="2020-07-21T17:31:00Z"/>
  <w16cex:commentExtensible w16cex:durableId="22C1C202" w16cex:dateUtc="2020-07-21T17:35:00Z"/>
  <w16cex:commentExtensible w16cex:durableId="22C1C17F" w16cex:dateUtc="2020-07-21T17:3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899B" w14:textId="77777777" w:rsidR="00C8475F" w:rsidRDefault="00C8475F" w:rsidP="004125DB">
      <w:pPr>
        <w:spacing w:after="0" w:line="240" w:lineRule="auto"/>
      </w:pPr>
      <w:r>
        <w:separator/>
      </w:r>
    </w:p>
  </w:endnote>
  <w:endnote w:type="continuationSeparator" w:id="0">
    <w:p w14:paraId="585026C2" w14:textId="77777777" w:rsidR="00C8475F" w:rsidRDefault="00C8475F" w:rsidP="0041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C478" w14:textId="77777777" w:rsidR="00C8475F" w:rsidRDefault="00C8475F" w:rsidP="004125DB">
      <w:pPr>
        <w:spacing w:after="0" w:line="240" w:lineRule="auto"/>
      </w:pPr>
      <w:r>
        <w:separator/>
      </w:r>
    </w:p>
  </w:footnote>
  <w:footnote w:type="continuationSeparator" w:id="0">
    <w:p w14:paraId="50623340" w14:textId="77777777" w:rsidR="00C8475F" w:rsidRDefault="00C8475F" w:rsidP="0041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9707" w14:textId="4E66BC1B" w:rsidR="00CC3E3D" w:rsidRPr="00B371CC" w:rsidRDefault="00690BF9" w:rsidP="00B371CC">
    <w:pPr>
      <w:pStyle w:val="Nagwek"/>
      <w:jc w:val="center"/>
    </w:pPr>
    <w:r>
      <w:t xml:space="preserve">– </w:t>
    </w:r>
    <w:r>
      <w:fldChar w:fldCharType="begin"/>
    </w:r>
    <w:r>
      <w:instrText xml:space="preserve"> PAGE  \* MERGEFORMAT </w:instrText>
    </w:r>
    <w:r>
      <w:fldChar w:fldCharType="separate"/>
    </w:r>
    <w:r w:rsidR="00B24A18">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C41"/>
    <w:multiLevelType w:val="hybridMultilevel"/>
    <w:tmpl w:val="2E700D84"/>
    <w:lvl w:ilvl="0" w:tplc="A7C0E29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74FB7"/>
    <w:multiLevelType w:val="hybridMultilevel"/>
    <w:tmpl w:val="B9DEF2E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F0E72"/>
    <w:multiLevelType w:val="hybridMultilevel"/>
    <w:tmpl w:val="CEC614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130680"/>
    <w:multiLevelType w:val="hybridMultilevel"/>
    <w:tmpl w:val="F1E6984A"/>
    <w:lvl w:ilvl="0" w:tplc="835CC9A0">
      <w:start w:val="1"/>
      <w:numFmt w:val="decimal"/>
      <w:lvlText w:val="%1)"/>
      <w:lvlJc w:val="left"/>
      <w:pPr>
        <w:ind w:left="1080" w:hanging="720"/>
      </w:pPr>
      <w:rPr>
        <w:rFonts w:hint="default"/>
      </w:rPr>
    </w:lvl>
    <w:lvl w:ilvl="1" w:tplc="CEAA04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C388C"/>
    <w:multiLevelType w:val="hybridMultilevel"/>
    <w:tmpl w:val="3B8E45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7F1FA0"/>
    <w:multiLevelType w:val="hybridMultilevel"/>
    <w:tmpl w:val="FAD68F48"/>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46120B"/>
    <w:multiLevelType w:val="hybridMultilevel"/>
    <w:tmpl w:val="9F82C56E"/>
    <w:lvl w:ilvl="0" w:tplc="14D81728">
      <w:start w:val="1"/>
      <w:numFmt w:val="decimal"/>
      <w:lvlText w:val="%1)"/>
      <w:lvlJc w:val="left"/>
      <w:pPr>
        <w:ind w:left="1440" w:hanging="93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B"/>
    <w:rsid w:val="00013A68"/>
    <w:rsid w:val="0003080E"/>
    <w:rsid w:val="00057122"/>
    <w:rsid w:val="0006643C"/>
    <w:rsid w:val="00073830"/>
    <w:rsid w:val="00084D0D"/>
    <w:rsid w:val="000A5C19"/>
    <w:rsid w:val="000B06A1"/>
    <w:rsid w:val="000C3D2E"/>
    <w:rsid w:val="000E0851"/>
    <w:rsid w:val="000F3708"/>
    <w:rsid w:val="00104786"/>
    <w:rsid w:val="00127D0B"/>
    <w:rsid w:val="0016054D"/>
    <w:rsid w:val="001724E1"/>
    <w:rsid w:val="001C227A"/>
    <w:rsid w:val="001C2AA6"/>
    <w:rsid w:val="001F5AEE"/>
    <w:rsid w:val="00213998"/>
    <w:rsid w:val="002711AC"/>
    <w:rsid w:val="0028377E"/>
    <w:rsid w:val="002A333C"/>
    <w:rsid w:val="002A51BB"/>
    <w:rsid w:val="002A589E"/>
    <w:rsid w:val="002E31FD"/>
    <w:rsid w:val="00312938"/>
    <w:rsid w:val="00312DDB"/>
    <w:rsid w:val="00323FA1"/>
    <w:rsid w:val="00331CEC"/>
    <w:rsid w:val="003463C7"/>
    <w:rsid w:val="003522A6"/>
    <w:rsid w:val="00352ABE"/>
    <w:rsid w:val="00364560"/>
    <w:rsid w:val="00365E9B"/>
    <w:rsid w:val="003853E4"/>
    <w:rsid w:val="003A38E6"/>
    <w:rsid w:val="003A5354"/>
    <w:rsid w:val="003E7265"/>
    <w:rsid w:val="003F0D12"/>
    <w:rsid w:val="003F188E"/>
    <w:rsid w:val="004125DB"/>
    <w:rsid w:val="004125F3"/>
    <w:rsid w:val="00463C2F"/>
    <w:rsid w:val="00470E0E"/>
    <w:rsid w:val="00485285"/>
    <w:rsid w:val="004A2C43"/>
    <w:rsid w:val="004D7B26"/>
    <w:rsid w:val="00505791"/>
    <w:rsid w:val="0053194A"/>
    <w:rsid w:val="00534019"/>
    <w:rsid w:val="00553D51"/>
    <w:rsid w:val="005662B1"/>
    <w:rsid w:val="00571435"/>
    <w:rsid w:val="00587A1B"/>
    <w:rsid w:val="00592211"/>
    <w:rsid w:val="00593C49"/>
    <w:rsid w:val="005C146A"/>
    <w:rsid w:val="005F32FC"/>
    <w:rsid w:val="00612C33"/>
    <w:rsid w:val="006254FD"/>
    <w:rsid w:val="00626599"/>
    <w:rsid w:val="0066553A"/>
    <w:rsid w:val="00686BF3"/>
    <w:rsid w:val="00690BF9"/>
    <w:rsid w:val="00694112"/>
    <w:rsid w:val="006C1B1A"/>
    <w:rsid w:val="006E6524"/>
    <w:rsid w:val="0070014F"/>
    <w:rsid w:val="00707F4E"/>
    <w:rsid w:val="00717D7C"/>
    <w:rsid w:val="007452EB"/>
    <w:rsid w:val="007574DB"/>
    <w:rsid w:val="00767B1F"/>
    <w:rsid w:val="007A4517"/>
    <w:rsid w:val="007C4696"/>
    <w:rsid w:val="007D6733"/>
    <w:rsid w:val="007F05AE"/>
    <w:rsid w:val="00854D0C"/>
    <w:rsid w:val="008A3675"/>
    <w:rsid w:val="009158EE"/>
    <w:rsid w:val="00920159"/>
    <w:rsid w:val="009215D0"/>
    <w:rsid w:val="00986791"/>
    <w:rsid w:val="009952FB"/>
    <w:rsid w:val="009B6683"/>
    <w:rsid w:val="00A07BA0"/>
    <w:rsid w:val="00A22606"/>
    <w:rsid w:val="00A254BF"/>
    <w:rsid w:val="00A5271A"/>
    <w:rsid w:val="00A57E49"/>
    <w:rsid w:val="00A62137"/>
    <w:rsid w:val="00AA3311"/>
    <w:rsid w:val="00AC23C9"/>
    <w:rsid w:val="00AD35D1"/>
    <w:rsid w:val="00AD530C"/>
    <w:rsid w:val="00B23A1B"/>
    <w:rsid w:val="00B24A18"/>
    <w:rsid w:val="00B24C72"/>
    <w:rsid w:val="00B63ED6"/>
    <w:rsid w:val="00B85238"/>
    <w:rsid w:val="00BB7E73"/>
    <w:rsid w:val="00BC6638"/>
    <w:rsid w:val="00C03A7A"/>
    <w:rsid w:val="00C057DC"/>
    <w:rsid w:val="00C511DB"/>
    <w:rsid w:val="00C63E96"/>
    <w:rsid w:val="00C73950"/>
    <w:rsid w:val="00C82869"/>
    <w:rsid w:val="00C8475F"/>
    <w:rsid w:val="00CB0280"/>
    <w:rsid w:val="00CB4D51"/>
    <w:rsid w:val="00CF71A4"/>
    <w:rsid w:val="00D115BE"/>
    <w:rsid w:val="00D22A6C"/>
    <w:rsid w:val="00D24102"/>
    <w:rsid w:val="00D64A36"/>
    <w:rsid w:val="00D67A22"/>
    <w:rsid w:val="00D80526"/>
    <w:rsid w:val="00D9531F"/>
    <w:rsid w:val="00DA1E62"/>
    <w:rsid w:val="00DB7BE2"/>
    <w:rsid w:val="00DC79CC"/>
    <w:rsid w:val="00DF6B72"/>
    <w:rsid w:val="00E11F29"/>
    <w:rsid w:val="00E17685"/>
    <w:rsid w:val="00E50004"/>
    <w:rsid w:val="00E50304"/>
    <w:rsid w:val="00E54E94"/>
    <w:rsid w:val="00E66D87"/>
    <w:rsid w:val="00E84EF2"/>
    <w:rsid w:val="00E90E23"/>
    <w:rsid w:val="00E93D90"/>
    <w:rsid w:val="00EB2EC3"/>
    <w:rsid w:val="00F2634E"/>
    <w:rsid w:val="00F450B7"/>
    <w:rsid w:val="00F64085"/>
    <w:rsid w:val="00FA6353"/>
    <w:rsid w:val="00FB36E1"/>
    <w:rsid w:val="00FC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125DB"/>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4125DB"/>
    <w:rPr>
      <w:lang w:val="pl-PL"/>
    </w:rPr>
  </w:style>
  <w:style w:type="character" w:styleId="Odwoanieprzypisudolnego">
    <w:name w:val="footnote reference"/>
    <w:uiPriority w:val="99"/>
    <w:semiHidden/>
    <w:rsid w:val="004125DB"/>
    <w:rPr>
      <w:rFonts w:cs="Times New Roman"/>
      <w:vertAlign w:val="superscript"/>
    </w:rPr>
  </w:style>
  <w:style w:type="paragraph" w:customStyle="1" w:styleId="ODNONIKtreodnonika">
    <w:name w:val="ODNOŚNIK – treść odnośnika"/>
    <w:uiPriority w:val="19"/>
    <w:qFormat/>
    <w:rsid w:val="004125DB"/>
    <w:pPr>
      <w:spacing w:after="0" w:line="240" w:lineRule="auto"/>
      <w:ind w:left="284" w:hanging="284"/>
      <w:jc w:val="both"/>
    </w:pPr>
    <w:rPr>
      <w:rFonts w:ascii="Times New Roman" w:eastAsia="Times New Roman" w:hAnsi="Times New Roman" w:cs="Arial"/>
      <w:sz w:val="20"/>
      <w:szCs w:val="20"/>
      <w:lang w:val="pl-PL" w:eastAsia="pl-PL"/>
    </w:rPr>
  </w:style>
  <w:style w:type="paragraph" w:styleId="Akapitzlist">
    <w:name w:val="List Paragraph"/>
    <w:basedOn w:val="Normalny"/>
    <w:uiPriority w:val="34"/>
    <w:qFormat/>
    <w:rsid w:val="00A62137"/>
    <w:pPr>
      <w:ind w:left="720"/>
      <w:contextualSpacing/>
    </w:pPr>
  </w:style>
  <w:style w:type="paragraph" w:styleId="Tekstdymka">
    <w:name w:val="Balloon Text"/>
    <w:basedOn w:val="Normalny"/>
    <w:link w:val="TekstdymkaZnak"/>
    <w:uiPriority w:val="99"/>
    <w:semiHidden/>
    <w:unhideWhenUsed/>
    <w:rsid w:val="00323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FA1"/>
    <w:rPr>
      <w:rFonts w:ascii="Segoe UI" w:hAnsi="Segoe UI" w:cs="Segoe UI"/>
      <w:sz w:val="18"/>
      <w:szCs w:val="18"/>
      <w:lang w:val="pl-PL"/>
    </w:rPr>
  </w:style>
  <w:style w:type="character" w:styleId="Odwoaniedokomentarza">
    <w:name w:val="annotation reference"/>
    <w:basedOn w:val="Domylnaczcionkaakapitu"/>
    <w:uiPriority w:val="99"/>
    <w:semiHidden/>
    <w:unhideWhenUsed/>
    <w:rsid w:val="00084D0D"/>
    <w:rPr>
      <w:sz w:val="16"/>
      <w:szCs w:val="16"/>
    </w:rPr>
  </w:style>
  <w:style w:type="paragraph" w:styleId="Tekstkomentarza">
    <w:name w:val="annotation text"/>
    <w:basedOn w:val="Normalny"/>
    <w:link w:val="TekstkomentarzaZnak"/>
    <w:uiPriority w:val="99"/>
    <w:semiHidden/>
    <w:unhideWhenUsed/>
    <w:rsid w:val="00084D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D0D"/>
    <w:rPr>
      <w:sz w:val="20"/>
      <w:szCs w:val="20"/>
      <w:lang w:val="pl-PL"/>
    </w:rPr>
  </w:style>
  <w:style w:type="paragraph" w:customStyle="1" w:styleId="USTustnpkodeksu">
    <w:name w:val="UST(§) – ust. (§ np. kodeksu)"/>
    <w:basedOn w:val="Normalny"/>
    <w:uiPriority w:val="12"/>
    <w:qFormat/>
    <w:rsid w:val="00084D0D"/>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084D0D"/>
    <w:pPr>
      <w:spacing w:after="0" w:line="360" w:lineRule="auto"/>
      <w:ind w:left="510" w:hanging="510"/>
      <w:jc w:val="both"/>
    </w:pPr>
    <w:rPr>
      <w:rFonts w:ascii="Times" w:eastAsiaTheme="minorEastAsia" w:hAnsi="Times" w:cs="Arial"/>
      <w:bCs/>
      <w:sz w:val="24"/>
      <w:szCs w:val="20"/>
      <w:lang w:val="pl-PL" w:eastAsia="pl-PL"/>
    </w:rPr>
  </w:style>
  <w:style w:type="paragraph" w:styleId="Tematkomentarza">
    <w:name w:val="annotation subject"/>
    <w:basedOn w:val="Tekstkomentarza"/>
    <w:next w:val="Tekstkomentarza"/>
    <w:link w:val="TematkomentarzaZnak"/>
    <w:uiPriority w:val="99"/>
    <w:semiHidden/>
    <w:unhideWhenUsed/>
    <w:rsid w:val="00626599"/>
    <w:rPr>
      <w:b/>
      <w:bCs/>
    </w:rPr>
  </w:style>
  <w:style w:type="character" w:customStyle="1" w:styleId="TematkomentarzaZnak">
    <w:name w:val="Temat komentarza Znak"/>
    <w:basedOn w:val="TekstkomentarzaZnak"/>
    <w:link w:val="Tematkomentarza"/>
    <w:uiPriority w:val="99"/>
    <w:semiHidden/>
    <w:rsid w:val="00626599"/>
    <w:rPr>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125DB"/>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4125DB"/>
    <w:rPr>
      <w:lang w:val="pl-PL"/>
    </w:rPr>
  </w:style>
  <w:style w:type="character" w:styleId="Odwoanieprzypisudolnego">
    <w:name w:val="footnote reference"/>
    <w:uiPriority w:val="99"/>
    <w:semiHidden/>
    <w:rsid w:val="004125DB"/>
    <w:rPr>
      <w:rFonts w:cs="Times New Roman"/>
      <w:vertAlign w:val="superscript"/>
    </w:rPr>
  </w:style>
  <w:style w:type="paragraph" w:customStyle="1" w:styleId="ODNONIKtreodnonika">
    <w:name w:val="ODNOŚNIK – treść odnośnika"/>
    <w:uiPriority w:val="19"/>
    <w:qFormat/>
    <w:rsid w:val="004125DB"/>
    <w:pPr>
      <w:spacing w:after="0" w:line="240" w:lineRule="auto"/>
      <w:ind w:left="284" w:hanging="284"/>
      <w:jc w:val="both"/>
    </w:pPr>
    <w:rPr>
      <w:rFonts w:ascii="Times New Roman" w:eastAsia="Times New Roman" w:hAnsi="Times New Roman" w:cs="Arial"/>
      <w:sz w:val="20"/>
      <w:szCs w:val="20"/>
      <w:lang w:val="pl-PL" w:eastAsia="pl-PL"/>
    </w:rPr>
  </w:style>
  <w:style w:type="paragraph" w:styleId="Akapitzlist">
    <w:name w:val="List Paragraph"/>
    <w:basedOn w:val="Normalny"/>
    <w:uiPriority w:val="34"/>
    <w:qFormat/>
    <w:rsid w:val="00A62137"/>
    <w:pPr>
      <w:ind w:left="720"/>
      <w:contextualSpacing/>
    </w:pPr>
  </w:style>
  <w:style w:type="paragraph" w:styleId="Tekstdymka">
    <w:name w:val="Balloon Text"/>
    <w:basedOn w:val="Normalny"/>
    <w:link w:val="TekstdymkaZnak"/>
    <w:uiPriority w:val="99"/>
    <w:semiHidden/>
    <w:unhideWhenUsed/>
    <w:rsid w:val="00323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FA1"/>
    <w:rPr>
      <w:rFonts w:ascii="Segoe UI" w:hAnsi="Segoe UI" w:cs="Segoe UI"/>
      <w:sz w:val="18"/>
      <w:szCs w:val="18"/>
      <w:lang w:val="pl-PL"/>
    </w:rPr>
  </w:style>
  <w:style w:type="character" w:styleId="Odwoaniedokomentarza">
    <w:name w:val="annotation reference"/>
    <w:basedOn w:val="Domylnaczcionkaakapitu"/>
    <w:uiPriority w:val="99"/>
    <w:semiHidden/>
    <w:unhideWhenUsed/>
    <w:rsid w:val="00084D0D"/>
    <w:rPr>
      <w:sz w:val="16"/>
      <w:szCs w:val="16"/>
    </w:rPr>
  </w:style>
  <w:style w:type="paragraph" w:styleId="Tekstkomentarza">
    <w:name w:val="annotation text"/>
    <w:basedOn w:val="Normalny"/>
    <w:link w:val="TekstkomentarzaZnak"/>
    <w:uiPriority w:val="99"/>
    <w:semiHidden/>
    <w:unhideWhenUsed/>
    <w:rsid w:val="00084D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D0D"/>
    <w:rPr>
      <w:sz w:val="20"/>
      <w:szCs w:val="20"/>
      <w:lang w:val="pl-PL"/>
    </w:rPr>
  </w:style>
  <w:style w:type="paragraph" w:customStyle="1" w:styleId="USTustnpkodeksu">
    <w:name w:val="UST(§) – ust. (§ np. kodeksu)"/>
    <w:basedOn w:val="Normalny"/>
    <w:uiPriority w:val="12"/>
    <w:qFormat/>
    <w:rsid w:val="00084D0D"/>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084D0D"/>
    <w:pPr>
      <w:spacing w:after="0" w:line="360" w:lineRule="auto"/>
      <w:ind w:left="510" w:hanging="510"/>
      <w:jc w:val="both"/>
    </w:pPr>
    <w:rPr>
      <w:rFonts w:ascii="Times" w:eastAsiaTheme="minorEastAsia" w:hAnsi="Times" w:cs="Arial"/>
      <w:bCs/>
      <w:sz w:val="24"/>
      <w:szCs w:val="20"/>
      <w:lang w:val="pl-PL" w:eastAsia="pl-PL"/>
    </w:rPr>
  </w:style>
  <w:style w:type="paragraph" w:styleId="Tematkomentarza">
    <w:name w:val="annotation subject"/>
    <w:basedOn w:val="Tekstkomentarza"/>
    <w:next w:val="Tekstkomentarza"/>
    <w:link w:val="TematkomentarzaZnak"/>
    <w:uiPriority w:val="99"/>
    <w:semiHidden/>
    <w:unhideWhenUsed/>
    <w:rsid w:val="00626599"/>
    <w:rPr>
      <w:b/>
      <w:bCs/>
    </w:rPr>
  </w:style>
  <w:style w:type="character" w:customStyle="1" w:styleId="TematkomentarzaZnak">
    <w:name w:val="Temat komentarza Znak"/>
    <w:basedOn w:val="TekstkomentarzaZnak"/>
    <w:link w:val="Tematkomentarza"/>
    <w:uiPriority w:val="99"/>
    <w:semiHidden/>
    <w:rsid w:val="00626599"/>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72B3-078B-4E2D-A0C9-1279D332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3031</Words>
  <Characters>18191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Związek Pracodawców Polska Miedź</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 MK</dc:creator>
  <cp:lastModifiedBy>ZPPM</cp:lastModifiedBy>
  <cp:revision>2</cp:revision>
  <cp:lastPrinted>2020-05-06T17:21:00Z</cp:lastPrinted>
  <dcterms:created xsi:type="dcterms:W3CDTF">2020-08-06T08:44:00Z</dcterms:created>
  <dcterms:modified xsi:type="dcterms:W3CDTF">2020-08-06T08:44:00Z</dcterms:modified>
</cp:coreProperties>
</file>