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B22F00" w14:textId="77777777" w:rsidR="00AC1495" w:rsidRPr="00140CD5" w:rsidRDefault="00AC1495" w:rsidP="00140CD5">
      <w:pPr>
        <w:spacing w:after="120" w:line="276" w:lineRule="auto"/>
        <w:jc w:val="center"/>
        <w:rPr>
          <w:rFonts w:ascii="Times New Roman" w:eastAsia="Times New Roman" w:hAnsi="Times New Roman" w:cs="Times New Roman"/>
          <w:bCs/>
          <w:sz w:val="24"/>
          <w:szCs w:val="24"/>
          <w:lang w:eastAsia="pl-PL"/>
        </w:rPr>
      </w:pPr>
      <w:bookmarkStart w:id="0" w:name="_GoBack"/>
      <w:bookmarkEnd w:id="0"/>
      <w:r w:rsidRPr="00140CD5">
        <w:rPr>
          <w:rFonts w:ascii="Times New Roman" w:eastAsia="Times New Roman" w:hAnsi="Times New Roman" w:cs="Times New Roman"/>
          <w:bCs/>
          <w:sz w:val="24"/>
          <w:szCs w:val="24"/>
          <w:lang w:eastAsia="pl-PL"/>
        </w:rPr>
        <w:t>UZASADNIENIE</w:t>
      </w:r>
    </w:p>
    <w:p w14:paraId="37C21467" w14:textId="77777777" w:rsidR="008E70DF" w:rsidRPr="00140CD5" w:rsidRDefault="008E70DF" w:rsidP="00140CD5">
      <w:pPr>
        <w:spacing w:after="120" w:line="276" w:lineRule="auto"/>
        <w:rPr>
          <w:rFonts w:ascii="Times New Roman" w:eastAsia="Times New Roman" w:hAnsi="Times New Roman" w:cs="Times New Roman"/>
          <w:b/>
          <w:bCs/>
          <w:smallCaps/>
          <w:sz w:val="24"/>
          <w:szCs w:val="24"/>
          <w:lang w:eastAsia="pl-PL"/>
        </w:rPr>
      </w:pPr>
    </w:p>
    <w:p w14:paraId="2B958192" w14:textId="77777777" w:rsidR="00AC1495" w:rsidRPr="00140CD5" w:rsidRDefault="00AC1495" w:rsidP="00140CD5">
      <w:pPr>
        <w:pStyle w:val="Akapitzlist"/>
        <w:numPr>
          <w:ilvl w:val="0"/>
          <w:numId w:val="7"/>
        </w:numPr>
        <w:spacing w:after="120" w:line="276" w:lineRule="auto"/>
        <w:rPr>
          <w:rFonts w:ascii="Times New Roman" w:eastAsia="Times New Roman" w:hAnsi="Times New Roman" w:cs="Times New Roman"/>
          <w:b/>
          <w:bCs/>
          <w:sz w:val="24"/>
          <w:szCs w:val="24"/>
          <w:lang w:eastAsia="pl-PL"/>
        </w:rPr>
      </w:pPr>
      <w:r w:rsidRPr="00140CD5">
        <w:rPr>
          <w:rFonts w:ascii="Times New Roman" w:eastAsia="Times New Roman" w:hAnsi="Times New Roman" w:cs="Times New Roman"/>
          <w:b/>
          <w:bCs/>
          <w:sz w:val="24"/>
          <w:szCs w:val="24"/>
          <w:lang w:eastAsia="pl-PL"/>
        </w:rPr>
        <w:t xml:space="preserve">Potrzeba i cel </w:t>
      </w:r>
      <w:r w:rsidR="000157B8" w:rsidRPr="00140CD5">
        <w:rPr>
          <w:rFonts w:ascii="Times New Roman" w:eastAsia="Times New Roman" w:hAnsi="Times New Roman" w:cs="Times New Roman"/>
          <w:b/>
          <w:bCs/>
          <w:sz w:val="24"/>
          <w:szCs w:val="24"/>
          <w:lang w:eastAsia="pl-PL"/>
        </w:rPr>
        <w:t>wydania aktu normatywnego</w:t>
      </w:r>
    </w:p>
    <w:p w14:paraId="219882D3" w14:textId="127DE3F2" w:rsidR="004C736D" w:rsidRPr="00140CD5" w:rsidRDefault="004C736D" w:rsidP="00140CD5">
      <w:pPr>
        <w:spacing w:after="120" w:line="276" w:lineRule="auto"/>
        <w:jc w:val="both"/>
        <w:rPr>
          <w:rFonts w:ascii="Times New Roman" w:hAnsi="Times New Roman" w:cs="Times New Roman"/>
          <w:sz w:val="24"/>
          <w:szCs w:val="24"/>
        </w:rPr>
      </w:pPr>
      <w:r w:rsidRPr="00140CD5">
        <w:rPr>
          <w:rFonts w:ascii="Times New Roman" w:hAnsi="Times New Roman" w:cs="Times New Roman"/>
          <w:sz w:val="24"/>
          <w:szCs w:val="24"/>
        </w:rPr>
        <w:t>Celem projektu ustawy o zmianie ustawy z dnia 16 lutego 2007 r.  o ochronie konkurencji i konsumentów</w:t>
      </w:r>
      <w:r w:rsidR="001F2EF8">
        <w:rPr>
          <w:rFonts w:ascii="Times New Roman" w:hAnsi="Times New Roman" w:cs="Times New Roman"/>
          <w:sz w:val="24"/>
          <w:szCs w:val="24"/>
        </w:rPr>
        <w:t xml:space="preserve"> (Dz. U. z 2020 r. poz. 1076 t</w:t>
      </w:r>
      <w:r w:rsidR="00BF39C5">
        <w:rPr>
          <w:rFonts w:ascii="Times New Roman" w:hAnsi="Times New Roman" w:cs="Times New Roman"/>
          <w:sz w:val="24"/>
          <w:szCs w:val="24"/>
        </w:rPr>
        <w:t>j. oraz poz. 1076</w:t>
      </w:r>
      <w:r w:rsidR="00413A34" w:rsidRPr="00140CD5">
        <w:rPr>
          <w:rFonts w:ascii="Times New Roman" w:hAnsi="Times New Roman" w:cs="Times New Roman"/>
          <w:sz w:val="24"/>
          <w:szCs w:val="24"/>
        </w:rPr>
        <w:t>) (dalej zwaną ustawą okik)</w:t>
      </w:r>
      <w:r w:rsidRPr="00140CD5">
        <w:rPr>
          <w:rFonts w:ascii="Times New Roman" w:hAnsi="Times New Roman" w:cs="Times New Roman"/>
          <w:sz w:val="24"/>
          <w:szCs w:val="24"/>
        </w:rPr>
        <w:t xml:space="preserve"> jest  podniesienie poziomu ochrony konsumentów oraz zwiększenie skuteczności działania Prezesa Urzędu Ochrony Konkurencji i Konsumentów poprzez wdrożenie do polskiego porządku prawnego rozporządzenia nr 2017/</w:t>
      </w:r>
      <w:r w:rsidR="00BF39C5">
        <w:rPr>
          <w:rFonts w:ascii="Times New Roman" w:hAnsi="Times New Roman" w:cs="Times New Roman"/>
          <w:sz w:val="24"/>
          <w:szCs w:val="24"/>
        </w:rPr>
        <w:t>2394 Parlamentu Europejskiego i </w:t>
      </w:r>
      <w:r w:rsidRPr="00140CD5">
        <w:rPr>
          <w:rFonts w:ascii="Times New Roman" w:hAnsi="Times New Roman" w:cs="Times New Roman"/>
          <w:sz w:val="24"/>
          <w:szCs w:val="24"/>
        </w:rPr>
        <w:t>Rady z dnia 12 grudnia 2017 r. w sprawie współpracy między organami krajowymi odpowiedzialnymi za egzekwowanie przepisów prawa w zakresie ochrony konsumentów i uchylające rozporządzenie nr 20</w:t>
      </w:r>
      <w:r w:rsidR="008E70DF" w:rsidRPr="00140CD5">
        <w:rPr>
          <w:rFonts w:ascii="Times New Roman" w:hAnsi="Times New Roman" w:cs="Times New Roman"/>
          <w:sz w:val="24"/>
          <w:szCs w:val="24"/>
        </w:rPr>
        <w:t>06/2004/WE (rozporządzenie CPC)</w:t>
      </w:r>
      <w:r w:rsidRPr="00140CD5">
        <w:rPr>
          <w:rFonts w:ascii="Times New Roman" w:hAnsi="Times New Roman" w:cs="Times New Roman"/>
          <w:sz w:val="24"/>
          <w:szCs w:val="24"/>
        </w:rPr>
        <w:t>.</w:t>
      </w:r>
    </w:p>
    <w:p w14:paraId="72DFA8BF" w14:textId="77777777" w:rsidR="004C736D" w:rsidRPr="00140CD5" w:rsidRDefault="004C736D" w:rsidP="00140CD5">
      <w:pPr>
        <w:spacing w:after="120" w:line="276" w:lineRule="auto"/>
        <w:jc w:val="both"/>
        <w:rPr>
          <w:rFonts w:ascii="Times New Roman" w:hAnsi="Times New Roman" w:cs="Times New Roman"/>
          <w:noProof/>
          <w:sz w:val="24"/>
          <w:szCs w:val="24"/>
        </w:rPr>
      </w:pPr>
      <w:r w:rsidRPr="00140CD5">
        <w:rPr>
          <w:rFonts w:ascii="Times New Roman" w:hAnsi="Times New Roman" w:cs="Times New Roman"/>
          <w:noProof/>
          <w:sz w:val="24"/>
          <w:szCs w:val="24"/>
        </w:rPr>
        <w:t>Ochrona konsumentów stanowi w dzisiejszym świecie coraz większe wyzwanie, z uwagi na zmiany zachodzące w obrocie gospodarczym. Ro</w:t>
      </w:r>
      <w:r w:rsidR="00E85F21">
        <w:rPr>
          <w:rFonts w:ascii="Times New Roman" w:hAnsi="Times New Roman" w:cs="Times New Roman"/>
          <w:noProof/>
          <w:sz w:val="24"/>
          <w:szCs w:val="24"/>
        </w:rPr>
        <w:t>zwój nowoczesnych technologii i </w:t>
      </w:r>
      <w:r w:rsidRPr="00140CD5">
        <w:rPr>
          <w:rFonts w:ascii="Times New Roman" w:hAnsi="Times New Roman" w:cs="Times New Roman"/>
          <w:noProof/>
          <w:sz w:val="24"/>
          <w:szCs w:val="24"/>
        </w:rPr>
        <w:t>związana z nim postępująca cyfryzacja gospodarki w tym w szczególności usług finansowych (FinTech), oprócz korzyści, przynosi również zagrożenia dla sytuacji kon</w:t>
      </w:r>
      <w:r w:rsidR="00446A20" w:rsidRPr="00140CD5">
        <w:rPr>
          <w:rFonts w:ascii="Times New Roman" w:hAnsi="Times New Roman" w:cs="Times New Roman"/>
          <w:noProof/>
          <w:sz w:val="24"/>
          <w:szCs w:val="24"/>
        </w:rPr>
        <w:t>s</w:t>
      </w:r>
      <w:r w:rsidRPr="00140CD5">
        <w:rPr>
          <w:rFonts w:ascii="Times New Roman" w:hAnsi="Times New Roman" w:cs="Times New Roman"/>
          <w:noProof/>
          <w:sz w:val="24"/>
          <w:szCs w:val="24"/>
        </w:rPr>
        <w:t>umentów. Gospodarka cyfrowa umożliwia łatwiejsze przenoszenie działalności gospodarczej i dotarcie do szerokiego grona konsumentów. Rozwój ten w ostatnim dziesięcioleciu ulega coraz większemu przyspieszeniu w zakresie oferowanych konsumentom nowych, coraz bardziej różnorodnych</w:t>
      </w:r>
      <w:r w:rsidR="00E85F21">
        <w:rPr>
          <w:rFonts w:ascii="Times New Roman" w:hAnsi="Times New Roman" w:cs="Times New Roman"/>
          <w:noProof/>
          <w:sz w:val="24"/>
          <w:szCs w:val="24"/>
        </w:rPr>
        <w:t xml:space="preserve"> i skomplikowanych produktów, w </w:t>
      </w:r>
      <w:r w:rsidRPr="00140CD5">
        <w:rPr>
          <w:rFonts w:ascii="Times New Roman" w:hAnsi="Times New Roman" w:cs="Times New Roman"/>
          <w:noProof/>
          <w:sz w:val="24"/>
          <w:szCs w:val="24"/>
        </w:rPr>
        <w:t>tym produktów finansowych (czego przykładem były m.in.: kredyty hipoteczne oparte o kurs walut obcych, ubezpieczenia z ubezpieczeniowym funduszem kapitałowym, produkty rynku Forex, kryptowaluty, obligacje korporacyjne). Jednocześnie coraz trudniejsze, m.in. z uwagi zmienność środowiska Internetu, staje się monitorowanie działalności gospodarczej, pod kątem pojawiających się zagrożeń, jak również identyfikacja nieuczciwych podmiotów, które często prowadzą działaność o charakterze transgranicznym.</w:t>
      </w:r>
    </w:p>
    <w:p w14:paraId="0959AE43" w14:textId="77777777" w:rsidR="004C736D" w:rsidRPr="00140CD5" w:rsidRDefault="004C736D" w:rsidP="00140CD5">
      <w:pPr>
        <w:spacing w:after="120" w:line="276" w:lineRule="auto"/>
        <w:jc w:val="both"/>
        <w:rPr>
          <w:rFonts w:ascii="Times New Roman" w:hAnsi="Times New Roman" w:cs="Times New Roman"/>
          <w:noProof/>
          <w:sz w:val="24"/>
          <w:szCs w:val="24"/>
        </w:rPr>
      </w:pPr>
      <w:r w:rsidRPr="00140CD5">
        <w:rPr>
          <w:rFonts w:ascii="Times New Roman" w:hAnsi="Times New Roman" w:cs="Times New Roman"/>
          <w:noProof/>
          <w:sz w:val="24"/>
          <w:szCs w:val="24"/>
        </w:rPr>
        <w:t>Faktem jest, że rosnąca skala i różnorodność wyzwań związanych z dynamicznym rozwojem rynku i koniecznością ochrony interesów konsumentów w nowych obszarach rynków w szczególności rynków cyfrowych, stawia organy państwa przed koniecznością podejmowania coraz bardziej zintensyfikowanych działań nadzorczych i regulacyjnych.</w:t>
      </w:r>
    </w:p>
    <w:p w14:paraId="507EF204" w14:textId="77777777" w:rsidR="004C736D" w:rsidRPr="00140CD5" w:rsidRDefault="004C736D" w:rsidP="00140CD5">
      <w:pPr>
        <w:spacing w:after="120" w:line="276" w:lineRule="auto"/>
        <w:jc w:val="both"/>
        <w:rPr>
          <w:rFonts w:ascii="Times New Roman" w:hAnsi="Times New Roman" w:cs="Times New Roman"/>
          <w:noProof/>
          <w:sz w:val="24"/>
          <w:szCs w:val="24"/>
        </w:rPr>
      </w:pPr>
      <w:r w:rsidRPr="00140CD5">
        <w:rPr>
          <w:rFonts w:ascii="Times New Roman" w:hAnsi="Times New Roman" w:cs="Times New Roman"/>
          <w:noProof/>
          <w:color w:val="000000" w:themeColor="text1"/>
          <w:sz w:val="24"/>
          <w:szCs w:val="24"/>
        </w:rPr>
        <w:t>Powyższe wyzwania zauważa również K</w:t>
      </w:r>
      <w:r w:rsidR="00446A20" w:rsidRPr="00140CD5">
        <w:rPr>
          <w:rFonts w:ascii="Times New Roman" w:hAnsi="Times New Roman" w:cs="Times New Roman"/>
          <w:noProof/>
          <w:color w:val="000000" w:themeColor="text1"/>
          <w:sz w:val="24"/>
          <w:szCs w:val="24"/>
        </w:rPr>
        <w:t>omisja Europejska</w:t>
      </w:r>
      <w:r w:rsidRPr="00140CD5">
        <w:rPr>
          <w:rFonts w:ascii="Times New Roman" w:hAnsi="Times New Roman" w:cs="Times New Roman"/>
          <w:noProof/>
          <w:color w:val="000000" w:themeColor="text1"/>
          <w:sz w:val="24"/>
          <w:szCs w:val="24"/>
        </w:rPr>
        <w:t>. Z uwagi na konieczność dostosowania i unowocześnienia  narzędzi, któr</w:t>
      </w:r>
      <w:r w:rsidR="00E85F21">
        <w:rPr>
          <w:rFonts w:ascii="Times New Roman" w:hAnsi="Times New Roman" w:cs="Times New Roman"/>
          <w:noProof/>
          <w:color w:val="000000" w:themeColor="text1"/>
          <w:sz w:val="24"/>
          <w:szCs w:val="24"/>
        </w:rPr>
        <w:t>ymi dysponują organy właściwe w </w:t>
      </w:r>
      <w:r w:rsidRPr="00140CD5">
        <w:rPr>
          <w:rFonts w:ascii="Times New Roman" w:hAnsi="Times New Roman" w:cs="Times New Roman"/>
          <w:noProof/>
          <w:color w:val="000000" w:themeColor="text1"/>
          <w:sz w:val="24"/>
          <w:szCs w:val="24"/>
        </w:rPr>
        <w:t>sprawie ochrony zbiorowych interesów konsum</w:t>
      </w:r>
      <w:r w:rsidR="007E52BE" w:rsidRPr="00140CD5">
        <w:rPr>
          <w:rFonts w:ascii="Times New Roman" w:hAnsi="Times New Roman" w:cs="Times New Roman"/>
          <w:noProof/>
          <w:color w:val="000000" w:themeColor="text1"/>
          <w:sz w:val="24"/>
          <w:szCs w:val="24"/>
        </w:rPr>
        <w:t>en</w:t>
      </w:r>
      <w:r w:rsidRPr="00140CD5">
        <w:rPr>
          <w:rFonts w:ascii="Times New Roman" w:hAnsi="Times New Roman" w:cs="Times New Roman"/>
          <w:noProof/>
          <w:color w:val="000000" w:themeColor="text1"/>
          <w:sz w:val="24"/>
          <w:szCs w:val="24"/>
        </w:rPr>
        <w:t>tów, podjęto decyzję o rew</w:t>
      </w:r>
      <w:r w:rsidR="00446A20" w:rsidRPr="00140CD5">
        <w:rPr>
          <w:rFonts w:ascii="Times New Roman" w:hAnsi="Times New Roman" w:cs="Times New Roman"/>
          <w:noProof/>
          <w:color w:val="000000" w:themeColor="text1"/>
          <w:sz w:val="24"/>
          <w:szCs w:val="24"/>
        </w:rPr>
        <w:t>izji</w:t>
      </w:r>
      <w:r w:rsidRPr="00140CD5">
        <w:rPr>
          <w:rFonts w:ascii="Times New Roman" w:hAnsi="Times New Roman" w:cs="Times New Roman"/>
          <w:noProof/>
          <w:color w:val="000000" w:themeColor="text1"/>
          <w:sz w:val="24"/>
          <w:szCs w:val="24"/>
        </w:rPr>
        <w:t xml:space="preserve"> rozporządzeni</w:t>
      </w:r>
      <w:r w:rsidR="00CD0A39" w:rsidRPr="00140CD5">
        <w:rPr>
          <w:rFonts w:ascii="Times New Roman" w:hAnsi="Times New Roman" w:cs="Times New Roman"/>
          <w:noProof/>
          <w:color w:val="000000" w:themeColor="text1"/>
          <w:sz w:val="24"/>
          <w:szCs w:val="24"/>
        </w:rPr>
        <w:t xml:space="preserve">a Parlamentu Europejskiego i Rady nr </w:t>
      </w:r>
      <w:r w:rsidRPr="00140CD5">
        <w:rPr>
          <w:rFonts w:ascii="Times New Roman" w:hAnsi="Times New Roman" w:cs="Times New Roman"/>
          <w:noProof/>
          <w:color w:val="000000" w:themeColor="text1"/>
          <w:sz w:val="24"/>
          <w:szCs w:val="24"/>
        </w:rPr>
        <w:t>2006/2004</w:t>
      </w:r>
      <w:r w:rsidR="00FB5328" w:rsidRPr="00140CD5">
        <w:rPr>
          <w:rFonts w:ascii="Times New Roman" w:hAnsi="Times New Roman" w:cs="Times New Roman"/>
          <w:noProof/>
          <w:color w:val="000000" w:themeColor="text1"/>
          <w:sz w:val="24"/>
          <w:szCs w:val="24"/>
        </w:rPr>
        <w:t>/WE dnia 27 października 2004 r. w sprawie współpracy między organami krajowymi odpowiedzialnymi za egzekwowanie przepisów prawa w zakresie ochrony konsumnetów (DZ. Urz. UE L 364 z 09.12.2004)</w:t>
      </w:r>
      <w:r w:rsidRPr="00140CD5">
        <w:rPr>
          <w:rFonts w:ascii="Times New Roman" w:hAnsi="Times New Roman" w:cs="Times New Roman"/>
          <w:noProof/>
          <w:color w:val="000000" w:themeColor="text1"/>
          <w:sz w:val="24"/>
          <w:szCs w:val="24"/>
        </w:rPr>
        <w:t>.</w:t>
      </w:r>
      <w:r w:rsidR="00FB5328" w:rsidRPr="00140CD5">
        <w:rPr>
          <w:rFonts w:ascii="Times New Roman" w:hAnsi="Times New Roman" w:cs="Times New Roman"/>
          <w:sz w:val="24"/>
          <w:szCs w:val="24"/>
        </w:rPr>
        <w:t xml:space="preserve"> Decyzja dotycząca opracowania nowego rozporządzenia poprzedzona była przeprowadzoną przez KE oceną skuteczności</w:t>
      </w:r>
      <w:r w:rsidR="00FB5328" w:rsidRPr="00140CD5">
        <w:rPr>
          <w:rFonts w:ascii="Times New Roman" w:hAnsi="Times New Roman" w:cs="Times New Roman"/>
          <w:noProof/>
          <w:sz w:val="24"/>
          <w:szCs w:val="24"/>
        </w:rPr>
        <w:t xml:space="preserve"> rozporządzenia 2006/2004, wykonaną zgodnie z art. 21a tego rozporządzenia. Ocena obejmowała następujące etapy </w:t>
      </w:r>
      <w:r w:rsidR="00FB5328" w:rsidRPr="00140CD5">
        <w:rPr>
          <w:rFonts w:ascii="Times New Roman" w:hAnsi="Times New Roman" w:cs="Times New Roman"/>
          <w:noProof/>
          <w:sz w:val="24"/>
          <w:szCs w:val="24"/>
        </w:rPr>
        <w:lastRenderedPageBreak/>
        <w:t>analityczne: ocenę zewnętrzną (2012)</w:t>
      </w:r>
      <w:r w:rsidR="00FB5328" w:rsidRPr="00140CD5">
        <w:rPr>
          <w:rStyle w:val="Odwoanieprzypisudolnego"/>
          <w:rFonts w:ascii="Times New Roman" w:hAnsi="Times New Roman"/>
          <w:noProof/>
          <w:sz w:val="24"/>
          <w:szCs w:val="24"/>
        </w:rPr>
        <w:footnoteReference w:id="1"/>
      </w:r>
      <w:r w:rsidR="00FB5328" w:rsidRPr="00140CD5">
        <w:rPr>
          <w:rFonts w:ascii="Times New Roman" w:hAnsi="Times New Roman" w:cs="Times New Roman"/>
          <w:noProof/>
          <w:sz w:val="24"/>
          <w:szCs w:val="24"/>
        </w:rPr>
        <w:t>, konsultacje społeczne</w:t>
      </w:r>
      <w:r w:rsidR="00FB5328" w:rsidRPr="00140CD5">
        <w:rPr>
          <w:rStyle w:val="Odwoanieprzypisudolnego"/>
          <w:rFonts w:ascii="Times New Roman" w:hAnsi="Times New Roman"/>
          <w:noProof/>
          <w:sz w:val="24"/>
          <w:szCs w:val="24"/>
        </w:rPr>
        <w:footnoteReference w:id="2"/>
      </w:r>
      <w:r w:rsidR="00FB5328" w:rsidRPr="00140CD5">
        <w:rPr>
          <w:rFonts w:ascii="Times New Roman" w:hAnsi="Times New Roman" w:cs="Times New Roman"/>
          <w:noProof/>
          <w:sz w:val="24"/>
          <w:szCs w:val="24"/>
        </w:rPr>
        <w:t xml:space="preserve"> (w latach 2013–2014), szczyt konsumencki poświęcony egzekwowaniu prawa, który odbył się w 2013r.</w:t>
      </w:r>
      <w:r w:rsidR="00FB5328" w:rsidRPr="00140CD5">
        <w:rPr>
          <w:rStyle w:val="Odwoanieprzypisudolnego"/>
          <w:rFonts w:ascii="Times New Roman" w:hAnsi="Times New Roman"/>
          <w:noProof/>
          <w:sz w:val="24"/>
          <w:szCs w:val="24"/>
        </w:rPr>
        <w:footnoteReference w:id="3"/>
      </w:r>
      <w:r w:rsidR="00FB5328" w:rsidRPr="00140CD5">
        <w:rPr>
          <w:rFonts w:ascii="Times New Roman" w:hAnsi="Times New Roman" w:cs="Times New Roman"/>
          <w:noProof/>
          <w:sz w:val="24"/>
          <w:szCs w:val="24"/>
        </w:rPr>
        <w:t>, dwa sprawozdania obejmujące okresy dwuletnie z lat 2009 i 2012 oraz sprawozdanie Komisji z 2014 r. z funkcjonowania rozporządzenia w sprawie współpracy w dziedzinie ochrony konsumentów</w:t>
      </w:r>
      <w:r w:rsidR="00FB5328" w:rsidRPr="00140CD5">
        <w:rPr>
          <w:rStyle w:val="Odwoanieprzypisudolnego"/>
          <w:rFonts w:ascii="Times New Roman" w:hAnsi="Times New Roman"/>
          <w:noProof/>
          <w:sz w:val="24"/>
          <w:szCs w:val="24"/>
        </w:rPr>
        <w:footnoteReference w:id="4"/>
      </w:r>
      <w:r w:rsidR="00FB5328" w:rsidRPr="00140CD5">
        <w:rPr>
          <w:rFonts w:ascii="Times New Roman" w:hAnsi="Times New Roman" w:cs="Times New Roman"/>
          <w:noProof/>
          <w:sz w:val="24"/>
          <w:szCs w:val="24"/>
        </w:rPr>
        <w:t xml:space="preserve">. </w:t>
      </w:r>
    </w:p>
    <w:p w14:paraId="31176DB4" w14:textId="77777777" w:rsidR="00BF6164" w:rsidRPr="00140CD5" w:rsidRDefault="004C736D" w:rsidP="00140CD5">
      <w:pPr>
        <w:spacing w:after="120" w:line="276" w:lineRule="auto"/>
        <w:jc w:val="both"/>
        <w:rPr>
          <w:rFonts w:ascii="Times New Roman" w:hAnsi="Times New Roman" w:cs="Times New Roman"/>
          <w:noProof/>
          <w:sz w:val="24"/>
          <w:szCs w:val="24"/>
        </w:rPr>
      </w:pPr>
      <w:r w:rsidRPr="00140CD5">
        <w:rPr>
          <w:rFonts w:ascii="Times New Roman" w:hAnsi="Times New Roman" w:cs="Times New Roman"/>
          <w:noProof/>
          <w:sz w:val="24"/>
          <w:szCs w:val="24"/>
        </w:rPr>
        <w:t>Prezes UOKiK jako organ wła</w:t>
      </w:r>
      <w:r w:rsidR="00FB5328" w:rsidRPr="00140CD5">
        <w:rPr>
          <w:rFonts w:ascii="Times New Roman" w:hAnsi="Times New Roman" w:cs="Times New Roman"/>
          <w:noProof/>
          <w:sz w:val="24"/>
          <w:szCs w:val="24"/>
        </w:rPr>
        <w:t>ś</w:t>
      </w:r>
      <w:r w:rsidRPr="00140CD5">
        <w:rPr>
          <w:rFonts w:ascii="Times New Roman" w:hAnsi="Times New Roman" w:cs="Times New Roman"/>
          <w:noProof/>
          <w:sz w:val="24"/>
          <w:szCs w:val="24"/>
        </w:rPr>
        <w:t xml:space="preserve">ciwy w sprawie ochrony zbiorowych interesów konsumentów również dostrzega konieczność uzupełniania uprawnień i dostosowania narzędzi ochrony zbiorowych interesów konsumenta do aktualnych zjawisk i problemów występujących w obrocie gospodarczym, które dotykają konsumentów. </w:t>
      </w:r>
      <w:r w:rsidR="00BF6164" w:rsidRPr="00140CD5">
        <w:rPr>
          <w:rFonts w:ascii="Times New Roman" w:hAnsi="Times New Roman" w:cs="Times New Roman"/>
          <w:noProof/>
          <w:sz w:val="24"/>
          <w:szCs w:val="24"/>
        </w:rPr>
        <w:t>Obecnie, Prezes UOKiK w zakresie ochrony konsumentów może prowadzić następuj</w:t>
      </w:r>
      <w:r w:rsidR="00DB5331" w:rsidRPr="00140CD5">
        <w:rPr>
          <w:rFonts w:ascii="Times New Roman" w:hAnsi="Times New Roman" w:cs="Times New Roman"/>
          <w:noProof/>
          <w:sz w:val="24"/>
          <w:szCs w:val="24"/>
        </w:rPr>
        <w:t>ą</w:t>
      </w:r>
      <w:r w:rsidR="00BF6164" w:rsidRPr="00140CD5">
        <w:rPr>
          <w:rFonts w:ascii="Times New Roman" w:hAnsi="Times New Roman" w:cs="Times New Roman"/>
          <w:noProof/>
          <w:sz w:val="24"/>
          <w:szCs w:val="24"/>
        </w:rPr>
        <w:t>ce postępowania:</w:t>
      </w:r>
    </w:p>
    <w:p w14:paraId="6AD85B98" w14:textId="77777777" w:rsidR="00BF6164" w:rsidRPr="00140CD5" w:rsidRDefault="00BF6164" w:rsidP="00140CD5">
      <w:pPr>
        <w:spacing w:after="120" w:line="276" w:lineRule="auto"/>
        <w:jc w:val="both"/>
        <w:rPr>
          <w:rFonts w:ascii="Times New Roman" w:hAnsi="Times New Roman" w:cs="Times New Roman"/>
          <w:sz w:val="24"/>
          <w:szCs w:val="24"/>
        </w:rPr>
      </w:pPr>
      <w:r w:rsidRPr="00140CD5">
        <w:rPr>
          <w:rFonts w:ascii="Times New Roman" w:hAnsi="Times New Roman" w:cs="Times New Roman"/>
          <w:sz w:val="24"/>
          <w:szCs w:val="24"/>
        </w:rPr>
        <w:t xml:space="preserve">- postępowanie wyjaśniające, </w:t>
      </w:r>
    </w:p>
    <w:p w14:paraId="093EC1D2" w14:textId="77777777" w:rsidR="00BF6164" w:rsidRPr="00140CD5" w:rsidRDefault="00BF6164" w:rsidP="00140CD5">
      <w:pPr>
        <w:spacing w:after="120" w:line="276" w:lineRule="auto"/>
        <w:jc w:val="both"/>
        <w:rPr>
          <w:rFonts w:ascii="Times New Roman" w:hAnsi="Times New Roman" w:cs="Times New Roman"/>
          <w:sz w:val="24"/>
          <w:szCs w:val="24"/>
        </w:rPr>
      </w:pPr>
      <w:r w:rsidRPr="00140CD5">
        <w:rPr>
          <w:rFonts w:ascii="Times New Roman" w:hAnsi="Times New Roman" w:cs="Times New Roman"/>
          <w:sz w:val="24"/>
          <w:szCs w:val="24"/>
        </w:rPr>
        <w:t xml:space="preserve">-postępowanie w sprawie praktyk naruszających zbiorowe interesy konsumentów, </w:t>
      </w:r>
    </w:p>
    <w:p w14:paraId="479E4278" w14:textId="77777777" w:rsidR="00BF6164" w:rsidRPr="00140CD5" w:rsidRDefault="00EE32B9" w:rsidP="00140CD5">
      <w:pPr>
        <w:spacing w:after="120" w:line="276" w:lineRule="auto"/>
        <w:jc w:val="both"/>
        <w:rPr>
          <w:rFonts w:ascii="Times New Roman" w:hAnsi="Times New Roman" w:cs="Times New Roman"/>
          <w:noProof/>
          <w:sz w:val="24"/>
          <w:szCs w:val="24"/>
        </w:rPr>
      </w:pPr>
      <w:r w:rsidRPr="00140CD5">
        <w:rPr>
          <w:rFonts w:ascii="Times New Roman" w:hAnsi="Times New Roman" w:cs="Times New Roman"/>
          <w:sz w:val="24"/>
          <w:szCs w:val="24"/>
        </w:rPr>
        <w:t xml:space="preserve">- </w:t>
      </w:r>
      <w:r w:rsidR="00BF6164" w:rsidRPr="00140CD5">
        <w:rPr>
          <w:rFonts w:ascii="Times New Roman" w:hAnsi="Times New Roman" w:cs="Times New Roman"/>
          <w:sz w:val="24"/>
          <w:szCs w:val="24"/>
        </w:rPr>
        <w:t>postępowanie w sprawie o uznanie postanowień wzorca umowy za niedozwolone.</w:t>
      </w:r>
    </w:p>
    <w:p w14:paraId="1D68E3BE" w14:textId="77777777" w:rsidR="00BF6164" w:rsidRPr="00140CD5" w:rsidRDefault="003A674F" w:rsidP="00140CD5">
      <w:pPr>
        <w:spacing w:after="120" w:line="276" w:lineRule="auto"/>
        <w:jc w:val="both"/>
        <w:rPr>
          <w:rFonts w:ascii="Times New Roman" w:hAnsi="Times New Roman" w:cs="Times New Roman"/>
          <w:noProof/>
          <w:sz w:val="24"/>
          <w:szCs w:val="24"/>
        </w:rPr>
      </w:pPr>
      <w:r w:rsidRPr="00140CD5">
        <w:rPr>
          <w:rFonts w:ascii="Times New Roman" w:hAnsi="Times New Roman" w:cs="Times New Roman"/>
          <w:noProof/>
          <w:sz w:val="24"/>
          <w:szCs w:val="24"/>
        </w:rPr>
        <w:t>W toku tych postępowań, Prezes UOKiK już w chwili obecnej korzysta z szeregu kompetencji, które przewiduje rozporządzenie CPC.</w:t>
      </w:r>
    </w:p>
    <w:p w14:paraId="5BF5A3F3" w14:textId="5D0163AC" w:rsidR="004C736D" w:rsidRPr="00140CD5" w:rsidRDefault="004C736D" w:rsidP="00140CD5">
      <w:pPr>
        <w:spacing w:after="120" w:line="276" w:lineRule="auto"/>
        <w:jc w:val="both"/>
        <w:rPr>
          <w:rFonts w:ascii="Times New Roman" w:hAnsi="Times New Roman" w:cs="Times New Roman"/>
          <w:sz w:val="24"/>
          <w:szCs w:val="24"/>
        </w:rPr>
      </w:pPr>
      <w:r w:rsidRPr="00140CD5">
        <w:rPr>
          <w:rFonts w:ascii="Times New Roman" w:hAnsi="Times New Roman" w:cs="Times New Roman"/>
          <w:sz w:val="24"/>
          <w:szCs w:val="24"/>
        </w:rPr>
        <w:t xml:space="preserve">W 2018 r. Prezes UOKiK wszczął 237 postępowań z zakresu ochrony zbiorowych interesów konsumentów i skierował do przedsiębiorców 400 tzw. wystąpień „miękkich”, które stanowią nieformalne narzędzie, mające na celu ugodowe usunięcie naruszenia zbiorowych interesów konsumentów. </w:t>
      </w:r>
      <w:r w:rsidR="00022804">
        <w:rPr>
          <w:rFonts w:ascii="Times New Roman" w:hAnsi="Times New Roman" w:cs="Times New Roman"/>
          <w:sz w:val="24"/>
          <w:szCs w:val="24"/>
        </w:rPr>
        <w:t xml:space="preserve">W roku 2019 było to </w:t>
      </w:r>
      <w:r w:rsidR="00022804">
        <w:rPr>
          <w:rFonts w:ascii="Times New Roman" w:hAnsi="Times New Roman"/>
        </w:rPr>
        <w:t xml:space="preserve">159 postępowań. </w:t>
      </w:r>
      <w:r w:rsidRPr="00140CD5">
        <w:rPr>
          <w:rFonts w:ascii="Times New Roman" w:hAnsi="Times New Roman" w:cs="Times New Roman"/>
          <w:sz w:val="24"/>
          <w:szCs w:val="24"/>
        </w:rPr>
        <w:t>Średnia ilość postępowań prowadzonych w latach 2014 – 2018 to 694, 2 postępowań rocznie. W 2018 r. wpłynęło 5291 sygnałów z rynku dotyczących naruszenia zbiorowych interesów konsumentów</w:t>
      </w:r>
      <w:r w:rsidR="00022804">
        <w:rPr>
          <w:rFonts w:ascii="Times New Roman" w:hAnsi="Times New Roman" w:cs="Times New Roman"/>
          <w:sz w:val="24"/>
          <w:szCs w:val="24"/>
        </w:rPr>
        <w:t xml:space="preserve">, a w 2019 r. </w:t>
      </w:r>
      <w:r w:rsidR="007A2D64">
        <w:rPr>
          <w:rFonts w:ascii="Times New Roman" w:hAnsi="Times New Roman" w:cs="Times New Roman"/>
          <w:sz w:val="24"/>
          <w:szCs w:val="24"/>
        </w:rPr>
        <w:t xml:space="preserve">- </w:t>
      </w:r>
      <w:r w:rsidR="00022804">
        <w:rPr>
          <w:rFonts w:ascii="Times New Roman" w:hAnsi="Times New Roman" w:cs="Times New Roman"/>
          <w:sz w:val="24"/>
          <w:szCs w:val="24"/>
        </w:rPr>
        <w:t>6558</w:t>
      </w:r>
      <w:r w:rsidRPr="00140CD5">
        <w:rPr>
          <w:rFonts w:ascii="Times New Roman" w:hAnsi="Times New Roman" w:cs="Times New Roman"/>
          <w:sz w:val="24"/>
          <w:szCs w:val="24"/>
        </w:rPr>
        <w:t xml:space="preserve">. </w:t>
      </w:r>
    </w:p>
    <w:p w14:paraId="799F7665" w14:textId="2A1C8DDC" w:rsidR="004C736D" w:rsidRPr="00140CD5" w:rsidRDefault="004C736D" w:rsidP="00140CD5">
      <w:pPr>
        <w:spacing w:after="120" w:line="276" w:lineRule="auto"/>
        <w:jc w:val="both"/>
        <w:rPr>
          <w:rFonts w:ascii="Times New Roman" w:hAnsi="Times New Roman" w:cs="Times New Roman"/>
          <w:sz w:val="24"/>
          <w:szCs w:val="24"/>
        </w:rPr>
      </w:pPr>
      <w:r w:rsidRPr="00140CD5">
        <w:rPr>
          <w:rFonts w:ascii="Times New Roman" w:hAnsi="Times New Roman" w:cs="Times New Roman"/>
          <w:sz w:val="24"/>
          <w:szCs w:val="24"/>
        </w:rPr>
        <w:t>Należy jednak podkreślić, że w toku prowadzenia ww. postępowań identyfikowane są trudności wynikające, w części przypadków, z pewnych niedoskonałości rozwiązań funkcjonujących w obowiązującym prawie. Dlatego na poparcie zasługują zmiany zmierzające do ich ograniczenia. Trudności te wynikają m.in. z niedostosowania części obecnie obowiązujących przepisów, do realiów cyfryzacji gospodarki, która w coraz większym stopniu daje możliwość prowadzenia działalności gospodarczej i świadczenia usług o charakterze transgranicznym z dowolnego miejsca na świecie, co oprócz niewątpliwych korzyści, stwarza zagrożenie utrudnień w egzekwowaniu praw konsumentów.</w:t>
      </w:r>
      <w:r w:rsidR="00022804">
        <w:rPr>
          <w:rFonts w:ascii="Times New Roman" w:hAnsi="Times New Roman" w:cs="Times New Roman"/>
          <w:sz w:val="24"/>
          <w:szCs w:val="24"/>
        </w:rPr>
        <w:t xml:space="preserve"> Aktualna sytuacja wywołana epidemią COVID – 19, spowodowała dalszy </w:t>
      </w:r>
      <w:r w:rsidR="00022804">
        <w:rPr>
          <w:rFonts w:ascii="Times New Roman" w:hAnsi="Times New Roman" w:cs="Times New Roman"/>
          <w:sz w:val="24"/>
          <w:szCs w:val="24"/>
        </w:rPr>
        <w:lastRenderedPageBreak/>
        <w:t xml:space="preserve">rozwój usług cyfrowych, tym bardziej, nowoczesne narzędzia, dedykowane temu obszarowi, będą miały kluczowe znaczenie. </w:t>
      </w:r>
    </w:p>
    <w:p w14:paraId="758DE7B7" w14:textId="77777777" w:rsidR="001139F4" w:rsidRPr="00140CD5" w:rsidRDefault="004C736D" w:rsidP="00140CD5">
      <w:pPr>
        <w:spacing w:after="120" w:line="276" w:lineRule="auto"/>
        <w:jc w:val="both"/>
        <w:rPr>
          <w:rFonts w:ascii="Times New Roman" w:hAnsi="Times New Roman" w:cs="Times New Roman"/>
          <w:sz w:val="24"/>
          <w:szCs w:val="24"/>
        </w:rPr>
      </w:pPr>
      <w:r w:rsidRPr="00140CD5">
        <w:rPr>
          <w:rFonts w:ascii="Times New Roman" w:hAnsi="Times New Roman" w:cs="Times New Roman"/>
          <w:sz w:val="24"/>
          <w:szCs w:val="24"/>
        </w:rPr>
        <w:t xml:space="preserve">Nowe rozporządzenie CPC przyznaje organom odpowiedzialnym za ochronę praw konsumentów minimalne kompetencje oraz instrumenty dochodzeniowe i egzekucyjne, które zostały wzmocnione w stosunku do poprzednio obowiązującego rozporządzenia. Ich wdrożenie pozwoli na uzupełnienie istniejących już kompetencji Prezesa UOKiK. </w:t>
      </w:r>
    </w:p>
    <w:p w14:paraId="5FFF4E64" w14:textId="77777777" w:rsidR="001139F4" w:rsidRPr="00140CD5" w:rsidRDefault="001139F4" w:rsidP="00140CD5">
      <w:pPr>
        <w:spacing w:after="120" w:line="276" w:lineRule="auto"/>
        <w:jc w:val="both"/>
        <w:rPr>
          <w:rFonts w:ascii="Times New Roman" w:hAnsi="Times New Roman" w:cs="Times New Roman"/>
          <w:b/>
          <w:sz w:val="24"/>
          <w:szCs w:val="24"/>
          <w:u w:val="single"/>
        </w:rPr>
      </w:pPr>
      <w:r w:rsidRPr="00140CD5">
        <w:rPr>
          <w:rFonts w:ascii="Times New Roman" w:hAnsi="Times New Roman" w:cs="Times New Roman"/>
          <w:b/>
          <w:sz w:val="24"/>
          <w:szCs w:val="24"/>
          <w:u w:val="single"/>
        </w:rPr>
        <w:t>Najważniejsze rozwiązania objęte rozporządzeniem CPC obejmują:</w:t>
      </w:r>
    </w:p>
    <w:p w14:paraId="606F365B" w14:textId="77777777" w:rsidR="001139F4" w:rsidRPr="00140CD5" w:rsidRDefault="001139F4" w:rsidP="00140CD5">
      <w:pPr>
        <w:pStyle w:val="Akapitzlist"/>
        <w:numPr>
          <w:ilvl w:val="0"/>
          <w:numId w:val="13"/>
        </w:numPr>
        <w:spacing w:after="120" w:line="276" w:lineRule="auto"/>
        <w:jc w:val="both"/>
        <w:rPr>
          <w:rFonts w:ascii="Times New Roman" w:hAnsi="Times New Roman" w:cs="Times New Roman"/>
          <w:sz w:val="24"/>
          <w:szCs w:val="24"/>
        </w:rPr>
      </w:pPr>
      <w:r w:rsidRPr="00140CD5">
        <w:rPr>
          <w:rFonts w:ascii="Times New Roman" w:hAnsi="Times New Roman" w:cs="Times New Roman"/>
          <w:sz w:val="24"/>
          <w:szCs w:val="24"/>
        </w:rPr>
        <w:t>Wzmocnienie uprawnień organów właściwych w sprawie ochrony konsument</w:t>
      </w:r>
      <w:r w:rsidR="00502A26" w:rsidRPr="00140CD5">
        <w:rPr>
          <w:rFonts w:ascii="Times New Roman" w:hAnsi="Times New Roman" w:cs="Times New Roman"/>
          <w:sz w:val="24"/>
          <w:szCs w:val="24"/>
        </w:rPr>
        <w:t>ów</w:t>
      </w:r>
      <w:r w:rsidRPr="00140CD5">
        <w:rPr>
          <w:rFonts w:ascii="Times New Roman" w:hAnsi="Times New Roman" w:cs="Times New Roman"/>
          <w:sz w:val="24"/>
          <w:szCs w:val="24"/>
        </w:rPr>
        <w:t xml:space="preserve"> w zakresie prowadzenia dochodzeń i egzekwowania przepisów dotyczących naruszeń praw konsumentów, w  celu szybszego egzekwowania przepisów dotyczących naruszeń transgranicznych oraz zapewnienia skutecznej współpracy między organami właściw</w:t>
      </w:r>
      <w:r w:rsidR="00413A34" w:rsidRPr="00140CD5">
        <w:rPr>
          <w:rFonts w:ascii="Times New Roman" w:hAnsi="Times New Roman" w:cs="Times New Roman"/>
          <w:sz w:val="24"/>
          <w:szCs w:val="24"/>
        </w:rPr>
        <w:t>ymi z państw członkowskich UE (art. 9 rozporządzenia CPC)</w:t>
      </w:r>
      <w:r w:rsidRPr="00140CD5">
        <w:rPr>
          <w:rFonts w:ascii="Times New Roman" w:hAnsi="Times New Roman" w:cs="Times New Roman"/>
          <w:sz w:val="24"/>
          <w:szCs w:val="24"/>
        </w:rPr>
        <w:t>.</w:t>
      </w:r>
    </w:p>
    <w:p w14:paraId="25852DB5" w14:textId="77777777" w:rsidR="001139F4" w:rsidRPr="00140CD5" w:rsidRDefault="001139F4" w:rsidP="00140CD5">
      <w:pPr>
        <w:pStyle w:val="Akapitzlist"/>
        <w:numPr>
          <w:ilvl w:val="0"/>
          <w:numId w:val="13"/>
        </w:numPr>
        <w:spacing w:after="120" w:line="276" w:lineRule="auto"/>
        <w:jc w:val="both"/>
        <w:rPr>
          <w:rFonts w:ascii="Times New Roman" w:hAnsi="Times New Roman" w:cs="Times New Roman"/>
          <w:sz w:val="24"/>
          <w:szCs w:val="24"/>
        </w:rPr>
      </w:pPr>
      <w:r w:rsidRPr="00140CD5">
        <w:rPr>
          <w:rFonts w:ascii="Times New Roman" w:hAnsi="Times New Roman" w:cs="Times New Roman"/>
          <w:sz w:val="24"/>
          <w:szCs w:val="24"/>
        </w:rPr>
        <w:t xml:space="preserve"> Przepisy rozporządzenia CPC mają na celu usprawnienie współpracy w ramach sieci organów publicznych zajmujących się egzekwowaniem prawa ochrony konsumentów na terytorium UE.</w:t>
      </w:r>
    </w:p>
    <w:p w14:paraId="01373AC5" w14:textId="247B0CDC" w:rsidR="001139F4" w:rsidRPr="00140CD5" w:rsidRDefault="001139F4" w:rsidP="00140CD5">
      <w:pPr>
        <w:pStyle w:val="Akapitzlist"/>
        <w:numPr>
          <w:ilvl w:val="0"/>
          <w:numId w:val="13"/>
        </w:numPr>
        <w:spacing w:after="120" w:line="276" w:lineRule="auto"/>
        <w:jc w:val="both"/>
        <w:rPr>
          <w:rFonts w:ascii="Times New Roman" w:hAnsi="Times New Roman" w:cs="Times New Roman"/>
          <w:sz w:val="24"/>
          <w:szCs w:val="24"/>
        </w:rPr>
      </w:pPr>
      <w:r w:rsidRPr="00140CD5">
        <w:rPr>
          <w:rFonts w:ascii="Times New Roman" w:hAnsi="Times New Roman" w:cs="Times New Roman"/>
          <w:sz w:val="24"/>
          <w:szCs w:val="24"/>
        </w:rPr>
        <w:t>Szczególny nacisk rozporządzenie kładzie na podejmowanie działań w otoczeniu cyfrowym, mając na celu przeciwdziałanie sytuacjom</w:t>
      </w:r>
      <w:r w:rsidR="00022804">
        <w:rPr>
          <w:rFonts w:ascii="Times New Roman" w:hAnsi="Times New Roman" w:cs="Times New Roman"/>
          <w:sz w:val="24"/>
          <w:szCs w:val="24"/>
        </w:rPr>
        <w:t>,</w:t>
      </w:r>
      <w:r w:rsidRPr="00140CD5">
        <w:rPr>
          <w:rFonts w:ascii="Times New Roman" w:hAnsi="Times New Roman" w:cs="Times New Roman"/>
          <w:sz w:val="24"/>
          <w:szCs w:val="24"/>
        </w:rPr>
        <w:t xml:space="preserve"> gdy przedsiębiorca sprzedający towary lub usługi ukrywa swoją tożsamość lub przenosi miejsce prowadzenia działalności w obrębie UE lub do państwa trzeciego, aby uniknąć egzekwowania względem niego przepisów prawa. Rozporządzenie CPC uprawnia na przykład do przyjęcia środków tymczasowych obejmujących usuwanie lub zmianę treści z interfejsu internetowego lub nakazanie umieszczenia wyraźnego ostrzeżenia dla konsumentów korzystających z interfejsu internetowego. </w:t>
      </w:r>
    </w:p>
    <w:p w14:paraId="3ED64C04" w14:textId="77777777" w:rsidR="001139F4" w:rsidRPr="00140CD5" w:rsidRDefault="001139F4" w:rsidP="00140CD5">
      <w:pPr>
        <w:pStyle w:val="Akapitzlist"/>
        <w:numPr>
          <w:ilvl w:val="0"/>
          <w:numId w:val="13"/>
        </w:numPr>
        <w:spacing w:after="120" w:line="276" w:lineRule="auto"/>
        <w:jc w:val="both"/>
        <w:rPr>
          <w:rFonts w:ascii="Times New Roman" w:hAnsi="Times New Roman" w:cs="Times New Roman"/>
          <w:sz w:val="24"/>
          <w:szCs w:val="24"/>
        </w:rPr>
      </w:pPr>
      <w:r w:rsidRPr="00140CD5">
        <w:rPr>
          <w:rFonts w:ascii="Times New Roman" w:hAnsi="Times New Roman" w:cs="Times New Roman"/>
          <w:sz w:val="24"/>
          <w:szCs w:val="24"/>
        </w:rPr>
        <w:t>Rozporządzenie CPC daje możliwość realizacji uprawnień poprzez korzystanie z nich przez organy właściwe w sprawie ochrony konsumenta w ramach ich kompetencji; zwrócenie się do innych właściwych organów lub innych organów publicznych; zlecanie zadań wyznaczonym podmiotom (np. organizacjom konsumenckim); zwracania się z wnioskami do właściwych sądów</w:t>
      </w:r>
      <w:r w:rsidRPr="00140CD5">
        <w:rPr>
          <w:rStyle w:val="Odwoanieprzypisudolnego"/>
          <w:rFonts w:ascii="Times New Roman" w:hAnsi="Times New Roman"/>
          <w:sz w:val="24"/>
          <w:szCs w:val="24"/>
        </w:rPr>
        <w:footnoteReference w:id="5"/>
      </w:r>
      <w:r w:rsidRPr="00140CD5">
        <w:rPr>
          <w:rFonts w:ascii="Times New Roman" w:hAnsi="Times New Roman" w:cs="Times New Roman"/>
          <w:sz w:val="24"/>
          <w:szCs w:val="24"/>
        </w:rPr>
        <w:t xml:space="preserve">. Państwa członkowskie mają swobodę decyzji w zakresie wyboru sposobu realizacji uprawnień. </w:t>
      </w:r>
    </w:p>
    <w:p w14:paraId="3E2F14FD" w14:textId="77777777" w:rsidR="001139F4" w:rsidRPr="00140CD5" w:rsidRDefault="001139F4" w:rsidP="00140CD5">
      <w:pPr>
        <w:pStyle w:val="Akapitzlist"/>
        <w:numPr>
          <w:ilvl w:val="0"/>
          <w:numId w:val="13"/>
        </w:numPr>
        <w:spacing w:after="120" w:line="276" w:lineRule="auto"/>
        <w:jc w:val="both"/>
        <w:rPr>
          <w:rFonts w:ascii="Times New Roman" w:hAnsi="Times New Roman" w:cs="Times New Roman"/>
          <w:sz w:val="24"/>
          <w:szCs w:val="24"/>
        </w:rPr>
      </w:pPr>
      <w:r w:rsidRPr="00140CD5">
        <w:rPr>
          <w:rFonts w:ascii="Times New Roman" w:hAnsi="Times New Roman" w:cs="Times New Roman"/>
          <w:sz w:val="24"/>
          <w:szCs w:val="24"/>
        </w:rPr>
        <w:t>Rozporządzenie CPC zakłada zwiększenie skuteczności i wydajności mechanizmu wzajemnej pomocy. Organy funkcjonujące w ramach sieci współpracy powinny przekazywać informacje w terminach przewidzianych tym rozporządzeniem oraz terminowo poodejmować konieczne środki dochodzeniowe i środki egzekwowania prawa.</w:t>
      </w:r>
    </w:p>
    <w:p w14:paraId="2F45038E" w14:textId="77777777" w:rsidR="001139F4" w:rsidRPr="00140CD5" w:rsidRDefault="001139F4" w:rsidP="00140CD5">
      <w:pPr>
        <w:pStyle w:val="Akapitzlist"/>
        <w:numPr>
          <w:ilvl w:val="0"/>
          <w:numId w:val="13"/>
        </w:numPr>
        <w:spacing w:after="120" w:line="276" w:lineRule="auto"/>
        <w:jc w:val="both"/>
        <w:rPr>
          <w:rFonts w:ascii="Times New Roman" w:hAnsi="Times New Roman" w:cs="Times New Roman"/>
          <w:sz w:val="24"/>
          <w:szCs w:val="24"/>
        </w:rPr>
      </w:pPr>
      <w:r w:rsidRPr="00140CD5">
        <w:rPr>
          <w:rFonts w:ascii="Times New Roman" w:hAnsi="Times New Roman" w:cs="Times New Roman"/>
          <w:sz w:val="24"/>
          <w:szCs w:val="24"/>
        </w:rPr>
        <w:t xml:space="preserve">W celu zapewnienia lepszej skuteczności działań organów właściwych podejmowanych w obszarze transgranicznym, rozporządzenie CPC określa </w:t>
      </w:r>
      <w:r w:rsidRPr="00140CD5">
        <w:rPr>
          <w:rFonts w:ascii="Times New Roman" w:hAnsi="Times New Roman" w:cs="Times New Roman"/>
          <w:sz w:val="24"/>
          <w:szCs w:val="24"/>
        </w:rPr>
        <w:lastRenderedPageBreak/>
        <w:t>zharmonizowane przepisy ustanawiające procedury koordynowania środków dochodzeniowych i środków egzekwowania prawa dotyczących naruszeń powszechnych</w:t>
      </w:r>
      <w:r w:rsidRPr="00140CD5">
        <w:rPr>
          <w:rStyle w:val="Odwoanieprzypisudolnego"/>
          <w:rFonts w:ascii="Times New Roman" w:hAnsi="Times New Roman"/>
          <w:sz w:val="24"/>
          <w:szCs w:val="24"/>
        </w:rPr>
        <w:footnoteReference w:id="6"/>
      </w:r>
      <w:r w:rsidRPr="00140CD5">
        <w:rPr>
          <w:rFonts w:ascii="Times New Roman" w:hAnsi="Times New Roman" w:cs="Times New Roman"/>
          <w:sz w:val="24"/>
          <w:szCs w:val="24"/>
        </w:rPr>
        <w:t xml:space="preserve">  i naruszeń powszechnych o wymiarze unijnym</w:t>
      </w:r>
      <w:r w:rsidRPr="00140CD5">
        <w:rPr>
          <w:rStyle w:val="Odwoanieprzypisudolnego"/>
          <w:rFonts w:ascii="Times New Roman" w:hAnsi="Times New Roman"/>
          <w:sz w:val="24"/>
          <w:szCs w:val="24"/>
        </w:rPr>
        <w:footnoteReference w:id="7"/>
      </w:r>
      <w:r w:rsidRPr="00140CD5">
        <w:rPr>
          <w:rFonts w:ascii="Times New Roman" w:hAnsi="Times New Roman" w:cs="Times New Roman"/>
          <w:sz w:val="24"/>
          <w:szCs w:val="24"/>
        </w:rPr>
        <w:t>.</w:t>
      </w:r>
    </w:p>
    <w:p w14:paraId="05A629AB" w14:textId="77777777" w:rsidR="001139F4" w:rsidRPr="00140CD5" w:rsidRDefault="001139F4" w:rsidP="00140CD5">
      <w:pPr>
        <w:pStyle w:val="Akapitzlist"/>
        <w:numPr>
          <w:ilvl w:val="0"/>
          <w:numId w:val="13"/>
        </w:numPr>
        <w:spacing w:after="120" w:line="276" w:lineRule="auto"/>
        <w:jc w:val="both"/>
        <w:rPr>
          <w:rFonts w:ascii="Times New Roman" w:hAnsi="Times New Roman" w:cs="Times New Roman"/>
          <w:sz w:val="24"/>
          <w:szCs w:val="24"/>
        </w:rPr>
      </w:pPr>
      <w:r w:rsidRPr="00140CD5">
        <w:rPr>
          <w:rFonts w:ascii="Times New Roman" w:hAnsi="Times New Roman" w:cs="Times New Roman"/>
          <w:sz w:val="24"/>
          <w:szCs w:val="24"/>
        </w:rPr>
        <w:t xml:space="preserve">W zakresie naruszeń powszechnych i naruszeń o wymiarze unijnym przepisy rozporządzenia określają współpracę właściwych organów państw członkowskim tak, by zapewnić wyeliminowanie takich naruszeń na obszarze całej UE. W tym celu konieczna jest współpraca organów właściwych różnych państw członkowskich, na obszarach których obserwowane są skutki takich naruszeń. Dlatego w stosownych przypadkach wynik dochodzenia oraz ocena naruszenia powszechnego lub naruszenia powszechnego o wymiarze unijnym powinny być przedstawione we wspólnym stanowisku uzgadnianym przez właściwe organy w ramach skoordynowanego działania i kierowanym do przedsiębiorców odpowiedzialnych za naruszenie. Należy jednak podkreślić, że nie stanowi ono wiążącej decyzji właściwych organów, stanowi jednak jasny sygnał skierowany do przedsiębiorców dopuszczających się naruszeń o nieuchronności podjęcia środków mających na celu usunięcie takich naruszeń. </w:t>
      </w:r>
    </w:p>
    <w:p w14:paraId="529938BF" w14:textId="77777777" w:rsidR="001139F4" w:rsidRPr="00140CD5" w:rsidRDefault="001139F4" w:rsidP="00140CD5">
      <w:pPr>
        <w:pStyle w:val="Akapitzlist"/>
        <w:numPr>
          <w:ilvl w:val="0"/>
          <w:numId w:val="13"/>
        </w:numPr>
        <w:spacing w:after="120" w:line="276" w:lineRule="auto"/>
        <w:jc w:val="both"/>
        <w:rPr>
          <w:rFonts w:ascii="Times New Roman" w:hAnsi="Times New Roman" w:cs="Times New Roman"/>
          <w:sz w:val="24"/>
          <w:szCs w:val="24"/>
        </w:rPr>
      </w:pPr>
      <w:r w:rsidRPr="00140CD5">
        <w:rPr>
          <w:rFonts w:ascii="Times New Roman" w:hAnsi="Times New Roman" w:cs="Times New Roman"/>
          <w:sz w:val="24"/>
          <w:szCs w:val="24"/>
        </w:rPr>
        <w:t xml:space="preserve">Formą współpracy między organami właściwymi państw członkowskich UE są też akcje kontrolne, które oznaczają wspólne uzgodnione dochodzenia na rynkach konsumenckich w formie równoczesnych, skoordynowanych akcji kontrolnych w celu sprawdzenia zgodności z przepisami prawa UE lub wykrywania naruszeń tych przepisów. Narzędzie obejmuje np. równoczesne badanie stron internetowych pod określonym kątem np. portali rezerwacyjnych pod względem informacji przekazywanych konsumentom. </w:t>
      </w:r>
    </w:p>
    <w:p w14:paraId="5B22D6FE" w14:textId="77777777" w:rsidR="001139F4" w:rsidRPr="00140CD5" w:rsidRDefault="001139F4" w:rsidP="00140CD5">
      <w:pPr>
        <w:pStyle w:val="Akapitzlist"/>
        <w:numPr>
          <w:ilvl w:val="0"/>
          <w:numId w:val="13"/>
        </w:numPr>
        <w:spacing w:after="120" w:line="276" w:lineRule="auto"/>
        <w:jc w:val="both"/>
        <w:rPr>
          <w:rFonts w:ascii="Times New Roman" w:hAnsi="Times New Roman" w:cs="Times New Roman"/>
          <w:sz w:val="24"/>
          <w:szCs w:val="24"/>
        </w:rPr>
      </w:pPr>
      <w:r w:rsidRPr="00140CD5">
        <w:rPr>
          <w:rFonts w:ascii="Times New Roman" w:hAnsi="Times New Roman" w:cs="Times New Roman"/>
          <w:sz w:val="24"/>
          <w:szCs w:val="24"/>
        </w:rPr>
        <w:t xml:space="preserve">Wykrywanie naruszeń ma usprawniać wysyłanie ostrzeżeń czyli wymiana informacji o potencjalnych naruszeniach w ramach sieci organów obejmującej KE i organy właściwe państw członkowskich. </w:t>
      </w:r>
    </w:p>
    <w:p w14:paraId="629EC5C8" w14:textId="77777777" w:rsidR="001139F4" w:rsidRPr="00140CD5" w:rsidRDefault="001139F4" w:rsidP="00140CD5">
      <w:pPr>
        <w:pStyle w:val="Akapitzlist"/>
        <w:numPr>
          <w:ilvl w:val="0"/>
          <w:numId w:val="13"/>
        </w:numPr>
        <w:spacing w:after="120" w:line="276" w:lineRule="auto"/>
        <w:jc w:val="both"/>
        <w:rPr>
          <w:rFonts w:ascii="Times New Roman" w:hAnsi="Times New Roman" w:cs="Times New Roman"/>
          <w:sz w:val="24"/>
          <w:szCs w:val="24"/>
        </w:rPr>
      </w:pPr>
      <w:r w:rsidRPr="00140CD5">
        <w:rPr>
          <w:rFonts w:ascii="Times New Roman" w:hAnsi="Times New Roman" w:cs="Times New Roman"/>
          <w:sz w:val="24"/>
          <w:szCs w:val="24"/>
        </w:rPr>
        <w:t>Rozporządzenie CPC dopuszcza też możliwość zgłaszania ostrzeżeń zewnętrznych przez wyznaczone podmioty</w:t>
      </w:r>
      <w:r w:rsidRPr="00140CD5">
        <w:rPr>
          <w:rStyle w:val="Odwoanieprzypisudolnego"/>
          <w:rFonts w:ascii="Times New Roman" w:hAnsi="Times New Roman"/>
          <w:sz w:val="24"/>
          <w:szCs w:val="24"/>
        </w:rPr>
        <w:footnoteReference w:id="8"/>
      </w:r>
      <w:r w:rsidRPr="00140CD5">
        <w:rPr>
          <w:rFonts w:ascii="Times New Roman" w:hAnsi="Times New Roman" w:cs="Times New Roman"/>
          <w:sz w:val="24"/>
          <w:szCs w:val="24"/>
        </w:rPr>
        <w:t xml:space="preserve">, europejskie centra konsumenckie, </w:t>
      </w:r>
      <w:r w:rsidRPr="00140CD5">
        <w:rPr>
          <w:rFonts w:ascii="Times New Roman" w:hAnsi="Times New Roman" w:cs="Times New Roman"/>
          <w:sz w:val="24"/>
          <w:szCs w:val="24"/>
        </w:rPr>
        <w:lastRenderedPageBreak/>
        <w:t xml:space="preserve">organizacje i stowarzyszenia konsumenckie oraz w odpowiednim przypadku stowarzyszenia przedsiębiorców. Państwa członkowskie mają swobodę decyzji w tym zakresie i mogą zdecydować o nieprzyznaniu takich uprawnień ww. podmiotom. </w:t>
      </w:r>
    </w:p>
    <w:p w14:paraId="00167F00" w14:textId="77777777" w:rsidR="001139F4" w:rsidRPr="00140CD5" w:rsidRDefault="001139F4" w:rsidP="00140CD5">
      <w:pPr>
        <w:pStyle w:val="Akapitzlist"/>
        <w:numPr>
          <w:ilvl w:val="0"/>
          <w:numId w:val="13"/>
        </w:numPr>
        <w:spacing w:after="120" w:line="276" w:lineRule="auto"/>
        <w:jc w:val="both"/>
        <w:rPr>
          <w:rFonts w:ascii="Times New Roman" w:hAnsi="Times New Roman" w:cs="Times New Roman"/>
          <w:sz w:val="24"/>
          <w:szCs w:val="24"/>
        </w:rPr>
      </w:pPr>
      <w:r w:rsidRPr="00140CD5">
        <w:rPr>
          <w:rFonts w:ascii="Times New Roman" w:hAnsi="Times New Roman" w:cs="Times New Roman"/>
          <w:sz w:val="24"/>
          <w:szCs w:val="24"/>
        </w:rPr>
        <w:t>Rozporządzenie CPC wzmacnia rolę Komisji Europejskiej jako organu koordynującego i monitorującego mechanizm wzajemnej pomocy, co powinno zapewnić bardziej skuteczne działanie sieci współpracy. Zakłada się bardziej aktywną rolę KE, która powinna ściślej współpracować z państwami członkowskimi, w szczególności powiadamiać organy właściwe jeżeli podejrzewa, że doszło do naruszeń objętych niniejszych rozporządzeniem.</w:t>
      </w:r>
    </w:p>
    <w:p w14:paraId="7A12C158" w14:textId="77777777" w:rsidR="001139F4" w:rsidRPr="00140CD5" w:rsidRDefault="001139F4" w:rsidP="00140CD5">
      <w:pPr>
        <w:pStyle w:val="Akapitzlist"/>
        <w:numPr>
          <w:ilvl w:val="0"/>
          <w:numId w:val="13"/>
        </w:numPr>
        <w:spacing w:after="120" w:line="276" w:lineRule="auto"/>
        <w:jc w:val="both"/>
        <w:rPr>
          <w:rFonts w:ascii="Times New Roman" w:hAnsi="Times New Roman" w:cs="Times New Roman"/>
          <w:sz w:val="24"/>
          <w:szCs w:val="24"/>
        </w:rPr>
      </w:pPr>
      <w:r w:rsidRPr="00140CD5">
        <w:rPr>
          <w:rFonts w:ascii="Times New Roman" w:hAnsi="Times New Roman" w:cs="Times New Roman"/>
          <w:sz w:val="24"/>
          <w:szCs w:val="24"/>
        </w:rPr>
        <w:t xml:space="preserve">Istotne w ramach współpracy są także działania mające na celu wymianę informacji w ramach sieci na temat działań podejmowanych w celu ochrony interesów konsumentów, polityki konsumenckiej czy skarg konsumentów, pozwalające na lepsze definiowanie potencjalnych naruszeń i koordynacje działań na poziomie UE. </w:t>
      </w:r>
    </w:p>
    <w:p w14:paraId="3C903C77" w14:textId="77777777" w:rsidR="001139F4" w:rsidRPr="00140CD5" w:rsidRDefault="001139F4" w:rsidP="00140CD5">
      <w:pPr>
        <w:pStyle w:val="Akapitzlist"/>
        <w:numPr>
          <w:ilvl w:val="0"/>
          <w:numId w:val="13"/>
        </w:numPr>
        <w:spacing w:after="120" w:line="276" w:lineRule="auto"/>
        <w:jc w:val="both"/>
        <w:rPr>
          <w:rFonts w:ascii="Times New Roman" w:hAnsi="Times New Roman" w:cs="Times New Roman"/>
          <w:sz w:val="24"/>
          <w:szCs w:val="24"/>
        </w:rPr>
      </w:pPr>
      <w:r w:rsidRPr="00140CD5">
        <w:rPr>
          <w:rFonts w:ascii="Times New Roman" w:hAnsi="Times New Roman" w:cs="Times New Roman"/>
          <w:sz w:val="24"/>
          <w:szCs w:val="24"/>
        </w:rPr>
        <w:t xml:space="preserve">Rozszerzony został zakres aktów prawnych objętych nowym rozporządzeniem CPC, co oznacza możliwość współdziałania organów odpowiedzialnych za ochronę konsumenta w przypadku większej liczby naruszeń regulowanych tymi aktami. </w:t>
      </w:r>
    </w:p>
    <w:p w14:paraId="046C6D49" w14:textId="77777777" w:rsidR="001139F4" w:rsidRPr="00140CD5" w:rsidRDefault="001139F4" w:rsidP="00140CD5">
      <w:pPr>
        <w:pStyle w:val="Akapitzlist"/>
        <w:spacing w:after="120" w:line="276" w:lineRule="auto"/>
        <w:jc w:val="both"/>
        <w:rPr>
          <w:rFonts w:ascii="Times New Roman" w:hAnsi="Times New Roman" w:cs="Times New Roman"/>
          <w:sz w:val="24"/>
          <w:szCs w:val="24"/>
        </w:rPr>
      </w:pPr>
      <w:r w:rsidRPr="00140CD5">
        <w:rPr>
          <w:rFonts w:ascii="Times New Roman" w:hAnsi="Times New Roman" w:cs="Times New Roman"/>
          <w:noProof/>
          <w:sz w:val="24"/>
          <w:szCs w:val="24"/>
        </w:rPr>
        <w:t>W wyniku przeprowadzonej oceny skutków, zalecono włączenie do załącznika do rozporządzenia 2006/2004 następujących aktów prawnych: dyrektywy o prywatności i łączności elektronicznej</w:t>
      </w:r>
      <w:r w:rsidRPr="00140CD5">
        <w:rPr>
          <w:rStyle w:val="Odwoanieprzypisudolnego"/>
          <w:rFonts w:ascii="Times New Roman" w:hAnsi="Times New Roman"/>
          <w:noProof/>
          <w:sz w:val="24"/>
          <w:szCs w:val="24"/>
        </w:rPr>
        <w:footnoteReference w:id="9"/>
      </w:r>
      <w:r w:rsidRPr="00140CD5">
        <w:rPr>
          <w:rFonts w:ascii="Times New Roman" w:hAnsi="Times New Roman" w:cs="Times New Roman"/>
          <w:noProof/>
          <w:sz w:val="24"/>
          <w:szCs w:val="24"/>
        </w:rPr>
        <w:t>, dyrektywy o nieuczciwych praktykach handlowych</w:t>
      </w:r>
      <w:r w:rsidRPr="00140CD5">
        <w:rPr>
          <w:rStyle w:val="Odwoanieprzypisudolnego"/>
          <w:rFonts w:ascii="Times New Roman" w:hAnsi="Times New Roman"/>
          <w:noProof/>
          <w:sz w:val="24"/>
          <w:szCs w:val="24"/>
        </w:rPr>
        <w:footnoteReference w:id="10"/>
      </w:r>
      <w:r w:rsidRPr="00140CD5">
        <w:rPr>
          <w:rFonts w:ascii="Times New Roman" w:hAnsi="Times New Roman" w:cs="Times New Roman"/>
          <w:noProof/>
          <w:sz w:val="24"/>
          <w:szCs w:val="24"/>
        </w:rPr>
        <w:t>, rozporządzenia w sprawie praw osób niepełnosprawnych oraz osób o ograniczonej sprawności ruchowej podróżujących drogą lotniczą</w:t>
      </w:r>
      <w:r w:rsidRPr="00140CD5">
        <w:rPr>
          <w:rFonts w:ascii="Times New Roman" w:hAnsi="Times New Roman" w:cs="Times New Roman"/>
          <w:noProof/>
          <w:sz w:val="24"/>
          <w:szCs w:val="24"/>
          <w:vertAlign w:val="superscript"/>
        </w:rPr>
        <w:footnoteReference w:id="11"/>
      </w:r>
      <w:r w:rsidRPr="00140CD5">
        <w:rPr>
          <w:rFonts w:ascii="Times New Roman" w:hAnsi="Times New Roman" w:cs="Times New Roman"/>
          <w:noProof/>
          <w:sz w:val="24"/>
          <w:szCs w:val="24"/>
        </w:rPr>
        <w:t>, dyrektywy dotyczącej usług na rynku wewnętrznym</w:t>
      </w:r>
      <w:r w:rsidRPr="00140CD5">
        <w:rPr>
          <w:rStyle w:val="Odwoanieprzypisudolnego"/>
          <w:rFonts w:ascii="Times New Roman" w:hAnsi="Times New Roman"/>
          <w:noProof/>
          <w:sz w:val="24"/>
          <w:szCs w:val="24"/>
        </w:rPr>
        <w:footnoteReference w:id="12"/>
      </w:r>
      <w:r w:rsidRPr="00140CD5">
        <w:rPr>
          <w:rFonts w:ascii="Times New Roman" w:hAnsi="Times New Roman" w:cs="Times New Roman"/>
          <w:noProof/>
          <w:sz w:val="24"/>
          <w:szCs w:val="24"/>
        </w:rPr>
        <w:t>, rozporządzenia dotyczącego praw i obowiązków pasażerów w ruchu kolejowym</w:t>
      </w:r>
      <w:r w:rsidRPr="00140CD5">
        <w:rPr>
          <w:rFonts w:ascii="Times New Roman" w:hAnsi="Times New Roman" w:cs="Times New Roman"/>
          <w:noProof/>
          <w:sz w:val="24"/>
          <w:szCs w:val="24"/>
          <w:vertAlign w:val="superscript"/>
        </w:rPr>
        <w:footnoteReference w:id="13"/>
      </w:r>
      <w:r w:rsidRPr="00140CD5">
        <w:rPr>
          <w:rFonts w:ascii="Times New Roman" w:hAnsi="Times New Roman" w:cs="Times New Roman"/>
          <w:noProof/>
          <w:sz w:val="24"/>
          <w:szCs w:val="24"/>
        </w:rPr>
        <w:t>, rozporządzenia w sprawie przewozów lotniczych</w:t>
      </w:r>
      <w:r w:rsidRPr="00140CD5">
        <w:rPr>
          <w:rFonts w:ascii="Times New Roman" w:hAnsi="Times New Roman" w:cs="Times New Roman"/>
          <w:noProof/>
          <w:sz w:val="24"/>
          <w:szCs w:val="24"/>
          <w:vertAlign w:val="superscript"/>
        </w:rPr>
        <w:footnoteReference w:id="14"/>
      </w:r>
      <w:r w:rsidRPr="00140CD5">
        <w:rPr>
          <w:rFonts w:ascii="Times New Roman" w:hAnsi="Times New Roman" w:cs="Times New Roman"/>
          <w:noProof/>
          <w:sz w:val="24"/>
          <w:szCs w:val="24"/>
        </w:rPr>
        <w:t xml:space="preserve">, rozporządzenia dotyczącego </w:t>
      </w:r>
      <w:r w:rsidRPr="00140CD5">
        <w:rPr>
          <w:rFonts w:ascii="Times New Roman" w:hAnsi="Times New Roman" w:cs="Times New Roman"/>
          <w:noProof/>
          <w:sz w:val="24"/>
          <w:szCs w:val="24"/>
        </w:rPr>
        <w:lastRenderedPageBreak/>
        <w:t>praw pasażerów podróżujących drogą morską</w:t>
      </w:r>
      <w:r w:rsidRPr="00140CD5">
        <w:rPr>
          <w:rStyle w:val="Odwoanieprzypisudolnego"/>
          <w:rFonts w:ascii="Times New Roman" w:hAnsi="Times New Roman"/>
          <w:noProof/>
          <w:sz w:val="24"/>
          <w:szCs w:val="24"/>
        </w:rPr>
        <w:footnoteReference w:id="15"/>
      </w:r>
      <w:r w:rsidRPr="00140CD5">
        <w:rPr>
          <w:rFonts w:ascii="Times New Roman" w:hAnsi="Times New Roman" w:cs="Times New Roman"/>
          <w:noProof/>
          <w:sz w:val="24"/>
          <w:szCs w:val="24"/>
        </w:rPr>
        <w:t>, rozporządzenia dotyczącego praw pasażerów w transporcie autobusowym</w:t>
      </w:r>
      <w:r w:rsidRPr="00140CD5">
        <w:rPr>
          <w:rStyle w:val="Odwoanieprzypisudolnego"/>
          <w:rFonts w:ascii="Times New Roman" w:hAnsi="Times New Roman"/>
          <w:noProof/>
          <w:sz w:val="24"/>
          <w:szCs w:val="24"/>
        </w:rPr>
        <w:footnoteReference w:id="16"/>
      </w:r>
      <w:r w:rsidRPr="00140CD5">
        <w:rPr>
          <w:rFonts w:ascii="Times New Roman" w:hAnsi="Times New Roman" w:cs="Times New Roman"/>
          <w:noProof/>
          <w:sz w:val="24"/>
          <w:szCs w:val="24"/>
        </w:rPr>
        <w:t>, dyrektywy w sprawie ADR w sporach konsumenckich</w:t>
      </w:r>
      <w:r w:rsidRPr="00140CD5">
        <w:rPr>
          <w:rStyle w:val="Odwoanieprzypisudolnego"/>
          <w:rFonts w:ascii="Times New Roman" w:hAnsi="Times New Roman"/>
          <w:noProof/>
          <w:sz w:val="24"/>
          <w:szCs w:val="24"/>
        </w:rPr>
        <w:footnoteReference w:id="17"/>
      </w:r>
      <w:r w:rsidRPr="00140CD5">
        <w:rPr>
          <w:rFonts w:ascii="Times New Roman" w:hAnsi="Times New Roman" w:cs="Times New Roman"/>
          <w:noProof/>
          <w:sz w:val="24"/>
          <w:szCs w:val="24"/>
        </w:rPr>
        <w:t>, rozporządzenia w sprawie ODR w sporach konsumenckich</w:t>
      </w:r>
      <w:r w:rsidRPr="00140CD5">
        <w:rPr>
          <w:rStyle w:val="Odwoanieprzypisudolnego"/>
          <w:rFonts w:ascii="Times New Roman" w:hAnsi="Times New Roman"/>
          <w:noProof/>
          <w:sz w:val="24"/>
          <w:szCs w:val="24"/>
        </w:rPr>
        <w:footnoteReference w:id="18"/>
      </w:r>
      <w:r w:rsidRPr="00140CD5">
        <w:rPr>
          <w:rFonts w:ascii="Times New Roman" w:hAnsi="Times New Roman" w:cs="Times New Roman"/>
          <w:noProof/>
          <w:sz w:val="24"/>
          <w:szCs w:val="24"/>
        </w:rPr>
        <w:t>, dyrektywy w sprawie umów o kredyt związany z nieruchomosciami</w:t>
      </w:r>
      <w:r w:rsidRPr="00140CD5">
        <w:rPr>
          <w:rStyle w:val="Odwoanieprzypisudolnego"/>
          <w:rFonts w:ascii="Times New Roman" w:hAnsi="Times New Roman"/>
          <w:noProof/>
          <w:sz w:val="24"/>
          <w:szCs w:val="24"/>
        </w:rPr>
        <w:footnoteReference w:id="19"/>
      </w:r>
      <w:r w:rsidRPr="00140CD5">
        <w:rPr>
          <w:rFonts w:ascii="Times New Roman" w:hAnsi="Times New Roman" w:cs="Times New Roman"/>
          <w:noProof/>
          <w:sz w:val="24"/>
          <w:szCs w:val="24"/>
        </w:rPr>
        <w:t>, dyrektywy w sprawie porównywalności opłat związanych z rachunkami płatniczymi</w:t>
      </w:r>
      <w:r w:rsidRPr="00140CD5">
        <w:rPr>
          <w:rStyle w:val="Odwoanieprzypisudolnego"/>
          <w:rFonts w:ascii="Times New Roman" w:hAnsi="Times New Roman"/>
          <w:noProof/>
          <w:sz w:val="24"/>
          <w:szCs w:val="24"/>
        </w:rPr>
        <w:footnoteReference w:id="20"/>
      </w:r>
      <w:r w:rsidRPr="00140CD5">
        <w:rPr>
          <w:rFonts w:ascii="Times New Roman" w:hAnsi="Times New Roman" w:cs="Times New Roman"/>
          <w:noProof/>
          <w:sz w:val="24"/>
          <w:szCs w:val="24"/>
        </w:rPr>
        <w:t xml:space="preserve"> oraz rozporządzenia dotyczącego transgranicznego przenoszenia usług online</w:t>
      </w:r>
      <w:r w:rsidRPr="00140CD5">
        <w:rPr>
          <w:rStyle w:val="Odwoanieprzypisudolnego"/>
          <w:rFonts w:ascii="Times New Roman" w:hAnsi="Times New Roman"/>
          <w:noProof/>
          <w:sz w:val="24"/>
          <w:szCs w:val="24"/>
        </w:rPr>
        <w:footnoteReference w:id="21"/>
      </w:r>
      <w:r w:rsidRPr="00140CD5">
        <w:rPr>
          <w:rFonts w:ascii="Times New Roman" w:hAnsi="Times New Roman" w:cs="Times New Roman"/>
          <w:noProof/>
          <w:sz w:val="24"/>
          <w:szCs w:val="24"/>
        </w:rPr>
        <w:t>. Ostatecznie wspomniane akty prawne zostały uwzględnione w załączniku do rozporządzenia</w:t>
      </w:r>
      <w:r w:rsidR="003B7E5C" w:rsidRPr="00140CD5">
        <w:rPr>
          <w:rFonts w:ascii="Times New Roman" w:hAnsi="Times New Roman" w:cs="Times New Roman"/>
          <w:noProof/>
          <w:sz w:val="24"/>
          <w:szCs w:val="24"/>
        </w:rPr>
        <w:t xml:space="preserve"> CPC</w:t>
      </w:r>
      <w:r w:rsidRPr="00140CD5">
        <w:rPr>
          <w:rFonts w:ascii="Times New Roman" w:hAnsi="Times New Roman" w:cs="Times New Roman"/>
          <w:noProof/>
          <w:sz w:val="24"/>
          <w:szCs w:val="24"/>
        </w:rPr>
        <w:t>.</w:t>
      </w:r>
    </w:p>
    <w:p w14:paraId="4EA94B02" w14:textId="234316AF" w:rsidR="0097004C" w:rsidRPr="00140CD5" w:rsidRDefault="004C736D" w:rsidP="00140CD5">
      <w:pPr>
        <w:spacing w:after="120" w:line="276" w:lineRule="auto"/>
        <w:jc w:val="both"/>
        <w:rPr>
          <w:rFonts w:ascii="Times New Roman" w:hAnsi="Times New Roman" w:cs="Times New Roman"/>
          <w:sz w:val="24"/>
          <w:szCs w:val="24"/>
        </w:rPr>
      </w:pPr>
      <w:r w:rsidRPr="00140CD5">
        <w:rPr>
          <w:rFonts w:ascii="Times New Roman" w:hAnsi="Times New Roman" w:cs="Times New Roman"/>
          <w:sz w:val="24"/>
          <w:szCs w:val="24"/>
        </w:rPr>
        <w:t>Należy podkreślić, że Prezes UOKIK już w chwili obecnej posiada szereg kompetencji przewidzianych w rozporządzeniu CPC</w:t>
      </w:r>
      <w:r w:rsidR="00C312E0" w:rsidRPr="00140CD5">
        <w:rPr>
          <w:rFonts w:ascii="Times New Roman" w:hAnsi="Times New Roman" w:cs="Times New Roman"/>
          <w:sz w:val="24"/>
          <w:szCs w:val="24"/>
        </w:rPr>
        <w:t>, z których korzysta w ramach prowadzonych</w:t>
      </w:r>
      <w:r w:rsidR="00BF6164" w:rsidRPr="00140CD5">
        <w:rPr>
          <w:rFonts w:ascii="Times New Roman" w:hAnsi="Times New Roman" w:cs="Times New Roman"/>
          <w:sz w:val="24"/>
          <w:szCs w:val="24"/>
        </w:rPr>
        <w:t xml:space="preserve"> postępowań.</w:t>
      </w:r>
      <w:r w:rsidR="00C312E0" w:rsidRPr="00140CD5">
        <w:rPr>
          <w:rFonts w:ascii="Times New Roman" w:hAnsi="Times New Roman" w:cs="Times New Roman"/>
          <w:sz w:val="24"/>
          <w:szCs w:val="24"/>
        </w:rPr>
        <w:t xml:space="preserve"> Kompetencje</w:t>
      </w:r>
      <w:r w:rsidR="007A2D64">
        <w:rPr>
          <w:rFonts w:ascii="Times New Roman" w:hAnsi="Times New Roman" w:cs="Times New Roman"/>
          <w:sz w:val="24"/>
          <w:szCs w:val="24"/>
        </w:rPr>
        <w:t xml:space="preserve"> te, </w:t>
      </w:r>
      <w:r w:rsidR="00C312E0" w:rsidRPr="00140CD5">
        <w:rPr>
          <w:rFonts w:ascii="Times New Roman" w:hAnsi="Times New Roman" w:cs="Times New Roman"/>
          <w:sz w:val="24"/>
          <w:szCs w:val="24"/>
        </w:rPr>
        <w:t xml:space="preserve"> </w:t>
      </w:r>
      <w:r w:rsidR="007A2D64">
        <w:rPr>
          <w:rFonts w:ascii="Times New Roman" w:hAnsi="Times New Roman" w:cs="Times New Roman"/>
          <w:sz w:val="24"/>
          <w:szCs w:val="24"/>
        </w:rPr>
        <w:t xml:space="preserve">wskazane w ustawie okik </w:t>
      </w:r>
      <w:r w:rsidR="00C312E0" w:rsidRPr="00140CD5">
        <w:rPr>
          <w:rFonts w:ascii="Times New Roman" w:hAnsi="Times New Roman" w:cs="Times New Roman"/>
          <w:sz w:val="24"/>
          <w:szCs w:val="24"/>
        </w:rPr>
        <w:t>obejmują:</w:t>
      </w:r>
    </w:p>
    <w:p w14:paraId="4FAF5C20" w14:textId="61A413E0" w:rsidR="001139F4" w:rsidRPr="00140CD5" w:rsidRDefault="001139F4" w:rsidP="00140CD5">
      <w:pPr>
        <w:spacing w:after="120" w:line="276" w:lineRule="auto"/>
        <w:jc w:val="both"/>
        <w:rPr>
          <w:rFonts w:ascii="Times New Roman" w:hAnsi="Times New Roman" w:cs="Times New Roman"/>
          <w:sz w:val="24"/>
          <w:szCs w:val="24"/>
        </w:rPr>
      </w:pPr>
      <w:r w:rsidRPr="00140CD5">
        <w:rPr>
          <w:rFonts w:ascii="Times New Roman" w:hAnsi="Times New Roman" w:cs="Times New Roman"/>
          <w:sz w:val="24"/>
          <w:szCs w:val="24"/>
        </w:rPr>
        <w:t>- uprawnienia dostępu do istotnych dokumentów, danych lub informacji odnoszących się do naruszenia objętego  rozporządzeniem</w:t>
      </w:r>
      <w:r w:rsidR="00C312E0" w:rsidRPr="00140CD5">
        <w:rPr>
          <w:rFonts w:ascii="Times New Roman" w:hAnsi="Times New Roman" w:cs="Times New Roman"/>
          <w:sz w:val="24"/>
          <w:szCs w:val="24"/>
        </w:rPr>
        <w:t xml:space="preserve"> CPC</w:t>
      </w:r>
      <w:r w:rsidRPr="00140CD5">
        <w:rPr>
          <w:rFonts w:ascii="Times New Roman" w:hAnsi="Times New Roman" w:cs="Times New Roman"/>
          <w:sz w:val="24"/>
          <w:szCs w:val="24"/>
        </w:rPr>
        <w:t xml:space="preserve">, w dowolnej formie lub w dowolnym formacie i bez względu na nośnik, i na miejsce ich przechowywania – przepis </w:t>
      </w:r>
      <w:r w:rsidR="007B0385" w:rsidRPr="00140CD5">
        <w:rPr>
          <w:rFonts w:ascii="Times New Roman" w:hAnsi="Times New Roman" w:cs="Times New Roman"/>
          <w:sz w:val="24"/>
          <w:szCs w:val="24"/>
        </w:rPr>
        <w:t xml:space="preserve">częściowo </w:t>
      </w:r>
      <w:r w:rsidR="007A2D64">
        <w:rPr>
          <w:rFonts w:ascii="Times New Roman" w:hAnsi="Times New Roman" w:cs="Times New Roman"/>
          <w:sz w:val="24"/>
          <w:szCs w:val="24"/>
        </w:rPr>
        <w:t>wdrożony – art. 105d</w:t>
      </w:r>
      <w:r w:rsidR="00DB5331" w:rsidRPr="00140CD5">
        <w:rPr>
          <w:rFonts w:ascii="Times New Roman" w:hAnsi="Times New Roman" w:cs="Times New Roman"/>
          <w:sz w:val="24"/>
          <w:szCs w:val="24"/>
        </w:rPr>
        <w:t>;</w:t>
      </w:r>
    </w:p>
    <w:p w14:paraId="156E0DA5" w14:textId="583D932F" w:rsidR="007B0385" w:rsidRPr="00140CD5" w:rsidRDefault="007B0385" w:rsidP="00140CD5">
      <w:pPr>
        <w:spacing w:after="120" w:line="276" w:lineRule="auto"/>
        <w:jc w:val="both"/>
        <w:rPr>
          <w:rFonts w:ascii="Times New Roman" w:hAnsi="Times New Roman" w:cs="Times New Roman"/>
          <w:sz w:val="24"/>
          <w:szCs w:val="24"/>
        </w:rPr>
      </w:pPr>
      <w:r w:rsidRPr="00140CD5">
        <w:rPr>
          <w:rFonts w:ascii="Times New Roman" w:hAnsi="Times New Roman" w:cs="Times New Roman"/>
          <w:sz w:val="24"/>
          <w:szCs w:val="24"/>
        </w:rPr>
        <w:t>- uprawnienia do żądania od publicznego organu, podmiotu lub agencji w ich państwie członkowskim lub od osoby fizycznej lub prawnej dostarczenia istotnych informacji, danych lub dokumentów, w dowolnej formie lub w dowolnym formacie i bez względu na nośnik lub na miejsce ich przechowywania w celu ustalenia, czy doszło lub dochodzi do naruszenia objętego rozporządzeniem</w:t>
      </w:r>
      <w:r w:rsidR="00C312E0" w:rsidRPr="00140CD5">
        <w:rPr>
          <w:rFonts w:ascii="Times New Roman" w:hAnsi="Times New Roman" w:cs="Times New Roman"/>
          <w:sz w:val="24"/>
          <w:szCs w:val="24"/>
        </w:rPr>
        <w:t xml:space="preserve"> CPC</w:t>
      </w:r>
      <w:r w:rsidRPr="00140CD5">
        <w:rPr>
          <w:rFonts w:ascii="Times New Roman" w:hAnsi="Times New Roman" w:cs="Times New Roman"/>
          <w:sz w:val="24"/>
          <w:szCs w:val="24"/>
        </w:rPr>
        <w:t xml:space="preserve"> i w celu ustalenia szczegółów dotyczących tego naruszenia, w tym śledzenia przepływów środków finansowych i danych lub potwierdzenia tożsamości osób zaangażowanych w przepływy środków finansowych i danych, oraz potwierdzenia informacji o rachunkach bankowych i własności stron inte</w:t>
      </w:r>
      <w:r w:rsidR="007A2D64">
        <w:rPr>
          <w:rFonts w:ascii="Times New Roman" w:hAnsi="Times New Roman" w:cs="Times New Roman"/>
          <w:sz w:val="24"/>
          <w:szCs w:val="24"/>
        </w:rPr>
        <w:t xml:space="preserve">rnetowych – art. 72 </w:t>
      </w:r>
      <w:r w:rsidRPr="00140CD5">
        <w:rPr>
          <w:rFonts w:ascii="Times New Roman" w:hAnsi="Times New Roman" w:cs="Times New Roman"/>
          <w:sz w:val="24"/>
          <w:szCs w:val="24"/>
        </w:rPr>
        <w:t>– wdrożony częściowo</w:t>
      </w:r>
      <w:r w:rsidR="00DB5331" w:rsidRPr="00140CD5">
        <w:rPr>
          <w:rFonts w:ascii="Times New Roman" w:hAnsi="Times New Roman" w:cs="Times New Roman"/>
          <w:sz w:val="24"/>
          <w:szCs w:val="24"/>
        </w:rPr>
        <w:t>;</w:t>
      </w:r>
    </w:p>
    <w:p w14:paraId="3A0E3A80" w14:textId="4D446397" w:rsidR="007B0385" w:rsidRPr="00140CD5" w:rsidRDefault="007B0385" w:rsidP="00140CD5">
      <w:pPr>
        <w:spacing w:after="120" w:line="276" w:lineRule="auto"/>
        <w:jc w:val="both"/>
        <w:rPr>
          <w:rFonts w:ascii="Times New Roman" w:hAnsi="Times New Roman" w:cs="Times New Roman"/>
          <w:sz w:val="24"/>
          <w:szCs w:val="24"/>
        </w:rPr>
      </w:pPr>
      <w:r w:rsidRPr="00140CD5">
        <w:rPr>
          <w:rFonts w:ascii="Times New Roman" w:hAnsi="Times New Roman" w:cs="Times New Roman"/>
          <w:sz w:val="24"/>
          <w:szCs w:val="24"/>
        </w:rPr>
        <w:lastRenderedPageBreak/>
        <w:t>- uprawnienia do przeprowadzania niezbędnych kontroli na miejscu, w tym uprawnienia do wkraczania do pomieszczeń i środków transportu oraz na tereny, z których przedsiębiorca, którego dotyczy kontrola, korzysta w celach związanych ze swoją działalnością handlową, gospodarczą, rzemieślniczą lub z wykonywaniem wolnego zawodu, lub zażądania tego od innych organów publicznych, w celu zbadania, zajęcia lub uzyskania informacji, danych lub dokumentów lub sporządzenia ich kopii, bez względu na nośnik; uprawnienia do zajmowania informacji, danych lub dokumentów na niezbędny okres i w zakresie niezbędnym do przeprowadzenia kontroli; uprawnienia do żądania od przedstawicieli lub pracowników przedsiębiorcy, którego dotyczy kontrola, wyjaśnień w sprawie faktów, informacji, danych lub dokumentów dotyczących przedmiotu kontroli oraz rejestrowania odpowiedzi – art.  105 b pkt. 2</w:t>
      </w:r>
      <w:r w:rsidRPr="00140CD5">
        <w:rPr>
          <w:rFonts w:ascii="Times New Roman" w:hAnsi="Times New Roman" w:cs="Times New Roman"/>
          <w:b/>
          <w:sz w:val="24"/>
          <w:szCs w:val="24"/>
        </w:rPr>
        <w:t xml:space="preserve"> </w:t>
      </w:r>
      <w:r w:rsidR="007A2D64">
        <w:rPr>
          <w:rFonts w:ascii="Times New Roman" w:hAnsi="Times New Roman" w:cs="Times New Roman"/>
          <w:sz w:val="24"/>
          <w:szCs w:val="24"/>
        </w:rPr>
        <w:t xml:space="preserve"> - </w:t>
      </w:r>
      <w:r w:rsidRPr="00140CD5">
        <w:rPr>
          <w:rFonts w:ascii="Times New Roman" w:hAnsi="Times New Roman" w:cs="Times New Roman"/>
          <w:sz w:val="24"/>
          <w:szCs w:val="24"/>
        </w:rPr>
        <w:t>wdrożony częściowo</w:t>
      </w:r>
      <w:r w:rsidR="00DB5331" w:rsidRPr="00140CD5">
        <w:rPr>
          <w:rFonts w:ascii="Times New Roman" w:hAnsi="Times New Roman" w:cs="Times New Roman"/>
          <w:sz w:val="24"/>
          <w:szCs w:val="24"/>
        </w:rPr>
        <w:t>;</w:t>
      </w:r>
    </w:p>
    <w:p w14:paraId="4EE705E2" w14:textId="4FE2873E" w:rsidR="007B0385" w:rsidRPr="00140CD5" w:rsidRDefault="007B0385" w:rsidP="00140CD5">
      <w:pPr>
        <w:spacing w:after="120" w:line="276" w:lineRule="auto"/>
        <w:jc w:val="both"/>
        <w:rPr>
          <w:rFonts w:ascii="Times New Roman" w:hAnsi="Times New Roman" w:cs="Times New Roman"/>
          <w:sz w:val="24"/>
          <w:szCs w:val="24"/>
        </w:rPr>
      </w:pPr>
      <w:r w:rsidRPr="00140CD5">
        <w:rPr>
          <w:rFonts w:ascii="Times New Roman" w:hAnsi="Times New Roman" w:cs="Times New Roman"/>
          <w:sz w:val="24"/>
          <w:szCs w:val="24"/>
        </w:rPr>
        <w:t xml:space="preserve">- </w:t>
      </w:r>
      <w:r w:rsidR="00571757" w:rsidRPr="00140CD5">
        <w:rPr>
          <w:rFonts w:ascii="Times New Roman" w:hAnsi="Times New Roman" w:cs="Times New Roman"/>
          <w:sz w:val="24"/>
          <w:szCs w:val="24"/>
        </w:rPr>
        <w:t>uprawnienia do przyjmowania środków tymczasowych, aby zapobiec ryzyku wyrządzenia poważnych szkód zbiorowym in</w:t>
      </w:r>
      <w:r w:rsidR="007A2D64">
        <w:rPr>
          <w:rFonts w:ascii="Times New Roman" w:hAnsi="Times New Roman" w:cs="Times New Roman"/>
          <w:sz w:val="24"/>
          <w:szCs w:val="24"/>
        </w:rPr>
        <w:t xml:space="preserve">teresom konsumentów – art. 101a, </w:t>
      </w:r>
      <w:r w:rsidR="00571757" w:rsidRPr="00140CD5">
        <w:rPr>
          <w:rFonts w:ascii="Times New Roman" w:hAnsi="Times New Roman" w:cs="Times New Roman"/>
          <w:sz w:val="24"/>
          <w:szCs w:val="24"/>
        </w:rPr>
        <w:t>dotyczący decyzji tymczasowej</w:t>
      </w:r>
      <w:r w:rsidR="00DB5331" w:rsidRPr="00140CD5">
        <w:rPr>
          <w:rFonts w:ascii="Times New Roman" w:hAnsi="Times New Roman" w:cs="Times New Roman"/>
          <w:sz w:val="24"/>
          <w:szCs w:val="24"/>
        </w:rPr>
        <w:t>;</w:t>
      </w:r>
    </w:p>
    <w:p w14:paraId="0FD99096" w14:textId="0B5BC2E9" w:rsidR="00571757" w:rsidRPr="00140CD5" w:rsidRDefault="00571757" w:rsidP="00140CD5">
      <w:pPr>
        <w:spacing w:after="120" w:line="276" w:lineRule="auto"/>
        <w:jc w:val="both"/>
        <w:rPr>
          <w:rFonts w:ascii="Times New Roman" w:hAnsi="Times New Roman" w:cs="Times New Roman"/>
          <w:sz w:val="24"/>
          <w:szCs w:val="24"/>
        </w:rPr>
      </w:pPr>
      <w:r w:rsidRPr="00140CD5">
        <w:rPr>
          <w:rFonts w:ascii="Times New Roman" w:hAnsi="Times New Roman" w:cs="Times New Roman"/>
          <w:sz w:val="24"/>
          <w:szCs w:val="24"/>
        </w:rPr>
        <w:t>- uprawnienia do zwrócenia się do przedsiębiorcy odpowiedzialnego za naruszenie objęte niniejszym rozporządzeniem o złożenie zobowiązania w postaci zaprzestania naruszenia, lub do przyjęcia od przedsiębiorcy takich zobowiązań – art. 28</w:t>
      </w:r>
      <w:r w:rsidR="00FD4FED" w:rsidRPr="00140CD5">
        <w:rPr>
          <w:rFonts w:ascii="Times New Roman" w:hAnsi="Times New Roman" w:cs="Times New Roman"/>
          <w:sz w:val="24"/>
          <w:szCs w:val="24"/>
        </w:rPr>
        <w:t xml:space="preserve"> – możliwość nałożenia zobowiązań na przedsiębiorcę i uzyskania zobowiązań ze strony przedsiębiorcy </w:t>
      </w:r>
      <w:r w:rsidR="007A2D64">
        <w:rPr>
          <w:rFonts w:ascii="Times New Roman" w:hAnsi="Times New Roman" w:cs="Times New Roman"/>
          <w:sz w:val="24"/>
          <w:szCs w:val="24"/>
        </w:rPr>
        <w:t xml:space="preserve">oraz art. 26 </w:t>
      </w:r>
      <w:r w:rsidR="00DB5331" w:rsidRPr="00140CD5">
        <w:rPr>
          <w:rFonts w:ascii="Times New Roman" w:hAnsi="Times New Roman" w:cs="Times New Roman"/>
          <w:sz w:val="24"/>
          <w:szCs w:val="24"/>
        </w:rPr>
        <w:t>- decyzja Prezesa UOKiK stwierdzająca stosowanie praktyki naruszającej zbiorowe interesy konsumentów i nakazująca zaniechanie jej stosowania;</w:t>
      </w:r>
    </w:p>
    <w:p w14:paraId="288C8A08" w14:textId="48CF4F67" w:rsidR="00571757" w:rsidRPr="00140CD5" w:rsidRDefault="00571757" w:rsidP="00140CD5">
      <w:pPr>
        <w:spacing w:after="120" w:line="276" w:lineRule="auto"/>
        <w:jc w:val="both"/>
        <w:rPr>
          <w:rFonts w:ascii="Times New Roman" w:hAnsi="Times New Roman" w:cs="Times New Roman"/>
          <w:sz w:val="24"/>
          <w:szCs w:val="24"/>
        </w:rPr>
      </w:pPr>
      <w:r w:rsidRPr="00140CD5">
        <w:rPr>
          <w:rFonts w:ascii="Times New Roman" w:hAnsi="Times New Roman" w:cs="Times New Roman"/>
          <w:sz w:val="24"/>
          <w:szCs w:val="24"/>
        </w:rPr>
        <w:t>- uprawnienia do uzyskania od przedsiębiorcy, z jego własnej inicjatywy, dodatkowych zobowiązań w zakresie środków zaradczych dla konsumentów, dotkniętych domniemanym naruszeniem objętym niniejszym rozporządzeniem, lub, w odpowiednich przypadkach, prawa zwrócenia się do przedsiębiorcy o złożenie zobowiązania w postaci zaoferowania odpowiednich środków zaradczych konsumentom, których dotyczy to naruszenie – art. 28</w:t>
      </w:r>
      <w:r w:rsidR="00FD4FED" w:rsidRPr="00140CD5">
        <w:rPr>
          <w:rFonts w:ascii="Times New Roman" w:hAnsi="Times New Roman" w:cs="Times New Roman"/>
          <w:sz w:val="24"/>
          <w:szCs w:val="24"/>
        </w:rPr>
        <w:t xml:space="preserve"> </w:t>
      </w:r>
      <w:r w:rsidR="007A2D64">
        <w:rPr>
          <w:rFonts w:ascii="Times New Roman" w:hAnsi="Times New Roman" w:cs="Times New Roman"/>
          <w:sz w:val="24"/>
          <w:szCs w:val="24"/>
        </w:rPr>
        <w:t xml:space="preserve">ustawy okik </w:t>
      </w:r>
      <w:r w:rsidR="00FD4FED" w:rsidRPr="00140CD5">
        <w:rPr>
          <w:rFonts w:ascii="Times New Roman" w:hAnsi="Times New Roman" w:cs="Times New Roman"/>
          <w:sz w:val="24"/>
          <w:szCs w:val="24"/>
        </w:rPr>
        <w:t>- możliwość nałożenia zobowiązań na przedsiębiorcę i uzyskania zobowiązań ze strony przedsiębiorcy</w:t>
      </w:r>
      <w:r w:rsidRPr="00140CD5">
        <w:rPr>
          <w:rFonts w:ascii="Times New Roman" w:hAnsi="Times New Roman" w:cs="Times New Roman"/>
          <w:sz w:val="24"/>
          <w:szCs w:val="24"/>
        </w:rPr>
        <w:t>,</w:t>
      </w:r>
      <w:r w:rsidR="00DB5331" w:rsidRPr="00140CD5">
        <w:rPr>
          <w:rFonts w:ascii="Times New Roman" w:hAnsi="Times New Roman" w:cs="Times New Roman"/>
          <w:sz w:val="24"/>
          <w:szCs w:val="24"/>
        </w:rPr>
        <w:t xml:space="preserve"> art. 26 </w:t>
      </w:r>
      <w:r w:rsidR="007A2D64">
        <w:rPr>
          <w:rFonts w:ascii="Times New Roman" w:hAnsi="Times New Roman" w:cs="Times New Roman"/>
          <w:sz w:val="24"/>
          <w:szCs w:val="24"/>
        </w:rPr>
        <w:t xml:space="preserve">ustawy okik </w:t>
      </w:r>
      <w:r w:rsidR="00DB5331" w:rsidRPr="00140CD5">
        <w:rPr>
          <w:rFonts w:ascii="Times New Roman" w:hAnsi="Times New Roman" w:cs="Times New Roman"/>
          <w:sz w:val="24"/>
          <w:szCs w:val="24"/>
        </w:rPr>
        <w:t>- decyzja Prezesa UOKiK stwierdzająca stosowanie praktyki naruszającej zbiorowe interesy konsumentów i nakazująca zaniechanie jej stosowania;</w:t>
      </w:r>
    </w:p>
    <w:p w14:paraId="32982FF2" w14:textId="77777777" w:rsidR="00571757" w:rsidRPr="00140CD5" w:rsidRDefault="00571757" w:rsidP="00140CD5">
      <w:pPr>
        <w:spacing w:after="120" w:line="276" w:lineRule="auto"/>
        <w:jc w:val="both"/>
        <w:rPr>
          <w:rFonts w:ascii="Times New Roman" w:hAnsi="Times New Roman" w:cs="Times New Roman"/>
          <w:sz w:val="24"/>
          <w:szCs w:val="24"/>
        </w:rPr>
      </w:pPr>
      <w:r w:rsidRPr="00140CD5">
        <w:rPr>
          <w:rFonts w:ascii="Times New Roman" w:hAnsi="Times New Roman" w:cs="Times New Roman"/>
          <w:sz w:val="24"/>
          <w:szCs w:val="24"/>
        </w:rPr>
        <w:t>- w przypadku gdy ma to zastosowanie</w:t>
      </w:r>
      <w:r w:rsidR="00476CA6" w:rsidRPr="00140CD5">
        <w:rPr>
          <w:rFonts w:ascii="Times New Roman" w:hAnsi="Times New Roman" w:cs="Times New Roman"/>
          <w:sz w:val="24"/>
          <w:szCs w:val="24"/>
        </w:rPr>
        <w:t>,</w:t>
      </w:r>
      <w:r w:rsidRPr="00140CD5">
        <w:rPr>
          <w:rFonts w:ascii="Times New Roman" w:hAnsi="Times New Roman" w:cs="Times New Roman"/>
          <w:sz w:val="24"/>
          <w:szCs w:val="24"/>
        </w:rPr>
        <w:t xml:space="preserve"> uprawnienia do informowania, za pomocą odpowiednich środków, konsumentów, którzy twierdzą, że doznali szkody w wyniku naruszenia objętego niniejszym rozporządzeniem, o sposobach domagania się odszkodowania przewidzianego w prawie krajowym – art. 31 pkt 12 opracowywanie i wydawanie publikacji oraz programów edukacyjnych popularyzujących wiedze o ochronie konsumenta, </w:t>
      </w:r>
      <w:r w:rsidR="003B7E5C" w:rsidRPr="00140CD5">
        <w:rPr>
          <w:rFonts w:ascii="Times New Roman" w:hAnsi="Times New Roman" w:cs="Times New Roman"/>
          <w:sz w:val="24"/>
          <w:szCs w:val="24"/>
        </w:rPr>
        <w:t>art. 31 c – komunikaty Prezesa UOKiK, a</w:t>
      </w:r>
      <w:r w:rsidRPr="00140CD5">
        <w:rPr>
          <w:rFonts w:ascii="Times New Roman" w:hAnsi="Times New Roman" w:cs="Times New Roman"/>
          <w:sz w:val="24"/>
          <w:szCs w:val="24"/>
        </w:rPr>
        <w:t>rt. 73 a –</w:t>
      </w:r>
      <w:r w:rsidR="00140CD5" w:rsidRPr="00140CD5">
        <w:rPr>
          <w:rFonts w:ascii="Times New Roman" w:hAnsi="Times New Roman" w:cs="Times New Roman"/>
          <w:sz w:val="24"/>
          <w:szCs w:val="24"/>
        </w:rPr>
        <w:t>ostrzeżenie publiczne</w:t>
      </w:r>
      <w:r w:rsidR="00C63F86" w:rsidRPr="00140CD5">
        <w:rPr>
          <w:rFonts w:ascii="Times New Roman" w:hAnsi="Times New Roman" w:cs="Times New Roman"/>
          <w:sz w:val="24"/>
          <w:szCs w:val="24"/>
        </w:rPr>
        <w:t xml:space="preserve"> </w:t>
      </w:r>
      <w:r w:rsidR="00DB5331" w:rsidRPr="00140CD5">
        <w:rPr>
          <w:rFonts w:ascii="Times New Roman" w:hAnsi="Times New Roman" w:cs="Times New Roman"/>
          <w:sz w:val="24"/>
          <w:szCs w:val="24"/>
        </w:rPr>
        <w:t>, art. 26 ust. 3 - decyzja Prezesa UOKiK stwierdzająca stosowanie praktyki naruszającej zbiorowe interesy konsumentów i nakazująca zaniechanie jej stosowania – Prez</w:t>
      </w:r>
      <w:r w:rsidR="00D20C74" w:rsidRPr="00140CD5">
        <w:rPr>
          <w:rFonts w:ascii="Times New Roman" w:hAnsi="Times New Roman" w:cs="Times New Roman"/>
          <w:sz w:val="24"/>
          <w:szCs w:val="24"/>
        </w:rPr>
        <w:t>e</w:t>
      </w:r>
      <w:r w:rsidR="00DB5331" w:rsidRPr="00140CD5">
        <w:rPr>
          <w:rFonts w:ascii="Times New Roman" w:hAnsi="Times New Roman" w:cs="Times New Roman"/>
          <w:sz w:val="24"/>
          <w:szCs w:val="24"/>
        </w:rPr>
        <w:t>s UOKiK może nakazać publikację decyzji</w:t>
      </w:r>
      <w:r w:rsidR="00C63F86" w:rsidRPr="00140CD5">
        <w:rPr>
          <w:rFonts w:ascii="Times New Roman" w:hAnsi="Times New Roman" w:cs="Times New Roman"/>
          <w:sz w:val="24"/>
          <w:szCs w:val="24"/>
        </w:rPr>
        <w:t xml:space="preserve"> w całości lub w części</w:t>
      </w:r>
      <w:r w:rsidRPr="00140CD5">
        <w:rPr>
          <w:rFonts w:ascii="Times New Roman" w:hAnsi="Times New Roman" w:cs="Times New Roman"/>
          <w:sz w:val="24"/>
          <w:szCs w:val="24"/>
        </w:rPr>
        <w:t>;</w:t>
      </w:r>
    </w:p>
    <w:p w14:paraId="137424FE" w14:textId="77777777" w:rsidR="00571757" w:rsidRPr="00140CD5" w:rsidRDefault="00571757" w:rsidP="00140CD5">
      <w:pPr>
        <w:spacing w:after="120" w:line="276" w:lineRule="auto"/>
        <w:jc w:val="both"/>
        <w:rPr>
          <w:rFonts w:ascii="Times New Roman" w:hAnsi="Times New Roman" w:cs="Times New Roman"/>
          <w:b/>
          <w:sz w:val="24"/>
          <w:szCs w:val="24"/>
        </w:rPr>
      </w:pPr>
      <w:r w:rsidRPr="00140CD5">
        <w:rPr>
          <w:rFonts w:ascii="Times New Roman" w:hAnsi="Times New Roman" w:cs="Times New Roman"/>
          <w:b/>
          <w:sz w:val="24"/>
          <w:szCs w:val="24"/>
        </w:rPr>
        <w:t xml:space="preserve">- </w:t>
      </w:r>
      <w:r w:rsidRPr="00140CD5">
        <w:rPr>
          <w:rFonts w:ascii="Times New Roman" w:hAnsi="Times New Roman" w:cs="Times New Roman"/>
          <w:sz w:val="24"/>
          <w:szCs w:val="24"/>
        </w:rPr>
        <w:t>uprawnienia do pisemnego nakazania przedsiębiorcy zaprzestania naruszeń objętych niniejszym rozporządzeniem – art.</w:t>
      </w:r>
      <w:r w:rsidR="00FD4FED" w:rsidRPr="00140CD5">
        <w:rPr>
          <w:rFonts w:ascii="Times New Roman" w:hAnsi="Times New Roman" w:cs="Times New Roman"/>
          <w:sz w:val="24"/>
          <w:szCs w:val="24"/>
        </w:rPr>
        <w:t xml:space="preserve"> 26 </w:t>
      </w:r>
      <w:r w:rsidR="00DB5331" w:rsidRPr="00140CD5">
        <w:rPr>
          <w:rFonts w:ascii="Times New Roman" w:hAnsi="Times New Roman" w:cs="Times New Roman"/>
          <w:sz w:val="24"/>
          <w:szCs w:val="24"/>
        </w:rPr>
        <w:t xml:space="preserve">- </w:t>
      </w:r>
      <w:r w:rsidR="00FD4FED" w:rsidRPr="00140CD5">
        <w:rPr>
          <w:rFonts w:ascii="Times New Roman" w:hAnsi="Times New Roman" w:cs="Times New Roman"/>
          <w:sz w:val="24"/>
          <w:szCs w:val="24"/>
        </w:rPr>
        <w:t>decyzja Prezesa UOKiK</w:t>
      </w:r>
      <w:r w:rsidRPr="00140CD5">
        <w:rPr>
          <w:rFonts w:ascii="Times New Roman" w:hAnsi="Times New Roman" w:cs="Times New Roman"/>
          <w:sz w:val="24"/>
          <w:szCs w:val="24"/>
        </w:rPr>
        <w:t xml:space="preserve"> </w:t>
      </w:r>
      <w:r w:rsidR="00FD4FED" w:rsidRPr="00140CD5">
        <w:rPr>
          <w:rFonts w:ascii="Times New Roman" w:hAnsi="Times New Roman" w:cs="Times New Roman"/>
          <w:sz w:val="24"/>
          <w:szCs w:val="24"/>
        </w:rPr>
        <w:t>stwierdzająca</w:t>
      </w:r>
      <w:r w:rsidR="00DB5331" w:rsidRPr="00140CD5">
        <w:rPr>
          <w:rFonts w:ascii="Times New Roman" w:hAnsi="Times New Roman" w:cs="Times New Roman"/>
          <w:sz w:val="24"/>
          <w:szCs w:val="24"/>
        </w:rPr>
        <w:t xml:space="preserve"> </w:t>
      </w:r>
      <w:r w:rsidR="00806F1A" w:rsidRPr="00140CD5">
        <w:rPr>
          <w:rFonts w:ascii="Times New Roman" w:hAnsi="Times New Roman" w:cs="Times New Roman"/>
          <w:sz w:val="24"/>
          <w:szCs w:val="24"/>
        </w:rPr>
        <w:lastRenderedPageBreak/>
        <w:t>stosowanie praktyki naruszającej zbiorowe interesy konsumentów i nakazująca zaniechanie jej stosowania</w:t>
      </w:r>
      <w:r w:rsidRPr="00140CD5">
        <w:rPr>
          <w:rFonts w:ascii="Times New Roman" w:hAnsi="Times New Roman" w:cs="Times New Roman"/>
          <w:sz w:val="24"/>
          <w:szCs w:val="24"/>
        </w:rPr>
        <w:t xml:space="preserve">; </w:t>
      </w:r>
    </w:p>
    <w:p w14:paraId="69BBE216" w14:textId="77777777" w:rsidR="00FD4FED" w:rsidRPr="00140CD5" w:rsidRDefault="00FD4FED" w:rsidP="00140CD5">
      <w:pPr>
        <w:spacing w:after="120" w:line="276" w:lineRule="auto"/>
        <w:jc w:val="both"/>
        <w:rPr>
          <w:rFonts w:ascii="Times New Roman" w:hAnsi="Times New Roman" w:cs="Times New Roman"/>
          <w:sz w:val="24"/>
          <w:szCs w:val="24"/>
        </w:rPr>
      </w:pPr>
      <w:r w:rsidRPr="00140CD5">
        <w:rPr>
          <w:rFonts w:ascii="Times New Roman" w:hAnsi="Times New Roman" w:cs="Times New Roman"/>
          <w:sz w:val="24"/>
          <w:szCs w:val="24"/>
        </w:rPr>
        <w:t xml:space="preserve">- uprawnienia do doprowadzenia do zaprzestania lub zakazania naruszeń objętych niniejszym rozporządzeniem – art. </w:t>
      </w:r>
      <w:r w:rsidR="00806F1A" w:rsidRPr="00140CD5">
        <w:rPr>
          <w:rFonts w:ascii="Times New Roman" w:hAnsi="Times New Roman" w:cs="Times New Roman"/>
          <w:sz w:val="24"/>
          <w:szCs w:val="24"/>
        </w:rPr>
        <w:t>26</w:t>
      </w:r>
      <w:r w:rsidR="00DB5331" w:rsidRPr="00140CD5">
        <w:rPr>
          <w:rFonts w:ascii="Times New Roman" w:hAnsi="Times New Roman" w:cs="Times New Roman"/>
          <w:sz w:val="24"/>
          <w:szCs w:val="24"/>
        </w:rPr>
        <w:t>,</w:t>
      </w:r>
      <w:r w:rsidR="00806F1A" w:rsidRPr="00140CD5">
        <w:rPr>
          <w:rFonts w:ascii="Times New Roman" w:hAnsi="Times New Roman" w:cs="Times New Roman"/>
          <w:sz w:val="24"/>
          <w:szCs w:val="24"/>
        </w:rPr>
        <w:t xml:space="preserve"> </w:t>
      </w:r>
      <w:r w:rsidR="003B7E5C" w:rsidRPr="00140CD5">
        <w:rPr>
          <w:rFonts w:ascii="Times New Roman" w:hAnsi="Times New Roman" w:cs="Times New Roman"/>
          <w:sz w:val="24"/>
          <w:szCs w:val="24"/>
        </w:rPr>
        <w:t>a</w:t>
      </w:r>
      <w:r w:rsidRPr="00140CD5">
        <w:rPr>
          <w:rFonts w:ascii="Times New Roman" w:hAnsi="Times New Roman" w:cs="Times New Roman"/>
          <w:sz w:val="24"/>
          <w:szCs w:val="24"/>
        </w:rPr>
        <w:t xml:space="preserve">rt. 49a </w:t>
      </w:r>
      <w:r w:rsidR="00DB5331" w:rsidRPr="00140CD5">
        <w:rPr>
          <w:rFonts w:ascii="Times New Roman" w:hAnsi="Times New Roman" w:cs="Times New Roman"/>
          <w:sz w:val="24"/>
          <w:szCs w:val="24"/>
        </w:rPr>
        <w:t xml:space="preserve">- </w:t>
      </w:r>
      <w:r w:rsidRPr="00140CD5">
        <w:rPr>
          <w:rFonts w:ascii="Times New Roman" w:hAnsi="Times New Roman" w:cs="Times New Roman"/>
          <w:sz w:val="24"/>
          <w:szCs w:val="24"/>
        </w:rPr>
        <w:t>wystąpienie do przedsiębiorcy bez wszczynania postępowania (wystąpienia miękkie);</w:t>
      </w:r>
    </w:p>
    <w:p w14:paraId="67DD6093" w14:textId="77777777" w:rsidR="00FD4FED" w:rsidRPr="00140CD5" w:rsidRDefault="00FD4FED" w:rsidP="00140CD5">
      <w:pPr>
        <w:spacing w:after="120" w:line="276" w:lineRule="auto"/>
        <w:jc w:val="both"/>
        <w:rPr>
          <w:rFonts w:ascii="Times New Roman" w:hAnsi="Times New Roman" w:cs="Times New Roman"/>
          <w:sz w:val="24"/>
          <w:szCs w:val="24"/>
        </w:rPr>
      </w:pPr>
      <w:r w:rsidRPr="00140CD5">
        <w:rPr>
          <w:rFonts w:ascii="Times New Roman" w:hAnsi="Times New Roman" w:cs="Times New Roman"/>
          <w:b/>
          <w:sz w:val="24"/>
          <w:szCs w:val="24"/>
        </w:rPr>
        <w:t xml:space="preserve">- </w:t>
      </w:r>
      <w:r w:rsidRPr="00140CD5">
        <w:rPr>
          <w:rFonts w:ascii="Times New Roman" w:hAnsi="Times New Roman" w:cs="Times New Roman"/>
          <w:sz w:val="24"/>
          <w:szCs w:val="24"/>
        </w:rPr>
        <w:t xml:space="preserve">uprawnienia do nakładania kar, takich jak grzywny lub okresowe kary pieniężne za naruszenia objęte niniejszym rozporządzeniem oraz za niewykonanie decyzji, nakazu, środka tymczasowego, zobowiązania przedsiębiorcy lub innego środka przyjętego na podstawie niniejszego rozporządzenia - </w:t>
      </w:r>
      <w:r w:rsidR="003B7E5C" w:rsidRPr="00140CD5">
        <w:rPr>
          <w:rFonts w:ascii="Times New Roman" w:hAnsi="Times New Roman" w:cs="Times New Roman"/>
          <w:sz w:val="24"/>
          <w:szCs w:val="24"/>
        </w:rPr>
        <w:t xml:space="preserve">art. 106, </w:t>
      </w:r>
      <w:r w:rsidR="00806F1A" w:rsidRPr="00140CD5">
        <w:rPr>
          <w:rFonts w:ascii="Times New Roman" w:hAnsi="Times New Roman" w:cs="Times New Roman"/>
          <w:sz w:val="24"/>
          <w:szCs w:val="24"/>
        </w:rPr>
        <w:t xml:space="preserve">art. 106b, </w:t>
      </w:r>
      <w:r w:rsidR="003B7E5C" w:rsidRPr="00140CD5">
        <w:rPr>
          <w:rFonts w:ascii="Times New Roman" w:hAnsi="Times New Roman" w:cs="Times New Roman"/>
          <w:sz w:val="24"/>
          <w:szCs w:val="24"/>
        </w:rPr>
        <w:t>a</w:t>
      </w:r>
      <w:r w:rsidRPr="00140CD5">
        <w:rPr>
          <w:rFonts w:ascii="Times New Roman" w:hAnsi="Times New Roman" w:cs="Times New Roman"/>
          <w:sz w:val="24"/>
          <w:szCs w:val="24"/>
        </w:rPr>
        <w:t>rt. 107 i nast.;</w:t>
      </w:r>
    </w:p>
    <w:p w14:paraId="32CEC789" w14:textId="77777777" w:rsidR="00FD4FED" w:rsidRPr="00140CD5" w:rsidRDefault="00FD4FED" w:rsidP="00140CD5">
      <w:pPr>
        <w:spacing w:after="120" w:line="276" w:lineRule="auto"/>
        <w:jc w:val="both"/>
        <w:rPr>
          <w:rFonts w:ascii="Times New Roman" w:hAnsi="Times New Roman" w:cs="Times New Roman"/>
          <w:sz w:val="24"/>
          <w:szCs w:val="24"/>
        </w:rPr>
      </w:pPr>
      <w:r w:rsidRPr="00140CD5">
        <w:rPr>
          <w:rFonts w:ascii="Times New Roman" w:hAnsi="Times New Roman" w:cs="Times New Roman"/>
          <w:b/>
          <w:sz w:val="24"/>
          <w:szCs w:val="24"/>
        </w:rPr>
        <w:t xml:space="preserve">- </w:t>
      </w:r>
      <w:r w:rsidR="00CD0A39" w:rsidRPr="00140CD5">
        <w:rPr>
          <w:rFonts w:ascii="Times New Roman" w:hAnsi="Times New Roman" w:cs="Times New Roman"/>
          <w:sz w:val="24"/>
          <w:szCs w:val="24"/>
        </w:rPr>
        <w:t xml:space="preserve">uprawnienie do wszczynania dochodzeń lub postępowań z własnej inicjatywy w celu doprowadzenia do zaprzestania naruszeń objętych niniejszym rozporządzeniem lub do ich zakazania </w:t>
      </w:r>
      <w:r w:rsidR="00806F1A" w:rsidRPr="00140CD5">
        <w:rPr>
          <w:rFonts w:ascii="Times New Roman" w:hAnsi="Times New Roman" w:cs="Times New Roman"/>
          <w:sz w:val="24"/>
          <w:szCs w:val="24"/>
        </w:rPr>
        <w:t>–</w:t>
      </w:r>
      <w:r w:rsidR="00CD0A39" w:rsidRPr="00140CD5">
        <w:rPr>
          <w:rFonts w:ascii="Times New Roman" w:hAnsi="Times New Roman" w:cs="Times New Roman"/>
          <w:sz w:val="24"/>
          <w:szCs w:val="24"/>
        </w:rPr>
        <w:t xml:space="preserve"> </w:t>
      </w:r>
      <w:r w:rsidR="00806F1A" w:rsidRPr="00140CD5">
        <w:rPr>
          <w:rFonts w:ascii="Times New Roman" w:hAnsi="Times New Roman" w:cs="Times New Roman"/>
          <w:sz w:val="24"/>
          <w:szCs w:val="24"/>
        </w:rPr>
        <w:t>art. 47, art. 48, art. 49</w:t>
      </w:r>
      <w:r w:rsidR="00DB5331" w:rsidRPr="00140CD5">
        <w:rPr>
          <w:rFonts w:ascii="Times New Roman" w:hAnsi="Times New Roman" w:cs="Times New Roman"/>
          <w:sz w:val="24"/>
          <w:szCs w:val="24"/>
        </w:rPr>
        <w:t>;</w:t>
      </w:r>
    </w:p>
    <w:p w14:paraId="41C9AE55" w14:textId="73147A92" w:rsidR="00CD0A39" w:rsidRPr="00140CD5" w:rsidRDefault="00CD0A39" w:rsidP="00140CD5">
      <w:pPr>
        <w:spacing w:after="120" w:line="276" w:lineRule="auto"/>
        <w:jc w:val="both"/>
        <w:rPr>
          <w:rFonts w:ascii="Times New Roman" w:hAnsi="Times New Roman" w:cs="Times New Roman"/>
          <w:sz w:val="24"/>
          <w:szCs w:val="24"/>
        </w:rPr>
      </w:pPr>
      <w:r w:rsidRPr="00140CD5">
        <w:rPr>
          <w:rFonts w:ascii="Times New Roman" w:hAnsi="Times New Roman" w:cs="Times New Roman"/>
          <w:b/>
          <w:sz w:val="24"/>
          <w:szCs w:val="24"/>
        </w:rPr>
        <w:t xml:space="preserve">- </w:t>
      </w:r>
      <w:r w:rsidRPr="00140CD5">
        <w:rPr>
          <w:rFonts w:ascii="Times New Roman" w:hAnsi="Times New Roman" w:cs="Times New Roman"/>
          <w:sz w:val="24"/>
          <w:szCs w:val="24"/>
        </w:rPr>
        <w:t>uprawnienie do publikacji wszelkich ostatecznych decyzj</w:t>
      </w:r>
      <w:r w:rsidR="00EF0169" w:rsidRPr="00140CD5">
        <w:rPr>
          <w:rFonts w:ascii="Times New Roman" w:hAnsi="Times New Roman" w:cs="Times New Roman"/>
          <w:sz w:val="24"/>
          <w:szCs w:val="24"/>
        </w:rPr>
        <w:t>i</w:t>
      </w:r>
      <w:r w:rsidRPr="00140CD5">
        <w:rPr>
          <w:rFonts w:ascii="Times New Roman" w:hAnsi="Times New Roman" w:cs="Times New Roman"/>
          <w:sz w:val="24"/>
          <w:szCs w:val="24"/>
        </w:rPr>
        <w:t xml:space="preserve">, zobowiązań przedsiębiorców lub nakazów przyjętych na podstawie niniejszego rozporządzenia, w tym informacji na temat tożsamości przedsiębiorcy odpowiedzialnego za naruszenie objęte niniejszym rozporządzeniem - </w:t>
      </w:r>
      <w:r w:rsidR="003B7E5C" w:rsidRPr="00140CD5">
        <w:rPr>
          <w:rFonts w:ascii="Times New Roman" w:hAnsi="Times New Roman" w:cs="Times New Roman"/>
          <w:sz w:val="24"/>
          <w:szCs w:val="24"/>
        </w:rPr>
        <w:t>a</w:t>
      </w:r>
      <w:r w:rsidRPr="00140CD5">
        <w:rPr>
          <w:rFonts w:ascii="Times New Roman" w:hAnsi="Times New Roman" w:cs="Times New Roman"/>
          <w:sz w:val="24"/>
          <w:szCs w:val="24"/>
        </w:rPr>
        <w:t>rt. 26 ust. 3 obowiązujący – publikacja decy</w:t>
      </w:r>
      <w:r w:rsidR="003B7E5C" w:rsidRPr="00140CD5">
        <w:rPr>
          <w:rFonts w:ascii="Times New Roman" w:hAnsi="Times New Roman" w:cs="Times New Roman"/>
          <w:sz w:val="24"/>
          <w:szCs w:val="24"/>
        </w:rPr>
        <w:t>zji stwierdzającej naruszenie, a</w:t>
      </w:r>
      <w:r w:rsidRPr="00140CD5">
        <w:rPr>
          <w:rFonts w:ascii="Times New Roman" w:hAnsi="Times New Roman" w:cs="Times New Roman"/>
          <w:sz w:val="24"/>
          <w:szCs w:val="24"/>
        </w:rPr>
        <w:t>rt. 28 ust. 2</w:t>
      </w:r>
      <w:r w:rsidR="00806F1A" w:rsidRPr="00140CD5">
        <w:rPr>
          <w:rFonts w:ascii="Times New Roman" w:hAnsi="Times New Roman" w:cs="Times New Roman"/>
          <w:sz w:val="24"/>
          <w:szCs w:val="24"/>
        </w:rPr>
        <w:t>,</w:t>
      </w:r>
      <w:r w:rsidR="00DB5331" w:rsidRPr="00140CD5">
        <w:rPr>
          <w:rFonts w:ascii="Times New Roman" w:hAnsi="Times New Roman" w:cs="Times New Roman"/>
          <w:sz w:val="24"/>
          <w:szCs w:val="24"/>
        </w:rPr>
        <w:t xml:space="preserve"> </w:t>
      </w:r>
      <w:r w:rsidR="00806F1A" w:rsidRPr="00140CD5">
        <w:rPr>
          <w:rFonts w:ascii="Times New Roman" w:hAnsi="Times New Roman" w:cs="Times New Roman"/>
          <w:sz w:val="24"/>
          <w:szCs w:val="24"/>
        </w:rPr>
        <w:t>art. 73a - ostrzeżenie publiczne</w:t>
      </w:r>
      <w:r w:rsidR="007A2D64">
        <w:rPr>
          <w:rFonts w:ascii="Times New Roman" w:hAnsi="Times New Roman" w:cs="Times New Roman"/>
          <w:sz w:val="24"/>
          <w:szCs w:val="24"/>
        </w:rPr>
        <w:t>.</w:t>
      </w:r>
    </w:p>
    <w:p w14:paraId="7131CB5E" w14:textId="77777777" w:rsidR="004C736D" w:rsidRPr="00140CD5" w:rsidRDefault="003B7E5C" w:rsidP="00140CD5">
      <w:pPr>
        <w:spacing w:after="120" w:line="276" w:lineRule="auto"/>
        <w:jc w:val="both"/>
        <w:rPr>
          <w:rFonts w:ascii="Times New Roman" w:hAnsi="Times New Roman" w:cs="Times New Roman"/>
          <w:sz w:val="24"/>
          <w:szCs w:val="24"/>
        </w:rPr>
      </w:pPr>
      <w:r w:rsidRPr="00140CD5">
        <w:rPr>
          <w:rFonts w:ascii="Times New Roman" w:hAnsi="Times New Roman" w:cs="Times New Roman"/>
          <w:sz w:val="24"/>
          <w:szCs w:val="24"/>
        </w:rPr>
        <w:t>Z uwagi na fakt, że</w:t>
      </w:r>
      <w:r w:rsidR="00CD0A39" w:rsidRPr="00140CD5">
        <w:rPr>
          <w:rFonts w:ascii="Times New Roman" w:hAnsi="Times New Roman" w:cs="Times New Roman"/>
          <w:sz w:val="24"/>
          <w:szCs w:val="24"/>
        </w:rPr>
        <w:t xml:space="preserve"> Prezes UOKiK dysponuje już o</w:t>
      </w:r>
      <w:r w:rsidR="00E85F21">
        <w:rPr>
          <w:rFonts w:ascii="Times New Roman" w:hAnsi="Times New Roman" w:cs="Times New Roman"/>
          <w:sz w:val="24"/>
          <w:szCs w:val="24"/>
        </w:rPr>
        <w:t>becnie większością uprawnień, o </w:t>
      </w:r>
      <w:r w:rsidR="00CD0A39" w:rsidRPr="00140CD5">
        <w:rPr>
          <w:rFonts w:ascii="Times New Roman" w:hAnsi="Times New Roman" w:cs="Times New Roman"/>
          <w:sz w:val="24"/>
          <w:szCs w:val="24"/>
        </w:rPr>
        <w:t>których mowa w art. 9 rozporządzenia CPC, okreś</w:t>
      </w:r>
      <w:r w:rsidR="00E85F21">
        <w:rPr>
          <w:rFonts w:ascii="Times New Roman" w:hAnsi="Times New Roman" w:cs="Times New Roman"/>
          <w:sz w:val="24"/>
          <w:szCs w:val="24"/>
        </w:rPr>
        <w:t>lającym minimalne kompetencje w </w:t>
      </w:r>
      <w:r w:rsidR="00CD0A39" w:rsidRPr="00140CD5">
        <w:rPr>
          <w:rFonts w:ascii="Times New Roman" w:hAnsi="Times New Roman" w:cs="Times New Roman"/>
          <w:sz w:val="24"/>
          <w:szCs w:val="24"/>
        </w:rPr>
        <w:t xml:space="preserve">zakresie egzekwowania prawa oraz </w:t>
      </w:r>
      <w:r w:rsidR="00A2522B" w:rsidRPr="00140CD5">
        <w:rPr>
          <w:rFonts w:ascii="Times New Roman" w:hAnsi="Times New Roman" w:cs="Times New Roman"/>
          <w:sz w:val="24"/>
          <w:szCs w:val="24"/>
        </w:rPr>
        <w:t xml:space="preserve">uprawnienia </w:t>
      </w:r>
      <w:r w:rsidR="00CD0A39" w:rsidRPr="00140CD5">
        <w:rPr>
          <w:rFonts w:ascii="Times New Roman" w:hAnsi="Times New Roman" w:cs="Times New Roman"/>
          <w:sz w:val="24"/>
          <w:szCs w:val="24"/>
        </w:rPr>
        <w:t xml:space="preserve">dochodzeniowe, </w:t>
      </w:r>
      <w:r w:rsidR="004C736D" w:rsidRPr="00140CD5">
        <w:rPr>
          <w:rFonts w:ascii="Times New Roman" w:hAnsi="Times New Roman" w:cs="Times New Roman"/>
          <w:sz w:val="24"/>
          <w:szCs w:val="24"/>
        </w:rPr>
        <w:t xml:space="preserve">proponuje się, aby organem, który zostanie wyposażony w nowe kompetencje, przyznane na mocy przedmiotowego rozporządzenia, był Prezes </w:t>
      </w:r>
      <w:r w:rsidR="00413A34" w:rsidRPr="00140CD5">
        <w:rPr>
          <w:rFonts w:ascii="Times New Roman" w:hAnsi="Times New Roman" w:cs="Times New Roman"/>
          <w:sz w:val="24"/>
          <w:szCs w:val="24"/>
        </w:rPr>
        <w:t>UOKiK</w:t>
      </w:r>
      <w:r w:rsidR="00A2522B" w:rsidRPr="00140CD5">
        <w:rPr>
          <w:rFonts w:ascii="Times New Roman" w:hAnsi="Times New Roman" w:cs="Times New Roman"/>
          <w:sz w:val="24"/>
          <w:szCs w:val="24"/>
        </w:rPr>
        <w:t>.</w:t>
      </w:r>
      <w:r w:rsidR="00413A34" w:rsidRPr="00140CD5">
        <w:rPr>
          <w:rFonts w:ascii="Times New Roman" w:hAnsi="Times New Roman" w:cs="Times New Roman"/>
          <w:sz w:val="24"/>
          <w:szCs w:val="24"/>
        </w:rPr>
        <w:t xml:space="preserve"> </w:t>
      </w:r>
      <w:r w:rsidR="004C736D" w:rsidRPr="00140CD5">
        <w:rPr>
          <w:rFonts w:ascii="Times New Roman" w:hAnsi="Times New Roman" w:cs="Times New Roman"/>
          <w:sz w:val="24"/>
          <w:szCs w:val="24"/>
        </w:rPr>
        <w:t>Proponuje się takż</w:t>
      </w:r>
      <w:r w:rsidR="008E70DF" w:rsidRPr="00140CD5">
        <w:rPr>
          <w:rFonts w:ascii="Times New Roman" w:hAnsi="Times New Roman" w:cs="Times New Roman"/>
          <w:sz w:val="24"/>
          <w:szCs w:val="24"/>
        </w:rPr>
        <w:t>e, aby w przypadku niektóryc</w:t>
      </w:r>
      <w:r w:rsidR="004531F3" w:rsidRPr="00140CD5">
        <w:rPr>
          <w:rFonts w:ascii="Times New Roman" w:hAnsi="Times New Roman" w:cs="Times New Roman"/>
          <w:sz w:val="24"/>
          <w:szCs w:val="24"/>
        </w:rPr>
        <w:t>h kompetencji, poszczególne czynności w ramach tychże, wykonywane były z udziałem innych podmiotów</w:t>
      </w:r>
      <w:r w:rsidR="004C736D" w:rsidRPr="00140CD5">
        <w:rPr>
          <w:rFonts w:ascii="Times New Roman" w:hAnsi="Times New Roman" w:cs="Times New Roman"/>
          <w:sz w:val="24"/>
          <w:szCs w:val="24"/>
        </w:rPr>
        <w:t xml:space="preserve">. </w:t>
      </w:r>
    </w:p>
    <w:p w14:paraId="1E53C2D9" w14:textId="77777777" w:rsidR="004C736D" w:rsidRPr="00140CD5" w:rsidRDefault="004C736D" w:rsidP="00140CD5">
      <w:pPr>
        <w:spacing w:after="120" w:line="276" w:lineRule="auto"/>
        <w:jc w:val="both"/>
        <w:rPr>
          <w:rFonts w:ascii="Times New Roman" w:hAnsi="Times New Roman" w:cs="Times New Roman"/>
          <w:sz w:val="24"/>
          <w:szCs w:val="24"/>
        </w:rPr>
      </w:pPr>
      <w:r w:rsidRPr="00140CD5">
        <w:rPr>
          <w:rFonts w:ascii="Times New Roman" w:hAnsi="Times New Roman" w:cs="Times New Roman"/>
          <w:sz w:val="24"/>
          <w:szCs w:val="24"/>
        </w:rPr>
        <w:t>Nowe kompetencje przewidziane rozporządzeniem</w:t>
      </w:r>
      <w:r w:rsidR="004531F3" w:rsidRPr="00140CD5">
        <w:rPr>
          <w:rFonts w:ascii="Times New Roman" w:hAnsi="Times New Roman" w:cs="Times New Roman"/>
          <w:sz w:val="24"/>
          <w:szCs w:val="24"/>
        </w:rPr>
        <w:t xml:space="preserve"> CPC</w:t>
      </w:r>
      <w:r w:rsidRPr="00140CD5">
        <w:rPr>
          <w:rFonts w:ascii="Times New Roman" w:hAnsi="Times New Roman" w:cs="Times New Roman"/>
          <w:sz w:val="24"/>
          <w:szCs w:val="24"/>
        </w:rPr>
        <w:t xml:space="preserve"> rozszerzają istniejące w polskim systemie ochrony konsumentów, uprawnienia Prezesa UOKiK. Są to przede wszystkim cztery kluczowe, komplementarne do realizowanych obecnie, kompetencje:</w:t>
      </w:r>
    </w:p>
    <w:p w14:paraId="0E66AF50" w14:textId="77777777" w:rsidR="00446A20" w:rsidRPr="00140CD5" w:rsidRDefault="004C736D" w:rsidP="00140CD5">
      <w:pPr>
        <w:pStyle w:val="Akapitzlist"/>
        <w:numPr>
          <w:ilvl w:val="0"/>
          <w:numId w:val="9"/>
        </w:numPr>
        <w:spacing w:after="120" w:line="276" w:lineRule="auto"/>
        <w:jc w:val="both"/>
        <w:rPr>
          <w:rFonts w:ascii="Times New Roman" w:hAnsi="Times New Roman" w:cs="Times New Roman"/>
          <w:sz w:val="24"/>
          <w:szCs w:val="24"/>
        </w:rPr>
      </w:pPr>
      <w:r w:rsidRPr="00140CD5">
        <w:rPr>
          <w:rFonts w:ascii="Times New Roman" w:hAnsi="Times New Roman" w:cs="Times New Roman"/>
          <w:sz w:val="24"/>
          <w:szCs w:val="24"/>
        </w:rPr>
        <w:t xml:space="preserve">rozszerzenie zakresu możliwości dostępu do informacji od publicznego organu, podmiotu lub agencji krajowych. </w:t>
      </w:r>
    </w:p>
    <w:p w14:paraId="1460578C" w14:textId="77777777" w:rsidR="004C736D" w:rsidRPr="00140CD5" w:rsidRDefault="004C736D" w:rsidP="00140CD5">
      <w:pPr>
        <w:pStyle w:val="Akapitzlist"/>
        <w:spacing w:after="120" w:line="276" w:lineRule="auto"/>
        <w:ind w:left="785"/>
        <w:jc w:val="both"/>
        <w:rPr>
          <w:rFonts w:ascii="Times New Roman" w:hAnsi="Times New Roman" w:cs="Times New Roman"/>
          <w:sz w:val="24"/>
          <w:szCs w:val="24"/>
        </w:rPr>
      </w:pPr>
      <w:r w:rsidRPr="00140CD5">
        <w:rPr>
          <w:rFonts w:ascii="Times New Roman" w:hAnsi="Times New Roman" w:cs="Times New Roman"/>
          <w:sz w:val="24"/>
          <w:szCs w:val="24"/>
        </w:rPr>
        <w:t>Obowiązujący przepis art. 72 okik wskazuje na obowiązek udostępnienia Prezesowi U</w:t>
      </w:r>
      <w:r w:rsidR="003E6467" w:rsidRPr="00140CD5">
        <w:rPr>
          <w:rFonts w:ascii="Times New Roman" w:hAnsi="Times New Roman" w:cs="Times New Roman"/>
          <w:sz w:val="24"/>
          <w:szCs w:val="24"/>
        </w:rPr>
        <w:t>OKiK</w:t>
      </w:r>
      <w:r w:rsidRPr="00140CD5">
        <w:rPr>
          <w:rFonts w:ascii="Times New Roman" w:hAnsi="Times New Roman" w:cs="Times New Roman"/>
          <w:sz w:val="24"/>
          <w:szCs w:val="24"/>
        </w:rPr>
        <w:t xml:space="preserve"> znajdujących się w posiadaniu organów administracji publicznej akt oraz istotnych informacji dla postępowania toczącego się przed Prezesem UOKiK. Wprowadzenia wymaga: śledzenie przepływów środków finansowych i danych lub potwierdzanie tożsamości osób zaangażowanych w przepływ środków finansowych i danych, oraz potwierdzenie tożsamości osób zaangażowanych w przepływ środków finansowych i danych, oraz informacji o rachunkach bankowych i własności stron internetowych</w:t>
      </w:r>
      <w:r w:rsidR="006A6863" w:rsidRPr="00140CD5">
        <w:rPr>
          <w:rFonts w:ascii="Times New Roman" w:hAnsi="Times New Roman" w:cs="Times New Roman"/>
          <w:sz w:val="24"/>
          <w:szCs w:val="24"/>
        </w:rPr>
        <w:t xml:space="preserve"> (śledzenie przepływów środków finansowych)</w:t>
      </w:r>
      <w:r w:rsidRPr="00140CD5">
        <w:rPr>
          <w:rFonts w:ascii="Times New Roman" w:hAnsi="Times New Roman" w:cs="Times New Roman"/>
          <w:sz w:val="24"/>
          <w:szCs w:val="24"/>
        </w:rPr>
        <w:t xml:space="preserve">; </w:t>
      </w:r>
    </w:p>
    <w:p w14:paraId="4F0B5446" w14:textId="77777777" w:rsidR="004C736D" w:rsidRPr="00140CD5" w:rsidRDefault="004C736D" w:rsidP="00140CD5">
      <w:pPr>
        <w:pStyle w:val="Akapitzlist"/>
        <w:numPr>
          <w:ilvl w:val="0"/>
          <w:numId w:val="9"/>
        </w:numPr>
        <w:spacing w:after="120" w:line="276" w:lineRule="auto"/>
        <w:jc w:val="both"/>
        <w:rPr>
          <w:rFonts w:ascii="Times New Roman" w:hAnsi="Times New Roman" w:cs="Times New Roman"/>
          <w:sz w:val="24"/>
          <w:szCs w:val="24"/>
        </w:rPr>
      </w:pPr>
      <w:r w:rsidRPr="00140CD5">
        <w:rPr>
          <w:rFonts w:ascii="Times New Roman" w:hAnsi="Times New Roman" w:cs="Times New Roman"/>
          <w:sz w:val="24"/>
          <w:szCs w:val="24"/>
        </w:rPr>
        <w:t>uprawnienie do nabywania towarów lub usług w tym, w razie potrzeby, z wykorzystaniem możliwości przedstawienia się jako inna osoba/ukrycia tożsamości;</w:t>
      </w:r>
    </w:p>
    <w:p w14:paraId="00ACE709" w14:textId="77777777" w:rsidR="004C736D" w:rsidRPr="00140CD5" w:rsidRDefault="004C736D" w:rsidP="00140CD5">
      <w:pPr>
        <w:pStyle w:val="Akapitzlist"/>
        <w:numPr>
          <w:ilvl w:val="0"/>
          <w:numId w:val="9"/>
        </w:numPr>
        <w:spacing w:after="120" w:line="276" w:lineRule="auto"/>
        <w:jc w:val="both"/>
        <w:rPr>
          <w:rFonts w:ascii="Times New Roman" w:hAnsi="Times New Roman" w:cs="Times New Roman"/>
          <w:sz w:val="24"/>
          <w:szCs w:val="24"/>
        </w:rPr>
      </w:pPr>
      <w:r w:rsidRPr="00140CD5">
        <w:rPr>
          <w:rFonts w:ascii="Times New Roman" w:hAnsi="Times New Roman" w:cs="Times New Roman"/>
          <w:sz w:val="24"/>
          <w:szCs w:val="24"/>
        </w:rPr>
        <w:lastRenderedPageBreak/>
        <w:t>uprawnienia dot</w:t>
      </w:r>
      <w:r w:rsidR="00446A20" w:rsidRPr="00140CD5">
        <w:rPr>
          <w:rFonts w:ascii="Times New Roman" w:hAnsi="Times New Roman" w:cs="Times New Roman"/>
          <w:sz w:val="24"/>
          <w:szCs w:val="24"/>
        </w:rPr>
        <w:t xml:space="preserve">yczące </w:t>
      </w:r>
      <w:r w:rsidRPr="00140CD5">
        <w:rPr>
          <w:rFonts w:ascii="Times New Roman" w:hAnsi="Times New Roman" w:cs="Times New Roman"/>
          <w:sz w:val="24"/>
          <w:szCs w:val="24"/>
        </w:rPr>
        <w:t xml:space="preserve">interfejsu internetowego. Zgodnie z art. 9 ust. 4 pkt g rozporządzenia CPC w przypadku braku innych skutecznych środków, które mogą doprowadzić do zaprzestania lub zakazania naruszenia objętego niniejszym rozporządzeniem oraz w celu zapobieżeniu ryzyku wyrządzenia poważnych szkód zbiorowym interesom konsumentów </w:t>
      </w:r>
      <w:r w:rsidR="00FB5328" w:rsidRPr="00140CD5">
        <w:rPr>
          <w:rFonts w:ascii="Times New Roman" w:hAnsi="Times New Roman" w:cs="Times New Roman"/>
          <w:sz w:val="24"/>
          <w:szCs w:val="24"/>
        </w:rPr>
        <w:t xml:space="preserve">właściwy organ ma </w:t>
      </w:r>
      <w:r w:rsidRPr="00140CD5">
        <w:rPr>
          <w:rFonts w:ascii="Times New Roman" w:hAnsi="Times New Roman" w:cs="Times New Roman"/>
          <w:sz w:val="24"/>
          <w:szCs w:val="24"/>
        </w:rPr>
        <w:t>prawo do nakazania:</w:t>
      </w:r>
    </w:p>
    <w:p w14:paraId="04280370" w14:textId="77777777" w:rsidR="004C736D" w:rsidRPr="00140CD5" w:rsidRDefault="004C736D" w:rsidP="00140CD5">
      <w:pPr>
        <w:pStyle w:val="Akapitzlist"/>
        <w:numPr>
          <w:ilvl w:val="0"/>
          <w:numId w:val="8"/>
        </w:numPr>
        <w:spacing w:after="120" w:line="276" w:lineRule="auto"/>
        <w:jc w:val="both"/>
        <w:rPr>
          <w:rFonts w:ascii="Times New Roman" w:hAnsi="Times New Roman" w:cs="Times New Roman"/>
          <w:sz w:val="24"/>
          <w:szCs w:val="24"/>
        </w:rPr>
      </w:pPr>
      <w:r w:rsidRPr="00140CD5">
        <w:rPr>
          <w:rFonts w:ascii="Times New Roman" w:hAnsi="Times New Roman" w:cs="Times New Roman"/>
          <w:sz w:val="24"/>
          <w:szCs w:val="24"/>
        </w:rPr>
        <w:t>usunięcia treści lub ograniczenia dostępu do interfejsu internetowego lub nakazania umieszczenia wyraźnego ostrzeżenia dla konsumentów wchodzących na interfejs internetowy,</w:t>
      </w:r>
    </w:p>
    <w:p w14:paraId="0E1897E3" w14:textId="77777777" w:rsidR="004C736D" w:rsidRPr="00140CD5" w:rsidRDefault="004C736D" w:rsidP="00140CD5">
      <w:pPr>
        <w:pStyle w:val="Akapitzlist"/>
        <w:numPr>
          <w:ilvl w:val="0"/>
          <w:numId w:val="8"/>
        </w:numPr>
        <w:spacing w:after="120" w:line="276" w:lineRule="auto"/>
        <w:jc w:val="both"/>
        <w:rPr>
          <w:rFonts w:ascii="Times New Roman" w:hAnsi="Times New Roman" w:cs="Times New Roman"/>
          <w:sz w:val="24"/>
          <w:szCs w:val="24"/>
        </w:rPr>
      </w:pPr>
      <w:r w:rsidRPr="00140CD5">
        <w:rPr>
          <w:rFonts w:ascii="Times New Roman" w:hAnsi="Times New Roman" w:cs="Times New Roman"/>
          <w:sz w:val="24"/>
          <w:szCs w:val="24"/>
        </w:rPr>
        <w:t>dostawcy usług hostingowych usunięcia lub wyłączenia interfejsu internetowego lub ograniczenia dostępu do niego, lub</w:t>
      </w:r>
    </w:p>
    <w:p w14:paraId="6087A747" w14:textId="77777777" w:rsidR="004C736D" w:rsidRPr="00140CD5" w:rsidRDefault="004C736D" w:rsidP="00140CD5">
      <w:pPr>
        <w:pStyle w:val="Akapitzlist"/>
        <w:numPr>
          <w:ilvl w:val="0"/>
          <w:numId w:val="8"/>
        </w:numPr>
        <w:spacing w:after="120" w:line="276" w:lineRule="auto"/>
        <w:jc w:val="both"/>
        <w:rPr>
          <w:rFonts w:ascii="Times New Roman" w:hAnsi="Times New Roman" w:cs="Times New Roman"/>
          <w:sz w:val="24"/>
          <w:szCs w:val="24"/>
        </w:rPr>
      </w:pPr>
      <w:r w:rsidRPr="00140CD5">
        <w:rPr>
          <w:rFonts w:ascii="Times New Roman" w:hAnsi="Times New Roman" w:cs="Times New Roman"/>
          <w:sz w:val="24"/>
          <w:szCs w:val="24"/>
        </w:rPr>
        <w:t xml:space="preserve">w odpowiednich przypadkach nakazania rejestrom domen i podmiotom rejestrującym domeny usunięcia pełnej nazwy domenowej (FQDN) i umożliwienia właściwemu organowi jej rejestracji. </w:t>
      </w:r>
    </w:p>
    <w:p w14:paraId="4F29381F" w14:textId="77777777" w:rsidR="004C736D" w:rsidRPr="00140CD5" w:rsidRDefault="004C736D" w:rsidP="00140CD5">
      <w:pPr>
        <w:pStyle w:val="Akapitzlist"/>
        <w:numPr>
          <w:ilvl w:val="0"/>
          <w:numId w:val="9"/>
        </w:numPr>
        <w:spacing w:after="120" w:line="276" w:lineRule="auto"/>
        <w:jc w:val="both"/>
        <w:rPr>
          <w:rFonts w:ascii="Times New Roman" w:hAnsi="Times New Roman" w:cs="Times New Roman"/>
          <w:sz w:val="24"/>
          <w:szCs w:val="24"/>
        </w:rPr>
      </w:pPr>
      <w:r w:rsidRPr="00140CD5">
        <w:rPr>
          <w:rFonts w:ascii="Times New Roman" w:hAnsi="Times New Roman" w:cs="Times New Roman"/>
          <w:sz w:val="24"/>
          <w:szCs w:val="24"/>
        </w:rPr>
        <w:t>rozszerzenie instytucji przeszukania także na postępowania konsumenckie (art. 105n u</w:t>
      </w:r>
      <w:r w:rsidR="003E6467" w:rsidRPr="00140CD5">
        <w:rPr>
          <w:rFonts w:ascii="Times New Roman" w:hAnsi="Times New Roman" w:cs="Times New Roman"/>
          <w:sz w:val="24"/>
          <w:szCs w:val="24"/>
        </w:rPr>
        <w:t xml:space="preserve">stawy </w:t>
      </w:r>
      <w:r w:rsidRPr="00140CD5">
        <w:rPr>
          <w:rFonts w:ascii="Times New Roman" w:hAnsi="Times New Roman" w:cs="Times New Roman"/>
          <w:sz w:val="24"/>
          <w:szCs w:val="24"/>
        </w:rPr>
        <w:t>okik).</w:t>
      </w:r>
    </w:p>
    <w:p w14:paraId="7B5AEDCD" w14:textId="77777777" w:rsidR="00F75957" w:rsidRPr="00140CD5" w:rsidRDefault="00F75957" w:rsidP="00140CD5">
      <w:pPr>
        <w:spacing w:after="120" w:line="276" w:lineRule="auto"/>
        <w:jc w:val="both"/>
        <w:rPr>
          <w:rFonts w:ascii="Times New Roman" w:hAnsi="Times New Roman" w:cs="Times New Roman"/>
          <w:sz w:val="24"/>
          <w:szCs w:val="24"/>
        </w:rPr>
      </w:pPr>
      <w:r w:rsidRPr="00140CD5">
        <w:rPr>
          <w:rFonts w:ascii="Times New Roman" w:hAnsi="Times New Roman" w:cs="Times New Roman"/>
          <w:sz w:val="24"/>
          <w:szCs w:val="24"/>
        </w:rPr>
        <w:t>Ponadto zdecydowano o wdrożeniu możliwoś</w:t>
      </w:r>
      <w:r w:rsidR="00FB5328" w:rsidRPr="00140CD5">
        <w:rPr>
          <w:rFonts w:ascii="Times New Roman" w:hAnsi="Times New Roman" w:cs="Times New Roman"/>
          <w:sz w:val="24"/>
          <w:szCs w:val="24"/>
        </w:rPr>
        <w:t>ci</w:t>
      </w:r>
      <w:r w:rsidRPr="00140CD5">
        <w:rPr>
          <w:rFonts w:ascii="Times New Roman" w:hAnsi="Times New Roman" w:cs="Times New Roman"/>
          <w:sz w:val="24"/>
          <w:szCs w:val="24"/>
        </w:rPr>
        <w:t xml:space="preserve"> zgłaszania ostrzeżeń zewnętrznych</w:t>
      </w:r>
      <w:r w:rsidR="00FB5328" w:rsidRPr="00140CD5">
        <w:rPr>
          <w:rFonts w:ascii="Times New Roman" w:hAnsi="Times New Roman" w:cs="Times New Roman"/>
          <w:sz w:val="24"/>
          <w:szCs w:val="24"/>
        </w:rPr>
        <w:t xml:space="preserve">, o których mowa w art. 27 rozporządzenia CPC, </w:t>
      </w:r>
      <w:r w:rsidRPr="00140CD5">
        <w:rPr>
          <w:rFonts w:ascii="Times New Roman" w:hAnsi="Times New Roman" w:cs="Times New Roman"/>
          <w:sz w:val="24"/>
          <w:szCs w:val="24"/>
        </w:rPr>
        <w:t xml:space="preserve"> przez wyznaczone podmioty, europejskie centra konsumenckie, organizacje i stowarzyszenia konsumenckie oraz w odpowiednim przypadku stowarzyszenia przedsiębiorców. Państwa członkowskie mogą, ale nie muszą wyposażyć ww. organizacje w możliwość zgłaszania ostrzeżeń dotyczących naruszenia przepisów w zakresie ochrony konsumenta, uzasadniając swoją decyzj</w:t>
      </w:r>
      <w:r w:rsidR="00FB5328" w:rsidRPr="00140CD5">
        <w:rPr>
          <w:rFonts w:ascii="Times New Roman" w:hAnsi="Times New Roman" w:cs="Times New Roman"/>
          <w:sz w:val="24"/>
          <w:szCs w:val="24"/>
        </w:rPr>
        <w:t>ę</w:t>
      </w:r>
      <w:r w:rsidRPr="00140CD5">
        <w:rPr>
          <w:rFonts w:ascii="Times New Roman" w:hAnsi="Times New Roman" w:cs="Times New Roman"/>
          <w:sz w:val="24"/>
          <w:szCs w:val="24"/>
        </w:rPr>
        <w:t xml:space="preserve"> o nieprzyznawaniu takich uprawnień. </w:t>
      </w:r>
    </w:p>
    <w:p w14:paraId="6A61CAEE" w14:textId="77777777" w:rsidR="00FB5328" w:rsidRPr="00140CD5" w:rsidRDefault="004C736D" w:rsidP="00140CD5">
      <w:pPr>
        <w:spacing w:after="120" w:line="276" w:lineRule="auto"/>
        <w:jc w:val="both"/>
        <w:rPr>
          <w:rFonts w:ascii="Times New Roman" w:hAnsi="Times New Roman" w:cs="Times New Roman"/>
          <w:sz w:val="24"/>
          <w:szCs w:val="24"/>
        </w:rPr>
      </w:pPr>
      <w:r w:rsidRPr="00140CD5">
        <w:rPr>
          <w:rFonts w:ascii="Times New Roman" w:hAnsi="Times New Roman" w:cs="Times New Roman"/>
          <w:sz w:val="24"/>
          <w:szCs w:val="24"/>
        </w:rPr>
        <w:t xml:space="preserve">Należy podkreślić, że nadanie Prezesowi UOKiK ww. kompetencji wpłynie pozytywnie na zwiększenie wykrywalności naruszeń poprzez nowe możliwości pozyskiwania materiału dowodowego, a co za tym idzie zwiększenie skuteczności egzekwowania przez  Prezesa UOKiK ochrony zbiorowych interesów konsumentów. </w:t>
      </w:r>
      <w:r w:rsidR="00E85F21">
        <w:rPr>
          <w:rFonts w:ascii="Times New Roman" w:hAnsi="Times New Roman" w:cs="Times New Roman"/>
          <w:sz w:val="24"/>
          <w:szCs w:val="24"/>
        </w:rPr>
        <w:t>Korzyści wynikające z </w:t>
      </w:r>
      <w:r w:rsidR="00FB5328" w:rsidRPr="00140CD5">
        <w:rPr>
          <w:rFonts w:ascii="Times New Roman" w:hAnsi="Times New Roman" w:cs="Times New Roman"/>
          <w:sz w:val="24"/>
          <w:szCs w:val="24"/>
        </w:rPr>
        <w:t>rozszerzenia kompetencji Prezesa UOKiK ilustrują poniższe przykłady:</w:t>
      </w:r>
    </w:p>
    <w:p w14:paraId="44B2F73C" w14:textId="77777777" w:rsidR="00A2522B" w:rsidRPr="00140CD5" w:rsidRDefault="003B7E5C" w:rsidP="00E85F21">
      <w:pPr>
        <w:spacing w:after="120" w:line="276" w:lineRule="auto"/>
        <w:ind w:firstLine="708"/>
        <w:jc w:val="both"/>
        <w:rPr>
          <w:rFonts w:ascii="Times New Roman" w:hAnsi="Times New Roman" w:cs="Times New Roman"/>
          <w:b/>
          <w:sz w:val="24"/>
          <w:szCs w:val="24"/>
        </w:rPr>
      </w:pPr>
      <w:r w:rsidRPr="00140CD5">
        <w:rPr>
          <w:rFonts w:ascii="Times New Roman" w:hAnsi="Times New Roman" w:cs="Times New Roman"/>
          <w:b/>
          <w:sz w:val="24"/>
          <w:szCs w:val="24"/>
        </w:rPr>
        <w:t xml:space="preserve">a) </w:t>
      </w:r>
      <w:r w:rsidR="006A6863" w:rsidRPr="00140CD5">
        <w:rPr>
          <w:rFonts w:ascii="Times New Roman" w:hAnsi="Times New Roman" w:cs="Times New Roman"/>
          <w:b/>
          <w:sz w:val="24"/>
          <w:szCs w:val="24"/>
        </w:rPr>
        <w:t>ś</w:t>
      </w:r>
      <w:r w:rsidRPr="00140CD5">
        <w:rPr>
          <w:rFonts w:ascii="Times New Roman" w:hAnsi="Times New Roman" w:cs="Times New Roman"/>
          <w:b/>
          <w:sz w:val="24"/>
          <w:szCs w:val="24"/>
        </w:rPr>
        <w:t>ledzenie przepływów środków fi</w:t>
      </w:r>
      <w:r w:rsidR="006A6863" w:rsidRPr="00140CD5">
        <w:rPr>
          <w:rFonts w:ascii="Times New Roman" w:hAnsi="Times New Roman" w:cs="Times New Roman"/>
          <w:b/>
          <w:sz w:val="24"/>
          <w:szCs w:val="24"/>
        </w:rPr>
        <w:t>n</w:t>
      </w:r>
      <w:r w:rsidRPr="00140CD5">
        <w:rPr>
          <w:rFonts w:ascii="Times New Roman" w:hAnsi="Times New Roman" w:cs="Times New Roman"/>
          <w:b/>
          <w:sz w:val="24"/>
          <w:szCs w:val="24"/>
        </w:rPr>
        <w:t>an</w:t>
      </w:r>
      <w:r w:rsidR="006A6863" w:rsidRPr="00140CD5">
        <w:rPr>
          <w:rFonts w:ascii="Times New Roman" w:hAnsi="Times New Roman" w:cs="Times New Roman"/>
          <w:b/>
          <w:sz w:val="24"/>
          <w:szCs w:val="24"/>
        </w:rPr>
        <w:t>sowych</w:t>
      </w:r>
    </w:p>
    <w:p w14:paraId="20C38C6B" w14:textId="77777777" w:rsidR="004C736D" w:rsidRPr="00140CD5" w:rsidRDefault="00FB5328" w:rsidP="00140CD5">
      <w:pPr>
        <w:spacing w:after="120" w:line="276" w:lineRule="auto"/>
        <w:jc w:val="both"/>
        <w:rPr>
          <w:rFonts w:ascii="Times New Roman" w:hAnsi="Times New Roman" w:cs="Times New Roman"/>
          <w:sz w:val="24"/>
          <w:szCs w:val="24"/>
        </w:rPr>
      </w:pPr>
      <w:r w:rsidRPr="00140CD5">
        <w:rPr>
          <w:rFonts w:ascii="Times New Roman" w:hAnsi="Times New Roman" w:cs="Times New Roman"/>
          <w:b/>
          <w:sz w:val="24"/>
          <w:szCs w:val="24"/>
        </w:rPr>
        <w:t xml:space="preserve"> </w:t>
      </w:r>
      <w:r w:rsidR="003B7E5C" w:rsidRPr="00140CD5">
        <w:rPr>
          <w:rFonts w:ascii="Times New Roman" w:hAnsi="Times New Roman" w:cs="Times New Roman"/>
          <w:sz w:val="24"/>
          <w:szCs w:val="24"/>
        </w:rPr>
        <w:t>M</w:t>
      </w:r>
      <w:r w:rsidR="004C736D" w:rsidRPr="00140CD5">
        <w:rPr>
          <w:rFonts w:ascii="Times New Roman" w:hAnsi="Times New Roman" w:cs="Times New Roman"/>
          <w:sz w:val="24"/>
          <w:szCs w:val="24"/>
        </w:rPr>
        <w:t>ożliwość pozyskania przez Prezesa UOKiK potwierdzeni</w:t>
      </w:r>
      <w:r w:rsidR="00BD0717" w:rsidRPr="00140CD5">
        <w:rPr>
          <w:rFonts w:ascii="Times New Roman" w:hAnsi="Times New Roman" w:cs="Times New Roman"/>
          <w:sz w:val="24"/>
          <w:szCs w:val="24"/>
        </w:rPr>
        <w:t>a</w:t>
      </w:r>
      <w:r w:rsidR="004C736D" w:rsidRPr="00140CD5">
        <w:rPr>
          <w:rFonts w:ascii="Times New Roman" w:hAnsi="Times New Roman" w:cs="Times New Roman"/>
          <w:sz w:val="24"/>
          <w:szCs w:val="24"/>
        </w:rPr>
        <w:t xml:space="preserve"> tożsamości osób zaangażowanych w przepływ środków finansowych i danych, oraz informacji o rachunkach bankowych i własności stron internetowych pozwoli na skuteczne ustalenie podmiotów odpowiedzialnych za naruszenie. Pozwoli również na ustalenie wzajemnych powiązań pomiędzy podmiotami w sytuacji, gdy dane podmioty oferowały towary bądź usługi na zasadzie konsorcjum, bądź gdy ich powiązania są niejasne – taka sytuacja miała miejsce w przypadku tzw. „afery GetBack”, gdzie w oferowanie obligacji korporacyjnych było zaangażowanych wiele podmiotów, jednak ich powiązania i rola w udzielaniu konsumentom nieprawdziwych informacji była często celowo zagmatwana celem uniknięcia odpowiedzialności. Zastosowanie wskazanego narzędzia i dostęp do informacji na temat przepływów finansowych między rachunkami pozwoli na ustalenie nie tylko podmiotu odpowiedzialnego za naruszenie,</w:t>
      </w:r>
      <w:r w:rsidR="008E70DF" w:rsidRPr="00140CD5">
        <w:rPr>
          <w:rFonts w:ascii="Times New Roman" w:hAnsi="Times New Roman" w:cs="Times New Roman"/>
          <w:sz w:val="24"/>
          <w:szCs w:val="24"/>
        </w:rPr>
        <w:t xml:space="preserve"> lecz także zakresu naruszenia.</w:t>
      </w:r>
      <w:r w:rsidR="004C736D" w:rsidRPr="00140CD5">
        <w:rPr>
          <w:rFonts w:ascii="Times New Roman" w:hAnsi="Times New Roman" w:cs="Times New Roman"/>
          <w:sz w:val="24"/>
          <w:szCs w:val="24"/>
        </w:rPr>
        <w:t xml:space="preserve"> Przyczyni się to do wyeliminowania lub zredukowania liczby przypadków, w których nie </w:t>
      </w:r>
      <w:r w:rsidR="004C736D" w:rsidRPr="00140CD5">
        <w:rPr>
          <w:rFonts w:ascii="Times New Roman" w:hAnsi="Times New Roman" w:cs="Times New Roman"/>
          <w:sz w:val="24"/>
          <w:szCs w:val="24"/>
        </w:rPr>
        <w:lastRenderedPageBreak/>
        <w:t>dochodzi do wszczęcia postępowania z uwagi na brak możliwości ustalenia podmiotu odpowiedzialnego za naruszenie, lecz także zakresu, rodzaju i sposobu naruszenia. W</w:t>
      </w:r>
      <w:r w:rsidR="00E85F21">
        <w:rPr>
          <w:rFonts w:ascii="Times New Roman" w:hAnsi="Times New Roman" w:cs="Times New Roman"/>
          <w:sz w:val="24"/>
          <w:szCs w:val="24"/>
        </w:rPr>
        <w:t> </w:t>
      </w:r>
      <w:r w:rsidR="004C736D" w:rsidRPr="00140CD5">
        <w:rPr>
          <w:rFonts w:ascii="Times New Roman" w:hAnsi="Times New Roman" w:cs="Times New Roman"/>
          <w:sz w:val="24"/>
          <w:szCs w:val="24"/>
        </w:rPr>
        <w:t>prowadzonych postępowaniach, w szczególności odnoszących się do tzw. „piramid finansowych” lub inwestycji alternatywnych Prezes UOKiK niejednokrotnie staje wobec konieczności przeanalizowania przepływów finansowych przedsiębiorcy m.in. w celu ustalenia czy przedsiębiorca oferowany towar w ogóle p</w:t>
      </w:r>
      <w:r w:rsidR="00E85F21">
        <w:rPr>
          <w:rFonts w:ascii="Times New Roman" w:hAnsi="Times New Roman" w:cs="Times New Roman"/>
          <w:sz w:val="24"/>
          <w:szCs w:val="24"/>
        </w:rPr>
        <w:t>osiada, czy środki pochodzące z </w:t>
      </w:r>
      <w:r w:rsidR="004C736D" w:rsidRPr="00140CD5">
        <w:rPr>
          <w:rFonts w:ascii="Times New Roman" w:hAnsi="Times New Roman" w:cs="Times New Roman"/>
          <w:sz w:val="24"/>
          <w:szCs w:val="24"/>
        </w:rPr>
        <w:t xml:space="preserve">wpłat konsumentów są rzeczywiście inwestowane czy np. nie są transferowane za granicę, jak również ustalenia czy system wynagrodzeń członków struktury sprzedaży, pracowników, pośredników bądź kontrahentów przedsiębiorcy nie wskazuje, że dany system nosi cechy tzw. piramidy finansowej. Obecnie w takich sytuacjach Prezes UOKiK w </w:t>
      </w:r>
      <w:r w:rsidR="004C736D" w:rsidRPr="00140CD5">
        <w:rPr>
          <w:rFonts w:ascii="Times New Roman" w:hAnsi="Times New Roman" w:cs="Times New Roman"/>
          <w:color w:val="000000" w:themeColor="text1"/>
          <w:sz w:val="24"/>
          <w:szCs w:val="24"/>
        </w:rPr>
        <w:t>prowadzonych postępowaniach zmuszony jest szukać tzw. dowodów pośrednich – np.: treści ofert, reklam, umów, regulaminów bądź zeznań świadków, które często nie odzwierciedlają rzeczywistego przebiegu procesu sprzedaży, struktury sprzedaży czy modelu finansowego przedsiębiorcy, bądź nie potwierdzają, że przedsiębiorca faktycznie posiada deklarowany i oferowany towar, co w przypadku takich postępowań ma fundamentalne znaczenie. Przykładem są tu postępowania prowadzone w sprawie systemów promocyjnych typu piramida, bądź oferowania inwestowania w tzw. inwestycje alternatywne np.: w wino, diamenty, dzieła sztuki. Zdarzały się przypad</w:t>
      </w:r>
      <w:r w:rsidR="008E70DF" w:rsidRPr="00140CD5">
        <w:rPr>
          <w:rFonts w:ascii="Times New Roman" w:hAnsi="Times New Roman" w:cs="Times New Roman"/>
          <w:color w:val="000000" w:themeColor="text1"/>
          <w:sz w:val="24"/>
          <w:szCs w:val="24"/>
        </w:rPr>
        <w:t>ki, kiedy wyniki tego typu postę</w:t>
      </w:r>
      <w:r w:rsidR="004C736D" w:rsidRPr="00140CD5">
        <w:rPr>
          <w:rFonts w:ascii="Times New Roman" w:hAnsi="Times New Roman" w:cs="Times New Roman"/>
          <w:color w:val="000000" w:themeColor="text1"/>
          <w:sz w:val="24"/>
          <w:szCs w:val="24"/>
        </w:rPr>
        <w:t>powań skutkowały m.i</w:t>
      </w:r>
      <w:r w:rsidR="00E85F21">
        <w:rPr>
          <w:rFonts w:ascii="Times New Roman" w:hAnsi="Times New Roman" w:cs="Times New Roman"/>
          <w:color w:val="000000" w:themeColor="text1"/>
          <w:sz w:val="24"/>
          <w:szCs w:val="24"/>
        </w:rPr>
        <w:t>n. zawiadomieniem prokuratury o </w:t>
      </w:r>
      <w:r w:rsidR="004C736D" w:rsidRPr="00140CD5">
        <w:rPr>
          <w:rFonts w:ascii="Times New Roman" w:hAnsi="Times New Roman" w:cs="Times New Roman"/>
          <w:color w:val="000000" w:themeColor="text1"/>
          <w:sz w:val="24"/>
          <w:szCs w:val="24"/>
        </w:rPr>
        <w:t>podejrzeniu popełnienia przestępstwa. Dostęp do informacji na temat przepływów finansowych między rachunkami umożliwiłby w takich sprawach bardziej sprawne działanie Prezesa U</w:t>
      </w:r>
      <w:r w:rsidR="003E6467" w:rsidRPr="00140CD5">
        <w:rPr>
          <w:rFonts w:ascii="Times New Roman" w:hAnsi="Times New Roman" w:cs="Times New Roman"/>
          <w:color w:val="000000" w:themeColor="text1"/>
          <w:sz w:val="24"/>
          <w:szCs w:val="24"/>
        </w:rPr>
        <w:t>OKiK</w:t>
      </w:r>
      <w:r w:rsidR="004C736D" w:rsidRPr="00140CD5">
        <w:rPr>
          <w:rFonts w:ascii="Times New Roman" w:hAnsi="Times New Roman" w:cs="Times New Roman"/>
          <w:color w:val="000000" w:themeColor="text1"/>
          <w:sz w:val="24"/>
          <w:szCs w:val="24"/>
        </w:rPr>
        <w:t>, szybszą identyfikację naruszeń przepisów i w uzasadnionych przypadkach szybsze i bardziej precyzyjne zawiadomienie prokuratury o podejrzeniu popełnienia przestęp</w:t>
      </w:r>
      <w:r w:rsidR="008E70DF" w:rsidRPr="00140CD5">
        <w:rPr>
          <w:rFonts w:ascii="Times New Roman" w:hAnsi="Times New Roman" w:cs="Times New Roman"/>
          <w:color w:val="000000" w:themeColor="text1"/>
          <w:sz w:val="24"/>
          <w:szCs w:val="24"/>
        </w:rPr>
        <w:t xml:space="preserve">stwa. </w:t>
      </w:r>
      <w:r w:rsidR="008E70DF" w:rsidRPr="00140CD5">
        <w:rPr>
          <w:rFonts w:ascii="Times New Roman" w:hAnsi="Times New Roman" w:cs="Times New Roman"/>
          <w:sz w:val="24"/>
          <w:szCs w:val="24"/>
        </w:rPr>
        <w:t>Powinno przyczynić się to</w:t>
      </w:r>
      <w:r w:rsidR="004C736D" w:rsidRPr="00140CD5">
        <w:rPr>
          <w:rFonts w:ascii="Times New Roman" w:hAnsi="Times New Roman" w:cs="Times New Roman"/>
          <w:sz w:val="24"/>
          <w:szCs w:val="24"/>
        </w:rPr>
        <w:t xml:space="preserve"> do wyeliminowania lub zredukowania liczby przypadków, w których nie docho</w:t>
      </w:r>
      <w:r w:rsidR="00E85F21">
        <w:rPr>
          <w:rFonts w:ascii="Times New Roman" w:hAnsi="Times New Roman" w:cs="Times New Roman"/>
          <w:sz w:val="24"/>
          <w:szCs w:val="24"/>
        </w:rPr>
        <w:t>dzi do wszczęcia postępowania z </w:t>
      </w:r>
      <w:r w:rsidR="004C736D" w:rsidRPr="00140CD5">
        <w:rPr>
          <w:rFonts w:ascii="Times New Roman" w:hAnsi="Times New Roman" w:cs="Times New Roman"/>
          <w:sz w:val="24"/>
          <w:szCs w:val="24"/>
        </w:rPr>
        <w:t xml:space="preserve">uwagi na brak możliwości ustalenia podmiotu odpowiedzialnego lub istnieją trudności ze zdefiniowaniem czy i w jaki sposób przedsiębiorca narusza przepisy dot. ochrony konsumentów (szczególnie w zakresie usług finansowych). Przyczyniłoby się to również do skrócenia czasu prowadzenia postępowań i lepszej ekonomiki ich prowadzenia wynikającej z możliwości zastosowania narzędzia, które w najlepszym stopniu pozwoli ustalić czy nastąpiło naruszenie przepisów.  </w:t>
      </w:r>
    </w:p>
    <w:p w14:paraId="08EEB3A0" w14:textId="77777777" w:rsidR="006A6863" w:rsidRPr="00140CD5" w:rsidRDefault="003B7E5C" w:rsidP="00140CD5">
      <w:pPr>
        <w:spacing w:after="120" w:line="276" w:lineRule="auto"/>
        <w:ind w:left="360"/>
        <w:jc w:val="both"/>
        <w:rPr>
          <w:rFonts w:ascii="Times New Roman" w:hAnsi="Times New Roman" w:cs="Times New Roman"/>
          <w:b/>
          <w:sz w:val="24"/>
          <w:szCs w:val="24"/>
        </w:rPr>
      </w:pPr>
      <w:r w:rsidRPr="00140CD5">
        <w:rPr>
          <w:rFonts w:ascii="Times New Roman" w:hAnsi="Times New Roman" w:cs="Times New Roman"/>
          <w:b/>
          <w:sz w:val="24"/>
          <w:szCs w:val="24"/>
        </w:rPr>
        <w:t xml:space="preserve">b) </w:t>
      </w:r>
      <w:r w:rsidR="006A6863" w:rsidRPr="00140CD5">
        <w:rPr>
          <w:rFonts w:ascii="Times New Roman" w:hAnsi="Times New Roman" w:cs="Times New Roman"/>
          <w:b/>
          <w:sz w:val="24"/>
          <w:szCs w:val="24"/>
        </w:rPr>
        <w:t>zakup towarów i usług, z zastosowaniem ukrytej lub przybranej tożsamości</w:t>
      </w:r>
    </w:p>
    <w:p w14:paraId="486DB0EE" w14:textId="77777777" w:rsidR="004C736D" w:rsidRPr="00140CD5" w:rsidRDefault="004C736D" w:rsidP="00140CD5">
      <w:pPr>
        <w:spacing w:after="120" w:line="276" w:lineRule="auto"/>
        <w:jc w:val="both"/>
        <w:rPr>
          <w:rFonts w:ascii="Times New Roman" w:hAnsi="Times New Roman" w:cs="Times New Roman"/>
          <w:sz w:val="24"/>
          <w:szCs w:val="24"/>
        </w:rPr>
      </w:pPr>
      <w:r w:rsidRPr="00140CD5">
        <w:rPr>
          <w:rFonts w:ascii="Times New Roman" w:hAnsi="Times New Roman" w:cs="Times New Roman"/>
          <w:sz w:val="24"/>
          <w:szCs w:val="24"/>
        </w:rPr>
        <w:t xml:space="preserve">Możliwość zakupu towarów i usług, z zastosowaniem ukrytej lub przybranej tożsamości, pozwoli na pozyskanie materiału dowodowego, do którego Prezes UOKiK miał do tej pory ograniczony dostęp. Dotychczas obowiązujące przepisy, regulujące instytucję tajemniczego klienta (art. 105ia </w:t>
      </w:r>
      <w:r w:rsidR="00A2522B" w:rsidRPr="00140CD5">
        <w:rPr>
          <w:rFonts w:ascii="Times New Roman" w:hAnsi="Times New Roman" w:cs="Times New Roman"/>
          <w:sz w:val="24"/>
          <w:szCs w:val="24"/>
        </w:rPr>
        <w:t xml:space="preserve">ustawy </w:t>
      </w:r>
      <w:r w:rsidRPr="00140CD5">
        <w:rPr>
          <w:rFonts w:ascii="Times New Roman" w:hAnsi="Times New Roman" w:cs="Times New Roman"/>
          <w:sz w:val="24"/>
          <w:szCs w:val="24"/>
        </w:rPr>
        <w:t xml:space="preserve">okik) pozwalały na podjęcie przez kontrolującego, działającego pod ukrytą tożsamością, czynności zmierzających do zakupu towaru, ale już nie pozwalały na samo dokonanie zakupu. Kontrolujący na podstawie art. 105 ia </w:t>
      </w:r>
      <w:r w:rsidR="00A2522B" w:rsidRPr="00140CD5">
        <w:rPr>
          <w:rFonts w:ascii="Times New Roman" w:hAnsi="Times New Roman" w:cs="Times New Roman"/>
          <w:sz w:val="24"/>
          <w:szCs w:val="24"/>
        </w:rPr>
        <w:t xml:space="preserve">ustawy </w:t>
      </w:r>
      <w:r w:rsidRPr="00140CD5">
        <w:rPr>
          <w:rFonts w:ascii="Times New Roman" w:hAnsi="Times New Roman" w:cs="Times New Roman"/>
          <w:sz w:val="24"/>
          <w:szCs w:val="24"/>
        </w:rPr>
        <w:t xml:space="preserve">okik mógł zatem sprawdzić sposób oferowania danego towaru, skontrolować zakres udzielanych przez sprzedającego informacji, w tym również w zakresie ewentualnego wprowadzania konsumenta w błąd. Jednak brak jest możliwości zawarcia umowy, co w wielu przypadkach, uniemożliwia skontrolowanie całego procesu </w:t>
      </w:r>
      <w:r w:rsidRPr="00140CD5">
        <w:rPr>
          <w:rFonts w:ascii="Times New Roman" w:hAnsi="Times New Roman" w:cs="Times New Roman"/>
          <w:sz w:val="24"/>
          <w:szCs w:val="24"/>
        </w:rPr>
        <w:lastRenderedPageBreak/>
        <w:t xml:space="preserve">sprzedaży i praktyk z tym związanych, na przykład podczas pokazów. Niejednokrotnie okazuje się bowiem, że umowa zawierana przez konsumenta nie dotyczy oferowanych podczas pokazu towarów czy usług i dodatkowo związana jest z koniecznością nabycia dodatkowych produktów np. zawarcia umowy pożyczki. Często okazuje się również, że nieuczciwy przedsiębiorca w trakcie pokazu „podsuwa” konsumentowi (najczęściej w wieku senioralnym) do podpisu umowę zakupu mówiąc że jest to jedynie „zapisanie się”, „rezerwacja” danego towaru na warunkach „promocyjnych”. W takich sytuacjach na postawie obecnych uprawnień Prezes UOKiK ma ograniczone możliwości działania. </w:t>
      </w:r>
    </w:p>
    <w:p w14:paraId="33296FF5" w14:textId="77777777" w:rsidR="004C736D" w:rsidRPr="00140CD5" w:rsidRDefault="004C736D" w:rsidP="00140CD5">
      <w:pPr>
        <w:spacing w:after="120" w:line="276" w:lineRule="auto"/>
        <w:jc w:val="both"/>
        <w:rPr>
          <w:rFonts w:ascii="Times New Roman" w:hAnsi="Times New Roman" w:cs="Times New Roman"/>
          <w:sz w:val="24"/>
          <w:szCs w:val="24"/>
        </w:rPr>
      </w:pPr>
      <w:r w:rsidRPr="00140CD5">
        <w:rPr>
          <w:rFonts w:ascii="Times New Roman" w:hAnsi="Times New Roman" w:cs="Times New Roman"/>
          <w:sz w:val="24"/>
          <w:szCs w:val="24"/>
        </w:rPr>
        <w:t xml:space="preserve">Potrzeba zastosowania </w:t>
      </w:r>
      <w:r w:rsidR="006A6863" w:rsidRPr="00140CD5">
        <w:rPr>
          <w:rFonts w:ascii="Times New Roman" w:hAnsi="Times New Roman" w:cs="Times New Roman"/>
          <w:sz w:val="24"/>
          <w:szCs w:val="24"/>
        </w:rPr>
        <w:t xml:space="preserve">ww. zakupu </w:t>
      </w:r>
      <w:r w:rsidRPr="00140CD5">
        <w:rPr>
          <w:rFonts w:ascii="Times New Roman" w:hAnsi="Times New Roman" w:cs="Times New Roman"/>
          <w:sz w:val="24"/>
          <w:szCs w:val="24"/>
        </w:rPr>
        <w:t xml:space="preserve"> staje się również  silniejsza w dobie sprzedaży coraz bardziej skomplikowanych i ryzykownych usług finansowych, gdyż w takich przypadkach nie jest możliwe skonfrontowanie treści oferty składanej przez przedstawiciela banku, instytucji finansowej lub pośrednika i treści umowy zawieranej z konsumentem na podstawie tej oferty. Ponadto w przypadku zakupu tzw. „usług finansowych” często nawet do przedstawienia oferty konieczne jest podanie danych konsumenta, bądź wypełnienie odpowiednich dokumentów, co wiąże się z koniecznością użycia ukrytej tożsamości. Tytułem przykładu: w przypadku tzw. „afery GetBack” zastosowanie narzędzia w postaci „tajemniczego klienta” byłoby utrudnione nawet na etapie oferowania nabycia obligacji korporacyjnych, gdyż złożenie oferty było uzależnione od wcześniejszej pisemnej deklaracji konsumenta, że jest taką ofertą zainteresowany.  </w:t>
      </w:r>
    </w:p>
    <w:p w14:paraId="57B8C725" w14:textId="77777777" w:rsidR="004C736D" w:rsidRPr="00140CD5" w:rsidRDefault="004C736D" w:rsidP="00140CD5">
      <w:pPr>
        <w:spacing w:after="120" w:line="276" w:lineRule="auto"/>
        <w:jc w:val="both"/>
        <w:rPr>
          <w:rFonts w:ascii="Times New Roman" w:hAnsi="Times New Roman" w:cs="Times New Roman"/>
          <w:sz w:val="24"/>
          <w:szCs w:val="24"/>
        </w:rPr>
      </w:pPr>
      <w:r w:rsidRPr="00140CD5">
        <w:rPr>
          <w:rFonts w:ascii="Times New Roman" w:hAnsi="Times New Roman" w:cs="Times New Roman"/>
          <w:sz w:val="24"/>
          <w:szCs w:val="24"/>
        </w:rPr>
        <w:t xml:space="preserve">W sytuacji, w której działania kontrolującego ograniczają się jedynie do etapu przedumownego, nie ma możliwości pozyskania dowodów dotyczących całego procederu kupna – sprzedaży, zorganizowanego  w taki sposób, by wprowadzić konsumenta w błąd. Wprowadzenie instytucji umożlwiającej dokonanie takiego zakupu oraz przetestowanie oferowanego produktu, pozwoli na pozyskanie całości materiału dowodowego dotyczącego takich praktyk, w ramach jednego  postępowania kontrolnego. </w:t>
      </w:r>
    </w:p>
    <w:p w14:paraId="66BCB8AC" w14:textId="77777777" w:rsidR="006A6863" w:rsidRPr="00140CD5" w:rsidRDefault="006A6863" w:rsidP="00140CD5">
      <w:pPr>
        <w:pStyle w:val="Akapitzlist"/>
        <w:numPr>
          <w:ilvl w:val="0"/>
          <w:numId w:val="18"/>
        </w:numPr>
        <w:spacing w:after="120" w:line="276" w:lineRule="auto"/>
        <w:jc w:val="both"/>
        <w:rPr>
          <w:rFonts w:ascii="Times New Roman" w:hAnsi="Times New Roman" w:cs="Times New Roman"/>
          <w:b/>
          <w:sz w:val="24"/>
          <w:szCs w:val="24"/>
        </w:rPr>
      </w:pPr>
      <w:r w:rsidRPr="00140CD5">
        <w:rPr>
          <w:rFonts w:ascii="Times New Roman" w:hAnsi="Times New Roman" w:cs="Times New Roman"/>
          <w:b/>
          <w:sz w:val="24"/>
          <w:szCs w:val="24"/>
        </w:rPr>
        <w:t xml:space="preserve">przeszukanie </w:t>
      </w:r>
    </w:p>
    <w:p w14:paraId="71057D57" w14:textId="73AF260D" w:rsidR="004C736D" w:rsidRPr="00140CD5" w:rsidRDefault="006A6863" w:rsidP="00140CD5">
      <w:pPr>
        <w:spacing w:after="120" w:line="276" w:lineRule="auto"/>
        <w:jc w:val="both"/>
        <w:rPr>
          <w:rFonts w:ascii="Times New Roman" w:hAnsi="Times New Roman" w:cs="Times New Roman"/>
          <w:sz w:val="24"/>
          <w:szCs w:val="24"/>
        </w:rPr>
      </w:pPr>
      <w:r w:rsidRPr="00140CD5">
        <w:rPr>
          <w:rFonts w:ascii="Times New Roman" w:hAnsi="Times New Roman" w:cs="Times New Roman"/>
          <w:sz w:val="24"/>
          <w:szCs w:val="24"/>
        </w:rPr>
        <w:t>Na podstawie obowiązujących przepisów ustawy okik, Prezes UOKiK, w zakresie spraw dotyczących ochrony konsument</w:t>
      </w:r>
      <w:r w:rsidR="000B1B0E" w:rsidRPr="00140CD5">
        <w:rPr>
          <w:rFonts w:ascii="Times New Roman" w:hAnsi="Times New Roman" w:cs="Times New Roman"/>
          <w:sz w:val="24"/>
          <w:szCs w:val="24"/>
        </w:rPr>
        <w:t>ów</w:t>
      </w:r>
      <w:r w:rsidRPr="00140CD5">
        <w:rPr>
          <w:rFonts w:ascii="Times New Roman" w:hAnsi="Times New Roman" w:cs="Times New Roman"/>
          <w:sz w:val="24"/>
          <w:szCs w:val="24"/>
        </w:rPr>
        <w:t>, ma możliwość przeprowadzenia kontroli</w:t>
      </w:r>
      <w:r w:rsidR="00A2522B" w:rsidRPr="00140CD5">
        <w:rPr>
          <w:rFonts w:ascii="Times New Roman" w:hAnsi="Times New Roman" w:cs="Times New Roman"/>
          <w:sz w:val="24"/>
          <w:szCs w:val="24"/>
        </w:rPr>
        <w:t xml:space="preserve"> </w:t>
      </w:r>
      <w:r w:rsidR="00C63F86" w:rsidRPr="00140CD5">
        <w:rPr>
          <w:rFonts w:ascii="Times New Roman" w:hAnsi="Times New Roman" w:cs="Times New Roman"/>
          <w:sz w:val="24"/>
          <w:szCs w:val="24"/>
        </w:rPr>
        <w:t>(</w:t>
      </w:r>
      <w:r w:rsidR="00A2522B" w:rsidRPr="00140CD5">
        <w:rPr>
          <w:rFonts w:ascii="Times New Roman" w:hAnsi="Times New Roman" w:cs="Times New Roman"/>
          <w:sz w:val="24"/>
          <w:szCs w:val="24"/>
        </w:rPr>
        <w:t>art. 105a i nast.)</w:t>
      </w:r>
      <w:r w:rsidRPr="00140CD5">
        <w:rPr>
          <w:rFonts w:ascii="Times New Roman" w:hAnsi="Times New Roman" w:cs="Times New Roman"/>
          <w:sz w:val="24"/>
          <w:szCs w:val="24"/>
        </w:rPr>
        <w:t>. Jednak, w</w:t>
      </w:r>
      <w:r w:rsidR="004C736D" w:rsidRPr="00140CD5">
        <w:rPr>
          <w:rFonts w:ascii="Times New Roman" w:hAnsi="Times New Roman" w:cs="Times New Roman"/>
          <w:sz w:val="24"/>
          <w:szCs w:val="24"/>
        </w:rPr>
        <w:t xml:space="preserve"> okolicznościach braku współpracy kontrolowanego przedsiębiorcy z U</w:t>
      </w:r>
      <w:r w:rsidR="00A2522B" w:rsidRPr="00140CD5">
        <w:rPr>
          <w:rFonts w:ascii="Times New Roman" w:hAnsi="Times New Roman" w:cs="Times New Roman"/>
          <w:sz w:val="24"/>
          <w:szCs w:val="24"/>
        </w:rPr>
        <w:t>OKiK</w:t>
      </w:r>
      <w:r w:rsidR="004C736D" w:rsidRPr="00140CD5">
        <w:rPr>
          <w:rFonts w:ascii="Times New Roman" w:hAnsi="Times New Roman" w:cs="Times New Roman"/>
          <w:sz w:val="24"/>
          <w:szCs w:val="24"/>
        </w:rPr>
        <w:t>, bądź też w przypadku działań przestępczych</w:t>
      </w:r>
      <w:r w:rsidRPr="00140CD5">
        <w:rPr>
          <w:rFonts w:ascii="Times New Roman" w:hAnsi="Times New Roman" w:cs="Times New Roman"/>
          <w:sz w:val="24"/>
          <w:szCs w:val="24"/>
        </w:rPr>
        <w:t>,</w:t>
      </w:r>
      <w:r w:rsidR="004C736D" w:rsidRPr="00140CD5">
        <w:rPr>
          <w:rFonts w:ascii="Times New Roman" w:hAnsi="Times New Roman" w:cs="Times New Roman"/>
          <w:sz w:val="24"/>
          <w:szCs w:val="24"/>
        </w:rPr>
        <w:t xml:space="preserve"> przeszukanie daje lepsze możliwości pozyskania materiału dowodowego. Przeszukanie, od zwykłej procedury kontroli, różni się głównie tym, że materiał dowodowy pozyskiwany jest przede wszystkim przez samego kontrolującego, pełni on bowiem rolę aktywną. Zwykła kontrola bazuje na materiale przekazanym przez kontrolowanego (co w niektórych sytuacjach może skutkować udzieleniem przez kontrolowanego nieprawdziwych informacji), przeszukanie pozwoli na bardziej dokładne i skuteczne dotarcie do materiału dowodowego, który do tej pory nie był udostępniany. </w:t>
      </w:r>
      <w:r w:rsidR="004C736D" w:rsidRPr="00140CD5">
        <w:rPr>
          <w:rFonts w:ascii="Times New Roman" w:hAnsi="Times New Roman" w:cs="Times New Roman"/>
          <w:color w:val="222222"/>
          <w:sz w:val="24"/>
          <w:szCs w:val="24"/>
        </w:rPr>
        <w:t xml:space="preserve">Obecnie przedsiębiorcy, wobec których Prezes UOKiK prowadzi postępowania niejednokrotnie odmawiają przekazywania informacji oraz dokumentów powołując się na wolność od samooskarżenia się, co – z uwagi na konsekwencję takiego zachowania, w postaci braku możliwości wykorzystania przez Prezesa UOKiK wobec tych przedsiębiorców art. 50 </w:t>
      </w:r>
      <w:r w:rsidR="00A2522B" w:rsidRPr="00140CD5">
        <w:rPr>
          <w:rFonts w:ascii="Times New Roman" w:hAnsi="Times New Roman" w:cs="Times New Roman"/>
          <w:color w:val="222222"/>
          <w:sz w:val="24"/>
          <w:szCs w:val="24"/>
        </w:rPr>
        <w:lastRenderedPageBreak/>
        <w:t xml:space="preserve">ustawy </w:t>
      </w:r>
      <w:r w:rsidR="004C736D" w:rsidRPr="00140CD5">
        <w:rPr>
          <w:rFonts w:ascii="Times New Roman" w:hAnsi="Times New Roman" w:cs="Times New Roman"/>
          <w:color w:val="222222"/>
          <w:sz w:val="24"/>
          <w:szCs w:val="24"/>
        </w:rPr>
        <w:t xml:space="preserve">okik oraz skorelowanej z tym przepisem, wynikającej z art. 106 ust. 2 pkt 2 </w:t>
      </w:r>
      <w:r w:rsidR="00A2522B" w:rsidRPr="00140CD5">
        <w:rPr>
          <w:rFonts w:ascii="Times New Roman" w:hAnsi="Times New Roman" w:cs="Times New Roman"/>
          <w:color w:val="222222"/>
          <w:sz w:val="24"/>
          <w:szCs w:val="24"/>
        </w:rPr>
        <w:t xml:space="preserve">ustawy </w:t>
      </w:r>
      <w:r w:rsidR="004C736D" w:rsidRPr="00140CD5">
        <w:rPr>
          <w:rFonts w:ascii="Times New Roman" w:hAnsi="Times New Roman" w:cs="Times New Roman"/>
          <w:color w:val="222222"/>
          <w:sz w:val="24"/>
          <w:szCs w:val="24"/>
        </w:rPr>
        <w:t>okik sankcji </w:t>
      </w:r>
      <w:bookmarkStart w:id="1" w:name="mip42771076"/>
      <w:bookmarkStart w:id="2" w:name="mip42771077"/>
      <w:bookmarkEnd w:id="1"/>
      <w:bookmarkEnd w:id="2"/>
      <w:r w:rsidR="004C736D" w:rsidRPr="00140CD5">
        <w:rPr>
          <w:rFonts w:ascii="Times New Roman" w:hAnsi="Times New Roman" w:cs="Times New Roman"/>
          <w:color w:val="222222"/>
          <w:sz w:val="24"/>
          <w:szCs w:val="24"/>
        </w:rPr>
        <w:t>za nieudzielenie informacji żądanych przez Prezesa U</w:t>
      </w:r>
      <w:r w:rsidR="00413A34" w:rsidRPr="00140CD5">
        <w:rPr>
          <w:rFonts w:ascii="Times New Roman" w:hAnsi="Times New Roman" w:cs="Times New Roman"/>
          <w:color w:val="222222"/>
          <w:sz w:val="24"/>
          <w:szCs w:val="24"/>
        </w:rPr>
        <w:t>OKiK</w:t>
      </w:r>
      <w:r w:rsidR="004C736D" w:rsidRPr="00140CD5">
        <w:rPr>
          <w:rFonts w:ascii="Times New Roman" w:hAnsi="Times New Roman" w:cs="Times New Roman"/>
          <w:color w:val="222222"/>
          <w:sz w:val="24"/>
          <w:szCs w:val="24"/>
        </w:rPr>
        <w:t xml:space="preserve"> na </w:t>
      </w:r>
      <w:r w:rsidR="004C736D" w:rsidRPr="00140CD5">
        <w:rPr>
          <w:rFonts w:ascii="Times New Roman" w:hAnsi="Times New Roman" w:cs="Times New Roman"/>
          <w:color w:val="000000"/>
          <w:sz w:val="24"/>
          <w:szCs w:val="24"/>
        </w:rPr>
        <w:t>podstawie </w:t>
      </w:r>
      <w:r w:rsidR="004C736D" w:rsidRPr="00140CD5">
        <w:rPr>
          <w:rStyle w:val="Hipercze"/>
          <w:rFonts w:ascii="Times New Roman" w:hAnsi="Times New Roman" w:cs="Times New Roman"/>
          <w:color w:val="000000"/>
          <w:sz w:val="24"/>
          <w:szCs w:val="24"/>
          <w:u w:val="none"/>
        </w:rPr>
        <w:t>art. 50</w:t>
      </w:r>
      <w:r w:rsidR="004C736D" w:rsidRPr="00140CD5">
        <w:rPr>
          <w:rFonts w:ascii="Times New Roman" w:hAnsi="Times New Roman" w:cs="Times New Roman"/>
          <w:color w:val="000000"/>
          <w:sz w:val="24"/>
          <w:szCs w:val="24"/>
        </w:rPr>
        <w:t>, bądź</w:t>
      </w:r>
      <w:r w:rsidR="004C736D" w:rsidRPr="00140CD5">
        <w:rPr>
          <w:rFonts w:ascii="Times New Roman" w:hAnsi="Times New Roman" w:cs="Times New Roman"/>
          <w:color w:val="222222"/>
          <w:sz w:val="24"/>
          <w:szCs w:val="24"/>
        </w:rPr>
        <w:t> udzielenie informacji nieprawdziwych lub wprowadzających w błąd - wydłuża okres gromadzenia materiału dowodowego.</w:t>
      </w:r>
      <w:r w:rsidRPr="00140CD5">
        <w:rPr>
          <w:rFonts w:ascii="Times New Roman" w:hAnsi="Times New Roman" w:cs="Times New Roman"/>
          <w:color w:val="222222"/>
          <w:sz w:val="24"/>
          <w:szCs w:val="24"/>
        </w:rPr>
        <w:t xml:space="preserve"> </w:t>
      </w:r>
    </w:p>
    <w:p w14:paraId="7AA67128" w14:textId="468DD1E3" w:rsidR="004C736D" w:rsidRPr="00140CD5" w:rsidRDefault="004C736D" w:rsidP="00140CD5">
      <w:pPr>
        <w:pStyle w:val="mcntmsonormal"/>
        <w:shd w:val="clear" w:color="auto" w:fill="FFFFFF"/>
        <w:spacing w:before="269" w:beforeAutospacing="0" w:after="120" w:afterAutospacing="0" w:line="276" w:lineRule="auto"/>
        <w:jc w:val="both"/>
        <w:rPr>
          <w:color w:val="000000" w:themeColor="text1"/>
        </w:rPr>
      </w:pPr>
      <w:r w:rsidRPr="00140CD5">
        <w:t>Należy podkreślić, że w obrębie systemu ochrony konsumentów, już obecnie funkcjonuje przeszukanie, w przypadku postępowań antymonopolowych. Nie jest to zatem nowa kompetencja, lecz rozszerzenie kompetencji już istniejącej. Przedsiębiorcy są zatem świadomi, że należy liczyć się z zastosowaniem tego rodzaju kontroli, w przypadkach dotyczących obszaru należącego do właściwości Prezesa UOKiK. Należy w tym miejscu również wskazać, że w związku z rozwojem technologii cyfrowych i komunikacji internetowej rośnie liczba przedsiębiorców świadomie naruszających przepisy dotyczące oferowania konsumentom towarów i usług w różnych sektorach rynku. Przedsiębiorcy ci liczą na anonimowość bądź na utrudnione egzekwowanie prawa w przypadku świadczenia usług transgranicznych np. spoza obszaru UE, gdy w Polsce posiadają jedynie biura sprzedaży, bądź centra call-center w których dochodzi do największych naruszeń, które jedynie w ograniczony sposób mogą podlegać kontroli. Pełne wyjaśnienie sytuacji, np. dotarcie do zapisów nagrań z rozmów, do danych poczty e-mail lub danych zgromadzonych na dyskach komputerowych, jak również do rzeczywiście używanych manuali sprzedażowych, lub dokumentów z przeprowadzonych szkoleń (w tym z notatek pracowników) umożliwiłoby w takich przypadkach zastosowania narzędzi w postaci przeszukania. Nie jest to możliwe w trakcie kontroli w sytuacji, gdy kontrolowany, pewnych danych bądź informacji przekazać nie chce. Dotychczas w postępowaniach Prezes UOKiK formułował wnioski sugerujące, że przedsiębiorca np. sam odpowiada za takie szkolenie pracowników, w efekcie którego wprowadzają oni w błąd konsumentów, jednak wobec braku możliwości dotarcia do potwierdzających to dokumentów w trakcie kontroli i stanowiska przedsiębiorcy, że zjawiska takie miały charakter indywidualny i były spowodowane błędami pracowników, nie było możliwe uzasadnienie zarzutów (np. sprawy dot. pośredników sprzedających polisy z UFK). Tu również należy wskazać, że w przypadku sprawy GetBack informacja o tym, że organy zarządzające spółką już wcze</w:t>
      </w:r>
      <w:r w:rsidR="007A2D64">
        <w:t>śniej miały świadomość sytuacji</w:t>
      </w:r>
      <w:r w:rsidRPr="00140CD5">
        <w:t xml:space="preserve"> spółki i błędnej strategii pozyskiwania finansowania z długu, która ma fundamentalne znaczenie dla postępowania prowadzonego przez Prezesa UOKiK</w:t>
      </w:r>
      <w:r w:rsidR="007A2D64">
        <w:t>,</w:t>
      </w:r>
      <w:r w:rsidRPr="00140CD5">
        <w:t xml:space="preserve"> nie została uzyskana w wyniku kontroli Prezesa UOKiK, ale  przez KNF w wyniku kontroli, której zakres i charakter bardziej odpowiadał proponowanej dla Prezesa UOKiK instytucji przeszukania. </w:t>
      </w:r>
      <w:r w:rsidRPr="00140CD5">
        <w:rPr>
          <w:color w:val="000000" w:themeColor="text1"/>
        </w:rPr>
        <w:t xml:space="preserve">Z uwagi na powyższe, wprowadzenie możliwości przeszukania w sprawach dotyczących ochrony konsumenta powinno ograniczyć ww. trudności dotyczące pozyskania informacji od przedsiębiorcy, identyfikowane w praktyce prowadzenia postępowań z zakresu ochrony konsumenta. </w:t>
      </w:r>
    </w:p>
    <w:p w14:paraId="5E5003CA" w14:textId="77777777" w:rsidR="00EC5345" w:rsidRPr="00140CD5" w:rsidRDefault="00EC5345" w:rsidP="00140CD5">
      <w:pPr>
        <w:pStyle w:val="mcntmsonormal"/>
        <w:numPr>
          <w:ilvl w:val="0"/>
          <w:numId w:val="18"/>
        </w:numPr>
        <w:shd w:val="clear" w:color="auto" w:fill="FFFFFF"/>
        <w:spacing w:before="269" w:beforeAutospacing="0" w:after="120" w:afterAutospacing="0" w:line="276" w:lineRule="auto"/>
        <w:jc w:val="both"/>
        <w:rPr>
          <w:b/>
          <w:color w:val="000000" w:themeColor="text1"/>
        </w:rPr>
      </w:pPr>
      <w:r w:rsidRPr="00140CD5">
        <w:rPr>
          <w:b/>
          <w:color w:val="000000" w:themeColor="text1"/>
        </w:rPr>
        <w:t xml:space="preserve">uprawnienia dotyczące interfejsu internetowego </w:t>
      </w:r>
    </w:p>
    <w:p w14:paraId="3EAE4AC1" w14:textId="77777777" w:rsidR="004C736D" w:rsidRPr="00140CD5" w:rsidRDefault="004C736D" w:rsidP="00140CD5">
      <w:pPr>
        <w:spacing w:after="120" w:line="276" w:lineRule="auto"/>
        <w:jc w:val="both"/>
        <w:rPr>
          <w:rFonts w:ascii="Times New Roman" w:hAnsi="Times New Roman" w:cs="Times New Roman"/>
          <w:sz w:val="24"/>
          <w:szCs w:val="24"/>
        </w:rPr>
      </w:pPr>
      <w:r w:rsidRPr="00140CD5">
        <w:rPr>
          <w:rFonts w:ascii="Times New Roman" w:hAnsi="Times New Roman" w:cs="Times New Roman"/>
          <w:color w:val="000000" w:themeColor="text1"/>
          <w:sz w:val="24"/>
          <w:szCs w:val="24"/>
        </w:rPr>
        <w:t xml:space="preserve">Jak wskazano powyższej, nowa treść rozporządzenia CPC, była odpowiedzią na wyzwania związane z ekspansją gospodarki cyfrowej i elektronicznej. Do znaczącej liczby naruszeń praw konsumentów dochodzi w obszarze handlu elektronicznego. </w:t>
      </w:r>
      <w:r w:rsidRPr="00140CD5">
        <w:rPr>
          <w:rFonts w:ascii="Times New Roman" w:hAnsi="Times New Roman" w:cs="Times New Roman"/>
          <w:color w:val="000000" w:themeColor="text1"/>
          <w:sz w:val="24"/>
          <w:szCs w:val="24"/>
        </w:rPr>
        <w:lastRenderedPageBreak/>
        <w:t xml:space="preserve">Szybko rośnie również liczba nieprawidłowości w przypadku oferowania usług finansowych za pośrednictwem Internetu w tym takich o </w:t>
      </w:r>
      <w:r w:rsidRPr="00140CD5">
        <w:rPr>
          <w:rFonts w:ascii="Times New Roman" w:hAnsi="Times New Roman" w:cs="Times New Roman"/>
          <w:sz w:val="24"/>
          <w:szCs w:val="24"/>
        </w:rPr>
        <w:t>charakterze oszustwa. Strony internetowe oferujące niebywale zyskowne instrumenty finansowe (np. w rynek Forex, kryptowaluty, obligacje korporacyjne, crowfounding, itp.)  powstają ciągle i ich liczba rośnie.</w:t>
      </w:r>
    </w:p>
    <w:p w14:paraId="3F7696F2" w14:textId="77777777" w:rsidR="003457DA" w:rsidRPr="00140CD5" w:rsidRDefault="004C736D" w:rsidP="00140CD5">
      <w:pPr>
        <w:spacing w:after="120" w:line="276" w:lineRule="auto"/>
        <w:jc w:val="both"/>
        <w:rPr>
          <w:rFonts w:ascii="Times New Roman" w:hAnsi="Times New Roman" w:cs="Times New Roman"/>
          <w:sz w:val="24"/>
          <w:szCs w:val="24"/>
        </w:rPr>
      </w:pPr>
      <w:r w:rsidRPr="00140CD5">
        <w:rPr>
          <w:rFonts w:ascii="Times New Roman" w:hAnsi="Times New Roman" w:cs="Times New Roman"/>
          <w:sz w:val="24"/>
          <w:szCs w:val="24"/>
        </w:rPr>
        <w:t xml:space="preserve">Niezwykle istotne jest zatem wprowadzenia narzędzi dedykowanych wykrywaniu naruszeń w Internecie. Koniecznym dopełnieniem monitoringu stron internetowych, oferujących produkty lub usług w Internecie, jest możliwość podjęcia przez organ właściwy w sprawach ochrony konsumentów, skutecznych działań związanych zapobieganiem takim naruszeniom. Rozporządzenie CPC, odpowiadając na te wyzwania, wprowadza możliwość nakazania przedsiębiorcy usunięcia nieprawidłowych treści ze strony, zamieszczenia na stronie ostrzeżenia lub w ostateczności usunięcia nazwy domenowej. </w:t>
      </w:r>
    </w:p>
    <w:p w14:paraId="43898AAB" w14:textId="5B4D9EF2" w:rsidR="004C736D" w:rsidRPr="00140CD5" w:rsidRDefault="004C736D" w:rsidP="00140CD5">
      <w:pPr>
        <w:spacing w:after="120" w:line="276" w:lineRule="auto"/>
        <w:jc w:val="both"/>
        <w:rPr>
          <w:rFonts w:ascii="Times New Roman" w:hAnsi="Times New Roman" w:cs="Times New Roman"/>
          <w:sz w:val="24"/>
          <w:szCs w:val="24"/>
        </w:rPr>
      </w:pPr>
      <w:r w:rsidRPr="00140CD5">
        <w:rPr>
          <w:rFonts w:ascii="Times New Roman" w:hAnsi="Times New Roman" w:cs="Times New Roman"/>
          <w:sz w:val="24"/>
          <w:szCs w:val="24"/>
        </w:rPr>
        <w:t xml:space="preserve">Do tej pory działania Prezesa UOKiK w tym zakresie, podejmowane były na podstawie art. 14 ustawy </w:t>
      </w:r>
      <w:r w:rsidR="00EC5345" w:rsidRPr="00140CD5">
        <w:rPr>
          <w:rFonts w:ascii="Times New Roman" w:hAnsi="Times New Roman" w:cs="Times New Roman"/>
          <w:sz w:val="24"/>
          <w:szCs w:val="24"/>
        </w:rPr>
        <w:t xml:space="preserve">z dnia 18 lipca 2002 r. </w:t>
      </w:r>
      <w:r w:rsidRPr="00140CD5">
        <w:rPr>
          <w:rFonts w:ascii="Times New Roman" w:hAnsi="Times New Roman" w:cs="Times New Roman"/>
          <w:sz w:val="24"/>
          <w:szCs w:val="24"/>
        </w:rPr>
        <w:t>o świadczeniu usług drogą elektroniczną</w:t>
      </w:r>
      <w:r w:rsidR="007A2D64">
        <w:rPr>
          <w:rFonts w:ascii="Times New Roman" w:hAnsi="Times New Roman" w:cs="Times New Roman"/>
          <w:sz w:val="24"/>
          <w:szCs w:val="24"/>
        </w:rPr>
        <w:t xml:space="preserve"> (Dz. U. z 2020 poz. 344</w:t>
      </w:r>
      <w:r w:rsidR="00140CD5" w:rsidRPr="00140CD5">
        <w:rPr>
          <w:rFonts w:ascii="Times New Roman" w:hAnsi="Times New Roman" w:cs="Times New Roman"/>
          <w:sz w:val="24"/>
          <w:szCs w:val="24"/>
        </w:rPr>
        <w:t>)</w:t>
      </w:r>
      <w:r w:rsidR="00140CD5" w:rsidRPr="00140CD5">
        <w:rPr>
          <w:rFonts w:ascii="Times New Roman" w:hAnsi="Times New Roman" w:cs="Times New Roman"/>
          <w:bCs/>
          <w:color w:val="333333"/>
          <w:sz w:val="24"/>
          <w:szCs w:val="24"/>
          <w:shd w:val="clear" w:color="auto" w:fill="FFFFFF"/>
        </w:rPr>
        <w:t>.</w:t>
      </w:r>
      <w:r w:rsidRPr="00140CD5">
        <w:rPr>
          <w:rFonts w:ascii="Times New Roman" w:hAnsi="Times New Roman" w:cs="Times New Roman"/>
          <w:sz w:val="24"/>
          <w:szCs w:val="24"/>
        </w:rPr>
        <w:t xml:space="preserve"> </w:t>
      </w:r>
      <w:r w:rsidR="00EC5345" w:rsidRPr="00140CD5">
        <w:rPr>
          <w:rFonts w:ascii="Times New Roman" w:hAnsi="Times New Roman" w:cs="Times New Roman"/>
          <w:sz w:val="24"/>
          <w:szCs w:val="24"/>
        </w:rPr>
        <w:t xml:space="preserve">Przedmiotowy przepis wskazuje na brak odpowiedzialności usługodawcy świadczącego usługi drogą elektroniczną </w:t>
      </w:r>
      <w:r w:rsidR="00BA1E2C" w:rsidRPr="00140CD5">
        <w:rPr>
          <w:rFonts w:ascii="Times New Roman" w:hAnsi="Times New Roman" w:cs="Times New Roman"/>
          <w:sz w:val="24"/>
          <w:szCs w:val="24"/>
        </w:rPr>
        <w:t xml:space="preserve">względem usługobiorcy za szkodę powstałą w wyniku uniemożliwienia dostępu do tych danych, </w:t>
      </w:r>
      <w:r w:rsidR="00EC5345" w:rsidRPr="00140CD5">
        <w:rPr>
          <w:rFonts w:ascii="Times New Roman" w:hAnsi="Times New Roman" w:cs="Times New Roman"/>
          <w:sz w:val="24"/>
          <w:szCs w:val="24"/>
        </w:rPr>
        <w:t xml:space="preserve">w przypadku gdy na skutek </w:t>
      </w:r>
      <w:r w:rsidR="00BA1E2C" w:rsidRPr="00140CD5">
        <w:rPr>
          <w:rFonts w:ascii="Times New Roman" w:hAnsi="Times New Roman" w:cs="Times New Roman"/>
          <w:sz w:val="24"/>
          <w:szCs w:val="24"/>
        </w:rPr>
        <w:t>urzędowego</w:t>
      </w:r>
      <w:r w:rsidR="00EC5345" w:rsidRPr="00140CD5">
        <w:rPr>
          <w:rFonts w:ascii="Times New Roman" w:hAnsi="Times New Roman" w:cs="Times New Roman"/>
          <w:sz w:val="24"/>
          <w:szCs w:val="24"/>
        </w:rPr>
        <w:t xml:space="preserve"> </w:t>
      </w:r>
      <w:r w:rsidR="00BA1E2C" w:rsidRPr="00140CD5">
        <w:rPr>
          <w:rFonts w:ascii="Times New Roman" w:hAnsi="Times New Roman" w:cs="Times New Roman"/>
          <w:sz w:val="24"/>
          <w:szCs w:val="24"/>
        </w:rPr>
        <w:t>zawiadomienia</w:t>
      </w:r>
      <w:r w:rsidR="00EC5345" w:rsidRPr="00140CD5">
        <w:rPr>
          <w:rFonts w:ascii="Times New Roman" w:hAnsi="Times New Roman" w:cs="Times New Roman"/>
          <w:sz w:val="24"/>
          <w:szCs w:val="24"/>
        </w:rPr>
        <w:t xml:space="preserve"> o bezprawnym charakterze przechowywanych danych dos</w:t>
      </w:r>
      <w:r w:rsidR="00BA1E2C" w:rsidRPr="00140CD5">
        <w:rPr>
          <w:rFonts w:ascii="Times New Roman" w:hAnsi="Times New Roman" w:cs="Times New Roman"/>
          <w:sz w:val="24"/>
          <w:szCs w:val="24"/>
        </w:rPr>
        <w:t>tarczonych przez usługobiorcę,</w:t>
      </w:r>
      <w:r w:rsidR="00EC5345" w:rsidRPr="00140CD5">
        <w:rPr>
          <w:rFonts w:ascii="Times New Roman" w:hAnsi="Times New Roman" w:cs="Times New Roman"/>
          <w:sz w:val="24"/>
          <w:szCs w:val="24"/>
        </w:rPr>
        <w:t xml:space="preserve"> </w:t>
      </w:r>
      <w:r w:rsidR="00BA1E2C" w:rsidRPr="00140CD5">
        <w:rPr>
          <w:rFonts w:ascii="Times New Roman" w:hAnsi="Times New Roman" w:cs="Times New Roman"/>
          <w:sz w:val="24"/>
          <w:szCs w:val="24"/>
        </w:rPr>
        <w:t>uniemożliwi</w:t>
      </w:r>
      <w:r w:rsidR="00EC5345" w:rsidRPr="00140CD5">
        <w:rPr>
          <w:rFonts w:ascii="Times New Roman" w:hAnsi="Times New Roman" w:cs="Times New Roman"/>
          <w:sz w:val="24"/>
          <w:szCs w:val="24"/>
        </w:rPr>
        <w:t xml:space="preserve"> dostęp do tych danych</w:t>
      </w:r>
      <w:r w:rsidR="00BA1E2C" w:rsidRPr="00140CD5">
        <w:rPr>
          <w:rFonts w:ascii="Times New Roman" w:hAnsi="Times New Roman" w:cs="Times New Roman"/>
          <w:sz w:val="24"/>
          <w:szCs w:val="24"/>
        </w:rPr>
        <w:t>. Podobne wyłączenie odpowiedzialności względem usługobiorcy ma miejsce jeżeli usługodawca poweźmie wiarygodną wiadomość nt. bezprawności danych i zawiadomi niezwłocznie  usługobiorcę o zamiarze uniemożliwienia do nich dostępu.</w:t>
      </w:r>
      <w:r w:rsidRPr="00140CD5">
        <w:rPr>
          <w:rFonts w:ascii="Times New Roman" w:hAnsi="Times New Roman" w:cs="Times New Roman"/>
          <w:sz w:val="24"/>
          <w:szCs w:val="24"/>
        </w:rPr>
        <w:t xml:space="preserve"> Przepisy </w:t>
      </w:r>
      <w:r w:rsidR="00BA1E2C" w:rsidRPr="00140CD5">
        <w:rPr>
          <w:rFonts w:ascii="Times New Roman" w:hAnsi="Times New Roman" w:cs="Times New Roman"/>
          <w:sz w:val="24"/>
          <w:szCs w:val="24"/>
        </w:rPr>
        <w:t>ww.</w:t>
      </w:r>
      <w:r w:rsidRPr="00140CD5">
        <w:rPr>
          <w:rFonts w:ascii="Times New Roman" w:hAnsi="Times New Roman" w:cs="Times New Roman"/>
          <w:sz w:val="24"/>
          <w:szCs w:val="24"/>
        </w:rPr>
        <w:t xml:space="preserve"> ustawy nie wskazują od kogo ma po</w:t>
      </w:r>
      <w:r w:rsidR="00E85F21">
        <w:rPr>
          <w:rFonts w:ascii="Times New Roman" w:hAnsi="Times New Roman" w:cs="Times New Roman"/>
          <w:sz w:val="24"/>
          <w:szCs w:val="24"/>
        </w:rPr>
        <w:t>chodzić wiarygodna wiadomość, a </w:t>
      </w:r>
      <w:r w:rsidRPr="00140CD5">
        <w:rPr>
          <w:rFonts w:ascii="Times New Roman" w:hAnsi="Times New Roman" w:cs="Times New Roman"/>
          <w:sz w:val="24"/>
          <w:szCs w:val="24"/>
        </w:rPr>
        <w:t>forma jej sporządzenia jest dowolna. Zarówno urzędowe zawiadomienie, rozumiane jako wszelkie pismo pochodzące od sądów, organów administracji publicznej lub organów jednostek samorządu terytorialnego, jak i wiarygodna wiadomość mają dla hostingodawcy takie samo znaczenie. Skuteczność wystąpienia Prezesa UOKiK w tym przypadku zależy de facto od dobrej woli hostingodawcy. Wprowadzenie samoistnej podstawy prawnej pozwoli na zwiększenie skuteczności Prezesa UOKiK w tym zakresie, i ściganie naruszeń w obszarze gospodarki elektronicznej, która w chwili obecnej najbardziej narażona jest na nadużycia, ponieważ najłatwiej można je w Internecie ukryć. W związku z powyższym, sfera ta jest kluczow</w:t>
      </w:r>
      <w:r w:rsidR="00E85F21">
        <w:rPr>
          <w:rFonts w:ascii="Times New Roman" w:hAnsi="Times New Roman" w:cs="Times New Roman"/>
          <w:sz w:val="24"/>
          <w:szCs w:val="24"/>
        </w:rPr>
        <w:t>a dla działania Prezesa UOKiK i </w:t>
      </w:r>
      <w:r w:rsidRPr="00140CD5">
        <w:rPr>
          <w:rFonts w:ascii="Times New Roman" w:hAnsi="Times New Roman" w:cs="Times New Roman"/>
          <w:sz w:val="24"/>
          <w:szCs w:val="24"/>
        </w:rPr>
        <w:t xml:space="preserve">efektywnego zapobiegania działalności podmiotów, które narażają konsumentów na negatywne konsekwencje. </w:t>
      </w:r>
    </w:p>
    <w:p w14:paraId="0E99AA46" w14:textId="77777777" w:rsidR="004C736D" w:rsidRPr="00140CD5" w:rsidRDefault="004C736D" w:rsidP="00140CD5">
      <w:pPr>
        <w:spacing w:after="120" w:line="276" w:lineRule="auto"/>
        <w:jc w:val="both"/>
        <w:rPr>
          <w:rFonts w:ascii="Times New Roman" w:hAnsi="Times New Roman" w:cs="Times New Roman"/>
          <w:sz w:val="24"/>
          <w:szCs w:val="24"/>
        </w:rPr>
      </w:pPr>
      <w:r w:rsidRPr="00140CD5">
        <w:rPr>
          <w:rFonts w:ascii="Times New Roman" w:hAnsi="Times New Roman" w:cs="Times New Roman"/>
          <w:sz w:val="24"/>
          <w:szCs w:val="24"/>
        </w:rPr>
        <w:t>Reasumując, wdrożenie ww. kompetencji zwiększy możliwości wykrywania naruszeń, pozyskiwania materiału dowodowego oraz eliminacji naruszeń zbiorowych interesów konsumentów. Pozwoli to na podniesienie poziomu ochrony konsumentów. Warto również podkreślić, że konsumenci nie są jedynymi beneficjentami wprowadzanych zmian, również w interesie uczciwie działających przedsiębiorców</w:t>
      </w:r>
      <w:r w:rsidR="00A2522B" w:rsidRPr="00140CD5">
        <w:rPr>
          <w:rFonts w:ascii="Times New Roman" w:hAnsi="Times New Roman" w:cs="Times New Roman"/>
          <w:sz w:val="24"/>
          <w:szCs w:val="24"/>
        </w:rPr>
        <w:t>,</w:t>
      </w:r>
      <w:r w:rsidRPr="00140CD5">
        <w:rPr>
          <w:rFonts w:ascii="Times New Roman" w:hAnsi="Times New Roman" w:cs="Times New Roman"/>
          <w:sz w:val="24"/>
          <w:szCs w:val="24"/>
        </w:rPr>
        <w:t xml:space="preserve"> jest eliminacja podmiotów nieuczciwych, stosujących metody, które dające przewagę konkurencyjną, niedostępną dla przedsiębiorców respektujących przepisy prawa.  </w:t>
      </w:r>
    </w:p>
    <w:p w14:paraId="38260557" w14:textId="77777777" w:rsidR="004C736D" w:rsidRPr="00140CD5" w:rsidRDefault="004C736D" w:rsidP="00140CD5">
      <w:pPr>
        <w:spacing w:after="120" w:line="276" w:lineRule="auto"/>
        <w:jc w:val="both"/>
        <w:rPr>
          <w:rFonts w:ascii="Times New Roman" w:hAnsi="Times New Roman" w:cs="Times New Roman"/>
          <w:sz w:val="24"/>
          <w:szCs w:val="24"/>
        </w:rPr>
      </w:pPr>
      <w:r w:rsidRPr="00140CD5">
        <w:rPr>
          <w:rFonts w:ascii="Times New Roman" w:hAnsi="Times New Roman" w:cs="Times New Roman"/>
          <w:sz w:val="24"/>
          <w:szCs w:val="24"/>
        </w:rPr>
        <w:lastRenderedPageBreak/>
        <w:t>Jednocześnie należy podkreślić, że każda z ww. kompetencji zostanie wdrożona w taki sposób, by zapewnić respektowanie zasad sprawiedliwości proceduralnej w relacjach z</w:t>
      </w:r>
      <w:r w:rsidR="00E85F21">
        <w:rPr>
          <w:rFonts w:ascii="Times New Roman" w:hAnsi="Times New Roman" w:cs="Times New Roman"/>
          <w:sz w:val="24"/>
          <w:szCs w:val="24"/>
        </w:rPr>
        <w:t> </w:t>
      </w:r>
      <w:r w:rsidRPr="00140CD5">
        <w:rPr>
          <w:rFonts w:ascii="Times New Roman" w:hAnsi="Times New Roman" w:cs="Times New Roman"/>
          <w:sz w:val="24"/>
          <w:szCs w:val="24"/>
        </w:rPr>
        <w:t>przedsiębiorcami. Ingerencja w sferę działania przedsiębiorców musi zapewniać możliwość weryfikacji jej zasadności i być jak najmniej uciążliwa dla prowadzenia przez nich działalności. Wprowadzone zatem zostaną odpowiednie mechanizmy, mające na  celu zagwarantowanie praw przedsiębiorców podczas proce</w:t>
      </w:r>
      <w:r w:rsidR="00E85F21">
        <w:rPr>
          <w:rFonts w:ascii="Times New Roman" w:hAnsi="Times New Roman" w:cs="Times New Roman"/>
          <w:sz w:val="24"/>
          <w:szCs w:val="24"/>
        </w:rPr>
        <w:t>su kontroli ich działalności. I </w:t>
      </w:r>
      <w:r w:rsidRPr="00140CD5">
        <w:rPr>
          <w:rFonts w:ascii="Times New Roman" w:hAnsi="Times New Roman" w:cs="Times New Roman"/>
          <w:sz w:val="24"/>
          <w:szCs w:val="24"/>
        </w:rPr>
        <w:t>tak w odniesieniu do poszczególnych kompetencji planowane jest:</w:t>
      </w:r>
    </w:p>
    <w:p w14:paraId="25A7A024" w14:textId="77777777" w:rsidR="004C736D" w:rsidRPr="00140CD5" w:rsidRDefault="004C736D" w:rsidP="00140CD5">
      <w:pPr>
        <w:pStyle w:val="Akapitzlist"/>
        <w:numPr>
          <w:ilvl w:val="0"/>
          <w:numId w:val="10"/>
        </w:numPr>
        <w:spacing w:after="120" w:line="276" w:lineRule="auto"/>
        <w:jc w:val="both"/>
        <w:rPr>
          <w:rFonts w:ascii="Times New Roman" w:hAnsi="Times New Roman" w:cs="Times New Roman"/>
          <w:sz w:val="24"/>
          <w:szCs w:val="24"/>
        </w:rPr>
      </w:pPr>
      <w:r w:rsidRPr="00140CD5">
        <w:rPr>
          <w:rFonts w:ascii="Times New Roman" w:hAnsi="Times New Roman" w:cs="Times New Roman"/>
          <w:sz w:val="24"/>
          <w:szCs w:val="24"/>
        </w:rPr>
        <w:t>uprawnienie do usunięcia treści lub ograniczenia dostępu do interfejsu internetowego (tzw. blokowanie stron www) – możliwość zaskarżenia decyzji tymczasowej nakładającej taki obowiązek do sądu,</w:t>
      </w:r>
    </w:p>
    <w:p w14:paraId="2AB74E23" w14:textId="77777777" w:rsidR="004C736D" w:rsidRPr="00140CD5" w:rsidRDefault="004C736D" w:rsidP="00140CD5">
      <w:pPr>
        <w:pStyle w:val="Akapitzlist"/>
        <w:numPr>
          <w:ilvl w:val="0"/>
          <w:numId w:val="10"/>
        </w:numPr>
        <w:suppressAutoHyphens/>
        <w:spacing w:after="120" w:line="276" w:lineRule="auto"/>
        <w:jc w:val="both"/>
        <w:rPr>
          <w:rFonts w:ascii="Times New Roman" w:hAnsi="Times New Roman" w:cs="Times New Roman"/>
          <w:sz w:val="24"/>
          <w:szCs w:val="24"/>
        </w:rPr>
      </w:pPr>
      <w:r w:rsidRPr="00140CD5">
        <w:rPr>
          <w:rFonts w:ascii="Times New Roman" w:hAnsi="Times New Roman" w:cs="Times New Roman"/>
          <w:sz w:val="24"/>
          <w:szCs w:val="24"/>
        </w:rPr>
        <w:t>uprawnienie do przeszukania w toku postępowania w sprawie naruszenia zbiorowych interesów konsumentów lub postępowania klauzulowego -  konieczne będzie uzyskanie zgody SOKiK na przeszukanie (analogicznie do przeszukania w postępowaniu antymonopolowym)</w:t>
      </w:r>
      <w:r w:rsidR="00A2522B" w:rsidRPr="00140CD5">
        <w:rPr>
          <w:rFonts w:ascii="Times New Roman" w:hAnsi="Times New Roman" w:cs="Times New Roman"/>
          <w:sz w:val="24"/>
          <w:szCs w:val="24"/>
        </w:rPr>
        <w:t>,</w:t>
      </w:r>
    </w:p>
    <w:p w14:paraId="553D4C03" w14:textId="77777777" w:rsidR="004C736D" w:rsidRPr="00140CD5" w:rsidRDefault="004C736D" w:rsidP="00140CD5">
      <w:pPr>
        <w:numPr>
          <w:ilvl w:val="0"/>
          <w:numId w:val="10"/>
        </w:numPr>
        <w:suppressAutoHyphens/>
        <w:spacing w:after="120" w:line="276" w:lineRule="auto"/>
        <w:jc w:val="both"/>
        <w:rPr>
          <w:rFonts w:ascii="Times New Roman" w:hAnsi="Times New Roman" w:cs="Times New Roman"/>
          <w:color w:val="000000" w:themeColor="text1"/>
          <w:sz w:val="24"/>
          <w:szCs w:val="24"/>
        </w:rPr>
      </w:pPr>
      <w:r w:rsidRPr="00140CD5">
        <w:rPr>
          <w:rFonts w:ascii="Times New Roman" w:hAnsi="Times New Roman" w:cs="Times New Roman"/>
          <w:sz w:val="24"/>
          <w:szCs w:val="24"/>
        </w:rPr>
        <w:t xml:space="preserve">uprawnienie do dokonywania zakupów towarów lub usług, w razie potrzeby, z możliwością przedstawienia </w:t>
      </w:r>
      <w:r w:rsidRPr="00140CD5">
        <w:rPr>
          <w:rFonts w:ascii="Times New Roman" w:hAnsi="Times New Roman" w:cs="Times New Roman"/>
          <w:color w:val="000000" w:themeColor="text1"/>
          <w:sz w:val="24"/>
          <w:szCs w:val="24"/>
        </w:rPr>
        <w:t>się jako inna osoba/ukrycia tożsamości</w:t>
      </w:r>
      <w:r w:rsidRPr="00140CD5" w:rsidDel="00386FC8">
        <w:rPr>
          <w:rFonts w:ascii="Times New Roman" w:hAnsi="Times New Roman" w:cs="Times New Roman"/>
          <w:color w:val="000000" w:themeColor="text1"/>
          <w:sz w:val="24"/>
          <w:szCs w:val="24"/>
        </w:rPr>
        <w:t xml:space="preserve"> </w:t>
      </w:r>
      <w:r w:rsidRPr="00140CD5">
        <w:rPr>
          <w:rFonts w:ascii="Times New Roman" w:hAnsi="Times New Roman" w:cs="Times New Roman"/>
          <w:color w:val="000000" w:themeColor="text1"/>
          <w:sz w:val="24"/>
          <w:szCs w:val="24"/>
        </w:rPr>
        <w:t xml:space="preserve"> w celu ich przetestowania – zgoda SOKiK</w:t>
      </w:r>
      <w:r w:rsidR="007A5772" w:rsidRPr="00140CD5">
        <w:rPr>
          <w:rFonts w:ascii="Times New Roman" w:hAnsi="Times New Roman" w:cs="Times New Roman"/>
          <w:color w:val="000000" w:themeColor="text1"/>
          <w:sz w:val="24"/>
          <w:szCs w:val="24"/>
        </w:rPr>
        <w:t xml:space="preserve"> na dokonanie zakupu </w:t>
      </w:r>
      <w:r w:rsidR="00753BBD" w:rsidRPr="00140CD5">
        <w:rPr>
          <w:rFonts w:ascii="Times New Roman" w:hAnsi="Times New Roman" w:cs="Times New Roman"/>
          <w:color w:val="000000" w:themeColor="text1"/>
          <w:sz w:val="24"/>
          <w:szCs w:val="24"/>
        </w:rPr>
        <w:t>z możliwością ukrycia lub przybrania tożsamości oraz rejestracji dźwięku lub obrazu bez informowania o tym kontrolowanego</w:t>
      </w:r>
      <w:r w:rsidRPr="00140CD5">
        <w:rPr>
          <w:rFonts w:ascii="Times New Roman" w:hAnsi="Times New Roman" w:cs="Times New Roman"/>
          <w:color w:val="000000" w:themeColor="text1"/>
          <w:sz w:val="24"/>
          <w:szCs w:val="24"/>
        </w:rPr>
        <w:t>.</w:t>
      </w:r>
    </w:p>
    <w:p w14:paraId="2B99EAE1" w14:textId="6193DD27" w:rsidR="004C736D" w:rsidRPr="00140CD5" w:rsidRDefault="004C736D" w:rsidP="00140CD5">
      <w:pPr>
        <w:spacing w:after="120" w:line="276" w:lineRule="auto"/>
        <w:jc w:val="both"/>
        <w:rPr>
          <w:rFonts w:ascii="Times New Roman" w:hAnsi="Times New Roman" w:cs="Times New Roman"/>
          <w:color w:val="000000" w:themeColor="text1"/>
          <w:sz w:val="24"/>
          <w:szCs w:val="24"/>
          <w:shd w:val="clear" w:color="auto" w:fill="FFFFFF"/>
        </w:rPr>
      </w:pPr>
      <w:r w:rsidRPr="00140CD5">
        <w:rPr>
          <w:rFonts w:ascii="Times New Roman" w:hAnsi="Times New Roman" w:cs="Times New Roman"/>
          <w:color w:val="000000" w:themeColor="text1"/>
          <w:sz w:val="24"/>
          <w:szCs w:val="24"/>
          <w:shd w:val="clear" w:color="auto" w:fill="FFFFFF"/>
        </w:rPr>
        <w:t>Podkreślenia ponadto wymaga, że Prezes UOKiK w toku prowadzonych postępowań priorytetowo traktuje kwestię respektowania sprawiedliwości proceduralnej, stanowiącej ogólną zasadę prawa, na którą składa się zbiór wartości, których określenie w regułach procesowych i faktyczne implementowanie w procesie gwarantuje jego sprawiedliwy przebieg i umożliwia jego pozytywną ocenę. Przebieg procesu zgodny z tymi regułami procesowymi może się także przyczynić do osiągnięcia sprawiedliwego rezultatu procesu</w:t>
      </w:r>
      <w:bookmarkStart w:id="3" w:name="_ftnref1"/>
      <w:r w:rsidRPr="00491198">
        <w:rPr>
          <w:rFonts w:ascii="Times New Roman" w:hAnsi="Times New Roman" w:cs="Times New Roman"/>
          <w:color w:val="000000" w:themeColor="text1"/>
          <w:sz w:val="24"/>
          <w:szCs w:val="24"/>
          <w:shd w:val="clear" w:color="auto" w:fill="FFFFFF"/>
          <w:vertAlign w:val="superscript"/>
        </w:rPr>
        <w:t>]</w:t>
      </w:r>
      <w:bookmarkEnd w:id="3"/>
      <w:r w:rsidRPr="00140CD5">
        <w:rPr>
          <w:rFonts w:ascii="Times New Roman" w:hAnsi="Times New Roman" w:cs="Times New Roman"/>
          <w:color w:val="000000" w:themeColor="text1"/>
          <w:sz w:val="24"/>
          <w:szCs w:val="24"/>
          <w:shd w:val="clear" w:color="auto" w:fill="FFFFFF"/>
        </w:rPr>
        <w:t>. Wyjaśnienia wymaga również,że pro</w:t>
      </w:r>
      <w:r w:rsidR="00E85F21">
        <w:rPr>
          <w:rFonts w:ascii="Times New Roman" w:hAnsi="Times New Roman" w:cs="Times New Roman"/>
          <w:color w:val="000000" w:themeColor="text1"/>
          <w:sz w:val="24"/>
          <w:szCs w:val="24"/>
          <w:shd w:val="clear" w:color="auto" w:fill="FFFFFF"/>
        </w:rPr>
        <w:t>wadzenie postępowania zgodnie z </w:t>
      </w:r>
      <w:r w:rsidRPr="00140CD5">
        <w:rPr>
          <w:rFonts w:ascii="Times New Roman" w:hAnsi="Times New Roman" w:cs="Times New Roman"/>
          <w:color w:val="000000" w:themeColor="text1"/>
          <w:sz w:val="24"/>
          <w:szCs w:val="24"/>
          <w:shd w:val="clear" w:color="auto" w:fill="FFFFFF"/>
        </w:rPr>
        <w:t>regułami sprawiedliwości proceduralnej to stosowanie w konkretnym przypadku określonych, obiektywnych kryteriów przez podmiot wydający decyzję administracyjną wobec strony tego postępowania. Wskazać należy, iż w przypadku postępowania przed Prezesem UOKiK, jako organem dysponującym szerokim wachlarzem sankcji za stosowanie praktyk naruszających zbiorowe interesy konsumentów, ważnym elementem sprawiedliwości proceduralnej jest m. in. dogłębne zbadanie wszystkich okoliczności sprawy oraz rzetelne uzasadnienie wydawanych decyzji, oparte na wnikliwej analizie faktycznej i prawnej.  </w:t>
      </w:r>
    </w:p>
    <w:p w14:paraId="4AD480C5" w14:textId="77777777" w:rsidR="00AC1495" w:rsidRPr="00140CD5" w:rsidRDefault="00AC1495" w:rsidP="00140CD5">
      <w:pPr>
        <w:pStyle w:val="Akapitzlist"/>
        <w:numPr>
          <w:ilvl w:val="0"/>
          <w:numId w:val="7"/>
        </w:numPr>
        <w:spacing w:before="240" w:after="120" w:line="276" w:lineRule="auto"/>
        <w:rPr>
          <w:rFonts w:ascii="Times New Roman" w:hAnsi="Times New Roman" w:cs="Times New Roman"/>
          <w:b/>
          <w:color w:val="000000"/>
          <w:sz w:val="24"/>
          <w:szCs w:val="24"/>
        </w:rPr>
      </w:pPr>
      <w:r w:rsidRPr="00140CD5">
        <w:rPr>
          <w:rFonts w:ascii="Times New Roman" w:hAnsi="Times New Roman" w:cs="Times New Roman"/>
          <w:b/>
          <w:color w:val="000000"/>
          <w:sz w:val="24"/>
          <w:szCs w:val="24"/>
        </w:rPr>
        <w:t>Opis proponowanych rozwiązań</w:t>
      </w:r>
    </w:p>
    <w:p w14:paraId="555CE6E6" w14:textId="77777777" w:rsidR="00F75957" w:rsidRPr="00140CD5" w:rsidRDefault="00F75957" w:rsidP="00140CD5">
      <w:pPr>
        <w:spacing w:after="120" w:line="276" w:lineRule="auto"/>
        <w:jc w:val="both"/>
        <w:rPr>
          <w:rFonts w:ascii="Times New Roman" w:hAnsi="Times New Roman" w:cs="Times New Roman"/>
          <w:sz w:val="24"/>
          <w:szCs w:val="24"/>
        </w:rPr>
      </w:pPr>
      <w:r w:rsidRPr="00140CD5">
        <w:rPr>
          <w:rFonts w:ascii="Times New Roman" w:hAnsi="Times New Roman" w:cs="Times New Roman"/>
          <w:sz w:val="24"/>
          <w:szCs w:val="24"/>
        </w:rPr>
        <w:t xml:space="preserve">Celem projektu jest uzupełnienie kompetencji w </w:t>
      </w:r>
      <w:r w:rsidR="00E85F21">
        <w:rPr>
          <w:rFonts w:ascii="Times New Roman" w:hAnsi="Times New Roman" w:cs="Times New Roman"/>
          <w:sz w:val="24"/>
          <w:szCs w:val="24"/>
        </w:rPr>
        <w:t>zakresie ochrony konsumentów, o </w:t>
      </w:r>
      <w:r w:rsidRPr="00140CD5">
        <w:rPr>
          <w:rFonts w:ascii="Times New Roman" w:hAnsi="Times New Roman" w:cs="Times New Roman"/>
          <w:sz w:val="24"/>
          <w:szCs w:val="24"/>
        </w:rPr>
        <w:t xml:space="preserve">kompetencje przewidziane rozporządzeniem CPC. Co do zasady, rozporządzenia UE, nie podlegają transpozycji ponieważ obowiązują bezpośrednio, w tym jednak przypadku konieczne jest wskazanie organu uprawnionego oraz nadanie mu uprawnień, o których mowa w rozporządzeniu, w przypadku gdy takimi uprawnieniami nie dysponuje. </w:t>
      </w:r>
    </w:p>
    <w:p w14:paraId="6812DD85" w14:textId="77777777" w:rsidR="00F75957" w:rsidRPr="00140CD5" w:rsidRDefault="00F75957" w:rsidP="00140CD5">
      <w:pPr>
        <w:spacing w:after="120" w:line="276" w:lineRule="auto"/>
        <w:jc w:val="both"/>
        <w:rPr>
          <w:rFonts w:ascii="Times New Roman" w:hAnsi="Times New Roman" w:cs="Times New Roman"/>
          <w:sz w:val="24"/>
          <w:szCs w:val="24"/>
        </w:rPr>
      </w:pPr>
      <w:r w:rsidRPr="00140CD5">
        <w:rPr>
          <w:rFonts w:ascii="Times New Roman" w:hAnsi="Times New Roman" w:cs="Times New Roman"/>
          <w:sz w:val="24"/>
          <w:szCs w:val="24"/>
        </w:rPr>
        <w:lastRenderedPageBreak/>
        <w:t xml:space="preserve">Na gruncie rozporządzenia CPC (art. 9 i pkt 6 i 7 preambuły) możliwe jest przyznanie minimalnych kompetencji jednemu organowi właściwemu ds. ochrony konsumentów lub kilku organom właściwym, oraz możliwość zlecania pewnych działań innym </w:t>
      </w:r>
      <w:r w:rsidR="007D7FA1" w:rsidRPr="00140CD5">
        <w:rPr>
          <w:rFonts w:ascii="Times New Roman" w:hAnsi="Times New Roman" w:cs="Times New Roman"/>
          <w:sz w:val="24"/>
          <w:szCs w:val="24"/>
        </w:rPr>
        <w:t>podmiotom</w:t>
      </w:r>
      <w:r w:rsidRPr="00140CD5">
        <w:rPr>
          <w:rFonts w:ascii="Times New Roman" w:hAnsi="Times New Roman" w:cs="Times New Roman"/>
          <w:sz w:val="24"/>
          <w:szCs w:val="24"/>
        </w:rPr>
        <w:t xml:space="preserve">. </w:t>
      </w:r>
    </w:p>
    <w:p w14:paraId="36C91A99" w14:textId="77777777" w:rsidR="007D7FA1" w:rsidRPr="00140CD5" w:rsidRDefault="007D7FA1" w:rsidP="00140CD5">
      <w:pPr>
        <w:spacing w:after="120" w:line="276" w:lineRule="auto"/>
        <w:jc w:val="both"/>
        <w:rPr>
          <w:rFonts w:ascii="Times New Roman" w:hAnsi="Times New Roman" w:cs="Times New Roman"/>
          <w:sz w:val="24"/>
          <w:szCs w:val="24"/>
        </w:rPr>
      </w:pPr>
      <w:r w:rsidRPr="00140CD5">
        <w:rPr>
          <w:rFonts w:ascii="Times New Roman" w:hAnsi="Times New Roman" w:cs="Times New Roman"/>
          <w:sz w:val="24"/>
          <w:szCs w:val="24"/>
        </w:rPr>
        <w:t xml:space="preserve">Polski system ochrony konsumentów przewiduje przyznanie kompetencji z zakresu ochrony konsumentów, o charakterze horyzontalnym tj. dotyczących wszystkich obszarów/branż działalności gospodarczej, jednemu organowi właściwemu tj. Prezesowi UOKiK, który już obecnie dysponuje większością uprawnień wskazanych w rozporządzeniu CPC (patrz pkt 1), dlatego wskazane jest przyznanie nowych lub rozszerzenie istniejących uprawnień Prezesowi UOKiK. </w:t>
      </w:r>
    </w:p>
    <w:p w14:paraId="5C0E2CE8" w14:textId="77777777" w:rsidR="007D7FA1" w:rsidRPr="00140CD5" w:rsidRDefault="007D7FA1" w:rsidP="00140CD5">
      <w:pPr>
        <w:spacing w:after="120" w:line="276" w:lineRule="auto"/>
        <w:jc w:val="both"/>
        <w:rPr>
          <w:rFonts w:ascii="Times New Roman" w:hAnsi="Times New Roman" w:cs="Times New Roman"/>
          <w:sz w:val="24"/>
          <w:szCs w:val="24"/>
        </w:rPr>
      </w:pPr>
      <w:r w:rsidRPr="00140CD5">
        <w:rPr>
          <w:rFonts w:ascii="Times New Roman" w:hAnsi="Times New Roman" w:cs="Times New Roman"/>
          <w:sz w:val="24"/>
          <w:szCs w:val="24"/>
        </w:rPr>
        <w:t>Z uwagi na powyższe, rekomendowanym wariantem realizacji zobowiązań wynikających z rozporządzenia CPC jest wyposażenie jednego organu we wszystkie uprawnienia wskazane w rozporządzeniu jako uprawnienia minimalne. Optymalnym organem do sprawowania funkcji organu właściwego, z uwagi na usytuowanie w polskim systemie ochrony konsumentów i horyzontalny zakres kompetencji, jest Prezes UOKiK.</w:t>
      </w:r>
    </w:p>
    <w:p w14:paraId="26DDAB81" w14:textId="77777777" w:rsidR="007D7FA1" w:rsidRPr="00140CD5" w:rsidRDefault="007D7FA1" w:rsidP="00140CD5">
      <w:pPr>
        <w:spacing w:after="120" w:line="276" w:lineRule="auto"/>
        <w:jc w:val="both"/>
        <w:rPr>
          <w:rFonts w:ascii="Times New Roman" w:hAnsi="Times New Roman" w:cs="Times New Roman"/>
          <w:sz w:val="24"/>
          <w:szCs w:val="24"/>
          <w:u w:val="single"/>
        </w:rPr>
      </w:pPr>
      <w:r w:rsidRPr="00140CD5">
        <w:rPr>
          <w:rFonts w:ascii="Times New Roman" w:hAnsi="Times New Roman" w:cs="Times New Roman"/>
          <w:sz w:val="24"/>
          <w:szCs w:val="24"/>
        </w:rPr>
        <w:t xml:space="preserve"> </w:t>
      </w:r>
      <w:r w:rsidRPr="00140CD5">
        <w:rPr>
          <w:rFonts w:ascii="Times New Roman" w:hAnsi="Times New Roman" w:cs="Times New Roman"/>
          <w:sz w:val="24"/>
          <w:szCs w:val="24"/>
          <w:u w:val="single"/>
        </w:rPr>
        <w:t>Możliwe są dwa warianty realizacji kompetencji przez Prezesa UOKiK:</w:t>
      </w:r>
    </w:p>
    <w:p w14:paraId="21094AEF" w14:textId="77777777" w:rsidR="007D7FA1" w:rsidRPr="00140CD5" w:rsidRDefault="007D7FA1" w:rsidP="00140CD5">
      <w:pPr>
        <w:pStyle w:val="Akapitzlist"/>
        <w:numPr>
          <w:ilvl w:val="0"/>
          <w:numId w:val="16"/>
        </w:numPr>
        <w:spacing w:after="120" w:line="276" w:lineRule="auto"/>
        <w:jc w:val="both"/>
        <w:rPr>
          <w:rFonts w:ascii="Times New Roman" w:hAnsi="Times New Roman" w:cs="Times New Roman"/>
          <w:sz w:val="24"/>
          <w:szCs w:val="24"/>
        </w:rPr>
      </w:pPr>
      <w:r w:rsidRPr="00140CD5">
        <w:rPr>
          <w:rFonts w:ascii="Times New Roman" w:hAnsi="Times New Roman" w:cs="Times New Roman"/>
          <w:sz w:val="24"/>
          <w:szCs w:val="24"/>
        </w:rPr>
        <w:t>samodzielna realizacja kompetencji;</w:t>
      </w:r>
    </w:p>
    <w:p w14:paraId="7C8C68D8" w14:textId="77777777" w:rsidR="007D7FA1" w:rsidRPr="00140CD5" w:rsidRDefault="007D7FA1" w:rsidP="00140CD5">
      <w:pPr>
        <w:pStyle w:val="Akapitzlist"/>
        <w:numPr>
          <w:ilvl w:val="0"/>
          <w:numId w:val="16"/>
        </w:numPr>
        <w:spacing w:after="120" w:line="276" w:lineRule="auto"/>
        <w:jc w:val="both"/>
        <w:rPr>
          <w:rFonts w:ascii="Times New Roman" w:hAnsi="Times New Roman" w:cs="Times New Roman"/>
          <w:sz w:val="24"/>
          <w:szCs w:val="24"/>
        </w:rPr>
      </w:pPr>
      <w:r w:rsidRPr="00140CD5">
        <w:rPr>
          <w:rFonts w:ascii="Times New Roman" w:hAnsi="Times New Roman" w:cs="Times New Roman"/>
          <w:sz w:val="24"/>
          <w:szCs w:val="24"/>
        </w:rPr>
        <w:t>realizacja kompetencji przy współpracy innych organów.</w:t>
      </w:r>
    </w:p>
    <w:p w14:paraId="319F2540" w14:textId="2031065F" w:rsidR="004C736D" w:rsidRPr="00140CD5" w:rsidRDefault="00F75957" w:rsidP="00140CD5">
      <w:pPr>
        <w:spacing w:after="120" w:line="276" w:lineRule="auto"/>
        <w:jc w:val="both"/>
        <w:rPr>
          <w:rFonts w:ascii="Times New Roman" w:hAnsi="Times New Roman" w:cs="Times New Roman"/>
          <w:sz w:val="24"/>
          <w:szCs w:val="24"/>
        </w:rPr>
      </w:pPr>
      <w:r w:rsidRPr="00140CD5">
        <w:rPr>
          <w:rFonts w:ascii="Times New Roman" w:hAnsi="Times New Roman" w:cs="Times New Roman"/>
          <w:sz w:val="24"/>
          <w:szCs w:val="24"/>
        </w:rPr>
        <w:t>Proponuje się aby Prezes UOKiK realizował kompetencje organu właściwego w sposób mieszany, tj.: część z uprawnień minimalnych przewidzianych w rozporządzeniu CPC będzie realizowana samodzielnie przez Prezesa UOKiK, a inne będą wykonywane przy współpracy innych organów, w drodze zlecania wykonania czynności. Szczegółowe rozwiązania w tym zakresie  zostały przedstawione po</w:t>
      </w:r>
      <w:r w:rsidR="001F2EF8">
        <w:rPr>
          <w:rFonts w:ascii="Times New Roman" w:hAnsi="Times New Roman" w:cs="Times New Roman"/>
          <w:sz w:val="24"/>
          <w:szCs w:val="24"/>
        </w:rPr>
        <w:t xml:space="preserve">niżej w odniesieniu do każdej z </w:t>
      </w:r>
      <w:r w:rsidRPr="00140CD5">
        <w:rPr>
          <w:rFonts w:ascii="Times New Roman" w:hAnsi="Times New Roman" w:cs="Times New Roman"/>
          <w:sz w:val="24"/>
          <w:szCs w:val="24"/>
        </w:rPr>
        <w:t>kompetencji wymagającej wdrożenia:</w:t>
      </w:r>
    </w:p>
    <w:p w14:paraId="4164C89D" w14:textId="77777777" w:rsidR="00F75957" w:rsidRPr="00140CD5" w:rsidRDefault="008E70DF" w:rsidP="00140CD5">
      <w:pPr>
        <w:spacing w:before="120" w:after="120" w:line="276" w:lineRule="auto"/>
        <w:jc w:val="both"/>
        <w:rPr>
          <w:rFonts w:ascii="Times New Roman" w:hAnsi="Times New Roman" w:cs="Times New Roman"/>
          <w:b/>
          <w:sz w:val="24"/>
          <w:szCs w:val="24"/>
        </w:rPr>
      </w:pPr>
      <w:r w:rsidRPr="00140CD5">
        <w:rPr>
          <w:rFonts w:ascii="Times New Roman" w:hAnsi="Times New Roman" w:cs="Times New Roman"/>
          <w:b/>
          <w:sz w:val="24"/>
          <w:szCs w:val="24"/>
        </w:rPr>
        <w:t xml:space="preserve">1. </w:t>
      </w:r>
      <w:r w:rsidR="008D68EF" w:rsidRPr="00140CD5">
        <w:rPr>
          <w:rFonts w:ascii="Times New Roman" w:hAnsi="Times New Roman" w:cs="Times New Roman"/>
          <w:b/>
          <w:sz w:val="24"/>
          <w:szCs w:val="24"/>
        </w:rPr>
        <w:t>D</w:t>
      </w:r>
      <w:r w:rsidR="004C736D" w:rsidRPr="00140CD5">
        <w:rPr>
          <w:rFonts w:ascii="Times New Roman" w:hAnsi="Times New Roman" w:cs="Times New Roman"/>
          <w:b/>
          <w:sz w:val="24"/>
          <w:szCs w:val="24"/>
        </w:rPr>
        <w:t>ostęp do informacji na temat przepływów ś</w:t>
      </w:r>
      <w:r w:rsidR="00F75957" w:rsidRPr="00140CD5">
        <w:rPr>
          <w:rFonts w:ascii="Times New Roman" w:hAnsi="Times New Roman" w:cs="Times New Roman"/>
          <w:b/>
          <w:sz w:val="24"/>
          <w:szCs w:val="24"/>
        </w:rPr>
        <w:t xml:space="preserve">rodków finansowych i danych, </w:t>
      </w:r>
      <w:r w:rsidR="004C736D" w:rsidRPr="00140CD5">
        <w:rPr>
          <w:rFonts w:ascii="Times New Roman" w:hAnsi="Times New Roman" w:cs="Times New Roman"/>
          <w:b/>
          <w:sz w:val="24"/>
          <w:szCs w:val="24"/>
        </w:rPr>
        <w:t>potwierdzanie tożsamości osób zaangażowanych w przepły</w:t>
      </w:r>
      <w:r w:rsidR="00F75957" w:rsidRPr="00140CD5">
        <w:rPr>
          <w:rFonts w:ascii="Times New Roman" w:hAnsi="Times New Roman" w:cs="Times New Roman"/>
          <w:b/>
          <w:sz w:val="24"/>
          <w:szCs w:val="24"/>
        </w:rPr>
        <w:t>w środków finansowych i danych</w:t>
      </w:r>
      <w:r w:rsidR="008D68EF" w:rsidRPr="00140CD5">
        <w:rPr>
          <w:rFonts w:ascii="Times New Roman" w:hAnsi="Times New Roman" w:cs="Times New Roman"/>
          <w:b/>
          <w:sz w:val="24"/>
          <w:szCs w:val="24"/>
        </w:rPr>
        <w:t xml:space="preserve"> o</w:t>
      </w:r>
      <w:r w:rsidR="004C736D" w:rsidRPr="00140CD5">
        <w:rPr>
          <w:rFonts w:ascii="Times New Roman" w:hAnsi="Times New Roman" w:cs="Times New Roman"/>
          <w:b/>
          <w:sz w:val="24"/>
          <w:szCs w:val="24"/>
        </w:rPr>
        <w:t>raz informacji o rachunkach bankowych</w:t>
      </w:r>
      <w:r w:rsidRPr="00140CD5">
        <w:rPr>
          <w:rFonts w:ascii="Times New Roman" w:hAnsi="Times New Roman" w:cs="Times New Roman"/>
          <w:b/>
          <w:sz w:val="24"/>
          <w:szCs w:val="24"/>
        </w:rPr>
        <w:t xml:space="preserve"> </w:t>
      </w:r>
      <w:r w:rsidR="00F75957" w:rsidRPr="00140CD5">
        <w:rPr>
          <w:rFonts w:ascii="Times New Roman" w:hAnsi="Times New Roman" w:cs="Times New Roman"/>
          <w:b/>
          <w:sz w:val="24"/>
          <w:szCs w:val="24"/>
        </w:rPr>
        <w:t xml:space="preserve"> (śledzenie przepływów środków finansowych) </w:t>
      </w:r>
      <w:r w:rsidR="00963ED4" w:rsidRPr="00140CD5">
        <w:rPr>
          <w:rFonts w:ascii="Times New Roman" w:hAnsi="Times New Roman" w:cs="Times New Roman"/>
          <w:b/>
          <w:sz w:val="24"/>
          <w:szCs w:val="24"/>
        </w:rPr>
        <w:t xml:space="preserve">(art. 9 ust. 3 lit. b in fine) </w:t>
      </w:r>
    </w:p>
    <w:p w14:paraId="6BBC8AAD" w14:textId="50EA49D4" w:rsidR="00447ACD" w:rsidRDefault="00447ACD" w:rsidP="00491198">
      <w:pPr>
        <w:pStyle w:val="dataaktudatauchwalenialubwydaniaaktu"/>
        <w:spacing w:before="120" w:beforeAutospacing="0" w:after="120" w:afterAutospacing="0" w:line="360" w:lineRule="atLeast"/>
        <w:jc w:val="both"/>
        <w:rPr>
          <w:color w:val="000000" w:themeColor="text1"/>
        </w:rPr>
      </w:pPr>
      <w:r>
        <w:rPr>
          <w:color w:val="000000" w:themeColor="text1"/>
        </w:rPr>
        <w:t xml:space="preserve">W celu realizacji uprawnienia wskazane jest wyposażenie Prezesa UOKiK w możliwość pozyskania danych z </w:t>
      </w:r>
      <w:r w:rsidRPr="00140CD5">
        <w:rPr>
          <w:color w:val="000000" w:themeColor="text1"/>
        </w:rPr>
        <w:t>systemu Systemu Teleinformatycznego Izby Rozliczeniowej (STIR).</w:t>
      </w:r>
      <w:r>
        <w:rPr>
          <w:color w:val="000000" w:themeColor="text1"/>
        </w:rPr>
        <w:t xml:space="preserve"> System ten powala na uzyskanie dostępu do danych koniecznych dla realizacji uprawnienia do śledzenia przepływów finansowych (patrz pkt I a)</w:t>
      </w:r>
      <w:r w:rsidR="003042BB">
        <w:rPr>
          <w:color w:val="000000" w:themeColor="text1"/>
        </w:rPr>
        <w:t>.</w:t>
      </w:r>
    </w:p>
    <w:p w14:paraId="589B4C2E" w14:textId="12883C18" w:rsidR="00963ED4" w:rsidRPr="00140CD5" w:rsidRDefault="00447ACD" w:rsidP="00491198">
      <w:pPr>
        <w:pStyle w:val="dataaktudatauchwalenialubwydaniaaktu"/>
        <w:spacing w:before="120" w:beforeAutospacing="0" w:after="120" w:afterAutospacing="0" w:line="360" w:lineRule="atLeast"/>
        <w:jc w:val="both"/>
      </w:pPr>
      <w:r>
        <w:rPr>
          <w:color w:val="000000" w:themeColor="text1"/>
        </w:rPr>
        <w:t xml:space="preserve">W związku z powyższym, </w:t>
      </w:r>
      <w:r w:rsidR="00A9717D" w:rsidRPr="00F34B90">
        <w:rPr>
          <w:color w:val="000000" w:themeColor="text1"/>
        </w:rPr>
        <w:t xml:space="preserve">na mocy przepisów </w:t>
      </w:r>
      <w:r w:rsidR="00F34B90" w:rsidRPr="00491198">
        <w:rPr>
          <w:i/>
          <w:color w:val="000000" w:themeColor="text1"/>
        </w:rPr>
        <w:t xml:space="preserve">ustawy </w:t>
      </w:r>
      <w:r w:rsidR="00A9717D" w:rsidRPr="00491198">
        <w:rPr>
          <w:i/>
          <w:color w:val="000000"/>
        </w:rPr>
        <w:t>z dnia 19 czerwca 2020 r.</w:t>
      </w:r>
      <w:r w:rsidR="00F34B90" w:rsidRPr="00491198">
        <w:rPr>
          <w:i/>
          <w:color w:val="000000"/>
        </w:rPr>
        <w:t xml:space="preserve"> </w:t>
      </w:r>
      <w:r w:rsidR="00A9717D" w:rsidRPr="00491198">
        <w:rPr>
          <w:bCs/>
          <w:i/>
          <w:color w:val="000000"/>
        </w:rPr>
        <w:t>o dopłatach do oprocentowania kredytów bankowych udzielanych przedsiębiorcom dotkniętym skutkami COVID</w:t>
      </w:r>
      <w:r w:rsidR="00A9717D" w:rsidRPr="00491198">
        <w:rPr>
          <w:bCs/>
          <w:i/>
          <w:color w:val="000000"/>
        </w:rPr>
        <w:softHyphen/>
      </w:r>
      <w:r w:rsidR="00A9717D" w:rsidRPr="00491198">
        <w:rPr>
          <w:bCs/>
          <w:i/>
          <w:color w:val="000000"/>
        </w:rPr>
        <w:softHyphen/>
      </w:r>
      <w:r w:rsidR="00A9717D" w:rsidRPr="00491198">
        <w:rPr>
          <w:bCs/>
          <w:i/>
          <w:color w:val="000000"/>
        </w:rPr>
        <w:noBreakHyphen/>
        <w:t>19 oraz o uproszczonym postępowaniu o zatwierdzenie układu w związku z wystąpieniem COVID</w:t>
      </w:r>
      <w:r w:rsidR="00A9717D" w:rsidRPr="00491198">
        <w:rPr>
          <w:bCs/>
          <w:i/>
          <w:color w:val="000000"/>
        </w:rPr>
        <w:softHyphen/>
      </w:r>
      <w:r w:rsidR="00A9717D" w:rsidRPr="00491198">
        <w:rPr>
          <w:bCs/>
          <w:i/>
          <w:color w:val="000000"/>
        </w:rPr>
        <w:softHyphen/>
      </w:r>
      <w:r w:rsidR="00A9717D" w:rsidRPr="00491198">
        <w:rPr>
          <w:bCs/>
          <w:i/>
          <w:color w:val="000000"/>
        </w:rPr>
        <w:noBreakHyphen/>
        <w:t>1</w:t>
      </w:r>
      <w:r>
        <w:rPr>
          <w:bCs/>
          <w:i/>
          <w:color w:val="000000"/>
        </w:rPr>
        <w:t xml:space="preserve"> </w:t>
      </w:r>
      <w:r>
        <w:rPr>
          <w:bCs/>
          <w:color w:val="000000"/>
        </w:rPr>
        <w:t xml:space="preserve">(Dz. U. z 2020 r. poz. 1086), </w:t>
      </w:r>
      <w:r w:rsidRPr="00F34B90">
        <w:rPr>
          <w:color w:val="000000" w:themeColor="text1"/>
        </w:rPr>
        <w:t xml:space="preserve">Prezes UOKiK </w:t>
      </w:r>
      <w:r>
        <w:rPr>
          <w:color w:val="000000" w:themeColor="text1"/>
        </w:rPr>
        <w:t>został</w:t>
      </w:r>
      <w:r w:rsidRPr="00F34B90">
        <w:rPr>
          <w:color w:val="000000" w:themeColor="text1"/>
        </w:rPr>
        <w:t xml:space="preserve"> upoważniony do dostępu do systemu </w:t>
      </w:r>
      <w:r w:rsidRPr="00993DB0">
        <w:rPr>
          <w:color w:val="000000" w:themeColor="text1"/>
        </w:rPr>
        <w:t xml:space="preserve">STIR </w:t>
      </w:r>
      <w:r w:rsidRPr="003D3F33">
        <w:rPr>
          <w:color w:val="000000" w:themeColor="text1"/>
        </w:rPr>
        <w:t xml:space="preserve">m. in. </w:t>
      </w:r>
      <w:r w:rsidRPr="00491198">
        <w:rPr>
          <w:color w:val="000000" w:themeColor="text1"/>
        </w:rPr>
        <w:t xml:space="preserve">w związku z prowadzonym </w:t>
      </w:r>
      <w:r w:rsidRPr="00491198">
        <w:rPr>
          <w:color w:val="000000"/>
        </w:rPr>
        <w:t xml:space="preserve">postępowaniem wyjaśniającym,  postępowaniem w sprawie o uznanie postanowień </w:t>
      </w:r>
      <w:r w:rsidRPr="00491198">
        <w:rPr>
          <w:color w:val="000000"/>
        </w:rPr>
        <w:lastRenderedPageBreak/>
        <w:t>wzorca umowy za niedozwolone i postępowaniem w sprawie praktyk naruszających zbiorowe interesy konsumentów, o których mowa w art. 47 ust. 1 usta</w:t>
      </w:r>
      <w:r>
        <w:rPr>
          <w:color w:val="000000"/>
        </w:rPr>
        <w:t>wy okik.</w:t>
      </w:r>
      <w:r w:rsidR="00A9717D" w:rsidRPr="00491198">
        <w:rPr>
          <w:bCs/>
          <w:color w:val="000000"/>
        </w:rPr>
        <w:t xml:space="preserve"> </w:t>
      </w:r>
    </w:p>
    <w:p w14:paraId="58C677D9" w14:textId="77777777" w:rsidR="008D68EF" w:rsidRPr="00140CD5" w:rsidRDefault="00963ED4" w:rsidP="00140CD5">
      <w:pPr>
        <w:shd w:val="clear" w:color="auto" w:fill="FFFFFF"/>
        <w:spacing w:after="120" w:line="276" w:lineRule="auto"/>
        <w:jc w:val="both"/>
        <w:rPr>
          <w:rFonts w:ascii="Times New Roman" w:eastAsia="Times New Roman" w:hAnsi="Times New Roman" w:cs="Times New Roman"/>
          <w:color w:val="000000" w:themeColor="text1"/>
          <w:sz w:val="24"/>
          <w:szCs w:val="24"/>
          <w:lang w:eastAsia="pl-PL"/>
        </w:rPr>
      </w:pPr>
      <w:r w:rsidRPr="00140CD5">
        <w:rPr>
          <w:rFonts w:ascii="Times New Roman" w:eastAsia="Times New Roman" w:hAnsi="Times New Roman" w:cs="Times New Roman"/>
          <w:color w:val="000000" w:themeColor="text1"/>
          <w:sz w:val="24"/>
          <w:szCs w:val="24"/>
          <w:lang w:eastAsia="pl-PL"/>
        </w:rPr>
        <w:t xml:space="preserve">Przedmiotowe rozwiązanie dotyczące wdrożenia </w:t>
      </w:r>
      <w:r w:rsidRPr="00140CD5">
        <w:rPr>
          <w:rFonts w:ascii="Times New Roman" w:hAnsi="Times New Roman" w:cs="Times New Roman"/>
          <w:color w:val="000000" w:themeColor="text1"/>
          <w:sz w:val="24"/>
          <w:szCs w:val="24"/>
        </w:rPr>
        <w:t xml:space="preserve">art. 9 ust. 3 lit. b in fine zostało podyktowane racjonalnością i obowiązkiem </w:t>
      </w:r>
      <w:r w:rsidR="000D6A2C" w:rsidRPr="00140CD5">
        <w:rPr>
          <w:rFonts w:ascii="Times New Roman" w:hAnsi="Times New Roman" w:cs="Times New Roman"/>
          <w:color w:val="000000" w:themeColor="text1"/>
          <w:sz w:val="24"/>
          <w:szCs w:val="24"/>
        </w:rPr>
        <w:t>wynikającym z art. 44 ust. 3 ustawy o finansach publicznych</w:t>
      </w:r>
      <w:r w:rsidR="004C75F8" w:rsidRPr="00140CD5">
        <w:rPr>
          <w:rFonts w:ascii="Times New Roman" w:hAnsi="Times New Roman" w:cs="Times New Roman"/>
          <w:color w:val="000000" w:themeColor="text1"/>
          <w:sz w:val="24"/>
          <w:szCs w:val="24"/>
        </w:rPr>
        <w:t xml:space="preserve"> (Dz. U. z 2019 r. poz. 869)</w:t>
      </w:r>
      <w:r w:rsidR="000D6A2C" w:rsidRPr="00140CD5">
        <w:rPr>
          <w:rFonts w:ascii="Times New Roman" w:hAnsi="Times New Roman" w:cs="Times New Roman"/>
          <w:color w:val="000000" w:themeColor="text1"/>
          <w:sz w:val="24"/>
          <w:szCs w:val="24"/>
        </w:rPr>
        <w:t xml:space="preserve">, w zakresie wydatkowania środków publicznych, zgodnie z którym </w:t>
      </w:r>
      <w:bookmarkStart w:id="4" w:name="highlightHit_140"/>
      <w:bookmarkEnd w:id="4"/>
      <w:r w:rsidR="00014D60" w:rsidRPr="00140CD5">
        <w:rPr>
          <w:rFonts w:ascii="Times New Roman" w:eastAsia="Times New Roman" w:hAnsi="Times New Roman" w:cs="Times New Roman"/>
          <w:color w:val="000000" w:themeColor="text1"/>
          <w:sz w:val="24"/>
          <w:szCs w:val="24"/>
          <w:lang w:eastAsia="pl-PL"/>
        </w:rPr>
        <w:t>wydatki publiczne</w:t>
      </w:r>
      <w:r w:rsidR="000D6A2C" w:rsidRPr="00140CD5">
        <w:rPr>
          <w:rFonts w:ascii="Times New Roman" w:eastAsia="Times New Roman" w:hAnsi="Times New Roman" w:cs="Times New Roman"/>
          <w:color w:val="000000" w:themeColor="text1"/>
          <w:sz w:val="24"/>
          <w:szCs w:val="24"/>
          <w:lang w:eastAsia="pl-PL"/>
        </w:rPr>
        <w:t> powinny być dokonywane:</w:t>
      </w:r>
      <w:bookmarkStart w:id="5" w:name="mip48894712"/>
      <w:bookmarkEnd w:id="5"/>
      <w:r w:rsidR="000D6A2C" w:rsidRPr="00140CD5">
        <w:rPr>
          <w:rFonts w:ascii="Times New Roman" w:eastAsia="Times New Roman" w:hAnsi="Times New Roman" w:cs="Times New Roman"/>
          <w:color w:val="000000" w:themeColor="text1"/>
          <w:sz w:val="24"/>
          <w:szCs w:val="24"/>
          <w:lang w:eastAsia="pl-PL"/>
        </w:rPr>
        <w:t> w sposób celowy i oszczędny, z zachowaniem zasad uzyskiwania najlepszych efektów z danych nakładów oraz  optymalnego doboru metod i środków służących osiągnięciu założonych celów. W tym kontekście należy stwierdzić, że w polskim systemie prawnym i instytucjonalnym najbardziej rozbudowane narzędzia służące śledzeniu przepływów finansowych znajduj</w:t>
      </w:r>
      <w:r w:rsidR="00014D60" w:rsidRPr="00140CD5">
        <w:rPr>
          <w:rFonts w:ascii="Times New Roman" w:eastAsia="Times New Roman" w:hAnsi="Times New Roman" w:cs="Times New Roman"/>
          <w:color w:val="000000" w:themeColor="text1"/>
          <w:sz w:val="24"/>
          <w:szCs w:val="24"/>
          <w:lang w:eastAsia="pl-PL"/>
        </w:rPr>
        <w:t>ą</w:t>
      </w:r>
      <w:r w:rsidR="000D6A2C" w:rsidRPr="00140CD5">
        <w:rPr>
          <w:rFonts w:ascii="Times New Roman" w:eastAsia="Times New Roman" w:hAnsi="Times New Roman" w:cs="Times New Roman"/>
          <w:color w:val="000000" w:themeColor="text1"/>
          <w:sz w:val="24"/>
          <w:szCs w:val="24"/>
          <w:lang w:eastAsia="pl-PL"/>
        </w:rPr>
        <w:t xml:space="preserve"> się w gestii Szefa K</w:t>
      </w:r>
      <w:r w:rsidR="00014D60" w:rsidRPr="00140CD5">
        <w:rPr>
          <w:rFonts w:ascii="Times New Roman" w:eastAsia="Times New Roman" w:hAnsi="Times New Roman" w:cs="Times New Roman"/>
          <w:color w:val="000000" w:themeColor="text1"/>
          <w:sz w:val="24"/>
          <w:szCs w:val="24"/>
          <w:lang w:eastAsia="pl-PL"/>
        </w:rPr>
        <w:t xml:space="preserve">rajowej </w:t>
      </w:r>
      <w:r w:rsidR="000D6A2C" w:rsidRPr="00140CD5">
        <w:rPr>
          <w:rFonts w:ascii="Times New Roman" w:eastAsia="Times New Roman" w:hAnsi="Times New Roman" w:cs="Times New Roman"/>
          <w:color w:val="000000" w:themeColor="text1"/>
          <w:sz w:val="24"/>
          <w:szCs w:val="24"/>
          <w:lang w:eastAsia="pl-PL"/>
        </w:rPr>
        <w:t>A</w:t>
      </w:r>
      <w:r w:rsidR="00014D60" w:rsidRPr="00140CD5">
        <w:rPr>
          <w:rFonts w:ascii="Times New Roman" w:eastAsia="Times New Roman" w:hAnsi="Times New Roman" w:cs="Times New Roman"/>
          <w:color w:val="000000" w:themeColor="text1"/>
          <w:sz w:val="24"/>
          <w:szCs w:val="24"/>
          <w:lang w:eastAsia="pl-PL"/>
        </w:rPr>
        <w:t xml:space="preserve">dministracji </w:t>
      </w:r>
      <w:r w:rsidR="000D6A2C" w:rsidRPr="00140CD5">
        <w:rPr>
          <w:rFonts w:ascii="Times New Roman" w:eastAsia="Times New Roman" w:hAnsi="Times New Roman" w:cs="Times New Roman"/>
          <w:color w:val="000000" w:themeColor="text1"/>
          <w:sz w:val="24"/>
          <w:szCs w:val="24"/>
          <w:lang w:eastAsia="pl-PL"/>
        </w:rPr>
        <w:t>S</w:t>
      </w:r>
      <w:r w:rsidR="00014D60" w:rsidRPr="00140CD5">
        <w:rPr>
          <w:rFonts w:ascii="Times New Roman" w:eastAsia="Times New Roman" w:hAnsi="Times New Roman" w:cs="Times New Roman"/>
          <w:color w:val="000000" w:themeColor="text1"/>
          <w:sz w:val="24"/>
          <w:szCs w:val="24"/>
          <w:lang w:eastAsia="pl-PL"/>
        </w:rPr>
        <w:t>karbowej</w:t>
      </w:r>
      <w:r w:rsidR="000D6A2C" w:rsidRPr="00140CD5">
        <w:rPr>
          <w:rFonts w:ascii="Times New Roman" w:eastAsia="Times New Roman" w:hAnsi="Times New Roman" w:cs="Times New Roman"/>
          <w:color w:val="000000" w:themeColor="text1"/>
          <w:sz w:val="24"/>
          <w:szCs w:val="24"/>
          <w:lang w:eastAsia="pl-PL"/>
        </w:rPr>
        <w:t xml:space="preserve">, funkcjonującego w strukturach Ministerstwa Finansów. </w:t>
      </w:r>
    </w:p>
    <w:p w14:paraId="50F09254" w14:textId="04349084" w:rsidR="008D68EF" w:rsidRPr="00140CD5" w:rsidRDefault="000D6A2C" w:rsidP="00140CD5">
      <w:pPr>
        <w:shd w:val="clear" w:color="auto" w:fill="FFFFFF"/>
        <w:spacing w:after="120" w:line="276" w:lineRule="auto"/>
        <w:jc w:val="both"/>
        <w:rPr>
          <w:rFonts w:ascii="Times New Roman" w:eastAsia="Times New Roman" w:hAnsi="Times New Roman" w:cs="Times New Roman"/>
          <w:color w:val="000000" w:themeColor="text1"/>
          <w:sz w:val="24"/>
          <w:szCs w:val="24"/>
          <w:lang w:eastAsia="pl-PL"/>
        </w:rPr>
      </w:pPr>
      <w:r w:rsidRPr="00140CD5">
        <w:rPr>
          <w:rFonts w:ascii="Times New Roman" w:eastAsia="Times New Roman" w:hAnsi="Times New Roman" w:cs="Times New Roman"/>
          <w:color w:val="000000" w:themeColor="text1"/>
          <w:sz w:val="24"/>
          <w:szCs w:val="24"/>
          <w:lang w:eastAsia="pl-PL"/>
        </w:rPr>
        <w:t>W związku z powyższym dane, o których mowa w art. 9 ust. 3 lit. b in fine rozporządzenia CPC mogą zostać pozyskane z systemu S</w:t>
      </w:r>
      <w:r w:rsidR="00434853" w:rsidRPr="00140CD5">
        <w:rPr>
          <w:rFonts w:ascii="Times New Roman" w:eastAsia="Times New Roman" w:hAnsi="Times New Roman" w:cs="Times New Roman"/>
          <w:color w:val="000000" w:themeColor="text1"/>
          <w:sz w:val="24"/>
          <w:szCs w:val="24"/>
          <w:lang w:eastAsia="pl-PL"/>
        </w:rPr>
        <w:t xml:space="preserve">ystemu </w:t>
      </w:r>
      <w:r w:rsidRPr="00140CD5">
        <w:rPr>
          <w:rFonts w:ascii="Times New Roman" w:eastAsia="Times New Roman" w:hAnsi="Times New Roman" w:cs="Times New Roman"/>
          <w:color w:val="000000" w:themeColor="text1"/>
          <w:sz w:val="24"/>
          <w:szCs w:val="24"/>
          <w:lang w:eastAsia="pl-PL"/>
        </w:rPr>
        <w:t>T</w:t>
      </w:r>
      <w:r w:rsidR="00434853" w:rsidRPr="00140CD5">
        <w:rPr>
          <w:rFonts w:ascii="Times New Roman" w:eastAsia="Times New Roman" w:hAnsi="Times New Roman" w:cs="Times New Roman"/>
          <w:color w:val="000000" w:themeColor="text1"/>
          <w:sz w:val="24"/>
          <w:szCs w:val="24"/>
          <w:lang w:eastAsia="pl-PL"/>
        </w:rPr>
        <w:t xml:space="preserve">eleinformatycznego </w:t>
      </w:r>
      <w:r w:rsidRPr="00140CD5">
        <w:rPr>
          <w:rFonts w:ascii="Times New Roman" w:eastAsia="Times New Roman" w:hAnsi="Times New Roman" w:cs="Times New Roman"/>
          <w:color w:val="000000" w:themeColor="text1"/>
          <w:sz w:val="24"/>
          <w:szCs w:val="24"/>
          <w:lang w:eastAsia="pl-PL"/>
        </w:rPr>
        <w:t>I</w:t>
      </w:r>
      <w:r w:rsidR="00434853" w:rsidRPr="00140CD5">
        <w:rPr>
          <w:rFonts w:ascii="Times New Roman" w:eastAsia="Times New Roman" w:hAnsi="Times New Roman" w:cs="Times New Roman"/>
          <w:color w:val="000000" w:themeColor="text1"/>
          <w:sz w:val="24"/>
          <w:szCs w:val="24"/>
          <w:lang w:eastAsia="pl-PL"/>
        </w:rPr>
        <w:t xml:space="preserve">zby </w:t>
      </w:r>
      <w:r w:rsidRPr="00140CD5">
        <w:rPr>
          <w:rFonts w:ascii="Times New Roman" w:eastAsia="Times New Roman" w:hAnsi="Times New Roman" w:cs="Times New Roman"/>
          <w:color w:val="000000" w:themeColor="text1"/>
          <w:sz w:val="24"/>
          <w:szCs w:val="24"/>
          <w:lang w:eastAsia="pl-PL"/>
        </w:rPr>
        <w:t>R</w:t>
      </w:r>
      <w:r w:rsidR="00434853" w:rsidRPr="00140CD5">
        <w:rPr>
          <w:rFonts w:ascii="Times New Roman" w:eastAsia="Times New Roman" w:hAnsi="Times New Roman" w:cs="Times New Roman"/>
          <w:color w:val="000000" w:themeColor="text1"/>
          <w:sz w:val="24"/>
          <w:szCs w:val="24"/>
          <w:lang w:eastAsia="pl-PL"/>
        </w:rPr>
        <w:t>ozliczeniowej (STIR)</w:t>
      </w:r>
      <w:r w:rsidRPr="00140CD5">
        <w:rPr>
          <w:rFonts w:ascii="Times New Roman" w:eastAsia="Times New Roman" w:hAnsi="Times New Roman" w:cs="Times New Roman"/>
          <w:color w:val="000000" w:themeColor="text1"/>
          <w:sz w:val="24"/>
          <w:szCs w:val="24"/>
          <w:lang w:eastAsia="pl-PL"/>
        </w:rPr>
        <w:t xml:space="preserve">. </w:t>
      </w:r>
      <w:r w:rsidR="00E00D6C" w:rsidRPr="00140CD5">
        <w:rPr>
          <w:rFonts w:ascii="Times New Roman" w:eastAsia="Times New Roman" w:hAnsi="Times New Roman" w:cs="Times New Roman"/>
          <w:color w:val="000000" w:themeColor="text1"/>
          <w:sz w:val="24"/>
          <w:szCs w:val="24"/>
          <w:lang w:eastAsia="pl-PL"/>
        </w:rPr>
        <w:t xml:space="preserve">Analiza </w:t>
      </w:r>
      <w:r w:rsidR="007A0051" w:rsidRPr="00140CD5">
        <w:rPr>
          <w:rFonts w:ascii="Times New Roman" w:eastAsia="Times New Roman" w:hAnsi="Times New Roman" w:cs="Times New Roman"/>
          <w:color w:val="000000" w:themeColor="text1"/>
          <w:sz w:val="24"/>
          <w:szCs w:val="24"/>
          <w:lang w:eastAsia="pl-PL"/>
        </w:rPr>
        <w:t xml:space="preserve">zakresu </w:t>
      </w:r>
      <w:r w:rsidR="00E00D6C" w:rsidRPr="00140CD5">
        <w:rPr>
          <w:rFonts w:ascii="Times New Roman" w:eastAsia="Times New Roman" w:hAnsi="Times New Roman" w:cs="Times New Roman"/>
          <w:color w:val="000000" w:themeColor="text1"/>
          <w:sz w:val="24"/>
          <w:szCs w:val="24"/>
          <w:lang w:eastAsia="pl-PL"/>
        </w:rPr>
        <w:t>danych</w:t>
      </w:r>
      <w:r w:rsidR="007A0051" w:rsidRPr="00140CD5">
        <w:rPr>
          <w:rFonts w:ascii="Times New Roman" w:eastAsia="Times New Roman" w:hAnsi="Times New Roman" w:cs="Times New Roman"/>
          <w:color w:val="000000" w:themeColor="text1"/>
          <w:sz w:val="24"/>
          <w:szCs w:val="24"/>
          <w:lang w:eastAsia="pl-PL"/>
        </w:rPr>
        <w:t xml:space="preserve"> pozyskiwanych przez  STIR, zg</w:t>
      </w:r>
      <w:r w:rsidR="00014D60" w:rsidRPr="00140CD5">
        <w:rPr>
          <w:rFonts w:ascii="Times New Roman" w:eastAsia="Times New Roman" w:hAnsi="Times New Roman" w:cs="Times New Roman"/>
          <w:color w:val="000000" w:themeColor="text1"/>
          <w:sz w:val="24"/>
          <w:szCs w:val="24"/>
          <w:lang w:eastAsia="pl-PL"/>
        </w:rPr>
        <w:t xml:space="preserve">odnie z regulacją ustawy z dnia </w:t>
      </w:r>
      <w:r w:rsidR="00014D60" w:rsidRPr="00140CD5">
        <w:rPr>
          <w:rFonts w:ascii="Times New Roman" w:hAnsi="Times New Roman" w:cs="Times New Roman"/>
          <w:color w:val="000000" w:themeColor="text1"/>
          <w:sz w:val="24"/>
          <w:szCs w:val="24"/>
        </w:rPr>
        <w:t>z dnia 24 listopada 2017 r. o zmianie niektórych ustaw w celu przeciwdziałania wykorzystywaniu sektora finansowego do wyłudzeń skarbowych</w:t>
      </w:r>
      <w:r w:rsidR="0021683B" w:rsidRPr="00140CD5">
        <w:rPr>
          <w:rFonts w:ascii="Times New Roman" w:hAnsi="Times New Roman" w:cs="Times New Roman"/>
          <w:color w:val="000000" w:themeColor="text1"/>
          <w:sz w:val="24"/>
          <w:szCs w:val="24"/>
        </w:rPr>
        <w:t xml:space="preserve"> (Dz. U. z 2017 r., poz. 2491)</w:t>
      </w:r>
      <w:r w:rsidR="007A0051" w:rsidRPr="00140CD5">
        <w:rPr>
          <w:rFonts w:ascii="Times New Roman" w:eastAsia="Times New Roman" w:hAnsi="Times New Roman" w:cs="Times New Roman"/>
          <w:color w:val="000000" w:themeColor="text1"/>
          <w:sz w:val="24"/>
          <w:szCs w:val="24"/>
          <w:lang w:eastAsia="pl-PL"/>
        </w:rPr>
        <w:t xml:space="preserve">, wskazuje na możliwość  uzyskania informacji, o których mowa w art. 9 ust. 3 lit. b. </w:t>
      </w:r>
      <w:r w:rsidRPr="00140CD5">
        <w:rPr>
          <w:rFonts w:ascii="Times New Roman" w:eastAsia="Times New Roman" w:hAnsi="Times New Roman" w:cs="Times New Roman"/>
          <w:color w:val="000000" w:themeColor="text1"/>
          <w:sz w:val="24"/>
          <w:szCs w:val="24"/>
          <w:lang w:eastAsia="pl-PL"/>
        </w:rPr>
        <w:t>Nie ma zatem konieczności tworzenia analogicznego systemu przez Prezesa UOKiK dla celów wdrożenia rozporządzenia CPC, zwłaszcza że koszt takiego systemu informatycznego to 8,5 mln</w:t>
      </w:r>
      <w:r w:rsidR="00434853" w:rsidRPr="00140CD5">
        <w:rPr>
          <w:rStyle w:val="Odwoanieprzypisudolnego"/>
          <w:rFonts w:ascii="Times New Roman" w:eastAsia="Times New Roman" w:hAnsi="Times New Roman"/>
          <w:color w:val="000000" w:themeColor="text1"/>
          <w:sz w:val="24"/>
          <w:szCs w:val="24"/>
          <w:lang w:eastAsia="pl-PL"/>
        </w:rPr>
        <w:footnoteReference w:id="22"/>
      </w:r>
      <w:r w:rsidRPr="00140CD5">
        <w:rPr>
          <w:rFonts w:ascii="Times New Roman" w:eastAsia="Times New Roman" w:hAnsi="Times New Roman" w:cs="Times New Roman"/>
          <w:color w:val="000000" w:themeColor="text1"/>
          <w:sz w:val="24"/>
          <w:szCs w:val="24"/>
          <w:lang w:eastAsia="pl-PL"/>
        </w:rPr>
        <w:t xml:space="preserve"> oraz </w:t>
      </w:r>
      <w:r w:rsidR="007A0051" w:rsidRPr="00140CD5">
        <w:rPr>
          <w:rFonts w:ascii="Times New Roman" w:eastAsia="Times New Roman" w:hAnsi="Times New Roman" w:cs="Times New Roman"/>
          <w:color w:val="000000" w:themeColor="text1"/>
          <w:sz w:val="24"/>
          <w:szCs w:val="24"/>
          <w:lang w:eastAsia="pl-PL"/>
        </w:rPr>
        <w:t>dodatkowo</w:t>
      </w:r>
      <w:r w:rsidRPr="00140CD5">
        <w:rPr>
          <w:rFonts w:ascii="Times New Roman" w:eastAsia="Times New Roman" w:hAnsi="Times New Roman" w:cs="Times New Roman"/>
          <w:color w:val="000000" w:themeColor="text1"/>
          <w:sz w:val="24"/>
          <w:szCs w:val="24"/>
          <w:lang w:eastAsia="pl-PL"/>
        </w:rPr>
        <w:t xml:space="preserve"> wydatek 1,5 mln na sprzęt </w:t>
      </w:r>
      <w:r w:rsidR="00E00D6C" w:rsidRPr="00140CD5">
        <w:rPr>
          <w:rFonts w:ascii="Times New Roman" w:eastAsia="Times New Roman" w:hAnsi="Times New Roman" w:cs="Times New Roman"/>
          <w:color w:val="000000" w:themeColor="text1"/>
          <w:sz w:val="24"/>
          <w:szCs w:val="24"/>
          <w:lang w:eastAsia="pl-PL"/>
        </w:rPr>
        <w:t>informatyczny w pierwszym roku</w:t>
      </w:r>
      <w:r w:rsidR="00E00D6C" w:rsidRPr="00140CD5">
        <w:rPr>
          <w:rFonts w:ascii="Times New Roman" w:eastAsia="Times New Roman" w:hAnsi="Times New Roman" w:cs="Times New Roman"/>
          <w:color w:val="333333"/>
          <w:sz w:val="24"/>
          <w:szCs w:val="24"/>
          <w:lang w:eastAsia="pl-PL"/>
        </w:rPr>
        <w:t xml:space="preserve">. </w:t>
      </w:r>
    </w:p>
    <w:p w14:paraId="382A79D5" w14:textId="77777777" w:rsidR="00D0514E" w:rsidRPr="00140CD5" w:rsidRDefault="00D96A46" w:rsidP="00140CD5">
      <w:pPr>
        <w:spacing w:after="120" w:line="276" w:lineRule="auto"/>
        <w:jc w:val="both"/>
        <w:rPr>
          <w:rFonts w:ascii="Times New Roman" w:hAnsi="Times New Roman" w:cs="Times New Roman"/>
          <w:b/>
          <w:sz w:val="24"/>
          <w:szCs w:val="24"/>
        </w:rPr>
      </w:pPr>
      <w:r w:rsidRPr="00140CD5">
        <w:rPr>
          <w:rFonts w:ascii="Times New Roman" w:hAnsi="Times New Roman" w:cs="Times New Roman"/>
          <w:b/>
          <w:sz w:val="24"/>
          <w:szCs w:val="24"/>
        </w:rPr>
        <w:t xml:space="preserve">2. </w:t>
      </w:r>
      <w:r w:rsidR="008D68EF" w:rsidRPr="00140CD5">
        <w:rPr>
          <w:rFonts w:ascii="Times New Roman" w:hAnsi="Times New Roman" w:cs="Times New Roman"/>
          <w:b/>
          <w:sz w:val="24"/>
          <w:szCs w:val="24"/>
        </w:rPr>
        <w:t>U</w:t>
      </w:r>
      <w:r w:rsidR="00F75957" w:rsidRPr="00140CD5">
        <w:rPr>
          <w:rFonts w:ascii="Times New Roman" w:hAnsi="Times New Roman" w:cs="Times New Roman"/>
          <w:b/>
          <w:sz w:val="24"/>
          <w:szCs w:val="24"/>
        </w:rPr>
        <w:t>prawnienie do nabywania towarów lub usług w tym, w razie potrzeby, z wykorzystaniem możliwości przedstawienia się jako inna osoba/ukrycia tożsamości</w:t>
      </w:r>
      <w:r w:rsidR="007A0051" w:rsidRPr="00140CD5">
        <w:rPr>
          <w:rFonts w:ascii="Times New Roman" w:hAnsi="Times New Roman" w:cs="Times New Roman"/>
          <w:b/>
          <w:sz w:val="24"/>
          <w:szCs w:val="24"/>
        </w:rPr>
        <w:t xml:space="preserve"> (Art. 9 ust. 3 lit. c)</w:t>
      </w:r>
    </w:p>
    <w:p w14:paraId="5090A7A3" w14:textId="77777777" w:rsidR="00D0514E" w:rsidRPr="00140CD5" w:rsidRDefault="00D0514E" w:rsidP="00140CD5">
      <w:pPr>
        <w:spacing w:after="120" w:line="276" w:lineRule="auto"/>
        <w:jc w:val="both"/>
        <w:rPr>
          <w:rFonts w:ascii="Times New Roman" w:hAnsi="Times New Roman" w:cs="Times New Roman"/>
          <w:b/>
          <w:sz w:val="24"/>
          <w:szCs w:val="24"/>
        </w:rPr>
      </w:pPr>
      <w:r w:rsidRPr="00140CD5">
        <w:rPr>
          <w:rFonts w:ascii="Times New Roman" w:hAnsi="Times New Roman" w:cs="Times New Roman"/>
          <w:sz w:val="24"/>
          <w:szCs w:val="24"/>
        </w:rPr>
        <w:t>Wdrożenie rozporządzenia CPC wymaga wprowadzenia przepisów na podstawie, których możliwe będzie:</w:t>
      </w:r>
    </w:p>
    <w:p w14:paraId="587BE816" w14:textId="77777777" w:rsidR="00D0514E" w:rsidRPr="00140CD5" w:rsidRDefault="00D0514E" w:rsidP="00140CD5">
      <w:pPr>
        <w:spacing w:after="120" w:line="276" w:lineRule="auto"/>
        <w:jc w:val="both"/>
        <w:rPr>
          <w:rFonts w:ascii="Times New Roman" w:hAnsi="Times New Roman" w:cs="Times New Roman"/>
          <w:sz w:val="24"/>
          <w:szCs w:val="24"/>
        </w:rPr>
      </w:pPr>
      <w:r w:rsidRPr="00140CD5">
        <w:rPr>
          <w:rFonts w:ascii="Times New Roman" w:hAnsi="Times New Roman" w:cs="Times New Roman"/>
          <w:sz w:val="24"/>
          <w:szCs w:val="24"/>
        </w:rPr>
        <w:t>- nabywanie towarów lub usług,</w:t>
      </w:r>
    </w:p>
    <w:p w14:paraId="248385F6" w14:textId="77777777" w:rsidR="00D0514E" w:rsidRPr="00140CD5" w:rsidRDefault="00D0514E" w:rsidP="00140CD5">
      <w:pPr>
        <w:spacing w:after="120" w:line="276" w:lineRule="auto"/>
        <w:jc w:val="both"/>
        <w:rPr>
          <w:rFonts w:ascii="Times New Roman" w:hAnsi="Times New Roman" w:cs="Times New Roman"/>
          <w:sz w:val="24"/>
          <w:szCs w:val="24"/>
        </w:rPr>
      </w:pPr>
      <w:r w:rsidRPr="00140CD5">
        <w:rPr>
          <w:rFonts w:ascii="Times New Roman" w:hAnsi="Times New Roman" w:cs="Times New Roman"/>
          <w:sz w:val="24"/>
          <w:szCs w:val="24"/>
        </w:rPr>
        <w:t>- gdy to konieczne po ukryciu prawdziwej tożsamości,</w:t>
      </w:r>
    </w:p>
    <w:p w14:paraId="64B6EC68" w14:textId="77777777" w:rsidR="00D0514E" w:rsidRPr="00140CD5" w:rsidRDefault="00D0514E" w:rsidP="00140CD5">
      <w:pPr>
        <w:spacing w:after="120" w:line="276" w:lineRule="auto"/>
        <w:jc w:val="both"/>
        <w:rPr>
          <w:rFonts w:ascii="Times New Roman" w:hAnsi="Times New Roman" w:cs="Times New Roman"/>
          <w:sz w:val="24"/>
          <w:szCs w:val="24"/>
        </w:rPr>
      </w:pPr>
      <w:r w:rsidRPr="00140CD5">
        <w:rPr>
          <w:rFonts w:ascii="Times New Roman" w:hAnsi="Times New Roman" w:cs="Times New Roman"/>
          <w:sz w:val="24"/>
          <w:szCs w:val="24"/>
        </w:rPr>
        <w:t xml:space="preserve">- w celu wykrycia naruszeń objętych zakresem rozporządzenia np. odmowy przysługującego konsumentowi prawa do odstąpienia od umowy zawieranej na odległość oraz w celu uzyskania dowodów, </w:t>
      </w:r>
    </w:p>
    <w:p w14:paraId="58983AE8" w14:textId="77777777" w:rsidR="00D0514E" w:rsidRPr="00140CD5" w:rsidRDefault="00D0514E" w:rsidP="00140CD5">
      <w:pPr>
        <w:spacing w:after="120" w:line="276" w:lineRule="auto"/>
        <w:jc w:val="both"/>
        <w:rPr>
          <w:rFonts w:ascii="Times New Roman" w:hAnsi="Times New Roman" w:cs="Times New Roman"/>
          <w:sz w:val="24"/>
          <w:szCs w:val="24"/>
        </w:rPr>
      </w:pPr>
      <w:r w:rsidRPr="00140CD5">
        <w:rPr>
          <w:rFonts w:ascii="Times New Roman" w:hAnsi="Times New Roman" w:cs="Times New Roman"/>
          <w:sz w:val="24"/>
          <w:szCs w:val="24"/>
        </w:rPr>
        <w:t xml:space="preserve">- obejmuje też prawo do przeprowadzenia kontroli, obserwacji, badania, demontażu lub testowania produktu lub usługi, które zostały zakupione przez właściwy organ do tych celów, </w:t>
      </w:r>
    </w:p>
    <w:p w14:paraId="6318AA0D" w14:textId="77777777" w:rsidR="00D0514E" w:rsidRPr="00140CD5" w:rsidRDefault="00D0514E" w:rsidP="00140CD5">
      <w:pPr>
        <w:spacing w:after="120" w:line="276" w:lineRule="auto"/>
        <w:jc w:val="both"/>
        <w:rPr>
          <w:rFonts w:ascii="Times New Roman" w:hAnsi="Times New Roman" w:cs="Times New Roman"/>
          <w:sz w:val="24"/>
          <w:szCs w:val="24"/>
        </w:rPr>
      </w:pPr>
      <w:r w:rsidRPr="00140CD5">
        <w:rPr>
          <w:rFonts w:ascii="Times New Roman" w:hAnsi="Times New Roman" w:cs="Times New Roman"/>
          <w:sz w:val="24"/>
          <w:szCs w:val="24"/>
        </w:rPr>
        <w:lastRenderedPageBreak/>
        <w:t>- może obejmować: uprawnienie do zapewnienia zwrotu każdej wpłaconej kwoty, jeżeli taki zwrot nie jest nieproporcjonalny, a także nie jest w inny sposób sprzeczny z prawem unijnym i krajowym.</w:t>
      </w:r>
    </w:p>
    <w:p w14:paraId="44409169" w14:textId="627C7EA3" w:rsidR="00D0514E" w:rsidRPr="00140CD5" w:rsidRDefault="00D0514E" w:rsidP="00140CD5">
      <w:pPr>
        <w:spacing w:after="120" w:line="276" w:lineRule="auto"/>
        <w:jc w:val="both"/>
        <w:rPr>
          <w:rFonts w:ascii="Times New Roman" w:hAnsi="Times New Roman" w:cs="Times New Roman"/>
          <w:sz w:val="24"/>
          <w:szCs w:val="24"/>
        </w:rPr>
      </w:pPr>
      <w:r w:rsidRPr="00140CD5">
        <w:rPr>
          <w:rFonts w:ascii="Times New Roman" w:hAnsi="Times New Roman" w:cs="Times New Roman"/>
          <w:sz w:val="24"/>
          <w:szCs w:val="24"/>
        </w:rPr>
        <w:t>Zgodnie z obowiązującym stanem prawnym</w:t>
      </w:r>
      <w:r w:rsidRPr="00140CD5">
        <w:rPr>
          <w:rFonts w:ascii="Times New Roman" w:hAnsi="Times New Roman" w:cs="Times New Roman"/>
          <w:sz w:val="24"/>
          <w:szCs w:val="24"/>
          <w:u w:val="single"/>
        </w:rPr>
        <w:t>,</w:t>
      </w:r>
      <w:r w:rsidRPr="00140CD5">
        <w:rPr>
          <w:rFonts w:ascii="Times New Roman" w:hAnsi="Times New Roman" w:cs="Times New Roman"/>
          <w:sz w:val="24"/>
          <w:szCs w:val="24"/>
        </w:rPr>
        <w:t xml:space="preserve"> na podstawie art. 105ia</w:t>
      </w:r>
      <w:r w:rsidR="00434853" w:rsidRPr="00140CD5">
        <w:rPr>
          <w:rFonts w:ascii="Times New Roman" w:hAnsi="Times New Roman" w:cs="Times New Roman"/>
          <w:sz w:val="24"/>
          <w:szCs w:val="24"/>
        </w:rPr>
        <w:t xml:space="preserve"> ustawy </w:t>
      </w:r>
      <w:r w:rsidRPr="00140CD5">
        <w:rPr>
          <w:rFonts w:ascii="Times New Roman" w:hAnsi="Times New Roman" w:cs="Times New Roman"/>
          <w:sz w:val="24"/>
          <w:szCs w:val="24"/>
        </w:rPr>
        <w:t xml:space="preserve"> okik regulującego instytucję tzw. „tajemniczego klienta”, w celu uzyskania informacji mogących stanowić dowód w sprawie praktyk naruszających zbiorowe interesy konsumentów, kontrolujący ma prawo podęcia czynności zmierzających do zakupu towarów, również pod ukrytą tożsamością, co warunkowane jest zgodą SOKiK</w:t>
      </w:r>
      <w:r w:rsidR="00434853" w:rsidRPr="00140CD5">
        <w:rPr>
          <w:rFonts w:ascii="Times New Roman" w:hAnsi="Times New Roman" w:cs="Times New Roman"/>
          <w:sz w:val="24"/>
          <w:szCs w:val="24"/>
        </w:rPr>
        <w:t xml:space="preserve"> wydawaną w ciągu 48 godzin</w:t>
      </w:r>
      <w:r w:rsidR="00C63F86" w:rsidRPr="00140CD5">
        <w:rPr>
          <w:rFonts w:ascii="Times New Roman" w:hAnsi="Times New Roman" w:cs="Times New Roman"/>
          <w:sz w:val="24"/>
          <w:szCs w:val="24"/>
        </w:rPr>
        <w:t xml:space="preserve"> (art. 105 ust. 5)</w:t>
      </w:r>
      <w:r w:rsidRPr="00140CD5">
        <w:rPr>
          <w:rFonts w:ascii="Times New Roman" w:hAnsi="Times New Roman" w:cs="Times New Roman"/>
          <w:sz w:val="24"/>
          <w:szCs w:val="24"/>
        </w:rPr>
        <w:t xml:space="preserve">. Kontrolujący nie ma natomiast uprawnienia </w:t>
      </w:r>
      <w:r w:rsidR="00051DC9" w:rsidRPr="00140CD5">
        <w:rPr>
          <w:rFonts w:ascii="Times New Roman" w:hAnsi="Times New Roman" w:cs="Times New Roman"/>
          <w:sz w:val="24"/>
          <w:szCs w:val="24"/>
        </w:rPr>
        <w:t xml:space="preserve">do </w:t>
      </w:r>
      <w:r w:rsidRPr="00140CD5">
        <w:rPr>
          <w:rFonts w:ascii="Times New Roman" w:hAnsi="Times New Roman" w:cs="Times New Roman"/>
          <w:sz w:val="24"/>
          <w:szCs w:val="24"/>
        </w:rPr>
        <w:t xml:space="preserve">zakupu towaru i usługi. </w:t>
      </w:r>
      <w:r w:rsidR="00014D60" w:rsidRPr="00140CD5">
        <w:rPr>
          <w:rFonts w:ascii="Times New Roman" w:hAnsi="Times New Roman" w:cs="Times New Roman"/>
          <w:sz w:val="24"/>
          <w:szCs w:val="24"/>
        </w:rPr>
        <w:t xml:space="preserve"> </w:t>
      </w:r>
      <w:r w:rsidRPr="00140CD5">
        <w:rPr>
          <w:rFonts w:ascii="Times New Roman" w:hAnsi="Times New Roman" w:cs="Times New Roman"/>
          <w:sz w:val="24"/>
          <w:szCs w:val="24"/>
        </w:rPr>
        <w:t>W związku z powyższym konieczne jest wprowadzenie przepisów pozwalających na wypos</w:t>
      </w:r>
      <w:r w:rsidR="00E85F21">
        <w:rPr>
          <w:rFonts w:ascii="Times New Roman" w:hAnsi="Times New Roman" w:cs="Times New Roman"/>
          <w:sz w:val="24"/>
          <w:szCs w:val="24"/>
        </w:rPr>
        <w:t>ażenie Prezesa UOKiK w </w:t>
      </w:r>
      <w:r w:rsidRPr="00140CD5">
        <w:rPr>
          <w:rFonts w:ascii="Times New Roman" w:hAnsi="Times New Roman" w:cs="Times New Roman"/>
          <w:sz w:val="24"/>
          <w:szCs w:val="24"/>
        </w:rPr>
        <w:t>kompetencję do nabywania towarów lub u</w:t>
      </w:r>
      <w:r w:rsidR="00E85F21">
        <w:rPr>
          <w:rFonts w:ascii="Times New Roman" w:hAnsi="Times New Roman" w:cs="Times New Roman"/>
          <w:sz w:val="24"/>
          <w:szCs w:val="24"/>
        </w:rPr>
        <w:t>sług w tym, w razie potrzeby, z </w:t>
      </w:r>
      <w:r w:rsidRPr="00140CD5">
        <w:rPr>
          <w:rFonts w:ascii="Times New Roman" w:hAnsi="Times New Roman" w:cs="Times New Roman"/>
          <w:sz w:val="24"/>
          <w:szCs w:val="24"/>
        </w:rPr>
        <w:t xml:space="preserve">wykorzystaniem możliwości przedstawienia się jako inna osoba/ukrycia tożsamości. </w:t>
      </w:r>
      <w:r w:rsidR="00E85F21">
        <w:rPr>
          <w:rFonts w:ascii="Times New Roman" w:hAnsi="Times New Roman" w:cs="Times New Roman"/>
          <w:sz w:val="24"/>
          <w:szCs w:val="24"/>
        </w:rPr>
        <w:t>Z </w:t>
      </w:r>
      <w:r w:rsidR="002748B9" w:rsidRPr="00140CD5">
        <w:rPr>
          <w:rFonts w:ascii="Times New Roman" w:hAnsi="Times New Roman" w:cs="Times New Roman"/>
          <w:sz w:val="24"/>
          <w:szCs w:val="24"/>
        </w:rPr>
        <w:t>uwagi na charakter wykonywanych czynności, wymagający przynajmniej ukrycia tożsamości kontrolującego lub przybrania fałszywej tożsamości</w:t>
      </w:r>
      <w:r w:rsidR="008C5922" w:rsidRPr="00140CD5">
        <w:rPr>
          <w:rFonts w:ascii="Times New Roman" w:hAnsi="Times New Roman" w:cs="Times New Roman"/>
          <w:sz w:val="24"/>
          <w:szCs w:val="24"/>
        </w:rPr>
        <w:t xml:space="preserve">, </w:t>
      </w:r>
      <w:r w:rsidR="00014D60" w:rsidRPr="00140CD5">
        <w:rPr>
          <w:rFonts w:ascii="Times New Roman" w:hAnsi="Times New Roman" w:cs="Times New Roman"/>
          <w:sz w:val="24"/>
          <w:szCs w:val="24"/>
        </w:rPr>
        <w:t>p</w:t>
      </w:r>
      <w:r w:rsidRPr="00140CD5">
        <w:rPr>
          <w:rFonts w:ascii="Times New Roman" w:hAnsi="Times New Roman" w:cs="Times New Roman"/>
          <w:sz w:val="24"/>
          <w:szCs w:val="24"/>
        </w:rPr>
        <w:t xml:space="preserve">roponuje się, aby </w:t>
      </w:r>
      <w:r w:rsidR="002748B9" w:rsidRPr="00140CD5">
        <w:rPr>
          <w:rFonts w:ascii="Times New Roman" w:hAnsi="Times New Roman" w:cs="Times New Roman"/>
          <w:sz w:val="24"/>
          <w:szCs w:val="24"/>
        </w:rPr>
        <w:t>Pre</w:t>
      </w:r>
      <w:r w:rsidR="00826290" w:rsidRPr="00140CD5">
        <w:rPr>
          <w:rFonts w:ascii="Times New Roman" w:hAnsi="Times New Roman" w:cs="Times New Roman"/>
          <w:sz w:val="24"/>
          <w:szCs w:val="24"/>
        </w:rPr>
        <w:t>zes UOKiK, w przypadku gdy wymagają tego okoliczności, w szczególności gdy konieczne jest posługiwanie się dokumentami, które uniemożliwiają ustalenie danych identyfikujących kontrolującego, mógł zwrócić się o pomoc Policji</w:t>
      </w:r>
      <w:r w:rsidR="00BF6B8D">
        <w:rPr>
          <w:rFonts w:ascii="Times New Roman" w:hAnsi="Times New Roman" w:cs="Times New Roman"/>
          <w:sz w:val="24"/>
          <w:szCs w:val="24"/>
        </w:rPr>
        <w:t xml:space="preserve"> przy przeprowadzeniu czynności</w:t>
      </w:r>
      <w:r w:rsidR="00826290" w:rsidRPr="00140CD5">
        <w:rPr>
          <w:rFonts w:ascii="Times New Roman" w:hAnsi="Times New Roman" w:cs="Times New Roman"/>
          <w:sz w:val="24"/>
          <w:szCs w:val="24"/>
        </w:rPr>
        <w:t xml:space="preserve">. </w:t>
      </w:r>
    </w:p>
    <w:p w14:paraId="7C173711" w14:textId="35753293" w:rsidR="00014D60" w:rsidRPr="00140CD5" w:rsidRDefault="00826290" w:rsidP="00140CD5">
      <w:pPr>
        <w:pStyle w:val="Nagwek1"/>
        <w:shd w:val="clear" w:color="auto" w:fill="FFFFFF"/>
        <w:spacing w:before="0" w:beforeAutospacing="0" w:after="120" w:afterAutospacing="0" w:line="276" w:lineRule="auto"/>
        <w:jc w:val="both"/>
        <w:rPr>
          <w:b w:val="0"/>
          <w:sz w:val="24"/>
          <w:szCs w:val="24"/>
        </w:rPr>
      </w:pPr>
      <w:r w:rsidRPr="00140CD5">
        <w:rPr>
          <w:b w:val="0"/>
          <w:sz w:val="24"/>
          <w:szCs w:val="24"/>
        </w:rPr>
        <w:t xml:space="preserve">Zgodnie z projektowanym art. 105ib w celu uzyskania </w:t>
      </w:r>
      <w:r w:rsidR="004F2737" w:rsidRPr="00140CD5">
        <w:rPr>
          <w:b w:val="0"/>
          <w:sz w:val="24"/>
          <w:szCs w:val="24"/>
        </w:rPr>
        <w:t>informacji mogących stanowić dowód w sprawie praktyk naruszających zb</w:t>
      </w:r>
      <w:r w:rsidR="00F34B90">
        <w:rPr>
          <w:b w:val="0"/>
          <w:sz w:val="24"/>
          <w:szCs w:val="24"/>
        </w:rPr>
        <w:t>i</w:t>
      </w:r>
      <w:r w:rsidR="004F2737" w:rsidRPr="00140CD5">
        <w:rPr>
          <w:b w:val="0"/>
          <w:sz w:val="24"/>
          <w:szCs w:val="24"/>
        </w:rPr>
        <w:t>orowe interesy konsumentów</w:t>
      </w:r>
      <w:r w:rsidR="00014D60" w:rsidRPr="00140CD5">
        <w:rPr>
          <w:b w:val="0"/>
          <w:sz w:val="24"/>
          <w:szCs w:val="24"/>
        </w:rPr>
        <w:t>,</w:t>
      </w:r>
      <w:r w:rsidR="004F2737" w:rsidRPr="00140CD5">
        <w:rPr>
          <w:b w:val="0"/>
          <w:sz w:val="24"/>
          <w:szCs w:val="24"/>
        </w:rPr>
        <w:t xml:space="preserve"> kontrolujący ma prawo do zakupu towarów. </w:t>
      </w:r>
    </w:p>
    <w:p w14:paraId="3D4B708B" w14:textId="77777777" w:rsidR="00AA1588" w:rsidRDefault="004F2737" w:rsidP="00140CD5">
      <w:pPr>
        <w:pStyle w:val="Nagwek1"/>
        <w:shd w:val="clear" w:color="auto" w:fill="FFFFFF"/>
        <w:spacing w:before="0" w:beforeAutospacing="0" w:after="120" w:afterAutospacing="0" w:line="276" w:lineRule="auto"/>
        <w:jc w:val="both"/>
        <w:rPr>
          <w:b w:val="0"/>
          <w:color w:val="000000" w:themeColor="text1"/>
          <w:sz w:val="24"/>
          <w:szCs w:val="24"/>
          <w:shd w:val="clear" w:color="auto" w:fill="FFFFFF"/>
        </w:rPr>
      </w:pPr>
      <w:r w:rsidRPr="00140CD5">
        <w:rPr>
          <w:b w:val="0"/>
          <w:sz w:val="24"/>
          <w:szCs w:val="24"/>
        </w:rPr>
        <w:t xml:space="preserve">Przy wykonywaniu czynności kontrolujący będzie mógł posługiwać się </w:t>
      </w:r>
      <w:r w:rsidRPr="00140CD5">
        <w:rPr>
          <w:b w:val="0"/>
          <w:color w:val="333333"/>
          <w:sz w:val="24"/>
          <w:szCs w:val="24"/>
          <w:shd w:val="clear" w:color="auto" w:fill="FFFFFF"/>
        </w:rPr>
        <w:t xml:space="preserve">dokumentami publicznymi w </w:t>
      </w:r>
      <w:r w:rsidRPr="00140CD5">
        <w:rPr>
          <w:b w:val="0"/>
          <w:color w:val="000000" w:themeColor="text1"/>
          <w:sz w:val="24"/>
          <w:szCs w:val="24"/>
          <w:shd w:val="clear" w:color="auto" w:fill="FFFFFF"/>
        </w:rPr>
        <w:t>rozu</w:t>
      </w:r>
      <w:bookmarkStart w:id="6" w:name="highlightHit_249"/>
      <w:bookmarkEnd w:id="6"/>
      <w:r w:rsidR="00014D60" w:rsidRPr="00140CD5">
        <w:rPr>
          <w:b w:val="0"/>
          <w:color w:val="000000" w:themeColor="text1"/>
          <w:sz w:val="24"/>
          <w:szCs w:val="24"/>
          <w:shd w:val="clear" w:color="auto" w:fill="FFFFFF"/>
        </w:rPr>
        <w:t>mieniu ustawy dnia 22 listopada 2018 </w:t>
      </w:r>
      <w:r w:rsidRPr="00140CD5">
        <w:rPr>
          <w:b w:val="0"/>
          <w:color w:val="000000" w:themeColor="text1"/>
          <w:sz w:val="24"/>
          <w:szCs w:val="24"/>
          <w:shd w:val="clear" w:color="auto" w:fill="FFFFFF"/>
        </w:rPr>
        <w:t>r.</w:t>
      </w:r>
      <w:bookmarkStart w:id="7" w:name="highlightHit_250"/>
      <w:bookmarkEnd w:id="7"/>
      <w:r w:rsidR="00014D60" w:rsidRPr="00140CD5">
        <w:rPr>
          <w:b w:val="0"/>
          <w:color w:val="000000" w:themeColor="text1"/>
          <w:sz w:val="24"/>
          <w:szCs w:val="24"/>
          <w:shd w:val="clear" w:color="auto" w:fill="FFFFFF"/>
        </w:rPr>
        <w:t xml:space="preserve"> o</w:t>
      </w:r>
      <w:r w:rsidRPr="00140CD5">
        <w:rPr>
          <w:b w:val="0"/>
          <w:color w:val="000000" w:themeColor="text1"/>
          <w:sz w:val="24"/>
          <w:szCs w:val="24"/>
          <w:shd w:val="clear" w:color="auto" w:fill="FFFFFF"/>
        </w:rPr>
        <w:t> dokumentach publicznych</w:t>
      </w:r>
      <w:r w:rsidR="003042BB">
        <w:rPr>
          <w:b w:val="0"/>
          <w:color w:val="000000" w:themeColor="text1"/>
          <w:sz w:val="24"/>
          <w:szCs w:val="24"/>
          <w:shd w:val="clear" w:color="auto" w:fill="FFFFFF"/>
        </w:rPr>
        <w:t xml:space="preserve"> </w:t>
      </w:r>
      <w:r w:rsidR="00AA1588">
        <w:rPr>
          <w:b w:val="0"/>
          <w:color w:val="000000" w:themeColor="text1"/>
          <w:sz w:val="24"/>
          <w:szCs w:val="24"/>
          <w:shd w:val="clear" w:color="auto" w:fill="FFFFFF"/>
        </w:rPr>
        <w:t>(Dz. U. z 2020 r. poz. 725)</w:t>
      </w:r>
      <w:r w:rsidRPr="00140CD5">
        <w:rPr>
          <w:b w:val="0"/>
          <w:color w:val="000000" w:themeColor="text1"/>
          <w:sz w:val="24"/>
          <w:szCs w:val="24"/>
          <w:shd w:val="clear" w:color="auto" w:fill="FFFFFF"/>
        </w:rPr>
        <w:t xml:space="preserve"> lub innymi dokumentami, które uniemożliwiają ustalenie danych identyfikujących kontrolującego oraz środków, którymi posługuje się przy wykonywaniu zadań służbowych. Kontrolujący będzie mógł także posługiwać się środkami identyfikacji elektronicznej zawierającymi dane inne niż identyfikujące kontrolującego. W związku z wyposażeniem kontrolujących w  możliwość posługiwania się dokumentami lub środkami identyfikacji elektronicznej uniemożliwiającymi ustalenie danych identyfikujących, konieczne jest wyłączenie odpowiedzialności karnej za posługiwanie się takimi dokumentami i środkami identyfikacji elektronicznej. Wyłączenie odpowiedzialności karnej dotyczyć będzie także </w:t>
      </w:r>
      <w:r w:rsidR="00720AC7" w:rsidRPr="00140CD5">
        <w:rPr>
          <w:b w:val="0"/>
          <w:color w:val="000000" w:themeColor="text1"/>
          <w:sz w:val="24"/>
          <w:szCs w:val="24"/>
          <w:shd w:val="clear" w:color="auto" w:fill="FFFFFF"/>
        </w:rPr>
        <w:t xml:space="preserve">osób polecających sporządzenie dokumentów lub wydawanie środków identyfikacji elektronicznej uniemożliwiających ustalenie danych identyfikujących kontrolującego. </w:t>
      </w:r>
    </w:p>
    <w:p w14:paraId="6D8D1D36" w14:textId="115DE36D" w:rsidR="00812F06" w:rsidRPr="00812F06" w:rsidRDefault="00720AC7" w:rsidP="00812F06">
      <w:pPr>
        <w:spacing w:after="120" w:line="273" w:lineRule="auto"/>
        <w:jc w:val="both"/>
        <w:rPr>
          <w:rFonts w:ascii="Times New Roman" w:hAnsi="Times New Roman" w:cs="Times New Roman"/>
          <w:sz w:val="24"/>
          <w:szCs w:val="24"/>
          <w:shd w:val="clear" w:color="auto" w:fill="FFFFFF"/>
        </w:rPr>
      </w:pPr>
      <w:r w:rsidRPr="00812F06">
        <w:rPr>
          <w:rFonts w:ascii="Times New Roman" w:hAnsi="Times New Roman" w:cs="Times New Roman"/>
          <w:color w:val="000000" w:themeColor="text1"/>
          <w:sz w:val="24"/>
          <w:szCs w:val="24"/>
          <w:shd w:val="clear" w:color="auto" w:fill="FFFFFF"/>
        </w:rPr>
        <w:t>Zgodnie z</w:t>
      </w:r>
      <w:r w:rsidR="00E85F21" w:rsidRPr="00812F06">
        <w:rPr>
          <w:rFonts w:ascii="Times New Roman" w:hAnsi="Times New Roman" w:cs="Times New Roman"/>
          <w:color w:val="000000" w:themeColor="text1"/>
          <w:sz w:val="24"/>
          <w:szCs w:val="24"/>
          <w:shd w:val="clear" w:color="auto" w:fill="FFFFFF"/>
        </w:rPr>
        <w:t> </w:t>
      </w:r>
      <w:r w:rsidRPr="00812F06">
        <w:rPr>
          <w:rFonts w:ascii="Times New Roman" w:hAnsi="Times New Roman" w:cs="Times New Roman"/>
          <w:color w:val="000000" w:themeColor="text1"/>
          <w:sz w:val="24"/>
          <w:szCs w:val="24"/>
          <w:shd w:val="clear" w:color="auto" w:fill="FFFFFF"/>
        </w:rPr>
        <w:t>projektowanym art. 105ib Prezes U</w:t>
      </w:r>
      <w:r w:rsidR="00413A34" w:rsidRPr="00812F06">
        <w:rPr>
          <w:rFonts w:ascii="Times New Roman" w:hAnsi="Times New Roman" w:cs="Times New Roman"/>
          <w:color w:val="000000" w:themeColor="text1"/>
          <w:sz w:val="24"/>
          <w:szCs w:val="24"/>
          <w:shd w:val="clear" w:color="auto" w:fill="FFFFFF"/>
        </w:rPr>
        <w:t>OKiK</w:t>
      </w:r>
      <w:r w:rsidRPr="00812F06">
        <w:rPr>
          <w:rFonts w:ascii="Times New Roman" w:hAnsi="Times New Roman" w:cs="Times New Roman"/>
          <w:color w:val="000000" w:themeColor="text1"/>
          <w:sz w:val="24"/>
          <w:szCs w:val="24"/>
          <w:shd w:val="clear" w:color="auto" w:fill="FFFFFF"/>
        </w:rPr>
        <w:t xml:space="preserve"> będzie mógł się zwr</w:t>
      </w:r>
      <w:r w:rsidR="00BF6B8D" w:rsidRPr="00812F06">
        <w:rPr>
          <w:rFonts w:ascii="Times New Roman" w:hAnsi="Times New Roman" w:cs="Times New Roman"/>
          <w:color w:val="000000" w:themeColor="text1"/>
          <w:sz w:val="24"/>
          <w:szCs w:val="24"/>
          <w:shd w:val="clear" w:color="auto" w:fill="FFFFFF"/>
        </w:rPr>
        <w:t xml:space="preserve">ócić do Szefa Agencji Bezpieczeństwa Wewnętrznego </w:t>
      </w:r>
      <w:r w:rsidRPr="00812F06">
        <w:rPr>
          <w:rFonts w:ascii="Times New Roman" w:hAnsi="Times New Roman" w:cs="Times New Roman"/>
          <w:color w:val="000000" w:themeColor="text1"/>
          <w:sz w:val="24"/>
          <w:szCs w:val="24"/>
          <w:shd w:val="clear" w:color="auto" w:fill="FFFFFF"/>
        </w:rPr>
        <w:t>o sporządzenie dokumentów lub wydanie środków identyfikacji elektronicznej uniemożliwiających ustalenie danych identyfi</w:t>
      </w:r>
      <w:r w:rsidR="00812F06" w:rsidRPr="00812F06">
        <w:rPr>
          <w:rFonts w:ascii="Times New Roman" w:hAnsi="Times New Roman" w:cs="Times New Roman"/>
          <w:color w:val="000000" w:themeColor="text1"/>
          <w:sz w:val="24"/>
          <w:szCs w:val="24"/>
          <w:shd w:val="clear" w:color="auto" w:fill="FFFFFF"/>
        </w:rPr>
        <w:t xml:space="preserve">kujących kontrolującego, </w:t>
      </w:r>
      <w:r w:rsidR="00812F06" w:rsidRPr="00812F06">
        <w:rPr>
          <w:rFonts w:ascii="Times New Roman" w:hAnsi="Times New Roman" w:cs="Times New Roman"/>
          <w:sz w:val="24"/>
          <w:szCs w:val="24"/>
          <w:shd w:val="clear" w:color="auto" w:fill="FFFFFF"/>
        </w:rPr>
        <w:t xml:space="preserve">zgodnie z regulacją przepisu art. 35 ust. 4 ustawy z dnia 22 listopada 2019 r. o Agencji Bezpieczeństwa Wewnętrznego oraz Agencji Wywiadu </w:t>
      </w:r>
      <w:r w:rsidR="00812F06" w:rsidRPr="00812F06">
        <w:rPr>
          <w:rFonts w:ascii="Times New Roman" w:hAnsi="Times New Roman" w:cs="Times New Roman"/>
          <w:sz w:val="24"/>
          <w:szCs w:val="24"/>
        </w:rPr>
        <w:t>(Dz. U. z 2020 poz. 27</w:t>
      </w:r>
      <w:r w:rsidR="00812F06">
        <w:rPr>
          <w:rFonts w:ascii="Times New Roman" w:hAnsi="Times New Roman" w:cs="Times New Roman"/>
          <w:sz w:val="24"/>
          <w:szCs w:val="24"/>
        </w:rPr>
        <w:t>)</w:t>
      </w:r>
      <w:r w:rsidR="00812F06" w:rsidRPr="00812F06">
        <w:rPr>
          <w:rFonts w:ascii="Times New Roman" w:hAnsi="Times New Roman" w:cs="Times New Roman"/>
          <w:sz w:val="24"/>
          <w:szCs w:val="24"/>
          <w:shd w:val="clear" w:color="auto" w:fill="FFFFFF"/>
        </w:rPr>
        <w:t>.</w:t>
      </w:r>
    </w:p>
    <w:p w14:paraId="21A883C9" w14:textId="2F83CCD2" w:rsidR="008C5922" w:rsidRPr="00812F06" w:rsidRDefault="008C5922" w:rsidP="00812F06">
      <w:pPr>
        <w:pStyle w:val="Nagwek1"/>
        <w:shd w:val="clear" w:color="auto" w:fill="FFFFFF"/>
        <w:spacing w:before="0" w:beforeAutospacing="0" w:after="120" w:afterAutospacing="0" w:line="276" w:lineRule="auto"/>
        <w:jc w:val="both"/>
        <w:rPr>
          <w:b w:val="0"/>
          <w:color w:val="000000" w:themeColor="text1"/>
          <w:sz w:val="24"/>
          <w:szCs w:val="24"/>
          <w:shd w:val="clear" w:color="auto" w:fill="FFFFFF"/>
        </w:rPr>
      </w:pPr>
      <w:r w:rsidRPr="00812F06">
        <w:rPr>
          <w:b w:val="0"/>
          <w:color w:val="000000" w:themeColor="text1"/>
          <w:sz w:val="24"/>
          <w:szCs w:val="24"/>
          <w:shd w:val="clear" w:color="auto" w:fill="FFFFFF"/>
        </w:rPr>
        <w:lastRenderedPageBreak/>
        <w:t>Prezes UOKiK określi termin, w którym takie dokumenty powinny zostać wydane uwzględniający charakter czynności, w szczególności konieczność ich pilnego przeprowadzenia. Wydanie przedmiotowych dokumentów w odpowiednio krótkim terminie, czasami jest konieczne, z uwagi na potrzebę szybkiego zweryfikowania pojawiających s</w:t>
      </w:r>
      <w:r w:rsidR="00E85F21" w:rsidRPr="00812F06">
        <w:rPr>
          <w:b w:val="0"/>
          <w:color w:val="000000" w:themeColor="text1"/>
          <w:sz w:val="24"/>
          <w:szCs w:val="24"/>
          <w:shd w:val="clear" w:color="auto" w:fill="FFFFFF"/>
        </w:rPr>
        <w:t>ię informacji nt. naruszenia, w </w:t>
      </w:r>
      <w:r w:rsidRPr="00812F06">
        <w:rPr>
          <w:b w:val="0"/>
          <w:color w:val="000000" w:themeColor="text1"/>
          <w:sz w:val="24"/>
          <w:szCs w:val="24"/>
          <w:shd w:val="clear" w:color="auto" w:fill="FFFFFF"/>
        </w:rPr>
        <w:t xml:space="preserve">szczególności gdy znane są terminy zaistnienia określonych zdarzeń np. pokazów. </w:t>
      </w:r>
    </w:p>
    <w:p w14:paraId="58D46C31" w14:textId="107A7896" w:rsidR="00720AC7" w:rsidRPr="00812F06" w:rsidRDefault="00812F06" w:rsidP="00812F06">
      <w:pPr>
        <w:pStyle w:val="Nagwek1"/>
        <w:shd w:val="clear" w:color="auto" w:fill="FFFFFF"/>
        <w:spacing w:before="0" w:beforeAutospacing="0" w:after="120" w:afterAutospacing="0" w:line="276" w:lineRule="auto"/>
        <w:jc w:val="both"/>
        <w:rPr>
          <w:b w:val="0"/>
          <w:color w:val="333333"/>
          <w:sz w:val="24"/>
          <w:szCs w:val="24"/>
          <w:shd w:val="clear" w:color="auto" w:fill="FFFFFF"/>
        </w:rPr>
      </w:pPr>
      <w:r w:rsidRPr="00812F06">
        <w:rPr>
          <w:b w:val="0"/>
          <w:sz w:val="24"/>
          <w:szCs w:val="24"/>
        </w:rPr>
        <w:t>Do wydawania, posługiwania się, a także przechowywania dokumentów, o których mow</w:t>
      </w:r>
      <w:r>
        <w:rPr>
          <w:b w:val="0"/>
          <w:sz w:val="24"/>
          <w:szCs w:val="24"/>
        </w:rPr>
        <w:t>a w ust. 2 zastosowanie znajdą</w:t>
      </w:r>
      <w:r w:rsidRPr="00812F06">
        <w:rPr>
          <w:b w:val="0"/>
          <w:sz w:val="24"/>
          <w:szCs w:val="24"/>
        </w:rPr>
        <w:t xml:space="preserve"> przepisy wydane na podstawie art. 35 ust. 7 - 9 ustawy z dnia</w:t>
      </w:r>
      <w:r w:rsidRPr="00812F06">
        <w:rPr>
          <w:b w:val="0"/>
          <w:sz w:val="24"/>
          <w:szCs w:val="24"/>
          <w:shd w:val="clear" w:color="auto" w:fill="FFFFFF"/>
        </w:rPr>
        <w:t xml:space="preserve"> 22 listopada 2019 r. o Agencji Bezpieczeństwa Wewnętrznego oraz Agencji Wywiadu</w:t>
      </w:r>
      <w:r w:rsidRPr="00812F06">
        <w:rPr>
          <w:b w:val="0"/>
          <w:sz w:val="24"/>
          <w:szCs w:val="24"/>
        </w:rPr>
        <w:t>.</w:t>
      </w:r>
    </w:p>
    <w:p w14:paraId="68477A27" w14:textId="709D1762" w:rsidR="00042D7E" w:rsidRPr="00140CD5" w:rsidRDefault="00042D7E" w:rsidP="00812F06">
      <w:pPr>
        <w:pStyle w:val="Nagwek1"/>
        <w:shd w:val="clear" w:color="auto" w:fill="FFFFFF"/>
        <w:spacing w:before="0" w:beforeAutospacing="0" w:after="120" w:afterAutospacing="0" w:line="276" w:lineRule="auto"/>
        <w:jc w:val="both"/>
        <w:rPr>
          <w:b w:val="0"/>
          <w:color w:val="000000" w:themeColor="text1"/>
          <w:sz w:val="24"/>
          <w:szCs w:val="24"/>
        </w:rPr>
      </w:pPr>
      <w:r w:rsidRPr="00140CD5">
        <w:rPr>
          <w:b w:val="0"/>
          <w:color w:val="000000" w:themeColor="text1"/>
          <w:sz w:val="24"/>
          <w:szCs w:val="24"/>
          <w:shd w:val="clear" w:color="auto" w:fill="FFFFFF"/>
        </w:rPr>
        <w:t>Zgodnie z projektowanym art. 105ib ust. 7 zastosowanie instytucji zakupu towarów</w:t>
      </w:r>
      <w:r w:rsidRPr="00140CD5">
        <w:rPr>
          <w:b w:val="0"/>
          <w:color w:val="000000" w:themeColor="text1"/>
          <w:sz w:val="24"/>
          <w:szCs w:val="24"/>
        </w:rPr>
        <w:t xml:space="preserve"> lub usług, z wykorzystaniem możliwości przedstawienia się jako inna osoba/ukrycia tożsamości</w:t>
      </w:r>
      <w:r w:rsidR="00014D60" w:rsidRPr="00140CD5">
        <w:rPr>
          <w:b w:val="0"/>
          <w:color w:val="000000" w:themeColor="text1"/>
          <w:sz w:val="24"/>
          <w:szCs w:val="24"/>
        </w:rPr>
        <w:t>,</w:t>
      </w:r>
      <w:r w:rsidRPr="00140CD5">
        <w:rPr>
          <w:b w:val="0"/>
          <w:color w:val="000000" w:themeColor="text1"/>
          <w:sz w:val="24"/>
          <w:szCs w:val="24"/>
        </w:rPr>
        <w:t xml:space="preserve"> będzie możliwe </w:t>
      </w:r>
      <w:r w:rsidR="00014D60" w:rsidRPr="00140CD5">
        <w:rPr>
          <w:b w:val="0"/>
          <w:color w:val="000000" w:themeColor="text1"/>
          <w:sz w:val="24"/>
          <w:szCs w:val="24"/>
        </w:rPr>
        <w:t xml:space="preserve">jedynie </w:t>
      </w:r>
      <w:r w:rsidRPr="00140CD5">
        <w:rPr>
          <w:b w:val="0"/>
          <w:color w:val="000000" w:themeColor="text1"/>
          <w:sz w:val="24"/>
          <w:szCs w:val="24"/>
        </w:rPr>
        <w:t>po uzyskaniu zgody sądu konkurencji i konsumentów, udzielonej na wniosek Prezesa U</w:t>
      </w:r>
      <w:r w:rsidR="00230779">
        <w:rPr>
          <w:b w:val="0"/>
          <w:color w:val="000000" w:themeColor="text1"/>
          <w:sz w:val="24"/>
          <w:szCs w:val="24"/>
        </w:rPr>
        <w:t>OKiK</w:t>
      </w:r>
      <w:r w:rsidRPr="00140CD5">
        <w:rPr>
          <w:b w:val="0"/>
          <w:color w:val="000000" w:themeColor="text1"/>
          <w:sz w:val="24"/>
          <w:szCs w:val="24"/>
        </w:rPr>
        <w:t xml:space="preserve">. SOKiK w ciągu 48 godzin będzie wydawał postanowienie w tej materii. Taka zgoda będzie wymagana również w przypadku rejestrowania dźwięku i obrazu bez informowania kontrolowanego. </w:t>
      </w:r>
    </w:p>
    <w:p w14:paraId="192608A8" w14:textId="77777777" w:rsidR="00042D7E" w:rsidRPr="00140CD5" w:rsidRDefault="00042D7E" w:rsidP="00140CD5">
      <w:pPr>
        <w:pStyle w:val="Nagwek1"/>
        <w:shd w:val="clear" w:color="auto" w:fill="FFFFFF"/>
        <w:spacing w:before="0" w:beforeAutospacing="0" w:after="120" w:afterAutospacing="0" w:line="276" w:lineRule="auto"/>
        <w:jc w:val="both"/>
        <w:rPr>
          <w:b w:val="0"/>
          <w:sz w:val="24"/>
          <w:szCs w:val="24"/>
        </w:rPr>
      </w:pPr>
      <w:r w:rsidRPr="00306545">
        <w:rPr>
          <w:b w:val="0"/>
          <w:color w:val="000000" w:themeColor="text1"/>
          <w:sz w:val="24"/>
          <w:szCs w:val="24"/>
        </w:rPr>
        <w:t xml:space="preserve">Projektowany art. 105ib </w:t>
      </w:r>
      <w:r w:rsidRPr="00306545">
        <w:rPr>
          <w:b w:val="0"/>
          <w:sz w:val="24"/>
          <w:szCs w:val="24"/>
        </w:rPr>
        <w:t xml:space="preserve">ust. 8 przyznaje kontrolowanemu  prawo do zażalenia do SOKiK </w:t>
      </w:r>
      <w:r w:rsidRPr="00306545">
        <w:rPr>
          <w:b w:val="0"/>
          <w:color w:val="333333"/>
          <w:sz w:val="24"/>
          <w:szCs w:val="24"/>
          <w:shd w:val="clear" w:color="auto" w:fill="FFFFFF"/>
        </w:rPr>
        <w:t xml:space="preserve">na </w:t>
      </w:r>
      <w:r w:rsidRPr="00306545">
        <w:rPr>
          <w:b w:val="0"/>
          <w:color w:val="000000" w:themeColor="text1"/>
          <w:sz w:val="24"/>
          <w:szCs w:val="24"/>
          <w:shd w:val="clear" w:color="auto" w:fill="FFFFFF"/>
        </w:rPr>
        <w:t>sposób prowadzenia czynności zakupu towaru lub rejestracji dźwięku lub obrazu w terminie 7 dni od powzięcia wiadomości o ich stosowaniu.</w:t>
      </w:r>
      <w:r w:rsidRPr="00140CD5">
        <w:rPr>
          <w:b w:val="0"/>
          <w:color w:val="000000" w:themeColor="text1"/>
          <w:sz w:val="24"/>
          <w:szCs w:val="24"/>
          <w:shd w:val="clear" w:color="auto" w:fill="FFFFFF"/>
        </w:rPr>
        <w:t xml:space="preserve"> </w:t>
      </w:r>
      <w:r w:rsidR="008C5A92" w:rsidRPr="00140CD5">
        <w:rPr>
          <w:b w:val="0"/>
          <w:color w:val="000000" w:themeColor="text1"/>
          <w:sz w:val="24"/>
          <w:szCs w:val="24"/>
          <w:shd w:val="clear" w:color="auto" w:fill="FFFFFF"/>
        </w:rPr>
        <w:t xml:space="preserve">Regulacja ma na celu zabezpieczenie praw kontrolowanego w postępowaniu. Podobnie jak obowiązek </w:t>
      </w:r>
      <w:r w:rsidR="008C5A92" w:rsidRPr="00140CD5">
        <w:rPr>
          <w:b w:val="0"/>
          <w:color w:val="000000" w:themeColor="text1"/>
          <w:sz w:val="24"/>
          <w:szCs w:val="24"/>
        </w:rPr>
        <w:t xml:space="preserve">doręczenia kontrolowanemu lub </w:t>
      </w:r>
      <w:r w:rsidR="008C5A92" w:rsidRPr="00140CD5">
        <w:rPr>
          <w:b w:val="0"/>
          <w:sz w:val="24"/>
          <w:szCs w:val="24"/>
        </w:rPr>
        <w:t>osobie do tego upoważnionej upoważnienia do przeprowadzenia kontroli oraz okazania legitymacji</w:t>
      </w:r>
      <w:r w:rsidR="00014D60" w:rsidRPr="00140CD5">
        <w:rPr>
          <w:b w:val="0"/>
          <w:sz w:val="24"/>
          <w:szCs w:val="24"/>
        </w:rPr>
        <w:t xml:space="preserve"> służbowej</w:t>
      </w:r>
      <w:r w:rsidR="008C5A92" w:rsidRPr="00140CD5">
        <w:rPr>
          <w:b w:val="0"/>
          <w:sz w:val="24"/>
          <w:szCs w:val="24"/>
        </w:rPr>
        <w:t>, a w przypadku  osoby upoważnionej do udziału w kontroli, o których mowa w art. 105 a ust. 2 pkt 2 i 3 u</w:t>
      </w:r>
      <w:r w:rsidR="003E6467" w:rsidRPr="00140CD5">
        <w:rPr>
          <w:b w:val="0"/>
          <w:sz w:val="24"/>
          <w:szCs w:val="24"/>
        </w:rPr>
        <w:t xml:space="preserve">stawy </w:t>
      </w:r>
      <w:r w:rsidR="008C5A92" w:rsidRPr="00140CD5">
        <w:rPr>
          <w:b w:val="0"/>
          <w:sz w:val="24"/>
          <w:szCs w:val="24"/>
        </w:rPr>
        <w:t>okik</w:t>
      </w:r>
      <w:r w:rsidR="00014D60" w:rsidRPr="00140CD5">
        <w:rPr>
          <w:b w:val="0"/>
          <w:sz w:val="24"/>
          <w:szCs w:val="24"/>
        </w:rPr>
        <w:t>, dowodu osobistego</w:t>
      </w:r>
      <w:r w:rsidR="008C5A92" w:rsidRPr="00140CD5">
        <w:rPr>
          <w:b w:val="0"/>
          <w:sz w:val="24"/>
          <w:szCs w:val="24"/>
        </w:rPr>
        <w:t>, paszport</w:t>
      </w:r>
      <w:r w:rsidR="00014D60" w:rsidRPr="00140CD5">
        <w:rPr>
          <w:b w:val="0"/>
          <w:sz w:val="24"/>
          <w:szCs w:val="24"/>
        </w:rPr>
        <w:t>u lub innego</w:t>
      </w:r>
      <w:r w:rsidR="008C5A92" w:rsidRPr="00140CD5">
        <w:rPr>
          <w:b w:val="0"/>
          <w:sz w:val="24"/>
          <w:szCs w:val="24"/>
        </w:rPr>
        <w:t xml:space="preserve"> dokument</w:t>
      </w:r>
      <w:r w:rsidR="00014D60" w:rsidRPr="00140CD5">
        <w:rPr>
          <w:b w:val="0"/>
          <w:sz w:val="24"/>
          <w:szCs w:val="24"/>
        </w:rPr>
        <w:t>u potwierdzającego</w:t>
      </w:r>
      <w:r w:rsidR="008C5A92" w:rsidRPr="00140CD5">
        <w:rPr>
          <w:b w:val="0"/>
          <w:sz w:val="24"/>
          <w:szCs w:val="24"/>
        </w:rPr>
        <w:t xml:space="preserve"> tożsamość, niezwłocznie po zakończeniu czynności kontrolnych.</w:t>
      </w:r>
    </w:p>
    <w:p w14:paraId="6326CA61" w14:textId="12B543E1" w:rsidR="008C5A92" w:rsidRPr="00140CD5" w:rsidRDefault="00230779" w:rsidP="00140CD5">
      <w:pPr>
        <w:spacing w:after="120" w:line="276" w:lineRule="auto"/>
        <w:jc w:val="both"/>
        <w:rPr>
          <w:rFonts w:ascii="Times New Roman" w:hAnsi="Times New Roman" w:cs="Times New Roman"/>
          <w:sz w:val="24"/>
          <w:szCs w:val="24"/>
        </w:rPr>
      </w:pPr>
      <w:r>
        <w:rPr>
          <w:rFonts w:ascii="Times New Roman" w:hAnsi="Times New Roman" w:cs="Times New Roman"/>
          <w:sz w:val="24"/>
          <w:szCs w:val="24"/>
        </w:rPr>
        <w:t>Projektowany art. 105ib ust. 11</w:t>
      </w:r>
      <w:r w:rsidR="008C5A92" w:rsidRPr="00140CD5">
        <w:rPr>
          <w:rFonts w:ascii="Times New Roman" w:hAnsi="Times New Roman" w:cs="Times New Roman"/>
          <w:sz w:val="24"/>
          <w:szCs w:val="24"/>
        </w:rPr>
        <w:t xml:space="preserve"> wskazuje, że w celu uzyskania informacji mogących stanowić dowód w sprawie praktyk naruszających zbiorowe interesy konsumentów zakupiony towar może być przedmiotem obserwacji, badań, demontażu lub testowan</w:t>
      </w:r>
      <w:r>
        <w:rPr>
          <w:rFonts w:ascii="Times New Roman" w:hAnsi="Times New Roman" w:cs="Times New Roman"/>
          <w:sz w:val="24"/>
          <w:szCs w:val="24"/>
        </w:rPr>
        <w:t>ia. Zgodnie z art. 105ib ust. 12</w:t>
      </w:r>
      <w:r w:rsidR="008C5A92" w:rsidRPr="00140CD5">
        <w:rPr>
          <w:rFonts w:ascii="Times New Roman" w:hAnsi="Times New Roman" w:cs="Times New Roman"/>
          <w:sz w:val="24"/>
          <w:szCs w:val="24"/>
        </w:rPr>
        <w:t xml:space="preserve"> towar podlega zwrotowi jeżeli jest w stanie nienaruszonym, w takim przypadku kwota środków przeznaczonych </w:t>
      </w:r>
      <w:r w:rsidR="00E85F21">
        <w:rPr>
          <w:rFonts w:ascii="Times New Roman" w:hAnsi="Times New Roman" w:cs="Times New Roman"/>
          <w:sz w:val="24"/>
          <w:szCs w:val="24"/>
        </w:rPr>
        <w:t>podlega zwrotowi. A contrario w </w:t>
      </w:r>
      <w:r w:rsidR="008C5A92" w:rsidRPr="00140CD5">
        <w:rPr>
          <w:rFonts w:ascii="Times New Roman" w:hAnsi="Times New Roman" w:cs="Times New Roman"/>
          <w:sz w:val="24"/>
          <w:szCs w:val="24"/>
        </w:rPr>
        <w:t xml:space="preserve">przypadku gdy towar nie nadaje się do zwrotu </w:t>
      </w:r>
      <w:r w:rsidR="00B865A9" w:rsidRPr="00140CD5">
        <w:rPr>
          <w:rFonts w:ascii="Times New Roman" w:hAnsi="Times New Roman" w:cs="Times New Roman"/>
          <w:sz w:val="24"/>
          <w:szCs w:val="24"/>
        </w:rPr>
        <w:t>Prezes U</w:t>
      </w:r>
      <w:r w:rsidR="00413A34" w:rsidRPr="00140CD5">
        <w:rPr>
          <w:rFonts w:ascii="Times New Roman" w:hAnsi="Times New Roman" w:cs="Times New Roman"/>
          <w:sz w:val="24"/>
          <w:szCs w:val="24"/>
        </w:rPr>
        <w:t>OKiK</w:t>
      </w:r>
      <w:r w:rsidR="00B865A9" w:rsidRPr="00140CD5">
        <w:rPr>
          <w:rFonts w:ascii="Times New Roman" w:hAnsi="Times New Roman" w:cs="Times New Roman"/>
          <w:sz w:val="24"/>
          <w:szCs w:val="24"/>
        </w:rPr>
        <w:t xml:space="preserve"> nie uzyskuje zwroty kwoty zapłaconej. </w:t>
      </w:r>
    </w:p>
    <w:p w14:paraId="622ED1AA" w14:textId="5029AF84" w:rsidR="006E1487" w:rsidRPr="00230779" w:rsidRDefault="00230779" w:rsidP="00230779">
      <w:pPr>
        <w:spacing w:after="120" w:line="274" w:lineRule="auto"/>
        <w:jc w:val="both"/>
        <w:rPr>
          <w:rFonts w:ascii="Times New Roman" w:hAnsi="Times New Roman" w:cs="Times New Roman"/>
          <w:sz w:val="24"/>
          <w:szCs w:val="24"/>
        </w:rPr>
      </w:pPr>
      <w:r w:rsidRPr="00230779">
        <w:rPr>
          <w:rFonts w:ascii="Times New Roman" w:hAnsi="Times New Roman" w:cs="Times New Roman"/>
          <w:color w:val="000000" w:themeColor="text1"/>
          <w:sz w:val="24"/>
          <w:szCs w:val="24"/>
          <w:shd w:val="clear" w:color="auto" w:fill="FFFFFF"/>
        </w:rPr>
        <w:t xml:space="preserve">Projektowany art. 105ib ust. 10  stanowi podstawę prawną, w </w:t>
      </w:r>
      <w:r w:rsidRPr="00230779">
        <w:rPr>
          <w:rFonts w:ascii="Times New Roman" w:eastAsia="Times New Roman" w:hAnsi="Times New Roman" w:cs="Times New Roman"/>
          <w:sz w:val="24"/>
          <w:szCs w:val="24"/>
        </w:rPr>
        <w:t xml:space="preserve"> przypadku gdy realizacja czynności, o których mowa w ust. 1 tego przepisu, może wiązać się z ryzykiem zagrożenia życia lub zdrowia kontrolującego albo ujawnienia jego tożsamości, do wystąpienia Prezesa Urzędu z wnioskiem do właściwego miejscowo komendanta Policji o pomoc w ich realizacji.</w:t>
      </w:r>
    </w:p>
    <w:p w14:paraId="392E4C36" w14:textId="77777777" w:rsidR="006E1487" w:rsidRPr="00140CD5" w:rsidRDefault="006E1487" w:rsidP="00140CD5">
      <w:pPr>
        <w:spacing w:after="120" w:line="276" w:lineRule="auto"/>
        <w:jc w:val="both"/>
        <w:rPr>
          <w:rFonts w:ascii="Times New Roman" w:hAnsi="Times New Roman" w:cs="Times New Roman"/>
          <w:sz w:val="24"/>
          <w:szCs w:val="24"/>
        </w:rPr>
      </w:pPr>
      <w:r w:rsidRPr="00140CD5">
        <w:rPr>
          <w:rFonts w:ascii="Times New Roman" w:eastAsia="Times New Roman" w:hAnsi="Times New Roman" w:cs="Times New Roman"/>
          <w:color w:val="000000" w:themeColor="text1"/>
          <w:sz w:val="24"/>
          <w:szCs w:val="24"/>
          <w:lang w:eastAsia="pl-PL"/>
        </w:rPr>
        <w:t xml:space="preserve"> </w:t>
      </w:r>
      <w:r w:rsidRPr="00140CD5">
        <w:rPr>
          <w:rFonts w:ascii="Times New Roman" w:hAnsi="Times New Roman" w:cs="Times New Roman"/>
          <w:sz w:val="24"/>
          <w:szCs w:val="24"/>
        </w:rPr>
        <w:t xml:space="preserve">W zakresie kompetencji do nabywania towarów lub usług z wykorzystaniem możliwości przedstawienia się jako inna osoba/ukrycia tożsamości, zakłada się że, w zależności od konkretnych potrzeb, pracownicy UOKiK wykonywać będą kontrole samodzielnie lub </w:t>
      </w:r>
      <w:r w:rsidRPr="00140CD5">
        <w:rPr>
          <w:rFonts w:ascii="Times New Roman" w:hAnsi="Times New Roman" w:cs="Times New Roman"/>
          <w:sz w:val="24"/>
          <w:szCs w:val="24"/>
        </w:rPr>
        <w:lastRenderedPageBreak/>
        <w:t>we współpracy z Policją. Proponuje się następujące rozwiązania w zakresie realizacji tej kompetencji:</w:t>
      </w:r>
    </w:p>
    <w:p w14:paraId="402E8B35" w14:textId="77777777" w:rsidR="006E1487" w:rsidRPr="00140CD5" w:rsidRDefault="006E1487" w:rsidP="00140CD5">
      <w:pPr>
        <w:pStyle w:val="Akapitzlist"/>
        <w:numPr>
          <w:ilvl w:val="0"/>
          <w:numId w:val="17"/>
        </w:numPr>
        <w:spacing w:after="120" w:line="276" w:lineRule="auto"/>
        <w:jc w:val="both"/>
        <w:rPr>
          <w:rFonts w:ascii="Times New Roman" w:hAnsi="Times New Roman" w:cs="Times New Roman"/>
          <w:sz w:val="24"/>
          <w:szCs w:val="24"/>
        </w:rPr>
      </w:pPr>
      <w:r w:rsidRPr="00140CD5">
        <w:rPr>
          <w:rFonts w:ascii="Times New Roman" w:hAnsi="Times New Roman" w:cs="Times New Roman"/>
          <w:sz w:val="24"/>
          <w:szCs w:val="24"/>
        </w:rPr>
        <w:t xml:space="preserve">przeprowadzenie zakupu samodzielnie przez pracowników UOKiK, lub </w:t>
      </w:r>
    </w:p>
    <w:p w14:paraId="549F570E" w14:textId="77777777" w:rsidR="006E1487" w:rsidRPr="00140CD5" w:rsidRDefault="006E1487" w:rsidP="00140CD5">
      <w:pPr>
        <w:pStyle w:val="Akapitzlist"/>
        <w:numPr>
          <w:ilvl w:val="0"/>
          <w:numId w:val="17"/>
        </w:numPr>
        <w:spacing w:after="120" w:line="276" w:lineRule="auto"/>
        <w:jc w:val="both"/>
        <w:rPr>
          <w:rFonts w:ascii="Times New Roman" w:hAnsi="Times New Roman" w:cs="Times New Roman"/>
          <w:sz w:val="24"/>
          <w:szCs w:val="24"/>
        </w:rPr>
      </w:pPr>
      <w:r w:rsidRPr="00140CD5">
        <w:rPr>
          <w:rFonts w:ascii="Times New Roman" w:hAnsi="Times New Roman" w:cs="Times New Roman"/>
          <w:sz w:val="24"/>
          <w:szCs w:val="24"/>
        </w:rPr>
        <w:t>przeprowadzenie zakupu z udziałem Policji.</w:t>
      </w:r>
    </w:p>
    <w:p w14:paraId="7FDB9603" w14:textId="77777777" w:rsidR="005F7267" w:rsidRPr="00140CD5" w:rsidRDefault="006E1487" w:rsidP="00140CD5">
      <w:pPr>
        <w:shd w:val="clear" w:color="auto" w:fill="FFFFFF"/>
        <w:spacing w:after="120" w:line="276" w:lineRule="auto"/>
        <w:jc w:val="both"/>
        <w:rPr>
          <w:rFonts w:ascii="Times New Roman" w:hAnsi="Times New Roman" w:cs="Times New Roman"/>
          <w:sz w:val="24"/>
          <w:szCs w:val="24"/>
        </w:rPr>
      </w:pPr>
      <w:r w:rsidRPr="00140CD5">
        <w:rPr>
          <w:rFonts w:ascii="Times New Roman" w:hAnsi="Times New Roman" w:cs="Times New Roman"/>
          <w:sz w:val="24"/>
          <w:szCs w:val="24"/>
        </w:rPr>
        <w:t xml:space="preserve">Czynności wykonywane przez funkcjonariuszy Policji obejmować będą jedynie sam zakup z zastosowaniem ukrytej lub </w:t>
      </w:r>
      <w:r w:rsidR="005F7267" w:rsidRPr="00140CD5">
        <w:rPr>
          <w:rFonts w:ascii="Times New Roman" w:hAnsi="Times New Roman" w:cs="Times New Roman"/>
          <w:sz w:val="24"/>
          <w:szCs w:val="24"/>
        </w:rPr>
        <w:t>przybranej</w:t>
      </w:r>
      <w:r w:rsidRPr="00140CD5">
        <w:rPr>
          <w:rFonts w:ascii="Times New Roman" w:hAnsi="Times New Roman" w:cs="Times New Roman"/>
          <w:sz w:val="24"/>
          <w:szCs w:val="24"/>
        </w:rPr>
        <w:t xml:space="preserve"> tożsamości. Funkcjonariusze nie będą zaangażowani w testowanie, czy jakąkolwiek ocenę produktów lub usług, ze względu na fakt, że taka ocena wymaga posiadania wiedzy specjalistycznej. Dodatkowo warto podkreślić, że wprowadzana instytucja znajdzie zastosowanie jedynie w przypadku podejrzenia najbardziej newralgicznych naruszeń, o potencjalnie dużej skali</w:t>
      </w:r>
      <w:r w:rsidR="00AB5036" w:rsidRPr="00140CD5">
        <w:rPr>
          <w:rFonts w:ascii="Times New Roman" w:hAnsi="Times New Roman" w:cs="Times New Roman"/>
          <w:sz w:val="24"/>
          <w:szCs w:val="24"/>
        </w:rPr>
        <w:t xml:space="preserve">, </w:t>
      </w:r>
      <w:r w:rsidRPr="00140CD5">
        <w:rPr>
          <w:rFonts w:ascii="Times New Roman" w:hAnsi="Times New Roman" w:cs="Times New Roman"/>
          <w:sz w:val="24"/>
          <w:szCs w:val="24"/>
        </w:rPr>
        <w:t xml:space="preserve">w obszarach najbardziej narażonych na poważne naruszenia, lub naruszenia o dużej skali, takich jak usługi finansowe, pokazy, zakupy drogą elektroniczną. </w:t>
      </w:r>
    </w:p>
    <w:p w14:paraId="261700CE" w14:textId="0AD8E813" w:rsidR="00720AC7" w:rsidRPr="00140CD5" w:rsidRDefault="00230779" w:rsidP="00140CD5">
      <w:pPr>
        <w:shd w:val="clear" w:color="auto" w:fill="FFFFFF"/>
        <w:spacing w:after="120" w:line="276" w:lineRule="auto"/>
        <w:jc w:val="both"/>
        <w:rPr>
          <w:rFonts w:ascii="Times New Roman" w:hAnsi="Times New Roman" w:cs="Times New Roman"/>
          <w:sz w:val="24"/>
          <w:szCs w:val="24"/>
        </w:rPr>
      </w:pPr>
      <w:r>
        <w:rPr>
          <w:rFonts w:ascii="Times New Roman" w:eastAsia="Times New Roman" w:hAnsi="Times New Roman" w:cs="Times New Roman"/>
          <w:color w:val="333333"/>
          <w:sz w:val="24"/>
          <w:szCs w:val="24"/>
          <w:lang w:eastAsia="pl-PL"/>
        </w:rPr>
        <w:t>Projektowany art. 105ic wyłącza stosowanie</w:t>
      </w:r>
      <w:r w:rsidR="00B865A9" w:rsidRPr="00140CD5">
        <w:rPr>
          <w:rFonts w:ascii="Times New Roman" w:eastAsia="Times New Roman" w:hAnsi="Times New Roman" w:cs="Times New Roman"/>
          <w:color w:val="333333"/>
          <w:sz w:val="24"/>
          <w:szCs w:val="24"/>
          <w:lang w:eastAsia="pl-PL"/>
        </w:rPr>
        <w:t xml:space="preserve"> </w:t>
      </w:r>
      <w:r w:rsidR="00841786" w:rsidRPr="00140CD5">
        <w:rPr>
          <w:rFonts w:ascii="Times New Roman" w:hAnsi="Times New Roman" w:cs="Times New Roman"/>
          <w:sz w:val="24"/>
          <w:szCs w:val="24"/>
        </w:rPr>
        <w:t>rozdziału 5 „Ograniczenie kontroli działalności gospodarczej” ustawy z dnia 6 marc</w:t>
      </w:r>
      <w:r w:rsidR="00AA1588">
        <w:rPr>
          <w:rFonts w:ascii="Times New Roman" w:hAnsi="Times New Roman" w:cs="Times New Roman"/>
          <w:sz w:val="24"/>
          <w:szCs w:val="24"/>
        </w:rPr>
        <w:t xml:space="preserve">a 2018 r. Prawo przedsiębiorców </w:t>
      </w:r>
      <w:r w:rsidR="00AA1588" w:rsidRPr="00AA1588">
        <w:rPr>
          <w:rFonts w:ascii="Times New Roman" w:hAnsi="Times New Roman" w:cs="Times New Roman"/>
          <w:sz w:val="24"/>
          <w:szCs w:val="24"/>
        </w:rPr>
        <w:t>(Dz. U. z 2019 r. poz. 1292, poz. 1495 oraz z 2020 r. poz. 424 i poz. 1086)</w:t>
      </w:r>
      <w:r w:rsidR="004C75F8" w:rsidRPr="00AA1588">
        <w:rPr>
          <w:rFonts w:ascii="Times New Roman" w:hAnsi="Times New Roman" w:cs="Times New Roman"/>
          <w:sz w:val="24"/>
          <w:szCs w:val="24"/>
        </w:rPr>
        <w:t xml:space="preserve"> </w:t>
      </w:r>
      <w:r w:rsidR="00B865A9" w:rsidRPr="00140CD5">
        <w:rPr>
          <w:rFonts w:ascii="Times New Roman" w:hAnsi="Times New Roman" w:cs="Times New Roman"/>
          <w:sz w:val="24"/>
          <w:szCs w:val="24"/>
        </w:rPr>
        <w:t xml:space="preserve">w </w:t>
      </w:r>
      <w:r w:rsidR="00841786" w:rsidRPr="00140CD5">
        <w:rPr>
          <w:rFonts w:ascii="Times New Roman" w:hAnsi="Times New Roman" w:cs="Times New Roman"/>
          <w:sz w:val="24"/>
          <w:szCs w:val="24"/>
        </w:rPr>
        <w:t xml:space="preserve">stosunku do regulacji art. 105ia, która dotyczy instytucji tzw. „tajemniczego klienta’ </w:t>
      </w:r>
      <w:r w:rsidR="00B865A9" w:rsidRPr="00140CD5">
        <w:rPr>
          <w:rFonts w:ascii="Times New Roman" w:hAnsi="Times New Roman" w:cs="Times New Roman"/>
          <w:sz w:val="24"/>
          <w:szCs w:val="24"/>
        </w:rPr>
        <w:t>i art. 105ib</w:t>
      </w:r>
      <w:r w:rsidR="00AA1588">
        <w:rPr>
          <w:rFonts w:ascii="Times New Roman" w:hAnsi="Times New Roman" w:cs="Times New Roman"/>
          <w:sz w:val="24"/>
          <w:szCs w:val="24"/>
        </w:rPr>
        <w:t>, który dotyczy</w:t>
      </w:r>
      <w:r w:rsidR="00B865A9" w:rsidRPr="00140CD5">
        <w:rPr>
          <w:rFonts w:ascii="Times New Roman" w:hAnsi="Times New Roman" w:cs="Times New Roman"/>
          <w:sz w:val="24"/>
          <w:szCs w:val="24"/>
        </w:rPr>
        <w:t xml:space="preserve"> </w:t>
      </w:r>
      <w:r w:rsidR="00841786" w:rsidRPr="00140CD5">
        <w:rPr>
          <w:rFonts w:ascii="Times New Roman" w:hAnsi="Times New Roman" w:cs="Times New Roman"/>
          <w:sz w:val="24"/>
          <w:szCs w:val="24"/>
        </w:rPr>
        <w:t>zakupu towarów</w:t>
      </w:r>
      <w:r w:rsidR="00E85F21">
        <w:rPr>
          <w:rFonts w:ascii="Times New Roman" w:hAnsi="Times New Roman" w:cs="Times New Roman"/>
          <w:sz w:val="24"/>
          <w:szCs w:val="24"/>
        </w:rPr>
        <w:t xml:space="preserve"> lub usług w tym, w </w:t>
      </w:r>
      <w:r w:rsidR="00841786" w:rsidRPr="00140CD5">
        <w:rPr>
          <w:rFonts w:ascii="Times New Roman" w:hAnsi="Times New Roman" w:cs="Times New Roman"/>
          <w:sz w:val="24"/>
          <w:szCs w:val="24"/>
        </w:rPr>
        <w:t>razie potrzeby, z wykorzystaniem możliwości przedstawienia się jako inna osoba/ukrycia tożsamości. Wyłączenie</w:t>
      </w:r>
      <w:r w:rsidR="005C2FFF" w:rsidRPr="00140CD5">
        <w:rPr>
          <w:rFonts w:ascii="Times New Roman" w:hAnsi="Times New Roman" w:cs="Times New Roman"/>
          <w:sz w:val="24"/>
          <w:szCs w:val="24"/>
        </w:rPr>
        <w:t xml:space="preserve"> jest </w:t>
      </w:r>
      <w:r w:rsidR="00AA1588">
        <w:rPr>
          <w:rFonts w:ascii="Times New Roman" w:hAnsi="Times New Roman" w:cs="Times New Roman"/>
          <w:sz w:val="24"/>
          <w:szCs w:val="24"/>
        </w:rPr>
        <w:t>w </w:t>
      </w:r>
      <w:r w:rsidR="00841786" w:rsidRPr="00140CD5">
        <w:rPr>
          <w:rFonts w:ascii="Times New Roman" w:hAnsi="Times New Roman" w:cs="Times New Roman"/>
          <w:sz w:val="24"/>
          <w:szCs w:val="24"/>
        </w:rPr>
        <w:t xml:space="preserve">tym przypadku konieczne ponieważ charakter ww. instytucji uniemożliwia zastosowanie przepisów ustawy prawo przedsiębiorców dotyczących np. zawiadomienia uprzedniego o kontroli, ponadto kontrolujący aż do czasu zakończenia kontroli z reguły nie ujawnia swojej tożsamości, regulacje Prawa przedsiębiorców </w:t>
      </w:r>
      <w:r w:rsidR="005C2FFF" w:rsidRPr="00140CD5">
        <w:rPr>
          <w:rFonts w:ascii="Times New Roman" w:hAnsi="Times New Roman" w:cs="Times New Roman"/>
          <w:sz w:val="24"/>
          <w:szCs w:val="24"/>
        </w:rPr>
        <w:t>w zakresie kontroli są</w:t>
      </w:r>
      <w:r w:rsidR="00841786" w:rsidRPr="00140CD5">
        <w:rPr>
          <w:rFonts w:ascii="Times New Roman" w:hAnsi="Times New Roman" w:cs="Times New Roman"/>
          <w:sz w:val="24"/>
          <w:szCs w:val="24"/>
        </w:rPr>
        <w:t xml:space="preserve"> </w:t>
      </w:r>
      <w:r w:rsidR="005C2FFF" w:rsidRPr="00140CD5">
        <w:rPr>
          <w:rFonts w:ascii="Times New Roman" w:hAnsi="Times New Roman" w:cs="Times New Roman"/>
          <w:sz w:val="24"/>
          <w:szCs w:val="24"/>
        </w:rPr>
        <w:t xml:space="preserve">zatem </w:t>
      </w:r>
      <w:r w:rsidR="00841786" w:rsidRPr="00140CD5">
        <w:rPr>
          <w:rFonts w:ascii="Times New Roman" w:hAnsi="Times New Roman" w:cs="Times New Roman"/>
          <w:sz w:val="24"/>
          <w:szCs w:val="24"/>
        </w:rPr>
        <w:t>nieadekwatne</w:t>
      </w:r>
      <w:r w:rsidR="005C2FFF" w:rsidRPr="00140CD5">
        <w:rPr>
          <w:rFonts w:ascii="Times New Roman" w:hAnsi="Times New Roman" w:cs="Times New Roman"/>
          <w:sz w:val="24"/>
          <w:szCs w:val="24"/>
        </w:rPr>
        <w:t xml:space="preserve"> do sytuacji stanowiących przedmiot regulacji</w:t>
      </w:r>
      <w:r w:rsidR="00841786" w:rsidRPr="00140CD5">
        <w:rPr>
          <w:rFonts w:ascii="Times New Roman" w:hAnsi="Times New Roman" w:cs="Times New Roman"/>
          <w:sz w:val="24"/>
          <w:szCs w:val="24"/>
        </w:rPr>
        <w:t xml:space="preserve">. </w:t>
      </w:r>
    </w:p>
    <w:p w14:paraId="5B86A14C" w14:textId="21E684A3" w:rsidR="007A0051" w:rsidRPr="00140CD5" w:rsidRDefault="00230779" w:rsidP="00140CD5">
      <w:pPr>
        <w:spacing w:after="120" w:line="276" w:lineRule="auto"/>
        <w:jc w:val="both"/>
        <w:rPr>
          <w:rFonts w:ascii="Times New Roman" w:hAnsi="Times New Roman" w:cs="Times New Roman"/>
          <w:b/>
          <w:sz w:val="24"/>
          <w:szCs w:val="24"/>
        </w:rPr>
      </w:pPr>
      <w:r>
        <w:rPr>
          <w:rFonts w:ascii="Times New Roman" w:hAnsi="Times New Roman" w:cs="Times New Roman"/>
          <w:color w:val="000000" w:themeColor="text1"/>
          <w:sz w:val="24"/>
          <w:szCs w:val="24"/>
        </w:rPr>
        <w:t>Projektowany art. 105id</w:t>
      </w:r>
      <w:r w:rsidR="006E39D1" w:rsidRPr="00140CD5">
        <w:rPr>
          <w:rFonts w:ascii="Times New Roman" w:hAnsi="Times New Roman" w:cs="Times New Roman"/>
          <w:color w:val="000000" w:themeColor="text1"/>
          <w:sz w:val="24"/>
          <w:szCs w:val="24"/>
        </w:rPr>
        <w:t xml:space="preserve"> reguluje kwestię kosztów czynności, o których mowa w art.</w:t>
      </w:r>
      <w:r w:rsidR="005C2FFF" w:rsidRPr="00140CD5">
        <w:rPr>
          <w:rFonts w:ascii="Times New Roman" w:hAnsi="Times New Roman" w:cs="Times New Roman"/>
          <w:color w:val="000000" w:themeColor="text1"/>
          <w:sz w:val="24"/>
          <w:szCs w:val="24"/>
        </w:rPr>
        <w:t xml:space="preserve"> 105 </w:t>
      </w:r>
      <w:r w:rsidR="006E39D1" w:rsidRPr="00140CD5">
        <w:rPr>
          <w:rFonts w:ascii="Times New Roman" w:hAnsi="Times New Roman" w:cs="Times New Roman"/>
          <w:color w:val="000000" w:themeColor="text1"/>
          <w:sz w:val="24"/>
          <w:szCs w:val="24"/>
        </w:rPr>
        <w:t>ib - koszty podejmowanych na podstawie art.</w:t>
      </w:r>
      <w:r w:rsidR="00E85F21">
        <w:rPr>
          <w:rFonts w:ascii="Times New Roman" w:hAnsi="Times New Roman" w:cs="Times New Roman"/>
          <w:color w:val="000000" w:themeColor="text1"/>
          <w:sz w:val="24"/>
          <w:szCs w:val="24"/>
        </w:rPr>
        <w:t xml:space="preserve"> 105ib czynności ponoszone są z </w:t>
      </w:r>
      <w:r w:rsidR="006E39D1" w:rsidRPr="00140CD5">
        <w:rPr>
          <w:rFonts w:ascii="Times New Roman" w:hAnsi="Times New Roman" w:cs="Times New Roman"/>
          <w:color w:val="000000" w:themeColor="text1"/>
          <w:sz w:val="24"/>
          <w:szCs w:val="24"/>
        </w:rPr>
        <w:t>wyłączeniem przepisów o zamówieniach public</w:t>
      </w:r>
      <w:r w:rsidR="00E85F21">
        <w:rPr>
          <w:rFonts w:ascii="Times New Roman" w:hAnsi="Times New Roman" w:cs="Times New Roman"/>
          <w:color w:val="000000" w:themeColor="text1"/>
          <w:sz w:val="24"/>
          <w:szCs w:val="24"/>
        </w:rPr>
        <w:t>znych. Koszty te są pokrywane z </w:t>
      </w:r>
      <w:r w:rsidR="006E39D1" w:rsidRPr="00140CD5">
        <w:rPr>
          <w:rFonts w:ascii="Times New Roman" w:hAnsi="Times New Roman" w:cs="Times New Roman"/>
          <w:color w:val="000000" w:themeColor="text1"/>
          <w:sz w:val="24"/>
          <w:szCs w:val="24"/>
        </w:rPr>
        <w:t>tworzonego na ten cel funduszu operacyjnego, którym dysponuje Prezes U</w:t>
      </w:r>
      <w:r w:rsidR="00413A34" w:rsidRPr="00140CD5">
        <w:rPr>
          <w:rFonts w:ascii="Times New Roman" w:hAnsi="Times New Roman" w:cs="Times New Roman"/>
          <w:color w:val="000000" w:themeColor="text1"/>
          <w:sz w:val="24"/>
          <w:szCs w:val="24"/>
        </w:rPr>
        <w:t>OKiK</w:t>
      </w:r>
      <w:r w:rsidR="006E39D1" w:rsidRPr="00140CD5">
        <w:rPr>
          <w:rFonts w:ascii="Times New Roman" w:hAnsi="Times New Roman" w:cs="Times New Roman"/>
          <w:color w:val="000000" w:themeColor="text1"/>
          <w:sz w:val="24"/>
          <w:szCs w:val="24"/>
        </w:rPr>
        <w:t>. Środki na ten fundusz są zapewniane w budżecie państwa, w 53 części budżetowej.</w:t>
      </w:r>
      <w:bookmarkStart w:id="8" w:name="mip48706860"/>
      <w:bookmarkEnd w:id="8"/>
      <w:r w:rsidR="006E39D1" w:rsidRPr="00140CD5">
        <w:rPr>
          <w:rFonts w:ascii="Times New Roman" w:hAnsi="Times New Roman" w:cs="Times New Roman"/>
          <w:color w:val="000000" w:themeColor="text1"/>
          <w:sz w:val="24"/>
          <w:szCs w:val="24"/>
        </w:rPr>
        <w:t xml:space="preserve"> Prezes U</w:t>
      </w:r>
      <w:r w:rsidR="00413A34" w:rsidRPr="00140CD5">
        <w:rPr>
          <w:rFonts w:ascii="Times New Roman" w:hAnsi="Times New Roman" w:cs="Times New Roman"/>
          <w:color w:val="000000" w:themeColor="text1"/>
          <w:sz w:val="24"/>
          <w:szCs w:val="24"/>
        </w:rPr>
        <w:t>OKiK</w:t>
      </w:r>
      <w:r w:rsidR="00F84FCF">
        <w:rPr>
          <w:rFonts w:ascii="Times New Roman" w:hAnsi="Times New Roman" w:cs="Times New Roman"/>
          <w:color w:val="000000" w:themeColor="text1"/>
          <w:sz w:val="24"/>
          <w:szCs w:val="24"/>
        </w:rPr>
        <w:t xml:space="preserve">, </w:t>
      </w:r>
      <w:r w:rsidR="006E39D1" w:rsidRPr="00140CD5">
        <w:rPr>
          <w:rFonts w:ascii="Times New Roman" w:hAnsi="Times New Roman" w:cs="Times New Roman"/>
          <w:color w:val="000000" w:themeColor="text1"/>
          <w:sz w:val="24"/>
          <w:szCs w:val="24"/>
        </w:rPr>
        <w:t xml:space="preserve">w drodze zarządzenia ma określić </w:t>
      </w:r>
      <w:r w:rsidR="005C2FFF" w:rsidRPr="00140CD5">
        <w:rPr>
          <w:rFonts w:ascii="Times New Roman" w:hAnsi="Times New Roman" w:cs="Times New Roman"/>
          <w:color w:val="000000" w:themeColor="text1"/>
          <w:sz w:val="24"/>
          <w:szCs w:val="24"/>
        </w:rPr>
        <w:t>s</w:t>
      </w:r>
      <w:r w:rsidR="006E39D1" w:rsidRPr="00140CD5">
        <w:rPr>
          <w:rFonts w:ascii="Times New Roman" w:hAnsi="Times New Roman" w:cs="Times New Roman"/>
          <w:color w:val="000000" w:themeColor="text1"/>
          <w:sz w:val="24"/>
          <w:szCs w:val="24"/>
        </w:rPr>
        <w:t xml:space="preserve">posób dysponowania funduszem operacyjnym, o którym mowa w ust. 1, uwzględniając przepisy o ochronie informacji niejawnych. Zarządzenie to nie podlega </w:t>
      </w:r>
      <w:r w:rsidR="006E39D1" w:rsidRPr="00140CD5">
        <w:rPr>
          <w:rFonts w:ascii="Times New Roman" w:hAnsi="Times New Roman" w:cs="Times New Roman"/>
          <w:color w:val="333333"/>
          <w:sz w:val="24"/>
          <w:szCs w:val="24"/>
        </w:rPr>
        <w:t>ogłoszeniu</w:t>
      </w:r>
      <w:r w:rsidR="00B53192" w:rsidRPr="00140CD5">
        <w:rPr>
          <w:rFonts w:ascii="Times New Roman" w:hAnsi="Times New Roman" w:cs="Times New Roman"/>
          <w:color w:val="333333"/>
          <w:sz w:val="24"/>
          <w:szCs w:val="24"/>
        </w:rPr>
        <w:t>.</w:t>
      </w:r>
    </w:p>
    <w:p w14:paraId="56E6BEDE" w14:textId="77777777" w:rsidR="00B53192" w:rsidRPr="00140CD5" w:rsidRDefault="00D96A46" w:rsidP="00140CD5">
      <w:pPr>
        <w:spacing w:after="120" w:line="276" w:lineRule="auto"/>
        <w:jc w:val="both"/>
        <w:rPr>
          <w:rFonts w:ascii="Times New Roman" w:hAnsi="Times New Roman" w:cs="Times New Roman"/>
          <w:b/>
          <w:sz w:val="24"/>
          <w:szCs w:val="24"/>
        </w:rPr>
      </w:pPr>
      <w:r w:rsidRPr="00140CD5">
        <w:rPr>
          <w:rFonts w:ascii="Times New Roman" w:hAnsi="Times New Roman" w:cs="Times New Roman"/>
          <w:b/>
          <w:sz w:val="24"/>
          <w:szCs w:val="24"/>
        </w:rPr>
        <w:t>4</w:t>
      </w:r>
      <w:r w:rsidR="005C2FFF" w:rsidRPr="00140CD5">
        <w:rPr>
          <w:rFonts w:ascii="Times New Roman" w:hAnsi="Times New Roman" w:cs="Times New Roman"/>
          <w:b/>
          <w:sz w:val="24"/>
          <w:szCs w:val="24"/>
        </w:rPr>
        <w:t xml:space="preserve">. </w:t>
      </w:r>
      <w:r w:rsidR="00B53192" w:rsidRPr="00140CD5">
        <w:rPr>
          <w:rFonts w:ascii="Times New Roman" w:hAnsi="Times New Roman" w:cs="Times New Roman"/>
          <w:b/>
          <w:sz w:val="24"/>
          <w:szCs w:val="24"/>
        </w:rPr>
        <w:t>U</w:t>
      </w:r>
      <w:r w:rsidR="00F75957" w:rsidRPr="00140CD5">
        <w:rPr>
          <w:rFonts w:ascii="Times New Roman" w:hAnsi="Times New Roman" w:cs="Times New Roman"/>
          <w:b/>
          <w:sz w:val="24"/>
          <w:szCs w:val="24"/>
        </w:rPr>
        <w:t>prawnienia dot</w:t>
      </w:r>
      <w:r w:rsidR="00B53192" w:rsidRPr="00140CD5">
        <w:rPr>
          <w:rFonts w:ascii="Times New Roman" w:hAnsi="Times New Roman" w:cs="Times New Roman"/>
          <w:b/>
          <w:sz w:val="24"/>
          <w:szCs w:val="24"/>
        </w:rPr>
        <w:t xml:space="preserve">yczące </w:t>
      </w:r>
      <w:r w:rsidR="00F75957" w:rsidRPr="00140CD5">
        <w:rPr>
          <w:rFonts w:ascii="Times New Roman" w:hAnsi="Times New Roman" w:cs="Times New Roman"/>
          <w:b/>
          <w:sz w:val="24"/>
          <w:szCs w:val="24"/>
        </w:rPr>
        <w:t xml:space="preserve">interfejsu internetowego. </w:t>
      </w:r>
    </w:p>
    <w:p w14:paraId="6D3537D1" w14:textId="77777777" w:rsidR="00F75957" w:rsidRPr="00F84FCF" w:rsidRDefault="00F75957" w:rsidP="00140CD5">
      <w:pPr>
        <w:spacing w:after="120" w:line="276" w:lineRule="auto"/>
        <w:jc w:val="both"/>
        <w:rPr>
          <w:rFonts w:ascii="Times New Roman" w:hAnsi="Times New Roman" w:cs="Times New Roman"/>
          <w:sz w:val="24"/>
          <w:szCs w:val="24"/>
        </w:rPr>
      </w:pPr>
      <w:r w:rsidRPr="00F84FCF">
        <w:rPr>
          <w:rFonts w:ascii="Times New Roman" w:hAnsi="Times New Roman" w:cs="Times New Roman"/>
          <w:sz w:val="24"/>
          <w:szCs w:val="24"/>
        </w:rPr>
        <w:t>Zgodnie z art. 9 ust. 4 pkt g rozporządzenia CPC w przypadku braku innych skutecznych środków, które mogą doprowadzić do zaprzestania lub zakazania naruszenia objętego niniejszym rozporządzeniem oraz w celu zapobieżeniu ryzyku wyrządzenia poważnych szkód zbiorowym interesom konsumentów prawo do nakazania:</w:t>
      </w:r>
    </w:p>
    <w:p w14:paraId="2DAB3FB8" w14:textId="77777777" w:rsidR="00F75957" w:rsidRPr="00F84FCF" w:rsidRDefault="005C2FFF" w:rsidP="00140CD5">
      <w:pPr>
        <w:spacing w:after="120" w:line="276" w:lineRule="auto"/>
        <w:jc w:val="both"/>
        <w:rPr>
          <w:rFonts w:ascii="Times New Roman" w:hAnsi="Times New Roman" w:cs="Times New Roman"/>
          <w:sz w:val="24"/>
          <w:szCs w:val="24"/>
        </w:rPr>
      </w:pPr>
      <w:r w:rsidRPr="00F84FCF">
        <w:rPr>
          <w:rFonts w:ascii="Times New Roman" w:hAnsi="Times New Roman" w:cs="Times New Roman"/>
          <w:sz w:val="24"/>
          <w:szCs w:val="24"/>
        </w:rPr>
        <w:t xml:space="preserve">- </w:t>
      </w:r>
      <w:r w:rsidR="00F75957" w:rsidRPr="00F84FCF">
        <w:rPr>
          <w:rFonts w:ascii="Times New Roman" w:hAnsi="Times New Roman" w:cs="Times New Roman"/>
          <w:sz w:val="24"/>
          <w:szCs w:val="24"/>
        </w:rPr>
        <w:t>usunięcia treści lub ograniczenia dostępu do interfejsu internetowego lub nakazania umieszczenia wyraźnego ostrzeżenia dla konsumentów wchodzących na interfejs internetowy,</w:t>
      </w:r>
    </w:p>
    <w:p w14:paraId="1DB833D0" w14:textId="77777777" w:rsidR="005C2FFF" w:rsidRPr="00F84FCF" w:rsidRDefault="005C2FFF" w:rsidP="00140CD5">
      <w:pPr>
        <w:spacing w:after="120" w:line="276" w:lineRule="auto"/>
        <w:jc w:val="both"/>
        <w:rPr>
          <w:rFonts w:ascii="Times New Roman" w:hAnsi="Times New Roman" w:cs="Times New Roman"/>
          <w:sz w:val="24"/>
          <w:szCs w:val="24"/>
        </w:rPr>
      </w:pPr>
      <w:r w:rsidRPr="00F84FCF">
        <w:rPr>
          <w:rFonts w:ascii="Times New Roman" w:hAnsi="Times New Roman" w:cs="Times New Roman"/>
          <w:sz w:val="24"/>
          <w:szCs w:val="24"/>
        </w:rPr>
        <w:lastRenderedPageBreak/>
        <w:t>- dostawy usług hostingowych – usunięcia lub wyłączenia interfejsu internetowego lub ograniczenia dostępu do niego,</w:t>
      </w:r>
    </w:p>
    <w:p w14:paraId="3EA86E5B" w14:textId="1FC75752" w:rsidR="005C2FFF" w:rsidRPr="00F84FCF" w:rsidRDefault="005C2FFF" w:rsidP="00140CD5">
      <w:pPr>
        <w:spacing w:after="120" w:line="276" w:lineRule="auto"/>
        <w:jc w:val="both"/>
        <w:rPr>
          <w:rFonts w:ascii="Times New Roman" w:hAnsi="Times New Roman" w:cs="Times New Roman"/>
          <w:sz w:val="24"/>
          <w:szCs w:val="24"/>
        </w:rPr>
      </w:pPr>
      <w:r w:rsidRPr="00F84FCF">
        <w:rPr>
          <w:rFonts w:ascii="Times New Roman" w:hAnsi="Times New Roman" w:cs="Times New Roman"/>
          <w:sz w:val="24"/>
          <w:szCs w:val="24"/>
        </w:rPr>
        <w:t xml:space="preserve">- </w:t>
      </w:r>
      <w:r w:rsidR="00F75957" w:rsidRPr="00F84FCF">
        <w:rPr>
          <w:rFonts w:ascii="Times New Roman" w:hAnsi="Times New Roman" w:cs="Times New Roman"/>
          <w:sz w:val="24"/>
          <w:szCs w:val="24"/>
        </w:rPr>
        <w:t>w odpowiednich przypadkach nakazania rejestrom domen i podmiotom rejestrującym domeny usunięcia pełnej nazwy domenowej (FQDN) i umożliwienia właś</w:t>
      </w:r>
      <w:r w:rsidR="00FD230F" w:rsidRPr="00F84FCF">
        <w:rPr>
          <w:rFonts w:ascii="Times New Roman" w:hAnsi="Times New Roman" w:cs="Times New Roman"/>
          <w:sz w:val="24"/>
          <w:szCs w:val="24"/>
        </w:rPr>
        <w:t xml:space="preserve">ciwemu organowi jej rejestracji (art. </w:t>
      </w:r>
      <w:r w:rsidR="00F75957" w:rsidRPr="00F84FCF">
        <w:rPr>
          <w:rFonts w:ascii="Times New Roman" w:hAnsi="Times New Roman" w:cs="Times New Roman"/>
          <w:sz w:val="24"/>
          <w:szCs w:val="24"/>
        </w:rPr>
        <w:t xml:space="preserve"> </w:t>
      </w:r>
      <w:r w:rsidR="00FD230F" w:rsidRPr="00F84FCF">
        <w:rPr>
          <w:rFonts w:ascii="Times New Roman" w:hAnsi="Times New Roman" w:cs="Times New Roman"/>
          <w:sz w:val="24"/>
          <w:szCs w:val="24"/>
        </w:rPr>
        <w:t>art. 9 ust. 4 lit. g</w:t>
      </w:r>
      <w:r w:rsidR="00F84FCF">
        <w:rPr>
          <w:rFonts w:ascii="Times New Roman" w:hAnsi="Times New Roman" w:cs="Times New Roman"/>
          <w:sz w:val="24"/>
          <w:szCs w:val="24"/>
        </w:rPr>
        <w:t xml:space="preserve"> rozporządzenia CPC</w:t>
      </w:r>
      <w:r w:rsidR="00FD230F" w:rsidRPr="00F84FCF">
        <w:rPr>
          <w:rFonts w:ascii="Times New Roman" w:hAnsi="Times New Roman" w:cs="Times New Roman"/>
          <w:sz w:val="24"/>
          <w:szCs w:val="24"/>
        </w:rPr>
        <w:t>)</w:t>
      </w:r>
      <w:r w:rsidR="00F84FCF">
        <w:rPr>
          <w:rFonts w:ascii="Times New Roman" w:hAnsi="Times New Roman" w:cs="Times New Roman"/>
          <w:sz w:val="24"/>
          <w:szCs w:val="24"/>
        </w:rPr>
        <w:t>.</w:t>
      </w:r>
    </w:p>
    <w:p w14:paraId="5E9E70F3" w14:textId="77777777" w:rsidR="007E3DDB" w:rsidRPr="00140CD5" w:rsidRDefault="00003FA8" w:rsidP="00140CD5">
      <w:pPr>
        <w:spacing w:after="120" w:line="276" w:lineRule="auto"/>
        <w:jc w:val="both"/>
        <w:rPr>
          <w:rFonts w:ascii="Times New Roman" w:hAnsi="Times New Roman" w:cs="Times New Roman"/>
          <w:sz w:val="24"/>
          <w:szCs w:val="24"/>
        </w:rPr>
      </w:pPr>
      <w:r w:rsidRPr="00140CD5">
        <w:rPr>
          <w:rFonts w:ascii="Times New Roman" w:hAnsi="Times New Roman" w:cs="Times New Roman"/>
          <w:sz w:val="24"/>
          <w:szCs w:val="24"/>
        </w:rPr>
        <w:t>Nowe kompetencje organów właściwych ds. ochrony praw konsumentów dotyczące interfejsu internetowego stanowią odpowiedź na wyzwania związane z gospodark</w:t>
      </w:r>
      <w:r w:rsidR="00B53192" w:rsidRPr="00140CD5">
        <w:rPr>
          <w:rFonts w:ascii="Times New Roman" w:hAnsi="Times New Roman" w:cs="Times New Roman"/>
          <w:sz w:val="24"/>
          <w:szCs w:val="24"/>
        </w:rPr>
        <w:t>ą</w:t>
      </w:r>
      <w:r w:rsidRPr="00140CD5">
        <w:rPr>
          <w:rFonts w:ascii="Times New Roman" w:hAnsi="Times New Roman" w:cs="Times New Roman"/>
          <w:sz w:val="24"/>
          <w:szCs w:val="24"/>
        </w:rPr>
        <w:t xml:space="preserve"> elektroniczną, szczególnie z handlem elektronicznym. Duża łatwość w rozpoczęciu świadczenia usług drog</w:t>
      </w:r>
      <w:r w:rsidR="005C2FFF" w:rsidRPr="00140CD5">
        <w:rPr>
          <w:rFonts w:ascii="Times New Roman" w:hAnsi="Times New Roman" w:cs="Times New Roman"/>
          <w:sz w:val="24"/>
          <w:szCs w:val="24"/>
        </w:rPr>
        <w:t>ą</w:t>
      </w:r>
      <w:r w:rsidRPr="00140CD5">
        <w:rPr>
          <w:rFonts w:ascii="Times New Roman" w:hAnsi="Times New Roman" w:cs="Times New Roman"/>
          <w:sz w:val="24"/>
          <w:szCs w:val="24"/>
        </w:rPr>
        <w:t xml:space="preserve"> elektroniczną, także w zakresie tworzenia stron internetowych korzystnie wpływa na rozwój dział</w:t>
      </w:r>
      <w:r w:rsidR="005C2FFF" w:rsidRPr="00140CD5">
        <w:rPr>
          <w:rFonts w:ascii="Times New Roman" w:hAnsi="Times New Roman" w:cs="Times New Roman"/>
          <w:sz w:val="24"/>
          <w:szCs w:val="24"/>
        </w:rPr>
        <w:t>alności gospodarczej, tworzy</w:t>
      </w:r>
      <w:r w:rsidRPr="00140CD5">
        <w:rPr>
          <w:rFonts w:ascii="Times New Roman" w:hAnsi="Times New Roman" w:cs="Times New Roman"/>
          <w:sz w:val="24"/>
          <w:szCs w:val="24"/>
        </w:rPr>
        <w:t xml:space="preserve"> jednak nowe możliwości dokonywania naruszeń praw konsumentów. Dlatego rozporządzenie CPC przewiduje </w:t>
      </w:r>
      <w:r w:rsidR="00FD230F" w:rsidRPr="00140CD5">
        <w:rPr>
          <w:rFonts w:ascii="Times New Roman" w:hAnsi="Times New Roman" w:cs="Times New Roman"/>
          <w:sz w:val="24"/>
          <w:szCs w:val="24"/>
        </w:rPr>
        <w:t>rozwiązania</w:t>
      </w:r>
      <w:r w:rsidRPr="00140CD5">
        <w:rPr>
          <w:rFonts w:ascii="Times New Roman" w:hAnsi="Times New Roman" w:cs="Times New Roman"/>
          <w:sz w:val="24"/>
          <w:szCs w:val="24"/>
        </w:rPr>
        <w:t xml:space="preserve"> polegające na nadaniu organom właściwym </w:t>
      </w:r>
      <w:r w:rsidR="00FD230F" w:rsidRPr="00140CD5">
        <w:rPr>
          <w:rFonts w:ascii="Times New Roman" w:hAnsi="Times New Roman" w:cs="Times New Roman"/>
          <w:sz w:val="24"/>
          <w:szCs w:val="24"/>
        </w:rPr>
        <w:t>uprawnień</w:t>
      </w:r>
      <w:r w:rsidRPr="00140CD5">
        <w:rPr>
          <w:rFonts w:ascii="Times New Roman" w:hAnsi="Times New Roman" w:cs="Times New Roman"/>
          <w:sz w:val="24"/>
          <w:szCs w:val="24"/>
        </w:rPr>
        <w:t xml:space="preserve"> do nakazania przedsiębiorcy:</w:t>
      </w:r>
    </w:p>
    <w:p w14:paraId="7F5FF696" w14:textId="77777777" w:rsidR="00003FA8" w:rsidRPr="00140CD5" w:rsidRDefault="00003FA8" w:rsidP="00140CD5">
      <w:pPr>
        <w:spacing w:after="120" w:line="276" w:lineRule="auto"/>
        <w:jc w:val="both"/>
        <w:rPr>
          <w:rFonts w:ascii="Times New Roman" w:hAnsi="Times New Roman" w:cs="Times New Roman"/>
          <w:sz w:val="24"/>
          <w:szCs w:val="24"/>
        </w:rPr>
      </w:pPr>
      <w:r w:rsidRPr="00140CD5">
        <w:rPr>
          <w:rFonts w:ascii="Times New Roman" w:hAnsi="Times New Roman" w:cs="Times New Roman"/>
          <w:sz w:val="24"/>
          <w:szCs w:val="24"/>
        </w:rPr>
        <w:t xml:space="preserve">- </w:t>
      </w:r>
      <w:r w:rsidR="00FD230F" w:rsidRPr="00140CD5">
        <w:rPr>
          <w:rFonts w:ascii="Times New Roman" w:hAnsi="Times New Roman" w:cs="Times New Roman"/>
          <w:sz w:val="24"/>
          <w:szCs w:val="24"/>
        </w:rPr>
        <w:t>usunięcia</w:t>
      </w:r>
      <w:r w:rsidRPr="00140CD5">
        <w:rPr>
          <w:rFonts w:ascii="Times New Roman" w:hAnsi="Times New Roman" w:cs="Times New Roman"/>
          <w:sz w:val="24"/>
          <w:szCs w:val="24"/>
        </w:rPr>
        <w:t xml:space="preserve"> treści lub ograniczenia dostępu do interfejsu internetowego, lub umieszczenia ostrzeżenia dla konsumentów wchodzących na interfejs internetowy,</w:t>
      </w:r>
    </w:p>
    <w:p w14:paraId="1F83D04E" w14:textId="77777777" w:rsidR="00003FA8" w:rsidRPr="00140CD5" w:rsidRDefault="00003FA8" w:rsidP="00140CD5">
      <w:pPr>
        <w:spacing w:after="120" w:line="276" w:lineRule="auto"/>
        <w:jc w:val="both"/>
        <w:rPr>
          <w:rFonts w:ascii="Times New Roman" w:hAnsi="Times New Roman" w:cs="Times New Roman"/>
          <w:sz w:val="24"/>
          <w:szCs w:val="24"/>
        </w:rPr>
      </w:pPr>
      <w:r w:rsidRPr="00140CD5">
        <w:rPr>
          <w:rFonts w:ascii="Times New Roman" w:hAnsi="Times New Roman" w:cs="Times New Roman"/>
          <w:sz w:val="24"/>
          <w:szCs w:val="24"/>
        </w:rPr>
        <w:t xml:space="preserve">- dostawcy usług hostingowych </w:t>
      </w:r>
      <w:r w:rsidR="00FD230F" w:rsidRPr="00140CD5">
        <w:rPr>
          <w:rFonts w:ascii="Times New Roman" w:hAnsi="Times New Roman" w:cs="Times New Roman"/>
          <w:sz w:val="24"/>
          <w:szCs w:val="24"/>
        </w:rPr>
        <w:t>usunięcia</w:t>
      </w:r>
      <w:r w:rsidRPr="00140CD5">
        <w:rPr>
          <w:rFonts w:ascii="Times New Roman" w:hAnsi="Times New Roman" w:cs="Times New Roman"/>
          <w:sz w:val="24"/>
          <w:szCs w:val="24"/>
        </w:rPr>
        <w:t xml:space="preserve"> lub wyłączenia interfejsu internetowego lub ograniczenia dostępu do niego,</w:t>
      </w:r>
    </w:p>
    <w:p w14:paraId="2A7FA74E" w14:textId="44B6FC32" w:rsidR="00F34B90" w:rsidRPr="00140CD5" w:rsidRDefault="00003FA8" w:rsidP="00140CD5">
      <w:pPr>
        <w:spacing w:after="120" w:line="276" w:lineRule="auto"/>
        <w:jc w:val="both"/>
        <w:rPr>
          <w:rFonts w:ascii="Times New Roman" w:hAnsi="Times New Roman" w:cs="Times New Roman"/>
          <w:sz w:val="24"/>
          <w:szCs w:val="24"/>
        </w:rPr>
      </w:pPr>
      <w:r w:rsidRPr="00140CD5">
        <w:rPr>
          <w:rFonts w:ascii="Times New Roman" w:hAnsi="Times New Roman" w:cs="Times New Roman"/>
          <w:sz w:val="24"/>
          <w:szCs w:val="24"/>
        </w:rPr>
        <w:t>- rejestrom domen i podmiotom rejestrującym domeny usunięcia pełnej nazwy domenowej i umożliwienia właściwemu organowi jej rejestracji</w:t>
      </w:r>
      <w:r w:rsidR="00630D36">
        <w:rPr>
          <w:rFonts w:ascii="Times New Roman" w:hAnsi="Times New Roman" w:cs="Times New Roman"/>
          <w:sz w:val="24"/>
          <w:szCs w:val="24"/>
        </w:rPr>
        <w:t>.</w:t>
      </w:r>
    </w:p>
    <w:p w14:paraId="64A4DA41" w14:textId="77777777" w:rsidR="00003FA8" w:rsidRPr="00140CD5" w:rsidRDefault="00003FA8" w:rsidP="00140CD5">
      <w:pPr>
        <w:spacing w:after="120" w:line="276" w:lineRule="auto"/>
        <w:jc w:val="both"/>
        <w:rPr>
          <w:rFonts w:ascii="Times New Roman" w:hAnsi="Times New Roman" w:cs="Times New Roman"/>
          <w:sz w:val="24"/>
          <w:szCs w:val="24"/>
        </w:rPr>
      </w:pPr>
      <w:r w:rsidRPr="00140CD5">
        <w:rPr>
          <w:rFonts w:ascii="Times New Roman" w:hAnsi="Times New Roman" w:cs="Times New Roman"/>
          <w:sz w:val="24"/>
          <w:szCs w:val="24"/>
        </w:rPr>
        <w:t xml:space="preserve">W </w:t>
      </w:r>
      <w:r w:rsidR="00B53192" w:rsidRPr="00140CD5">
        <w:rPr>
          <w:rFonts w:ascii="Times New Roman" w:hAnsi="Times New Roman" w:cs="Times New Roman"/>
          <w:sz w:val="24"/>
          <w:szCs w:val="24"/>
        </w:rPr>
        <w:t xml:space="preserve">celu wdrożenia powyższych kompetencji </w:t>
      </w:r>
      <w:r w:rsidRPr="00140CD5">
        <w:rPr>
          <w:rFonts w:ascii="Times New Roman" w:hAnsi="Times New Roman" w:cs="Times New Roman"/>
          <w:sz w:val="24"/>
          <w:szCs w:val="24"/>
        </w:rPr>
        <w:t>Prezes U</w:t>
      </w:r>
      <w:r w:rsidR="00B53192" w:rsidRPr="00140CD5">
        <w:rPr>
          <w:rFonts w:ascii="Times New Roman" w:hAnsi="Times New Roman" w:cs="Times New Roman"/>
          <w:sz w:val="24"/>
          <w:szCs w:val="24"/>
        </w:rPr>
        <w:t>OKiK</w:t>
      </w:r>
      <w:r w:rsidR="00E85F21">
        <w:rPr>
          <w:rFonts w:ascii="Times New Roman" w:hAnsi="Times New Roman" w:cs="Times New Roman"/>
          <w:sz w:val="24"/>
          <w:szCs w:val="24"/>
        </w:rPr>
        <w:t xml:space="preserve"> zostanie wyposażony w </w:t>
      </w:r>
      <w:r w:rsidRPr="00140CD5">
        <w:rPr>
          <w:rFonts w:ascii="Times New Roman" w:hAnsi="Times New Roman" w:cs="Times New Roman"/>
          <w:sz w:val="24"/>
          <w:szCs w:val="24"/>
        </w:rPr>
        <w:t xml:space="preserve">szereg narzędzi </w:t>
      </w:r>
      <w:r w:rsidR="00FD230F" w:rsidRPr="00140CD5">
        <w:rPr>
          <w:rFonts w:ascii="Times New Roman" w:hAnsi="Times New Roman" w:cs="Times New Roman"/>
          <w:sz w:val="24"/>
          <w:szCs w:val="24"/>
        </w:rPr>
        <w:t>umożl</w:t>
      </w:r>
      <w:r w:rsidR="005C2FFF" w:rsidRPr="00140CD5">
        <w:rPr>
          <w:rFonts w:ascii="Times New Roman" w:hAnsi="Times New Roman" w:cs="Times New Roman"/>
          <w:sz w:val="24"/>
          <w:szCs w:val="24"/>
        </w:rPr>
        <w:t>i</w:t>
      </w:r>
      <w:r w:rsidR="00FD230F" w:rsidRPr="00140CD5">
        <w:rPr>
          <w:rFonts w:ascii="Times New Roman" w:hAnsi="Times New Roman" w:cs="Times New Roman"/>
          <w:sz w:val="24"/>
          <w:szCs w:val="24"/>
        </w:rPr>
        <w:t>wiających</w:t>
      </w:r>
      <w:r w:rsidRPr="00140CD5">
        <w:rPr>
          <w:rFonts w:ascii="Times New Roman" w:hAnsi="Times New Roman" w:cs="Times New Roman"/>
          <w:sz w:val="24"/>
          <w:szCs w:val="24"/>
        </w:rPr>
        <w:t xml:space="preserve"> realizację uprawnień mających na celu </w:t>
      </w:r>
      <w:r w:rsidR="00FD230F" w:rsidRPr="00140CD5">
        <w:rPr>
          <w:rFonts w:ascii="Times New Roman" w:hAnsi="Times New Roman" w:cs="Times New Roman"/>
          <w:sz w:val="24"/>
          <w:szCs w:val="24"/>
        </w:rPr>
        <w:t>walkę</w:t>
      </w:r>
      <w:r w:rsidR="00E85F21">
        <w:rPr>
          <w:rFonts w:ascii="Times New Roman" w:hAnsi="Times New Roman" w:cs="Times New Roman"/>
          <w:sz w:val="24"/>
          <w:szCs w:val="24"/>
        </w:rPr>
        <w:t xml:space="preserve"> z </w:t>
      </w:r>
      <w:r w:rsidRPr="00140CD5">
        <w:rPr>
          <w:rFonts w:ascii="Times New Roman" w:hAnsi="Times New Roman" w:cs="Times New Roman"/>
          <w:sz w:val="24"/>
          <w:szCs w:val="24"/>
        </w:rPr>
        <w:t>nadużyciami w Internecie począwszy od narzędzi „miękkich”</w:t>
      </w:r>
      <w:r w:rsidR="005C2FFF" w:rsidRPr="00140CD5">
        <w:rPr>
          <w:rFonts w:ascii="Times New Roman" w:hAnsi="Times New Roman" w:cs="Times New Roman"/>
          <w:sz w:val="24"/>
          <w:szCs w:val="24"/>
        </w:rPr>
        <w:t>,</w:t>
      </w:r>
      <w:r w:rsidRPr="00140CD5">
        <w:rPr>
          <w:rFonts w:ascii="Times New Roman" w:hAnsi="Times New Roman" w:cs="Times New Roman"/>
          <w:sz w:val="24"/>
          <w:szCs w:val="24"/>
        </w:rPr>
        <w:t xml:space="preserve"> o charakterze wystąpień do przedsiębiorców </w:t>
      </w:r>
      <w:r w:rsidR="00FD230F" w:rsidRPr="00140CD5">
        <w:rPr>
          <w:rFonts w:ascii="Times New Roman" w:hAnsi="Times New Roman" w:cs="Times New Roman"/>
          <w:sz w:val="24"/>
          <w:szCs w:val="24"/>
        </w:rPr>
        <w:t>z wezwaniem do usunięcia naruszenia, aż</w:t>
      </w:r>
      <w:r w:rsidRPr="00140CD5">
        <w:rPr>
          <w:rFonts w:ascii="Times New Roman" w:hAnsi="Times New Roman" w:cs="Times New Roman"/>
          <w:sz w:val="24"/>
          <w:szCs w:val="24"/>
        </w:rPr>
        <w:t xml:space="preserve"> po możliwość wydania decyzji nakazującej </w:t>
      </w:r>
      <w:r w:rsidR="005C2FFF" w:rsidRPr="00140CD5">
        <w:rPr>
          <w:rFonts w:ascii="Times New Roman" w:hAnsi="Times New Roman" w:cs="Times New Roman"/>
          <w:sz w:val="24"/>
          <w:szCs w:val="24"/>
        </w:rPr>
        <w:t>i usunię</w:t>
      </w:r>
      <w:r w:rsidR="00FD230F" w:rsidRPr="00140CD5">
        <w:rPr>
          <w:rFonts w:ascii="Times New Roman" w:hAnsi="Times New Roman" w:cs="Times New Roman"/>
          <w:sz w:val="24"/>
          <w:szCs w:val="24"/>
        </w:rPr>
        <w:t>cie</w:t>
      </w:r>
      <w:r w:rsidRPr="00140CD5">
        <w:rPr>
          <w:rFonts w:ascii="Times New Roman" w:hAnsi="Times New Roman" w:cs="Times New Roman"/>
          <w:sz w:val="24"/>
          <w:szCs w:val="24"/>
        </w:rPr>
        <w:t xml:space="preserve"> dome</w:t>
      </w:r>
      <w:r w:rsidR="00FD230F" w:rsidRPr="00140CD5">
        <w:rPr>
          <w:rFonts w:ascii="Times New Roman" w:hAnsi="Times New Roman" w:cs="Times New Roman"/>
          <w:sz w:val="24"/>
          <w:szCs w:val="24"/>
        </w:rPr>
        <w:t>ny oraz rejestrację</w:t>
      </w:r>
      <w:r w:rsidRPr="00140CD5">
        <w:rPr>
          <w:rFonts w:ascii="Times New Roman" w:hAnsi="Times New Roman" w:cs="Times New Roman"/>
          <w:sz w:val="24"/>
          <w:szCs w:val="24"/>
        </w:rPr>
        <w:t xml:space="preserve"> nazwy domeny usuniętej przez Prezesa UOKiK, co zapobiegnie powtórnej rejestracji takiej domeny. </w:t>
      </w:r>
      <w:r w:rsidR="00FD230F" w:rsidRPr="00140CD5">
        <w:rPr>
          <w:rFonts w:ascii="Times New Roman" w:hAnsi="Times New Roman" w:cs="Times New Roman"/>
          <w:sz w:val="24"/>
          <w:szCs w:val="24"/>
        </w:rPr>
        <w:t>Proponuje się następujące narzędzia mające na celu wdrożenia uprawnienia, o którym mowa w art. 9 ust. 4 lit. g</w:t>
      </w:r>
      <w:r w:rsidR="005C2FFF" w:rsidRPr="00140CD5">
        <w:rPr>
          <w:rFonts w:ascii="Times New Roman" w:hAnsi="Times New Roman" w:cs="Times New Roman"/>
          <w:sz w:val="24"/>
          <w:szCs w:val="24"/>
        </w:rPr>
        <w:t>.</w:t>
      </w:r>
    </w:p>
    <w:p w14:paraId="2355ECE5" w14:textId="3AF5EB32" w:rsidR="00CD4927" w:rsidRPr="00140CD5" w:rsidRDefault="00FD230F" w:rsidP="00140CD5">
      <w:pPr>
        <w:spacing w:after="120" w:line="276" w:lineRule="auto"/>
        <w:jc w:val="both"/>
        <w:rPr>
          <w:rFonts w:ascii="Times New Roman" w:hAnsi="Times New Roman" w:cs="Times New Roman"/>
          <w:sz w:val="24"/>
          <w:szCs w:val="24"/>
        </w:rPr>
      </w:pPr>
      <w:r w:rsidRPr="00140CD5">
        <w:rPr>
          <w:rFonts w:ascii="Times New Roman" w:hAnsi="Times New Roman" w:cs="Times New Roman"/>
          <w:sz w:val="24"/>
          <w:szCs w:val="24"/>
        </w:rPr>
        <w:t xml:space="preserve">● </w:t>
      </w:r>
      <w:r w:rsidRPr="00140CD5">
        <w:rPr>
          <w:rFonts w:ascii="Times New Roman" w:hAnsi="Times New Roman" w:cs="Times New Roman"/>
          <w:b/>
          <w:sz w:val="24"/>
          <w:szCs w:val="24"/>
        </w:rPr>
        <w:t>projektowany art. 49a ust. 4</w:t>
      </w:r>
      <w:r w:rsidRPr="00140CD5">
        <w:rPr>
          <w:rFonts w:ascii="Times New Roman" w:hAnsi="Times New Roman" w:cs="Times New Roman"/>
          <w:sz w:val="24"/>
          <w:szCs w:val="24"/>
        </w:rPr>
        <w:t xml:space="preserve"> – obowiązujący art. 49 a</w:t>
      </w:r>
      <w:r w:rsidR="00B53192" w:rsidRPr="00140CD5">
        <w:rPr>
          <w:rFonts w:ascii="Times New Roman" w:hAnsi="Times New Roman" w:cs="Times New Roman"/>
          <w:sz w:val="24"/>
          <w:szCs w:val="24"/>
        </w:rPr>
        <w:t xml:space="preserve"> u</w:t>
      </w:r>
      <w:r w:rsidR="005F7267" w:rsidRPr="00140CD5">
        <w:rPr>
          <w:rFonts w:ascii="Times New Roman" w:hAnsi="Times New Roman" w:cs="Times New Roman"/>
          <w:sz w:val="24"/>
          <w:szCs w:val="24"/>
        </w:rPr>
        <w:t xml:space="preserve">stawy </w:t>
      </w:r>
      <w:r w:rsidR="00B53192" w:rsidRPr="00140CD5">
        <w:rPr>
          <w:rFonts w:ascii="Times New Roman" w:hAnsi="Times New Roman" w:cs="Times New Roman"/>
          <w:sz w:val="24"/>
          <w:szCs w:val="24"/>
        </w:rPr>
        <w:t>okik</w:t>
      </w:r>
      <w:r w:rsidRPr="00140CD5">
        <w:rPr>
          <w:rFonts w:ascii="Times New Roman" w:hAnsi="Times New Roman" w:cs="Times New Roman"/>
          <w:sz w:val="24"/>
          <w:szCs w:val="24"/>
        </w:rPr>
        <w:t xml:space="preserve"> reguluje możliwość wystąpienia przez Prezesa U</w:t>
      </w:r>
      <w:r w:rsidR="00413A34" w:rsidRPr="00140CD5">
        <w:rPr>
          <w:rFonts w:ascii="Times New Roman" w:hAnsi="Times New Roman" w:cs="Times New Roman"/>
          <w:sz w:val="24"/>
          <w:szCs w:val="24"/>
        </w:rPr>
        <w:t>OKiK</w:t>
      </w:r>
      <w:r w:rsidRPr="00140CD5">
        <w:rPr>
          <w:rFonts w:ascii="Times New Roman" w:hAnsi="Times New Roman" w:cs="Times New Roman"/>
          <w:sz w:val="24"/>
          <w:szCs w:val="24"/>
        </w:rPr>
        <w:t xml:space="preserve"> do przedsiębiorcy w sprawach z zakresu ochrony konkurencji i konsument</w:t>
      </w:r>
      <w:r w:rsidR="00B53192" w:rsidRPr="00140CD5">
        <w:rPr>
          <w:rFonts w:ascii="Times New Roman" w:hAnsi="Times New Roman" w:cs="Times New Roman"/>
          <w:sz w:val="24"/>
          <w:szCs w:val="24"/>
        </w:rPr>
        <w:t>ów</w:t>
      </w:r>
      <w:r w:rsidRPr="00140CD5">
        <w:rPr>
          <w:rFonts w:ascii="Times New Roman" w:hAnsi="Times New Roman" w:cs="Times New Roman"/>
          <w:sz w:val="24"/>
          <w:szCs w:val="24"/>
        </w:rPr>
        <w:t>, bez konieczności wszczynania postępowania. Zgodnie z tym przepisem</w:t>
      </w:r>
      <w:r w:rsidR="00B53192" w:rsidRPr="00140CD5">
        <w:rPr>
          <w:rFonts w:ascii="Times New Roman" w:hAnsi="Times New Roman" w:cs="Times New Roman"/>
          <w:sz w:val="24"/>
          <w:szCs w:val="24"/>
        </w:rPr>
        <w:t>,</w:t>
      </w:r>
      <w:r w:rsidRPr="00140CD5">
        <w:rPr>
          <w:rFonts w:ascii="Times New Roman" w:hAnsi="Times New Roman" w:cs="Times New Roman"/>
          <w:sz w:val="24"/>
          <w:szCs w:val="24"/>
        </w:rPr>
        <w:t xml:space="preserve"> przedsiębiorca może p</w:t>
      </w:r>
      <w:r w:rsidR="00E85F21">
        <w:rPr>
          <w:rFonts w:ascii="Times New Roman" w:hAnsi="Times New Roman" w:cs="Times New Roman"/>
          <w:sz w:val="24"/>
          <w:szCs w:val="24"/>
        </w:rPr>
        <w:t>rzekazać stanowisko w sprawie w </w:t>
      </w:r>
      <w:r w:rsidRPr="00140CD5">
        <w:rPr>
          <w:rFonts w:ascii="Times New Roman" w:hAnsi="Times New Roman" w:cs="Times New Roman"/>
          <w:sz w:val="24"/>
          <w:szCs w:val="24"/>
        </w:rPr>
        <w:t>terminie wyznaczonym przez Prezesa U</w:t>
      </w:r>
      <w:r w:rsidR="00413A34" w:rsidRPr="00140CD5">
        <w:rPr>
          <w:rFonts w:ascii="Times New Roman" w:hAnsi="Times New Roman" w:cs="Times New Roman"/>
          <w:sz w:val="24"/>
          <w:szCs w:val="24"/>
        </w:rPr>
        <w:t>OKiK</w:t>
      </w:r>
      <w:r w:rsidRPr="00140CD5">
        <w:rPr>
          <w:rFonts w:ascii="Times New Roman" w:hAnsi="Times New Roman" w:cs="Times New Roman"/>
          <w:sz w:val="24"/>
          <w:szCs w:val="24"/>
        </w:rPr>
        <w:t xml:space="preserve">  nie krótszym niż 14 dni. </w:t>
      </w:r>
      <w:r w:rsidR="00CD4927" w:rsidRPr="00140CD5">
        <w:rPr>
          <w:rFonts w:ascii="Times New Roman" w:hAnsi="Times New Roman" w:cs="Times New Roman"/>
          <w:sz w:val="24"/>
          <w:szCs w:val="24"/>
        </w:rPr>
        <w:t xml:space="preserve">Narzędzie to jest aktualnie przez Prezesa UOKIK z powodzeniem wykorzystywane jako pozwalające na szybką i skuteczną eliminację tzw. naruszeń mniejszej wagi, czy też takich w których wszczynanie postępowania byłoby nieadekwatne do rodzaju naruszenia. </w:t>
      </w:r>
    </w:p>
    <w:p w14:paraId="326DDBA4" w14:textId="77777777" w:rsidR="00FD230F" w:rsidRPr="00140CD5" w:rsidRDefault="00B53192" w:rsidP="00140CD5">
      <w:pPr>
        <w:spacing w:after="120" w:line="276" w:lineRule="auto"/>
        <w:jc w:val="both"/>
        <w:rPr>
          <w:rFonts w:ascii="Times New Roman" w:hAnsi="Times New Roman" w:cs="Times New Roman"/>
          <w:sz w:val="24"/>
          <w:szCs w:val="24"/>
        </w:rPr>
      </w:pPr>
      <w:r w:rsidRPr="00140CD5">
        <w:rPr>
          <w:rFonts w:ascii="Times New Roman" w:hAnsi="Times New Roman" w:cs="Times New Roman"/>
          <w:sz w:val="24"/>
          <w:szCs w:val="24"/>
        </w:rPr>
        <w:t xml:space="preserve">W projektowanym </w:t>
      </w:r>
      <w:r w:rsidR="00FD230F" w:rsidRPr="00140CD5">
        <w:rPr>
          <w:rFonts w:ascii="Times New Roman" w:hAnsi="Times New Roman" w:cs="Times New Roman"/>
          <w:sz w:val="24"/>
          <w:szCs w:val="24"/>
        </w:rPr>
        <w:t xml:space="preserve">art. 49a </w:t>
      </w:r>
      <w:r w:rsidR="00756B45" w:rsidRPr="00140CD5">
        <w:rPr>
          <w:rFonts w:ascii="Times New Roman" w:hAnsi="Times New Roman" w:cs="Times New Roman"/>
          <w:sz w:val="24"/>
          <w:szCs w:val="24"/>
        </w:rPr>
        <w:t>ust. 4</w:t>
      </w:r>
      <w:r w:rsidRPr="00140CD5">
        <w:rPr>
          <w:rFonts w:ascii="Times New Roman" w:hAnsi="Times New Roman" w:cs="Times New Roman"/>
          <w:sz w:val="24"/>
          <w:szCs w:val="24"/>
        </w:rPr>
        <w:t xml:space="preserve"> proponuje się, a</w:t>
      </w:r>
      <w:r w:rsidR="00CD4927" w:rsidRPr="00140CD5">
        <w:rPr>
          <w:rFonts w:ascii="Times New Roman" w:hAnsi="Times New Roman" w:cs="Times New Roman"/>
          <w:sz w:val="24"/>
          <w:szCs w:val="24"/>
        </w:rPr>
        <w:t>by w ramach tego rodzaju wystąpienia Prezes UOKiK mógł wezwać do</w:t>
      </w:r>
      <w:r w:rsidR="00756B45" w:rsidRPr="00140CD5">
        <w:rPr>
          <w:rFonts w:ascii="Times New Roman" w:hAnsi="Times New Roman" w:cs="Times New Roman"/>
          <w:sz w:val="24"/>
          <w:szCs w:val="24"/>
        </w:rPr>
        <w:t xml:space="preserve">: </w:t>
      </w:r>
    </w:p>
    <w:p w14:paraId="3B90033C" w14:textId="77777777" w:rsidR="00756B45" w:rsidRPr="00140CD5" w:rsidRDefault="00756B45" w:rsidP="00140CD5">
      <w:pPr>
        <w:spacing w:after="120" w:line="276" w:lineRule="auto"/>
        <w:jc w:val="both"/>
        <w:rPr>
          <w:rFonts w:ascii="Times New Roman" w:hAnsi="Times New Roman" w:cs="Times New Roman"/>
          <w:sz w:val="24"/>
          <w:szCs w:val="24"/>
        </w:rPr>
      </w:pPr>
      <w:r w:rsidRPr="00140CD5">
        <w:rPr>
          <w:rFonts w:ascii="Times New Roman" w:hAnsi="Times New Roman" w:cs="Times New Roman"/>
          <w:sz w:val="24"/>
          <w:szCs w:val="24"/>
        </w:rPr>
        <w:t>- zamieszczenia ostrzeżenia dla konsumentów wchodzących na interfejs internetowy,</w:t>
      </w:r>
    </w:p>
    <w:p w14:paraId="1ED8FAC7" w14:textId="77777777" w:rsidR="00756B45" w:rsidRPr="00140CD5" w:rsidRDefault="00756B45" w:rsidP="00140CD5">
      <w:pPr>
        <w:spacing w:after="120" w:line="276" w:lineRule="auto"/>
        <w:jc w:val="both"/>
        <w:rPr>
          <w:rFonts w:ascii="Times New Roman" w:hAnsi="Times New Roman" w:cs="Times New Roman"/>
          <w:sz w:val="24"/>
          <w:szCs w:val="24"/>
        </w:rPr>
      </w:pPr>
      <w:r w:rsidRPr="00140CD5">
        <w:rPr>
          <w:rFonts w:ascii="Times New Roman" w:hAnsi="Times New Roman" w:cs="Times New Roman"/>
          <w:sz w:val="24"/>
          <w:szCs w:val="24"/>
        </w:rPr>
        <w:t>- usunięcia treści, ograniczenia dostępu lub wyłączenie interfejsu internetowego,</w:t>
      </w:r>
    </w:p>
    <w:p w14:paraId="05195FF1" w14:textId="77777777" w:rsidR="00756B45" w:rsidRPr="00140CD5" w:rsidRDefault="00756B45" w:rsidP="00140CD5">
      <w:pPr>
        <w:spacing w:after="120" w:line="276" w:lineRule="auto"/>
        <w:jc w:val="both"/>
        <w:rPr>
          <w:rFonts w:ascii="Times New Roman" w:hAnsi="Times New Roman" w:cs="Times New Roman"/>
          <w:sz w:val="24"/>
          <w:szCs w:val="24"/>
        </w:rPr>
      </w:pPr>
      <w:r w:rsidRPr="00140CD5">
        <w:rPr>
          <w:rFonts w:ascii="Times New Roman" w:hAnsi="Times New Roman" w:cs="Times New Roman"/>
          <w:sz w:val="24"/>
          <w:szCs w:val="24"/>
        </w:rPr>
        <w:lastRenderedPageBreak/>
        <w:t xml:space="preserve">- usunięcie domeny internetowej. </w:t>
      </w:r>
    </w:p>
    <w:p w14:paraId="39824424" w14:textId="77777777" w:rsidR="00756B45" w:rsidRPr="00140CD5" w:rsidRDefault="00D76B34" w:rsidP="00140CD5">
      <w:pPr>
        <w:spacing w:after="120" w:line="276" w:lineRule="auto"/>
        <w:jc w:val="both"/>
        <w:rPr>
          <w:rFonts w:ascii="Times New Roman" w:hAnsi="Times New Roman" w:cs="Times New Roman"/>
          <w:sz w:val="24"/>
          <w:szCs w:val="24"/>
        </w:rPr>
      </w:pPr>
      <w:r w:rsidRPr="00140CD5">
        <w:rPr>
          <w:rFonts w:ascii="Times New Roman" w:hAnsi="Times New Roman" w:cs="Times New Roman"/>
          <w:sz w:val="24"/>
          <w:szCs w:val="24"/>
        </w:rPr>
        <w:t xml:space="preserve">W ramach regulacji art. 49a Prezes UOKiK może zwrócić się z wezwaniem do każdego przedsiębiorcy, zarówno </w:t>
      </w:r>
      <w:r w:rsidR="00756B45" w:rsidRPr="00140CD5">
        <w:rPr>
          <w:rFonts w:ascii="Times New Roman" w:hAnsi="Times New Roman" w:cs="Times New Roman"/>
          <w:sz w:val="24"/>
          <w:szCs w:val="24"/>
        </w:rPr>
        <w:t>do przedsiębiorcy, który jest właścicielem interfejsu internetowego w rozumieniu art. 3 pkt 15 rozporządzenia CPC, jak i do przedsiębiorcy telekomunikacyjnego świadczącego usługi dostępu do sieci I</w:t>
      </w:r>
      <w:r w:rsidR="005C2FFF" w:rsidRPr="00140CD5">
        <w:rPr>
          <w:rFonts w:ascii="Times New Roman" w:hAnsi="Times New Roman" w:cs="Times New Roman"/>
          <w:sz w:val="24"/>
          <w:szCs w:val="24"/>
        </w:rPr>
        <w:t>nternet, co zapewnia odpowiednią</w:t>
      </w:r>
      <w:r w:rsidR="00756B45" w:rsidRPr="00140CD5">
        <w:rPr>
          <w:rFonts w:ascii="Times New Roman" w:hAnsi="Times New Roman" w:cs="Times New Roman"/>
          <w:sz w:val="24"/>
          <w:szCs w:val="24"/>
        </w:rPr>
        <w:t xml:space="preserve"> elastyczność i możliwość skutecznego działania mającego na celu usuni</w:t>
      </w:r>
      <w:r w:rsidRPr="00140CD5">
        <w:rPr>
          <w:rFonts w:ascii="Times New Roman" w:hAnsi="Times New Roman" w:cs="Times New Roman"/>
          <w:sz w:val="24"/>
          <w:szCs w:val="24"/>
        </w:rPr>
        <w:t>ę</w:t>
      </w:r>
      <w:r w:rsidR="00756B45" w:rsidRPr="00140CD5">
        <w:rPr>
          <w:rFonts w:ascii="Times New Roman" w:hAnsi="Times New Roman" w:cs="Times New Roman"/>
          <w:sz w:val="24"/>
          <w:szCs w:val="24"/>
        </w:rPr>
        <w:t>cie naruszenia.</w:t>
      </w:r>
    </w:p>
    <w:p w14:paraId="557CFDA2" w14:textId="77777777" w:rsidR="00756B45" w:rsidRPr="00140CD5" w:rsidRDefault="00756B45" w:rsidP="00140CD5">
      <w:pPr>
        <w:spacing w:after="120" w:line="276" w:lineRule="auto"/>
        <w:jc w:val="both"/>
        <w:rPr>
          <w:rFonts w:ascii="Times New Roman" w:hAnsi="Times New Roman" w:cs="Times New Roman"/>
          <w:sz w:val="24"/>
          <w:szCs w:val="24"/>
        </w:rPr>
      </w:pPr>
      <w:r w:rsidRPr="00140CD5">
        <w:rPr>
          <w:rFonts w:ascii="Times New Roman" w:hAnsi="Times New Roman" w:cs="Times New Roman"/>
          <w:b/>
          <w:sz w:val="24"/>
          <w:szCs w:val="24"/>
        </w:rPr>
        <w:t xml:space="preserve">● projektowany art. </w:t>
      </w:r>
      <w:r w:rsidR="00C06B8A" w:rsidRPr="00140CD5">
        <w:rPr>
          <w:rFonts w:ascii="Times New Roman" w:hAnsi="Times New Roman" w:cs="Times New Roman"/>
          <w:b/>
          <w:sz w:val="24"/>
          <w:szCs w:val="24"/>
        </w:rPr>
        <w:t>101b</w:t>
      </w:r>
      <w:r w:rsidR="00AC0404" w:rsidRPr="00140CD5">
        <w:rPr>
          <w:rFonts w:ascii="Times New Roman" w:hAnsi="Times New Roman" w:cs="Times New Roman"/>
          <w:b/>
          <w:sz w:val="24"/>
          <w:szCs w:val="24"/>
        </w:rPr>
        <w:t xml:space="preserve"> – </w:t>
      </w:r>
      <w:r w:rsidR="00AC0404" w:rsidRPr="00140CD5">
        <w:rPr>
          <w:rFonts w:ascii="Times New Roman" w:hAnsi="Times New Roman" w:cs="Times New Roman"/>
          <w:sz w:val="24"/>
          <w:szCs w:val="24"/>
        </w:rPr>
        <w:t>zgodnie z projektowanym</w:t>
      </w:r>
      <w:r w:rsidR="00AC0404" w:rsidRPr="00140CD5">
        <w:rPr>
          <w:rFonts w:ascii="Times New Roman" w:hAnsi="Times New Roman" w:cs="Times New Roman"/>
          <w:b/>
          <w:sz w:val="24"/>
          <w:szCs w:val="24"/>
        </w:rPr>
        <w:t xml:space="preserve"> </w:t>
      </w:r>
      <w:r w:rsidR="00AC0404" w:rsidRPr="00140CD5">
        <w:rPr>
          <w:rFonts w:ascii="Times New Roman" w:hAnsi="Times New Roman" w:cs="Times New Roman"/>
          <w:sz w:val="24"/>
          <w:szCs w:val="24"/>
        </w:rPr>
        <w:t xml:space="preserve">art. 101b </w:t>
      </w:r>
      <w:r w:rsidR="002E5C96" w:rsidRPr="00140CD5">
        <w:rPr>
          <w:rFonts w:ascii="Times New Roman" w:hAnsi="Times New Roman" w:cs="Times New Roman"/>
          <w:sz w:val="24"/>
          <w:szCs w:val="24"/>
        </w:rPr>
        <w:t>Prezes</w:t>
      </w:r>
      <w:r w:rsidR="00AC0404" w:rsidRPr="00140CD5">
        <w:rPr>
          <w:rFonts w:ascii="Times New Roman" w:hAnsi="Times New Roman" w:cs="Times New Roman"/>
          <w:sz w:val="24"/>
          <w:szCs w:val="24"/>
        </w:rPr>
        <w:t xml:space="preserve"> U</w:t>
      </w:r>
      <w:r w:rsidR="00413A34" w:rsidRPr="00140CD5">
        <w:rPr>
          <w:rFonts w:ascii="Times New Roman" w:hAnsi="Times New Roman" w:cs="Times New Roman"/>
          <w:sz w:val="24"/>
          <w:szCs w:val="24"/>
        </w:rPr>
        <w:t>OKiK</w:t>
      </w:r>
      <w:r w:rsidR="00AC0404" w:rsidRPr="00140CD5">
        <w:rPr>
          <w:rFonts w:ascii="Times New Roman" w:hAnsi="Times New Roman" w:cs="Times New Roman"/>
          <w:sz w:val="24"/>
          <w:szCs w:val="24"/>
        </w:rPr>
        <w:t xml:space="preserve"> będzie mógł w drodze de</w:t>
      </w:r>
      <w:r w:rsidR="005C2FFF" w:rsidRPr="00140CD5">
        <w:rPr>
          <w:rFonts w:ascii="Times New Roman" w:hAnsi="Times New Roman" w:cs="Times New Roman"/>
          <w:sz w:val="24"/>
          <w:szCs w:val="24"/>
        </w:rPr>
        <w:t>cyzji, o której mowa w art. 101</w:t>
      </w:r>
      <w:r w:rsidR="00AC0404" w:rsidRPr="00140CD5">
        <w:rPr>
          <w:rFonts w:ascii="Times New Roman" w:hAnsi="Times New Roman" w:cs="Times New Roman"/>
          <w:sz w:val="24"/>
          <w:szCs w:val="24"/>
        </w:rPr>
        <w:t>a</w:t>
      </w:r>
      <w:r w:rsidR="005C2FFF" w:rsidRPr="00140CD5">
        <w:rPr>
          <w:rFonts w:ascii="Times New Roman" w:hAnsi="Times New Roman" w:cs="Times New Roman"/>
          <w:sz w:val="24"/>
          <w:szCs w:val="24"/>
        </w:rPr>
        <w:t>,</w:t>
      </w:r>
      <w:r w:rsidR="00AC0404" w:rsidRPr="00140CD5">
        <w:rPr>
          <w:rFonts w:ascii="Times New Roman" w:hAnsi="Times New Roman" w:cs="Times New Roman"/>
          <w:sz w:val="24"/>
          <w:szCs w:val="24"/>
        </w:rPr>
        <w:t xml:space="preserve"> tj. decyzji tymczasowej </w:t>
      </w:r>
      <w:r w:rsidR="002E5C96" w:rsidRPr="00140CD5">
        <w:rPr>
          <w:rFonts w:ascii="Times New Roman" w:hAnsi="Times New Roman" w:cs="Times New Roman"/>
          <w:sz w:val="24"/>
          <w:szCs w:val="24"/>
        </w:rPr>
        <w:t>nakazać</w:t>
      </w:r>
      <w:r w:rsidR="00AC0404" w:rsidRPr="00140CD5">
        <w:rPr>
          <w:rFonts w:ascii="Times New Roman" w:hAnsi="Times New Roman" w:cs="Times New Roman"/>
          <w:sz w:val="24"/>
          <w:szCs w:val="24"/>
        </w:rPr>
        <w:t xml:space="preserve"> przedsiębiorcy:</w:t>
      </w:r>
    </w:p>
    <w:p w14:paraId="371B008D" w14:textId="77777777" w:rsidR="002E5C96" w:rsidRPr="00140CD5" w:rsidRDefault="002E5C96" w:rsidP="00140CD5">
      <w:pPr>
        <w:spacing w:after="120" w:line="276" w:lineRule="auto"/>
        <w:jc w:val="both"/>
        <w:rPr>
          <w:rFonts w:ascii="Times New Roman" w:hAnsi="Times New Roman" w:cs="Times New Roman"/>
          <w:sz w:val="24"/>
          <w:szCs w:val="24"/>
        </w:rPr>
      </w:pPr>
      <w:r w:rsidRPr="00140CD5">
        <w:rPr>
          <w:rFonts w:ascii="Times New Roman" w:hAnsi="Times New Roman" w:cs="Times New Roman"/>
          <w:sz w:val="24"/>
          <w:szCs w:val="24"/>
        </w:rPr>
        <w:t>- zamieszczenie ostrzeżenia dla konsumentów wchodzących na interfejs internetowy,</w:t>
      </w:r>
    </w:p>
    <w:p w14:paraId="21F0ECC1" w14:textId="77777777" w:rsidR="002E5C96" w:rsidRPr="00140CD5" w:rsidRDefault="002E5C96" w:rsidP="00140CD5">
      <w:pPr>
        <w:spacing w:after="120" w:line="276" w:lineRule="auto"/>
        <w:jc w:val="both"/>
        <w:rPr>
          <w:rFonts w:ascii="Times New Roman" w:hAnsi="Times New Roman" w:cs="Times New Roman"/>
          <w:sz w:val="24"/>
          <w:szCs w:val="24"/>
        </w:rPr>
      </w:pPr>
      <w:r w:rsidRPr="00140CD5">
        <w:rPr>
          <w:rFonts w:ascii="Times New Roman" w:hAnsi="Times New Roman" w:cs="Times New Roman"/>
          <w:sz w:val="24"/>
          <w:szCs w:val="24"/>
        </w:rPr>
        <w:t>- usunąć treści, ograniczyć dostęp lub wyłączyć interfejs internetowy,</w:t>
      </w:r>
    </w:p>
    <w:p w14:paraId="32B75F30" w14:textId="77777777" w:rsidR="002E5C96" w:rsidRPr="00140CD5" w:rsidRDefault="002E5C96" w:rsidP="00140CD5">
      <w:pPr>
        <w:spacing w:after="120" w:line="276" w:lineRule="auto"/>
        <w:jc w:val="both"/>
        <w:rPr>
          <w:rFonts w:ascii="Times New Roman" w:hAnsi="Times New Roman" w:cs="Times New Roman"/>
          <w:sz w:val="24"/>
          <w:szCs w:val="24"/>
        </w:rPr>
      </w:pPr>
      <w:r w:rsidRPr="00140CD5">
        <w:rPr>
          <w:rFonts w:ascii="Times New Roman" w:hAnsi="Times New Roman" w:cs="Times New Roman"/>
          <w:sz w:val="24"/>
          <w:szCs w:val="24"/>
        </w:rPr>
        <w:t>- usunąć  domenę internetową.</w:t>
      </w:r>
    </w:p>
    <w:p w14:paraId="3FCB7B52" w14:textId="77777777" w:rsidR="00C06B8A" w:rsidRPr="00140CD5" w:rsidRDefault="002E5C96" w:rsidP="00140CD5">
      <w:pPr>
        <w:spacing w:after="120" w:line="276" w:lineRule="auto"/>
        <w:jc w:val="both"/>
        <w:rPr>
          <w:rFonts w:ascii="Times New Roman" w:hAnsi="Times New Roman" w:cs="Times New Roman"/>
          <w:sz w:val="24"/>
          <w:szCs w:val="24"/>
        </w:rPr>
      </w:pPr>
      <w:r w:rsidRPr="00140CD5">
        <w:rPr>
          <w:rFonts w:ascii="Times New Roman" w:hAnsi="Times New Roman" w:cs="Times New Roman"/>
          <w:sz w:val="24"/>
          <w:szCs w:val="24"/>
        </w:rPr>
        <w:t xml:space="preserve">Projektowany art. 101b wprowadza możliwość nakazania ww. zachowań w drodze decyzji tymczasowej, która wykorzystywana jest w przypadku konieczności pilnego zabezpieczenia interesów konsumentów. Biorąc pod uwagę potencjalnie dużą dynamikę prowadzonej w Internecie działalności, wskazane jest wprowadzenie możliwości sprawnej interwencji w przypadku gdy w toku postępowania zostanie uprawdopodobnione, że dalsze stosowanie zarzucanej praktyki może spowodować poważne i trudne do usunięcia zagrożenia dla zbiorowych interesów konsumenta. </w:t>
      </w:r>
      <w:r w:rsidR="00D76B34" w:rsidRPr="00140CD5">
        <w:rPr>
          <w:rFonts w:ascii="Times New Roman" w:hAnsi="Times New Roman" w:cs="Times New Roman"/>
          <w:sz w:val="24"/>
          <w:szCs w:val="24"/>
        </w:rPr>
        <w:t xml:space="preserve">Decyzja tymczasowa, o której mowa w art. 101 a wskazuje na  </w:t>
      </w:r>
      <w:r w:rsidR="00D76B34" w:rsidRPr="00140CD5">
        <w:rPr>
          <w:rFonts w:ascii="Times New Roman" w:hAnsi="Times New Roman" w:cs="Times New Roman"/>
          <w:sz w:val="24"/>
          <w:szCs w:val="24"/>
          <w:shd w:val="clear" w:color="auto" w:fill="FFFFFF"/>
        </w:rPr>
        <w:t xml:space="preserve">zobowiązanie przedsiębiorcy, w sprawie którego prowadzone jest postępowanie, do zaniechania określonych działań, jeśli mogą one spowodować poważne i trudne do usunięcia zagrożenia dla konsumentów. Decyzja tymczasowa obowiązuje przez czas w niej określony, nie dłużej jednak niż do wydania decyzji kończącej postępowanie w sprawie. Z uwagi na powyższe narzędzie to stanowi skuteczne zabezpieczenie zbiorowych interesów konsumentów. Jednocześnie, należy zauważyć, że </w:t>
      </w:r>
      <w:r w:rsidR="00D171F9" w:rsidRPr="00140CD5">
        <w:rPr>
          <w:rFonts w:ascii="Times New Roman" w:hAnsi="Times New Roman" w:cs="Times New Roman"/>
          <w:sz w:val="24"/>
          <w:szCs w:val="24"/>
          <w:shd w:val="clear" w:color="auto" w:fill="FFFFFF"/>
        </w:rPr>
        <w:t>Prezes</w:t>
      </w:r>
      <w:r w:rsidR="00413A34" w:rsidRPr="00140CD5">
        <w:rPr>
          <w:rFonts w:ascii="Times New Roman" w:hAnsi="Times New Roman" w:cs="Times New Roman"/>
          <w:sz w:val="24"/>
          <w:szCs w:val="24"/>
          <w:shd w:val="clear" w:color="auto" w:fill="FFFFFF"/>
        </w:rPr>
        <w:t xml:space="preserve"> UOKiK</w:t>
      </w:r>
      <w:r w:rsidR="00D76B34" w:rsidRPr="00140CD5">
        <w:rPr>
          <w:rFonts w:ascii="Times New Roman" w:hAnsi="Times New Roman" w:cs="Times New Roman"/>
          <w:sz w:val="24"/>
          <w:szCs w:val="24"/>
          <w:shd w:val="clear" w:color="auto" w:fill="FFFFFF"/>
        </w:rPr>
        <w:t xml:space="preserve"> może podtrzymać </w:t>
      </w:r>
      <w:r w:rsidR="00D171F9" w:rsidRPr="00140CD5">
        <w:rPr>
          <w:rFonts w:ascii="Times New Roman" w:hAnsi="Times New Roman" w:cs="Times New Roman"/>
          <w:sz w:val="24"/>
          <w:szCs w:val="24"/>
          <w:shd w:val="clear" w:color="auto" w:fill="FFFFFF"/>
        </w:rPr>
        <w:t>zobowiązanie przedsiębiorcy określone w decyzji tymczasowej, w drodze decyzji, o której mowa w art. 26</w:t>
      </w:r>
      <w:r w:rsidR="00AB5036" w:rsidRPr="00140CD5">
        <w:rPr>
          <w:rFonts w:ascii="Times New Roman" w:hAnsi="Times New Roman" w:cs="Times New Roman"/>
          <w:sz w:val="24"/>
          <w:szCs w:val="24"/>
          <w:shd w:val="clear" w:color="auto" w:fill="FFFFFF"/>
        </w:rPr>
        <w:t xml:space="preserve"> ustawy okik</w:t>
      </w:r>
      <w:r w:rsidR="001B215C">
        <w:rPr>
          <w:rFonts w:ascii="Times New Roman" w:hAnsi="Times New Roman" w:cs="Times New Roman"/>
          <w:sz w:val="24"/>
          <w:szCs w:val="24"/>
          <w:shd w:val="clear" w:color="auto" w:fill="FFFFFF"/>
        </w:rPr>
        <w:t>.</w:t>
      </w:r>
    </w:p>
    <w:p w14:paraId="7C46CC2E" w14:textId="332606E1" w:rsidR="005F7267" w:rsidRPr="00140CD5" w:rsidRDefault="00C06B8A" w:rsidP="00140CD5">
      <w:pPr>
        <w:spacing w:after="120" w:line="276" w:lineRule="auto"/>
        <w:jc w:val="both"/>
        <w:rPr>
          <w:rFonts w:ascii="Times New Roman" w:hAnsi="Times New Roman" w:cs="Times New Roman"/>
          <w:sz w:val="24"/>
          <w:szCs w:val="24"/>
        </w:rPr>
      </w:pPr>
      <w:r w:rsidRPr="00140CD5">
        <w:rPr>
          <w:rFonts w:ascii="Times New Roman" w:hAnsi="Times New Roman" w:cs="Times New Roman"/>
          <w:sz w:val="24"/>
          <w:szCs w:val="24"/>
        </w:rPr>
        <w:t>● W przypadku nakazania usunięcia domeny internetowej, co stanowi najdalej idący skutek stwierdzenia naruszenia praw konsumentów, domena taka zost</w:t>
      </w:r>
      <w:r w:rsidR="00256DB7">
        <w:rPr>
          <w:rFonts w:ascii="Times New Roman" w:hAnsi="Times New Roman" w:cs="Times New Roman"/>
          <w:sz w:val="24"/>
          <w:szCs w:val="24"/>
        </w:rPr>
        <w:t>anie zarejestrowana w rejestrze</w:t>
      </w:r>
      <w:r w:rsidR="006901CD">
        <w:rPr>
          <w:rFonts w:ascii="Times New Roman" w:hAnsi="Times New Roman" w:cs="Times New Roman"/>
          <w:sz w:val="24"/>
          <w:szCs w:val="24"/>
        </w:rPr>
        <w:t xml:space="preserve"> </w:t>
      </w:r>
      <w:r w:rsidRPr="00140CD5">
        <w:rPr>
          <w:rFonts w:ascii="Times New Roman" w:hAnsi="Times New Roman" w:cs="Times New Roman"/>
          <w:sz w:val="24"/>
          <w:szCs w:val="24"/>
        </w:rPr>
        <w:t>domen usuniętych, zgodnie z projektowanym art. 32 b.</w:t>
      </w:r>
      <w:r w:rsidRPr="00140CD5">
        <w:rPr>
          <w:rFonts w:ascii="Times New Roman" w:hAnsi="Times New Roman" w:cs="Times New Roman"/>
          <w:b/>
          <w:sz w:val="24"/>
          <w:szCs w:val="24"/>
        </w:rPr>
        <w:t xml:space="preserve"> </w:t>
      </w:r>
      <w:r w:rsidR="005C2FFF" w:rsidRPr="00140CD5">
        <w:rPr>
          <w:rFonts w:ascii="Times New Roman" w:hAnsi="Times New Roman" w:cs="Times New Roman"/>
          <w:sz w:val="24"/>
          <w:szCs w:val="24"/>
        </w:rPr>
        <w:t>Na podstawie tej regulacji Prezes UOKiK</w:t>
      </w:r>
      <w:r w:rsidRPr="00140CD5">
        <w:rPr>
          <w:rFonts w:ascii="Times New Roman" w:hAnsi="Times New Roman" w:cs="Times New Roman"/>
          <w:sz w:val="24"/>
          <w:szCs w:val="24"/>
        </w:rPr>
        <w:t xml:space="preserve"> prowadzi</w:t>
      </w:r>
      <w:r w:rsidR="005C2FFF" w:rsidRPr="00140CD5">
        <w:rPr>
          <w:rFonts w:ascii="Times New Roman" w:hAnsi="Times New Roman" w:cs="Times New Roman"/>
          <w:sz w:val="24"/>
          <w:szCs w:val="24"/>
        </w:rPr>
        <w:t>ć będzie</w:t>
      </w:r>
      <w:r w:rsidR="00256DB7">
        <w:rPr>
          <w:rFonts w:ascii="Times New Roman" w:hAnsi="Times New Roman" w:cs="Times New Roman"/>
          <w:sz w:val="24"/>
          <w:szCs w:val="24"/>
        </w:rPr>
        <w:t xml:space="preserve"> rejestr</w:t>
      </w:r>
      <w:r w:rsidR="006901CD">
        <w:rPr>
          <w:rFonts w:ascii="Times New Roman" w:hAnsi="Times New Roman" w:cs="Times New Roman"/>
          <w:sz w:val="24"/>
          <w:szCs w:val="24"/>
        </w:rPr>
        <w:t xml:space="preserve"> </w:t>
      </w:r>
      <w:r w:rsidRPr="00140CD5">
        <w:rPr>
          <w:rFonts w:ascii="Times New Roman" w:hAnsi="Times New Roman" w:cs="Times New Roman"/>
          <w:sz w:val="24"/>
          <w:szCs w:val="24"/>
        </w:rPr>
        <w:t xml:space="preserve">domen usuniętych na podstawie </w:t>
      </w:r>
      <w:r w:rsidR="005F7267" w:rsidRPr="00140CD5">
        <w:rPr>
          <w:rFonts w:ascii="Times New Roman" w:hAnsi="Times New Roman" w:cs="Times New Roman"/>
          <w:sz w:val="24"/>
          <w:szCs w:val="24"/>
        </w:rPr>
        <w:t>prawomocnej decyzji, o której mowa w art. 26, chyba że decyzji tej nadany został rygor natychmiastowej wykonalności -</w:t>
      </w:r>
      <w:r w:rsidR="00D20C74" w:rsidRPr="00140CD5">
        <w:rPr>
          <w:rFonts w:ascii="Times New Roman" w:hAnsi="Times New Roman" w:cs="Times New Roman"/>
          <w:sz w:val="24"/>
          <w:szCs w:val="24"/>
        </w:rPr>
        <w:t xml:space="preserve"> </w:t>
      </w:r>
      <w:r w:rsidR="005F7267" w:rsidRPr="00140CD5">
        <w:rPr>
          <w:rFonts w:ascii="Times New Roman" w:hAnsi="Times New Roman" w:cs="Times New Roman"/>
          <w:sz w:val="24"/>
          <w:szCs w:val="24"/>
        </w:rPr>
        <w:t xml:space="preserve">w takim przypadku podlega ona natychmiastowemu wykonaniu i podlega wpisowi już po nadaniu jej rygoru. Wpisowi podlegać będą również nazwy domen usuniętych na podstawie decyzji o której mowa w art. 101a tj. decyzji tymczasowej, wydawanej w szczególnych wypadkach, której celem jest zabezpieczenie interesów konsumentów. </w:t>
      </w:r>
      <w:r w:rsidR="00133BEA" w:rsidRPr="00140CD5">
        <w:rPr>
          <w:rFonts w:ascii="Times New Roman" w:hAnsi="Times New Roman" w:cs="Times New Roman"/>
          <w:sz w:val="24"/>
          <w:szCs w:val="24"/>
        </w:rPr>
        <w:t xml:space="preserve">Wskazanie jako podstawy prawnej wpisu decyzji, o której mowa w art. 26 oraz decyzji, o której mowa w art. 101a zapewni spójność rozwiązań w zakresie rejestracji usuniętych domen internetowych. </w:t>
      </w:r>
    </w:p>
    <w:p w14:paraId="43140748" w14:textId="3303D406" w:rsidR="00C06B8A" w:rsidRPr="00140CD5" w:rsidRDefault="00C06B8A" w:rsidP="00140CD5">
      <w:pPr>
        <w:shd w:val="clear" w:color="auto" w:fill="FFFFFF"/>
        <w:spacing w:after="120" w:line="276" w:lineRule="auto"/>
        <w:jc w:val="both"/>
        <w:rPr>
          <w:rFonts w:ascii="Times New Roman" w:hAnsi="Times New Roman" w:cs="Times New Roman"/>
          <w:color w:val="000000" w:themeColor="text1"/>
          <w:sz w:val="24"/>
          <w:szCs w:val="24"/>
        </w:rPr>
      </w:pPr>
      <w:r w:rsidRPr="00140CD5">
        <w:rPr>
          <w:rFonts w:ascii="Times New Roman" w:hAnsi="Times New Roman" w:cs="Times New Roman"/>
          <w:sz w:val="24"/>
          <w:szCs w:val="24"/>
        </w:rPr>
        <w:lastRenderedPageBreak/>
        <w:t>Rejestr ma chara</w:t>
      </w:r>
      <w:r w:rsidR="00F84FCF">
        <w:rPr>
          <w:rFonts w:ascii="Times New Roman" w:hAnsi="Times New Roman" w:cs="Times New Roman"/>
          <w:sz w:val="24"/>
          <w:szCs w:val="24"/>
        </w:rPr>
        <w:t xml:space="preserve">kter jawny i jest prowadzony w </w:t>
      </w:r>
      <w:r w:rsidRPr="00140CD5">
        <w:rPr>
          <w:rFonts w:ascii="Times New Roman" w:hAnsi="Times New Roman" w:cs="Times New Roman"/>
          <w:sz w:val="24"/>
          <w:szCs w:val="24"/>
        </w:rPr>
        <w:t>systemie teleinformatycznym, umożliwiającym</w:t>
      </w:r>
      <w:r w:rsidRPr="00140CD5">
        <w:rPr>
          <w:rFonts w:ascii="Times New Roman" w:hAnsi="Times New Roman" w:cs="Times New Roman"/>
          <w:color w:val="333333"/>
          <w:sz w:val="24"/>
          <w:szCs w:val="24"/>
        </w:rPr>
        <w:t xml:space="preserve"> </w:t>
      </w:r>
      <w:r w:rsidRPr="00140CD5">
        <w:rPr>
          <w:rFonts w:ascii="Times New Roman" w:hAnsi="Times New Roman" w:cs="Times New Roman"/>
          <w:color w:val="000000" w:themeColor="text1"/>
          <w:sz w:val="24"/>
          <w:szCs w:val="24"/>
        </w:rPr>
        <w:t xml:space="preserve">automatyczne przekazywanie informacji do systemów teleinformatycznych przedsiębiorców telekomunikacyjnych. </w:t>
      </w:r>
      <w:r w:rsidR="005672EF" w:rsidRPr="00140CD5">
        <w:rPr>
          <w:rFonts w:ascii="Times New Roman" w:hAnsi="Times New Roman" w:cs="Times New Roman"/>
          <w:color w:val="000000" w:themeColor="text1"/>
          <w:sz w:val="24"/>
          <w:szCs w:val="24"/>
        </w:rPr>
        <w:t>Zgodnie z projektem, w</w:t>
      </w:r>
      <w:r w:rsidRPr="00140CD5">
        <w:rPr>
          <w:rFonts w:ascii="Times New Roman" w:hAnsi="Times New Roman" w:cs="Times New Roman"/>
          <w:color w:val="000000" w:themeColor="text1"/>
          <w:sz w:val="24"/>
          <w:szCs w:val="24"/>
        </w:rPr>
        <w:t xml:space="preserve">pisowi do rejestru </w:t>
      </w:r>
      <w:r w:rsidR="005672EF" w:rsidRPr="00140CD5">
        <w:rPr>
          <w:rFonts w:ascii="Times New Roman" w:hAnsi="Times New Roman" w:cs="Times New Roman"/>
          <w:color w:val="000000" w:themeColor="text1"/>
          <w:sz w:val="24"/>
          <w:szCs w:val="24"/>
        </w:rPr>
        <w:t xml:space="preserve">ma </w:t>
      </w:r>
      <w:r w:rsidRPr="00140CD5">
        <w:rPr>
          <w:rFonts w:ascii="Times New Roman" w:hAnsi="Times New Roman" w:cs="Times New Roman"/>
          <w:color w:val="000000" w:themeColor="text1"/>
          <w:sz w:val="24"/>
          <w:szCs w:val="24"/>
        </w:rPr>
        <w:t>podlega</w:t>
      </w:r>
      <w:r w:rsidR="00133BEA" w:rsidRPr="00140CD5">
        <w:rPr>
          <w:rFonts w:ascii="Times New Roman" w:hAnsi="Times New Roman" w:cs="Times New Roman"/>
          <w:color w:val="000000" w:themeColor="text1"/>
          <w:sz w:val="24"/>
          <w:szCs w:val="24"/>
        </w:rPr>
        <w:t>ć</w:t>
      </w:r>
      <w:r w:rsidRPr="00140CD5">
        <w:rPr>
          <w:rFonts w:ascii="Times New Roman" w:hAnsi="Times New Roman" w:cs="Times New Roman"/>
          <w:color w:val="000000" w:themeColor="text1"/>
          <w:sz w:val="24"/>
          <w:szCs w:val="24"/>
        </w:rPr>
        <w:t>:</w:t>
      </w:r>
    </w:p>
    <w:p w14:paraId="726837AF" w14:textId="77777777" w:rsidR="00133BEA" w:rsidRPr="00140CD5" w:rsidRDefault="00133BEA" w:rsidP="00140CD5">
      <w:pPr>
        <w:spacing w:after="120" w:line="276" w:lineRule="auto"/>
        <w:ind w:left="708"/>
        <w:jc w:val="both"/>
        <w:rPr>
          <w:rFonts w:ascii="Times New Roman" w:hAnsi="Times New Roman" w:cs="Times New Roman"/>
          <w:sz w:val="24"/>
          <w:szCs w:val="24"/>
        </w:rPr>
      </w:pPr>
      <w:r w:rsidRPr="00140CD5">
        <w:rPr>
          <w:rFonts w:ascii="Times New Roman" w:hAnsi="Times New Roman" w:cs="Times New Roman"/>
          <w:sz w:val="24"/>
          <w:szCs w:val="24"/>
        </w:rPr>
        <w:t>1) nazwa domeny internetowej usunięta na podstawie prawomocnej lub opatrzonej rygorem natychmiastowej wykonalności decyzji, o której mowa w art. 26, lub decyzji, o której mowa w art. 101a,</w:t>
      </w:r>
    </w:p>
    <w:p w14:paraId="232D2F4F" w14:textId="77777777" w:rsidR="00C06B8A" w:rsidRPr="00140CD5" w:rsidRDefault="00133BEA" w:rsidP="00140CD5">
      <w:pPr>
        <w:spacing w:after="120" w:line="276" w:lineRule="auto"/>
        <w:ind w:firstLine="708"/>
        <w:jc w:val="both"/>
        <w:rPr>
          <w:rFonts w:ascii="Times New Roman" w:hAnsi="Times New Roman" w:cs="Times New Roman"/>
          <w:sz w:val="24"/>
          <w:szCs w:val="24"/>
        </w:rPr>
      </w:pPr>
      <w:r w:rsidRPr="00140CD5">
        <w:rPr>
          <w:rFonts w:ascii="Times New Roman" w:hAnsi="Times New Roman" w:cs="Times New Roman"/>
          <w:sz w:val="24"/>
          <w:szCs w:val="24"/>
        </w:rPr>
        <w:t>2)</w:t>
      </w:r>
      <w:r w:rsidRPr="00140CD5">
        <w:rPr>
          <w:rFonts w:ascii="Times New Roman" w:hAnsi="Times New Roman" w:cs="Times New Roman"/>
          <w:color w:val="333333"/>
          <w:sz w:val="24"/>
          <w:szCs w:val="24"/>
        </w:rPr>
        <w:t xml:space="preserve"> data i godzina dokonania wpisu, jego zmiany lub wykreślenia</w:t>
      </w:r>
      <w:r w:rsidRPr="00140CD5">
        <w:rPr>
          <w:rFonts w:ascii="Times New Roman" w:hAnsi="Times New Roman" w:cs="Times New Roman"/>
          <w:sz w:val="24"/>
          <w:szCs w:val="24"/>
        </w:rPr>
        <w:t xml:space="preserve">. </w:t>
      </w:r>
    </w:p>
    <w:p w14:paraId="177CB18F" w14:textId="1F6B7601" w:rsidR="00C06B8A" w:rsidRPr="00140CD5" w:rsidRDefault="00C06B8A" w:rsidP="00140CD5">
      <w:pPr>
        <w:shd w:val="clear" w:color="auto" w:fill="FFFFFF"/>
        <w:spacing w:after="120" w:line="276" w:lineRule="auto"/>
        <w:jc w:val="both"/>
        <w:rPr>
          <w:rFonts w:ascii="Times New Roman" w:hAnsi="Times New Roman" w:cs="Times New Roman"/>
          <w:color w:val="333333"/>
          <w:sz w:val="24"/>
          <w:szCs w:val="24"/>
        </w:rPr>
      </w:pPr>
      <w:r w:rsidRPr="00140CD5">
        <w:rPr>
          <w:rFonts w:ascii="Times New Roman" w:hAnsi="Times New Roman" w:cs="Times New Roman"/>
          <w:color w:val="333333"/>
          <w:sz w:val="24"/>
          <w:szCs w:val="24"/>
        </w:rPr>
        <w:t>Zgodnie z projektowanym art. 32 b przedsiębiorca telekomunikacyjny w rozumieniu art. 2 pkt 27 ustawy Prawo telekomunikacyjne</w:t>
      </w:r>
      <w:r w:rsidR="00F84FCF">
        <w:rPr>
          <w:rFonts w:ascii="Times New Roman" w:hAnsi="Times New Roman" w:cs="Times New Roman"/>
          <w:color w:val="333333"/>
          <w:sz w:val="24"/>
          <w:szCs w:val="24"/>
        </w:rPr>
        <w:t xml:space="preserve"> </w:t>
      </w:r>
      <w:r w:rsidR="00F84FCF" w:rsidRPr="00F84FCF">
        <w:rPr>
          <w:rFonts w:ascii="Times New Roman" w:hAnsi="Times New Roman" w:cs="Times New Roman"/>
        </w:rPr>
        <w:t>(Dz. U. z 2019 r. poz. 2460, z 2020 r. poz. 875, poz. 695 i poz. 374)</w:t>
      </w:r>
      <w:r w:rsidR="004C75F8" w:rsidRPr="00F84FCF">
        <w:rPr>
          <w:rFonts w:ascii="Times New Roman" w:hAnsi="Times New Roman" w:cs="Times New Roman"/>
          <w:color w:val="333333"/>
          <w:sz w:val="24"/>
          <w:szCs w:val="24"/>
        </w:rPr>
        <w:t>,</w:t>
      </w:r>
      <w:r w:rsidR="004C75F8" w:rsidRPr="00140CD5">
        <w:rPr>
          <w:rFonts w:ascii="Times New Roman" w:hAnsi="Times New Roman" w:cs="Times New Roman"/>
          <w:color w:val="333333"/>
          <w:sz w:val="24"/>
          <w:szCs w:val="24"/>
        </w:rPr>
        <w:t xml:space="preserve"> </w:t>
      </w:r>
      <w:r w:rsidRPr="00140CD5">
        <w:rPr>
          <w:rFonts w:ascii="Times New Roman" w:hAnsi="Times New Roman" w:cs="Times New Roman"/>
          <w:color w:val="333333"/>
          <w:sz w:val="24"/>
          <w:szCs w:val="24"/>
        </w:rPr>
        <w:t>świadczący usługi dostępu do sieci Internet będzie zobowiązany do:</w:t>
      </w:r>
    </w:p>
    <w:p w14:paraId="25B475D8" w14:textId="77777777" w:rsidR="00C06B8A" w:rsidRPr="00140CD5" w:rsidRDefault="00C06B8A" w:rsidP="00140CD5">
      <w:pPr>
        <w:shd w:val="clear" w:color="auto" w:fill="FFFFFF"/>
        <w:spacing w:after="120" w:line="276" w:lineRule="auto"/>
        <w:jc w:val="both"/>
        <w:rPr>
          <w:rFonts w:ascii="Times New Roman" w:hAnsi="Times New Roman" w:cs="Times New Roman"/>
          <w:color w:val="333333"/>
          <w:sz w:val="24"/>
          <w:szCs w:val="24"/>
        </w:rPr>
      </w:pPr>
      <w:r w:rsidRPr="00140CD5">
        <w:rPr>
          <w:rFonts w:ascii="Times New Roman" w:hAnsi="Times New Roman" w:cs="Times New Roman"/>
          <w:color w:val="333333"/>
          <w:sz w:val="24"/>
          <w:szCs w:val="24"/>
        </w:rPr>
        <w:t>1) nieodpłatnego uniemożliwienia dostępu do stron internetowych wykorzystujących nazwy domen internetowych wpisanych do Rejestru poprzez ich usunięcie z systemów teleinformatycznych przedsiębiorców telekomunikacyjnych, służących do zamiany nazw domen internetowych na adresy IP, nie później niż w ciągu 48 godzin od wpisu do Rejestru,</w:t>
      </w:r>
    </w:p>
    <w:p w14:paraId="1719B078" w14:textId="46C09DF0" w:rsidR="00C06B8A" w:rsidRPr="00140CD5" w:rsidRDefault="00C06B8A" w:rsidP="00140CD5">
      <w:pPr>
        <w:shd w:val="clear" w:color="auto" w:fill="FFFFFF"/>
        <w:spacing w:after="120" w:line="276" w:lineRule="auto"/>
        <w:jc w:val="both"/>
        <w:rPr>
          <w:rFonts w:ascii="Times New Roman" w:hAnsi="Times New Roman" w:cs="Times New Roman"/>
          <w:color w:val="333333"/>
          <w:sz w:val="24"/>
          <w:szCs w:val="24"/>
        </w:rPr>
      </w:pPr>
      <w:r w:rsidRPr="00140CD5">
        <w:rPr>
          <w:rFonts w:ascii="Times New Roman" w:hAnsi="Times New Roman" w:cs="Times New Roman"/>
          <w:color w:val="333333"/>
          <w:sz w:val="24"/>
          <w:szCs w:val="24"/>
        </w:rPr>
        <w:t>2) nieodpłatnego przekierowania połączeń odwołujących się do nazw domen internetowych wpisanych do Rejestru do strony internetowej prowadzonej przez Prezesa U</w:t>
      </w:r>
      <w:r w:rsidR="00413A34" w:rsidRPr="00140CD5">
        <w:rPr>
          <w:rFonts w:ascii="Times New Roman" w:hAnsi="Times New Roman" w:cs="Times New Roman"/>
          <w:color w:val="333333"/>
          <w:sz w:val="24"/>
          <w:szCs w:val="24"/>
        </w:rPr>
        <w:t>OKiK</w:t>
      </w:r>
      <w:r w:rsidRPr="00140CD5">
        <w:rPr>
          <w:rFonts w:ascii="Times New Roman" w:hAnsi="Times New Roman" w:cs="Times New Roman"/>
          <w:color w:val="333333"/>
          <w:sz w:val="24"/>
          <w:szCs w:val="24"/>
        </w:rPr>
        <w:t xml:space="preserve">, zawierającej komunikat, skierowany do odbiorców usługi dostępu do Internetu obejmujący w szczególności informacje o lokalizacji Rejestru oraz wpisaniu szukanej nazwy domeny internetowej do tego Rejestru. </w:t>
      </w:r>
    </w:p>
    <w:p w14:paraId="4F93ACA2" w14:textId="13B9EE15" w:rsidR="00133BEA" w:rsidRPr="00140CD5" w:rsidRDefault="00AC0404" w:rsidP="00140CD5">
      <w:pPr>
        <w:shd w:val="clear" w:color="auto" w:fill="FFFFFF"/>
        <w:spacing w:after="120" w:line="276" w:lineRule="auto"/>
        <w:jc w:val="both"/>
        <w:rPr>
          <w:rFonts w:ascii="Times New Roman" w:hAnsi="Times New Roman" w:cs="Times New Roman"/>
          <w:color w:val="333333"/>
          <w:sz w:val="24"/>
          <w:szCs w:val="24"/>
        </w:rPr>
      </w:pPr>
      <w:r w:rsidRPr="00140CD5">
        <w:rPr>
          <w:rFonts w:ascii="Times New Roman" w:hAnsi="Times New Roman" w:cs="Times New Roman"/>
          <w:color w:val="333333"/>
          <w:sz w:val="24"/>
          <w:szCs w:val="24"/>
        </w:rPr>
        <w:t>Obowiązek nałożony na przedsiębiorców telekomunikacy</w:t>
      </w:r>
      <w:r w:rsidR="00F84FCF">
        <w:rPr>
          <w:rFonts w:ascii="Times New Roman" w:hAnsi="Times New Roman" w:cs="Times New Roman"/>
          <w:color w:val="333333"/>
          <w:sz w:val="24"/>
          <w:szCs w:val="24"/>
        </w:rPr>
        <w:t xml:space="preserve">jnych uruchamiać będzie się </w:t>
      </w:r>
      <w:r w:rsidR="005C2FFF" w:rsidRPr="00140CD5">
        <w:rPr>
          <w:rFonts w:ascii="Times New Roman" w:hAnsi="Times New Roman" w:cs="Times New Roman"/>
          <w:color w:val="333333"/>
          <w:sz w:val="24"/>
          <w:szCs w:val="24"/>
        </w:rPr>
        <w:t xml:space="preserve"> w przypadku wydania decyzji, o której mowa w art. 26 ustawy</w:t>
      </w:r>
      <w:r w:rsidR="00793923" w:rsidRPr="00140CD5">
        <w:rPr>
          <w:rFonts w:ascii="Times New Roman" w:hAnsi="Times New Roman" w:cs="Times New Roman"/>
          <w:color w:val="333333"/>
          <w:sz w:val="24"/>
          <w:szCs w:val="24"/>
        </w:rPr>
        <w:t xml:space="preserve"> okik</w:t>
      </w:r>
      <w:r w:rsidR="005C2FFF" w:rsidRPr="00140CD5">
        <w:rPr>
          <w:rFonts w:ascii="Times New Roman" w:hAnsi="Times New Roman" w:cs="Times New Roman"/>
          <w:color w:val="333333"/>
          <w:sz w:val="24"/>
          <w:szCs w:val="24"/>
        </w:rPr>
        <w:t xml:space="preserve"> </w:t>
      </w:r>
      <w:r w:rsidR="00793923" w:rsidRPr="00140CD5">
        <w:rPr>
          <w:rFonts w:ascii="Times New Roman" w:hAnsi="Times New Roman" w:cs="Times New Roman"/>
          <w:color w:val="333333"/>
          <w:sz w:val="24"/>
          <w:szCs w:val="24"/>
        </w:rPr>
        <w:t>. Decyzja, o której mowa w art. 26 jest decyzj</w:t>
      </w:r>
      <w:r w:rsidR="00AB5036" w:rsidRPr="00140CD5">
        <w:rPr>
          <w:rFonts w:ascii="Times New Roman" w:hAnsi="Times New Roman" w:cs="Times New Roman"/>
          <w:color w:val="333333"/>
          <w:sz w:val="24"/>
          <w:szCs w:val="24"/>
        </w:rPr>
        <w:t>ą</w:t>
      </w:r>
      <w:r w:rsidR="00793923" w:rsidRPr="00140CD5">
        <w:rPr>
          <w:rFonts w:ascii="Times New Roman" w:hAnsi="Times New Roman" w:cs="Times New Roman"/>
          <w:color w:val="333333"/>
          <w:sz w:val="24"/>
          <w:szCs w:val="24"/>
        </w:rPr>
        <w:t xml:space="preserve"> o uznaniu praktyki przedsiębiorcy za naruszającą </w:t>
      </w:r>
      <w:r w:rsidR="003B7E5C" w:rsidRPr="00140CD5">
        <w:rPr>
          <w:rFonts w:ascii="Times New Roman" w:hAnsi="Times New Roman" w:cs="Times New Roman"/>
          <w:color w:val="333333"/>
          <w:sz w:val="24"/>
          <w:szCs w:val="24"/>
        </w:rPr>
        <w:t>zbiorowe</w:t>
      </w:r>
      <w:r w:rsidR="00793923" w:rsidRPr="00140CD5">
        <w:rPr>
          <w:rFonts w:ascii="Times New Roman" w:hAnsi="Times New Roman" w:cs="Times New Roman"/>
          <w:color w:val="333333"/>
          <w:sz w:val="24"/>
          <w:szCs w:val="24"/>
        </w:rPr>
        <w:t xml:space="preserve"> interesy konsumentów i nakazującą zaniechanie jej stosowania. Ponadto Prezes UOKiK w drodze decyzji, o której mowa w art. 26 może określić </w:t>
      </w:r>
      <w:r w:rsidR="003B7E5C" w:rsidRPr="00140CD5">
        <w:rPr>
          <w:rFonts w:ascii="Times New Roman" w:hAnsi="Times New Roman" w:cs="Times New Roman"/>
          <w:color w:val="333333"/>
          <w:sz w:val="24"/>
          <w:szCs w:val="24"/>
        </w:rPr>
        <w:t>środki</w:t>
      </w:r>
      <w:r w:rsidR="00793923" w:rsidRPr="00140CD5">
        <w:rPr>
          <w:rFonts w:ascii="Times New Roman" w:hAnsi="Times New Roman" w:cs="Times New Roman"/>
          <w:color w:val="333333"/>
          <w:sz w:val="24"/>
          <w:szCs w:val="24"/>
        </w:rPr>
        <w:t xml:space="preserve"> </w:t>
      </w:r>
      <w:r w:rsidR="003B7E5C" w:rsidRPr="00140CD5">
        <w:rPr>
          <w:rFonts w:ascii="Times New Roman" w:hAnsi="Times New Roman" w:cs="Times New Roman"/>
          <w:color w:val="333333"/>
          <w:sz w:val="24"/>
          <w:szCs w:val="24"/>
        </w:rPr>
        <w:t>usunięcia</w:t>
      </w:r>
      <w:r w:rsidR="00793923" w:rsidRPr="00140CD5">
        <w:rPr>
          <w:rFonts w:ascii="Times New Roman" w:hAnsi="Times New Roman" w:cs="Times New Roman"/>
          <w:color w:val="333333"/>
          <w:sz w:val="24"/>
          <w:szCs w:val="24"/>
        </w:rPr>
        <w:t xml:space="preserve"> trwających skutków naruszenia, w tym </w:t>
      </w:r>
      <w:r w:rsidR="003B7E5C" w:rsidRPr="00140CD5">
        <w:rPr>
          <w:rFonts w:ascii="Times New Roman" w:hAnsi="Times New Roman" w:cs="Times New Roman"/>
          <w:color w:val="333333"/>
          <w:sz w:val="24"/>
          <w:szCs w:val="24"/>
        </w:rPr>
        <w:t>usunięcie</w:t>
      </w:r>
      <w:r w:rsidR="00793923" w:rsidRPr="00140CD5">
        <w:rPr>
          <w:rFonts w:ascii="Times New Roman" w:hAnsi="Times New Roman" w:cs="Times New Roman"/>
          <w:color w:val="333333"/>
          <w:sz w:val="24"/>
          <w:szCs w:val="24"/>
        </w:rPr>
        <w:t xml:space="preserve"> domeny.</w:t>
      </w:r>
      <w:r w:rsidR="00133BEA" w:rsidRPr="00140CD5">
        <w:rPr>
          <w:rFonts w:ascii="Times New Roman" w:hAnsi="Times New Roman" w:cs="Times New Roman"/>
          <w:color w:val="333333"/>
          <w:sz w:val="24"/>
          <w:szCs w:val="24"/>
        </w:rPr>
        <w:t xml:space="preserve"> Co do zasady podstawą dokonania wpisu do rejestru domen usuniętych będzie decyzja prawomocna, należy jednak uwzględnić przypadki, w których konieczne jest natychmiastowe wykonanie decyzji i wpis do rejestru na podstawie decyzji, której nadany został rygor natychmiastowej wykonalności. Podobny cel ma dokonanie wpisu na podstawie decyzji, o której mowa w art. 101a tj. decyzji tymczasowej, która wydawana jest gdy zostanie uprawdopodobnione, że dalsze stosowanie zarzucanej praktyki może spowodować poważne i trudne do usunięcia zagrożenia dla zbiorowych interes</w:t>
      </w:r>
      <w:r w:rsidR="00F84FCF">
        <w:rPr>
          <w:rFonts w:ascii="Times New Roman" w:hAnsi="Times New Roman" w:cs="Times New Roman"/>
          <w:color w:val="333333"/>
          <w:sz w:val="24"/>
          <w:szCs w:val="24"/>
        </w:rPr>
        <w:t xml:space="preserve">ów konsumentów. W </w:t>
      </w:r>
      <w:r w:rsidR="00133BEA" w:rsidRPr="00140CD5">
        <w:rPr>
          <w:rFonts w:ascii="Times New Roman" w:hAnsi="Times New Roman" w:cs="Times New Roman"/>
          <w:color w:val="333333"/>
          <w:sz w:val="24"/>
          <w:szCs w:val="24"/>
        </w:rPr>
        <w:t xml:space="preserve">takim przypadku wniesienie odwołania nie wstrzymuje wykonania decyzji tymczasowej. </w:t>
      </w:r>
    </w:p>
    <w:p w14:paraId="6F528FCD" w14:textId="6677DCF2" w:rsidR="00047014" w:rsidRPr="00140CD5" w:rsidRDefault="00793923" w:rsidP="00140CD5">
      <w:pPr>
        <w:shd w:val="clear" w:color="auto" w:fill="FFFFFF"/>
        <w:spacing w:after="120" w:line="276" w:lineRule="auto"/>
        <w:jc w:val="both"/>
        <w:rPr>
          <w:rFonts w:ascii="Times New Roman" w:hAnsi="Times New Roman" w:cs="Times New Roman"/>
          <w:color w:val="333333"/>
          <w:sz w:val="24"/>
          <w:szCs w:val="24"/>
        </w:rPr>
      </w:pPr>
      <w:r w:rsidRPr="00140CD5">
        <w:rPr>
          <w:rFonts w:ascii="Times New Roman" w:hAnsi="Times New Roman" w:cs="Times New Roman"/>
          <w:color w:val="333333"/>
          <w:sz w:val="24"/>
          <w:szCs w:val="24"/>
        </w:rPr>
        <w:t>Obowiązek usunięcia domeny nałożony na przedsiębiorcę telekomunikacyjnego projektowanym przepisem art. 32 b,</w:t>
      </w:r>
      <w:r w:rsidR="00993DB0">
        <w:rPr>
          <w:rFonts w:ascii="Times New Roman" w:hAnsi="Times New Roman" w:cs="Times New Roman"/>
          <w:color w:val="333333"/>
          <w:sz w:val="24"/>
          <w:szCs w:val="24"/>
        </w:rPr>
        <w:t xml:space="preserve"> </w:t>
      </w:r>
      <w:r w:rsidRPr="00140CD5">
        <w:rPr>
          <w:rFonts w:ascii="Times New Roman" w:hAnsi="Times New Roman" w:cs="Times New Roman"/>
          <w:color w:val="333333"/>
          <w:sz w:val="24"/>
          <w:szCs w:val="24"/>
        </w:rPr>
        <w:t xml:space="preserve">służy de facto </w:t>
      </w:r>
      <w:r w:rsidR="00AC0404" w:rsidRPr="00140CD5">
        <w:rPr>
          <w:rFonts w:ascii="Times New Roman" w:hAnsi="Times New Roman" w:cs="Times New Roman"/>
          <w:color w:val="333333"/>
          <w:sz w:val="24"/>
          <w:szCs w:val="24"/>
        </w:rPr>
        <w:t xml:space="preserve"> zapewnieni</w:t>
      </w:r>
      <w:r w:rsidRPr="00140CD5">
        <w:rPr>
          <w:rFonts w:ascii="Times New Roman" w:hAnsi="Times New Roman" w:cs="Times New Roman"/>
          <w:color w:val="333333"/>
          <w:sz w:val="24"/>
          <w:szCs w:val="24"/>
        </w:rPr>
        <w:t>u</w:t>
      </w:r>
      <w:r w:rsidR="00AC0404" w:rsidRPr="00140CD5">
        <w:rPr>
          <w:rFonts w:ascii="Times New Roman" w:hAnsi="Times New Roman" w:cs="Times New Roman"/>
          <w:color w:val="333333"/>
          <w:sz w:val="24"/>
          <w:szCs w:val="24"/>
        </w:rPr>
        <w:t xml:space="preserve"> </w:t>
      </w:r>
      <w:r w:rsidR="002E5C96" w:rsidRPr="00140CD5">
        <w:rPr>
          <w:rFonts w:ascii="Times New Roman" w:hAnsi="Times New Roman" w:cs="Times New Roman"/>
          <w:color w:val="333333"/>
          <w:sz w:val="24"/>
          <w:szCs w:val="24"/>
        </w:rPr>
        <w:t>zgodności z prawem poprzez usunięcie</w:t>
      </w:r>
      <w:r w:rsidR="00AC0404" w:rsidRPr="00140CD5">
        <w:rPr>
          <w:rFonts w:ascii="Times New Roman" w:hAnsi="Times New Roman" w:cs="Times New Roman"/>
          <w:color w:val="333333"/>
          <w:sz w:val="24"/>
          <w:szCs w:val="24"/>
        </w:rPr>
        <w:t xml:space="preserve"> naruszenia </w:t>
      </w:r>
      <w:r w:rsidR="0064514E" w:rsidRPr="00140CD5">
        <w:rPr>
          <w:rFonts w:ascii="Times New Roman" w:hAnsi="Times New Roman" w:cs="Times New Roman"/>
          <w:color w:val="333333"/>
          <w:sz w:val="24"/>
          <w:szCs w:val="24"/>
        </w:rPr>
        <w:t xml:space="preserve">wskazanego w </w:t>
      </w:r>
      <w:r w:rsidR="00AC0404" w:rsidRPr="00140CD5">
        <w:rPr>
          <w:rFonts w:ascii="Times New Roman" w:hAnsi="Times New Roman" w:cs="Times New Roman"/>
          <w:color w:val="333333"/>
          <w:sz w:val="24"/>
          <w:szCs w:val="24"/>
        </w:rPr>
        <w:t>decyzj</w:t>
      </w:r>
      <w:r w:rsidR="0064514E" w:rsidRPr="00140CD5">
        <w:rPr>
          <w:rFonts w:ascii="Times New Roman" w:hAnsi="Times New Roman" w:cs="Times New Roman"/>
          <w:color w:val="333333"/>
          <w:sz w:val="24"/>
          <w:szCs w:val="24"/>
        </w:rPr>
        <w:t>i</w:t>
      </w:r>
      <w:r w:rsidR="00AC0404" w:rsidRPr="00140CD5">
        <w:rPr>
          <w:rFonts w:ascii="Times New Roman" w:hAnsi="Times New Roman" w:cs="Times New Roman"/>
          <w:color w:val="333333"/>
          <w:sz w:val="24"/>
          <w:szCs w:val="24"/>
        </w:rPr>
        <w:t xml:space="preserve"> Prezesa U</w:t>
      </w:r>
      <w:r w:rsidR="00413A34" w:rsidRPr="00140CD5">
        <w:rPr>
          <w:rFonts w:ascii="Times New Roman" w:hAnsi="Times New Roman" w:cs="Times New Roman"/>
          <w:color w:val="333333"/>
          <w:sz w:val="24"/>
          <w:szCs w:val="24"/>
        </w:rPr>
        <w:t>OKiK</w:t>
      </w:r>
      <w:r w:rsidR="00133BEA" w:rsidRPr="00140CD5">
        <w:rPr>
          <w:rFonts w:ascii="Times New Roman" w:hAnsi="Times New Roman" w:cs="Times New Roman"/>
          <w:color w:val="333333"/>
          <w:sz w:val="24"/>
          <w:szCs w:val="24"/>
        </w:rPr>
        <w:t>, o której mowa w art. 26 lub art. 101 a</w:t>
      </w:r>
      <w:r w:rsidR="00AC0404" w:rsidRPr="00140CD5">
        <w:rPr>
          <w:rFonts w:ascii="Times New Roman" w:hAnsi="Times New Roman" w:cs="Times New Roman"/>
          <w:color w:val="333333"/>
          <w:sz w:val="24"/>
          <w:szCs w:val="24"/>
        </w:rPr>
        <w:t xml:space="preserve">. Z uwagi na powyższe nie przewiduje się możliwości zgłoszenia przez przedsiębiorców telekomunikacyjnych środków odwoławczych. </w:t>
      </w:r>
    </w:p>
    <w:p w14:paraId="4D639A37" w14:textId="77777777" w:rsidR="00F75957" w:rsidRPr="00140CD5" w:rsidRDefault="00D96A46" w:rsidP="00140CD5">
      <w:pPr>
        <w:spacing w:before="120" w:after="120" w:line="276" w:lineRule="auto"/>
        <w:jc w:val="both"/>
        <w:rPr>
          <w:rFonts w:ascii="Times New Roman" w:hAnsi="Times New Roman" w:cs="Times New Roman"/>
          <w:b/>
          <w:sz w:val="24"/>
          <w:szCs w:val="24"/>
        </w:rPr>
      </w:pPr>
      <w:r w:rsidRPr="00140CD5">
        <w:rPr>
          <w:rFonts w:ascii="Times New Roman" w:hAnsi="Times New Roman" w:cs="Times New Roman"/>
          <w:b/>
          <w:sz w:val="24"/>
          <w:szCs w:val="24"/>
        </w:rPr>
        <w:lastRenderedPageBreak/>
        <w:t xml:space="preserve">5. </w:t>
      </w:r>
      <w:r w:rsidR="005672EF" w:rsidRPr="00140CD5">
        <w:rPr>
          <w:rFonts w:ascii="Times New Roman" w:hAnsi="Times New Roman" w:cs="Times New Roman"/>
          <w:b/>
          <w:sz w:val="24"/>
          <w:szCs w:val="24"/>
        </w:rPr>
        <w:t>R</w:t>
      </w:r>
      <w:r w:rsidR="00F75957" w:rsidRPr="00140CD5">
        <w:rPr>
          <w:rFonts w:ascii="Times New Roman" w:hAnsi="Times New Roman" w:cs="Times New Roman"/>
          <w:b/>
          <w:sz w:val="24"/>
          <w:szCs w:val="24"/>
        </w:rPr>
        <w:t>ozszerzenie instytucji przeszukania także na postępowania konsumenckie</w:t>
      </w:r>
      <w:r w:rsidR="007A0051" w:rsidRPr="00140CD5">
        <w:rPr>
          <w:rFonts w:ascii="Times New Roman" w:hAnsi="Times New Roman" w:cs="Times New Roman"/>
          <w:b/>
          <w:sz w:val="24"/>
          <w:szCs w:val="24"/>
        </w:rPr>
        <w:t xml:space="preserve"> (art. 9 ust. 3 lit. c) </w:t>
      </w:r>
    </w:p>
    <w:p w14:paraId="01201BCE" w14:textId="77777777" w:rsidR="00F566B5" w:rsidRPr="00140CD5" w:rsidRDefault="007A0051" w:rsidP="00140CD5">
      <w:pPr>
        <w:spacing w:before="120" w:after="120" w:line="276" w:lineRule="auto"/>
        <w:jc w:val="both"/>
        <w:rPr>
          <w:rFonts w:ascii="Times New Roman" w:hAnsi="Times New Roman" w:cs="Times New Roman"/>
          <w:sz w:val="24"/>
          <w:szCs w:val="24"/>
        </w:rPr>
      </w:pPr>
      <w:r w:rsidRPr="00140CD5">
        <w:rPr>
          <w:rFonts w:ascii="Times New Roman" w:hAnsi="Times New Roman" w:cs="Times New Roman"/>
          <w:sz w:val="24"/>
          <w:szCs w:val="24"/>
        </w:rPr>
        <w:t xml:space="preserve">Art. 9 ust. 3 lit. c rozporządzenia CPC zobowiązuje do zapewnienia właściwemu w sprawach ochrony konsumentów organowi, uprawnienia do przeprowadzenia niezbędnych kontroli na miejscu, w tym wkraczania do pomieszczeń i środków transportu oraz na tereny, z których przedsiębiorca, którego dotyczy kontrola, korzysta w celach </w:t>
      </w:r>
      <w:r w:rsidR="00D96A46" w:rsidRPr="00140CD5">
        <w:rPr>
          <w:rFonts w:ascii="Times New Roman" w:hAnsi="Times New Roman" w:cs="Times New Roman"/>
          <w:sz w:val="24"/>
          <w:szCs w:val="24"/>
        </w:rPr>
        <w:t>związanych ze swoją</w:t>
      </w:r>
      <w:r w:rsidRPr="00140CD5">
        <w:rPr>
          <w:rFonts w:ascii="Times New Roman" w:hAnsi="Times New Roman" w:cs="Times New Roman"/>
          <w:sz w:val="24"/>
          <w:szCs w:val="24"/>
        </w:rPr>
        <w:t xml:space="preserve"> działalnością handlową, gospodarczą, rzemieślnicza lub wykonywaniem wolnego zawodu. Przedmiotowy przepis należy interpretować jako wskazanie możliwości dokonania przeszukania w sprawach z zakresu ochrony konsumentów</w:t>
      </w:r>
      <w:r w:rsidR="005A6B35" w:rsidRPr="00140CD5">
        <w:rPr>
          <w:rFonts w:ascii="Times New Roman" w:hAnsi="Times New Roman" w:cs="Times New Roman"/>
          <w:sz w:val="24"/>
          <w:szCs w:val="24"/>
        </w:rPr>
        <w:t>.</w:t>
      </w:r>
      <w:r w:rsidRPr="00140CD5">
        <w:rPr>
          <w:rFonts w:ascii="Times New Roman" w:hAnsi="Times New Roman" w:cs="Times New Roman"/>
          <w:sz w:val="24"/>
          <w:szCs w:val="24"/>
        </w:rPr>
        <w:t xml:space="preserve"> </w:t>
      </w:r>
      <w:r w:rsidR="004771B1" w:rsidRPr="00140CD5">
        <w:rPr>
          <w:rFonts w:ascii="Times New Roman" w:hAnsi="Times New Roman" w:cs="Times New Roman"/>
          <w:sz w:val="24"/>
          <w:szCs w:val="24"/>
        </w:rPr>
        <w:t>Przeszukanie</w:t>
      </w:r>
      <w:r w:rsidRPr="00140CD5">
        <w:rPr>
          <w:rFonts w:ascii="Times New Roman" w:hAnsi="Times New Roman" w:cs="Times New Roman"/>
          <w:sz w:val="24"/>
          <w:szCs w:val="24"/>
        </w:rPr>
        <w:t xml:space="preserve"> w odró</w:t>
      </w:r>
      <w:r w:rsidR="004771B1" w:rsidRPr="00140CD5">
        <w:rPr>
          <w:rFonts w:ascii="Times New Roman" w:hAnsi="Times New Roman" w:cs="Times New Roman"/>
          <w:sz w:val="24"/>
          <w:szCs w:val="24"/>
        </w:rPr>
        <w:t>ż</w:t>
      </w:r>
      <w:r w:rsidRPr="00140CD5">
        <w:rPr>
          <w:rFonts w:ascii="Times New Roman" w:hAnsi="Times New Roman" w:cs="Times New Roman"/>
          <w:sz w:val="24"/>
          <w:szCs w:val="24"/>
        </w:rPr>
        <w:t>nieniu od „zw</w:t>
      </w:r>
      <w:r w:rsidR="00D96A46" w:rsidRPr="00140CD5">
        <w:rPr>
          <w:rFonts w:ascii="Times New Roman" w:hAnsi="Times New Roman" w:cs="Times New Roman"/>
          <w:sz w:val="24"/>
          <w:szCs w:val="24"/>
        </w:rPr>
        <w:t>ykłej” kontroli, zakłada aktywną</w:t>
      </w:r>
      <w:r w:rsidRPr="00140CD5">
        <w:rPr>
          <w:rFonts w:ascii="Times New Roman" w:hAnsi="Times New Roman" w:cs="Times New Roman"/>
          <w:sz w:val="24"/>
          <w:szCs w:val="24"/>
        </w:rPr>
        <w:t xml:space="preserve"> rolę kontrolującego, a nie bazowanie </w:t>
      </w:r>
      <w:r w:rsidR="004771B1" w:rsidRPr="00140CD5">
        <w:rPr>
          <w:rFonts w:ascii="Times New Roman" w:hAnsi="Times New Roman" w:cs="Times New Roman"/>
          <w:sz w:val="24"/>
          <w:szCs w:val="24"/>
        </w:rPr>
        <w:t>na</w:t>
      </w:r>
      <w:r w:rsidRPr="00140CD5">
        <w:rPr>
          <w:rFonts w:ascii="Times New Roman" w:hAnsi="Times New Roman" w:cs="Times New Roman"/>
          <w:sz w:val="24"/>
          <w:szCs w:val="24"/>
        </w:rPr>
        <w:t xml:space="preserve"> materiale przekazanym lub udostępnionym przez przedsiębiorcę. Należy </w:t>
      </w:r>
      <w:r w:rsidR="004771B1" w:rsidRPr="00140CD5">
        <w:rPr>
          <w:rFonts w:ascii="Times New Roman" w:hAnsi="Times New Roman" w:cs="Times New Roman"/>
          <w:sz w:val="24"/>
          <w:szCs w:val="24"/>
        </w:rPr>
        <w:t>zauważyć</w:t>
      </w:r>
      <w:r w:rsidRPr="00140CD5">
        <w:rPr>
          <w:rFonts w:ascii="Times New Roman" w:hAnsi="Times New Roman" w:cs="Times New Roman"/>
          <w:sz w:val="24"/>
          <w:szCs w:val="24"/>
        </w:rPr>
        <w:t xml:space="preserve">, że obecnie </w:t>
      </w:r>
      <w:r w:rsidR="004771B1" w:rsidRPr="00140CD5">
        <w:rPr>
          <w:rFonts w:ascii="Times New Roman" w:hAnsi="Times New Roman" w:cs="Times New Roman"/>
          <w:sz w:val="24"/>
          <w:szCs w:val="24"/>
        </w:rPr>
        <w:t xml:space="preserve">ustawa okik przewiduje możliwość przeszukania </w:t>
      </w:r>
      <w:r w:rsidRPr="00140CD5">
        <w:rPr>
          <w:rFonts w:ascii="Times New Roman" w:hAnsi="Times New Roman" w:cs="Times New Roman"/>
          <w:sz w:val="24"/>
          <w:szCs w:val="24"/>
        </w:rPr>
        <w:t xml:space="preserve">w sprawach z zakresu </w:t>
      </w:r>
      <w:r w:rsidR="004771B1" w:rsidRPr="00140CD5">
        <w:rPr>
          <w:rFonts w:ascii="Times New Roman" w:hAnsi="Times New Roman" w:cs="Times New Roman"/>
          <w:sz w:val="24"/>
          <w:szCs w:val="24"/>
        </w:rPr>
        <w:t>ochrony konkurencji, w postępowaniu antymonopolowy</w:t>
      </w:r>
      <w:r w:rsidR="005A6B35" w:rsidRPr="00140CD5">
        <w:rPr>
          <w:rFonts w:ascii="Times New Roman" w:hAnsi="Times New Roman" w:cs="Times New Roman"/>
          <w:sz w:val="24"/>
          <w:szCs w:val="24"/>
        </w:rPr>
        <w:t>m</w:t>
      </w:r>
      <w:r w:rsidR="004771B1" w:rsidRPr="00140CD5">
        <w:rPr>
          <w:rFonts w:ascii="Times New Roman" w:hAnsi="Times New Roman" w:cs="Times New Roman"/>
          <w:sz w:val="24"/>
          <w:szCs w:val="24"/>
        </w:rPr>
        <w:t xml:space="preserve">. Proponuje się zatem zmianę art. 105 n poprzez </w:t>
      </w:r>
      <w:r w:rsidR="005672EF" w:rsidRPr="00140CD5">
        <w:rPr>
          <w:rFonts w:ascii="Times New Roman" w:hAnsi="Times New Roman" w:cs="Times New Roman"/>
          <w:sz w:val="24"/>
          <w:szCs w:val="24"/>
        </w:rPr>
        <w:t xml:space="preserve">wprowadzenie </w:t>
      </w:r>
      <w:r w:rsidR="004771B1" w:rsidRPr="00140CD5">
        <w:rPr>
          <w:rFonts w:ascii="Times New Roman" w:hAnsi="Times New Roman" w:cs="Times New Roman"/>
          <w:sz w:val="24"/>
          <w:szCs w:val="24"/>
        </w:rPr>
        <w:t>możliwoś</w:t>
      </w:r>
      <w:r w:rsidR="00F566B5" w:rsidRPr="00140CD5">
        <w:rPr>
          <w:rFonts w:ascii="Times New Roman" w:hAnsi="Times New Roman" w:cs="Times New Roman"/>
          <w:sz w:val="24"/>
          <w:szCs w:val="24"/>
        </w:rPr>
        <w:t>ci</w:t>
      </w:r>
      <w:r w:rsidR="004771B1" w:rsidRPr="00140CD5">
        <w:rPr>
          <w:rFonts w:ascii="Times New Roman" w:hAnsi="Times New Roman" w:cs="Times New Roman"/>
          <w:sz w:val="24"/>
          <w:szCs w:val="24"/>
        </w:rPr>
        <w:t xml:space="preserve"> dokonania przeszukania zarówno w postępowaniu w sprawie praktyk naruszających zbiorowe interesy konsumentów, jak też – dla zapewnienia spójności systemowej – w postępowaniu w sprawie o uznanie postanowień wzorca umowy za niedozwolone. Pozostałe rozwiązania w zakresie instytucji przeszukania, funkcjonujące na gruncie ustawy okik, nie będą podlegały zmianie. Podobnie jak obecnie dokonanie przeszukania warunkowane będzie uzyskanie zgody SOKiK udzielonej na wniosek Prezesa UOKiK, gdy zachodzi uzasadnione podejrzenie poważnego naruszenia przepisów ustawy, w szczególności gdy mogłoby dojść do zatarcia dowodów. </w:t>
      </w:r>
    </w:p>
    <w:p w14:paraId="47D76FEC" w14:textId="77777777" w:rsidR="00F75957" w:rsidRPr="00140CD5" w:rsidRDefault="00D96A46" w:rsidP="00140CD5">
      <w:pPr>
        <w:spacing w:before="120" w:after="120" w:line="276" w:lineRule="auto"/>
        <w:jc w:val="both"/>
        <w:rPr>
          <w:rFonts w:ascii="Times New Roman" w:hAnsi="Times New Roman" w:cs="Times New Roman"/>
          <w:b/>
          <w:sz w:val="24"/>
          <w:szCs w:val="24"/>
        </w:rPr>
      </w:pPr>
      <w:r w:rsidRPr="00140CD5">
        <w:rPr>
          <w:rFonts w:ascii="Times New Roman" w:hAnsi="Times New Roman" w:cs="Times New Roman"/>
          <w:b/>
          <w:sz w:val="24"/>
          <w:szCs w:val="24"/>
        </w:rPr>
        <w:t xml:space="preserve">6. </w:t>
      </w:r>
      <w:r w:rsidR="00F566B5" w:rsidRPr="00140CD5">
        <w:rPr>
          <w:rFonts w:ascii="Times New Roman" w:hAnsi="Times New Roman" w:cs="Times New Roman"/>
          <w:b/>
          <w:sz w:val="24"/>
          <w:szCs w:val="24"/>
        </w:rPr>
        <w:t>O</w:t>
      </w:r>
      <w:r w:rsidR="00F75957" w:rsidRPr="00140CD5">
        <w:rPr>
          <w:rFonts w:ascii="Times New Roman" w:hAnsi="Times New Roman" w:cs="Times New Roman"/>
          <w:b/>
          <w:sz w:val="24"/>
          <w:szCs w:val="24"/>
        </w:rPr>
        <w:t xml:space="preserve">strzeżenia zewnętrzne wyznaczonych podmiotów </w:t>
      </w:r>
    </w:p>
    <w:p w14:paraId="2EED9285" w14:textId="77777777" w:rsidR="00D171F9" w:rsidRPr="00140CD5" w:rsidRDefault="007E61BE" w:rsidP="00140CD5">
      <w:pPr>
        <w:spacing w:after="120" w:line="276" w:lineRule="auto"/>
        <w:jc w:val="both"/>
        <w:rPr>
          <w:rFonts w:ascii="Times New Roman" w:hAnsi="Times New Roman" w:cs="Times New Roman"/>
          <w:sz w:val="24"/>
          <w:szCs w:val="24"/>
        </w:rPr>
      </w:pPr>
      <w:r w:rsidRPr="00140CD5">
        <w:rPr>
          <w:rFonts w:ascii="Times New Roman" w:hAnsi="Times New Roman" w:cs="Times New Roman"/>
          <w:sz w:val="24"/>
          <w:szCs w:val="24"/>
        </w:rPr>
        <w:t xml:space="preserve">Rozporządzenie CPC w art. 27 przewiduje  możliwość zgłaszania ostrzeżeń zewnętrznych przez wyznaczone podmioty, europejskie centra konsumenckie, organizacje i stowarzyszenia konsumenckie oraz w odpowiednim przypadku stowarzyszenia przedsiębiorców. </w:t>
      </w:r>
      <w:r w:rsidR="00D171F9" w:rsidRPr="00140CD5">
        <w:rPr>
          <w:rFonts w:ascii="Times New Roman" w:hAnsi="Times New Roman" w:cs="Times New Roman"/>
          <w:sz w:val="24"/>
          <w:szCs w:val="24"/>
        </w:rPr>
        <w:t>Zgodnie z art. 27 rozporządzenia CPC, o ile inna decyzja nie jest uzasadniona, każde państwo członkowskie uprawnia wyznaczone podmioty, Europejskie Centra Konsumenckie, organizacje i stowarzyszenia konsumenckie oraz w odpowiednich przypadkach stowarzyszenia przedsiębiorców posiadające niezbędną wiedzę specjalistyczną, uprawnienie do wydania ostrzeżenia do właściwych organów danych państw członkowskich i Komisji o podejrzeniach, że doszło do naruszenia, objętego niniejszym rozporządzeniem, i do przedstawiania dostępnych im informacji określonych w art. 26 ust. 3 („ostrzeżenie zewnętrzne”). Każde państwo członkowskie niezwłocznie notyfikuje Komisji wykaz tych podmiotów i wszelkie zmiany do tego wykazu</w:t>
      </w:r>
    </w:p>
    <w:p w14:paraId="6B1AB8D4" w14:textId="77777777" w:rsidR="00F75957" w:rsidRPr="00140CD5" w:rsidRDefault="00F566B5" w:rsidP="00140CD5">
      <w:pPr>
        <w:spacing w:after="120" w:line="276" w:lineRule="auto"/>
        <w:jc w:val="both"/>
        <w:rPr>
          <w:rFonts w:ascii="Times New Roman" w:hAnsi="Times New Roman" w:cs="Times New Roman"/>
          <w:sz w:val="24"/>
          <w:szCs w:val="24"/>
        </w:rPr>
      </w:pPr>
      <w:r w:rsidRPr="00140CD5">
        <w:rPr>
          <w:rFonts w:ascii="Times New Roman" w:hAnsi="Times New Roman" w:cs="Times New Roman"/>
          <w:sz w:val="24"/>
          <w:szCs w:val="24"/>
        </w:rPr>
        <w:t xml:space="preserve">W tym zakresie ustawodawca unijny zapewnił tzw. swobodę decyzyjną </w:t>
      </w:r>
      <w:r w:rsidR="007E61BE" w:rsidRPr="00140CD5">
        <w:rPr>
          <w:rFonts w:ascii="Times New Roman" w:hAnsi="Times New Roman" w:cs="Times New Roman"/>
          <w:sz w:val="24"/>
          <w:szCs w:val="24"/>
        </w:rPr>
        <w:t>Państw</w:t>
      </w:r>
      <w:r w:rsidRPr="00140CD5">
        <w:rPr>
          <w:rFonts w:ascii="Times New Roman" w:hAnsi="Times New Roman" w:cs="Times New Roman"/>
          <w:sz w:val="24"/>
          <w:szCs w:val="24"/>
        </w:rPr>
        <w:t>om</w:t>
      </w:r>
      <w:r w:rsidR="007E61BE" w:rsidRPr="00140CD5">
        <w:rPr>
          <w:rFonts w:ascii="Times New Roman" w:hAnsi="Times New Roman" w:cs="Times New Roman"/>
          <w:sz w:val="24"/>
          <w:szCs w:val="24"/>
        </w:rPr>
        <w:t xml:space="preserve"> członkowski</w:t>
      </w:r>
      <w:r w:rsidRPr="00140CD5">
        <w:rPr>
          <w:rFonts w:ascii="Times New Roman" w:hAnsi="Times New Roman" w:cs="Times New Roman"/>
          <w:sz w:val="24"/>
          <w:szCs w:val="24"/>
        </w:rPr>
        <w:t>m umożliwiając im podjęcie decyzji co do wprowadzenia tej instytucji,</w:t>
      </w:r>
      <w:r w:rsidR="007E61BE" w:rsidRPr="00140CD5">
        <w:rPr>
          <w:rFonts w:ascii="Times New Roman" w:hAnsi="Times New Roman" w:cs="Times New Roman"/>
          <w:sz w:val="24"/>
          <w:szCs w:val="24"/>
        </w:rPr>
        <w:t xml:space="preserve"> uzasadniając swoją decyzj</w:t>
      </w:r>
      <w:r w:rsidR="0064514E" w:rsidRPr="00140CD5">
        <w:rPr>
          <w:rFonts w:ascii="Times New Roman" w:hAnsi="Times New Roman" w:cs="Times New Roman"/>
          <w:sz w:val="24"/>
          <w:szCs w:val="24"/>
        </w:rPr>
        <w:t>ę</w:t>
      </w:r>
      <w:r w:rsidR="007E61BE" w:rsidRPr="00140CD5">
        <w:rPr>
          <w:rFonts w:ascii="Times New Roman" w:hAnsi="Times New Roman" w:cs="Times New Roman"/>
          <w:sz w:val="24"/>
          <w:szCs w:val="24"/>
        </w:rPr>
        <w:t xml:space="preserve"> o nieprzyznawaniu takich uprawnień. Z uwagi na chęć zwiększenia aktywności polskich organizacji och</w:t>
      </w:r>
      <w:r w:rsidR="00D96A46" w:rsidRPr="00140CD5">
        <w:rPr>
          <w:rFonts w:ascii="Times New Roman" w:hAnsi="Times New Roman" w:cs="Times New Roman"/>
          <w:sz w:val="24"/>
          <w:szCs w:val="24"/>
        </w:rPr>
        <w:t>rony konsumentów podjęto decyzję</w:t>
      </w:r>
      <w:r w:rsidR="007E61BE" w:rsidRPr="00140CD5">
        <w:rPr>
          <w:rFonts w:ascii="Times New Roman" w:hAnsi="Times New Roman" w:cs="Times New Roman"/>
          <w:sz w:val="24"/>
          <w:szCs w:val="24"/>
        </w:rPr>
        <w:t xml:space="preserve"> o umożliwieniu wyznaczonym organizacjom konsumenckich, zgłaszania ostrzeżeń zewnętrznych w systemie wymiany informacji o naruszeniach transgranicznych.</w:t>
      </w:r>
    </w:p>
    <w:p w14:paraId="6F74F4E4" w14:textId="2EB1B058" w:rsidR="00993DB0" w:rsidRPr="00491198" w:rsidRDefault="007E61BE" w:rsidP="00491198">
      <w:pPr>
        <w:spacing w:after="120" w:line="276" w:lineRule="auto"/>
        <w:jc w:val="both"/>
        <w:rPr>
          <w:rFonts w:ascii="Times New Roman" w:hAnsi="Times New Roman" w:cs="Times New Roman"/>
          <w:sz w:val="24"/>
          <w:szCs w:val="24"/>
        </w:rPr>
      </w:pPr>
      <w:r w:rsidRPr="00140CD5">
        <w:rPr>
          <w:rFonts w:ascii="Times New Roman" w:hAnsi="Times New Roman" w:cs="Times New Roman"/>
          <w:sz w:val="24"/>
          <w:szCs w:val="24"/>
        </w:rPr>
        <w:lastRenderedPageBreak/>
        <w:t>W celu nadania uprawnień do zgłaszania ostrzeżeń zewnętrznych, o których mowa w art. 27 rozporządzenia CPC konieczne jest wprowadzenie procedury</w:t>
      </w:r>
      <w:r w:rsidR="00D96A46" w:rsidRPr="00140CD5">
        <w:rPr>
          <w:rFonts w:ascii="Times New Roman" w:hAnsi="Times New Roman" w:cs="Times New Roman"/>
          <w:sz w:val="24"/>
          <w:szCs w:val="24"/>
        </w:rPr>
        <w:t>,</w:t>
      </w:r>
      <w:r w:rsidRPr="00140CD5">
        <w:rPr>
          <w:rFonts w:ascii="Times New Roman" w:hAnsi="Times New Roman" w:cs="Times New Roman"/>
          <w:sz w:val="24"/>
          <w:szCs w:val="24"/>
        </w:rPr>
        <w:t xml:space="preserve"> </w:t>
      </w:r>
      <w:r w:rsidR="00C0380E" w:rsidRPr="00140CD5">
        <w:rPr>
          <w:rFonts w:ascii="Times New Roman" w:hAnsi="Times New Roman" w:cs="Times New Roman"/>
          <w:sz w:val="24"/>
          <w:szCs w:val="24"/>
        </w:rPr>
        <w:t>w drodze</w:t>
      </w:r>
      <w:r w:rsidR="00D96A46" w:rsidRPr="00140CD5">
        <w:rPr>
          <w:rFonts w:ascii="Times New Roman" w:hAnsi="Times New Roman" w:cs="Times New Roman"/>
          <w:sz w:val="24"/>
          <w:szCs w:val="24"/>
        </w:rPr>
        <w:t xml:space="preserve"> której </w:t>
      </w:r>
      <w:r w:rsidRPr="00140CD5">
        <w:rPr>
          <w:rFonts w:ascii="Times New Roman" w:hAnsi="Times New Roman" w:cs="Times New Roman"/>
          <w:sz w:val="24"/>
          <w:szCs w:val="24"/>
        </w:rPr>
        <w:t xml:space="preserve"> </w:t>
      </w:r>
      <w:r w:rsidR="00C0380E" w:rsidRPr="00140CD5">
        <w:rPr>
          <w:rFonts w:ascii="Times New Roman" w:hAnsi="Times New Roman" w:cs="Times New Roman"/>
          <w:sz w:val="24"/>
          <w:szCs w:val="24"/>
        </w:rPr>
        <w:t>organizacja</w:t>
      </w:r>
      <w:r w:rsidRPr="00140CD5">
        <w:rPr>
          <w:rFonts w:ascii="Times New Roman" w:hAnsi="Times New Roman" w:cs="Times New Roman"/>
          <w:sz w:val="24"/>
          <w:szCs w:val="24"/>
        </w:rPr>
        <w:t xml:space="preserve"> z</w:t>
      </w:r>
      <w:r w:rsidR="00F566B5" w:rsidRPr="00140CD5">
        <w:rPr>
          <w:rFonts w:ascii="Times New Roman" w:hAnsi="Times New Roman" w:cs="Times New Roman"/>
          <w:sz w:val="24"/>
          <w:szCs w:val="24"/>
        </w:rPr>
        <w:t>yska uprawnienie, o którym mowa powyżej.</w:t>
      </w:r>
      <w:r w:rsidRPr="00140CD5">
        <w:rPr>
          <w:rFonts w:ascii="Times New Roman" w:hAnsi="Times New Roman" w:cs="Times New Roman"/>
          <w:sz w:val="24"/>
          <w:szCs w:val="24"/>
        </w:rPr>
        <w:t xml:space="preserve"> </w:t>
      </w:r>
      <w:r w:rsidR="00C0380E" w:rsidRPr="00140CD5">
        <w:rPr>
          <w:rFonts w:ascii="Times New Roman" w:hAnsi="Times New Roman" w:cs="Times New Roman"/>
          <w:sz w:val="24"/>
          <w:szCs w:val="24"/>
        </w:rPr>
        <w:t>Procedurę</w:t>
      </w:r>
      <w:r w:rsidRPr="00140CD5">
        <w:rPr>
          <w:rFonts w:ascii="Times New Roman" w:hAnsi="Times New Roman" w:cs="Times New Roman"/>
          <w:sz w:val="24"/>
          <w:szCs w:val="24"/>
        </w:rPr>
        <w:t xml:space="preserve"> taką przewi</w:t>
      </w:r>
      <w:r w:rsidR="00D96A46" w:rsidRPr="00140CD5">
        <w:rPr>
          <w:rFonts w:ascii="Times New Roman" w:hAnsi="Times New Roman" w:cs="Times New Roman"/>
          <w:sz w:val="24"/>
          <w:szCs w:val="24"/>
        </w:rPr>
        <w:t>dują projektowane przepisy art. </w:t>
      </w:r>
      <w:r w:rsidRPr="00140CD5">
        <w:rPr>
          <w:rFonts w:ascii="Times New Roman" w:hAnsi="Times New Roman" w:cs="Times New Roman"/>
          <w:sz w:val="24"/>
          <w:szCs w:val="24"/>
        </w:rPr>
        <w:t xml:space="preserve">45a i 45 b. Zgodnie z projektowanym art. 45a </w:t>
      </w:r>
      <w:r w:rsidR="00C0380E" w:rsidRPr="00140CD5">
        <w:rPr>
          <w:rFonts w:ascii="Times New Roman" w:hAnsi="Times New Roman" w:cs="Times New Roman"/>
          <w:sz w:val="24"/>
          <w:szCs w:val="24"/>
        </w:rPr>
        <w:t>Prezes</w:t>
      </w:r>
      <w:r w:rsidRPr="00140CD5">
        <w:rPr>
          <w:rFonts w:ascii="Times New Roman" w:hAnsi="Times New Roman" w:cs="Times New Roman"/>
          <w:sz w:val="24"/>
          <w:szCs w:val="24"/>
        </w:rPr>
        <w:t xml:space="preserve"> U</w:t>
      </w:r>
      <w:r w:rsidR="00413A34" w:rsidRPr="00140CD5">
        <w:rPr>
          <w:rFonts w:ascii="Times New Roman" w:hAnsi="Times New Roman" w:cs="Times New Roman"/>
          <w:sz w:val="24"/>
          <w:szCs w:val="24"/>
        </w:rPr>
        <w:t>OKiK</w:t>
      </w:r>
      <w:r w:rsidRPr="00140CD5">
        <w:rPr>
          <w:rFonts w:ascii="Times New Roman" w:hAnsi="Times New Roman" w:cs="Times New Roman"/>
          <w:sz w:val="24"/>
          <w:szCs w:val="24"/>
        </w:rPr>
        <w:t xml:space="preserve"> prowadzi </w:t>
      </w:r>
      <w:r w:rsidR="00C0380E" w:rsidRPr="00140CD5">
        <w:rPr>
          <w:rFonts w:ascii="Times New Roman" w:hAnsi="Times New Roman" w:cs="Times New Roman"/>
          <w:sz w:val="24"/>
          <w:szCs w:val="24"/>
        </w:rPr>
        <w:t>listę</w:t>
      </w:r>
      <w:r w:rsidRPr="00140CD5">
        <w:rPr>
          <w:rFonts w:ascii="Times New Roman" w:hAnsi="Times New Roman" w:cs="Times New Roman"/>
          <w:sz w:val="24"/>
          <w:szCs w:val="24"/>
        </w:rPr>
        <w:t xml:space="preserve"> organizacji konsumenckich uprawnionych do zgłaszania ostrzeżeń </w:t>
      </w:r>
      <w:r w:rsidR="00C0380E" w:rsidRPr="00140CD5">
        <w:rPr>
          <w:rFonts w:ascii="Times New Roman" w:hAnsi="Times New Roman" w:cs="Times New Roman"/>
          <w:sz w:val="24"/>
          <w:szCs w:val="24"/>
        </w:rPr>
        <w:t>zewnętrznych</w:t>
      </w:r>
      <w:r w:rsidR="00D96A46" w:rsidRPr="00140CD5">
        <w:rPr>
          <w:rFonts w:ascii="Times New Roman" w:hAnsi="Times New Roman" w:cs="Times New Roman"/>
          <w:sz w:val="24"/>
          <w:szCs w:val="24"/>
        </w:rPr>
        <w:t>, o </w:t>
      </w:r>
      <w:r w:rsidRPr="00140CD5">
        <w:rPr>
          <w:rFonts w:ascii="Times New Roman" w:hAnsi="Times New Roman" w:cs="Times New Roman"/>
          <w:sz w:val="24"/>
          <w:szCs w:val="24"/>
        </w:rPr>
        <w:t xml:space="preserve">których mowa w art. 27 rozporządzenia CPC. </w:t>
      </w:r>
      <w:r w:rsidR="00C0380E" w:rsidRPr="00140CD5">
        <w:rPr>
          <w:rFonts w:ascii="Times New Roman" w:hAnsi="Times New Roman" w:cs="Times New Roman"/>
          <w:sz w:val="24"/>
          <w:szCs w:val="24"/>
        </w:rPr>
        <w:t>Prezes</w:t>
      </w:r>
      <w:r w:rsidRPr="00140CD5">
        <w:rPr>
          <w:rFonts w:ascii="Times New Roman" w:hAnsi="Times New Roman" w:cs="Times New Roman"/>
          <w:sz w:val="24"/>
          <w:szCs w:val="24"/>
        </w:rPr>
        <w:t xml:space="preserve"> </w:t>
      </w:r>
      <w:r w:rsidR="00413A34" w:rsidRPr="00140CD5">
        <w:rPr>
          <w:rFonts w:ascii="Times New Roman" w:hAnsi="Times New Roman" w:cs="Times New Roman"/>
          <w:sz w:val="24"/>
          <w:szCs w:val="24"/>
        </w:rPr>
        <w:t xml:space="preserve">UOKiK </w:t>
      </w:r>
      <w:r w:rsidR="00C0380E" w:rsidRPr="00140CD5">
        <w:rPr>
          <w:rFonts w:ascii="Times New Roman" w:hAnsi="Times New Roman" w:cs="Times New Roman"/>
          <w:sz w:val="24"/>
          <w:szCs w:val="24"/>
        </w:rPr>
        <w:t>dokonuje</w:t>
      </w:r>
      <w:r w:rsidRPr="00140CD5">
        <w:rPr>
          <w:rFonts w:ascii="Times New Roman" w:hAnsi="Times New Roman" w:cs="Times New Roman"/>
          <w:sz w:val="24"/>
          <w:szCs w:val="24"/>
        </w:rPr>
        <w:t xml:space="preserve"> wpisu organizacji na listę na jej uzasadniony wniosek. </w:t>
      </w:r>
      <w:r w:rsidR="00F566B5" w:rsidRPr="00140CD5">
        <w:rPr>
          <w:rFonts w:ascii="Times New Roman" w:hAnsi="Times New Roman" w:cs="Times New Roman"/>
          <w:sz w:val="24"/>
          <w:szCs w:val="24"/>
        </w:rPr>
        <w:t xml:space="preserve">Wpis ma charakter czynności materialno- technicznej. </w:t>
      </w:r>
      <w:r w:rsidRPr="00140CD5">
        <w:rPr>
          <w:rFonts w:ascii="Times New Roman" w:hAnsi="Times New Roman" w:cs="Times New Roman"/>
          <w:sz w:val="24"/>
          <w:szCs w:val="24"/>
        </w:rPr>
        <w:t xml:space="preserve">W razie braku uzasadnienia wniosku o wpis – pozostawia </w:t>
      </w:r>
      <w:r w:rsidR="00C0380E" w:rsidRPr="00140CD5">
        <w:rPr>
          <w:rFonts w:ascii="Times New Roman" w:hAnsi="Times New Roman" w:cs="Times New Roman"/>
          <w:sz w:val="24"/>
          <w:szCs w:val="24"/>
        </w:rPr>
        <w:t>się</w:t>
      </w:r>
      <w:r w:rsidRPr="00140CD5">
        <w:rPr>
          <w:rFonts w:ascii="Times New Roman" w:hAnsi="Times New Roman" w:cs="Times New Roman"/>
          <w:sz w:val="24"/>
          <w:szCs w:val="24"/>
        </w:rPr>
        <w:t xml:space="preserve"> go bez rozpoznania. Projektowany art. 45a ust. 3 wskazuje warunki jakie musi spełnić organizacja konsumencka, aby stać się </w:t>
      </w:r>
      <w:r w:rsidR="00C0380E" w:rsidRPr="00140CD5">
        <w:rPr>
          <w:rFonts w:ascii="Times New Roman" w:hAnsi="Times New Roman" w:cs="Times New Roman"/>
          <w:sz w:val="24"/>
          <w:szCs w:val="24"/>
        </w:rPr>
        <w:t>podmiotem wyznaczonym. Organizacja konsumencka</w:t>
      </w:r>
      <w:r w:rsidR="00F566B5" w:rsidRPr="00140CD5">
        <w:rPr>
          <w:rFonts w:ascii="Times New Roman" w:hAnsi="Times New Roman" w:cs="Times New Roman"/>
          <w:sz w:val="24"/>
          <w:szCs w:val="24"/>
        </w:rPr>
        <w:t>,</w:t>
      </w:r>
      <w:r w:rsidR="00C0380E" w:rsidRPr="00140CD5">
        <w:rPr>
          <w:rFonts w:ascii="Times New Roman" w:hAnsi="Times New Roman" w:cs="Times New Roman"/>
          <w:sz w:val="24"/>
          <w:szCs w:val="24"/>
        </w:rPr>
        <w:t xml:space="preserve"> zgodnie z projektowanym art. 45 a ust. 3</w:t>
      </w:r>
      <w:r w:rsidR="00993DB0">
        <w:rPr>
          <w:rFonts w:ascii="Times New Roman" w:hAnsi="Times New Roman" w:cs="Times New Roman"/>
          <w:sz w:val="24"/>
          <w:szCs w:val="24"/>
        </w:rPr>
        <w:t xml:space="preserve"> </w:t>
      </w:r>
      <w:r w:rsidR="00993DB0" w:rsidRPr="00993DB0">
        <w:rPr>
          <w:rFonts w:ascii="Times New Roman" w:hAnsi="Times New Roman" w:cs="Times New Roman"/>
          <w:sz w:val="24"/>
          <w:szCs w:val="24"/>
        </w:rPr>
        <w:t>w</w:t>
      </w:r>
      <w:r w:rsidR="00993DB0" w:rsidRPr="00491198">
        <w:rPr>
          <w:rFonts w:ascii="Times New Roman" w:hAnsi="Times New Roman" w:cs="Times New Roman"/>
          <w:sz w:val="24"/>
          <w:szCs w:val="24"/>
        </w:rPr>
        <w:t>pis na listę organizacji uprawnionych może uzyskać organizacja konsumencka, która:</w:t>
      </w:r>
    </w:p>
    <w:p w14:paraId="74E3B6C0" w14:textId="77777777" w:rsidR="00993DB0" w:rsidRPr="00491198" w:rsidRDefault="00993DB0" w:rsidP="00993DB0">
      <w:pPr>
        <w:pStyle w:val="Akapitzlist"/>
        <w:spacing w:after="120" w:line="276" w:lineRule="auto"/>
        <w:jc w:val="both"/>
        <w:rPr>
          <w:rFonts w:ascii="Times New Roman" w:hAnsi="Times New Roman" w:cs="Times New Roman"/>
          <w:sz w:val="24"/>
          <w:szCs w:val="24"/>
        </w:rPr>
      </w:pPr>
      <w:r w:rsidRPr="00491198">
        <w:rPr>
          <w:rFonts w:ascii="Times New Roman" w:hAnsi="Times New Roman" w:cs="Times New Roman"/>
          <w:sz w:val="24"/>
          <w:szCs w:val="24"/>
        </w:rPr>
        <w:t xml:space="preserve">a)  posiada cel statutowy związany z ochroną konsumentów, </w:t>
      </w:r>
    </w:p>
    <w:p w14:paraId="5EE6E18E" w14:textId="77777777" w:rsidR="00993DB0" w:rsidRPr="00491198" w:rsidRDefault="00993DB0" w:rsidP="00993DB0">
      <w:pPr>
        <w:pStyle w:val="Akapitzlist"/>
        <w:spacing w:after="120" w:line="276" w:lineRule="auto"/>
        <w:jc w:val="both"/>
        <w:rPr>
          <w:rFonts w:ascii="Times New Roman" w:hAnsi="Times New Roman" w:cs="Times New Roman"/>
          <w:sz w:val="24"/>
          <w:szCs w:val="24"/>
          <w:shd w:val="clear" w:color="auto" w:fill="FFFFFF"/>
        </w:rPr>
      </w:pPr>
      <w:r w:rsidRPr="00491198">
        <w:rPr>
          <w:rFonts w:ascii="Times New Roman" w:hAnsi="Times New Roman" w:cs="Times New Roman"/>
          <w:sz w:val="24"/>
          <w:szCs w:val="24"/>
        </w:rPr>
        <w:t xml:space="preserve">b) wykazała, że </w:t>
      </w:r>
      <w:r w:rsidRPr="00491198">
        <w:rPr>
          <w:rFonts w:ascii="Times New Roman" w:hAnsi="Times New Roman" w:cs="Times New Roman"/>
          <w:color w:val="333333"/>
          <w:sz w:val="24"/>
          <w:szCs w:val="24"/>
          <w:shd w:val="clear" w:color="auto" w:fill="FFFFFF"/>
        </w:rPr>
        <w:t> </w:t>
      </w:r>
      <w:r w:rsidRPr="00491198">
        <w:rPr>
          <w:rFonts w:ascii="Times New Roman" w:hAnsi="Times New Roman" w:cs="Times New Roman"/>
          <w:sz w:val="24"/>
          <w:szCs w:val="24"/>
          <w:shd w:val="clear" w:color="auto" w:fill="FFFFFF"/>
        </w:rPr>
        <w:t>struktura organizacyjna, źródła i sposoby finansowania zapewniają jej bezstronność,</w:t>
      </w:r>
    </w:p>
    <w:p w14:paraId="5A67DD86" w14:textId="77777777" w:rsidR="00993DB0" w:rsidRPr="00491198" w:rsidRDefault="00993DB0" w:rsidP="00993DB0">
      <w:pPr>
        <w:pStyle w:val="Akapitzlist"/>
        <w:spacing w:after="120" w:line="276" w:lineRule="auto"/>
        <w:jc w:val="both"/>
        <w:rPr>
          <w:rFonts w:ascii="Times New Roman" w:hAnsi="Times New Roman" w:cs="Times New Roman"/>
          <w:sz w:val="24"/>
          <w:szCs w:val="24"/>
        </w:rPr>
      </w:pPr>
      <w:r w:rsidRPr="00491198">
        <w:rPr>
          <w:rFonts w:ascii="Times New Roman" w:hAnsi="Times New Roman" w:cs="Times New Roman"/>
          <w:sz w:val="24"/>
          <w:szCs w:val="24"/>
          <w:shd w:val="clear" w:color="auto" w:fill="FFFFFF"/>
        </w:rPr>
        <w:t>c) </w:t>
      </w:r>
      <w:r w:rsidRPr="00491198">
        <w:rPr>
          <w:rFonts w:ascii="Times New Roman" w:hAnsi="Times New Roman" w:cs="Times New Roman"/>
          <w:sz w:val="24"/>
          <w:szCs w:val="24"/>
        </w:rPr>
        <w:t xml:space="preserve"> dysponuje odpowiednią wiedzą i doświadczeniem z zakresu ochrony konsumentów, </w:t>
      </w:r>
    </w:p>
    <w:p w14:paraId="5DAA4ED2" w14:textId="77777777" w:rsidR="00993DB0" w:rsidRPr="00491198" w:rsidRDefault="00993DB0" w:rsidP="00993DB0">
      <w:pPr>
        <w:pStyle w:val="Akapitzlist"/>
        <w:spacing w:after="120" w:line="276" w:lineRule="auto"/>
        <w:jc w:val="both"/>
        <w:rPr>
          <w:rFonts w:ascii="Times New Roman" w:hAnsi="Times New Roman" w:cs="Times New Roman"/>
          <w:sz w:val="24"/>
          <w:szCs w:val="24"/>
        </w:rPr>
      </w:pPr>
      <w:r w:rsidRPr="00491198">
        <w:rPr>
          <w:rFonts w:ascii="Times New Roman" w:hAnsi="Times New Roman" w:cs="Times New Roman"/>
          <w:sz w:val="24"/>
          <w:szCs w:val="24"/>
        </w:rPr>
        <w:t>d) daje rękojmię należytego wykonywania zadań określonych w art. 27 rozporządzenia nr 2017/2394.</w:t>
      </w:r>
    </w:p>
    <w:p w14:paraId="7B3185E9" w14:textId="51AE1CEF" w:rsidR="00D96A46" w:rsidRPr="00140CD5" w:rsidRDefault="00C0380E" w:rsidP="00140CD5">
      <w:pPr>
        <w:spacing w:after="120" w:line="276" w:lineRule="auto"/>
        <w:jc w:val="both"/>
        <w:rPr>
          <w:rFonts w:ascii="Times New Roman" w:hAnsi="Times New Roman" w:cs="Times New Roman"/>
          <w:sz w:val="24"/>
          <w:szCs w:val="24"/>
        </w:rPr>
      </w:pPr>
      <w:r w:rsidRPr="00140CD5">
        <w:rPr>
          <w:rFonts w:ascii="Times New Roman" w:hAnsi="Times New Roman" w:cs="Times New Roman"/>
          <w:sz w:val="24"/>
          <w:szCs w:val="24"/>
        </w:rPr>
        <w:t>W sytuacji gdy organizacja zgłaszająca wniosek nie spełnia ww. warunków</w:t>
      </w:r>
      <w:r w:rsidR="00F566B5" w:rsidRPr="00140CD5">
        <w:rPr>
          <w:rFonts w:ascii="Times New Roman" w:hAnsi="Times New Roman" w:cs="Times New Roman"/>
          <w:sz w:val="24"/>
          <w:szCs w:val="24"/>
        </w:rPr>
        <w:t>,</w:t>
      </w:r>
      <w:r w:rsidRPr="00140CD5">
        <w:rPr>
          <w:rFonts w:ascii="Times New Roman" w:hAnsi="Times New Roman" w:cs="Times New Roman"/>
          <w:sz w:val="24"/>
          <w:szCs w:val="24"/>
        </w:rPr>
        <w:t xml:space="preserve"> Prezes U</w:t>
      </w:r>
      <w:r w:rsidR="00413A34" w:rsidRPr="00140CD5">
        <w:rPr>
          <w:rFonts w:ascii="Times New Roman" w:hAnsi="Times New Roman" w:cs="Times New Roman"/>
          <w:sz w:val="24"/>
          <w:szCs w:val="24"/>
        </w:rPr>
        <w:t>OKiK</w:t>
      </w:r>
      <w:r w:rsidRPr="00140CD5">
        <w:rPr>
          <w:rFonts w:ascii="Times New Roman" w:hAnsi="Times New Roman" w:cs="Times New Roman"/>
          <w:sz w:val="24"/>
          <w:szCs w:val="24"/>
        </w:rPr>
        <w:t xml:space="preserve"> wydaje decyzję o odmowie dokonania wpisu na listę organizacji  uprawnionych, która wymagać będzie uzasadnienia. Organizacja, która nie zgadza się z wydaną decyzja, zgodnie z projektowanym art. 45 a ust. 4, może złożyć wniosek o ponowne rozpatrzenie sprawy przez Prezesa U</w:t>
      </w:r>
      <w:r w:rsidR="00413A34" w:rsidRPr="00140CD5">
        <w:rPr>
          <w:rFonts w:ascii="Times New Roman" w:hAnsi="Times New Roman" w:cs="Times New Roman"/>
          <w:sz w:val="24"/>
          <w:szCs w:val="24"/>
        </w:rPr>
        <w:t>OKiK</w:t>
      </w:r>
      <w:r w:rsidRPr="00140CD5">
        <w:rPr>
          <w:rFonts w:ascii="Times New Roman" w:hAnsi="Times New Roman" w:cs="Times New Roman"/>
          <w:sz w:val="24"/>
          <w:szCs w:val="24"/>
        </w:rPr>
        <w:t xml:space="preserve">. Rozwiązanie powyższe zapewnia odpowiednią ochronę praw wnioskodawcy w zakresie rozpatrzenia jego sprawy. </w:t>
      </w:r>
    </w:p>
    <w:p w14:paraId="35EB473D" w14:textId="21E89D34" w:rsidR="00047014" w:rsidRPr="00140CD5" w:rsidRDefault="00C0380E" w:rsidP="00140CD5">
      <w:pPr>
        <w:spacing w:after="120" w:line="276" w:lineRule="auto"/>
        <w:jc w:val="both"/>
        <w:rPr>
          <w:rFonts w:ascii="Times New Roman" w:hAnsi="Times New Roman" w:cs="Times New Roman"/>
          <w:sz w:val="24"/>
          <w:szCs w:val="24"/>
        </w:rPr>
      </w:pPr>
      <w:r w:rsidRPr="00140CD5">
        <w:rPr>
          <w:rFonts w:ascii="Times New Roman" w:hAnsi="Times New Roman" w:cs="Times New Roman"/>
          <w:sz w:val="24"/>
          <w:szCs w:val="24"/>
        </w:rPr>
        <w:t>Zgodnie z projektowanym art. 45b</w:t>
      </w:r>
      <w:r w:rsidR="00F566B5" w:rsidRPr="00140CD5">
        <w:rPr>
          <w:rFonts w:ascii="Times New Roman" w:hAnsi="Times New Roman" w:cs="Times New Roman"/>
          <w:sz w:val="24"/>
          <w:szCs w:val="24"/>
        </w:rPr>
        <w:t>,</w:t>
      </w:r>
      <w:r w:rsidRPr="00140CD5">
        <w:rPr>
          <w:rFonts w:ascii="Times New Roman" w:hAnsi="Times New Roman" w:cs="Times New Roman"/>
          <w:sz w:val="24"/>
          <w:szCs w:val="24"/>
        </w:rPr>
        <w:t xml:space="preserve"> w przypadku gdy Prezes U</w:t>
      </w:r>
      <w:r w:rsidR="00413A34" w:rsidRPr="00140CD5">
        <w:rPr>
          <w:rFonts w:ascii="Times New Roman" w:hAnsi="Times New Roman" w:cs="Times New Roman"/>
          <w:sz w:val="24"/>
          <w:szCs w:val="24"/>
        </w:rPr>
        <w:t>OKiK</w:t>
      </w:r>
      <w:r w:rsidRPr="00140CD5">
        <w:rPr>
          <w:rFonts w:ascii="Times New Roman" w:hAnsi="Times New Roman" w:cs="Times New Roman"/>
          <w:sz w:val="24"/>
          <w:szCs w:val="24"/>
        </w:rPr>
        <w:t xml:space="preserve"> stwierdzi, że organizacja konsumencka przestała spełniać warunki warunkujące przyznanie jej statusu organizacji uprawnionej do zgłaszania ostrzeżeń zewnętrznych, </w:t>
      </w:r>
      <w:r w:rsidR="00047014" w:rsidRPr="00140CD5">
        <w:rPr>
          <w:rFonts w:ascii="Times New Roman" w:hAnsi="Times New Roman" w:cs="Times New Roman"/>
          <w:sz w:val="24"/>
          <w:szCs w:val="24"/>
        </w:rPr>
        <w:t>Prezes</w:t>
      </w:r>
      <w:r w:rsidRPr="00140CD5">
        <w:rPr>
          <w:rFonts w:ascii="Times New Roman" w:hAnsi="Times New Roman" w:cs="Times New Roman"/>
          <w:sz w:val="24"/>
          <w:szCs w:val="24"/>
        </w:rPr>
        <w:t xml:space="preserve"> U</w:t>
      </w:r>
      <w:r w:rsidR="00413A34" w:rsidRPr="00140CD5">
        <w:rPr>
          <w:rFonts w:ascii="Times New Roman" w:hAnsi="Times New Roman" w:cs="Times New Roman"/>
          <w:sz w:val="24"/>
          <w:szCs w:val="24"/>
        </w:rPr>
        <w:t>OKiK</w:t>
      </w:r>
      <w:r w:rsidRPr="00140CD5">
        <w:rPr>
          <w:rFonts w:ascii="Times New Roman" w:hAnsi="Times New Roman" w:cs="Times New Roman"/>
          <w:sz w:val="24"/>
          <w:szCs w:val="24"/>
        </w:rPr>
        <w:t xml:space="preserve"> wszczyna postępowanie w sprawie wykreślenia z listy organizacji uprawnionych. Aby zapewnić </w:t>
      </w:r>
      <w:r w:rsidR="00047014" w:rsidRPr="00140CD5">
        <w:rPr>
          <w:rFonts w:ascii="Times New Roman" w:hAnsi="Times New Roman" w:cs="Times New Roman"/>
          <w:sz w:val="24"/>
          <w:szCs w:val="24"/>
        </w:rPr>
        <w:t>możliwość</w:t>
      </w:r>
      <w:r w:rsidR="00D96A46" w:rsidRPr="00140CD5">
        <w:rPr>
          <w:rFonts w:ascii="Times New Roman" w:hAnsi="Times New Roman" w:cs="Times New Roman"/>
          <w:sz w:val="24"/>
          <w:szCs w:val="24"/>
        </w:rPr>
        <w:t xml:space="preserve"> obrony swoich praw</w:t>
      </w:r>
      <w:r w:rsidR="00F566B5" w:rsidRPr="00140CD5">
        <w:rPr>
          <w:rFonts w:ascii="Times New Roman" w:hAnsi="Times New Roman" w:cs="Times New Roman"/>
          <w:sz w:val="24"/>
          <w:szCs w:val="24"/>
        </w:rPr>
        <w:t>,</w:t>
      </w:r>
      <w:r w:rsidR="00D96A46" w:rsidRPr="00140CD5">
        <w:rPr>
          <w:rFonts w:ascii="Times New Roman" w:hAnsi="Times New Roman" w:cs="Times New Roman"/>
          <w:sz w:val="24"/>
          <w:szCs w:val="24"/>
        </w:rPr>
        <w:t xml:space="preserve"> organizacji uprawnionej</w:t>
      </w:r>
      <w:r w:rsidR="00047014" w:rsidRPr="00140CD5">
        <w:rPr>
          <w:rFonts w:ascii="Times New Roman" w:hAnsi="Times New Roman" w:cs="Times New Roman"/>
          <w:sz w:val="24"/>
          <w:szCs w:val="24"/>
        </w:rPr>
        <w:t xml:space="preserve"> zostanie przyznana możliwość złożenia wyjaśnień, do których zostanie wezwana przez Prezesa</w:t>
      </w:r>
      <w:r w:rsidR="0064514E" w:rsidRPr="00140CD5">
        <w:rPr>
          <w:rFonts w:ascii="Times New Roman" w:hAnsi="Times New Roman" w:cs="Times New Roman"/>
          <w:sz w:val="24"/>
          <w:szCs w:val="24"/>
        </w:rPr>
        <w:t xml:space="preserve"> UOKiK</w:t>
      </w:r>
      <w:r w:rsidR="00047014" w:rsidRPr="00140CD5">
        <w:rPr>
          <w:rFonts w:ascii="Times New Roman" w:hAnsi="Times New Roman" w:cs="Times New Roman"/>
          <w:sz w:val="24"/>
          <w:szCs w:val="24"/>
        </w:rPr>
        <w:t>. W przypadku bezskutecznego upływu terminu na złożenie wyjaśnień</w:t>
      </w:r>
      <w:r w:rsidR="00D96A46" w:rsidRPr="00140CD5">
        <w:rPr>
          <w:rFonts w:ascii="Times New Roman" w:hAnsi="Times New Roman" w:cs="Times New Roman"/>
          <w:sz w:val="24"/>
          <w:szCs w:val="24"/>
        </w:rPr>
        <w:t>,</w:t>
      </w:r>
      <w:r w:rsidR="00047014" w:rsidRPr="00140CD5">
        <w:rPr>
          <w:rFonts w:ascii="Times New Roman" w:hAnsi="Times New Roman" w:cs="Times New Roman"/>
          <w:sz w:val="24"/>
          <w:szCs w:val="24"/>
        </w:rPr>
        <w:t xml:space="preserve"> wyznaczonego przez Prezesa, lub gdy przedstawione wyjaśnienia okażą się niewystarczające, Prezes U</w:t>
      </w:r>
      <w:r w:rsidR="00413A34" w:rsidRPr="00140CD5">
        <w:rPr>
          <w:rFonts w:ascii="Times New Roman" w:hAnsi="Times New Roman" w:cs="Times New Roman"/>
          <w:sz w:val="24"/>
          <w:szCs w:val="24"/>
        </w:rPr>
        <w:t>OKiK</w:t>
      </w:r>
      <w:r w:rsidR="00047014" w:rsidRPr="00140CD5">
        <w:rPr>
          <w:rFonts w:ascii="Times New Roman" w:hAnsi="Times New Roman" w:cs="Times New Roman"/>
          <w:sz w:val="24"/>
          <w:szCs w:val="24"/>
        </w:rPr>
        <w:t xml:space="preserve"> wydaje decyzje o wykreśleniu organizacji z rejestru organizacji uprawnionych</w:t>
      </w:r>
      <w:r w:rsidR="00D96A46" w:rsidRPr="00140CD5">
        <w:rPr>
          <w:rFonts w:ascii="Times New Roman" w:hAnsi="Times New Roman" w:cs="Times New Roman"/>
          <w:sz w:val="24"/>
          <w:szCs w:val="24"/>
        </w:rPr>
        <w:t>,</w:t>
      </w:r>
      <w:r w:rsidR="00047014" w:rsidRPr="00140CD5">
        <w:rPr>
          <w:rFonts w:ascii="Times New Roman" w:hAnsi="Times New Roman" w:cs="Times New Roman"/>
          <w:sz w:val="24"/>
          <w:szCs w:val="24"/>
        </w:rPr>
        <w:t xml:space="preserve"> od której przysługuje wniosek o ponowne rozpatrzenie sprawy</w:t>
      </w:r>
      <w:r w:rsidR="00D171F9" w:rsidRPr="00140CD5">
        <w:rPr>
          <w:rFonts w:ascii="Times New Roman" w:hAnsi="Times New Roman" w:cs="Times New Roman"/>
          <w:sz w:val="24"/>
          <w:szCs w:val="24"/>
        </w:rPr>
        <w:t xml:space="preserve"> rozpatrywany  w trybie  przepisów ustawy z dnia </w:t>
      </w:r>
      <w:r w:rsidR="00A42F93" w:rsidRPr="00140CD5">
        <w:rPr>
          <w:rFonts w:ascii="Times New Roman" w:hAnsi="Times New Roman" w:cs="Times New Roman"/>
          <w:sz w:val="24"/>
          <w:szCs w:val="24"/>
        </w:rPr>
        <w:t xml:space="preserve">14 czerwca 1960 r. </w:t>
      </w:r>
      <w:r w:rsidR="00D171F9" w:rsidRPr="00140CD5">
        <w:rPr>
          <w:rFonts w:ascii="Times New Roman" w:hAnsi="Times New Roman" w:cs="Times New Roman"/>
          <w:sz w:val="24"/>
          <w:szCs w:val="24"/>
        </w:rPr>
        <w:t xml:space="preserve">kodeks postępowania. </w:t>
      </w:r>
    </w:p>
    <w:p w14:paraId="1E18B1EC" w14:textId="77777777" w:rsidR="00F566B5" w:rsidRPr="00140CD5" w:rsidRDefault="00047014" w:rsidP="00140CD5">
      <w:pPr>
        <w:spacing w:after="120" w:line="276" w:lineRule="auto"/>
        <w:jc w:val="both"/>
        <w:rPr>
          <w:rFonts w:ascii="Times New Roman" w:hAnsi="Times New Roman" w:cs="Times New Roman"/>
          <w:sz w:val="24"/>
          <w:szCs w:val="24"/>
        </w:rPr>
      </w:pPr>
      <w:r w:rsidRPr="00140CD5">
        <w:rPr>
          <w:rFonts w:ascii="Times New Roman" w:hAnsi="Times New Roman" w:cs="Times New Roman"/>
          <w:sz w:val="24"/>
          <w:szCs w:val="24"/>
        </w:rPr>
        <w:t>Projektowany art. 45 c przyznaje organizacjom konsumenckich, które uzyskały wpis na listę organizacji uprawnionych, możliwość zgłaszania ostrzeżeń zewnętrznych, o których mowa w art. 27 rozporządzenia CPC oraz obliguje te organizacje do przekazywania tych ostrzeżeń do wiadomości Prezesa U</w:t>
      </w:r>
      <w:r w:rsidR="00413A34" w:rsidRPr="00140CD5">
        <w:rPr>
          <w:rFonts w:ascii="Times New Roman" w:hAnsi="Times New Roman" w:cs="Times New Roman"/>
          <w:sz w:val="24"/>
          <w:szCs w:val="24"/>
        </w:rPr>
        <w:t>OKiK</w:t>
      </w:r>
      <w:r w:rsidRPr="00140CD5">
        <w:rPr>
          <w:rFonts w:ascii="Times New Roman" w:hAnsi="Times New Roman" w:cs="Times New Roman"/>
          <w:sz w:val="24"/>
          <w:szCs w:val="24"/>
        </w:rPr>
        <w:t xml:space="preserve">.  </w:t>
      </w:r>
    </w:p>
    <w:p w14:paraId="346E7E81" w14:textId="77777777" w:rsidR="00CB2EF7" w:rsidRDefault="00D96A46" w:rsidP="00140CD5">
      <w:pPr>
        <w:pStyle w:val="ARTartustawynprozporzdzenia"/>
        <w:spacing w:after="120" w:line="276" w:lineRule="auto"/>
        <w:ind w:firstLine="0"/>
        <w:rPr>
          <w:rFonts w:ascii="Times New Roman" w:hAnsi="Times New Roman" w:cs="Times New Roman"/>
          <w:b/>
          <w:szCs w:val="24"/>
        </w:rPr>
      </w:pPr>
      <w:r w:rsidRPr="00140CD5">
        <w:rPr>
          <w:rFonts w:ascii="Times New Roman" w:hAnsi="Times New Roman" w:cs="Times New Roman"/>
          <w:b/>
          <w:szCs w:val="24"/>
        </w:rPr>
        <w:t xml:space="preserve">7. </w:t>
      </w:r>
      <w:r w:rsidR="00F566B5" w:rsidRPr="00140CD5">
        <w:rPr>
          <w:rFonts w:ascii="Times New Roman" w:hAnsi="Times New Roman" w:cs="Times New Roman"/>
          <w:b/>
          <w:szCs w:val="24"/>
        </w:rPr>
        <w:t>P</w:t>
      </w:r>
      <w:r w:rsidR="00A845F1" w:rsidRPr="00140CD5">
        <w:rPr>
          <w:rFonts w:ascii="Times New Roman" w:hAnsi="Times New Roman" w:cs="Times New Roman"/>
          <w:b/>
          <w:szCs w:val="24"/>
        </w:rPr>
        <w:t xml:space="preserve">rzepisy o charakterze dostosowującym </w:t>
      </w:r>
    </w:p>
    <w:p w14:paraId="3FE0EE24" w14:textId="7894D34C" w:rsidR="003D3F33" w:rsidRPr="00140CD5" w:rsidRDefault="003D3F33" w:rsidP="00140CD5">
      <w:pPr>
        <w:pStyle w:val="ARTartustawynprozporzdzenia"/>
        <w:spacing w:after="120" w:line="276" w:lineRule="auto"/>
        <w:ind w:firstLine="0"/>
        <w:rPr>
          <w:rFonts w:ascii="Times New Roman" w:eastAsiaTheme="minorHAnsi" w:hAnsi="Times New Roman" w:cs="Times New Roman"/>
          <w:b/>
          <w:szCs w:val="24"/>
          <w:lang w:eastAsia="en-US"/>
        </w:rPr>
      </w:pPr>
      <w:r w:rsidRPr="00491198">
        <w:rPr>
          <w:rFonts w:ascii="Times New Roman" w:hAnsi="Times New Roman" w:cs="Times New Roman"/>
          <w:szCs w:val="24"/>
        </w:rPr>
        <w:lastRenderedPageBreak/>
        <w:t>Przepisy o charakterze dostosowującym</w:t>
      </w:r>
      <w:r>
        <w:rPr>
          <w:rFonts w:ascii="Times New Roman" w:hAnsi="Times New Roman" w:cs="Times New Roman"/>
          <w:b/>
          <w:szCs w:val="24"/>
        </w:rPr>
        <w:t xml:space="preserve"> </w:t>
      </w:r>
      <w:r w:rsidRPr="00F34B90">
        <w:rPr>
          <w:rFonts w:ascii="Times New Roman" w:hAnsi="Times New Roman" w:cs="Times New Roman"/>
          <w:color w:val="000000" w:themeColor="text1"/>
          <w:szCs w:val="24"/>
        </w:rPr>
        <w:t>zost</w:t>
      </w:r>
      <w:r w:rsidR="009D2833">
        <w:rPr>
          <w:rFonts w:ascii="Times New Roman" w:hAnsi="Times New Roman" w:cs="Times New Roman"/>
          <w:color w:val="000000" w:themeColor="text1"/>
          <w:szCs w:val="24"/>
        </w:rPr>
        <w:t xml:space="preserve">ały </w:t>
      </w:r>
      <w:r>
        <w:rPr>
          <w:rFonts w:ascii="Times New Roman" w:hAnsi="Times New Roman" w:cs="Times New Roman"/>
          <w:color w:val="000000" w:themeColor="text1"/>
          <w:szCs w:val="24"/>
        </w:rPr>
        <w:t xml:space="preserve">wdrożone na mocy </w:t>
      </w:r>
      <w:r w:rsidRPr="00F34B90">
        <w:rPr>
          <w:rFonts w:ascii="Times New Roman" w:hAnsi="Times New Roman" w:cs="Times New Roman"/>
          <w:color w:val="000000" w:themeColor="text1"/>
          <w:szCs w:val="24"/>
        </w:rPr>
        <w:t xml:space="preserve"> przepisów </w:t>
      </w:r>
      <w:r w:rsidRPr="00C847E4">
        <w:rPr>
          <w:i/>
          <w:color w:val="000000" w:themeColor="text1"/>
        </w:rPr>
        <w:t xml:space="preserve">ustawy </w:t>
      </w:r>
      <w:r w:rsidRPr="00C847E4">
        <w:rPr>
          <w:rFonts w:ascii="Times New Roman" w:hAnsi="Times New Roman" w:cs="Times New Roman"/>
          <w:i/>
          <w:color w:val="000000"/>
          <w:szCs w:val="24"/>
        </w:rPr>
        <w:t>z dnia 19 czerwca 2020 r.</w:t>
      </w:r>
      <w:r w:rsidRPr="00C847E4">
        <w:rPr>
          <w:i/>
          <w:color w:val="000000"/>
        </w:rPr>
        <w:t xml:space="preserve"> </w:t>
      </w:r>
      <w:r w:rsidRPr="00C847E4">
        <w:rPr>
          <w:rFonts w:ascii="Times New Roman" w:hAnsi="Times New Roman" w:cs="Times New Roman"/>
          <w:bCs/>
          <w:i/>
          <w:color w:val="000000"/>
          <w:szCs w:val="24"/>
        </w:rPr>
        <w:t>o dopłatach do oprocentowania kredytów bankowych udzielanych przedsiębiorcom dotkniętym skutkami COVID</w:t>
      </w:r>
      <w:r w:rsidRPr="00C847E4">
        <w:rPr>
          <w:rFonts w:ascii="Times New Roman" w:hAnsi="Times New Roman" w:cs="Times New Roman"/>
          <w:bCs/>
          <w:i/>
          <w:color w:val="000000"/>
          <w:szCs w:val="24"/>
        </w:rPr>
        <w:softHyphen/>
      </w:r>
      <w:r w:rsidRPr="00C847E4">
        <w:rPr>
          <w:rFonts w:ascii="Times New Roman" w:hAnsi="Times New Roman" w:cs="Times New Roman"/>
          <w:bCs/>
          <w:i/>
          <w:color w:val="000000"/>
          <w:szCs w:val="24"/>
        </w:rPr>
        <w:softHyphen/>
      </w:r>
      <w:r w:rsidRPr="00C847E4">
        <w:rPr>
          <w:rFonts w:ascii="Times New Roman" w:hAnsi="Times New Roman" w:cs="Times New Roman"/>
          <w:bCs/>
          <w:i/>
          <w:color w:val="000000"/>
          <w:szCs w:val="24"/>
        </w:rPr>
        <w:noBreakHyphen/>
        <w:t>19 oraz o uproszczonym postępowaniu o zatwierdzenie układu w związku z wystąpieniem COVID</w:t>
      </w:r>
      <w:r w:rsidRPr="00C847E4">
        <w:rPr>
          <w:rFonts w:ascii="Times New Roman" w:hAnsi="Times New Roman" w:cs="Times New Roman"/>
          <w:bCs/>
          <w:i/>
          <w:color w:val="000000"/>
          <w:szCs w:val="24"/>
        </w:rPr>
        <w:softHyphen/>
      </w:r>
      <w:r w:rsidRPr="00C847E4">
        <w:rPr>
          <w:rFonts w:ascii="Times New Roman" w:hAnsi="Times New Roman" w:cs="Times New Roman"/>
          <w:bCs/>
          <w:i/>
          <w:color w:val="000000"/>
          <w:szCs w:val="24"/>
        </w:rPr>
        <w:softHyphen/>
      </w:r>
      <w:r w:rsidRPr="00C847E4">
        <w:rPr>
          <w:rFonts w:ascii="Times New Roman" w:hAnsi="Times New Roman" w:cs="Times New Roman"/>
          <w:bCs/>
          <w:i/>
          <w:color w:val="000000"/>
          <w:szCs w:val="24"/>
        </w:rPr>
        <w:noBreakHyphen/>
        <w:t>1</w:t>
      </w:r>
      <w:r w:rsidRPr="00C847E4">
        <w:rPr>
          <w:rFonts w:ascii="Times New Roman" w:hAnsi="Times New Roman" w:cs="Times New Roman"/>
          <w:bCs/>
          <w:color w:val="000000"/>
          <w:szCs w:val="24"/>
        </w:rPr>
        <w:t xml:space="preserve"> </w:t>
      </w:r>
      <w:r w:rsidR="009D2833">
        <w:rPr>
          <w:rFonts w:ascii="Times New Roman" w:hAnsi="Times New Roman" w:cs="Times New Roman"/>
          <w:bCs/>
          <w:color w:val="000000"/>
          <w:szCs w:val="24"/>
        </w:rPr>
        <w:t>(</w:t>
      </w:r>
      <w:r w:rsidR="009D2833">
        <w:rPr>
          <w:bCs/>
          <w:color w:val="000000"/>
        </w:rPr>
        <w:t xml:space="preserve">(Dz. U. z 2020 r. poz. 1086). </w:t>
      </w:r>
    </w:p>
    <w:p w14:paraId="0DF7F78E" w14:textId="7D9A4A2C" w:rsidR="00D86EEC" w:rsidRPr="00140CD5" w:rsidRDefault="00D86EEC" w:rsidP="00140CD5">
      <w:pPr>
        <w:pStyle w:val="Tekstprzypisudolnego"/>
        <w:spacing w:after="120" w:line="276" w:lineRule="auto"/>
        <w:jc w:val="both"/>
        <w:rPr>
          <w:rFonts w:ascii="Times New Roman" w:hAnsi="Times New Roman" w:cs="Times New Roman"/>
          <w:sz w:val="24"/>
          <w:szCs w:val="24"/>
        </w:rPr>
      </w:pPr>
      <w:r w:rsidRPr="00140CD5">
        <w:rPr>
          <w:rFonts w:ascii="Times New Roman" w:hAnsi="Times New Roman" w:cs="Times New Roman"/>
          <w:sz w:val="24"/>
          <w:szCs w:val="24"/>
        </w:rPr>
        <w:t>Rozporządzenie nr 2017/2394 Parlamentu Europejskiego i Rady z dnia 12 grudnia 2017 r. w sprawie współpracy między organami krajowymi odpowiedzialnymi za egzekwowanie przepisów prawa w zakresie ochrony konsumentów zastąpiło rozporządzenie nr 2006/2004/WE, z uwagi na powyższe konieczne jest wprowadzenie zmian o charakterze dostosowującym, polegających przede wszystkim na zmianie odniesienia do poprzednio obowiązującego rozporządzenia. Zmiany</w:t>
      </w:r>
      <w:r w:rsidR="009D2833">
        <w:rPr>
          <w:rFonts w:ascii="Times New Roman" w:hAnsi="Times New Roman" w:cs="Times New Roman"/>
          <w:sz w:val="24"/>
          <w:szCs w:val="24"/>
        </w:rPr>
        <w:t xml:space="preserve"> </w:t>
      </w:r>
      <w:r w:rsidRPr="00140CD5">
        <w:rPr>
          <w:rFonts w:ascii="Times New Roman" w:hAnsi="Times New Roman" w:cs="Times New Roman"/>
          <w:sz w:val="24"/>
          <w:szCs w:val="24"/>
        </w:rPr>
        <w:t>te wprowadzone zostały następujących</w:t>
      </w:r>
      <w:r w:rsidRPr="000415C0">
        <w:rPr>
          <w:rFonts w:ascii="Times New Roman" w:hAnsi="Times New Roman" w:cs="Times New Roman"/>
          <w:sz w:val="24"/>
          <w:szCs w:val="24"/>
        </w:rPr>
        <w:t>,</w:t>
      </w:r>
      <w:r w:rsidRPr="00140CD5">
        <w:rPr>
          <w:rFonts w:ascii="Times New Roman" w:hAnsi="Times New Roman" w:cs="Times New Roman"/>
          <w:sz w:val="24"/>
          <w:szCs w:val="24"/>
        </w:rPr>
        <w:t xml:space="preserve"> przepisach:</w:t>
      </w:r>
    </w:p>
    <w:p w14:paraId="7CE0AA25" w14:textId="77777777" w:rsidR="00D86EEC" w:rsidRPr="00140CD5" w:rsidRDefault="00D86EEC" w:rsidP="00140CD5">
      <w:pPr>
        <w:pStyle w:val="Tekstprzypisudolnego"/>
        <w:spacing w:after="120" w:line="276" w:lineRule="auto"/>
        <w:jc w:val="both"/>
        <w:rPr>
          <w:rFonts w:ascii="Times New Roman" w:hAnsi="Times New Roman" w:cs="Times New Roman"/>
          <w:sz w:val="24"/>
          <w:szCs w:val="24"/>
        </w:rPr>
      </w:pPr>
      <w:r w:rsidRPr="00140CD5">
        <w:rPr>
          <w:rFonts w:ascii="Times New Roman" w:hAnsi="Times New Roman" w:cs="Times New Roman"/>
          <w:sz w:val="24"/>
          <w:szCs w:val="24"/>
        </w:rPr>
        <w:t>- art. 4 dodany pkt 24 – zmiana w zakresie definicji,</w:t>
      </w:r>
    </w:p>
    <w:p w14:paraId="51EC4A0C" w14:textId="77777777" w:rsidR="00D86EEC" w:rsidRPr="00140CD5" w:rsidRDefault="00D86EEC" w:rsidP="00140CD5">
      <w:pPr>
        <w:pStyle w:val="Tekstprzypisudolnego"/>
        <w:spacing w:after="120" w:line="276" w:lineRule="auto"/>
        <w:jc w:val="both"/>
        <w:rPr>
          <w:rFonts w:ascii="Times New Roman" w:hAnsi="Times New Roman" w:cs="Times New Roman"/>
          <w:sz w:val="24"/>
          <w:szCs w:val="24"/>
        </w:rPr>
      </w:pPr>
      <w:r w:rsidRPr="00140CD5">
        <w:rPr>
          <w:rFonts w:ascii="Times New Roman" w:hAnsi="Times New Roman" w:cs="Times New Roman"/>
          <w:sz w:val="24"/>
          <w:szCs w:val="24"/>
        </w:rPr>
        <w:t xml:space="preserve">- art. 29 ust. 2 – </w:t>
      </w:r>
      <w:r w:rsidR="004F06AD" w:rsidRPr="00140CD5">
        <w:rPr>
          <w:rFonts w:ascii="Times New Roman" w:hAnsi="Times New Roman" w:cs="Times New Roman"/>
          <w:sz w:val="24"/>
          <w:szCs w:val="24"/>
        </w:rPr>
        <w:t xml:space="preserve">wskazanie, że </w:t>
      </w:r>
      <w:r w:rsidRPr="00140CD5">
        <w:rPr>
          <w:rFonts w:ascii="Times New Roman" w:hAnsi="Times New Roman" w:cs="Times New Roman"/>
          <w:sz w:val="24"/>
          <w:szCs w:val="24"/>
        </w:rPr>
        <w:t>Prez</w:t>
      </w:r>
      <w:r w:rsidR="004F06AD" w:rsidRPr="00140CD5">
        <w:rPr>
          <w:rFonts w:ascii="Times New Roman" w:hAnsi="Times New Roman" w:cs="Times New Roman"/>
          <w:sz w:val="24"/>
          <w:szCs w:val="24"/>
        </w:rPr>
        <w:t>e</w:t>
      </w:r>
      <w:r w:rsidRPr="00140CD5">
        <w:rPr>
          <w:rFonts w:ascii="Times New Roman" w:hAnsi="Times New Roman" w:cs="Times New Roman"/>
          <w:sz w:val="24"/>
          <w:szCs w:val="24"/>
        </w:rPr>
        <w:t>s UOKiK jest jednolitym urzędem łącznikowym w rozumieniu przepisów rozporządzenia CPC,</w:t>
      </w:r>
    </w:p>
    <w:p w14:paraId="70E18AE5" w14:textId="77777777" w:rsidR="004F06AD" w:rsidRPr="00140CD5" w:rsidRDefault="00D86EEC" w:rsidP="00140CD5">
      <w:pPr>
        <w:pStyle w:val="Tekstprzypisudolnego"/>
        <w:spacing w:after="120" w:line="276" w:lineRule="auto"/>
        <w:jc w:val="both"/>
        <w:rPr>
          <w:rFonts w:ascii="Times New Roman" w:hAnsi="Times New Roman" w:cs="Times New Roman"/>
          <w:sz w:val="24"/>
          <w:szCs w:val="24"/>
        </w:rPr>
      </w:pPr>
      <w:r w:rsidRPr="00140CD5">
        <w:rPr>
          <w:rFonts w:ascii="Times New Roman" w:hAnsi="Times New Roman" w:cs="Times New Roman"/>
          <w:sz w:val="24"/>
          <w:szCs w:val="24"/>
        </w:rPr>
        <w:t xml:space="preserve">- art. </w:t>
      </w:r>
      <w:r w:rsidR="004F06AD" w:rsidRPr="00140CD5">
        <w:rPr>
          <w:rFonts w:ascii="Times New Roman" w:hAnsi="Times New Roman" w:cs="Times New Roman"/>
          <w:sz w:val="24"/>
          <w:szCs w:val="24"/>
        </w:rPr>
        <w:t>31 pkt 7 – wskazanie, że Prezes UOKiK jest organem właściwym oraz jednolitym urzędem łącznikowym w rozumieniu przepisów rozporządzenia CPC,</w:t>
      </w:r>
    </w:p>
    <w:p w14:paraId="179A598C" w14:textId="024BB66F" w:rsidR="00D86EEC" w:rsidRPr="00140CD5" w:rsidRDefault="004F06AD" w:rsidP="00140CD5">
      <w:pPr>
        <w:pStyle w:val="Tekstprzypisudolnego"/>
        <w:spacing w:after="120" w:line="276" w:lineRule="auto"/>
        <w:jc w:val="both"/>
        <w:rPr>
          <w:rFonts w:ascii="Times New Roman" w:hAnsi="Times New Roman" w:cs="Times New Roman"/>
          <w:sz w:val="24"/>
          <w:szCs w:val="24"/>
        </w:rPr>
      </w:pPr>
      <w:r w:rsidRPr="00140CD5">
        <w:rPr>
          <w:rFonts w:ascii="Times New Roman" w:hAnsi="Times New Roman" w:cs="Times New Roman"/>
          <w:sz w:val="24"/>
          <w:szCs w:val="24"/>
        </w:rPr>
        <w:t xml:space="preserve">- art. 73 </w:t>
      </w:r>
      <w:r w:rsidRPr="009D2833">
        <w:rPr>
          <w:rFonts w:ascii="Times New Roman" w:hAnsi="Times New Roman" w:cs="Times New Roman"/>
          <w:sz w:val="24"/>
          <w:szCs w:val="24"/>
        </w:rPr>
        <w:t xml:space="preserve">ust. </w:t>
      </w:r>
      <w:r w:rsidR="009D2833" w:rsidRPr="009D2833">
        <w:rPr>
          <w:rFonts w:ascii="Times New Roman" w:hAnsi="Times New Roman" w:cs="Times New Roman"/>
          <w:sz w:val="24"/>
          <w:szCs w:val="24"/>
        </w:rPr>
        <w:t xml:space="preserve">2 </w:t>
      </w:r>
      <w:r w:rsidRPr="00140CD5">
        <w:rPr>
          <w:rFonts w:ascii="Times New Roman" w:hAnsi="Times New Roman" w:cs="Times New Roman"/>
          <w:sz w:val="24"/>
          <w:szCs w:val="24"/>
        </w:rPr>
        <w:t>pkt 4 – wyłączenie wymiany informacji między organami właściwymi państw członkowskich z zakazu wykorzystywania informacji zgromadzonych w danym postępowaniu na użytek innych postępowań prowadzonych na podstawie odrębnych przepisów,</w:t>
      </w:r>
    </w:p>
    <w:p w14:paraId="176A0822" w14:textId="2DA262A5" w:rsidR="00EF19A4" w:rsidRPr="00140CD5" w:rsidRDefault="004F06AD" w:rsidP="00140CD5">
      <w:pPr>
        <w:pStyle w:val="Tekstprzypisudolnego"/>
        <w:spacing w:after="120" w:line="276" w:lineRule="auto"/>
        <w:jc w:val="both"/>
        <w:rPr>
          <w:rFonts w:ascii="Times New Roman" w:hAnsi="Times New Roman" w:cs="Times New Roman"/>
          <w:sz w:val="24"/>
          <w:szCs w:val="24"/>
        </w:rPr>
      </w:pPr>
      <w:r w:rsidRPr="00140CD5">
        <w:rPr>
          <w:rFonts w:ascii="Times New Roman" w:hAnsi="Times New Roman" w:cs="Times New Roman"/>
          <w:sz w:val="24"/>
          <w:szCs w:val="24"/>
        </w:rPr>
        <w:t xml:space="preserve">- </w:t>
      </w:r>
      <w:r w:rsidR="00EF19A4" w:rsidRPr="00140CD5">
        <w:rPr>
          <w:rFonts w:ascii="Times New Roman" w:hAnsi="Times New Roman" w:cs="Times New Roman"/>
          <w:sz w:val="24"/>
          <w:szCs w:val="24"/>
        </w:rPr>
        <w:t>art. 105 a ust</w:t>
      </w:r>
      <w:r w:rsidR="00EF19A4" w:rsidRPr="009D2833">
        <w:rPr>
          <w:rFonts w:ascii="Times New Roman" w:hAnsi="Times New Roman" w:cs="Times New Roman"/>
          <w:sz w:val="24"/>
          <w:szCs w:val="24"/>
        </w:rPr>
        <w:t xml:space="preserve">. </w:t>
      </w:r>
      <w:r w:rsidR="009D2833" w:rsidRPr="009D2833">
        <w:rPr>
          <w:rFonts w:ascii="Times New Roman" w:hAnsi="Times New Roman" w:cs="Times New Roman"/>
          <w:sz w:val="24"/>
          <w:szCs w:val="24"/>
        </w:rPr>
        <w:t>2</w:t>
      </w:r>
      <w:r w:rsidR="00EF19A4" w:rsidRPr="00140CD5">
        <w:rPr>
          <w:rFonts w:ascii="Times New Roman" w:hAnsi="Times New Roman" w:cs="Times New Roman"/>
          <w:sz w:val="24"/>
          <w:szCs w:val="24"/>
        </w:rPr>
        <w:t xml:space="preserve"> pkt 2 – zapewnienie możliwości uczestnictwa  w kontroli Prezesa UOKiK pracownika organu właściwego </w:t>
      </w:r>
      <w:r w:rsidR="001B215C">
        <w:rPr>
          <w:rFonts w:ascii="Times New Roman" w:hAnsi="Times New Roman" w:cs="Times New Roman"/>
          <w:sz w:val="24"/>
          <w:szCs w:val="24"/>
        </w:rPr>
        <w:t>z innego państwa członkowskiego.</w:t>
      </w:r>
    </w:p>
    <w:p w14:paraId="59C6C3A3" w14:textId="77777777" w:rsidR="000C6C63" w:rsidRPr="00140CD5" w:rsidRDefault="00EF19A4" w:rsidP="00140CD5">
      <w:pPr>
        <w:pStyle w:val="Tekstprzypisudolnego"/>
        <w:spacing w:after="120" w:line="276" w:lineRule="auto"/>
        <w:jc w:val="both"/>
        <w:rPr>
          <w:rFonts w:ascii="Times New Roman" w:hAnsi="Times New Roman" w:cs="Times New Roman"/>
          <w:sz w:val="24"/>
          <w:szCs w:val="24"/>
        </w:rPr>
      </w:pPr>
      <w:r w:rsidRPr="00140CD5">
        <w:rPr>
          <w:rFonts w:ascii="Times New Roman" w:hAnsi="Times New Roman" w:cs="Times New Roman"/>
          <w:sz w:val="24"/>
          <w:szCs w:val="24"/>
        </w:rPr>
        <w:t>Ponadto regulacja art. 2 stanowi limit wydatków Prezesa UOKiK w zakresie wydatków z budżetu państwa, w związku z implementacją rozporządzenia CPC</w:t>
      </w:r>
      <w:r w:rsidR="00D171F9" w:rsidRPr="00140CD5">
        <w:rPr>
          <w:rFonts w:ascii="Times New Roman" w:hAnsi="Times New Roman" w:cs="Times New Roman"/>
          <w:sz w:val="24"/>
          <w:szCs w:val="24"/>
        </w:rPr>
        <w:t xml:space="preserve"> (reguła wydatkowa)</w:t>
      </w:r>
      <w:r w:rsidRPr="00140CD5">
        <w:rPr>
          <w:rFonts w:ascii="Times New Roman" w:hAnsi="Times New Roman" w:cs="Times New Roman"/>
          <w:sz w:val="24"/>
          <w:szCs w:val="24"/>
        </w:rPr>
        <w:t xml:space="preserve">. </w:t>
      </w:r>
    </w:p>
    <w:p w14:paraId="394C2267" w14:textId="12FE67B2" w:rsidR="009A32D1" w:rsidRPr="00140CD5" w:rsidRDefault="00D87AB9" w:rsidP="00140CD5">
      <w:pPr>
        <w:pStyle w:val="ARTartustawynprozporzdzenia"/>
        <w:spacing w:before="0" w:after="120" w:line="276" w:lineRule="auto"/>
        <w:ind w:firstLine="0"/>
        <w:rPr>
          <w:rFonts w:ascii="Times New Roman" w:hAnsi="Times New Roman" w:cs="Times New Roman"/>
          <w:szCs w:val="24"/>
        </w:rPr>
      </w:pPr>
      <w:r w:rsidRPr="00140CD5">
        <w:rPr>
          <w:rFonts w:ascii="Times New Roman" w:hAnsi="Times New Roman" w:cs="Times New Roman"/>
          <w:szCs w:val="24"/>
        </w:rPr>
        <w:t xml:space="preserve">Proponuje się, aby </w:t>
      </w:r>
      <w:r w:rsidR="00D96A46" w:rsidRPr="00140CD5">
        <w:rPr>
          <w:rFonts w:ascii="Times New Roman" w:hAnsi="Times New Roman" w:cs="Times New Roman"/>
          <w:szCs w:val="24"/>
        </w:rPr>
        <w:t xml:space="preserve">przedmiotowa ustawa </w:t>
      </w:r>
      <w:r w:rsidRPr="00140CD5">
        <w:rPr>
          <w:rFonts w:ascii="Times New Roman" w:hAnsi="Times New Roman" w:cs="Times New Roman"/>
          <w:szCs w:val="24"/>
        </w:rPr>
        <w:t xml:space="preserve">weszła w życie </w:t>
      </w:r>
      <w:r w:rsidR="00CA3C6C" w:rsidRPr="00140CD5">
        <w:rPr>
          <w:rFonts w:ascii="Times New Roman" w:hAnsi="Times New Roman" w:cs="Times New Roman"/>
          <w:szCs w:val="24"/>
        </w:rPr>
        <w:t xml:space="preserve"> po upływie </w:t>
      </w:r>
      <w:r w:rsidR="00692F64" w:rsidRPr="00140CD5">
        <w:rPr>
          <w:rFonts w:ascii="Times New Roman" w:hAnsi="Times New Roman" w:cs="Times New Roman"/>
          <w:szCs w:val="24"/>
        </w:rPr>
        <w:t>14 dni od dnia jej ogłoszenia, z wy</w:t>
      </w:r>
      <w:r w:rsidR="00E65FC7" w:rsidRPr="00140CD5">
        <w:rPr>
          <w:rFonts w:ascii="Times New Roman" w:hAnsi="Times New Roman" w:cs="Times New Roman"/>
          <w:szCs w:val="24"/>
        </w:rPr>
        <w:t>jątkiem</w:t>
      </w:r>
      <w:r w:rsidR="00692F64" w:rsidRPr="00140CD5">
        <w:rPr>
          <w:rFonts w:ascii="Times New Roman" w:hAnsi="Times New Roman" w:cs="Times New Roman"/>
          <w:szCs w:val="24"/>
        </w:rPr>
        <w:t xml:space="preserve"> </w:t>
      </w:r>
      <w:r w:rsidR="00E65FC7" w:rsidRPr="00140CD5">
        <w:rPr>
          <w:rFonts w:ascii="Times New Roman" w:hAnsi="Times New Roman" w:cs="Times New Roman"/>
          <w:szCs w:val="24"/>
        </w:rPr>
        <w:t>przepisów dotyczących</w:t>
      </w:r>
      <w:r w:rsidRPr="00140CD5">
        <w:rPr>
          <w:rFonts w:ascii="Times New Roman" w:hAnsi="Times New Roman" w:cs="Times New Roman"/>
          <w:szCs w:val="24"/>
        </w:rPr>
        <w:t xml:space="preserve"> rejestru domen usuniętych (projektowany art. 32 b i art. 32c</w:t>
      </w:r>
      <w:r w:rsidR="00D96A46" w:rsidRPr="00140CD5">
        <w:rPr>
          <w:rFonts w:ascii="Times New Roman" w:hAnsi="Times New Roman" w:cs="Times New Roman"/>
          <w:szCs w:val="24"/>
        </w:rPr>
        <w:t>)</w:t>
      </w:r>
      <w:r w:rsidR="00E65FC7" w:rsidRPr="00140CD5">
        <w:rPr>
          <w:rFonts w:ascii="Times New Roman" w:hAnsi="Times New Roman" w:cs="Times New Roman"/>
          <w:szCs w:val="24"/>
        </w:rPr>
        <w:t>, które wejdą w życie</w:t>
      </w:r>
      <w:r w:rsidRPr="00140CD5">
        <w:rPr>
          <w:rFonts w:ascii="Times New Roman" w:hAnsi="Times New Roman" w:cs="Times New Roman"/>
          <w:szCs w:val="24"/>
        </w:rPr>
        <w:t xml:space="preserve"> po upływie </w:t>
      </w:r>
      <w:r w:rsidR="00527199">
        <w:rPr>
          <w:rFonts w:ascii="Times New Roman" w:hAnsi="Times New Roman" w:cs="Times New Roman"/>
          <w:szCs w:val="24"/>
        </w:rPr>
        <w:t>trzech</w:t>
      </w:r>
      <w:r w:rsidRPr="00140CD5">
        <w:rPr>
          <w:rFonts w:ascii="Times New Roman" w:hAnsi="Times New Roman" w:cs="Times New Roman"/>
          <w:szCs w:val="24"/>
        </w:rPr>
        <w:t xml:space="preserve"> miesięcy od dnia ogłoszenia ustawy. Zapewni to odpowiedni czas pozwalający na utworzenie narzędzi teleinformatycznych oraz dostosowanie się przedsiębiorców telekomunikacyjnych do nowych regulacji.  </w:t>
      </w:r>
    </w:p>
    <w:p w14:paraId="38D08942" w14:textId="1F98E9FF" w:rsidR="000C6C63" w:rsidRPr="00140CD5" w:rsidRDefault="000C6C63" w:rsidP="00140CD5">
      <w:pPr>
        <w:spacing w:after="120" w:line="276" w:lineRule="auto"/>
        <w:jc w:val="both"/>
        <w:rPr>
          <w:rFonts w:ascii="Times New Roman" w:hAnsi="Times New Roman" w:cs="Times New Roman"/>
          <w:sz w:val="24"/>
          <w:szCs w:val="24"/>
        </w:rPr>
      </w:pPr>
      <w:r w:rsidRPr="00140CD5">
        <w:rPr>
          <w:rFonts w:ascii="Times New Roman" w:hAnsi="Times New Roman" w:cs="Times New Roman"/>
          <w:sz w:val="24"/>
          <w:szCs w:val="24"/>
        </w:rPr>
        <w:t xml:space="preserve">W zakresie skutków projektu ustawy dla MŚP należy stwierdzić, że </w:t>
      </w:r>
      <w:r w:rsidRPr="00140CD5">
        <w:rPr>
          <w:rFonts w:ascii="Times New Roman" w:hAnsi="Times New Roman" w:cs="Times New Roman"/>
          <w:sz w:val="24"/>
          <w:szCs w:val="24"/>
          <w:lang w:eastAsia="pl-PL"/>
        </w:rPr>
        <w:t>wpływ projektowanych przepisów  nie będzie znaczący i związany jest de facto jedynie z wprowadzeniem możliwości przeszukania w sprawach konsumenckich. Warto jednak zaznaczyć, że w sprawach tych prowadzone już były kontrole, więc przeszukanie, które stanowi kontrolę pogłębioną, nie powinno być postrzegane jako dodatkowe obciążenie. Dodatkowo należy podkreślić, że przeszukanie prowadzone jest też w sprawach dotyczących postępowań antymonopolowych, tak wi</w:t>
      </w:r>
      <w:r w:rsidR="003D3F33">
        <w:rPr>
          <w:rFonts w:ascii="Times New Roman" w:hAnsi="Times New Roman" w:cs="Times New Roman"/>
          <w:sz w:val="24"/>
          <w:szCs w:val="24"/>
          <w:lang w:eastAsia="pl-PL"/>
        </w:rPr>
        <w:t>ę</w:t>
      </w:r>
      <w:r w:rsidRPr="00140CD5">
        <w:rPr>
          <w:rFonts w:ascii="Times New Roman" w:hAnsi="Times New Roman" w:cs="Times New Roman"/>
          <w:sz w:val="24"/>
          <w:szCs w:val="24"/>
          <w:lang w:eastAsia="pl-PL"/>
        </w:rPr>
        <w:t xml:space="preserve">c przedsiębiorcy zdają sobie sprawę z faktu, że takie przeszukanie może mieć miejsce w przypadku spraw należących do właściwości Prezesa UOKiK. </w:t>
      </w:r>
    </w:p>
    <w:p w14:paraId="332E7987" w14:textId="77777777" w:rsidR="000C6C63" w:rsidRPr="00140CD5" w:rsidRDefault="000C6C63" w:rsidP="00140CD5">
      <w:pPr>
        <w:spacing w:after="120" w:line="276" w:lineRule="auto"/>
        <w:jc w:val="both"/>
        <w:rPr>
          <w:rFonts w:ascii="Times New Roman" w:hAnsi="Times New Roman" w:cs="Times New Roman"/>
          <w:sz w:val="24"/>
          <w:szCs w:val="24"/>
          <w:lang w:eastAsia="pl-PL"/>
        </w:rPr>
      </w:pPr>
      <w:r w:rsidRPr="00140CD5">
        <w:rPr>
          <w:rFonts w:ascii="Times New Roman" w:hAnsi="Times New Roman" w:cs="Times New Roman"/>
          <w:sz w:val="24"/>
          <w:szCs w:val="24"/>
          <w:lang w:eastAsia="pl-PL"/>
        </w:rPr>
        <w:lastRenderedPageBreak/>
        <w:t>Prognozowany wzrost liczby postępowań nie może zostać uznany za wzrost obciążeń regulacyjnych, z uwagi na to, że do tej pory takie postępowania również były wobec przedsiębiorców prowadzone. Jeśli chodzi o możliwość blokowania stron internetowych, należy zwrócić uwagę, że taka możliwość aktualizuje się w przypadku naruszenia przez przedsiębiorcę zbiorowych interesów konsumentów, zaś obowiązek zaprzestania wykonywania danych czynności zapewnia zaprzestanie działań bezprawnych – jest to zatem</w:t>
      </w:r>
      <w:r w:rsidR="00D96A46" w:rsidRPr="00140CD5">
        <w:rPr>
          <w:rFonts w:ascii="Times New Roman" w:hAnsi="Times New Roman" w:cs="Times New Roman"/>
          <w:sz w:val="24"/>
          <w:szCs w:val="24"/>
          <w:lang w:eastAsia="pl-PL"/>
        </w:rPr>
        <w:t xml:space="preserve"> de facto</w:t>
      </w:r>
      <w:r w:rsidRPr="00140CD5">
        <w:rPr>
          <w:rFonts w:ascii="Times New Roman" w:hAnsi="Times New Roman" w:cs="Times New Roman"/>
          <w:sz w:val="24"/>
          <w:szCs w:val="24"/>
          <w:lang w:eastAsia="pl-PL"/>
        </w:rPr>
        <w:t xml:space="preserve"> sankcja za naruszenie zbiorowych interesów konsumentów i nie może być traktowana jako obciążenie regulacyjne. Koszty związane z obowiązkami przedsiębiorców telekomunikacyjnych w zakresie obowiązku usunięcia zarejestrowanej domeny nie wydają</w:t>
      </w:r>
      <w:r w:rsidR="00D96A46" w:rsidRPr="00140CD5">
        <w:rPr>
          <w:rFonts w:ascii="Times New Roman" w:hAnsi="Times New Roman" w:cs="Times New Roman"/>
          <w:sz w:val="24"/>
          <w:szCs w:val="24"/>
          <w:lang w:eastAsia="pl-PL"/>
        </w:rPr>
        <w:t xml:space="preserve"> się znaczące i obejmują</w:t>
      </w:r>
      <w:r w:rsidRPr="00140CD5">
        <w:rPr>
          <w:rFonts w:ascii="Times New Roman" w:hAnsi="Times New Roman" w:cs="Times New Roman"/>
          <w:sz w:val="24"/>
          <w:szCs w:val="24"/>
          <w:lang w:eastAsia="pl-PL"/>
        </w:rPr>
        <w:t xml:space="preserve"> koszty dostosowania systemów teleinformatycznych podmiotów rejestrujących. Należy jednocześnie podkreślić, że komunikacja z listą domen usuniętych, prowadzoną przez Prezesa UOKiK zapewnia tym podmiotom dostęp do informacji nt. bezprawnie funkcjonujących domen.</w:t>
      </w:r>
    </w:p>
    <w:p w14:paraId="18F8EDA3" w14:textId="77777777" w:rsidR="009A32D1" w:rsidRPr="00140CD5" w:rsidRDefault="0093692D" w:rsidP="00140CD5">
      <w:pPr>
        <w:tabs>
          <w:tab w:val="left" w:pos="5250"/>
        </w:tabs>
        <w:spacing w:before="120" w:after="120" w:line="276" w:lineRule="auto"/>
        <w:jc w:val="both"/>
        <w:rPr>
          <w:rFonts w:ascii="Times New Roman" w:hAnsi="Times New Roman" w:cs="Times New Roman"/>
          <w:spacing w:val="-2"/>
          <w:sz w:val="24"/>
          <w:szCs w:val="24"/>
        </w:rPr>
      </w:pPr>
      <w:r w:rsidRPr="00140CD5">
        <w:rPr>
          <w:rFonts w:ascii="Times New Roman" w:hAnsi="Times New Roman" w:cs="Times New Roman"/>
          <w:sz w:val="24"/>
          <w:szCs w:val="24"/>
        </w:rPr>
        <w:t>Projekt jest zgodny z prawem Unii Europejskiej.</w:t>
      </w:r>
    </w:p>
    <w:p w14:paraId="20C14588" w14:textId="2F2B3281" w:rsidR="00EC3388" w:rsidRPr="00140CD5" w:rsidRDefault="0093692D" w:rsidP="00140CD5">
      <w:pPr>
        <w:pStyle w:val="ARTartustawynprozporzdzenia"/>
        <w:spacing w:after="120" w:line="276" w:lineRule="auto"/>
        <w:ind w:firstLine="0"/>
        <w:rPr>
          <w:rFonts w:ascii="Times New Roman" w:hAnsi="Times New Roman" w:cs="Times New Roman"/>
          <w:spacing w:val="-2"/>
          <w:szCs w:val="24"/>
        </w:rPr>
      </w:pPr>
      <w:r w:rsidRPr="00140CD5">
        <w:rPr>
          <w:rFonts w:ascii="Times New Roman" w:hAnsi="Times New Roman" w:cs="Times New Roman"/>
          <w:szCs w:val="24"/>
        </w:rPr>
        <w:t xml:space="preserve">Projekt nie zawiera </w:t>
      </w:r>
      <w:r w:rsidR="00340CBA" w:rsidRPr="00140CD5">
        <w:rPr>
          <w:rFonts w:ascii="Times New Roman" w:hAnsi="Times New Roman" w:cs="Times New Roman"/>
          <w:szCs w:val="24"/>
        </w:rPr>
        <w:t xml:space="preserve">przepisów </w:t>
      </w:r>
      <w:r w:rsidRPr="00140CD5">
        <w:rPr>
          <w:rFonts w:ascii="Times New Roman" w:hAnsi="Times New Roman" w:cs="Times New Roman"/>
          <w:szCs w:val="24"/>
        </w:rPr>
        <w:t xml:space="preserve">technicznych w rozumieniu przepisów rozporządzenia Rady Ministrów z dnia 23 grudnia 2002 r. w sprawie sposobu funkcjonowania krajowego systemu notyfikacji norm i aktów prawnych </w:t>
      </w:r>
      <w:r w:rsidR="00F9292E">
        <w:rPr>
          <w:rFonts w:ascii="Times New Roman" w:hAnsi="Times New Roman" w:cs="Times New Roman"/>
          <w:szCs w:val="24"/>
        </w:rPr>
        <w:t>(Dz. U. 2002 r. z poz. 20</w:t>
      </w:r>
      <w:r w:rsidR="00340CBA" w:rsidRPr="00140CD5">
        <w:rPr>
          <w:rFonts w:ascii="Times New Roman" w:hAnsi="Times New Roman" w:cs="Times New Roman"/>
          <w:szCs w:val="24"/>
        </w:rPr>
        <w:t>39 oraz z 2004 r. poz. 597)</w:t>
      </w:r>
      <w:r w:rsidR="00041DA0" w:rsidRPr="00140CD5">
        <w:rPr>
          <w:rFonts w:ascii="Times New Roman" w:hAnsi="Times New Roman" w:cs="Times New Roman"/>
          <w:szCs w:val="24"/>
        </w:rPr>
        <w:t xml:space="preserve"> </w:t>
      </w:r>
      <w:r w:rsidR="008377A5" w:rsidRPr="00140CD5">
        <w:rPr>
          <w:rFonts w:ascii="Times New Roman" w:hAnsi="Times New Roman" w:cs="Times New Roman"/>
          <w:szCs w:val="24"/>
        </w:rPr>
        <w:t>i </w:t>
      </w:r>
      <w:r w:rsidRPr="00140CD5">
        <w:rPr>
          <w:rFonts w:ascii="Times New Roman" w:hAnsi="Times New Roman" w:cs="Times New Roman"/>
          <w:szCs w:val="24"/>
        </w:rPr>
        <w:t>nie podlega notyfikacji.</w:t>
      </w:r>
    </w:p>
    <w:p w14:paraId="3195388A" w14:textId="77777777" w:rsidR="002F584F" w:rsidRPr="00140CD5" w:rsidRDefault="004627DE" w:rsidP="00140CD5">
      <w:pPr>
        <w:pStyle w:val="ARTartustawynprozporzdzenia"/>
        <w:spacing w:after="120" w:line="276" w:lineRule="auto"/>
        <w:ind w:firstLine="0"/>
        <w:rPr>
          <w:rFonts w:ascii="Times New Roman" w:hAnsi="Times New Roman" w:cs="Times New Roman"/>
          <w:szCs w:val="24"/>
        </w:rPr>
      </w:pPr>
      <w:r w:rsidRPr="00140CD5">
        <w:rPr>
          <w:rFonts w:ascii="Times New Roman" w:hAnsi="Times New Roman" w:cs="Times New Roman"/>
          <w:szCs w:val="24"/>
        </w:rPr>
        <w:t xml:space="preserve">Projekt nie podlega również przedstawieniu właściwym </w:t>
      </w:r>
      <w:r w:rsidR="00563B35" w:rsidRPr="00140CD5">
        <w:rPr>
          <w:rFonts w:ascii="Times New Roman" w:hAnsi="Times New Roman" w:cs="Times New Roman"/>
          <w:szCs w:val="24"/>
        </w:rPr>
        <w:t xml:space="preserve">organom i </w:t>
      </w:r>
      <w:r w:rsidRPr="00140CD5">
        <w:rPr>
          <w:rFonts w:ascii="Times New Roman" w:hAnsi="Times New Roman" w:cs="Times New Roman"/>
          <w:szCs w:val="24"/>
        </w:rPr>
        <w:t xml:space="preserve">instytucjom Unii Europejskiej, </w:t>
      </w:r>
      <w:r w:rsidR="00563B35" w:rsidRPr="00140CD5">
        <w:rPr>
          <w:rFonts w:ascii="Times New Roman" w:hAnsi="Times New Roman" w:cs="Times New Roman"/>
          <w:szCs w:val="24"/>
        </w:rPr>
        <w:t>w tym Europejskiemu Bankowi Centralnemu, w celu uzyskania opinii, dokonania powiadomienia, konsultacji albo uzgodnienia</w:t>
      </w:r>
      <w:r w:rsidRPr="00140CD5">
        <w:rPr>
          <w:rFonts w:ascii="Times New Roman" w:hAnsi="Times New Roman" w:cs="Times New Roman"/>
          <w:szCs w:val="24"/>
        </w:rPr>
        <w:t>.</w:t>
      </w:r>
    </w:p>
    <w:p w14:paraId="44A6E092" w14:textId="77777777" w:rsidR="006E39D1" w:rsidRPr="00140CD5" w:rsidRDefault="006E39D1" w:rsidP="00140CD5">
      <w:pPr>
        <w:pStyle w:val="ARTartustawynprozporzdzenia"/>
        <w:spacing w:before="0" w:after="120" w:line="276" w:lineRule="auto"/>
        <w:ind w:firstLine="0"/>
        <w:rPr>
          <w:rFonts w:ascii="Times New Roman" w:hAnsi="Times New Roman" w:cs="Times New Roman"/>
          <w:szCs w:val="24"/>
        </w:rPr>
      </w:pPr>
    </w:p>
    <w:sectPr w:rsidR="006E39D1" w:rsidRPr="00140CD5" w:rsidSect="008377A5">
      <w:footerReference w:type="default" r:id="rId8"/>
      <w:pgSz w:w="11906" w:h="16838"/>
      <w:pgMar w:top="1588" w:right="1418" w:bottom="1418" w:left="1985"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DC25EA" w14:textId="77777777" w:rsidR="0049358E" w:rsidRDefault="0049358E" w:rsidP="00B46B1B">
      <w:pPr>
        <w:spacing w:after="0" w:line="240" w:lineRule="auto"/>
      </w:pPr>
      <w:r>
        <w:separator/>
      </w:r>
    </w:p>
  </w:endnote>
  <w:endnote w:type="continuationSeparator" w:id="0">
    <w:p w14:paraId="389FEA59" w14:textId="77777777" w:rsidR="0049358E" w:rsidRDefault="0049358E" w:rsidP="00B46B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
    <w:altName w:val="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0498329"/>
      <w:docPartObj>
        <w:docPartGallery w:val="Page Numbers (Bottom of Page)"/>
        <w:docPartUnique/>
      </w:docPartObj>
    </w:sdtPr>
    <w:sdtEndPr/>
    <w:sdtContent>
      <w:p w14:paraId="7987C46D" w14:textId="00843FA3" w:rsidR="007E52BE" w:rsidRDefault="007E52BE">
        <w:pPr>
          <w:pStyle w:val="Stopka"/>
          <w:jc w:val="right"/>
        </w:pPr>
        <w:r>
          <w:fldChar w:fldCharType="begin"/>
        </w:r>
        <w:r>
          <w:instrText>PAGE   \* MERGEFORMAT</w:instrText>
        </w:r>
        <w:r>
          <w:fldChar w:fldCharType="separate"/>
        </w:r>
        <w:r w:rsidR="009D26EE">
          <w:rPr>
            <w:noProof/>
          </w:rPr>
          <w:t>2</w:t>
        </w:r>
        <w:r>
          <w:fldChar w:fldCharType="end"/>
        </w:r>
      </w:p>
    </w:sdtContent>
  </w:sdt>
  <w:p w14:paraId="68878DEB" w14:textId="77777777" w:rsidR="007E52BE" w:rsidRPr="007A1DC1" w:rsidRDefault="007E52BE" w:rsidP="007A1DC1">
    <w:pPr>
      <w:pStyle w:val="Stopka"/>
      <w:jc w:val="center"/>
      <w:rPr>
        <w:rFonts w:ascii="Times New Roman" w:hAnsi="Times New Roman" w:cs="Times New Roman"/>
        <w:sz w:val="24"/>
        <w:szCs w:val="2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1FB587" w14:textId="77777777" w:rsidR="0049358E" w:rsidRDefault="0049358E" w:rsidP="00B46B1B">
      <w:pPr>
        <w:spacing w:after="0" w:line="240" w:lineRule="auto"/>
      </w:pPr>
      <w:r>
        <w:separator/>
      </w:r>
    </w:p>
  </w:footnote>
  <w:footnote w:type="continuationSeparator" w:id="0">
    <w:p w14:paraId="1B1249D9" w14:textId="77777777" w:rsidR="0049358E" w:rsidRDefault="0049358E" w:rsidP="00B46B1B">
      <w:pPr>
        <w:spacing w:after="0" w:line="240" w:lineRule="auto"/>
      </w:pPr>
      <w:r>
        <w:continuationSeparator/>
      </w:r>
    </w:p>
  </w:footnote>
  <w:footnote w:id="1">
    <w:p w14:paraId="0664238B" w14:textId="77777777" w:rsidR="007E52BE" w:rsidRPr="007E52BE" w:rsidRDefault="007E52BE" w:rsidP="007E52BE">
      <w:pPr>
        <w:pStyle w:val="Tekstprzypisudolnego"/>
        <w:jc w:val="both"/>
        <w:rPr>
          <w:rFonts w:ascii="Times New Roman" w:hAnsi="Times New Roman" w:cs="Times New Roman"/>
        </w:rPr>
      </w:pPr>
      <w:r w:rsidRPr="007E52BE">
        <w:rPr>
          <w:rStyle w:val="Odwoanieprzypisudolnego"/>
          <w:rFonts w:ascii="Times New Roman" w:hAnsi="Times New Roman"/>
          <w:sz w:val="22"/>
          <w:szCs w:val="22"/>
        </w:rPr>
        <w:footnoteRef/>
      </w:r>
      <w:r w:rsidRPr="007E52BE">
        <w:rPr>
          <w:rFonts w:ascii="Times New Roman" w:hAnsi="Times New Roman" w:cs="Times New Roman"/>
          <w:sz w:val="22"/>
          <w:szCs w:val="22"/>
        </w:rPr>
        <w:t xml:space="preserve"> </w:t>
      </w:r>
      <w:r w:rsidRPr="007E52BE">
        <w:rPr>
          <w:rFonts w:ascii="Times New Roman" w:hAnsi="Times New Roman" w:cs="Times New Roman"/>
        </w:rPr>
        <w:t>Zewnętrzna ocena rozporządzenia w sprawie współpracy w dziedzinie ochrony konsumentów, sprawozdanie końcowe sporządzone przez Konsorcjum ds. Oceny Polityki Konsumenckiej, z dnia 17 grudnia 2012 r. („ocena”), s. 120,</w:t>
      </w:r>
    </w:p>
    <w:p w14:paraId="4AB42FD6" w14:textId="77777777" w:rsidR="007E52BE" w:rsidRPr="007E52BE" w:rsidRDefault="0049358E" w:rsidP="007E52BE">
      <w:pPr>
        <w:pStyle w:val="Tekstprzypisudolnego"/>
        <w:jc w:val="both"/>
        <w:rPr>
          <w:rFonts w:ascii="Times New Roman" w:hAnsi="Times New Roman" w:cs="Times New Roman"/>
        </w:rPr>
      </w:pPr>
      <w:hyperlink r:id="rId1">
        <w:r w:rsidR="007E52BE" w:rsidRPr="007E52BE">
          <w:rPr>
            <w:rStyle w:val="Hipercze"/>
            <w:rFonts w:ascii="Times New Roman" w:hAnsi="Times New Roman" w:cs="Times New Roman"/>
          </w:rPr>
          <w:t>http://ec.europa.eu/consumers/enforcement/docs/cpc_regulation_inception_report_revised290212_en.pdf</w:t>
        </w:r>
      </w:hyperlink>
    </w:p>
  </w:footnote>
  <w:footnote w:id="2">
    <w:p w14:paraId="7D9C0240" w14:textId="77777777" w:rsidR="007E52BE" w:rsidRPr="007E52BE" w:rsidRDefault="007E52BE" w:rsidP="007E52BE">
      <w:pPr>
        <w:pStyle w:val="Tekstprzypisudolnego"/>
        <w:jc w:val="both"/>
        <w:rPr>
          <w:rFonts w:ascii="Times New Roman" w:hAnsi="Times New Roman" w:cs="Times New Roman"/>
        </w:rPr>
      </w:pPr>
      <w:r w:rsidRPr="007E52BE">
        <w:rPr>
          <w:rStyle w:val="Odwoanieprzypisudolnego"/>
          <w:rFonts w:ascii="Times New Roman" w:hAnsi="Times New Roman"/>
        </w:rPr>
        <w:footnoteRef/>
      </w:r>
      <w:r w:rsidRPr="007E52BE">
        <w:rPr>
          <w:rFonts w:ascii="Times New Roman" w:hAnsi="Times New Roman" w:cs="Times New Roman"/>
        </w:rPr>
        <w:t xml:space="preserve"> Podsumowanie odpowiedzi zainteresowanych stron udzielonych w ramach konsultacji społecznych dotyczących rozporządzenia w sprawie współpracy w dziedzinie ochrony konsumentów (2006/2004/WE), </w:t>
      </w:r>
    </w:p>
    <w:p w14:paraId="650F4576" w14:textId="77777777" w:rsidR="007E52BE" w:rsidRPr="007E52BE" w:rsidRDefault="0049358E" w:rsidP="007E52BE">
      <w:pPr>
        <w:pStyle w:val="Tekstprzypisudolnego"/>
        <w:jc w:val="both"/>
        <w:rPr>
          <w:rFonts w:ascii="Times New Roman" w:hAnsi="Times New Roman" w:cs="Times New Roman"/>
        </w:rPr>
      </w:pPr>
      <w:hyperlink r:id="rId2">
        <w:r w:rsidR="007E52BE" w:rsidRPr="007E52BE">
          <w:rPr>
            <w:rStyle w:val="Hipercze"/>
            <w:rFonts w:ascii="Times New Roman" w:hAnsi="Times New Roman" w:cs="Times New Roman"/>
          </w:rPr>
          <w:t>http://ec.europa.eu/consumers/enforcement/cross-border_enforcement_cooperation/docs/140416_consultation_summary_report_final_en.pdf</w:t>
        </w:r>
      </w:hyperlink>
      <w:r w:rsidR="007E52BE" w:rsidRPr="007E52BE">
        <w:rPr>
          <w:rFonts w:ascii="Times New Roman" w:hAnsi="Times New Roman" w:cs="Times New Roman"/>
        </w:rPr>
        <w:t xml:space="preserve"> </w:t>
      </w:r>
    </w:p>
  </w:footnote>
  <w:footnote w:id="3">
    <w:p w14:paraId="15E8B595" w14:textId="77777777" w:rsidR="007E52BE" w:rsidRPr="007E52BE" w:rsidRDefault="007E52BE" w:rsidP="007E52BE">
      <w:pPr>
        <w:pStyle w:val="Tekstprzypisudolnego"/>
        <w:jc w:val="both"/>
        <w:rPr>
          <w:rFonts w:ascii="Times New Roman" w:hAnsi="Times New Roman" w:cs="Times New Roman"/>
        </w:rPr>
      </w:pPr>
      <w:r w:rsidRPr="007E52BE">
        <w:rPr>
          <w:rStyle w:val="Odwoanieprzypisudolnego"/>
          <w:rFonts w:ascii="Times New Roman" w:hAnsi="Times New Roman"/>
        </w:rPr>
        <w:footnoteRef/>
      </w:r>
      <w:r w:rsidRPr="007E52BE">
        <w:rPr>
          <w:rFonts w:ascii="Times New Roman" w:hAnsi="Times New Roman" w:cs="Times New Roman"/>
        </w:rPr>
        <w:t xml:space="preserve"> </w:t>
      </w:r>
      <w:hyperlink r:id="rId3">
        <w:r w:rsidRPr="007E52BE">
          <w:rPr>
            <w:rStyle w:val="Hipercze"/>
            <w:rFonts w:ascii="Times New Roman" w:hAnsi="Times New Roman" w:cs="Times New Roman"/>
          </w:rPr>
          <w:t>http://ec.europa.eu/consumers/events/ecs_2013/report/Summitconclusions.pdf</w:t>
        </w:r>
      </w:hyperlink>
      <w:r w:rsidRPr="007E52BE">
        <w:rPr>
          <w:rFonts w:ascii="Times New Roman" w:hAnsi="Times New Roman" w:cs="Times New Roman"/>
        </w:rPr>
        <w:t xml:space="preserve"> </w:t>
      </w:r>
    </w:p>
  </w:footnote>
  <w:footnote w:id="4">
    <w:p w14:paraId="1B8AD652" w14:textId="77777777" w:rsidR="007E52BE" w:rsidRPr="007E52BE" w:rsidRDefault="007E52BE" w:rsidP="007E52BE">
      <w:pPr>
        <w:pStyle w:val="Tekstprzypisudolnego"/>
        <w:jc w:val="both"/>
        <w:rPr>
          <w:rFonts w:ascii="Times New Roman" w:hAnsi="Times New Roman" w:cs="Times New Roman"/>
          <w:sz w:val="22"/>
          <w:szCs w:val="22"/>
        </w:rPr>
      </w:pPr>
      <w:r w:rsidRPr="007E52BE">
        <w:rPr>
          <w:rStyle w:val="Odwoanieprzypisudolnego"/>
          <w:rFonts w:ascii="Times New Roman" w:hAnsi="Times New Roman"/>
        </w:rPr>
        <w:footnoteRef/>
      </w:r>
      <w:hyperlink r:id="rId4">
        <w:r w:rsidRPr="007E52BE">
          <w:rPr>
            <w:rStyle w:val="Hipercze"/>
            <w:rFonts w:ascii="Times New Roman" w:hAnsi="Times New Roman" w:cs="Times New Roman"/>
          </w:rPr>
          <w:t>http://ec.europa.eu/consumers/enforcement/cross-border_enforcement_cooperation/docs/140701_commission_report_cpc_reg_en.pdf</w:t>
        </w:r>
      </w:hyperlink>
      <w:r w:rsidRPr="007E52BE">
        <w:rPr>
          <w:rFonts w:ascii="Times New Roman" w:hAnsi="Times New Roman" w:cs="Times New Roman"/>
          <w:sz w:val="22"/>
          <w:szCs w:val="22"/>
        </w:rPr>
        <w:t xml:space="preserve"> </w:t>
      </w:r>
    </w:p>
  </w:footnote>
  <w:footnote w:id="5">
    <w:p w14:paraId="384CBC51" w14:textId="77777777" w:rsidR="007E52BE" w:rsidRPr="00707929" w:rsidRDefault="007E52BE" w:rsidP="007E52BE">
      <w:pPr>
        <w:pStyle w:val="Tekstprzypisudolnego"/>
        <w:jc w:val="both"/>
        <w:rPr>
          <w:rFonts w:ascii="Calibri" w:hAnsi="Calibri"/>
        </w:rPr>
      </w:pPr>
      <w:r w:rsidRPr="00707929">
        <w:rPr>
          <w:rStyle w:val="Odwoanieprzypisudolnego"/>
          <w:rFonts w:ascii="Calibri" w:hAnsi="Calibri"/>
        </w:rPr>
        <w:footnoteRef/>
      </w:r>
      <w:r w:rsidRPr="00707929">
        <w:rPr>
          <w:rFonts w:ascii="Calibri" w:hAnsi="Calibri"/>
        </w:rPr>
        <w:t xml:space="preserve"> </w:t>
      </w:r>
      <w:r w:rsidRPr="007E52BE">
        <w:rPr>
          <w:rFonts w:ascii="Times New Roman" w:hAnsi="Times New Roman" w:cs="Times New Roman"/>
          <w:sz w:val="22"/>
          <w:szCs w:val="22"/>
        </w:rPr>
        <w:t>Zwracanie się z wnioskami do sądów właściwych – dotyczy państw członkowskich, w których obowiązuje sądowy system ochrony praw konsumenta.</w:t>
      </w:r>
      <w:r w:rsidRPr="00707929">
        <w:rPr>
          <w:rFonts w:ascii="Calibri" w:hAnsi="Calibri"/>
        </w:rPr>
        <w:t xml:space="preserve"> </w:t>
      </w:r>
    </w:p>
  </w:footnote>
  <w:footnote w:id="6">
    <w:p w14:paraId="72E12F90" w14:textId="77777777" w:rsidR="007E52BE" w:rsidRPr="007E52BE" w:rsidRDefault="007E52BE" w:rsidP="007E52BE">
      <w:pPr>
        <w:pStyle w:val="Tekstprzypisudolnego"/>
        <w:jc w:val="both"/>
        <w:rPr>
          <w:rFonts w:ascii="Times New Roman" w:hAnsi="Times New Roman" w:cs="Times New Roman"/>
        </w:rPr>
      </w:pPr>
      <w:r w:rsidRPr="007E52BE">
        <w:rPr>
          <w:rStyle w:val="Odwoanieprzypisudolnego"/>
          <w:rFonts w:ascii="Times New Roman" w:hAnsi="Times New Roman"/>
        </w:rPr>
        <w:footnoteRef/>
      </w:r>
      <w:r w:rsidRPr="007E52BE">
        <w:rPr>
          <w:rFonts w:ascii="Times New Roman" w:hAnsi="Times New Roman" w:cs="Times New Roman"/>
        </w:rPr>
        <w:t xml:space="preserve"> Art. 3 pkt 3 – naruszenie powszechne:</w:t>
      </w:r>
    </w:p>
    <w:p w14:paraId="43EA93BC" w14:textId="77777777" w:rsidR="007E52BE" w:rsidRPr="007E52BE" w:rsidRDefault="007E52BE" w:rsidP="007E52BE">
      <w:pPr>
        <w:pStyle w:val="Tekstprzypisudolnego"/>
        <w:jc w:val="both"/>
        <w:rPr>
          <w:rFonts w:ascii="Times New Roman" w:hAnsi="Times New Roman" w:cs="Times New Roman"/>
        </w:rPr>
      </w:pPr>
      <w:r w:rsidRPr="007E52BE">
        <w:rPr>
          <w:rFonts w:ascii="Times New Roman" w:hAnsi="Times New Roman" w:cs="Times New Roman"/>
        </w:rPr>
        <w:t>a) czyn lub każde zaniechanie sprzeczne z przepisami prawnymi UE chroniącymi interesy konsumentów, które szkodziły, szkodzą lub mogą zaszkodzić zbiorowym interesom konsumentów zamieszkałych w co najmniej dwóch państwach członkowskich innych niż państwo członkowskie, w którym:</w:t>
      </w:r>
    </w:p>
    <w:p w14:paraId="193266D8" w14:textId="77777777" w:rsidR="007E52BE" w:rsidRPr="007E52BE" w:rsidRDefault="007E52BE" w:rsidP="00502A26">
      <w:pPr>
        <w:pStyle w:val="Tekstprzypisudolnego"/>
        <w:numPr>
          <w:ilvl w:val="0"/>
          <w:numId w:val="14"/>
        </w:numPr>
        <w:jc w:val="both"/>
        <w:rPr>
          <w:rFonts w:ascii="Times New Roman" w:hAnsi="Times New Roman" w:cs="Times New Roman"/>
        </w:rPr>
      </w:pPr>
      <w:r w:rsidRPr="007E52BE">
        <w:rPr>
          <w:rFonts w:ascii="Times New Roman" w:hAnsi="Times New Roman" w:cs="Times New Roman"/>
        </w:rPr>
        <w:t xml:space="preserve">czyn lub zaniechanie  </w:t>
      </w:r>
      <w:r w:rsidRPr="007E52BE">
        <w:rPr>
          <w:rFonts w:ascii="Times New Roman" w:hAnsi="Times New Roman" w:cs="Times New Roman"/>
          <w:lang w:eastAsia="pl-PL"/>
        </w:rPr>
        <w:t>miały swoje źródło; dopuszczono się czynu lub zaniechania;</w:t>
      </w:r>
    </w:p>
    <w:p w14:paraId="3DA03440" w14:textId="77777777" w:rsidR="007E52BE" w:rsidRPr="007E52BE" w:rsidRDefault="007E52BE" w:rsidP="00502A26">
      <w:pPr>
        <w:pStyle w:val="Tekstprzypisudolnego"/>
        <w:numPr>
          <w:ilvl w:val="0"/>
          <w:numId w:val="14"/>
        </w:numPr>
        <w:jc w:val="both"/>
        <w:rPr>
          <w:rFonts w:ascii="Times New Roman" w:hAnsi="Times New Roman" w:cs="Times New Roman"/>
        </w:rPr>
      </w:pPr>
      <w:r w:rsidRPr="007E52BE">
        <w:rPr>
          <w:rFonts w:ascii="Times New Roman" w:hAnsi="Times New Roman" w:cs="Times New Roman"/>
          <w:lang w:eastAsia="pl-PL"/>
        </w:rPr>
        <w:t>przedsiębiorca odpowiedzialny za czyn lub zaniechanie ma siedzibę; lub</w:t>
      </w:r>
    </w:p>
    <w:p w14:paraId="4601558A" w14:textId="77777777" w:rsidR="007E52BE" w:rsidRPr="007E52BE" w:rsidRDefault="007E52BE" w:rsidP="00502A26">
      <w:pPr>
        <w:pStyle w:val="Tekstprzypisudolnego"/>
        <w:numPr>
          <w:ilvl w:val="0"/>
          <w:numId w:val="14"/>
        </w:numPr>
        <w:jc w:val="both"/>
        <w:rPr>
          <w:rFonts w:ascii="Times New Roman" w:hAnsi="Times New Roman" w:cs="Times New Roman"/>
        </w:rPr>
      </w:pPr>
      <w:r w:rsidRPr="007E52BE">
        <w:rPr>
          <w:rFonts w:ascii="Times New Roman" w:hAnsi="Times New Roman" w:cs="Times New Roman"/>
          <w:lang w:eastAsia="pl-PL"/>
        </w:rPr>
        <w:t>znajdują się dowody bądź mienie przedsiębiorcy związane z tym czynem lub zaniechaniem; lub</w:t>
      </w:r>
    </w:p>
    <w:p w14:paraId="3C3B6440" w14:textId="77777777" w:rsidR="007E52BE" w:rsidRPr="007E52BE" w:rsidRDefault="007E52BE" w:rsidP="007E52BE">
      <w:pPr>
        <w:pStyle w:val="Tekstprzypisudolnego"/>
        <w:jc w:val="both"/>
        <w:rPr>
          <w:rFonts w:ascii="Times New Roman" w:hAnsi="Times New Roman" w:cs="Times New Roman"/>
        </w:rPr>
      </w:pPr>
      <w:r w:rsidRPr="007E52BE">
        <w:rPr>
          <w:rFonts w:ascii="Times New Roman" w:hAnsi="Times New Roman" w:cs="Times New Roman"/>
        </w:rPr>
        <w:t xml:space="preserve">b) czyny lub zaniechania sprzeczne z przepisami prawnymi UE chroniącymi interesy konsumentów, które szkodziły, szkodzą lub mogą zaszkodzić zbiorowym interesom konsumentów i mają cechy wspólne, w tym dotyczą tej samej bezprawnej praktyki, naruszają ten sam interes oraz zachodzą jednocześnie, i dopuszcza się ich  ten sam przedsiębiorca w co najmniej trzech państwach członkowskich. </w:t>
      </w:r>
    </w:p>
  </w:footnote>
  <w:footnote w:id="7">
    <w:p w14:paraId="4D81D247" w14:textId="77777777" w:rsidR="007E52BE" w:rsidRPr="007E52BE" w:rsidRDefault="007E52BE" w:rsidP="007E52BE">
      <w:pPr>
        <w:pStyle w:val="Tekstprzypisudolnego"/>
        <w:jc w:val="both"/>
        <w:rPr>
          <w:rFonts w:ascii="Times New Roman" w:hAnsi="Times New Roman" w:cs="Times New Roman"/>
        </w:rPr>
      </w:pPr>
      <w:r w:rsidRPr="007E52BE">
        <w:rPr>
          <w:rStyle w:val="Odwoanieprzypisudolnego"/>
          <w:rFonts w:ascii="Times New Roman" w:hAnsi="Times New Roman"/>
        </w:rPr>
        <w:footnoteRef/>
      </w:r>
      <w:r w:rsidRPr="007E52BE">
        <w:rPr>
          <w:rFonts w:ascii="Times New Roman" w:hAnsi="Times New Roman" w:cs="Times New Roman"/>
        </w:rPr>
        <w:t xml:space="preserve"> Art. 3 pkt 4 – naruszenie powszechne o wymiarze unijnym – powszechnie występujące naruszenie, które szkodziło, szkodzi lub może zaszkodzić zbiorowym interesom konsumentów w co najmniej dwóch trzecich państw członkowskich zamieszkałych łącznie przez co najmniej dwie trzecie ludności UE. </w:t>
      </w:r>
    </w:p>
  </w:footnote>
  <w:footnote w:id="8">
    <w:p w14:paraId="086CBE45" w14:textId="77777777" w:rsidR="007E52BE" w:rsidRPr="00707929" w:rsidRDefault="007E52BE" w:rsidP="007E52BE">
      <w:pPr>
        <w:pStyle w:val="Tekstprzypisudolnego"/>
        <w:jc w:val="both"/>
        <w:rPr>
          <w:rFonts w:ascii="Calibri" w:hAnsi="Calibri"/>
        </w:rPr>
      </w:pPr>
      <w:r w:rsidRPr="007E52BE">
        <w:rPr>
          <w:rStyle w:val="Odwoanieprzypisudolnego"/>
          <w:rFonts w:ascii="Times New Roman" w:hAnsi="Times New Roman"/>
        </w:rPr>
        <w:footnoteRef/>
      </w:r>
      <w:r w:rsidRPr="007E52BE">
        <w:rPr>
          <w:rFonts w:ascii="Times New Roman" w:hAnsi="Times New Roman" w:cs="Times New Roman"/>
        </w:rPr>
        <w:t xml:space="preserve"> Podmioty wyznaczone - podmioty posiadające uzasadniony interes w zaprzestaniu lub zakazaniu naruszeń przepisów prawnych UE i chroniących interesy konsumentów, wyznaczony przez państwo członkowskie i który otrzymał polecenie od właściwego organu do gromadzenia niezbędnych informacji i podejmowania koniecznych środków egzekwowania prawa dostępnych danemu podmiotowi na mocy prawa krajowego w celu doprowadzenia w imieniu tego właściwego organu do zaprzestania naruszenia lub do jego zakazania</w:t>
      </w:r>
    </w:p>
  </w:footnote>
  <w:footnote w:id="9">
    <w:p w14:paraId="4ECC13B0" w14:textId="77777777" w:rsidR="007E52BE" w:rsidRPr="007E52BE" w:rsidRDefault="007E52BE" w:rsidP="001139F4">
      <w:pPr>
        <w:pStyle w:val="Bezodstpw"/>
        <w:jc w:val="both"/>
        <w:rPr>
          <w:rFonts w:ascii="Times New Roman" w:hAnsi="Times New Roman"/>
          <w:sz w:val="20"/>
          <w:szCs w:val="20"/>
        </w:rPr>
      </w:pPr>
      <w:r w:rsidRPr="00707929">
        <w:rPr>
          <w:rStyle w:val="Odwoanieprzypisudolnego"/>
          <w:sz w:val="20"/>
          <w:szCs w:val="20"/>
        </w:rPr>
        <w:footnoteRef/>
      </w:r>
      <w:r w:rsidRPr="00707929">
        <w:rPr>
          <w:sz w:val="20"/>
          <w:szCs w:val="20"/>
        </w:rPr>
        <w:t xml:space="preserve"> </w:t>
      </w:r>
      <w:r w:rsidRPr="007E52BE">
        <w:rPr>
          <w:rStyle w:val="Pogrubienie"/>
          <w:rFonts w:ascii="Times New Roman" w:hAnsi="Times New Roman"/>
          <w:b w:val="0"/>
          <w:sz w:val="20"/>
          <w:szCs w:val="20"/>
          <w:bdr w:val="none" w:sz="0" w:space="0" w:color="auto" w:frame="1"/>
          <w:shd w:val="clear" w:color="auto" w:fill="FFFFFF"/>
        </w:rPr>
        <w:t>Dyrektywa 2002/58/WE Parlamentu Europejskiego i Rady z dnia 12 lipca 2002 r. dotycząca przetwarzania danych osobowych i ochrony prywatności w sektorze łączności elektronicznej, Dz. U. L</w:t>
      </w:r>
      <w:r w:rsidRPr="007E52BE">
        <w:rPr>
          <w:rStyle w:val="Pogrubienie"/>
          <w:rFonts w:ascii="Times New Roman" w:hAnsi="Times New Roman"/>
          <w:sz w:val="20"/>
          <w:szCs w:val="20"/>
          <w:bdr w:val="none" w:sz="0" w:space="0" w:color="auto" w:frame="1"/>
          <w:shd w:val="clear" w:color="auto" w:fill="FFFFFF"/>
        </w:rPr>
        <w:t xml:space="preserve"> </w:t>
      </w:r>
      <w:r w:rsidRPr="007E52BE">
        <w:rPr>
          <w:rFonts w:ascii="Times New Roman" w:hAnsi="Times New Roman"/>
          <w:iCs/>
          <w:sz w:val="20"/>
          <w:szCs w:val="20"/>
        </w:rPr>
        <w:t>201 z 31.7.2002, s. 37.</w:t>
      </w:r>
    </w:p>
  </w:footnote>
  <w:footnote w:id="10">
    <w:p w14:paraId="061C30BD" w14:textId="77777777" w:rsidR="007E52BE" w:rsidRPr="007E52BE" w:rsidRDefault="007E52BE" w:rsidP="001139F4">
      <w:pPr>
        <w:pStyle w:val="Bezodstpw"/>
        <w:jc w:val="both"/>
        <w:rPr>
          <w:rFonts w:ascii="Times New Roman" w:hAnsi="Times New Roman"/>
          <w:iCs/>
          <w:sz w:val="20"/>
          <w:szCs w:val="20"/>
          <w:lang w:eastAsia="pl-PL"/>
        </w:rPr>
      </w:pPr>
      <w:r w:rsidRPr="007E52BE">
        <w:rPr>
          <w:rStyle w:val="Odwoanieprzypisudolnego"/>
          <w:rFonts w:ascii="Times New Roman" w:hAnsi="Times New Roman"/>
          <w:sz w:val="20"/>
          <w:szCs w:val="20"/>
        </w:rPr>
        <w:footnoteRef/>
      </w:r>
      <w:r w:rsidRPr="007E52BE">
        <w:rPr>
          <w:rFonts w:ascii="Times New Roman" w:hAnsi="Times New Roman"/>
          <w:sz w:val="20"/>
          <w:szCs w:val="20"/>
        </w:rPr>
        <w:t xml:space="preserve"> </w:t>
      </w:r>
      <w:r w:rsidRPr="007E52BE">
        <w:rPr>
          <w:rFonts w:ascii="Times New Roman" w:eastAsia="Times New Roman" w:hAnsi="Times New Roman"/>
          <w:sz w:val="20"/>
          <w:szCs w:val="20"/>
          <w:bdr w:val="none" w:sz="0" w:space="0" w:color="auto" w:frame="1"/>
          <w:lang w:eastAsia="pl-PL"/>
        </w:rPr>
        <w:t>Dyrektywa 2005/29/WE Parlamentu Europejskiego i Rady z dnia 11 maja 2005 r. dotycząca nieuczciwych praktyk handlowych stosowanych przez przedsiębiorstwa wobec konsumentów na rynku wewnętrznym oraz zmieniająca dyrektywę Rady 84/450/EWG, dyrektywy 97/7/WE, 98/27/WE i 2002/65/WE Parlamentu Europejskiego i Rady oraz rozporządzenie (WE) nr 2006/2004 Parlamentu Europejskiego i Rady, Dz. U.</w:t>
      </w:r>
      <w:r w:rsidRPr="007E52BE">
        <w:rPr>
          <w:rFonts w:ascii="Times New Roman" w:hAnsi="Times New Roman"/>
          <w:iCs/>
          <w:sz w:val="20"/>
          <w:szCs w:val="20"/>
          <w:lang w:eastAsia="pl-PL"/>
        </w:rPr>
        <w:t xml:space="preserve"> L 149 z 11.6.2005, s. 22.</w:t>
      </w:r>
    </w:p>
  </w:footnote>
  <w:footnote w:id="11">
    <w:p w14:paraId="0286886C" w14:textId="77777777" w:rsidR="007E52BE" w:rsidRPr="007E52BE" w:rsidRDefault="007E52BE" w:rsidP="001139F4">
      <w:pPr>
        <w:pStyle w:val="Bezodstpw"/>
        <w:jc w:val="both"/>
        <w:rPr>
          <w:rFonts w:ascii="Times New Roman" w:hAnsi="Times New Roman"/>
          <w:sz w:val="20"/>
          <w:szCs w:val="20"/>
        </w:rPr>
      </w:pPr>
      <w:r w:rsidRPr="007E52BE">
        <w:rPr>
          <w:rStyle w:val="Odwoanieprzypisudolnego"/>
          <w:rFonts w:ascii="Times New Roman" w:hAnsi="Times New Roman"/>
          <w:sz w:val="20"/>
          <w:szCs w:val="20"/>
        </w:rPr>
        <w:footnoteRef/>
      </w:r>
      <w:r w:rsidRPr="007E52BE">
        <w:rPr>
          <w:rFonts w:ascii="Times New Roman" w:hAnsi="Times New Roman"/>
          <w:sz w:val="20"/>
          <w:szCs w:val="20"/>
        </w:rPr>
        <w:t xml:space="preserve"> Rozporządzenie (WE) nr 1107/2006 Parlamentu Europejskiego i Rady z dnia 5 lipca 2006 r. w sprawie praw osób niepełnosprawnych oraz osób o ograniczonej sprawności ruchowej podróżujących drogą lotniczą, Dz.U. L 204 z 26.7.2006, s. 1.</w:t>
      </w:r>
    </w:p>
  </w:footnote>
  <w:footnote w:id="12">
    <w:p w14:paraId="7E2C4ED4" w14:textId="77777777" w:rsidR="007E52BE" w:rsidRPr="007E52BE" w:rsidRDefault="007E52BE" w:rsidP="001139F4">
      <w:pPr>
        <w:pStyle w:val="Bezodstpw"/>
        <w:jc w:val="both"/>
        <w:rPr>
          <w:rFonts w:ascii="Times New Roman" w:hAnsi="Times New Roman"/>
          <w:sz w:val="20"/>
          <w:szCs w:val="20"/>
        </w:rPr>
      </w:pPr>
      <w:r w:rsidRPr="007E52BE">
        <w:rPr>
          <w:rStyle w:val="Odwoanieprzypisudolnego"/>
          <w:rFonts w:ascii="Times New Roman" w:hAnsi="Times New Roman"/>
          <w:sz w:val="20"/>
          <w:szCs w:val="20"/>
        </w:rPr>
        <w:footnoteRef/>
      </w:r>
      <w:r w:rsidRPr="007E52BE">
        <w:rPr>
          <w:rFonts w:ascii="Times New Roman" w:hAnsi="Times New Roman"/>
          <w:sz w:val="20"/>
          <w:szCs w:val="20"/>
        </w:rPr>
        <w:t xml:space="preserve"> </w:t>
      </w:r>
      <w:r w:rsidRPr="007E52BE">
        <w:rPr>
          <w:rFonts w:ascii="Times New Roman" w:eastAsia="Times New Roman" w:hAnsi="Times New Roman"/>
          <w:sz w:val="20"/>
          <w:szCs w:val="20"/>
          <w:bdr w:val="none" w:sz="0" w:space="0" w:color="auto" w:frame="1"/>
          <w:lang w:eastAsia="pl-PL"/>
        </w:rPr>
        <w:t xml:space="preserve">Dyrektywa 2006/123/WE Parlamentu Europejskiego i Rady z dnia 12 grudnia 2006 r. dotycząca usług na rynku wewnętrznym, Dz. U. </w:t>
      </w:r>
      <w:r w:rsidRPr="007E52BE">
        <w:rPr>
          <w:rFonts w:ascii="Times New Roman" w:hAnsi="Times New Roman"/>
          <w:iCs/>
          <w:sz w:val="20"/>
          <w:szCs w:val="20"/>
          <w:lang w:eastAsia="pl-PL"/>
        </w:rPr>
        <w:t xml:space="preserve">L 376 z 27.12.2006, s. 36. </w:t>
      </w:r>
    </w:p>
  </w:footnote>
  <w:footnote w:id="13">
    <w:p w14:paraId="04D912AF" w14:textId="77777777" w:rsidR="007E52BE" w:rsidRPr="007E52BE" w:rsidRDefault="007E52BE" w:rsidP="001139F4">
      <w:pPr>
        <w:pStyle w:val="Bezodstpw"/>
        <w:jc w:val="both"/>
        <w:rPr>
          <w:rFonts w:ascii="Times New Roman" w:hAnsi="Times New Roman"/>
          <w:sz w:val="20"/>
          <w:szCs w:val="20"/>
        </w:rPr>
      </w:pPr>
      <w:r w:rsidRPr="007E52BE">
        <w:rPr>
          <w:rStyle w:val="Odwoanieprzypisudolnego"/>
          <w:rFonts w:ascii="Times New Roman" w:hAnsi="Times New Roman"/>
          <w:sz w:val="20"/>
          <w:szCs w:val="20"/>
        </w:rPr>
        <w:footnoteRef/>
      </w:r>
      <w:r w:rsidRPr="007E52BE">
        <w:rPr>
          <w:rFonts w:ascii="Times New Roman" w:hAnsi="Times New Roman"/>
          <w:sz w:val="20"/>
          <w:szCs w:val="20"/>
        </w:rPr>
        <w:t xml:space="preserve"> Rozporządzenie (WE) nr 1371/2007 Parlamentu Europejskiego i Rady z dnia 23 października 2007 r. dotyczące praw i obowiązków pasażerów w ruchu kolejowym, Dz.U. L 315 z 3.12.2007, s. 14.</w:t>
      </w:r>
    </w:p>
  </w:footnote>
  <w:footnote w:id="14">
    <w:p w14:paraId="16AE6AC4" w14:textId="77777777" w:rsidR="007E52BE" w:rsidRPr="007E52BE" w:rsidRDefault="007E52BE" w:rsidP="001139F4">
      <w:pPr>
        <w:pStyle w:val="Bezodstpw"/>
        <w:jc w:val="both"/>
        <w:rPr>
          <w:rFonts w:ascii="Times New Roman" w:hAnsi="Times New Roman"/>
          <w:sz w:val="20"/>
          <w:szCs w:val="20"/>
        </w:rPr>
      </w:pPr>
      <w:r w:rsidRPr="007E52BE">
        <w:rPr>
          <w:rStyle w:val="Odwoanieprzypisudolnego"/>
          <w:rFonts w:ascii="Times New Roman" w:hAnsi="Times New Roman"/>
          <w:sz w:val="20"/>
          <w:szCs w:val="20"/>
        </w:rPr>
        <w:footnoteRef/>
      </w:r>
      <w:r w:rsidRPr="007E52BE">
        <w:rPr>
          <w:rFonts w:ascii="Times New Roman" w:hAnsi="Times New Roman"/>
          <w:sz w:val="20"/>
          <w:szCs w:val="20"/>
        </w:rPr>
        <w:t xml:space="preserve"> Rozporządzenie Parlamentu Europejskiego i Rady (WE) nr 1008/2008 z dnia 24 września 2008 r. w sprawie wspólnych zasad wykonywania przewozów lotniczych na terenie Wspólnoty, Dz.U. L 293 z 31.10.2008, s. 3.</w:t>
      </w:r>
    </w:p>
  </w:footnote>
  <w:footnote w:id="15">
    <w:p w14:paraId="3C42949B" w14:textId="77777777" w:rsidR="007E52BE" w:rsidRPr="00707929" w:rsidRDefault="007E52BE" w:rsidP="001139F4">
      <w:pPr>
        <w:pStyle w:val="Bezodstpw"/>
        <w:jc w:val="both"/>
        <w:rPr>
          <w:sz w:val="20"/>
          <w:szCs w:val="20"/>
        </w:rPr>
      </w:pPr>
      <w:r w:rsidRPr="007E52BE">
        <w:rPr>
          <w:rStyle w:val="Odwoanieprzypisudolnego"/>
          <w:rFonts w:ascii="Times New Roman" w:hAnsi="Times New Roman"/>
          <w:sz w:val="20"/>
          <w:szCs w:val="20"/>
        </w:rPr>
        <w:footnoteRef/>
      </w:r>
      <w:r w:rsidRPr="007E52BE">
        <w:rPr>
          <w:rFonts w:ascii="Times New Roman" w:hAnsi="Times New Roman"/>
          <w:sz w:val="20"/>
          <w:szCs w:val="20"/>
        </w:rPr>
        <w:t xml:space="preserve"> Rozporządzenie Parlamentu Europejskiego i Rady (UE) nr 1177/2010 z dnia 24 listopada 2010 r. o prawach pasażerów podróżujących drogą morską i drogą wodną śródlądową oraz zmieniające rozporządzenie (WE) nr 2006/2004, Dz.U. L 334 z 17.12.2010, s. 1</w:t>
      </w:r>
      <w:r w:rsidRPr="00707929">
        <w:rPr>
          <w:sz w:val="20"/>
          <w:szCs w:val="20"/>
        </w:rPr>
        <w:t>.</w:t>
      </w:r>
    </w:p>
  </w:footnote>
  <w:footnote w:id="16">
    <w:p w14:paraId="614BC903" w14:textId="77777777" w:rsidR="007E52BE" w:rsidRPr="007E52BE" w:rsidRDefault="007E52BE" w:rsidP="001139F4">
      <w:pPr>
        <w:pStyle w:val="Bezodstpw"/>
        <w:jc w:val="both"/>
        <w:rPr>
          <w:rFonts w:ascii="Times New Roman" w:hAnsi="Times New Roman"/>
          <w:sz w:val="20"/>
          <w:szCs w:val="20"/>
        </w:rPr>
      </w:pPr>
      <w:r w:rsidRPr="007E52BE">
        <w:rPr>
          <w:rStyle w:val="Odwoanieprzypisudolnego"/>
          <w:rFonts w:ascii="Times New Roman" w:hAnsi="Times New Roman"/>
          <w:sz w:val="20"/>
          <w:szCs w:val="20"/>
        </w:rPr>
        <w:footnoteRef/>
      </w:r>
      <w:r w:rsidRPr="007E52BE">
        <w:rPr>
          <w:rFonts w:ascii="Times New Roman" w:hAnsi="Times New Roman"/>
          <w:sz w:val="20"/>
          <w:szCs w:val="20"/>
        </w:rPr>
        <w:t xml:space="preserve"> Rozporządzenie Parlamentu Europejskiego i Rady (UE) nr 181/2011 z dnia 16 lutego 2011 r. dotyczące praw pasażerów w transporcie autobusowym i autokarowym oraz zmieniające rozporządzenie (WE) nr 2006/2004, Dz.U. L 55 z 28.2.2011, s. 1.</w:t>
      </w:r>
    </w:p>
  </w:footnote>
  <w:footnote w:id="17">
    <w:p w14:paraId="336B559A" w14:textId="77777777" w:rsidR="007E52BE" w:rsidRPr="007E52BE" w:rsidRDefault="007E52BE" w:rsidP="001139F4">
      <w:pPr>
        <w:pStyle w:val="Bezodstpw"/>
        <w:jc w:val="both"/>
        <w:rPr>
          <w:rFonts w:ascii="Times New Roman" w:hAnsi="Times New Roman"/>
          <w:sz w:val="20"/>
          <w:szCs w:val="20"/>
        </w:rPr>
      </w:pPr>
      <w:r w:rsidRPr="007E52BE">
        <w:rPr>
          <w:rStyle w:val="Odwoanieprzypisudolnego"/>
          <w:rFonts w:ascii="Times New Roman" w:hAnsi="Times New Roman"/>
          <w:sz w:val="20"/>
          <w:szCs w:val="20"/>
        </w:rPr>
        <w:footnoteRef/>
      </w:r>
      <w:r w:rsidRPr="007E52BE">
        <w:rPr>
          <w:rFonts w:ascii="Times New Roman" w:hAnsi="Times New Roman"/>
          <w:sz w:val="20"/>
          <w:szCs w:val="20"/>
        </w:rPr>
        <w:t xml:space="preserve"> Dyrektywa Parlamentu Europejskiego i Rady 2013/11/UE z dnia 21 maja 2013 r. w sprawie alternatywnych metod rozstrzygania sporów konsumenckich oraz zmiany rozporządzenia (WE) nr 2006/2004 i dyrektywy 2009/22/WE, Dz.U. L 165 z 18.6.2013, s. 63.</w:t>
      </w:r>
    </w:p>
  </w:footnote>
  <w:footnote w:id="18">
    <w:p w14:paraId="37BFC2CC" w14:textId="77777777" w:rsidR="007E52BE" w:rsidRPr="007E52BE" w:rsidRDefault="007E52BE" w:rsidP="001139F4">
      <w:pPr>
        <w:pStyle w:val="Bezodstpw"/>
        <w:jc w:val="both"/>
        <w:rPr>
          <w:rFonts w:ascii="Times New Roman" w:hAnsi="Times New Roman"/>
          <w:sz w:val="20"/>
          <w:szCs w:val="20"/>
        </w:rPr>
      </w:pPr>
      <w:r w:rsidRPr="007E52BE">
        <w:rPr>
          <w:rStyle w:val="Odwoanieprzypisudolnego"/>
          <w:rFonts w:ascii="Times New Roman" w:hAnsi="Times New Roman"/>
          <w:sz w:val="20"/>
          <w:szCs w:val="20"/>
        </w:rPr>
        <w:footnoteRef/>
      </w:r>
      <w:r w:rsidRPr="007E52BE">
        <w:rPr>
          <w:rFonts w:ascii="Times New Roman" w:hAnsi="Times New Roman"/>
          <w:sz w:val="20"/>
          <w:szCs w:val="20"/>
        </w:rPr>
        <w:t xml:space="preserve"> Rozporządzenie Parlamentu Europejskiego i Rady (UE) nr 524/2013 z dnia 21 maja 2013 r. w sprawie internetowego systemu rozstrzygania sporów konsumenckich oraz zmiany rozporządzenia (WE) nr 2006/2004 i dyrektywy 2009/22/WE, Dz.U. L 165 z 18.6.2013, s. 1.</w:t>
      </w:r>
    </w:p>
  </w:footnote>
  <w:footnote w:id="19">
    <w:p w14:paraId="52A0DB62" w14:textId="77777777" w:rsidR="007E52BE" w:rsidRPr="007E52BE" w:rsidRDefault="007E52BE" w:rsidP="001139F4">
      <w:pPr>
        <w:pStyle w:val="Bezodstpw"/>
        <w:jc w:val="both"/>
        <w:rPr>
          <w:rFonts w:ascii="Times New Roman" w:hAnsi="Times New Roman"/>
          <w:sz w:val="20"/>
          <w:szCs w:val="20"/>
        </w:rPr>
      </w:pPr>
      <w:r w:rsidRPr="007E52BE">
        <w:rPr>
          <w:rStyle w:val="Odwoanieprzypisudolnego"/>
          <w:rFonts w:ascii="Times New Roman" w:hAnsi="Times New Roman"/>
          <w:sz w:val="20"/>
          <w:szCs w:val="20"/>
        </w:rPr>
        <w:footnoteRef/>
      </w:r>
      <w:r w:rsidRPr="007E52BE">
        <w:rPr>
          <w:rFonts w:ascii="Times New Roman" w:hAnsi="Times New Roman"/>
          <w:sz w:val="20"/>
          <w:szCs w:val="20"/>
        </w:rPr>
        <w:t xml:space="preserve"> Dyrektywa Parlamentu Europejskiego i Rady 2014/17/UE z dnia 4 lutego 2014 r. w sprawie konsumenckich umów o kredyt związanych z nieruchomościami mieszkalnymi i zmieniająca dyrektywy 2008/48/WE i 2013/36/UE oraz rozporządzenie (UE) nr 1093/2010, Dz.U. L 60 z 28.2.2014, s. 34 (art. 10, 11, 13, 14, 15, 16, 17, 18, 21, 22, 23, rozdział 10 oraz załączniki I i II).</w:t>
      </w:r>
    </w:p>
  </w:footnote>
  <w:footnote w:id="20">
    <w:p w14:paraId="000D1F30" w14:textId="77777777" w:rsidR="007E52BE" w:rsidRPr="007E52BE" w:rsidRDefault="007E52BE" w:rsidP="001139F4">
      <w:pPr>
        <w:pStyle w:val="Tekstprzypisudolnego"/>
        <w:rPr>
          <w:rFonts w:ascii="Times New Roman" w:hAnsi="Times New Roman" w:cs="Times New Roman"/>
        </w:rPr>
      </w:pPr>
      <w:r w:rsidRPr="007E52BE">
        <w:rPr>
          <w:rStyle w:val="Odwoanieprzypisudolnego"/>
          <w:rFonts w:ascii="Times New Roman" w:hAnsi="Times New Roman"/>
        </w:rPr>
        <w:footnoteRef/>
      </w:r>
      <w:r w:rsidRPr="007E52BE">
        <w:rPr>
          <w:rFonts w:ascii="Times New Roman" w:hAnsi="Times New Roman" w:cs="Times New Roman"/>
        </w:rPr>
        <w:t xml:space="preserve"> Dyrektywa Parlamentu Europejskiego i Rady 2014/92/UE z dnia 23 lipca 2014 r. w sprawie porównywalności opłat związanych z rachunkami płatniczymi, przenoszenia rachunku płatniczego oraz dostępu do podstawowego rachunku płatniczego, Dz.U. L 257 z 28.8.2014, s. 214 (art. 3–18 i art. 20 ust. 2).</w:t>
      </w:r>
    </w:p>
  </w:footnote>
  <w:footnote w:id="21">
    <w:p w14:paraId="12722D16" w14:textId="77777777" w:rsidR="007E52BE" w:rsidRPr="007E52BE" w:rsidRDefault="007E52BE" w:rsidP="001139F4">
      <w:pPr>
        <w:pStyle w:val="Tekstprzypisudolnego"/>
        <w:rPr>
          <w:rFonts w:ascii="Times New Roman" w:hAnsi="Times New Roman" w:cs="Times New Roman"/>
        </w:rPr>
      </w:pPr>
      <w:r w:rsidRPr="007E52BE">
        <w:rPr>
          <w:rStyle w:val="Odwoanieprzypisudolnego"/>
          <w:rFonts w:ascii="Times New Roman" w:hAnsi="Times New Roman"/>
        </w:rPr>
        <w:footnoteRef/>
      </w:r>
      <w:r w:rsidRPr="007E52BE">
        <w:rPr>
          <w:rFonts w:ascii="Times New Roman" w:hAnsi="Times New Roman" w:cs="Times New Roman"/>
        </w:rPr>
        <w:t xml:space="preserve"> Rozporządzenie Parlamentu Europejskiego i Rady (UE) 2017/1128 z dnia 14 czerwca 2017 r. w sprawie możliwości transgranicznego przenoszenia na rynku wewnętrznym usług online w zakresie treści, Dz.U. L 168 z 30.6.2017, s. 1.</w:t>
      </w:r>
    </w:p>
  </w:footnote>
  <w:footnote w:id="22">
    <w:p w14:paraId="413864C2" w14:textId="77777777" w:rsidR="00434853" w:rsidRDefault="00434853">
      <w:pPr>
        <w:pStyle w:val="Tekstprzypisudolnego"/>
      </w:pPr>
      <w:r>
        <w:rPr>
          <w:rStyle w:val="Odwoanieprzypisudolnego"/>
        </w:rPr>
        <w:footnoteRef/>
      </w:r>
      <w:r>
        <w:t>Z  odpowiedzi na interpelację z dnia 25 października br., nr 26521, Posła na Sejm RP, pana Pawła Pudłowskiego, w sprawie realizacji kluczowego projektu strategicznego z SOR pn.: Uszczelnienie systemu poboru podatków</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546BC"/>
    <w:multiLevelType w:val="hybridMultilevel"/>
    <w:tmpl w:val="89A2AA3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54679F9"/>
    <w:multiLevelType w:val="hybridMultilevel"/>
    <w:tmpl w:val="1AFA64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CA63B91"/>
    <w:multiLevelType w:val="hybridMultilevel"/>
    <w:tmpl w:val="3D3C7234"/>
    <w:lvl w:ilvl="0" w:tplc="2AFA3420">
      <w:start w:val="1"/>
      <w:numFmt w:val="lowerRoman"/>
      <w:lvlText w:val="(%1)"/>
      <w:lvlJc w:val="left"/>
      <w:pPr>
        <w:ind w:left="1440" w:hanging="7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208A028B"/>
    <w:multiLevelType w:val="hybridMultilevel"/>
    <w:tmpl w:val="FDD6A484"/>
    <w:lvl w:ilvl="0" w:tplc="5AE802B4">
      <w:start w:val="1"/>
      <w:numFmt w:val="decimal"/>
      <w:lvlText w:val="%1)"/>
      <w:lvlJc w:val="left"/>
      <w:pPr>
        <w:ind w:left="1068" w:hanging="360"/>
      </w:pPr>
      <w:rPr>
        <w:rFonts w:eastAsiaTheme="minorHAnsi" w:hint="default"/>
        <w:color w:val="auto"/>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 w15:restartNumberingAfterBreak="0">
    <w:nsid w:val="22682C5A"/>
    <w:multiLevelType w:val="hybridMultilevel"/>
    <w:tmpl w:val="787477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64F66BD"/>
    <w:multiLevelType w:val="hybridMultilevel"/>
    <w:tmpl w:val="63CA99F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F7C6425"/>
    <w:multiLevelType w:val="hybridMultilevel"/>
    <w:tmpl w:val="25488354"/>
    <w:lvl w:ilvl="0" w:tplc="C5A2721E">
      <w:start w:val="1"/>
      <w:numFmt w:val="decimal"/>
      <w:lvlText w:val="%1)"/>
      <w:lvlJc w:val="left"/>
      <w:pPr>
        <w:ind w:left="785" w:hanging="360"/>
      </w:pPr>
      <w:rPr>
        <w:rFonts w:ascii="Times New Roman" w:eastAsia="Calibri" w:hAnsi="Times New Roman" w:cs="Times New Roman"/>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7" w15:restartNumberingAfterBreak="0">
    <w:nsid w:val="2F8C5917"/>
    <w:multiLevelType w:val="hybridMultilevel"/>
    <w:tmpl w:val="4FAE43D2"/>
    <w:lvl w:ilvl="0" w:tplc="04150017">
      <w:start w:val="3"/>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3016BF5"/>
    <w:multiLevelType w:val="hybridMultilevel"/>
    <w:tmpl w:val="C92071A6"/>
    <w:lvl w:ilvl="0" w:tplc="99F0F55E">
      <w:start w:val="1"/>
      <w:numFmt w:val="decimal"/>
      <w:lvlText w:val="%1."/>
      <w:lvlJc w:val="left"/>
      <w:pPr>
        <w:ind w:left="780" w:hanging="420"/>
      </w:pPr>
      <w:rPr>
        <w:rFonts w:cs="Times New Roman"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4CA6652"/>
    <w:multiLevelType w:val="hybridMultilevel"/>
    <w:tmpl w:val="3522E68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9616B3F"/>
    <w:multiLevelType w:val="hybridMultilevel"/>
    <w:tmpl w:val="72849D8A"/>
    <w:lvl w:ilvl="0" w:tplc="FD0406E2">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C816E3E"/>
    <w:multiLevelType w:val="hybridMultilevel"/>
    <w:tmpl w:val="1302B2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00F41F6"/>
    <w:multiLevelType w:val="hybridMultilevel"/>
    <w:tmpl w:val="CF6E3ACA"/>
    <w:lvl w:ilvl="0" w:tplc="759C54F0">
      <w:start w:val="1"/>
      <w:numFmt w:val="lowerRoman"/>
      <w:lvlText w:val="(%1)"/>
      <w:lvlJc w:val="left"/>
      <w:pPr>
        <w:ind w:left="1440" w:hanging="7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40B47A14"/>
    <w:multiLevelType w:val="hybridMultilevel"/>
    <w:tmpl w:val="924C19DA"/>
    <w:lvl w:ilvl="0" w:tplc="CEA07608">
      <w:start w:val="1"/>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4" w15:restartNumberingAfterBreak="0">
    <w:nsid w:val="646E1782"/>
    <w:multiLevelType w:val="multilevel"/>
    <w:tmpl w:val="00CE27B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D7732B1"/>
    <w:multiLevelType w:val="hybridMultilevel"/>
    <w:tmpl w:val="54E8BA0A"/>
    <w:lvl w:ilvl="0" w:tplc="0415000F">
      <w:start w:val="1"/>
      <w:numFmt w:val="decimal"/>
      <w:lvlText w:val="%1."/>
      <w:lvlJc w:val="left"/>
      <w:pPr>
        <w:ind w:left="360" w:hanging="360"/>
      </w:pPr>
      <w:rPr>
        <w:rFonts w:hint="default"/>
      </w:rPr>
    </w:lvl>
    <w:lvl w:ilvl="1" w:tplc="04150017">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6F1A183F"/>
    <w:multiLevelType w:val="hybridMultilevel"/>
    <w:tmpl w:val="4D88B8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7F750762"/>
    <w:multiLevelType w:val="hybridMultilevel"/>
    <w:tmpl w:val="5CD499E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7"/>
  </w:num>
  <w:num w:numId="2">
    <w:abstractNumId w:val="0"/>
  </w:num>
  <w:num w:numId="3">
    <w:abstractNumId w:val="15"/>
  </w:num>
  <w:num w:numId="4">
    <w:abstractNumId w:val="1"/>
  </w:num>
  <w:num w:numId="5">
    <w:abstractNumId w:val="11"/>
  </w:num>
  <w:num w:numId="6">
    <w:abstractNumId w:val="14"/>
  </w:num>
  <w:num w:numId="7">
    <w:abstractNumId w:val="10"/>
  </w:num>
  <w:num w:numId="8">
    <w:abstractNumId w:val="12"/>
  </w:num>
  <w:num w:numId="9">
    <w:abstractNumId w:val="6"/>
  </w:num>
  <w:num w:numId="10">
    <w:abstractNumId w:val="13"/>
  </w:num>
  <w:num w:numId="11">
    <w:abstractNumId w:val="8"/>
  </w:num>
  <w:num w:numId="12">
    <w:abstractNumId w:val="3"/>
  </w:num>
  <w:num w:numId="13">
    <w:abstractNumId w:val="16"/>
  </w:num>
  <w:num w:numId="14">
    <w:abstractNumId w:val="2"/>
  </w:num>
  <w:num w:numId="15">
    <w:abstractNumId w:val="9"/>
  </w:num>
  <w:num w:numId="16">
    <w:abstractNumId w:val="5"/>
  </w:num>
  <w:num w:numId="17">
    <w:abstractNumId w:val="4"/>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1495"/>
    <w:rsid w:val="0000065D"/>
    <w:rsid w:val="000034C6"/>
    <w:rsid w:val="00003FA8"/>
    <w:rsid w:val="000116CF"/>
    <w:rsid w:val="00014D60"/>
    <w:rsid w:val="000157B8"/>
    <w:rsid w:val="00022804"/>
    <w:rsid w:val="000231C8"/>
    <w:rsid w:val="00031BE6"/>
    <w:rsid w:val="00032F03"/>
    <w:rsid w:val="000339C6"/>
    <w:rsid w:val="00035295"/>
    <w:rsid w:val="00035C76"/>
    <w:rsid w:val="000415C0"/>
    <w:rsid w:val="00041DA0"/>
    <w:rsid w:val="00042823"/>
    <w:rsid w:val="00042D7E"/>
    <w:rsid w:val="000431C2"/>
    <w:rsid w:val="00047014"/>
    <w:rsid w:val="00050280"/>
    <w:rsid w:val="0005037B"/>
    <w:rsid w:val="00051DC9"/>
    <w:rsid w:val="000767D9"/>
    <w:rsid w:val="0007733D"/>
    <w:rsid w:val="000804B8"/>
    <w:rsid w:val="00084F26"/>
    <w:rsid w:val="000A0279"/>
    <w:rsid w:val="000A38C8"/>
    <w:rsid w:val="000A64A9"/>
    <w:rsid w:val="000B1B0E"/>
    <w:rsid w:val="000B2F0D"/>
    <w:rsid w:val="000C6C63"/>
    <w:rsid w:val="000D6A2C"/>
    <w:rsid w:val="000E4B83"/>
    <w:rsid w:val="000E6CF5"/>
    <w:rsid w:val="000F274B"/>
    <w:rsid w:val="001009AD"/>
    <w:rsid w:val="001049C5"/>
    <w:rsid w:val="001139F4"/>
    <w:rsid w:val="001144E3"/>
    <w:rsid w:val="00114D4D"/>
    <w:rsid w:val="001216EA"/>
    <w:rsid w:val="0012364F"/>
    <w:rsid w:val="00132863"/>
    <w:rsid w:val="00133BEA"/>
    <w:rsid w:val="00134EC7"/>
    <w:rsid w:val="00136F65"/>
    <w:rsid w:val="00137D9F"/>
    <w:rsid w:val="00140CD5"/>
    <w:rsid w:val="00147EC9"/>
    <w:rsid w:val="00164740"/>
    <w:rsid w:val="0017010A"/>
    <w:rsid w:val="00175050"/>
    <w:rsid w:val="00183387"/>
    <w:rsid w:val="00183F7D"/>
    <w:rsid w:val="00193238"/>
    <w:rsid w:val="001A137C"/>
    <w:rsid w:val="001A22F8"/>
    <w:rsid w:val="001A2CB5"/>
    <w:rsid w:val="001A3094"/>
    <w:rsid w:val="001A74D0"/>
    <w:rsid w:val="001B215C"/>
    <w:rsid w:val="001C5DCC"/>
    <w:rsid w:val="001D0030"/>
    <w:rsid w:val="001E448F"/>
    <w:rsid w:val="001E6894"/>
    <w:rsid w:val="001F2EF8"/>
    <w:rsid w:val="001F3AC1"/>
    <w:rsid w:val="00200546"/>
    <w:rsid w:val="00200A1F"/>
    <w:rsid w:val="00205BAA"/>
    <w:rsid w:val="00211365"/>
    <w:rsid w:val="00211627"/>
    <w:rsid w:val="00212229"/>
    <w:rsid w:val="0021683B"/>
    <w:rsid w:val="00223AB9"/>
    <w:rsid w:val="00226029"/>
    <w:rsid w:val="00230779"/>
    <w:rsid w:val="00243E59"/>
    <w:rsid w:val="00245823"/>
    <w:rsid w:val="00256DB7"/>
    <w:rsid w:val="00264B0D"/>
    <w:rsid w:val="00265397"/>
    <w:rsid w:val="002748B9"/>
    <w:rsid w:val="00275E41"/>
    <w:rsid w:val="00277860"/>
    <w:rsid w:val="00292511"/>
    <w:rsid w:val="002A0259"/>
    <w:rsid w:val="002A07EE"/>
    <w:rsid w:val="002B4C70"/>
    <w:rsid w:val="002B5086"/>
    <w:rsid w:val="002B6FC1"/>
    <w:rsid w:val="002C1119"/>
    <w:rsid w:val="002C35F5"/>
    <w:rsid w:val="002C4665"/>
    <w:rsid w:val="002E5C96"/>
    <w:rsid w:val="002F0294"/>
    <w:rsid w:val="002F3DCD"/>
    <w:rsid w:val="002F584F"/>
    <w:rsid w:val="002F67C7"/>
    <w:rsid w:val="002F7CDB"/>
    <w:rsid w:val="003042BB"/>
    <w:rsid w:val="00306545"/>
    <w:rsid w:val="0031467A"/>
    <w:rsid w:val="003175CE"/>
    <w:rsid w:val="00340CBA"/>
    <w:rsid w:val="003457DA"/>
    <w:rsid w:val="003500DA"/>
    <w:rsid w:val="00351CBE"/>
    <w:rsid w:val="00353060"/>
    <w:rsid w:val="00361B1F"/>
    <w:rsid w:val="0036596B"/>
    <w:rsid w:val="003A1D13"/>
    <w:rsid w:val="003A4577"/>
    <w:rsid w:val="003A5F73"/>
    <w:rsid w:val="003A600D"/>
    <w:rsid w:val="003A674F"/>
    <w:rsid w:val="003B37A6"/>
    <w:rsid w:val="003B4540"/>
    <w:rsid w:val="003B6404"/>
    <w:rsid w:val="003B7E5C"/>
    <w:rsid w:val="003C4199"/>
    <w:rsid w:val="003D3F33"/>
    <w:rsid w:val="003D4A39"/>
    <w:rsid w:val="003D7F50"/>
    <w:rsid w:val="003E3F27"/>
    <w:rsid w:val="003E43E0"/>
    <w:rsid w:val="003E6467"/>
    <w:rsid w:val="003F24EE"/>
    <w:rsid w:val="003F4D29"/>
    <w:rsid w:val="00401559"/>
    <w:rsid w:val="00404B96"/>
    <w:rsid w:val="00413A34"/>
    <w:rsid w:val="00422812"/>
    <w:rsid w:val="004275DC"/>
    <w:rsid w:val="004327CC"/>
    <w:rsid w:val="00433175"/>
    <w:rsid w:val="00434853"/>
    <w:rsid w:val="004355B3"/>
    <w:rsid w:val="00446000"/>
    <w:rsid w:val="004461CD"/>
    <w:rsid w:val="00446A20"/>
    <w:rsid w:val="00447ACD"/>
    <w:rsid w:val="004501C3"/>
    <w:rsid w:val="00451673"/>
    <w:rsid w:val="004531F3"/>
    <w:rsid w:val="00455FF6"/>
    <w:rsid w:val="0045619C"/>
    <w:rsid w:val="004627DE"/>
    <w:rsid w:val="004641B3"/>
    <w:rsid w:val="00467850"/>
    <w:rsid w:val="00467E61"/>
    <w:rsid w:val="00471B21"/>
    <w:rsid w:val="00476CA6"/>
    <w:rsid w:val="004771B1"/>
    <w:rsid w:val="004870AF"/>
    <w:rsid w:val="00490DB3"/>
    <w:rsid w:val="00491198"/>
    <w:rsid w:val="0049358E"/>
    <w:rsid w:val="004957F3"/>
    <w:rsid w:val="004969DC"/>
    <w:rsid w:val="004A16AE"/>
    <w:rsid w:val="004A1797"/>
    <w:rsid w:val="004A2A20"/>
    <w:rsid w:val="004A5506"/>
    <w:rsid w:val="004A64D1"/>
    <w:rsid w:val="004B124A"/>
    <w:rsid w:val="004B5BAB"/>
    <w:rsid w:val="004B64B0"/>
    <w:rsid w:val="004B7F6C"/>
    <w:rsid w:val="004C4911"/>
    <w:rsid w:val="004C521C"/>
    <w:rsid w:val="004C521F"/>
    <w:rsid w:val="004C736D"/>
    <w:rsid w:val="004C75F8"/>
    <w:rsid w:val="004D06FE"/>
    <w:rsid w:val="004D3BD6"/>
    <w:rsid w:val="004F06AD"/>
    <w:rsid w:val="004F2737"/>
    <w:rsid w:val="004F5125"/>
    <w:rsid w:val="004F65ED"/>
    <w:rsid w:val="005021D6"/>
    <w:rsid w:val="005026E1"/>
    <w:rsid w:val="00502A26"/>
    <w:rsid w:val="00506F7E"/>
    <w:rsid w:val="005107F7"/>
    <w:rsid w:val="00511955"/>
    <w:rsid w:val="00520876"/>
    <w:rsid w:val="005245C2"/>
    <w:rsid w:val="005247C0"/>
    <w:rsid w:val="00527199"/>
    <w:rsid w:val="005307B7"/>
    <w:rsid w:val="005403D9"/>
    <w:rsid w:val="00543734"/>
    <w:rsid w:val="005551DA"/>
    <w:rsid w:val="00563B35"/>
    <w:rsid w:val="005672EF"/>
    <w:rsid w:val="00571757"/>
    <w:rsid w:val="00587AA6"/>
    <w:rsid w:val="005A2FC6"/>
    <w:rsid w:val="005A6B35"/>
    <w:rsid w:val="005B0FA5"/>
    <w:rsid w:val="005B1707"/>
    <w:rsid w:val="005B18A6"/>
    <w:rsid w:val="005B2DAB"/>
    <w:rsid w:val="005B6C8A"/>
    <w:rsid w:val="005C2FFF"/>
    <w:rsid w:val="005D4658"/>
    <w:rsid w:val="005D5CED"/>
    <w:rsid w:val="005D76F3"/>
    <w:rsid w:val="005F0EAE"/>
    <w:rsid w:val="005F5C80"/>
    <w:rsid w:val="005F60DB"/>
    <w:rsid w:val="005F7267"/>
    <w:rsid w:val="00607477"/>
    <w:rsid w:val="0061178A"/>
    <w:rsid w:val="00617078"/>
    <w:rsid w:val="0062073A"/>
    <w:rsid w:val="00630D36"/>
    <w:rsid w:val="00631174"/>
    <w:rsid w:val="00633395"/>
    <w:rsid w:val="006342C3"/>
    <w:rsid w:val="0064514E"/>
    <w:rsid w:val="00651F9D"/>
    <w:rsid w:val="0065617E"/>
    <w:rsid w:val="00656622"/>
    <w:rsid w:val="0066260A"/>
    <w:rsid w:val="006626B4"/>
    <w:rsid w:val="006639B5"/>
    <w:rsid w:val="00673E66"/>
    <w:rsid w:val="006803C2"/>
    <w:rsid w:val="006823C5"/>
    <w:rsid w:val="00683C5F"/>
    <w:rsid w:val="00684C1F"/>
    <w:rsid w:val="00685E1F"/>
    <w:rsid w:val="006877FB"/>
    <w:rsid w:val="006901CD"/>
    <w:rsid w:val="00692F64"/>
    <w:rsid w:val="00694FD5"/>
    <w:rsid w:val="006A1CA5"/>
    <w:rsid w:val="006A45FA"/>
    <w:rsid w:val="006A52C3"/>
    <w:rsid w:val="006A5EA8"/>
    <w:rsid w:val="006A6863"/>
    <w:rsid w:val="006B3821"/>
    <w:rsid w:val="006B5D9A"/>
    <w:rsid w:val="006B6485"/>
    <w:rsid w:val="006D625A"/>
    <w:rsid w:val="006E1487"/>
    <w:rsid w:val="006E39D1"/>
    <w:rsid w:val="006E782B"/>
    <w:rsid w:val="006F0845"/>
    <w:rsid w:val="006F2C6F"/>
    <w:rsid w:val="006F5D5F"/>
    <w:rsid w:val="00701E92"/>
    <w:rsid w:val="007067AB"/>
    <w:rsid w:val="00711D28"/>
    <w:rsid w:val="00720AC7"/>
    <w:rsid w:val="00724AFC"/>
    <w:rsid w:val="007268AF"/>
    <w:rsid w:val="00736615"/>
    <w:rsid w:val="00736796"/>
    <w:rsid w:val="00737E3B"/>
    <w:rsid w:val="007424AE"/>
    <w:rsid w:val="00746F94"/>
    <w:rsid w:val="00753BBD"/>
    <w:rsid w:val="00756B45"/>
    <w:rsid w:val="00773297"/>
    <w:rsid w:val="00780C30"/>
    <w:rsid w:val="0078379E"/>
    <w:rsid w:val="00783CC3"/>
    <w:rsid w:val="00785A98"/>
    <w:rsid w:val="00793923"/>
    <w:rsid w:val="007A0051"/>
    <w:rsid w:val="007A074E"/>
    <w:rsid w:val="007A08DA"/>
    <w:rsid w:val="007A1980"/>
    <w:rsid w:val="007A1DC1"/>
    <w:rsid w:val="007A2D64"/>
    <w:rsid w:val="007A5772"/>
    <w:rsid w:val="007A69BF"/>
    <w:rsid w:val="007B0385"/>
    <w:rsid w:val="007B2458"/>
    <w:rsid w:val="007B50E8"/>
    <w:rsid w:val="007B6531"/>
    <w:rsid w:val="007C4D36"/>
    <w:rsid w:val="007D47A3"/>
    <w:rsid w:val="007D5A70"/>
    <w:rsid w:val="007D7FA1"/>
    <w:rsid w:val="007E1737"/>
    <w:rsid w:val="007E3DDB"/>
    <w:rsid w:val="007E52BE"/>
    <w:rsid w:val="007E5484"/>
    <w:rsid w:val="007E58D5"/>
    <w:rsid w:val="007E61BE"/>
    <w:rsid w:val="007F0C86"/>
    <w:rsid w:val="007F15F3"/>
    <w:rsid w:val="007F24AD"/>
    <w:rsid w:val="00806F1A"/>
    <w:rsid w:val="00812F06"/>
    <w:rsid w:val="00813E0D"/>
    <w:rsid w:val="00826290"/>
    <w:rsid w:val="00827950"/>
    <w:rsid w:val="008336AB"/>
    <w:rsid w:val="00833A58"/>
    <w:rsid w:val="008377A5"/>
    <w:rsid w:val="00837CAC"/>
    <w:rsid w:val="00841786"/>
    <w:rsid w:val="00841CB6"/>
    <w:rsid w:val="008432B4"/>
    <w:rsid w:val="00852877"/>
    <w:rsid w:val="00853E4F"/>
    <w:rsid w:val="0086290B"/>
    <w:rsid w:val="00864558"/>
    <w:rsid w:val="00864759"/>
    <w:rsid w:val="00874195"/>
    <w:rsid w:val="008765BC"/>
    <w:rsid w:val="008834CD"/>
    <w:rsid w:val="00886058"/>
    <w:rsid w:val="00892EA8"/>
    <w:rsid w:val="008A4021"/>
    <w:rsid w:val="008A40B2"/>
    <w:rsid w:val="008B3F52"/>
    <w:rsid w:val="008C5922"/>
    <w:rsid w:val="008C5A92"/>
    <w:rsid w:val="008D2D86"/>
    <w:rsid w:val="008D344E"/>
    <w:rsid w:val="008D68EF"/>
    <w:rsid w:val="008E70DF"/>
    <w:rsid w:val="008F0C6D"/>
    <w:rsid w:val="008F42A8"/>
    <w:rsid w:val="00900964"/>
    <w:rsid w:val="00902820"/>
    <w:rsid w:val="009129A9"/>
    <w:rsid w:val="00914447"/>
    <w:rsid w:val="00925291"/>
    <w:rsid w:val="00930256"/>
    <w:rsid w:val="00932358"/>
    <w:rsid w:val="0093692D"/>
    <w:rsid w:val="00941174"/>
    <w:rsid w:val="00942E71"/>
    <w:rsid w:val="00944570"/>
    <w:rsid w:val="00956C48"/>
    <w:rsid w:val="009606D3"/>
    <w:rsid w:val="00960A6D"/>
    <w:rsid w:val="00963ED4"/>
    <w:rsid w:val="009679D1"/>
    <w:rsid w:val="0097004C"/>
    <w:rsid w:val="0097624E"/>
    <w:rsid w:val="00981DF5"/>
    <w:rsid w:val="009842C3"/>
    <w:rsid w:val="00985898"/>
    <w:rsid w:val="00990D5A"/>
    <w:rsid w:val="00993DB0"/>
    <w:rsid w:val="00995B52"/>
    <w:rsid w:val="009A32D1"/>
    <w:rsid w:val="009B40B2"/>
    <w:rsid w:val="009C4702"/>
    <w:rsid w:val="009C6AD6"/>
    <w:rsid w:val="009C6C79"/>
    <w:rsid w:val="009C76CE"/>
    <w:rsid w:val="009D26EE"/>
    <w:rsid w:val="009D2833"/>
    <w:rsid w:val="009D3731"/>
    <w:rsid w:val="009E52C3"/>
    <w:rsid w:val="009E68FB"/>
    <w:rsid w:val="009E71D3"/>
    <w:rsid w:val="009F0370"/>
    <w:rsid w:val="009F3D61"/>
    <w:rsid w:val="00A03418"/>
    <w:rsid w:val="00A068CF"/>
    <w:rsid w:val="00A0759D"/>
    <w:rsid w:val="00A122F4"/>
    <w:rsid w:val="00A124A8"/>
    <w:rsid w:val="00A12C2E"/>
    <w:rsid w:val="00A153A0"/>
    <w:rsid w:val="00A2522B"/>
    <w:rsid w:val="00A25C94"/>
    <w:rsid w:val="00A30DA0"/>
    <w:rsid w:val="00A42F93"/>
    <w:rsid w:val="00A45AC4"/>
    <w:rsid w:val="00A50628"/>
    <w:rsid w:val="00A5106D"/>
    <w:rsid w:val="00A65C1C"/>
    <w:rsid w:val="00A67896"/>
    <w:rsid w:val="00A723EB"/>
    <w:rsid w:val="00A80F21"/>
    <w:rsid w:val="00A839F7"/>
    <w:rsid w:val="00A845F1"/>
    <w:rsid w:val="00A91A11"/>
    <w:rsid w:val="00A9717D"/>
    <w:rsid w:val="00AA1588"/>
    <w:rsid w:val="00AB2258"/>
    <w:rsid w:val="00AB5036"/>
    <w:rsid w:val="00AB609A"/>
    <w:rsid w:val="00AB6EA7"/>
    <w:rsid w:val="00AC0404"/>
    <w:rsid w:val="00AC1495"/>
    <w:rsid w:val="00AC397B"/>
    <w:rsid w:val="00AC528B"/>
    <w:rsid w:val="00AC6104"/>
    <w:rsid w:val="00AD5AF6"/>
    <w:rsid w:val="00AF434E"/>
    <w:rsid w:val="00B0381E"/>
    <w:rsid w:val="00B23548"/>
    <w:rsid w:val="00B239CD"/>
    <w:rsid w:val="00B23E91"/>
    <w:rsid w:val="00B262C5"/>
    <w:rsid w:val="00B26A3C"/>
    <w:rsid w:val="00B27376"/>
    <w:rsid w:val="00B35A96"/>
    <w:rsid w:val="00B40B59"/>
    <w:rsid w:val="00B4167C"/>
    <w:rsid w:val="00B46B1B"/>
    <w:rsid w:val="00B53192"/>
    <w:rsid w:val="00B56F0E"/>
    <w:rsid w:val="00B6190B"/>
    <w:rsid w:val="00B64E81"/>
    <w:rsid w:val="00B65E88"/>
    <w:rsid w:val="00B705E0"/>
    <w:rsid w:val="00B715EF"/>
    <w:rsid w:val="00B861B6"/>
    <w:rsid w:val="00B865A9"/>
    <w:rsid w:val="00B91DA6"/>
    <w:rsid w:val="00BA1E2C"/>
    <w:rsid w:val="00BA354D"/>
    <w:rsid w:val="00BB0392"/>
    <w:rsid w:val="00BB1EC5"/>
    <w:rsid w:val="00BB290A"/>
    <w:rsid w:val="00BB7748"/>
    <w:rsid w:val="00BC5BFE"/>
    <w:rsid w:val="00BC6C17"/>
    <w:rsid w:val="00BD0717"/>
    <w:rsid w:val="00BD54DF"/>
    <w:rsid w:val="00BF2128"/>
    <w:rsid w:val="00BF39C5"/>
    <w:rsid w:val="00BF6164"/>
    <w:rsid w:val="00BF6B8D"/>
    <w:rsid w:val="00C0380E"/>
    <w:rsid w:val="00C06B8A"/>
    <w:rsid w:val="00C06DDC"/>
    <w:rsid w:val="00C17061"/>
    <w:rsid w:val="00C219FC"/>
    <w:rsid w:val="00C226ED"/>
    <w:rsid w:val="00C23B20"/>
    <w:rsid w:val="00C24A98"/>
    <w:rsid w:val="00C312E0"/>
    <w:rsid w:val="00C46A13"/>
    <w:rsid w:val="00C62D8B"/>
    <w:rsid w:val="00C636DD"/>
    <w:rsid w:val="00C63F86"/>
    <w:rsid w:val="00C6621F"/>
    <w:rsid w:val="00C70E48"/>
    <w:rsid w:val="00C75D47"/>
    <w:rsid w:val="00C82E3C"/>
    <w:rsid w:val="00C86418"/>
    <w:rsid w:val="00C91A0F"/>
    <w:rsid w:val="00C92982"/>
    <w:rsid w:val="00C97337"/>
    <w:rsid w:val="00CA09B6"/>
    <w:rsid w:val="00CA3C6C"/>
    <w:rsid w:val="00CA4BEB"/>
    <w:rsid w:val="00CA5AD1"/>
    <w:rsid w:val="00CA65CF"/>
    <w:rsid w:val="00CA698B"/>
    <w:rsid w:val="00CB2B5A"/>
    <w:rsid w:val="00CB2EF7"/>
    <w:rsid w:val="00CC121F"/>
    <w:rsid w:val="00CC36A1"/>
    <w:rsid w:val="00CC6ADD"/>
    <w:rsid w:val="00CD0A39"/>
    <w:rsid w:val="00CD1648"/>
    <w:rsid w:val="00CD4927"/>
    <w:rsid w:val="00CD639F"/>
    <w:rsid w:val="00CE4C2D"/>
    <w:rsid w:val="00D03855"/>
    <w:rsid w:val="00D042A4"/>
    <w:rsid w:val="00D0514E"/>
    <w:rsid w:val="00D14712"/>
    <w:rsid w:val="00D171F9"/>
    <w:rsid w:val="00D20C74"/>
    <w:rsid w:val="00D27B8C"/>
    <w:rsid w:val="00D40214"/>
    <w:rsid w:val="00D4182F"/>
    <w:rsid w:val="00D41892"/>
    <w:rsid w:val="00D418F3"/>
    <w:rsid w:val="00D43EE3"/>
    <w:rsid w:val="00D56C4C"/>
    <w:rsid w:val="00D612A6"/>
    <w:rsid w:val="00D67D67"/>
    <w:rsid w:val="00D70CA3"/>
    <w:rsid w:val="00D71DC0"/>
    <w:rsid w:val="00D75998"/>
    <w:rsid w:val="00D75F16"/>
    <w:rsid w:val="00D76B34"/>
    <w:rsid w:val="00D803D4"/>
    <w:rsid w:val="00D81E22"/>
    <w:rsid w:val="00D86EEC"/>
    <w:rsid w:val="00D87AB9"/>
    <w:rsid w:val="00D96A46"/>
    <w:rsid w:val="00DA56BC"/>
    <w:rsid w:val="00DB1AA8"/>
    <w:rsid w:val="00DB2380"/>
    <w:rsid w:val="00DB4D7D"/>
    <w:rsid w:val="00DB5331"/>
    <w:rsid w:val="00DB7C21"/>
    <w:rsid w:val="00DC0FC6"/>
    <w:rsid w:val="00DC1840"/>
    <w:rsid w:val="00DC6803"/>
    <w:rsid w:val="00DD2DC5"/>
    <w:rsid w:val="00DD3C4E"/>
    <w:rsid w:val="00DD3F3A"/>
    <w:rsid w:val="00DE07F5"/>
    <w:rsid w:val="00DF2ADB"/>
    <w:rsid w:val="00DF304A"/>
    <w:rsid w:val="00DF649E"/>
    <w:rsid w:val="00DF7DED"/>
    <w:rsid w:val="00E00A51"/>
    <w:rsid w:val="00E00D6C"/>
    <w:rsid w:val="00E023D1"/>
    <w:rsid w:val="00E07EB6"/>
    <w:rsid w:val="00E11890"/>
    <w:rsid w:val="00E23E0E"/>
    <w:rsid w:val="00E302CE"/>
    <w:rsid w:val="00E3032D"/>
    <w:rsid w:val="00E322AC"/>
    <w:rsid w:val="00E4118A"/>
    <w:rsid w:val="00E509B4"/>
    <w:rsid w:val="00E544AA"/>
    <w:rsid w:val="00E567B3"/>
    <w:rsid w:val="00E65A6B"/>
    <w:rsid w:val="00E65FC7"/>
    <w:rsid w:val="00E710CA"/>
    <w:rsid w:val="00E74550"/>
    <w:rsid w:val="00E7573B"/>
    <w:rsid w:val="00E82377"/>
    <w:rsid w:val="00E84EFF"/>
    <w:rsid w:val="00E85F21"/>
    <w:rsid w:val="00E90EB8"/>
    <w:rsid w:val="00E91B9F"/>
    <w:rsid w:val="00E91F8B"/>
    <w:rsid w:val="00E96591"/>
    <w:rsid w:val="00E97C38"/>
    <w:rsid w:val="00EA3591"/>
    <w:rsid w:val="00EA74A8"/>
    <w:rsid w:val="00EB2FA8"/>
    <w:rsid w:val="00EB3A79"/>
    <w:rsid w:val="00EB7CE8"/>
    <w:rsid w:val="00EC3388"/>
    <w:rsid w:val="00EC4147"/>
    <w:rsid w:val="00EC5345"/>
    <w:rsid w:val="00EE288D"/>
    <w:rsid w:val="00EE2F04"/>
    <w:rsid w:val="00EE32B9"/>
    <w:rsid w:val="00EE437C"/>
    <w:rsid w:val="00EE4811"/>
    <w:rsid w:val="00EE4AD6"/>
    <w:rsid w:val="00EF0169"/>
    <w:rsid w:val="00EF19A4"/>
    <w:rsid w:val="00F00852"/>
    <w:rsid w:val="00F02106"/>
    <w:rsid w:val="00F0489C"/>
    <w:rsid w:val="00F06DA1"/>
    <w:rsid w:val="00F11F21"/>
    <w:rsid w:val="00F124DD"/>
    <w:rsid w:val="00F23A49"/>
    <w:rsid w:val="00F241F6"/>
    <w:rsid w:val="00F25247"/>
    <w:rsid w:val="00F33E64"/>
    <w:rsid w:val="00F34B90"/>
    <w:rsid w:val="00F3589F"/>
    <w:rsid w:val="00F375B3"/>
    <w:rsid w:val="00F413DB"/>
    <w:rsid w:val="00F41F0D"/>
    <w:rsid w:val="00F52981"/>
    <w:rsid w:val="00F5568B"/>
    <w:rsid w:val="00F566B5"/>
    <w:rsid w:val="00F62784"/>
    <w:rsid w:val="00F6558C"/>
    <w:rsid w:val="00F678B2"/>
    <w:rsid w:val="00F67AC9"/>
    <w:rsid w:val="00F70091"/>
    <w:rsid w:val="00F70209"/>
    <w:rsid w:val="00F712CE"/>
    <w:rsid w:val="00F72780"/>
    <w:rsid w:val="00F73505"/>
    <w:rsid w:val="00F73B0C"/>
    <w:rsid w:val="00F75957"/>
    <w:rsid w:val="00F759D4"/>
    <w:rsid w:val="00F76B1A"/>
    <w:rsid w:val="00F81E53"/>
    <w:rsid w:val="00F841CC"/>
    <w:rsid w:val="00F84FCF"/>
    <w:rsid w:val="00F9292E"/>
    <w:rsid w:val="00F9642A"/>
    <w:rsid w:val="00FA216F"/>
    <w:rsid w:val="00FA5C66"/>
    <w:rsid w:val="00FA66A8"/>
    <w:rsid w:val="00FB1EF0"/>
    <w:rsid w:val="00FB5328"/>
    <w:rsid w:val="00FB69BE"/>
    <w:rsid w:val="00FC4D55"/>
    <w:rsid w:val="00FD1FDB"/>
    <w:rsid w:val="00FD230F"/>
    <w:rsid w:val="00FD3B3C"/>
    <w:rsid w:val="00FD4A06"/>
    <w:rsid w:val="00FD4FED"/>
    <w:rsid w:val="00FD76CD"/>
    <w:rsid w:val="00FE041F"/>
    <w:rsid w:val="00FE0E91"/>
    <w:rsid w:val="00FE2FF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D041CE"/>
  <w15:docId w15:val="{7D7D0531-4FB8-4E21-B642-E8D86779D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link w:val="Nagwek1Znak"/>
    <w:uiPriority w:val="9"/>
    <w:qFormat/>
    <w:rsid w:val="00720AC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AC1495"/>
    <w:pPr>
      <w:ind w:left="720"/>
      <w:contextualSpacing/>
    </w:pPr>
  </w:style>
  <w:style w:type="paragraph" w:styleId="NormalnyWeb">
    <w:name w:val="Normal (Web)"/>
    <w:basedOn w:val="Normalny"/>
    <w:uiPriority w:val="99"/>
    <w:unhideWhenUsed/>
    <w:rsid w:val="00212229"/>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853E4F"/>
    <w:rPr>
      <w:sz w:val="16"/>
      <w:szCs w:val="16"/>
    </w:rPr>
  </w:style>
  <w:style w:type="paragraph" w:styleId="Tekstkomentarza">
    <w:name w:val="annotation text"/>
    <w:basedOn w:val="Normalny"/>
    <w:link w:val="TekstkomentarzaZnak"/>
    <w:uiPriority w:val="99"/>
    <w:semiHidden/>
    <w:unhideWhenUsed/>
    <w:rsid w:val="00853E4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53E4F"/>
    <w:rPr>
      <w:sz w:val="20"/>
      <w:szCs w:val="20"/>
    </w:rPr>
  </w:style>
  <w:style w:type="paragraph" w:styleId="Tematkomentarza">
    <w:name w:val="annotation subject"/>
    <w:basedOn w:val="Tekstkomentarza"/>
    <w:next w:val="Tekstkomentarza"/>
    <w:link w:val="TematkomentarzaZnak"/>
    <w:uiPriority w:val="99"/>
    <w:semiHidden/>
    <w:unhideWhenUsed/>
    <w:rsid w:val="00853E4F"/>
    <w:rPr>
      <w:b/>
      <w:bCs/>
    </w:rPr>
  </w:style>
  <w:style w:type="character" w:customStyle="1" w:styleId="TematkomentarzaZnak">
    <w:name w:val="Temat komentarza Znak"/>
    <w:basedOn w:val="TekstkomentarzaZnak"/>
    <w:link w:val="Tematkomentarza"/>
    <w:uiPriority w:val="99"/>
    <w:semiHidden/>
    <w:rsid w:val="00853E4F"/>
    <w:rPr>
      <w:b/>
      <w:bCs/>
      <w:sz w:val="20"/>
      <w:szCs w:val="20"/>
    </w:rPr>
  </w:style>
  <w:style w:type="paragraph" w:styleId="Tekstdymka">
    <w:name w:val="Balloon Text"/>
    <w:basedOn w:val="Normalny"/>
    <w:link w:val="TekstdymkaZnak"/>
    <w:uiPriority w:val="99"/>
    <w:semiHidden/>
    <w:unhideWhenUsed/>
    <w:rsid w:val="00853E4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53E4F"/>
    <w:rPr>
      <w:rFonts w:ascii="Segoe UI" w:hAnsi="Segoe UI" w:cs="Segoe UI"/>
      <w:sz w:val="18"/>
      <w:szCs w:val="18"/>
    </w:rPr>
  </w:style>
  <w:style w:type="paragraph" w:styleId="Nagwek">
    <w:name w:val="header"/>
    <w:basedOn w:val="Normalny"/>
    <w:link w:val="NagwekZnak"/>
    <w:uiPriority w:val="99"/>
    <w:unhideWhenUsed/>
    <w:rsid w:val="00B46B1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46B1B"/>
  </w:style>
  <w:style w:type="paragraph" w:styleId="Stopka">
    <w:name w:val="footer"/>
    <w:basedOn w:val="Normalny"/>
    <w:link w:val="StopkaZnak"/>
    <w:uiPriority w:val="99"/>
    <w:unhideWhenUsed/>
    <w:rsid w:val="00B46B1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46B1B"/>
  </w:style>
  <w:style w:type="paragraph" w:customStyle="1" w:styleId="ARTartustawynprozporzdzenia">
    <w:name w:val="ART(§) – art. ustawy (§ np. rozporządzenia)"/>
    <w:uiPriority w:val="11"/>
    <w:qFormat/>
    <w:rsid w:val="003D4A39"/>
    <w:pPr>
      <w:suppressAutoHyphens/>
      <w:autoSpaceDE w:val="0"/>
      <w:autoSpaceDN w:val="0"/>
      <w:adjustRightInd w:val="0"/>
      <w:spacing w:before="120" w:after="0" w:line="360" w:lineRule="auto"/>
      <w:ind w:firstLine="510"/>
      <w:jc w:val="both"/>
    </w:pPr>
    <w:rPr>
      <w:rFonts w:ascii="Times" w:eastAsiaTheme="minorEastAsia" w:hAnsi="Times" w:cs="Arial"/>
      <w:sz w:val="24"/>
      <w:szCs w:val="20"/>
      <w:lang w:eastAsia="pl-PL"/>
    </w:rPr>
  </w:style>
  <w:style w:type="paragraph" w:customStyle="1" w:styleId="ZARTzmartartykuempunktem">
    <w:name w:val="Z/ART(§) – zm. art. (§) artykułem (punktem)"/>
    <w:basedOn w:val="ARTartustawynprozporzdzenia"/>
    <w:uiPriority w:val="30"/>
    <w:qFormat/>
    <w:rsid w:val="003D4A39"/>
    <w:pPr>
      <w:spacing w:before="0"/>
      <w:ind w:left="510"/>
    </w:pPr>
  </w:style>
  <w:style w:type="character" w:customStyle="1" w:styleId="Ppogrubienie">
    <w:name w:val="_P_ – pogrubienie"/>
    <w:basedOn w:val="Domylnaczcionkaakapitu"/>
    <w:uiPriority w:val="1"/>
    <w:qFormat/>
    <w:rsid w:val="003D4A39"/>
    <w:rPr>
      <w:b/>
    </w:rPr>
  </w:style>
  <w:style w:type="paragraph" w:customStyle="1" w:styleId="ZPKTzmpktartykuempunktem">
    <w:name w:val="Z/PKT – zm. pkt artykułem (punktem)"/>
    <w:basedOn w:val="Normalny"/>
    <w:uiPriority w:val="31"/>
    <w:qFormat/>
    <w:rsid w:val="003D7F50"/>
    <w:pPr>
      <w:spacing w:after="0" w:line="360" w:lineRule="auto"/>
      <w:ind w:left="1020" w:hanging="510"/>
      <w:jc w:val="both"/>
    </w:pPr>
    <w:rPr>
      <w:rFonts w:ascii="Times" w:eastAsiaTheme="minorEastAsia" w:hAnsi="Times" w:cs="Arial"/>
      <w:bCs/>
      <w:sz w:val="24"/>
      <w:szCs w:val="20"/>
      <w:lang w:eastAsia="pl-PL"/>
    </w:rPr>
  </w:style>
  <w:style w:type="paragraph" w:customStyle="1" w:styleId="ZLITUSTzmustliter">
    <w:name w:val="Z_LIT/UST(§) – zm. ust. (§) literą"/>
    <w:basedOn w:val="Normalny"/>
    <w:uiPriority w:val="46"/>
    <w:qFormat/>
    <w:rsid w:val="006D625A"/>
    <w:pPr>
      <w:suppressAutoHyphens/>
      <w:autoSpaceDE w:val="0"/>
      <w:autoSpaceDN w:val="0"/>
      <w:adjustRightInd w:val="0"/>
      <w:spacing w:after="0" w:line="360" w:lineRule="auto"/>
      <w:ind w:left="987" w:firstLine="510"/>
      <w:jc w:val="both"/>
    </w:pPr>
    <w:rPr>
      <w:rFonts w:ascii="Times" w:eastAsiaTheme="minorEastAsia" w:hAnsi="Times" w:cs="Arial"/>
      <w:bCs/>
      <w:sz w:val="24"/>
      <w:szCs w:val="20"/>
      <w:lang w:eastAsia="pl-PL"/>
    </w:rPr>
  </w:style>
  <w:style w:type="character" w:customStyle="1" w:styleId="Kkursywa">
    <w:name w:val="_K_ – kursywa"/>
    <w:basedOn w:val="Domylnaczcionkaakapitu"/>
    <w:uiPriority w:val="1"/>
    <w:qFormat/>
    <w:rsid w:val="006D625A"/>
    <w:rPr>
      <w:i/>
    </w:rPr>
  </w:style>
  <w:style w:type="paragraph" w:customStyle="1" w:styleId="ZUSTzmustartykuempunktem">
    <w:name w:val="Z/UST(§) – zm. ust. (§) artykułem (punktem)"/>
    <w:basedOn w:val="ZARTzmartartykuempunktem"/>
    <w:uiPriority w:val="30"/>
    <w:qFormat/>
    <w:rsid w:val="00E302CE"/>
  </w:style>
  <w:style w:type="character" w:styleId="Hipercze">
    <w:name w:val="Hyperlink"/>
    <w:basedOn w:val="Domylnaczcionkaakapitu"/>
    <w:uiPriority w:val="99"/>
    <w:unhideWhenUsed/>
    <w:rsid w:val="00B91DA6"/>
    <w:rPr>
      <w:color w:val="0563C1" w:themeColor="hyperlink"/>
      <w:u w:val="single"/>
    </w:rPr>
  </w:style>
  <w:style w:type="paragraph" w:styleId="Poprawka">
    <w:name w:val="Revision"/>
    <w:hidden/>
    <w:uiPriority w:val="99"/>
    <w:semiHidden/>
    <w:rsid w:val="00DC1840"/>
    <w:pPr>
      <w:spacing w:after="0" w:line="240" w:lineRule="auto"/>
    </w:pPr>
  </w:style>
  <w:style w:type="paragraph" w:customStyle="1" w:styleId="mcntmsonormal">
    <w:name w:val="mcntmsonormal"/>
    <w:basedOn w:val="Normalny"/>
    <w:rsid w:val="004C736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highlight">
    <w:name w:val="highlight"/>
    <w:basedOn w:val="Domylnaczcionkaakapitu"/>
    <w:rsid w:val="000D6A2C"/>
  </w:style>
  <w:style w:type="paragraph" w:styleId="Tekstprzypisudolnego">
    <w:name w:val="footnote text"/>
    <w:aliases w:val="ALTS FOOTNOTE,Footnote Text Char3,Footnote Text Char2 Char,Footnote Text Char Char Char1 Char,Footnote Text Char1 Char1 Char,Footnote Text Char Char Char2,Podrozdział,Footnote Text Char1 Char"/>
    <w:basedOn w:val="Normalny"/>
    <w:link w:val="TekstprzypisudolnegoZnak"/>
    <w:uiPriority w:val="99"/>
    <w:unhideWhenUsed/>
    <w:rsid w:val="00D86EEC"/>
    <w:pPr>
      <w:spacing w:after="0" w:line="240" w:lineRule="auto"/>
    </w:pPr>
    <w:rPr>
      <w:sz w:val="20"/>
      <w:szCs w:val="20"/>
    </w:rPr>
  </w:style>
  <w:style w:type="character" w:customStyle="1" w:styleId="TekstprzypisudolnegoZnak">
    <w:name w:val="Tekst przypisu dolnego Znak"/>
    <w:aliases w:val="ALTS FOOTNOTE Znak,Footnote Text Char3 Znak,Footnote Text Char2 Char Znak,Footnote Text Char Char Char1 Char Znak,Footnote Text Char1 Char1 Char Znak,Footnote Text Char Char Char2 Znak,Podrozdział Znak"/>
    <w:basedOn w:val="Domylnaczcionkaakapitu"/>
    <w:link w:val="Tekstprzypisudolnego"/>
    <w:uiPriority w:val="99"/>
    <w:rsid w:val="00D86EEC"/>
    <w:rPr>
      <w:sz w:val="20"/>
      <w:szCs w:val="20"/>
    </w:rPr>
  </w:style>
  <w:style w:type="character" w:customStyle="1" w:styleId="Nagwek1Znak">
    <w:name w:val="Nagłówek 1 Znak"/>
    <w:basedOn w:val="Domylnaczcionkaakapitu"/>
    <w:link w:val="Nagwek1"/>
    <w:uiPriority w:val="9"/>
    <w:rsid w:val="00720AC7"/>
    <w:rPr>
      <w:rFonts w:ascii="Times New Roman" w:eastAsia="Times New Roman" w:hAnsi="Times New Roman" w:cs="Times New Roman"/>
      <w:b/>
      <w:bCs/>
      <w:kern w:val="36"/>
      <w:sz w:val="48"/>
      <w:szCs w:val="48"/>
      <w:lang w:eastAsia="pl-PL"/>
    </w:rPr>
  </w:style>
  <w:style w:type="paragraph" w:styleId="Tekstprzypisukocowego">
    <w:name w:val="endnote text"/>
    <w:basedOn w:val="Normalny"/>
    <w:link w:val="TekstprzypisukocowegoZnak"/>
    <w:uiPriority w:val="99"/>
    <w:semiHidden/>
    <w:unhideWhenUsed/>
    <w:rsid w:val="005C2FF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5C2FFF"/>
    <w:rPr>
      <w:sz w:val="20"/>
      <w:szCs w:val="20"/>
    </w:rPr>
  </w:style>
  <w:style w:type="character" w:styleId="Odwoanieprzypisukocowego">
    <w:name w:val="endnote reference"/>
    <w:basedOn w:val="Domylnaczcionkaakapitu"/>
    <w:uiPriority w:val="99"/>
    <w:semiHidden/>
    <w:unhideWhenUsed/>
    <w:rsid w:val="005C2FFF"/>
    <w:rPr>
      <w:vertAlign w:val="superscript"/>
    </w:rPr>
  </w:style>
  <w:style w:type="character" w:styleId="Odwoanieprzypisudolnego">
    <w:name w:val="footnote reference"/>
    <w:aliases w:val="Footnote Reference Superscript,BVI fnr,Footnote symbol,Footnote reference number,number,note TESI,SUPERS,EN Footnote Reference,Times 10 Point,Exposant 3 Point,Footnote Reference_LVL6"/>
    <w:link w:val="FootnotesymbolCarZchn"/>
    <w:uiPriority w:val="99"/>
    <w:rsid w:val="001139F4"/>
    <w:rPr>
      <w:rFonts w:cs="Times New Roman"/>
      <w:vertAlign w:val="superscript"/>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ormalny"/>
    <w:link w:val="Odwoanieprzypisudolnego"/>
    <w:uiPriority w:val="99"/>
    <w:rsid w:val="001139F4"/>
    <w:pPr>
      <w:spacing w:line="240" w:lineRule="exact"/>
      <w:jc w:val="both"/>
    </w:pPr>
    <w:rPr>
      <w:rFonts w:cs="Times New Roman"/>
      <w:vertAlign w:val="superscript"/>
    </w:rPr>
  </w:style>
  <w:style w:type="paragraph" w:styleId="Bezodstpw">
    <w:name w:val="No Spacing"/>
    <w:uiPriority w:val="1"/>
    <w:qFormat/>
    <w:rsid w:val="001139F4"/>
    <w:pPr>
      <w:spacing w:after="0" w:line="240" w:lineRule="auto"/>
    </w:pPr>
    <w:rPr>
      <w:rFonts w:ascii="Calibri" w:eastAsia="Calibri" w:hAnsi="Calibri" w:cs="Times New Roman"/>
    </w:rPr>
  </w:style>
  <w:style w:type="character" w:styleId="Pogrubienie">
    <w:name w:val="Strong"/>
    <w:uiPriority w:val="22"/>
    <w:qFormat/>
    <w:rsid w:val="001139F4"/>
    <w:rPr>
      <w:b/>
      <w:bCs/>
    </w:rPr>
  </w:style>
  <w:style w:type="paragraph" w:customStyle="1" w:styleId="dataaktudatauchwalenialubwydaniaaktu">
    <w:name w:val="dataaktudatauchwalenialubwydaniaaktu"/>
    <w:basedOn w:val="Normalny"/>
    <w:rsid w:val="00A9717D"/>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tytuaktuprzedmiotregulacjiustawylubrozporzdzenia">
    <w:name w:val="tytuaktuprzedmiotregulacjiustawylubrozporzdzenia"/>
    <w:basedOn w:val="Normalny"/>
    <w:rsid w:val="00A9717D"/>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185165">
      <w:bodyDiv w:val="1"/>
      <w:marLeft w:val="0"/>
      <w:marRight w:val="0"/>
      <w:marTop w:val="0"/>
      <w:marBottom w:val="0"/>
      <w:divBdr>
        <w:top w:val="none" w:sz="0" w:space="0" w:color="auto"/>
        <w:left w:val="none" w:sz="0" w:space="0" w:color="auto"/>
        <w:bottom w:val="none" w:sz="0" w:space="0" w:color="auto"/>
        <w:right w:val="none" w:sz="0" w:space="0" w:color="auto"/>
      </w:divBdr>
    </w:div>
    <w:div w:id="212275020">
      <w:bodyDiv w:val="1"/>
      <w:marLeft w:val="0"/>
      <w:marRight w:val="0"/>
      <w:marTop w:val="0"/>
      <w:marBottom w:val="0"/>
      <w:divBdr>
        <w:top w:val="none" w:sz="0" w:space="0" w:color="auto"/>
        <w:left w:val="none" w:sz="0" w:space="0" w:color="auto"/>
        <w:bottom w:val="none" w:sz="0" w:space="0" w:color="auto"/>
        <w:right w:val="none" w:sz="0" w:space="0" w:color="auto"/>
      </w:divBdr>
    </w:div>
    <w:div w:id="282274078">
      <w:bodyDiv w:val="1"/>
      <w:marLeft w:val="0"/>
      <w:marRight w:val="0"/>
      <w:marTop w:val="0"/>
      <w:marBottom w:val="0"/>
      <w:divBdr>
        <w:top w:val="none" w:sz="0" w:space="0" w:color="auto"/>
        <w:left w:val="none" w:sz="0" w:space="0" w:color="auto"/>
        <w:bottom w:val="none" w:sz="0" w:space="0" w:color="auto"/>
        <w:right w:val="none" w:sz="0" w:space="0" w:color="auto"/>
      </w:divBdr>
    </w:div>
    <w:div w:id="359402614">
      <w:bodyDiv w:val="1"/>
      <w:marLeft w:val="0"/>
      <w:marRight w:val="0"/>
      <w:marTop w:val="0"/>
      <w:marBottom w:val="0"/>
      <w:divBdr>
        <w:top w:val="none" w:sz="0" w:space="0" w:color="auto"/>
        <w:left w:val="none" w:sz="0" w:space="0" w:color="auto"/>
        <w:bottom w:val="none" w:sz="0" w:space="0" w:color="auto"/>
        <w:right w:val="none" w:sz="0" w:space="0" w:color="auto"/>
      </w:divBdr>
      <w:divsChild>
        <w:div w:id="1837383151">
          <w:marLeft w:val="0"/>
          <w:marRight w:val="0"/>
          <w:marTop w:val="0"/>
          <w:marBottom w:val="0"/>
          <w:divBdr>
            <w:top w:val="none" w:sz="0" w:space="0" w:color="auto"/>
            <w:left w:val="none" w:sz="0" w:space="0" w:color="auto"/>
            <w:bottom w:val="none" w:sz="0" w:space="0" w:color="auto"/>
            <w:right w:val="none" w:sz="0" w:space="0" w:color="auto"/>
          </w:divBdr>
          <w:divsChild>
            <w:div w:id="460928971">
              <w:marLeft w:val="0"/>
              <w:marRight w:val="0"/>
              <w:marTop w:val="0"/>
              <w:marBottom w:val="0"/>
              <w:divBdr>
                <w:top w:val="none" w:sz="0" w:space="0" w:color="auto"/>
                <w:left w:val="none" w:sz="0" w:space="0" w:color="auto"/>
                <w:bottom w:val="none" w:sz="0" w:space="0" w:color="auto"/>
                <w:right w:val="none" w:sz="0" w:space="0" w:color="auto"/>
              </w:divBdr>
              <w:divsChild>
                <w:div w:id="2038699177">
                  <w:marLeft w:val="0"/>
                  <w:marRight w:val="0"/>
                  <w:marTop w:val="0"/>
                  <w:marBottom w:val="0"/>
                  <w:divBdr>
                    <w:top w:val="none" w:sz="0" w:space="0" w:color="auto"/>
                    <w:left w:val="none" w:sz="0" w:space="0" w:color="auto"/>
                    <w:bottom w:val="none" w:sz="0" w:space="0" w:color="auto"/>
                    <w:right w:val="none" w:sz="0" w:space="0" w:color="auto"/>
                  </w:divBdr>
                  <w:divsChild>
                    <w:div w:id="1128936044">
                      <w:marLeft w:val="0"/>
                      <w:marRight w:val="0"/>
                      <w:marTop w:val="0"/>
                      <w:marBottom w:val="0"/>
                      <w:divBdr>
                        <w:top w:val="none" w:sz="0" w:space="0" w:color="auto"/>
                        <w:left w:val="none" w:sz="0" w:space="0" w:color="auto"/>
                        <w:bottom w:val="none" w:sz="0" w:space="0" w:color="auto"/>
                        <w:right w:val="none" w:sz="0" w:space="0" w:color="auto"/>
                      </w:divBdr>
                      <w:divsChild>
                        <w:div w:id="1051877528">
                          <w:marLeft w:val="0"/>
                          <w:marRight w:val="0"/>
                          <w:marTop w:val="0"/>
                          <w:marBottom w:val="0"/>
                          <w:divBdr>
                            <w:top w:val="none" w:sz="0" w:space="0" w:color="auto"/>
                            <w:left w:val="none" w:sz="0" w:space="0" w:color="auto"/>
                            <w:bottom w:val="none" w:sz="0" w:space="0" w:color="auto"/>
                            <w:right w:val="none" w:sz="0" w:space="0" w:color="auto"/>
                          </w:divBdr>
                          <w:divsChild>
                            <w:div w:id="1117793174">
                              <w:marLeft w:val="0"/>
                              <w:marRight w:val="0"/>
                              <w:marTop w:val="0"/>
                              <w:marBottom w:val="300"/>
                              <w:divBdr>
                                <w:top w:val="none" w:sz="0" w:space="0" w:color="auto"/>
                                <w:left w:val="none" w:sz="0" w:space="0" w:color="auto"/>
                                <w:bottom w:val="none" w:sz="0" w:space="0" w:color="auto"/>
                                <w:right w:val="none" w:sz="0" w:space="0" w:color="auto"/>
                              </w:divBdr>
                              <w:divsChild>
                                <w:div w:id="921793676">
                                  <w:marLeft w:val="0"/>
                                  <w:marRight w:val="0"/>
                                  <w:marTop w:val="0"/>
                                  <w:marBottom w:val="0"/>
                                  <w:divBdr>
                                    <w:top w:val="none" w:sz="0" w:space="0" w:color="auto"/>
                                    <w:left w:val="none" w:sz="0" w:space="0" w:color="auto"/>
                                    <w:bottom w:val="none" w:sz="0" w:space="0" w:color="auto"/>
                                    <w:right w:val="none" w:sz="0" w:space="0" w:color="auto"/>
                                  </w:divBdr>
                                  <w:divsChild>
                                    <w:div w:id="911308816">
                                      <w:marLeft w:val="0"/>
                                      <w:marRight w:val="0"/>
                                      <w:marTop w:val="0"/>
                                      <w:marBottom w:val="0"/>
                                      <w:divBdr>
                                        <w:top w:val="none" w:sz="0" w:space="0" w:color="auto"/>
                                        <w:left w:val="none" w:sz="0" w:space="0" w:color="auto"/>
                                        <w:bottom w:val="none" w:sz="0" w:space="0" w:color="auto"/>
                                        <w:right w:val="none" w:sz="0" w:space="0" w:color="auto"/>
                                      </w:divBdr>
                                      <w:divsChild>
                                        <w:div w:id="500580264">
                                          <w:marLeft w:val="0"/>
                                          <w:marRight w:val="0"/>
                                          <w:marTop w:val="0"/>
                                          <w:marBottom w:val="0"/>
                                          <w:divBdr>
                                            <w:top w:val="none" w:sz="0" w:space="0" w:color="auto"/>
                                            <w:left w:val="none" w:sz="0" w:space="0" w:color="auto"/>
                                            <w:bottom w:val="none" w:sz="0" w:space="0" w:color="auto"/>
                                            <w:right w:val="none" w:sz="0" w:space="0" w:color="auto"/>
                                          </w:divBdr>
                                          <w:divsChild>
                                            <w:div w:id="165151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39837356">
      <w:bodyDiv w:val="1"/>
      <w:marLeft w:val="0"/>
      <w:marRight w:val="0"/>
      <w:marTop w:val="0"/>
      <w:marBottom w:val="0"/>
      <w:divBdr>
        <w:top w:val="none" w:sz="0" w:space="0" w:color="auto"/>
        <w:left w:val="none" w:sz="0" w:space="0" w:color="auto"/>
        <w:bottom w:val="none" w:sz="0" w:space="0" w:color="auto"/>
        <w:right w:val="none" w:sz="0" w:space="0" w:color="auto"/>
      </w:divBdr>
    </w:div>
    <w:div w:id="664406869">
      <w:bodyDiv w:val="1"/>
      <w:marLeft w:val="0"/>
      <w:marRight w:val="0"/>
      <w:marTop w:val="0"/>
      <w:marBottom w:val="0"/>
      <w:divBdr>
        <w:top w:val="none" w:sz="0" w:space="0" w:color="auto"/>
        <w:left w:val="none" w:sz="0" w:space="0" w:color="auto"/>
        <w:bottom w:val="none" w:sz="0" w:space="0" w:color="auto"/>
        <w:right w:val="none" w:sz="0" w:space="0" w:color="auto"/>
      </w:divBdr>
    </w:div>
    <w:div w:id="804203541">
      <w:bodyDiv w:val="1"/>
      <w:marLeft w:val="0"/>
      <w:marRight w:val="0"/>
      <w:marTop w:val="0"/>
      <w:marBottom w:val="0"/>
      <w:divBdr>
        <w:top w:val="none" w:sz="0" w:space="0" w:color="auto"/>
        <w:left w:val="none" w:sz="0" w:space="0" w:color="auto"/>
        <w:bottom w:val="none" w:sz="0" w:space="0" w:color="auto"/>
        <w:right w:val="none" w:sz="0" w:space="0" w:color="auto"/>
      </w:divBdr>
      <w:divsChild>
        <w:div w:id="544683240">
          <w:marLeft w:val="0"/>
          <w:marRight w:val="0"/>
          <w:marTop w:val="0"/>
          <w:marBottom w:val="0"/>
          <w:divBdr>
            <w:top w:val="none" w:sz="0" w:space="0" w:color="auto"/>
            <w:left w:val="none" w:sz="0" w:space="0" w:color="auto"/>
            <w:bottom w:val="none" w:sz="0" w:space="0" w:color="auto"/>
            <w:right w:val="none" w:sz="0" w:space="0" w:color="auto"/>
          </w:divBdr>
          <w:divsChild>
            <w:div w:id="1523398492">
              <w:marLeft w:val="300"/>
              <w:marRight w:val="0"/>
              <w:marTop w:val="0"/>
              <w:marBottom w:val="0"/>
              <w:divBdr>
                <w:top w:val="none" w:sz="0" w:space="0" w:color="auto"/>
                <w:left w:val="none" w:sz="0" w:space="0" w:color="auto"/>
                <w:bottom w:val="none" w:sz="0" w:space="0" w:color="auto"/>
                <w:right w:val="none" w:sz="0" w:space="0" w:color="auto"/>
              </w:divBdr>
            </w:div>
            <w:div w:id="1833518559">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903830322">
      <w:bodyDiv w:val="1"/>
      <w:marLeft w:val="0"/>
      <w:marRight w:val="0"/>
      <w:marTop w:val="0"/>
      <w:marBottom w:val="0"/>
      <w:divBdr>
        <w:top w:val="none" w:sz="0" w:space="0" w:color="auto"/>
        <w:left w:val="none" w:sz="0" w:space="0" w:color="auto"/>
        <w:bottom w:val="none" w:sz="0" w:space="0" w:color="auto"/>
        <w:right w:val="none" w:sz="0" w:space="0" w:color="auto"/>
      </w:divBdr>
    </w:div>
    <w:div w:id="942613497">
      <w:bodyDiv w:val="1"/>
      <w:marLeft w:val="0"/>
      <w:marRight w:val="0"/>
      <w:marTop w:val="0"/>
      <w:marBottom w:val="0"/>
      <w:divBdr>
        <w:top w:val="none" w:sz="0" w:space="0" w:color="auto"/>
        <w:left w:val="none" w:sz="0" w:space="0" w:color="auto"/>
        <w:bottom w:val="none" w:sz="0" w:space="0" w:color="auto"/>
        <w:right w:val="none" w:sz="0" w:space="0" w:color="auto"/>
      </w:divBdr>
    </w:div>
    <w:div w:id="1218971831">
      <w:bodyDiv w:val="1"/>
      <w:marLeft w:val="0"/>
      <w:marRight w:val="0"/>
      <w:marTop w:val="0"/>
      <w:marBottom w:val="0"/>
      <w:divBdr>
        <w:top w:val="none" w:sz="0" w:space="0" w:color="auto"/>
        <w:left w:val="none" w:sz="0" w:space="0" w:color="auto"/>
        <w:bottom w:val="none" w:sz="0" w:space="0" w:color="auto"/>
        <w:right w:val="none" w:sz="0" w:space="0" w:color="auto"/>
      </w:divBdr>
    </w:div>
    <w:div w:id="1698240313">
      <w:bodyDiv w:val="1"/>
      <w:marLeft w:val="0"/>
      <w:marRight w:val="0"/>
      <w:marTop w:val="0"/>
      <w:marBottom w:val="0"/>
      <w:divBdr>
        <w:top w:val="none" w:sz="0" w:space="0" w:color="auto"/>
        <w:left w:val="none" w:sz="0" w:space="0" w:color="auto"/>
        <w:bottom w:val="none" w:sz="0" w:space="0" w:color="auto"/>
        <w:right w:val="none" w:sz="0" w:space="0" w:color="auto"/>
      </w:divBdr>
    </w:div>
    <w:div w:id="1747143937">
      <w:bodyDiv w:val="1"/>
      <w:marLeft w:val="0"/>
      <w:marRight w:val="0"/>
      <w:marTop w:val="0"/>
      <w:marBottom w:val="0"/>
      <w:divBdr>
        <w:top w:val="none" w:sz="0" w:space="0" w:color="auto"/>
        <w:left w:val="none" w:sz="0" w:space="0" w:color="auto"/>
        <w:bottom w:val="none" w:sz="0" w:space="0" w:color="auto"/>
        <w:right w:val="none" w:sz="0" w:space="0" w:color="auto"/>
      </w:divBdr>
      <w:divsChild>
        <w:div w:id="1325429654">
          <w:marLeft w:val="0"/>
          <w:marRight w:val="0"/>
          <w:marTop w:val="0"/>
          <w:marBottom w:val="0"/>
          <w:divBdr>
            <w:top w:val="none" w:sz="0" w:space="0" w:color="auto"/>
            <w:left w:val="none" w:sz="0" w:space="0" w:color="auto"/>
            <w:bottom w:val="none" w:sz="0" w:space="0" w:color="auto"/>
            <w:right w:val="none" w:sz="0" w:space="0" w:color="auto"/>
          </w:divBdr>
          <w:divsChild>
            <w:div w:id="1393235419">
              <w:marLeft w:val="0"/>
              <w:marRight w:val="0"/>
              <w:marTop w:val="0"/>
              <w:marBottom w:val="0"/>
              <w:divBdr>
                <w:top w:val="none" w:sz="0" w:space="0" w:color="auto"/>
                <w:left w:val="none" w:sz="0" w:space="0" w:color="auto"/>
                <w:bottom w:val="none" w:sz="0" w:space="0" w:color="auto"/>
                <w:right w:val="none" w:sz="0" w:space="0" w:color="auto"/>
              </w:divBdr>
              <w:divsChild>
                <w:div w:id="73937901">
                  <w:marLeft w:val="0"/>
                  <w:marRight w:val="0"/>
                  <w:marTop w:val="0"/>
                  <w:marBottom w:val="0"/>
                  <w:divBdr>
                    <w:top w:val="none" w:sz="0" w:space="0" w:color="auto"/>
                    <w:left w:val="none" w:sz="0" w:space="0" w:color="auto"/>
                    <w:bottom w:val="none" w:sz="0" w:space="0" w:color="auto"/>
                    <w:right w:val="none" w:sz="0" w:space="0" w:color="auto"/>
                  </w:divBdr>
                </w:div>
                <w:div w:id="410389898">
                  <w:marLeft w:val="0"/>
                  <w:marRight w:val="0"/>
                  <w:marTop w:val="0"/>
                  <w:marBottom w:val="0"/>
                  <w:divBdr>
                    <w:top w:val="none" w:sz="0" w:space="0" w:color="auto"/>
                    <w:left w:val="none" w:sz="0" w:space="0" w:color="auto"/>
                    <w:bottom w:val="none" w:sz="0" w:space="0" w:color="auto"/>
                    <w:right w:val="none" w:sz="0" w:space="0" w:color="auto"/>
                  </w:divBdr>
                  <w:divsChild>
                    <w:div w:id="353043470">
                      <w:marLeft w:val="0"/>
                      <w:marRight w:val="0"/>
                      <w:marTop w:val="0"/>
                      <w:marBottom w:val="0"/>
                      <w:divBdr>
                        <w:top w:val="none" w:sz="0" w:space="0" w:color="auto"/>
                        <w:left w:val="none" w:sz="0" w:space="0" w:color="auto"/>
                        <w:bottom w:val="none" w:sz="0" w:space="0" w:color="auto"/>
                        <w:right w:val="none" w:sz="0" w:space="0" w:color="auto"/>
                      </w:divBdr>
                    </w:div>
                  </w:divsChild>
                </w:div>
                <w:div w:id="1053622357">
                  <w:marLeft w:val="0"/>
                  <w:marRight w:val="0"/>
                  <w:marTop w:val="0"/>
                  <w:marBottom w:val="0"/>
                  <w:divBdr>
                    <w:top w:val="none" w:sz="0" w:space="0" w:color="auto"/>
                    <w:left w:val="none" w:sz="0" w:space="0" w:color="auto"/>
                    <w:bottom w:val="none" w:sz="0" w:space="0" w:color="auto"/>
                    <w:right w:val="none" w:sz="0" w:space="0" w:color="auto"/>
                  </w:divBdr>
                  <w:divsChild>
                    <w:div w:id="1948659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331407">
              <w:marLeft w:val="0"/>
              <w:marRight w:val="0"/>
              <w:marTop w:val="0"/>
              <w:marBottom w:val="0"/>
              <w:divBdr>
                <w:top w:val="none" w:sz="0" w:space="0" w:color="auto"/>
                <w:left w:val="none" w:sz="0" w:space="0" w:color="auto"/>
                <w:bottom w:val="none" w:sz="0" w:space="0" w:color="auto"/>
                <w:right w:val="none" w:sz="0" w:space="0" w:color="auto"/>
              </w:divBdr>
              <w:divsChild>
                <w:div w:id="24249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063059">
      <w:bodyDiv w:val="1"/>
      <w:marLeft w:val="0"/>
      <w:marRight w:val="0"/>
      <w:marTop w:val="0"/>
      <w:marBottom w:val="0"/>
      <w:divBdr>
        <w:top w:val="none" w:sz="0" w:space="0" w:color="auto"/>
        <w:left w:val="none" w:sz="0" w:space="0" w:color="auto"/>
        <w:bottom w:val="none" w:sz="0" w:space="0" w:color="auto"/>
        <w:right w:val="none" w:sz="0" w:space="0" w:color="auto"/>
      </w:divBdr>
    </w:div>
    <w:div w:id="2115662169">
      <w:bodyDiv w:val="1"/>
      <w:marLeft w:val="0"/>
      <w:marRight w:val="0"/>
      <w:marTop w:val="0"/>
      <w:marBottom w:val="0"/>
      <w:divBdr>
        <w:top w:val="none" w:sz="0" w:space="0" w:color="auto"/>
        <w:left w:val="none" w:sz="0" w:space="0" w:color="auto"/>
        <w:bottom w:val="none" w:sz="0" w:space="0" w:color="auto"/>
        <w:right w:val="none" w:sz="0" w:space="0" w:color="auto"/>
      </w:divBdr>
    </w:div>
    <w:div w:id="2138602953">
      <w:bodyDiv w:val="1"/>
      <w:marLeft w:val="0"/>
      <w:marRight w:val="0"/>
      <w:marTop w:val="0"/>
      <w:marBottom w:val="0"/>
      <w:divBdr>
        <w:top w:val="none" w:sz="0" w:space="0" w:color="auto"/>
        <w:left w:val="none" w:sz="0" w:space="0" w:color="auto"/>
        <w:bottom w:val="none" w:sz="0" w:space="0" w:color="auto"/>
        <w:right w:val="none" w:sz="0" w:space="0" w:color="auto"/>
      </w:divBdr>
      <w:divsChild>
        <w:div w:id="208491986">
          <w:marLeft w:val="0"/>
          <w:marRight w:val="0"/>
          <w:marTop w:val="0"/>
          <w:marBottom w:val="0"/>
          <w:divBdr>
            <w:top w:val="none" w:sz="0" w:space="0" w:color="auto"/>
            <w:left w:val="none" w:sz="0" w:space="0" w:color="auto"/>
            <w:bottom w:val="none" w:sz="0" w:space="0" w:color="auto"/>
            <w:right w:val="none" w:sz="0" w:space="0" w:color="auto"/>
          </w:divBdr>
        </w:div>
        <w:div w:id="1802192418">
          <w:marLeft w:val="0"/>
          <w:marRight w:val="0"/>
          <w:marTop w:val="0"/>
          <w:marBottom w:val="0"/>
          <w:divBdr>
            <w:top w:val="none" w:sz="0" w:space="0" w:color="auto"/>
            <w:left w:val="none" w:sz="0" w:space="0" w:color="auto"/>
            <w:bottom w:val="none" w:sz="0" w:space="0" w:color="auto"/>
            <w:right w:val="none" w:sz="0" w:space="0" w:color="auto"/>
          </w:divBdr>
        </w:div>
        <w:div w:id="729155586">
          <w:marLeft w:val="0"/>
          <w:marRight w:val="0"/>
          <w:marTop w:val="0"/>
          <w:marBottom w:val="0"/>
          <w:divBdr>
            <w:top w:val="none" w:sz="0" w:space="0" w:color="auto"/>
            <w:left w:val="none" w:sz="0" w:space="0" w:color="auto"/>
            <w:bottom w:val="none" w:sz="0" w:space="0" w:color="auto"/>
            <w:right w:val="none" w:sz="0" w:space="0" w:color="auto"/>
          </w:divBdr>
        </w:div>
        <w:div w:id="1194348095">
          <w:marLeft w:val="0"/>
          <w:marRight w:val="0"/>
          <w:marTop w:val="0"/>
          <w:marBottom w:val="0"/>
          <w:divBdr>
            <w:top w:val="none" w:sz="0" w:space="0" w:color="auto"/>
            <w:left w:val="none" w:sz="0" w:space="0" w:color="auto"/>
            <w:bottom w:val="none" w:sz="0" w:space="0" w:color="auto"/>
            <w:right w:val="none" w:sz="0" w:space="0" w:color="auto"/>
          </w:divBdr>
        </w:div>
        <w:div w:id="1876652992">
          <w:marLeft w:val="0"/>
          <w:marRight w:val="0"/>
          <w:marTop w:val="0"/>
          <w:marBottom w:val="0"/>
          <w:divBdr>
            <w:top w:val="none" w:sz="0" w:space="0" w:color="auto"/>
            <w:left w:val="none" w:sz="0" w:space="0" w:color="auto"/>
            <w:bottom w:val="none" w:sz="0" w:space="0" w:color="auto"/>
            <w:right w:val="none" w:sz="0" w:space="0" w:color="auto"/>
          </w:divBdr>
        </w:div>
        <w:div w:id="697125498">
          <w:marLeft w:val="0"/>
          <w:marRight w:val="0"/>
          <w:marTop w:val="0"/>
          <w:marBottom w:val="0"/>
          <w:divBdr>
            <w:top w:val="none" w:sz="0" w:space="0" w:color="auto"/>
            <w:left w:val="none" w:sz="0" w:space="0" w:color="auto"/>
            <w:bottom w:val="none" w:sz="0" w:space="0" w:color="auto"/>
            <w:right w:val="none" w:sz="0" w:space="0" w:color="auto"/>
          </w:divBdr>
        </w:div>
        <w:div w:id="1494224039">
          <w:marLeft w:val="0"/>
          <w:marRight w:val="0"/>
          <w:marTop w:val="0"/>
          <w:marBottom w:val="0"/>
          <w:divBdr>
            <w:top w:val="none" w:sz="0" w:space="0" w:color="auto"/>
            <w:left w:val="none" w:sz="0" w:space="0" w:color="auto"/>
            <w:bottom w:val="none" w:sz="0" w:space="0" w:color="auto"/>
            <w:right w:val="none" w:sz="0" w:space="0" w:color="auto"/>
          </w:divBdr>
        </w:div>
        <w:div w:id="1807039208">
          <w:marLeft w:val="0"/>
          <w:marRight w:val="0"/>
          <w:marTop w:val="0"/>
          <w:marBottom w:val="0"/>
          <w:divBdr>
            <w:top w:val="none" w:sz="0" w:space="0" w:color="auto"/>
            <w:left w:val="none" w:sz="0" w:space="0" w:color="auto"/>
            <w:bottom w:val="none" w:sz="0" w:space="0" w:color="auto"/>
            <w:right w:val="none" w:sz="0" w:space="0" w:color="auto"/>
          </w:divBdr>
        </w:div>
        <w:div w:id="1620141810">
          <w:marLeft w:val="0"/>
          <w:marRight w:val="0"/>
          <w:marTop w:val="0"/>
          <w:marBottom w:val="0"/>
          <w:divBdr>
            <w:top w:val="none" w:sz="0" w:space="0" w:color="auto"/>
            <w:left w:val="none" w:sz="0" w:space="0" w:color="auto"/>
            <w:bottom w:val="none" w:sz="0" w:space="0" w:color="auto"/>
            <w:right w:val="none" w:sz="0" w:space="0" w:color="auto"/>
          </w:divBdr>
        </w:div>
        <w:div w:id="1744643702">
          <w:marLeft w:val="0"/>
          <w:marRight w:val="0"/>
          <w:marTop w:val="0"/>
          <w:marBottom w:val="0"/>
          <w:divBdr>
            <w:top w:val="none" w:sz="0" w:space="0" w:color="auto"/>
            <w:left w:val="none" w:sz="0" w:space="0" w:color="auto"/>
            <w:bottom w:val="none" w:sz="0" w:space="0" w:color="auto"/>
            <w:right w:val="none" w:sz="0" w:space="0" w:color="auto"/>
          </w:divBdr>
        </w:div>
        <w:div w:id="2116826331">
          <w:marLeft w:val="0"/>
          <w:marRight w:val="0"/>
          <w:marTop w:val="0"/>
          <w:marBottom w:val="0"/>
          <w:divBdr>
            <w:top w:val="none" w:sz="0" w:space="0" w:color="auto"/>
            <w:left w:val="none" w:sz="0" w:space="0" w:color="auto"/>
            <w:bottom w:val="none" w:sz="0" w:space="0" w:color="auto"/>
            <w:right w:val="none" w:sz="0" w:space="0" w:color="auto"/>
          </w:divBdr>
        </w:div>
        <w:div w:id="1324434718">
          <w:marLeft w:val="0"/>
          <w:marRight w:val="0"/>
          <w:marTop w:val="0"/>
          <w:marBottom w:val="0"/>
          <w:divBdr>
            <w:top w:val="none" w:sz="0" w:space="0" w:color="auto"/>
            <w:left w:val="none" w:sz="0" w:space="0" w:color="auto"/>
            <w:bottom w:val="none" w:sz="0" w:space="0" w:color="auto"/>
            <w:right w:val="none" w:sz="0" w:space="0" w:color="auto"/>
          </w:divBdr>
        </w:div>
        <w:div w:id="501891548">
          <w:marLeft w:val="0"/>
          <w:marRight w:val="0"/>
          <w:marTop w:val="0"/>
          <w:marBottom w:val="0"/>
          <w:divBdr>
            <w:top w:val="none" w:sz="0" w:space="0" w:color="auto"/>
            <w:left w:val="none" w:sz="0" w:space="0" w:color="auto"/>
            <w:bottom w:val="none" w:sz="0" w:space="0" w:color="auto"/>
            <w:right w:val="none" w:sz="0" w:space="0" w:color="auto"/>
          </w:divBdr>
        </w:div>
        <w:div w:id="761948765">
          <w:marLeft w:val="0"/>
          <w:marRight w:val="0"/>
          <w:marTop w:val="0"/>
          <w:marBottom w:val="0"/>
          <w:divBdr>
            <w:top w:val="none" w:sz="0" w:space="0" w:color="auto"/>
            <w:left w:val="none" w:sz="0" w:space="0" w:color="auto"/>
            <w:bottom w:val="none" w:sz="0" w:space="0" w:color="auto"/>
            <w:right w:val="none" w:sz="0" w:space="0" w:color="auto"/>
          </w:divBdr>
        </w:div>
        <w:div w:id="375399107">
          <w:marLeft w:val="0"/>
          <w:marRight w:val="0"/>
          <w:marTop w:val="0"/>
          <w:marBottom w:val="0"/>
          <w:divBdr>
            <w:top w:val="none" w:sz="0" w:space="0" w:color="auto"/>
            <w:left w:val="none" w:sz="0" w:space="0" w:color="auto"/>
            <w:bottom w:val="none" w:sz="0" w:space="0" w:color="auto"/>
            <w:right w:val="none" w:sz="0" w:space="0" w:color="auto"/>
          </w:divBdr>
        </w:div>
        <w:div w:id="599410848">
          <w:marLeft w:val="0"/>
          <w:marRight w:val="0"/>
          <w:marTop w:val="0"/>
          <w:marBottom w:val="0"/>
          <w:divBdr>
            <w:top w:val="none" w:sz="0" w:space="0" w:color="auto"/>
            <w:left w:val="none" w:sz="0" w:space="0" w:color="auto"/>
            <w:bottom w:val="none" w:sz="0" w:space="0" w:color="auto"/>
            <w:right w:val="none" w:sz="0" w:space="0" w:color="auto"/>
          </w:divBdr>
        </w:div>
        <w:div w:id="1102070794">
          <w:marLeft w:val="0"/>
          <w:marRight w:val="0"/>
          <w:marTop w:val="0"/>
          <w:marBottom w:val="0"/>
          <w:divBdr>
            <w:top w:val="none" w:sz="0" w:space="0" w:color="auto"/>
            <w:left w:val="none" w:sz="0" w:space="0" w:color="auto"/>
            <w:bottom w:val="none" w:sz="0" w:space="0" w:color="auto"/>
            <w:right w:val="none" w:sz="0" w:space="0" w:color="auto"/>
          </w:divBdr>
        </w:div>
        <w:div w:id="15494111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ec.europa.eu/consumers/events/ecs_2013/report/Summitconclusions.pdf" TargetMode="External"/><Relationship Id="rId2" Type="http://schemas.openxmlformats.org/officeDocument/2006/relationships/hyperlink" Target="http://ec.europa.eu/consumers/enforcement/cross-border_enforcement_cooperation/docs/140416_consultation_summary_report_final_en.pdf" TargetMode="External"/><Relationship Id="rId1" Type="http://schemas.openxmlformats.org/officeDocument/2006/relationships/hyperlink" Target="http://ec.europa.eu/consumers/enforcement/docs/cpc_regulation_inception_report_revised290212_en.pdf" TargetMode="External"/><Relationship Id="rId4" Type="http://schemas.openxmlformats.org/officeDocument/2006/relationships/hyperlink" Target="http://ec.europa.eu/consumers/enforcement/cross-border_enforcement_cooperation/docs/140701_commission_report_cpc_reg_en.pdf"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47C435-DC38-42B9-ACA7-ED4F78B0A1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10163</Words>
  <Characters>60984</Characters>
  <Application>Microsoft Office Word</Application>
  <DocSecurity>0</DocSecurity>
  <Lines>508</Lines>
  <Paragraphs>142</Paragraphs>
  <ScaleCrop>false</ScaleCrop>
  <HeadingPairs>
    <vt:vector size="2" baseType="variant">
      <vt:variant>
        <vt:lpstr>Tytuł</vt:lpstr>
      </vt:variant>
      <vt:variant>
        <vt:i4>1</vt:i4>
      </vt:variant>
    </vt:vector>
  </HeadingPairs>
  <TitlesOfParts>
    <vt:vector size="1" baseType="lpstr">
      <vt:lpstr/>
    </vt:vector>
  </TitlesOfParts>
  <Company>KPRM</Company>
  <LinksUpToDate>false</LinksUpToDate>
  <CharactersWithSpaces>71005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Grzegorz Pniewski</dc:creator>
  <cp:lastModifiedBy>Paulina Sawa</cp:lastModifiedBy>
  <cp:revision>2</cp:revision>
  <cp:lastPrinted>2019-12-06T08:16:00Z</cp:lastPrinted>
  <dcterms:created xsi:type="dcterms:W3CDTF">2020-09-29T13:51:00Z</dcterms:created>
  <dcterms:modified xsi:type="dcterms:W3CDTF">2020-09-29T13:51:00Z</dcterms:modified>
</cp:coreProperties>
</file>