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FA1D9" w14:textId="77777777" w:rsidR="00747F2F" w:rsidRDefault="00747F2F" w:rsidP="00747F2F">
      <w:pPr>
        <w:jc w:val="center"/>
        <w:rPr>
          <w:rStyle w:val="Ppogrubienie"/>
          <w:rFonts w:cs="Times New Roman"/>
          <w:szCs w:val="24"/>
        </w:rPr>
      </w:pPr>
      <w:bookmarkStart w:id="0" w:name="_GoBack"/>
      <w:bookmarkEnd w:id="0"/>
      <w:r w:rsidRPr="00463B3D">
        <w:rPr>
          <w:rStyle w:val="Ppogrubienie"/>
          <w:rFonts w:cs="Times New Roman"/>
          <w:szCs w:val="24"/>
        </w:rPr>
        <w:t>UZASADNIENIE</w:t>
      </w:r>
    </w:p>
    <w:p w14:paraId="2980B682" w14:textId="77777777" w:rsidR="00747F2F" w:rsidRPr="00463B3D" w:rsidRDefault="00747F2F" w:rsidP="00747F2F">
      <w:pPr>
        <w:pStyle w:val="ARTartustawynprozporzdzenia"/>
        <w:spacing w:before="0"/>
        <w:ind w:firstLine="0"/>
        <w:rPr>
          <w:rFonts w:ascii="Times New Roman" w:hAnsi="Times New Roman" w:cs="Times New Roman"/>
          <w:szCs w:val="24"/>
        </w:rPr>
      </w:pPr>
    </w:p>
    <w:p w14:paraId="49E6674D" w14:textId="77777777" w:rsidR="00747F2F" w:rsidRDefault="00747F2F" w:rsidP="00747F2F">
      <w:pPr>
        <w:pStyle w:val="NIEARTTEKSTtekstnieartykuowanynppodstprawnarozplubpreambua"/>
        <w:numPr>
          <w:ilvl w:val="0"/>
          <w:numId w:val="1"/>
        </w:numPr>
        <w:spacing w:before="0"/>
        <w:rPr>
          <w:rFonts w:ascii="Times New Roman" w:hAnsi="Times New Roman" w:cs="Times New Roman"/>
          <w:b/>
          <w:szCs w:val="24"/>
        </w:rPr>
      </w:pPr>
      <w:r w:rsidRPr="007E7CCC">
        <w:rPr>
          <w:rFonts w:ascii="Times New Roman" w:hAnsi="Times New Roman" w:cs="Times New Roman"/>
          <w:b/>
          <w:szCs w:val="24"/>
        </w:rPr>
        <w:t>C</w:t>
      </w:r>
      <w:r>
        <w:rPr>
          <w:rFonts w:ascii="Times New Roman" w:hAnsi="Times New Roman" w:cs="Times New Roman"/>
          <w:b/>
          <w:szCs w:val="24"/>
        </w:rPr>
        <w:t xml:space="preserve">el regulacji </w:t>
      </w:r>
    </w:p>
    <w:p w14:paraId="2715D927" w14:textId="77777777" w:rsidR="003267C7" w:rsidRPr="003267C7" w:rsidRDefault="003267C7" w:rsidP="003267C7">
      <w:pPr>
        <w:pStyle w:val="ARTartustawynprozporzdzenia"/>
      </w:pPr>
    </w:p>
    <w:p w14:paraId="0C388164" w14:textId="47A2E529" w:rsidR="00792E13" w:rsidRDefault="00747F2F" w:rsidP="00427C83">
      <w:pPr>
        <w:ind w:firstLine="680"/>
        <w:jc w:val="both"/>
      </w:pPr>
      <w:r>
        <w:rPr>
          <w:color w:val="000000"/>
          <w:spacing w:val="-2"/>
        </w:rPr>
        <w:t xml:space="preserve">Celem niniejszego projektu jest </w:t>
      </w:r>
      <w:r w:rsidR="00792E13">
        <w:rPr>
          <w:color w:val="000000"/>
          <w:spacing w:val="-2"/>
        </w:rPr>
        <w:t>implementacja wyroków Trybunału Sprawiedliwości Unii Europejskiej</w:t>
      </w:r>
      <w:r w:rsidR="00427C83">
        <w:rPr>
          <w:color w:val="000000"/>
          <w:spacing w:val="-2"/>
        </w:rPr>
        <w:t xml:space="preserve"> (dalej jako: „TSUE”</w:t>
      </w:r>
      <w:r w:rsidR="00683CB6">
        <w:rPr>
          <w:color w:val="000000"/>
          <w:spacing w:val="-2"/>
        </w:rPr>
        <w:t xml:space="preserve"> lub „Trybunał”</w:t>
      </w:r>
      <w:r w:rsidR="00427C83">
        <w:rPr>
          <w:color w:val="000000"/>
          <w:spacing w:val="-2"/>
        </w:rPr>
        <w:t>)</w:t>
      </w:r>
      <w:r w:rsidR="00792E13">
        <w:rPr>
          <w:color w:val="000000"/>
          <w:spacing w:val="-2"/>
        </w:rPr>
        <w:t xml:space="preserve"> w sprawach polskich, tj. </w:t>
      </w:r>
      <w:r w:rsidR="00792E13">
        <w:t xml:space="preserve">C-176/17 </w:t>
      </w:r>
      <w:r w:rsidR="00792E13" w:rsidRPr="003544B7">
        <w:rPr>
          <w:i/>
        </w:rPr>
        <w:t>Profi Credit Polska</w:t>
      </w:r>
      <w:r w:rsidR="00792E13">
        <w:t xml:space="preserve"> </w:t>
      </w:r>
      <w:r w:rsidR="00E14CBE" w:rsidRPr="00D51B71">
        <w:t>(Dz.U.</w:t>
      </w:r>
      <w:r w:rsidR="00A926E1">
        <w:t>UE.</w:t>
      </w:r>
      <w:r w:rsidR="00E14CBE" w:rsidRPr="00D51B71">
        <w:t>C</w:t>
      </w:r>
      <w:r w:rsidR="00A926E1">
        <w:t>.</w:t>
      </w:r>
      <w:r w:rsidR="00E14CBE" w:rsidRPr="00D51B71">
        <w:t>408 od 12.11.2018, str.20)</w:t>
      </w:r>
      <w:r w:rsidR="000B7C36">
        <w:t>,</w:t>
      </w:r>
      <w:r w:rsidR="00E14CBE">
        <w:t xml:space="preserve"> </w:t>
      </w:r>
      <w:r w:rsidR="00792E13">
        <w:t xml:space="preserve">C-545/17 </w:t>
      </w:r>
      <w:r w:rsidR="00792E13" w:rsidRPr="003544B7">
        <w:rPr>
          <w:i/>
        </w:rPr>
        <w:t>Pawlak</w:t>
      </w:r>
      <w:r w:rsidR="00E14CBE">
        <w:t xml:space="preserve"> (</w:t>
      </w:r>
      <w:r w:rsidR="00E14CBE" w:rsidRPr="00D51B71">
        <w:t>Dz.U.</w:t>
      </w:r>
      <w:r w:rsidR="00A926E1">
        <w:t>UE.</w:t>
      </w:r>
      <w:r w:rsidR="00E14CBE" w:rsidRPr="00D51B71">
        <w:t>C</w:t>
      </w:r>
      <w:r w:rsidR="00A926E1">
        <w:t>.</w:t>
      </w:r>
      <w:r w:rsidR="00E14CBE" w:rsidRPr="00D51B71">
        <w:t xml:space="preserve">187 od </w:t>
      </w:r>
      <w:r w:rsidR="00E14CBE" w:rsidRPr="00F67E05">
        <w:rPr>
          <w:rFonts w:cs="Times New Roman"/>
          <w:szCs w:val="24"/>
        </w:rPr>
        <w:t>03.06.2019, str.19)</w:t>
      </w:r>
      <w:r w:rsidR="00F67E05" w:rsidRPr="00F67E05">
        <w:rPr>
          <w:rFonts w:cs="Times New Roman"/>
          <w:szCs w:val="24"/>
        </w:rPr>
        <w:t xml:space="preserve"> </w:t>
      </w:r>
      <w:r w:rsidR="000B7C36">
        <w:rPr>
          <w:rFonts w:cs="Times New Roman"/>
          <w:szCs w:val="24"/>
        </w:rPr>
        <w:t xml:space="preserve">w połączonych sprawach C-419/18 i C-483/18 </w:t>
      </w:r>
      <w:r w:rsidR="000B7C36" w:rsidRPr="003544B7">
        <w:rPr>
          <w:i/>
        </w:rPr>
        <w:t>Profi Credit Polska</w:t>
      </w:r>
      <w:r w:rsidR="000B7C36">
        <w:rPr>
          <w:rFonts w:cs="Times New Roman"/>
          <w:szCs w:val="24"/>
        </w:rPr>
        <w:t xml:space="preserve"> </w:t>
      </w:r>
      <w:r w:rsidR="000B7C36" w:rsidRPr="00F67E05">
        <w:rPr>
          <w:rFonts w:cs="Times New Roman"/>
          <w:szCs w:val="24"/>
        </w:rPr>
        <w:t>(</w:t>
      </w:r>
      <w:r w:rsidR="00B17DEB" w:rsidRPr="00013593">
        <w:t>Dz.U.UE.C</w:t>
      </w:r>
      <w:r w:rsidR="00B17DEB">
        <w:t xml:space="preserve"> 10 od 13.01.2020, str. 14</w:t>
      </w:r>
      <w:r w:rsidR="000B7C36" w:rsidRPr="00F67E05">
        <w:rPr>
          <w:rFonts w:cs="Times New Roman"/>
          <w:color w:val="000000"/>
          <w:szCs w:val="24"/>
        </w:rPr>
        <w:t>)</w:t>
      </w:r>
      <w:r w:rsidR="000B7C36">
        <w:rPr>
          <w:rFonts w:cs="Times New Roman"/>
          <w:color w:val="000000"/>
          <w:szCs w:val="24"/>
        </w:rPr>
        <w:t xml:space="preserve"> </w:t>
      </w:r>
      <w:r w:rsidR="00F67E05" w:rsidRPr="00F67E05">
        <w:rPr>
          <w:rFonts w:cs="Times New Roman"/>
          <w:szCs w:val="24"/>
        </w:rPr>
        <w:t>oraz w</w:t>
      </w:r>
      <w:r w:rsidR="00A926E1">
        <w:rPr>
          <w:rFonts w:cs="Times New Roman"/>
          <w:szCs w:val="24"/>
        </w:rPr>
        <w:t xml:space="preserve"> sprawie</w:t>
      </w:r>
      <w:r w:rsidR="00F67E05" w:rsidRPr="00F67E05">
        <w:rPr>
          <w:rFonts w:cs="Times New Roman"/>
          <w:szCs w:val="24"/>
        </w:rPr>
        <w:t xml:space="preserve"> niemieckiej</w:t>
      </w:r>
      <w:r w:rsidR="00AB40ED">
        <w:rPr>
          <w:rFonts w:cs="Times New Roman"/>
          <w:szCs w:val="24"/>
        </w:rPr>
        <w:t>, tj.</w:t>
      </w:r>
      <w:r w:rsidR="00F67E05" w:rsidRPr="00F67E05">
        <w:rPr>
          <w:rFonts w:cs="Times New Roman"/>
          <w:szCs w:val="24"/>
        </w:rPr>
        <w:t xml:space="preserve"> C-670/15 </w:t>
      </w:r>
      <w:r w:rsidR="00F67E05" w:rsidRPr="003544B7">
        <w:rPr>
          <w:rFonts w:cs="Times New Roman"/>
          <w:i/>
          <w:color w:val="000000"/>
          <w:szCs w:val="24"/>
        </w:rPr>
        <w:t>Š</w:t>
      </w:r>
      <w:r w:rsidR="00F67E05" w:rsidRPr="003544B7">
        <w:rPr>
          <w:rFonts w:cs="Times New Roman"/>
          <w:i/>
          <w:szCs w:val="24"/>
        </w:rPr>
        <w:t>alplachta</w:t>
      </w:r>
      <w:r w:rsidR="00F67E05" w:rsidRPr="00F67E05">
        <w:rPr>
          <w:rFonts w:cs="Times New Roman"/>
          <w:szCs w:val="24"/>
        </w:rPr>
        <w:t xml:space="preserve"> (</w:t>
      </w:r>
      <w:r w:rsidR="00F67E05" w:rsidRPr="00F67E05">
        <w:rPr>
          <w:rFonts w:cs="Times New Roman"/>
          <w:color w:val="000000"/>
          <w:szCs w:val="24"/>
        </w:rPr>
        <w:t>Dz.U.</w:t>
      </w:r>
      <w:r w:rsidR="00A926E1">
        <w:rPr>
          <w:rFonts w:cs="Times New Roman"/>
          <w:color w:val="000000"/>
          <w:szCs w:val="24"/>
        </w:rPr>
        <w:t>UE.</w:t>
      </w:r>
      <w:r w:rsidR="00F67E05" w:rsidRPr="00F67E05">
        <w:rPr>
          <w:rFonts w:cs="Times New Roman"/>
          <w:color w:val="000000"/>
          <w:szCs w:val="24"/>
        </w:rPr>
        <w:t>C</w:t>
      </w:r>
      <w:r w:rsidR="00A926E1">
        <w:rPr>
          <w:rFonts w:cs="Times New Roman"/>
          <w:color w:val="000000"/>
          <w:szCs w:val="24"/>
        </w:rPr>
        <w:t>.</w:t>
      </w:r>
      <w:r w:rsidR="00F67E05" w:rsidRPr="00F67E05">
        <w:rPr>
          <w:rFonts w:cs="Times New Roman"/>
          <w:color w:val="000000"/>
          <w:szCs w:val="24"/>
        </w:rPr>
        <w:t>309 od 18.09.2017, str.6)</w:t>
      </w:r>
      <w:r w:rsidR="00792E13" w:rsidRPr="00F67E05">
        <w:rPr>
          <w:rFonts w:cs="Times New Roman"/>
          <w:szCs w:val="24"/>
        </w:rPr>
        <w:t>.</w:t>
      </w:r>
    </w:p>
    <w:p w14:paraId="6EC89318" w14:textId="3F629300" w:rsidR="00792E13" w:rsidRDefault="00792E13" w:rsidP="00792E13">
      <w:pPr>
        <w:ind w:firstLine="680"/>
        <w:jc w:val="both"/>
      </w:pPr>
      <w:r>
        <w:t>Wobec rozstrzygnię</w:t>
      </w:r>
      <w:r w:rsidR="004054D1">
        <w:t>ć TSUE w sprawach</w:t>
      </w:r>
      <w:r>
        <w:t xml:space="preserve"> C-176/17 </w:t>
      </w:r>
      <w:r w:rsidRPr="003544B7">
        <w:rPr>
          <w:i/>
        </w:rPr>
        <w:t>Profi Credit Polska</w:t>
      </w:r>
      <w:r>
        <w:t xml:space="preserve"> </w:t>
      </w:r>
      <w:r w:rsidR="004054D1">
        <w:t xml:space="preserve">oraz w połączonych sprawach </w:t>
      </w:r>
      <w:r w:rsidR="004054D1">
        <w:rPr>
          <w:rFonts w:cs="Times New Roman"/>
          <w:szCs w:val="24"/>
        </w:rPr>
        <w:t xml:space="preserve">C-419/18 i C-483/18 </w:t>
      </w:r>
      <w:r w:rsidR="004054D1" w:rsidRPr="003544B7">
        <w:rPr>
          <w:i/>
        </w:rPr>
        <w:t>Profi Credit Polska</w:t>
      </w:r>
      <w:r w:rsidR="004054D1">
        <w:rPr>
          <w:rFonts w:cs="Times New Roman"/>
          <w:szCs w:val="24"/>
        </w:rPr>
        <w:t xml:space="preserve"> </w:t>
      </w:r>
      <w:r>
        <w:t>zaszła konieczność znowelizowania</w:t>
      </w:r>
      <w:r w:rsidR="003544B7">
        <w:t xml:space="preserve"> przepisów kodeksu postępowania cywilnego dotyczących</w:t>
      </w:r>
      <w:r>
        <w:t xml:space="preserve"> postępowania nakazowego z weksla w sporach przeciwko konsumentom. Najistotniejszą konsekwencją </w:t>
      </w:r>
      <w:r w:rsidR="004054D1">
        <w:t>ww. orzeczeń</w:t>
      </w:r>
      <w:r>
        <w:t xml:space="preserve"> Trybunału jest konieczność stworzenia </w:t>
      </w:r>
      <w:r w:rsidR="00D67493">
        <w:t xml:space="preserve">dla sądu </w:t>
      </w:r>
      <w:r w:rsidR="003544B7">
        <w:t>(przy czym pod pojęciem sąd</w:t>
      </w:r>
      <w:r w:rsidR="004054D1">
        <w:t>u</w:t>
      </w:r>
      <w:r w:rsidR="003544B7">
        <w:t xml:space="preserve"> należy </w:t>
      </w:r>
      <w:r w:rsidR="00FB035B">
        <w:t xml:space="preserve">w tym przypadku </w:t>
      </w:r>
      <w:r w:rsidR="003544B7">
        <w:t>rozumieć również referendarza sądowego)</w:t>
      </w:r>
      <w:r w:rsidR="00D67493">
        <w:t xml:space="preserve"> możliwoś</w:t>
      </w:r>
      <w:r w:rsidR="007D74AF">
        <w:t>ci</w:t>
      </w:r>
      <w:r w:rsidR="00D67493">
        <w:t xml:space="preserve"> </w:t>
      </w:r>
      <w:r>
        <w:t>dokonania kontroli treści umowy oraz jej załączników</w:t>
      </w:r>
      <w:r w:rsidR="00FF75D8">
        <w:t>, dla zabezpieczenia której konsument wystawił weksel,</w:t>
      </w:r>
      <w:r w:rsidR="000416F6">
        <w:t>na etapie wydawania nakazu zapłaty,</w:t>
      </w:r>
      <w:r>
        <w:t xml:space="preserve"> w kierunku wykluczenia, że zawiera</w:t>
      </w:r>
      <w:r w:rsidR="003544B7">
        <w:t xml:space="preserve"> ona</w:t>
      </w:r>
      <w:r>
        <w:t xml:space="preserve"> </w:t>
      </w:r>
      <w:r w:rsidR="00554EC1">
        <w:t>nieuczciwe warunki umowne</w:t>
      </w:r>
      <w:r w:rsidR="005356F1">
        <w:t xml:space="preserve"> (niedozwolone postanowienia umowne)</w:t>
      </w:r>
      <w:r>
        <w:t>.</w:t>
      </w:r>
      <w:r w:rsidR="00D67493">
        <w:t xml:space="preserve"> </w:t>
      </w:r>
      <w:r w:rsidR="007D74AF">
        <w:t>Wyrok</w:t>
      </w:r>
      <w:r w:rsidR="005356F1">
        <w:t xml:space="preserve"> TSUE w sprawie</w:t>
      </w:r>
      <w:r w:rsidR="007D74AF">
        <w:t xml:space="preserve"> </w:t>
      </w:r>
      <w:r w:rsidR="004054D1">
        <w:t xml:space="preserve">C-176/17 </w:t>
      </w:r>
      <w:r w:rsidR="004054D1" w:rsidRPr="003544B7">
        <w:rPr>
          <w:i/>
        </w:rPr>
        <w:t>Profi Credit Polska</w:t>
      </w:r>
      <w:r w:rsidR="004054D1">
        <w:t xml:space="preserve"> </w:t>
      </w:r>
      <w:r w:rsidR="007D74AF">
        <w:t xml:space="preserve">skutkuje również </w:t>
      </w:r>
      <w:r w:rsidR="00554EC1">
        <w:t>potrzebą</w:t>
      </w:r>
      <w:r w:rsidR="007D74AF">
        <w:t xml:space="preserve"> złagodzenia wymogów formalno-fiskalnych dla wnoszonych przez konsumentów w takich sporach zarzutów od nakazów zapłaty wydanych w postępowaniu nakazowym na podstawie załączonego weksla. </w:t>
      </w:r>
    </w:p>
    <w:p w14:paraId="04CAEA85" w14:textId="0C931F7A" w:rsidR="005407CA" w:rsidRDefault="005407CA" w:rsidP="00DE383E">
      <w:pPr>
        <w:ind w:firstLine="680"/>
        <w:jc w:val="both"/>
      </w:pPr>
      <w:r>
        <w:t>Konsekwencją w</w:t>
      </w:r>
      <w:r w:rsidR="0039649D">
        <w:t>prowadz</w:t>
      </w:r>
      <w:r>
        <w:t xml:space="preserve">onych </w:t>
      </w:r>
      <w:r w:rsidR="0039649D">
        <w:t xml:space="preserve">zmian do prawa procesowego </w:t>
      </w:r>
      <w:r>
        <w:t xml:space="preserve">jest </w:t>
      </w:r>
      <w:r w:rsidR="0039649D">
        <w:t xml:space="preserve">rozszerzenie </w:t>
      </w:r>
      <w:r>
        <w:t xml:space="preserve">w dalszych przepisach projektu, </w:t>
      </w:r>
      <w:r w:rsidR="0039649D">
        <w:t xml:space="preserve">ochrony konsumenta na gruncie prawa materialnego. </w:t>
      </w:r>
    </w:p>
    <w:p w14:paraId="36FCDCB7" w14:textId="7A8619DC" w:rsidR="00FF75D8" w:rsidRDefault="005407CA" w:rsidP="0026567D">
      <w:pPr>
        <w:ind w:firstLine="680"/>
        <w:jc w:val="both"/>
      </w:pPr>
      <w:r>
        <w:t xml:space="preserve">Realizując ten cel, wynikający z konieczności pełnej implementacji wyroku TSUE w sprawie C-176/17 </w:t>
      </w:r>
      <w:r w:rsidRPr="003544B7">
        <w:rPr>
          <w:i/>
        </w:rPr>
        <w:t>Profi Credit Polska</w:t>
      </w:r>
      <w:r>
        <w:t xml:space="preserve">, </w:t>
      </w:r>
      <w:r w:rsidR="0064548B">
        <w:t xml:space="preserve">projekt wyłączył przenoszalność </w:t>
      </w:r>
      <w:r w:rsidR="00E01F24">
        <w:t xml:space="preserve">ze skutkiem </w:t>
      </w:r>
      <w:r w:rsidR="0026567D">
        <w:t>indos</w:t>
      </w:r>
      <w:r w:rsidR="00E01F24">
        <w:t>u</w:t>
      </w:r>
      <w:r w:rsidR="0026567D">
        <w:t xml:space="preserve"> </w:t>
      </w:r>
      <w:r w:rsidR="0064548B">
        <w:t xml:space="preserve">praw z weksla wystawionego przez konsumenta na osobę trzecią. </w:t>
      </w:r>
      <w:r w:rsidR="004B5157">
        <w:t xml:space="preserve">Dotychczasowe ograniczenie indosu istniejące wprawdzie w art. 41 ustawy </w:t>
      </w:r>
      <w:r w:rsidR="000854EC">
        <w:t xml:space="preserve">z dnia 12 maja 2011 r. </w:t>
      </w:r>
      <w:r w:rsidR="000854EC" w:rsidRPr="003544B7">
        <w:rPr>
          <w:i/>
        </w:rPr>
        <w:t>o kredycie konsumenckim</w:t>
      </w:r>
      <w:r w:rsidR="000854EC">
        <w:t xml:space="preserve"> (Dz.U. z 2019 r. poz. 1083, dalej: „ustawa </w:t>
      </w:r>
      <w:r w:rsidR="000854EC">
        <w:rPr>
          <w:i/>
        </w:rPr>
        <w:t>o kredycie konsumenckim</w:t>
      </w:r>
      <w:r w:rsidR="000854EC">
        <w:t>”)</w:t>
      </w:r>
      <w:r w:rsidR="004B5157">
        <w:t xml:space="preserve">, nie zapewniało bowiem pełnej ochrony, która </w:t>
      </w:r>
      <w:r w:rsidR="00634B6C">
        <w:t xml:space="preserve">w świetle wykładni TSUE, </w:t>
      </w:r>
      <w:r w:rsidR="004B5157">
        <w:t>powinna dotyczyć każdej umowy zawieranej przez konsumenta</w:t>
      </w:r>
      <w:r w:rsidR="00E01F24">
        <w:t xml:space="preserve"> (a nie tylko umowy kredytu konsumenckiego)</w:t>
      </w:r>
      <w:r w:rsidR="004B5157">
        <w:t xml:space="preserve">. </w:t>
      </w:r>
    </w:p>
    <w:p w14:paraId="20921911" w14:textId="07FB6E92" w:rsidR="0026215C" w:rsidRDefault="0026215C" w:rsidP="00DE383E">
      <w:pPr>
        <w:ind w:firstLine="680"/>
        <w:jc w:val="both"/>
      </w:pPr>
    </w:p>
    <w:p w14:paraId="1FC001A6" w14:textId="62B0AA99" w:rsidR="00747F2F" w:rsidRDefault="00D67493" w:rsidP="00D67493">
      <w:pPr>
        <w:ind w:firstLine="680"/>
        <w:jc w:val="both"/>
        <w:rPr>
          <w:color w:val="000000"/>
          <w:spacing w:val="-2"/>
        </w:rPr>
      </w:pPr>
      <w:r>
        <w:t>W wyroku w sprawie C-545/17</w:t>
      </w:r>
      <w:r w:rsidR="005356F1">
        <w:t xml:space="preserve"> </w:t>
      </w:r>
      <w:r w:rsidR="005356F1" w:rsidRPr="003544B7">
        <w:rPr>
          <w:i/>
        </w:rPr>
        <w:t>Pawlak</w:t>
      </w:r>
      <w:r>
        <w:t xml:space="preserve"> TSUE zakwestionował</w:t>
      </w:r>
      <w:r w:rsidR="000416F6">
        <w:t>,</w:t>
      </w:r>
      <w:r>
        <w:t xml:space="preserve"> jako sprzeczny z </w:t>
      </w:r>
      <w:r>
        <w:lastRenderedPageBreak/>
        <w:t>prawem unijnym</w:t>
      </w:r>
      <w:r w:rsidR="000416F6">
        <w:t>,</w:t>
      </w:r>
      <w:r>
        <w:t xml:space="preserve"> przepis krajowy (ściśle </w:t>
      </w:r>
      <w:r w:rsidRPr="00630637">
        <w:rPr>
          <w:rFonts w:cs="Times New Roman"/>
          <w:szCs w:val="24"/>
        </w:rPr>
        <w:t>art. 165 § 2</w:t>
      </w:r>
      <w:r w:rsidR="00630637" w:rsidRPr="00630637">
        <w:rPr>
          <w:rFonts w:cs="Times New Roman"/>
          <w:szCs w:val="24"/>
        </w:rPr>
        <w:t xml:space="preserve"> </w:t>
      </w:r>
      <w:r w:rsidR="00630637">
        <w:rPr>
          <w:rFonts w:cs="Times New Roman"/>
          <w:color w:val="333333"/>
          <w:szCs w:val="24"/>
          <w:shd w:val="clear" w:color="auto" w:fill="FFFFFF"/>
        </w:rPr>
        <w:t>u</w:t>
      </w:r>
      <w:r w:rsidR="00630637" w:rsidRPr="005B3C50">
        <w:rPr>
          <w:rFonts w:cs="Times New Roman"/>
          <w:color w:val="333333"/>
          <w:szCs w:val="24"/>
          <w:shd w:val="clear" w:color="auto" w:fill="FFFFFF"/>
        </w:rPr>
        <w:t>staw</w:t>
      </w:r>
      <w:r w:rsidR="00630637">
        <w:rPr>
          <w:rFonts w:cs="Times New Roman"/>
          <w:color w:val="333333"/>
          <w:szCs w:val="24"/>
          <w:shd w:val="clear" w:color="auto" w:fill="FFFFFF"/>
        </w:rPr>
        <w:t>y</w:t>
      </w:r>
      <w:r w:rsidR="00630637" w:rsidRPr="005B3C50">
        <w:rPr>
          <w:rFonts w:cs="Times New Roman"/>
          <w:color w:val="333333"/>
          <w:szCs w:val="24"/>
          <w:shd w:val="clear" w:color="auto" w:fill="FFFFFF"/>
        </w:rPr>
        <w:t xml:space="preserve"> z dnia 17 listopada 1964 r. </w:t>
      </w:r>
      <w:r w:rsidR="00630637" w:rsidRPr="005B3C50">
        <w:rPr>
          <w:rFonts w:cs="Times New Roman"/>
          <w:i/>
          <w:iCs/>
          <w:color w:val="333333"/>
          <w:szCs w:val="24"/>
          <w:shd w:val="clear" w:color="auto" w:fill="FFFFFF"/>
        </w:rPr>
        <w:t>Kodeks postępowania cywilnego</w:t>
      </w:r>
      <w:r w:rsidR="00630637" w:rsidRPr="005B3C50">
        <w:rPr>
          <w:rFonts w:cs="Times New Roman"/>
          <w:color w:val="333333"/>
          <w:szCs w:val="24"/>
          <w:shd w:val="clear" w:color="auto" w:fill="FFFFFF"/>
        </w:rPr>
        <w:t xml:space="preserve"> (t.j. Dz. U. z 2020 r. poz. 1575)</w:t>
      </w:r>
      <w:r w:rsidR="00630637">
        <w:rPr>
          <w:rFonts w:cs="Times New Roman"/>
          <w:color w:val="333333"/>
          <w:szCs w:val="24"/>
          <w:shd w:val="clear" w:color="auto" w:fill="FFFFFF"/>
        </w:rPr>
        <w:t>, dalej:</w:t>
      </w:r>
      <w:r w:rsidRPr="00630637">
        <w:rPr>
          <w:rFonts w:cs="Times New Roman"/>
          <w:szCs w:val="24"/>
        </w:rPr>
        <w:t xml:space="preserve"> </w:t>
      </w:r>
      <w:r w:rsidR="00630637">
        <w:rPr>
          <w:rFonts w:cs="Times New Roman"/>
          <w:szCs w:val="24"/>
        </w:rPr>
        <w:t>„</w:t>
      </w:r>
      <w:r w:rsidRPr="00630637">
        <w:rPr>
          <w:rFonts w:cs="Times New Roman"/>
          <w:szCs w:val="24"/>
        </w:rPr>
        <w:t>k.p.c.</w:t>
      </w:r>
      <w:r w:rsidR="00630637">
        <w:rPr>
          <w:rFonts w:cs="Times New Roman"/>
          <w:szCs w:val="24"/>
        </w:rPr>
        <w:t>”</w:t>
      </w:r>
      <w:r w:rsidRPr="00630637">
        <w:rPr>
          <w:rFonts w:cs="Times New Roman"/>
          <w:szCs w:val="24"/>
        </w:rPr>
        <w:t>), który uznaje</w:t>
      </w:r>
      <w:r>
        <w:t xml:space="preserve"> za równoznaczne z wniesieniem pisma procesowego do danego sądu jedynie złożenie takiego pisma w placówce pocztowej jednego operatora wyznaczonego do</w:t>
      </w:r>
      <w:r w:rsidR="005356F1">
        <w:t xml:space="preserve"> świadczenia usługi powszechnej</w:t>
      </w:r>
      <w:r>
        <w:t xml:space="preserve"> i to bez obiektywnego uzasadnienia opartego na względach porządku publicznego lub bezpieczeństwa publicznego. Wobec powyższego, zachodzi konieczność dostosowania art. 165 § 2 k.p.c. do ww. rozstrzygnięcia TSUE</w:t>
      </w:r>
      <w:r w:rsidR="00747F2F">
        <w:rPr>
          <w:color w:val="000000"/>
          <w:spacing w:val="-2"/>
        </w:rPr>
        <w:t>.</w:t>
      </w:r>
    </w:p>
    <w:p w14:paraId="240BEF95" w14:textId="4BB957C4" w:rsidR="00F67E05" w:rsidRDefault="00F67E05" w:rsidP="00D67493">
      <w:pPr>
        <w:ind w:firstLine="6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Wyrok</w:t>
      </w:r>
      <w:r w:rsidRPr="00463B3D">
        <w:rPr>
          <w:rFonts w:cs="Times New Roman"/>
          <w:szCs w:val="24"/>
        </w:rPr>
        <w:t xml:space="preserve"> Trybunału Sprawiedliwości Unii Europejskiej z dnia 26 lipca 2017 r. w sprawie C-670/15 </w:t>
      </w:r>
      <w:r w:rsidRPr="005356F1">
        <w:rPr>
          <w:rFonts w:cs="Times New Roman"/>
          <w:i/>
          <w:color w:val="000000"/>
          <w:szCs w:val="24"/>
        </w:rPr>
        <w:t>Š</w:t>
      </w:r>
      <w:r w:rsidRPr="005356F1">
        <w:rPr>
          <w:rFonts w:cs="Times New Roman"/>
          <w:i/>
          <w:szCs w:val="24"/>
        </w:rPr>
        <w:t>alplachta</w:t>
      </w:r>
      <w:r>
        <w:rPr>
          <w:rFonts w:cs="Times New Roman"/>
          <w:szCs w:val="24"/>
        </w:rPr>
        <w:t xml:space="preserve"> spowodował potrzebę </w:t>
      </w:r>
      <w:r w:rsidRPr="00463B3D">
        <w:rPr>
          <w:rFonts w:cs="Times New Roman"/>
          <w:szCs w:val="24"/>
        </w:rPr>
        <w:t>doprecyzowani</w:t>
      </w:r>
      <w:r>
        <w:rPr>
          <w:rFonts w:cs="Times New Roman"/>
          <w:szCs w:val="24"/>
        </w:rPr>
        <w:t>a</w:t>
      </w:r>
      <w:r w:rsidRPr="00463B3D">
        <w:rPr>
          <w:rFonts w:cs="Times New Roman"/>
          <w:szCs w:val="24"/>
        </w:rPr>
        <w:t xml:space="preserve"> istnienia po stronie wnioskodawcy uprawnienia do ubiegania się o zwrot kosztów tłumaczenia koniecznych dokumentów uzasadniających wniosek o przyznanie prawa pomocy w postępowaniu prowadzonym w Rzeczypospolitej Polskiej</w:t>
      </w:r>
      <w:r>
        <w:rPr>
          <w:rFonts w:cs="Times New Roman"/>
          <w:szCs w:val="24"/>
        </w:rPr>
        <w:t xml:space="preserve"> na podstawie </w:t>
      </w:r>
      <w:r w:rsidRPr="00463B3D">
        <w:rPr>
          <w:rFonts w:cs="Times New Roman"/>
          <w:szCs w:val="24"/>
        </w:rPr>
        <w:t xml:space="preserve">ustawy z dnia 17 grudnia 2004 r. </w:t>
      </w:r>
      <w:r w:rsidRPr="007C68FA">
        <w:rPr>
          <w:rFonts w:cs="Times New Roman"/>
          <w:i/>
          <w:szCs w:val="24"/>
        </w:rPr>
        <w:t>o prawie pomocy w postępowaniu w sprawach cywilnych prowadzonym w państwach członkowskich Unii Europejskiej oraz o prawie pomocy w celu ugodowego załatwienia sporu przed wszczęciem takiego postępowania</w:t>
      </w:r>
      <w:r w:rsidRPr="00463B3D">
        <w:rPr>
          <w:rFonts w:cs="Times New Roman"/>
          <w:szCs w:val="24"/>
        </w:rPr>
        <w:t xml:space="preserve"> (Dz. U. z 2005 r. poz. 67</w:t>
      </w:r>
      <w:r w:rsidR="007E0724">
        <w:rPr>
          <w:rFonts w:cs="Times New Roman"/>
          <w:szCs w:val="24"/>
        </w:rPr>
        <w:t xml:space="preserve"> oraz z 2006 r. poz. 824 oraz z 2011 r. poz. 735</w:t>
      </w:r>
      <w:r w:rsidRPr="00463B3D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dalej</w:t>
      </w:r>
      <w:r w:rsidR="007C68FA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„ustawa</w:t>
      </w:r>
      <w:r w:rsidRPr="00463B3D">
        <w:rPr>
          <w:rFonts w:cs="Times New Roman"/>
          <w:szCs w:val="24"/>
        </w:rPr>
        <w:t xml:space="preserve"> </w:t>
      </w:r>
      <w:r w:rsidRPr="007C68FA">
        <w:rPr>
          <w:rFonts w:cs="Times New Roman"/>
          <w:i/>
          <w:szCs w:val="24"/>
        </w:rPr>
        <w:t>o prawie pomocy</w:t>
      </w:r>
      <w:r w:rsidRPr="00463B3D">
        <w:rPr>
          <w:rFonts w:cs="Times New Roman"/>
          <w:szCs w:val="24"/>
        </w:rPr>
        <w:t>”</w:t>
      </w:r>
      <w:r>
        <w:rPr>
          <w:rFonts w:cs="Times New Roman"/>
          <w:szCs w:val="24"/>
        </w:rPr>
        <w:t>)</w:t>
      </w:r>
      <w:r w:rsidRPr="00463B3D">
        <w:rPr>
          <w:rFonts w:cs="Times New Roman"/>
          <w:szCs w:val="24"/>
        </w:rPr>
        <w:t>.</w:t>
      </w:r>
    </w:p>
    <w:p w14:paraId="78F2FC65" w14:textId="70D7D8F3" w:rsidR="00747F2F" w:rsidRDefault="006B68EA" w:rsidP="00747F2F">
      <w:pPr>
        <w:pStyle w:val="ARTartustawynprozporzdzenia"/>
        <w:spacing w:before="0"/>
        <w:ind w:firstLine="709"/>
        <w:rPr>
          <w:rFonts w:cs="Times New Roman"/>
          <w:szCs w:val="24"/>
        </w:rPr>
      </w:pPr>
      <w:r w:rsidRPr="001A64BF">
        <w:rPr>
          <w:rFonts w:cs="Times New Roman"/>
          <w:szCs w:val="24"/>
        </w:rPr>
        <w:t xml:space="preserve">W zakresie zmiany ustawy </w:t>
      </w:r>
      <w:r>
        <w:rPr>
          <w:rFonts w:cs="Times New Roman"/>
          <w:szCs w:val="24"/>
        </w:rPr>
        <w:t xml:space="preserve">z dnia 16 kwietnia 1993 r. </w:t>
      </w:r>
      <w:r w:rsidRPr="001A64BF">
        <w:rPr>
          <w:rFonts w:cs="Times New Roman"/>
          <w:i/>
          <w:iCs/>
          <w:szCs w:val="24"/>
        </w:rPr>
        <w:t>o zwalczaniu nieuczciwej konkurencji</w:t>
      </w:r>
      <w:r>
        <w:rPr>
          <w:rFonts w:cs="Times New Roman"/>
          <w:i/>
          <w:iCs/>
          <w:szCs w:val="24"/>
        </w:rPr>
        <w:t xml:space="preserve"> </w:t>
      </w:r>
      <w:r>
        <w:rPr>
          <w:rFonts w:cs="Times New Roman"/>
          <w:szCs w:val="24"/>
        </w:rPr>
        <w:t>(Dz. U z 2019 r. poz. 1010</w:t>
      </w:r>
      <w:r w:rsidR="007E0724">
        <w:rPr>
          <w:rFonts w:cs="Times New Roman"/>
          <w:szCs w:val="24"/>
        </w:rPr>
        <w:t xml:space="preserve">i </w:t>
      </w:r>
      <w:r>
        <w:rPr>
          <w:rFonts w:cs="Times New Roman"/>
          <w:szCs w:val="24"/>
        </w:rPr>
        <w:t xml:space="preserve">1649, dalej: </w:t>
      </w:r>
      <w:r w:rsidR="00630637">
        <w:rPr>
          <w:rFonts w:cs="Times New Roman"/>
          <w:szCs w:val="24"/>
        </w:rPr>
        <w:t>„</w:t>
      </w:r>
      <w:r>
        <w:rPr>
          <w:rFonts w:cs="Times New Roman"/>
          <w:szCs w:val="24"/>
        </w:rPr>
        <w:t xml:space="preserve">ustawa </w:t>
      </w:r>
      <w:r>
        <w:rPr>
          <w:rFonts w:cs="Times New Roman"/>
          <w:i/>
          <w:iCs/>
          <w:szCs w:val="24"/>
        </w:rPr>
        <w:t>o zwalczaniu nieuczciwej konkurencji</w:t>
      </w:r>
      <w:r w:rsidR="00630637">
        <w:rPr>
          <w:rFonts w:cs="Times New Roman"/>
          <w:szCs w:val="24"/>
        </w:rPr>
        <w:t>”</w:t>
      </w:r>
      <w:r w:rsidR="00541FB9">
        <w:rPr>
          <w:rFonts w:cs="Times New Roman"/>
          <w:i/>
          <w:iCs/>
          <w:szCs w:val="24"/>
        </w:rPr>
        <w:t xml:space="preserve"> </w:t>
      </w:r>
      <w:r w:rsidR="00541FB9">
        <w:rPr>
          <w:rFonts w:cs="Times New Roman"/>
          <w:szCs w:val="24"/>
        </w:rPr>
        <w:t xml:space="preserve">lub </w:t>
      </w:r>
      <w:r w:rsidR="00630637">
        <w:rPr>
          <w:rFonts w:cs="Times New Roman"/>
          <w:szCs w:val="24"/>
        </w:rPr>
        <w:t>„</w:t>
      </w:r>
      <w:r w:rsidR="00541FB9">
        <w:rPr>
          <w:rFonts w:cs="Times New Roman"/>
          <w:i/>
          <w:iCs/>
          <w:szCs w:val="24"/>
        </w:rPr>
        <w:t>uznk</w:t>
      </w:r>
      <w:r w:rsidR="00630637">
        <w:rPr>
          <w:rFonts w:cs="Times New Roman"/>
          <w:szCs w:val="24"/>
        </w:rPr>
        <w:t>”</w:t>
      </w:r>
      <w:r>
        <w:rPr>
          <w:rFonts w:cs="Times New Roman"/>
          <w:szCs w:val="24"/>
        </w:rPr>
        <w:t>)</w:t>
      </w:r>
      <w:r w:rsidRPr="001A64BF">
        <w:rPr>
          <w:rFonts w:cs="Times New Roman"/>
          <w:szCs w:val="24"/>
        </w:rPr>
        <w:t xml:space="preserve"> projekt stanowi natomiast odpowiedź na pojawiające się w praktyce trudności interpretacyjne w zakresie wywiedzenia na podstawie art. 3 ww. ustawy roszczenia negatoryjnego w związku z naruszeniem zakazu praktyk ograniczających konkurencję w rozumieniu art. 6 i art. 9 ustawy o ochronie konkurencji i konsumentów, a także art. 101 i art. 102 Traktatu o Funkcjonowaniu Unii Europejskiej</w:t>
      </w:r>
      <w:r w:rsidRPr="001A64BF">
        <w:rPr>
          <w:rFonts w:cs="Times New Roman"/>
          <w:b/>
          <w:bCs/>
          <w:szCs w:val="24"/>
        </w:rPr>
        <w:t xml:space="preserve">, </w:t>
      </w:r>
      <w:r w:rsidRPr="001A64BF">
        <w:rPr>
          <w:rFonts w:cs="Times New Roman"/>
          <w:szCs w:val="24"/>
        </w:rPr>
        <w:t>dostosowując polską regulację do rozwiązań znanych w systemach krajowych państw członkowskich UE (m. in. Niemcy, Francja, Austria).</w:t>
      </w:r>
    </w:p>
    <w:p w14:paraId="4090D282" w14:textId="77777777" w:rsidR="00D26227" w:rsidRDefault="00D26227" w:rsidP="00747F2F">
      <w:pPr>
        <w:pStyle w:val="ARTartustawynprozporzdzenia"/>
        <w:spacing w:before="0"/>
        <w:ind w:firstLine="709"/>
        <w:rPr>
          <w:b/>
        </w:rPr>
      </w:pPr>
    </w:p>
    <w:p w14:paraId="1CC9A3A8" w14:textId="77777777" w:rsidR="00B83343" w:rsidRPr="00B83343" w:rsidRDefault="00B83343" w:rsidP="00B83343">
      <w:pPr>
        <w:pStyle w:val="ARTartustawynprozporzdzenia"/>
        <w:numPr>
          <w:ilvl w:val="0"/>
          <w:numId w:val="1"/>
        </w:numPr>
        <w:spacing w:before="0"/>
        <w:rPr>
          <w:b/>
        </w:rPr>
      </w:pPr>
      <w:r w:rsidRPr="007E7CCC">
        <w:rPr>
          <w:b/>
        </w:rPr>
        <w:t xml:space="preserve">Projektowane zmiany </w:t>
      </w:r>
    </w:p>
    <w:p w14:paraId="7E982C55" w14:textId="77777777" w:rsidR="007C68FA" w:rsidRDefault="007C68FA" w:rsidP="00747F2F">
      <w:pPr>
        <w:pStyle w:val="ARTartustawynprozporzdzenia"/>
        <w:spacing w:before="0"/>
        <w:ind w:firstLine="709"/>
        <w:rPr>
          <w:b/>
        </w:rPr>
      </w:pPr>
    </w:p>
    <w:p w14:paraId="2EE9C3F2" w14:textId="77777777" w:rsidR="00747F2F" w:rsidRDefault="00747F2F" w:rsidP="00747F2F">
      <w:pPr>
        <w:pStyle w:val="ARTartustawynprozporzdzenia"/>
        <w:spacing w:before="0"/>
        <w:ind w:firstLine="709"/>
        <w:rPr>
          <w:b/>
        </w:rPr>
      </w:pPr>
      <w:r w:rsidRPr="009C797D">
        <w:rPr>
          <w:b/>
        </w:rPr>
        <w:t xml:space="preserve">Art. </w:t>
      </w:r>
      <w:r w:rsidR="007D74AF">
        <w:rPr>
          <w:b/>
        </w:rPr>
        <w:t>1</w:t>
      </w:r>
      <w:r w:rsidRPr="009C797D">
        <w:rPr>
          <w:b/>
        </w:rPr>
        <w:t xml:space="preserve"> pkt </w:t>
      </w:r>
      <w:r w:rsidR="007D74AF">
        <w:rPr>
          <w:b/>
        </w:rPr>
        <w:t>1</w:t>
      </w:r>
      <w:r>
        <w:rPr>
          <w:b/>
        </w:rPr>
        <w:t xml:space="preserve"> projektu (proj. art. 165 § 2 k.p.c.) </w:t>
      </w:r>
    </w:p>
    <w:p w14:paraId="590EF98C" w14:textId="77777777" w:rsidR="003267C7" w:rsidRPr="009C797D" w:rsidRDefault="003267C7" w:rsidP="00747F2F">
      <w:pPr>
        <w:pStyle w:val="ARTartustawynprozporzdzenia"/>
        <w:spacing w:before="0"/>
        <w:ind w:firstLine="709"/>
        <w:rPr>
          <w:b/>
        </w:rPr>
      </w:pPr>
    </w:p>
    <w:p w14:paraId="2E885982" w14:textId="6C358C38" w:rsidR="00747F2F" w:rsidRDefault="00747F2F" w:rsidP="007C68FA">
      <w:pPr>
        <w:pStyle w:val="NIEARTTEKSTtekstnieartykuowanynppodstprawnarozplubpreambua"/>
        <w:spacing w:before="0"/>
        <w:ind w:firstLine="709"/>
        <w:rPr>
          <w:rFonts w:ascii="Times New Roman" w:hAnsi="Times New Roman" w:cs="Times New Roman"/>
          <w:szCs w:val="24"/>
        </w:rPr>
      </w:pPr>
      <w:r w:rsidRPr="00463B3D">
        <w:rPr>
          <w:rFonts w:ascii="Times New Roman" w:hAnsi="Times New Roman" w:cs="Times New Roman"/>
          <w:szCs w:val="24"/>
        </w:rPr>
        <w:t>Zmiana brzmienia art. 165 § 2 k.p.c. podyktowana jest przekonaniem</w:t>
      </w:r>
      <w:r>
        <w:rPr>
          <w:rFonts w:ascii="Times New Roman" w:hAnsi="Times New Roman" w:cs="Times New Roman"/>
          <w:szCs w:val="24"/>
        </w:rPr>
        <w:t xml:space="preserve"> o </w:t>
      </w:r>
      <w:r w:rsidRPr="00463B3D">
        <w:rPr>
          <w:rFonts w:ascii="Times New Roman" w:hAnsi="Times New Roman" w:cs="Times New Roman"/>
          <w:szCs w:val="24"/>
        </w:rPr>
        <w:t>brak</w:t>
      </w:r>
      <w:r>
        <w:rPr>
          <w:rFonts w:ascii="Times New Roman" w:hAnsi="Times New Roman" w:cs="Times New Roman"/>
          <w:szCs w:val="24"/>
        </w:rPr>
        <w:t xml:space="preserve">u </w:t>
      </w:r>
      <w:r w:rsidRPr="00463B3D">
        <w:rPr>
          <w:rFonts w:ascii="Times New Roman" w:hAnsi="Times New Roman" w:cs="Times New Roman"/>
          <w:szCs w:val="24"/>
        </w:rPr>
        <w:t xml:space="preserve">uzasadnienia dla utrzymywania wynikającego z tego przepisu monopolu operatora wyznaczonego w rozumieniu ustawy z </w:t>
      </w:r>
      <w:r w:rsidRPr="002A780E">
        <w:rPr>
          <w:rFonts w:ascii="Times New Roman" w:hAnsi="Times New Roman" w:cs="Times New Roman"/>
          <w:szCs w:val="24"/>
        </w:rPr>
        <w:t>dnia 23 lis</w:t>
      </w:r>
      <w:r w:rsidRPr="000340B6">
        <w:rPr>
          <w:rFonts w:ascii="Times New Roman" w:hAnsi="Times New Roman" w:cs="Times New Roman"/>
          <w:szCs w:val="24"/>
        </w:rPr>
        <w:t xml:space="preserve">topada 2012 r. – </w:t>
      </w:r>
      <w:r w:rsidRPr="000340B6">
        <w:rPr>
          <w:rFonts w:ascii="Times New Roman" w:hAnsi="Times New Roman" w:cs="Times New Roman"/>
          <w:i/>
          <w:szCs w:val="24"/>
        </w:rPr>
        <w:t>Prawo pocztowe</w:t>
      </w:r>
      <w:r w:rsidR="007C68FA" w:rsidRPr="000340B6">
        <w:rPr>
          <w:rFonts w:ascii="Times New Roman" w:hAnsi="Times New Roman" w:cs="Times New Roman"/>
          <w:szCs w:val="24"/>
        </w:rPr>
        <w:t xml:space="preserve"> (</w:t>
      </w:r>
      <w:r w:rsidR="0012631B" w:rsidRPr="005B3C50">
        <w:rPr>
          <w:rFonts w:ascii="Times New Roman" w:hAnsi="Times New Roman" w:cs="Times New Roman"/>
          <w:color w:val="333333"/>
          <w:szCs w:val="24"/>
          <w:shd w:val="clear" w:color="auto" w:fill="FFFFFF"/>
        </w:rPr>
        <w:t>Dz. U. z 2020 r. poz. 1041</w:t>
      </w:r>
      <w:r w:rsidR="007C68FA" w:rsidRPr="000340B6">
        <w:rPr>
          <w:rFonts w:ascii="Times New Roman" w:hAnsi="Times New Roman" w:cs="Times New Roman"/>
          <w:szCs w:val="24"/>
        </w:rPr>
        <w:t xml:space="preserve">) </w:t>
      </w:r>
      <w:r w:rsidRPr="00E64295">
        <w:rPr>
          <w:rFonts w:ascii="Times New Roman" w:hAnsi="Times New Roman" w:cs="Times New Roman"/>
          <w:szCs w:val="24"/>
        </w:rPr>
        <w:t xml:space="preserve">na świadczenie usług pocztowych związanych z nadawaniem przez strony </w:t>
      </w:r>
      <w:r w:rsidRPr="00E64295">
        <w:rPr>
          <w:rFonts w:ascii="Times New Roman" w:hAnsi="Times New Roman" w:cs="Times New Roman"/>
          <w:szCs w:val="24"/>
        </w:rPr>
        <w:lastRenderedPageBreak/>
        <w:t>czy uczestników postępowania</w:t>
      </w:r>
      <w:r w:rsidRPr="00463B3D">
        <w:rPr>
          <w:rFonts w:ascii="Times New Roman" w:hAnsi="Times New Roman" w:cs="Times New Roman"/>
          <w:szCs w:val="24"/>
        </w:rPr>
        <w:t xml:space="preserve"> pism procesowych do sądu, kiedy to nadanie wiąże się z zachowaniem terminu d</w:t>
      </w:r>
      <w:r>
        <w:rPr>
          <w:rFonts w:ascii="Times New Roman" w:hAnsi="Times New Roman" w:cs="Times New Roman"/>
          <w:szCs w:val="24"/>
        </w:rPr>
        <w:t>o</w:t>
      </w:r>
      <w:r w:rsidRPr="00463B3D">
        <w:rPr>
          <w:rFonts w:ascii="Times New Roman" w:hAnsi="Times New Roman" w:cs="Times New Roman"/>
          <w:szCs w:val="24"/>
        </w:rPr>
        <w:t xml:space="preserve"> dokonania określonej czynności procesowej. </w:t>
      </w:r>
    </w:p>
    <w:p w14:paraId="3FDEAE69" w14:textId="77777777" w:rsidR="00747F2F" w:rsidRDefault="00747F2F" w:rsidP="00747F2F">
      <w:pPr>
        <w:pStyle w:val="NIEARTTEKSTtekstnieartykuowanynppodstprawnarozplubpreambua"/>
        <w:spacing w:before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N</w:t>
      </w:r>
      <w:r w:rsidRPr="00463B3D">
        <w:rPr>
          <w:rFonts w:cs="Times New Roman"/>
          <w:szCs w:val="24"/>
        </w:rPr>
        <w:t xml:space="preserve">iezgodność między obowiązującą treścią art. 165 § 2 k.p.c. a art. 7 ust. 1 </w:t>
      </w:r>
      <w:r>
        <w:rPr>
          <w:rFonts w:cs="Times New Roman"/>
          <w:szCs w:val="24"/>
        </w:rPr>
        <w:t>zd</w:t>
      </w:r>
      <w:r w:rsidR="007C68F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I </w:t>
      </w:r>
      <w:r w:rsidRPr="00463B3D">
        <w:rPr>
          <w:rFonts w:cs="Times New Roman"/>
          <w:szCs w:val="24"/>
        </w:rPr>
        <w:t xml:space="preserve">w związku z art. 8 </w:t>
      </w:r>
      <w:r w:rsidRPr="00463B3D">
        <w:rPr>
          <w:rFonts w:cs="Times New Roman"/>
          <w:iCs/>
          <w:szCs w:val="24"/>
        </w:rPr>
        <w:t xml:space="preserve">dyrektywy 97/67/WE Parlamentu Europejskiego i Rady z dnia 15 grudnia 1997 r. </w:t>
      </w:r>
      <w:r w:rsidRPr="007C68FA">
        <w:rPr>
          <w:rFonts w:cs="Times New Roman"/>
          <w:i/>
          <w:iCs/>
          <w:szCs w:val="24"/>
        </w:rPr>
        <w:t>w sprawie wspólnych zasad rozwoju rynku wewnętrznego usług pocztowych Wspólnoty oraz poprawy jakości usług, zmienionej dyrektywą Parlamentu Europejskiego i Rady 2008/6/WE z dnia 20 lutego 2008 r.</w:t>
      </w:r>
      <w:r w:rsidR="007C68FA">
        <w:rPr>
          <w:rFonts w:cs="Times New Roman"/>
          <w:szCs w:val="24"/>
        </w:rPr>
        <w:t xml:space="preserve"> (Dz.U.</w:t>
      </w:r>
      <w:r w:rsidRPr="00463B3D">
        <w:rPr>
          <w:rFonts w:cs="Times New Roman"/>
          <w:szCs w:val="24"/>
        </w:rPr>
        <w:t>UE</w:t>
      </w:r>
      <w:r w:rsidR="007C68FA">
        <w:rPr>
          <w:rFonts w:cs="Times New Roman"/>
          <w:szCs w:val="24"/>
        </w:rPr>
        <w:t>.</w:t>
      </w:r>
      <w:r w:rsidRPr="00463B3D">
        <w:rPr>
          <w:rFonts w:cs="Times New Roman"/>
          <w:szCs w:val="24"/>
        </w:rPr>
        <w:t>L</w:t>
      </w:r>
      <w:r w:rsidR="007C68FA">
        <w:rPr>
          <w:rFonts w:cs="Times New Roman"/>
          <w:szCs w:val="24"/>
        </w:rPr>
        <w:t>.</w:t>
      </w:r>
      <w:r w:rsidRPr="00463B3D">
        <w:rPr>
          <w:rFonts w:cs="Times New Roman"/>
          <w:szCs w:val="24"/>
        </w:rPr>
        <w:t>52 z 27.02.2008, str. 3), zos</w:t>
      </w:r>
      <w:r>
        <w:rPr>
          <w:rFonts w:cs="Times New Roman"/>
          <w:szCs w:val="24"/>
        </w:rPr>
        <w:t xml:space="preserve">tała dostrzeżona przez </w:t>
      </w:r>
      <w:r w:rsidR="007C68FA">
        <w:rPr>
          <w:rFonts w:cs="Times New Roman"/>
          <w:szCs w:val="24"/>
        </w:rPr>
        <w:t>TSUE</w:t>
      </w:r>
      <w:r w:rsidRPr="00463B3D">
        <w:rPr>
          <w:rFonts w:cs="Times New Roman"/>
          <w:szCs w:val="24"/>
        </w:rPr>
        <w:t>. Wyrokiem z 27 marca 2019 roku w</w:t>
      </w:r>
      <w:r>
        <w:rPr>
          <w:rFonts w:cs="Times New Roman"/>
          <w:szCs w:val="24"/>
        </w:rPr>
        <w:t xml:space="preserve"> </w:t>
      </w:r>
      <w:r w:rsidRPr="00463B3D">
        <w:rPr>
          <w:rFonts w:cs="Times New Roman"/>
          <w:szCs w:val="24"/>
        </w:rPr>
        <w:t xml:space="preserve">sprawie prejudycjalnej Mariusz Pawlak przeciwko Prezesowi Kasy Rolniczego Ubezpieczenia Społecznego (C-545/17) stwierdzono, że wskazane przepisy prawa europejskiego należy interpretować w ten sposób, że </w:t>
      </w:r>
      <w:r w:rsidRPr="00463B3D">
        <w:rPr>
          <w:rFonts w:cs="Times New Roman"/>
          <w:i/>
          <w:szCs w:val="24"/>
        </w:rPr>
        <w:t>„sprzeciwiają się one przepisowi prawa krajowego, który uznaje za równoznaczne z wniesieniem pisma procesowego do danego sądu jedynie złożenie takiego pisma w placówce pocztowej jednego operatora wyznaczonego do świadczenia usług</w:t>
      </w:r>
      <w:r>
        <w:rPr>
          <w:rFonts w:cs="Times New Roman"/>
          <w:i/>
          <w:szCs w:val="24"/>
        </w:rPr>
        <w:t>i</w:t>
      </w:r>
      <w:r w:rsidRPr="00463B3D">
        <w:rPr>
          <w:rFonts w:cs="Times New Roman"/>
          <w:i/>
          <w:szCs w:val="24"/>
        </w:rPr>
        <w:t xml:space="preserve"> powszechnej, i to bez obiektywnego uzasadnienia opartego na względach porządku publicznego lub bezpieczeństwa publicznego”</w:t>
      </w:r>
      <w:r w:rsidRPr="00463B3D">
        <w:rPr>
          <w:rFonts w:cs="Times New Roman"/>
          <w:szCs w:val="24"/>
        </w:rPr>
        <w:t xml:space="preserve">. </w:t>
      </w:r>
    </w:p>
    <w:p w14:paraId="5CD5D858" w14:textId="2989C868" w:rsidR="00747F2F" w:rsidRDefault="00747F2F" w:rsidP="00747F2F">
      <w:pPr>
        <w:pStyle w:val="NIEARTTEKSTtekstnieartykuowanynppodstprawnarozplubpreambua"/>
        <w:spacing w:before="0"/>
        <w:ind w:firstLine="709"/>
      </w:pPr>
      <w:r w:rsidRPr="00463B3D">
        <w:rPr>
          <w:rFonts w:cs="Times New Roman"/>
          <w:szCs w:val="24"/>
        </w:rPr>
        <w:t xml:space="preserve">Dostosowanie treści art. 165 § 2 k.p.c. do wykładni przyjętej przez Trybunał Sprawiedliwości polega na dopuszczeniu faktycznej możliwości dokonywania przez strony oraz uczestników postępowania skutecznego (gwarantującego zachowanie terminu </w:t>
      </w:r>
      <w:r>
        <w:rPr>
          <w:rFonts w:cs="Times New Roman"/>
          <w:szCs w:val="24"/>
        </w:rPr>
        <w:t>do dokonania</w:t>
      </w:r>
      <w:r w:rsidRPr="00463B3D">
        <w:rPr>
          <w:rFonts w:cs="Times New Roman"/>
          <w:szCs w:val="24"/>
        </w:rPr>
        <w:t xml:space="preserve"> czynności procesowej) nadawania pism procesowych do sądu w </w:t>
      </w:r>
      <w:r w:rsidR="00576C21">
        <w:rPr>
          <w:rFonts w:cs="Times New Roman"/>
          <w:szCs w:val="24"/>
        </w:rPr>
        <w:t xml:space="preserve">polskich </w:t>
      </w:r>
      <w:r w:rsidRPr="00463B3D">
        <w:rPr>
          <w:rFonts w:cs="Times New Roman"/>
          <w:szCs w:val="24"/>
        </w:rPr>
        <w:t xml:space="preserve">placówkach pocztowych wszystkich operatorów </w:t>
      </w:r>
      <w:r w:rsidR="00576C21">
        <w:rPr>
          <w:rFonts w:cs="Times New Roman"/>
          <w:szCs w:val="24"/>
        </w:rPr>
        <w:t xml:space="preserve">pocztowych </w:t>
      </w:r>
      <w:r w:rsidR="00576C21" w:rsidRPr="00462150">
        <w:t>w rozumieniu ustawy z dnia 23 listopada 2012 r. - Prawo pocztowe, lub w placów</w:t>
      </w:r>
      <w:r w:rsidR="00576C21">
        <w:t>kach</w:t>
      </w:r>
      <w:r w:rsidR="00576C21" w:rsidRPr="00462150">
        <w:t xml:space="preserve"> pocztow</w:t>
      </w:r>
      <w:r w:rsidR="00576C21">
        <w:t>ych</w:t>
      </w:r>
      <w:r w:rsidR="00576C21" w:rsidRPr="00462150">
        <w:t xml:space="preserve"> operator</w:t>
      </w:r>
      <w:r w:rsidR="00576C21">
        <w:t>ów</w:t>
      </w:r>
      <w:r w:rsidR="00576C21" w:rsidRPr="00462150">
        <w:t xml:space="preserve"> świadcząc</w:t>
      </w:r>
      <w:r w:rsidR="00576C21">
        <w:t>ych</w:t>
      </w:r>
      <w:r w:rsidR="00576C21" w:rsidRPr="00462150">
        <w:t xml:space="preserve"> pocztowe usługi powszechne w innym państwie członkowskim Unii Europejskiej</w:t>
      </w:r>
      <w:r w:rsidR="00576C21">
        <w:t>.</w:t>
      </w:r>
    </w:p>
    <w:p w14:paraId="61F014B5" w14:textId="724E450A" w:rsidR="005C1B23" w:rsidRPr="005C1B23" w:rsidRDefault="005C1B23" w:rsidP="003A1EC2">
      <w:pPr>
        <w:pStyle w:val="ARTartustawynprozporzdzenia"/>
      </w:pPr>
      <w:r>
        <w:t xml:space="preserve">W konsekwencji wymogi co do sposobu wnoszenia pism przez strony są analogiczne </w:t>
      </w:r>
      <w:r w:rsidR="002A0CF2">
        <w:t>jak te</w:t>
      </w:r>
      <w:r>
        <w:t xml:space="preserve">, które dotyczą </w:t>
      </w:r>
      <w:r w:rsidR="002A0CF2">
        <w:t>wysyłania</w:t>
      </w:r>
      <w:r>
        <w:t xml:space="preserve"> pism przez sąd (por. art. 131 </w:t>
      </w:r>
      <w:r w:rsidRPr="00463B3D">
        <w:rPr>
          <w:rFonts w:cs="Times New Roman"/>
          <w:szCs w:val="24"/>
        </w:rPr>
        <w:t xml:space="preserve">§ </w:t>
      </w:r>
      <w:r>
        <w:rPr>
          <w:rFonts w:cs="Times New Roman"/>
          <w:szCs w:val="24"/>
        </w:rPr>
        <w:t>1</w:t>
      </w:r>
      <w:r w:rsidRPr="00463B3D">
        <w:rPr>
          <w:rFonts w:cs="Times New Roman"/>
          <w:szCs w:val="24"/>
        </w:rPr>
        <w:t xml:space="preserve"> k.p.c.</w:t>
      </w:r>
      <w:r>
        <w:rPr>
          <w:rFonts w:cs="Times New Roman"/>
          <w:szCs w:val="24"/>
        </w:rPr>
        <w:t>).</w:t>
      </w:r>
    </w:p>
    <w:p w14:paraId="41B101B1" w14:textId="77777777" w:rsidR="007D74AF" w:rsidRPr="007D74AF" w:rsidRDefault="007D74AF" w:rsidP="007D74AF">
      <w:pPr>
        <w:pStyle w:val="ARTartustawynprozporzdzenia"/>
      </w:pPr>
    </w:p>
    <w:p w14:paraId="3E9AC8FB" w14:textId="1A073BA6" w:rsidR="00CC57A6" w:rsidRDefault="007D74AF" w:rsidP="0011262B">
      <w:pPr>
        <w:ind w:firstLine="708"/>
        <w:jc w:val="both"/>
        <w:rPr>
          <w:b/>
        </w:rPr>
      </w:pPr>
      <w:r w:rsidRPr="009C797D">
        <w:rPr>
          <w:b/>
        </w:rPr>
        <w:t xml:space="preserve">Art. </w:t>
      </w:r>
      <w:r>
        <w:rPr>
          <w:b/>
        </w:rPr>
        <w:t>1</w:t>
      </w:r>
      <w:r w:rsidRPr="009C797D">
        <w:rPr>
          <w:b/>
        </w:rPr>
        <w:t xml:space="preserve"> pkt </w:t>
      </w:r>
      <w:r w:rsidR="00AC292B">
        <w:rPr>
          <w:b/>
        </w:rPr>
        <w:t>2,</w:t>
      </w:r>
      <w:r>
        <w:rPr>
          <w:b/>
        </w:rPr>
        <w:t xml:space="preserve"> 3</w:t>
      </w:r>
      <w:r w:rsidR="00DD4DB7">
        <w:rPr>
          <w:b/>
        </w:rPr>
        <w:t xml:space="preserve"> i</w:t>
      </w:r>
      <w:r w:rsidR="0062706D">
        <w:rPr>
          <w:b/>
        </w:rPr>
        <w:t xml:space="preserve"> 4</w:t>
      </w:r>
      <w:r w:rsidR="0012631B">
        <w:rPr>
          <w:b/>
        </w:rPr>
        <w:t xml:space="preserve"> </w:t>
      </w:r>
      <w:r>
        <w:rPr>
          <w:b/>
        </w:rPr>
        <w:t xml:space="preserve"> projektu (proj. </w:t>
      </w:r>
      <w:r w:rsidRPr="007D74AF">
        <w:rPr>
          <w:b/>
        </w:rPr>
        <w:t xml:space="preserve">art. </w:t>
      </w:r>
      <w:r w:rsidR="0016395E" w:rsidRPr="00EC28EE">
        <w:rPr>
          <w:b/>
          <w:bCs/>
        </w:rPr>
        <w:t>394</w:t>
      </w:r>
      <w:r w:rsidR="0016395E" w:rsidRPr="00EC28EE">
        <w:rPr>
          <w:rStyle w:val="IGindeksgrny"/>
          <w:b/>
          <w:bCs/>
        </w:rPr>
        <w:t>1a</w:t>
      </w:r>
      <w:r w:rsidR="0016395E" w:rsidRPr="00EC28EE">
        <w:rPr>
          <w:b/>
          <w:bCs/>
        </w:rPr>
        <w:t xml:space="preserve"> § 1 pkt 8</w:t>
      </w:r>
      <w:r w:rsidR="0016395E" w:rsidRPr="00EC28EE">
        <w:rPr>
          <w:rStyle w:val="IGindeksgrny"/>
          <w:b/>
          <w:bCs/>
        </w:rPr>
        <w:t>1</w:t>
      </w:r>
      <w:r w:rsidR="0016395E">
        <w:rPr>
          <w:rStyle w:val="IGindeksgrny"/>
          <w:vertAlign w:val="baseline"/>
        </w:rPr>
        <w:t xml:space="preserve">, </w:t>
      </w:r>
      <w:r w:rsidRPr="0016395E">
        <w:rPr>
          <w:b/>
        </w:rPr>
        <w:t>480</w:t>
      </w:r>
      <w:r w:rsidRPr="0016395E">
        <w:rPr>
          <w:rStyle w:val="IGindeksgrny"/>
          <w:b/>
        </w:rPr>
        <w:t>2</w:t>
      </w:r>
      <w:r w:rsidRPr="007D74AF">
        <w:rPr>
          <w:b/>
        </w:rPr>
        <w:t xml:space="preserve"> </w:t>
      </w:r>
      <w:r w:rsidRPr="007D74AF">
        <w:rPr>
          <w:rFonts w:cs="Times New Roman"/>
          <w:b/>
        </w:rPr>
        <w:t>§</w:t>
      </w:r>
      <w:r w:rsidRPr="007D74AF">
        <w:rPr>
          <w:b/>
        </w:rPr>
        <w:t xml:space="preserve"> </w:t>
      </w:r>
      <w:r w:rsidR="0062706D">
        <w:rPr>
          <w:b/>
        </w:rPr>
        <w:t xml:space="preserve">1, </w:t>
      </w:r>
      <w:r w:rsidRPr="007D74AF">
        <w:rPr>
          <w:b/>
        </w:rPr>
        <w:t>2</w:t>
      </w:r>
      <w:r w:rsidR="0062706D">
        <w:rPr>
          <w:b/>
        </w:rPr>
        <w:t>, 2</w:t>
      </w:r>
      <w:r w:rsidR="0062706D">
        <w:rPr>
          <w:b/>
          <w:vertAlign w:val="superscript"/>
        </w:rPr>
        <w:t>1</w:t>
      </w:r>
      <w:r w:rsidR="0062706D">
        <w:rPr>
          <w:b/>
        </w:rPr>
        <w:t xml:space="preserve"> i 2</w:t>
      </w:r>
      <w:r w:rsidR="0062706D">
        <w:rPr>
          <w:b/>
          <w:vertAlign w:val="superscript"/>
        </w:rPr>
        <w:t>2</w:t>
      </w:r>
      <w:r>
        <w:rPr>
          <w:b/>
        </w:rPr>
        <w:t xml:space="preserve"> oraz </w:t>
      </w:r>
      <w:r w:rsidRPr="007D74AF">
        <w:rPr>
          <w:b/>
        </w:rPr>
        <w:t>485 § 2</w:t>
      </w:r>
      <w:r w:rsidR="00AC292B">
        <w:rPr>
          <w:b/>
        </w:rPr>
        <w:t>, 4 i 5</w:t>
      </w:r>
      <w:r>
        <w:rPr>
          <w:b/>
        </w:rPr>
        <w:t xml:space="preserve"> k.p.c.)</w:t>
      </w:r>
      <w:r w:rsidR="00105345">
        <w:rPr>
          <w:b/>
        </w:rPr>
        <w:t xml:space="preserve"> oraz a</w:t>
      </w:r>
      <w:r w:rsidR="00CC57A6" w:rsidRPr="009C797D">
        <w:rPr>
          <w:b/>
        </w:rPr>
        <w:t xml:space="preserve">rt. </w:t>
      </w:r>
      <w:r w:rsidR="00E53766">
        <w:rPr>
          <w:b/>
        </w:rPr>
        <w:t>6</w:t>
      </w:r>
      <w:r w:rsidR="00E53766" w:rsidRPr="009C797D">
        <w:rPr>
          <w:b/>
        </w:rPr>
        <w:t xml:space="preserve"> </w:t>
      </w:r>
      <w:r w:rsidR="00CC57A6">
        <w:rPr>
          <w:b/>
        </w:rPr>
        <w:t xml:space="preserve">projektu (proj. </w:t>
      </w:r>
      <w:r w:rsidR="00CC57A6" w:rsidRPr="007D74AF">
        <w:rPr>
          <w:b/>
        </w:rPr>
        <w:t xml:space="preserve">art. </w:t>
      </w:r>
      <w:r w:rsidR="00CC57A6">
        <w:rPr>
          <w:b/>
        </w:rPr>
        <w:t>19 ust</w:t>
      </w:r>
      <w:r w:rsidR="00CC57A6" w:rsidRPr="00CC57A6">
        <w:rPr>
          <w:b/>
        </w:rPr>
        <w:t xml:space="preserve">. 4 ustawy z dnia 28 lipca 2005 r. o kosztach sądowych w sprawach cywilnych (Dz. U. z </w:t>
      </w:r>
      <w:r w:rsidR="00DD4DB7" w:rsidRPr="00CC57A6">
        <w:rPr>
          <w:b/>
        </w:rPr>
        <w:t>20</w:t>
      </w:r>
      <w:r w:rsidR="00DD4DB7">
        <w:rPr>
          <w:b/>
        </w:rPr>
        <w:t>20</w:t>
      </w:r>
      <w:r w:rsidR="00DD4DB7" w:rsidRPr="00CC57A6">
        <w:rPr>
          <w:b/>
        </w:rPr>
        <w:t xml:space="preserve"> </w:t>
      </w:r>
      <w:r w:rsidR="00CC57A6" w:rsidRPr="00CC57A6">
        <w:rPr>
          <w:b/>
        </w:rPr>
        <w:t xml:space="preserve">r. poz. </w:t>
      </w:r>
      <w:r w:rsidR="00DD4DB7">
        <w:rPr>
          <w:b/>
        </w:rPr>
        <w:t>755</w:t>
      </w:r>
      <w:r w:rsidR="00CC57A6" w:rsidRPr="00CC57A6">
        <w:rPr>
          <w:b/>
        </w:rPr>
        <w:t xml:space="preserve">, </w:t>
      </w:r>
      <w:r w:rsidR="007139A6">
        <w:rPr>
          <w:b/>
        </w:rPr>
        <w:t>,</w:t>
      </w:r>
      <w:r w:rsidR="00CC57A6" w:rsidRPr="00CC57A6">
        <w:rPr>
          <w:b/>
        </w:rPr>
        <w:t xml:space="preserve"> </w:t>
      </w:r>
      <w:r w:rsidR="00DD4DB7">
        <w:rPr>
          <w:b/>
        </w:rPr>
        <w:t>807</w:t>
      </w:r>
      <w:r w:rsidR="007139A6">
        <w:rPr>
          <w:b/>
        </w:rPr>
        <w:t xml:space="preserve"> i 956</w:t>
      </w:r>
      <w:r w:rsidR="00DD4DB7">
        <w:rPr>
          <w:b/>
        </w:rPr>
        <w:t xml:space="preserve"> dalej: „u.k.s.c.”</w:t>
      </w:r>
      <w:r w:rsidR="00CC57A6" w:rsidRPr="00CC57A6">
        <w:rPr>
          <w:b/>
        </w:rPr>
        <w:t>)</w:t>
      </w:r>
    </w:p>
    <w:p w14:paraId="531D0B51" w14:textId="77777777" w:rsidR="00E14CBE" w:rsidRDefault="00E14CBE" w:rsidP="00E14CBE">
      <w:pPr>
        <w:ind w:firstLine="708"/>
        <w:jc w:val="both"/>
        <w:rPr>
          <w:b/>
        </w:rPr>
      </w:pPr>
    </w:p>
    <w:p w14:paraId="1C47FCDE" w14:textId="0BFFC290" w:rsidR="00E14CBE" w:rsidRDefault="00774F52" w:rsidP="002116BE">
      <w:pPr>
        <w:ind w:firstLine="708"/>
        <w:jc w:val="both"/>
      </w:pPr>
      <w:r>
        <w:t>Zmian</w:t>
      </w:r>
      <w:r w:rsidR="00427C83">
        <w:t>ami przewidzianymi</w:t>
      </w:r>
      <w:r>
        <w:t xml:space="preserve"> </w:t>
      </w:r>
      <w:r w:rsidRPr="00774F52">
        <w:t xml:space="preserve">w art. </w:t>
      </w:r>
      <w:r w:rsidR="0016395E">
        <w:t>394</w:t>
      </w:r>
      <w:r w:rsidR="0016395E">
        <w:rPr>
          <w:rStyle w:val="IGindeksgrny"/>
        </w:rPr>
        <w:t>1a</w:t>
      </w:r>
      <w:r w:rsidR="0016395E">
        <w:t xml:space="preserve"> </w:t>
      </w:r>
      <w:r w:rsidR="0016395E" w:rsidRPr="00AF0879">
        <w:t>§</w:t>
      </w:r>
      <w:r w:rsidR="0016395E">
        <w:t xml:space="preserve"> 1 pkt </w:t>
      </w:r>
      <w:r w:rsidR="0016395E" w:rsidRPr="0016395E">
        <w:t>8</w:t>
      </w:r>
      <w:r w:rsidR="0016395E" w:rsidRPr="0016395E">
        <w:rPr>
          <w:rStyle w:val="IGindeksgrny"/>
        </w:rPr>
        <w:t>1</w:t>
      </w:r>
      <w:r w:rsidR="0016395E">
        <w:rPr>
          <w:rStyle w:val="IGindeksgrny"/>
          <w:vertAlign w:val="baseline"/>
        </w:rPr>
        <w:t xml:space="preserve">, </w:t>
      </w:r>
      <w:r w:rsidR="00A43FB7" w:rsidRPr="00A43FB7">
        <w:t>480</w:t>
      </w:r>
      <w:r w:rsidR="00A43FB7" w:rsidRPr="00A43FB7">
        <w:rPr>
          <w:rStyle w:val="IGindeksgrny"/>
        </w:rPr>
        <w:t>2</w:t>
      </w:r>
      <w:r w:rsidR="00A43FB7" w:rsidRPr="00A43FB7">
        <w:t xml:space="preserve"> </w:t>
      </w:r>
      <w:r w:rsidR="00A43FB7" w:rsidRPr="00A43FB7">
        <w:rPr>
          <w:rFonts w:cs="Times New Roman"/>
        </w:rPr>
        <w:t>§</w:t>
      </w:r>
      <w:r w:rsidR="00A43FB7" w:rsidRPr="00A43FB7">
        <w:t xml:space="preserve"> 1, 2, 2</w:t>
      </w:r>
      <w:r w:rsidR="00A43FB7" w:rsidRPr="00A43FB7">
        <w:rPr>
          <w:vertAlign w:val="superscript"/>
        </w:rPr>
        <w:t>1</w:t>
      </w:r>
      <w:r w:rsidR="00A43FB7" w:rsidRPr="00A43FB7">
        <w:t xml:space="preserve"> i 2</w:t>
      </w:r>
      <w:r w:rsidR="00A43FB7" w:rsidRPr="00A43FB7">
        <w:rPr>
          <w:vertAlign w:val="superscript"/>
        </w:rPr>
        <w:t>2</w:t>
      </w:r>
      <w:r w:rsidR="00A43FB7" w:rsidRPr="00A43FB7">
        <w:t xml:space="preserve"> i 485 § 2, 4 i 5 k.p.c.</w:t>
      </w:r>
      <w:r w:rsidRPr="00A43FB7">
        <w:t>,</w:t>
      </w:r>
      <w:r w:rsidRPr="00774F52">
        <w:t xml:space="preserve"> oraz art. 19 ust. 4 ustawy z dnia 28 lipca 2005 r. o kosztach sądowych w sprawach cywilnych</w:t>
      </w:r>
      <w:r>
        <w:t xml:space="preserve"> </w:t>
      </w:r>
      <w:r w:rsidR="00427C83">
        <w:t>dokonywana jest implementacja wyrok</w:t>
      </w:r>
      <w:r w:rsidR="00A43FB7">
        <w:t>ów</w:t>
      </w:r>
      <w:r w:rsidR="00427C83">
        <w:t xml:space="preserve"> TSUE </w:t>
      </w:r>
      <w:r w:rsidR="00A43FB7">
        <w:rPr>
          <w:color w:val="000000"/>
          <w:spacing w:val="-2"/>
        </w:rPr>
        <w:t>w sprawach</w:t>
      </w:r>
      <w:r w:rsidR="00427C83">
        <w:rPr>
          <w:color w:val="000000"/>
          <w:spacing w:val="-2"/>
        </w:rPr>
        <w:t xml:space="preserve"> </w:t>
      </w:r>
      <w:r w:rsidR="00427C83">
        <w:t xml:space="preserve">C-176/17 </w:t>
      </w:r>
      <w:r w:rsidR="00427C83" w:rsidRPr="00C65D68">
        <w:rPr>
          <w:i/>
        </w:rPr>
        <w:t>Profi Credit Polska</w:t>
      </w:r>
      <w:r w:rsidR="00A43FB7" w:rsidRPr="00A43FB7">
        <w:t xml:space="preserve"> </w:t>
      </w:r>
      <w:r w:rsidR="00A43FB7">
        <w:t xml:space="preserve">oraz w połączonych sprawach </w:t>
      </w:r>
      <w:r w:rsidR="00A43FB7">
        <w:rPr>
          <w:rFonts w:cs="Times New Roman"/>
          <w:szCs w:val="24"/>
        </w:rPr>
        <w:t xml:space="preserve">C-419/18 i C-483/18 </w:t>
      </w:r>
      <w:r w:rsidR="00A43FB7" w:rsidRPr="003544B7">
        <w:rPr>
          <w:i/>
        </w:rPr>
        <w:t>Profi Credit Polska</w:t>
      </w:r>
      <w:r w:rsidR="00427C83">
        <w:t xml:space="preserve">. </w:t>
      </w:r>
      <w:r w:rsidR="00C65D68">
        <w:t xml:space="preserve">W </w:t>
      </w:r>
      <w:r w:rsidR="00427C83">
        <w:t>orzeczeni</w:t>
      </w:r>
      <w:r w:rsidR="00B34F83">
        <w:t>u</w:t>
      </w:r>
      <w:r w:rsidR="00427C83">
        <w:t xml:space="preserve"> </w:t>
      </w:r>
      <w:r w:rsidR="008E4323">
        <w:rPr>
          <w:color w:val="000000"/>
          <w:spacing w:val="-2"/>
        </w:rPr>
        <w:lastRenderedPageBreak/>
        <w:t xml:space="preserve">w sprawie </w:t>
      </w:r>
      <w:r w:rsidR="008E4323">
        <w:t xml:space="preserve">C-176/17 </w:t>
      </w:r>
      <w:r w:rsidR="008E4323" w:rsidRPr="00C65D68">
        <w:rPr>
          <w:i/>
        </w:rPr>
        <w:t>Profi Credit Polska</w:t>
      </w:r>
      <w:r w:rsidR="008E4323">
        <w:t xml:space="preserve"> </w:t>
      </w:r>
      <w:r w:rsidR="00427C83">
        <w:t xml:space="preserve">TSUE </w:t>
      </w:r>
      <w:r w:rsidR="00B34F83">
        <w:t>zakwestionował</w:t>
      </w:r>
      <w:r w:rsidR="005B1AE6">
        <w:t xml:space="preserve">, w </w:t>
      </w:r>
      <w:r w:rsidR="005B1AE6" w:rsidRPr="005B1AE6">
        <w:rPr>
          <w:rFonts w:cs="Times New Roman"/>
          <w:szCs w:val="24"/>
        </w:rPr>
        <w:t>związku z treścią</w:t>
      </w:r>
      <w:r w:rsidR="005B1AE6" w:rsidRPr="005B1AE6">
        <w:rPr>
          <w:rFonts w:cs="Times New Roman"/>
          <w:bCs/>
          <w:color w:val="000000"/>
          <w:szCs w:val="24"/>
        </w:rPr>
        <w:t xml:space="preserve"> art. 7 ust. 1 dyrektywy Rady 93/13/EWG z dnia 5 kwietnia 1993 r. </w:t>
      </w:r>
      <w:r w:rsidR="005B1AE6" w:rsidRPr="005B1AE6">
        <w:rPr>
          <w:rFonts w:cs="Times New Roman"/>
          <w:bCs/>
          <w:i/>
          <w:color w:val="000000"/>
          <w:szCs w:val="24"/>
        </w:rPr>
        <w:t>w sprawie nieuczciwych warunków w umowach konsumenckich</w:t>
      </w:r>
      <w:r w:rsidR="005B1AE6">
        <w:rPr>
          <w:rFonts w:cs="Times New Roman"/>
          <w:bCs/>
          <w:color w:val="000000"/>
          <w:szCs w:val="24"/>
        </w:rPr>
        <w:t>,</w:t>
      </w:r>
      <w:r w:rsidR="00427C83">
        <w:t xml:space="preserve"> </w:t>
      </w:r>
      <w:r w:rsidR="00597518">
        <w:t>przepisy</w:t>
      </w:r>
      <w:r w:rsidR="00427C83">
        <w:t xml:space="preserve"> krajowe</w:t>
      </w:r>
      <w:r w:rsidR="00597518">
        <w:t xml:space="preserve"> </w:t>
      </w:r>
      <w:r w:rsidR="00427C83">
        <w:t>takie jak polskie</w:t>
      </w:r>
      <w:r w:rsidR="00597518">
        <w:t xml:space="preserve"> przepisy regulujące</w:t>
      </w:r>
      <w:r w:rsidR="00427C83">
        <w:t xml:space="preserve"> postępowanie nakazowe </w:t>
      </w:r>
      <w:r w:rsidR="00597518">
        <w:t>na podstawie</w:t>
      </w:r>
      <w:r w:rsidR="00427C83">
        <w:t xml:space="preserve"> weksla </w:t>
      </w:r>
      <w:r w:rsidR="004413C4">
        <w:t xml:space="preserve">własnego </w:t>
      </w:r>
      <w:r w:rsidR="00427C83">
        <w:t xml:space="preserve">w sprawach przeciwko </w:t>
      </w:r>
      <w:r w:rsidR="00427C83" w:rsidRPr="0004460F">
        <w:t>konsument</w:t>
      </w:r>
      <w:r w:rsidR="00427C83">
        <w:t xml:space="preserve">om. </w:t>
      </w:r>
      <w:r w:rsidR="00734F14">
        <w:t>Z</w:t>
      </w:r>
      <w:r w:rsidR="00427C83">
        <w:t xml:space="preserve"> </w:t>
      </w:r>
      <w:r w:rsidR="00C00A45">
        <w:t xml:space="preserve">obu </w:t>
      </w:r>
      <w:r w:rsidR="00427C83">
        <w:t>ww. wyrok</w:t>
      </w:r>
      <w:r w:rsidR="008E4323">
        <w:t>ów</w:t>
      </w:r>
      <w:r w:rsidR="00427C83">
        <w:t xml:space="preserve"> TSUE wynika, że sąd rozpoznający sprawę powinien </w:t>
      </w:r>
      <w:r w:rsidR="002116BE">
        <w:t xml:space="preserve">każdorazowo </w:t>
      </w:r>
      <w:r w:rsidR="00427C83">
        <w:t>dokonać oceny umowy</w:t>
      </w:r>
      <w:r w:rsidR="002116BE">
        <w:t>,</w:t>
      </w:r>
      <w:r w:rsidR="00427C83">
        <w:t xml:space="preserve"> n</w:t>
      </w:r>
      <w:r w:rsidR="002116BE">
        <w:t xml:space="preserve">a podstawie której roszczenie kierowane przeciwko konsumentowi </w:t>
      </w:r>
      <w:r w:rsidR="00C65D68">
        <w:t>powstało w związku z umową zabezpieczoną</w:t>
      </w:r>
      <w:r w:rsidR="002116BE">
        <w:t xml:space="preserve"> wekslem, pod względem </w:t>
      </w:r>
      <w:r w:rsidR="00C65D68">
        <w:t>występowania</w:t>
      </w:r>
      <w:r w:rsidR="002116BE">
        <w:t xml:space="preserve"> w takiej umowie klauzul </w:t>
      </w:r>
      <w:r w:rsidR="00C65D68">
        <w:t>niedozwolonych</w:t>
      </w:r>
      <w:r w:rsidR="00105345">
        <w:t>,</w:t>
      </w:r>
      <w:r w:rsidR="00597518">
        <w:t xml:space="preserve"> a</w:t>
      </w:r>
      <w:r w:rsidR="00B72465">
        <w:t xml:space="preserve"> kontrola taka </w:t>
      </w:r>
      <w:r w:rsidR="002116BE">
        <w:t>nie je</w:t>
      </w:r>
      <w:r w:rsidR="00C65D68">
        <w:t>st przewidywana na żadnym innym</w:t>
      </w:r>
      <w:r w:rsidR="002116BE">
        <w:t xml:space="preserve"> etapie postępowania zmierzającym do wykonania orzeczenia</w:t>
      </w:r>
      <w:r w:rsidR="00C00A45">
        <w:t>. Tym bardziej, gdy jak w stwierdzono w sprawie C-176/17,</w:t>
      </w:r>
      <w:r w:rsidR="00B72465">
        <w:t xml:space="preserve"> wniesienie zarzutów od nakazu zapłaty obwarowane</w:t>
      </w:r>
      <w:r w:rsidR="00C65D68">
        <w:t xml:space="preserve"> jest</w:t>
      </w:r>
      <w:r w:rsidR="00B72465">
        <w:t xml:space="preserve"> restrykcyjnymi wymogami formalnymi i fiskalnymi.</w:t>
      </w:r>
    </w:p>
    <w:p w14:paraId="1ED3D5FF" w14:textId="0BFD02CB" w:rsidR="00C855EF" w:rsidRDefault="00B72465" w:rsidP="00C855EF">
      <w:pPr>
        <w:ind w:firstLine="708"/>
        <w:jc w:val="both"/>
      </w:pPr>
      <w:r>
        <w:t>Głównym punktem nowelizacji k</w:t>
      </w:r>
      <w:r w:rsidR="00E0647F">
        <w:t>odeksu postępowania cywilnego</w:t>
      </w:r>
      <w:r>
        <w:t xml:space="preserve"> w związku z </w:t>
      </w:r>
      <w:r w:rsidR="008E4323">
        <w:t xml:space="preserve">ww. </w:t>
      </w:r>
      <w:r>
        <w:t>wyrok</w:t>
      </w:r>
      <w:r w:rsidR="008E4323">
        <w:t>ami</w:t>
      </w:r>
      <w:r>
        <w:t xml:space="preserve"> TSUE jest nałożenie w art. 485 </w:t>
      </w:r>
      <w:r>
        <w:rPr>
          <w:rFonts w:cs="Times New Roman"/>
        </w:rPr>
        <w:t>§</w:t>
      </w:r>
      <w:r>
        <w:t xml:space="preserve"> 2</w:t>
      </w:r>
      <w:r w:rsidR="00FA1235">
        <w:t xml:space="preserve"> zd. </w:t>
      </w:r>
      <w:r w:rsidR="00B679EB">
        <w:t>3</w:t>
      </w:r>
      <w:r>
        <w:t xml:space="preserve"> k.p.c. na stronę </w:t>
      </w:r>
      <w:r w:rsidR="00734F14">
        <w:t xml:space="preserve">powodową </w:t>
      </w:r>
      <w:r>
        <w:t xml:space="preserve">obowiązku dołączenia do pozwu </w:t>
      </w:r>
      <w:r w:rsidRPr="0004460F">
        <w:t>umowy zabezpieczonej wekslem wraz z załącznikami</w:t>
      </w:r>
      <w:r>
        <w:t xml:space="preserve">, jeżeli dłużnikiem jest </w:t>
      </w:r>
      <w:r w:rsidR="00E0647F">
        <w:t>konsument</w:t>
      </w:r>
      <w:r>
        <w:t xml:space="preserve">. </w:t>
      </w:r>
      <w:r w:rsidR="00E0647F">
        <w:t>Z uwagi na okoliczność</w:t>
      </w:r>
      <w:r>
        <w:t xml:space="preserve">, że </w:t>
      </w:r>
      <w:r w:rsidR="00B34F83">
        <w:t>niedozwolone klauzule mogą znajdować się nie tylko w samej umowie</w:t>
      </w:r>
      <w:r w:rsidR="00105345">
        <w:t>,</w:t>
      </w:r>
      <w:r w:rsidR="00B34F83">
        <w:t xml:space="preserve"> ale również w załącznikach, </w:t>
      </w:r>
      <w:r w:rsidR="00C65D68">
        <w:t>np.</w:t>
      </w:r>
      <w:r w:rsidR="00B34F83">
        <w:t xml:space="preserve"> deklaracj</w:t>
      </w:r>
      <w:r w:rsidR="002662BD">
        <w:t>i wekslowej</w:t>
      </w:r>
      <w:r w:rsidR="00B34F83">
        <w:t xml:space="preserve">, projekt przewiduje obowiązek dołączenia również załączników do umowy. </w:t>
      </w:r>
    </w:p>
    <w:p w14:paraId="695BFFB5" w14:textId="5706AF99" w:rsidR="00C855EF" w:rsidRPr="009D1103" w:rsidRDefault="00C855EF" w:rsidP="00C855EF">
      <w:pPr>
        <w:ind w:firstLine="708"/>
        <w:jc w:val="both"/>
        <w:rPr>
          <w:iCs/>
          <w:szCs w:val="24"/>
        </w:rPr>
      </w:pPr>
      <w:r>
        <w:rPr>
          <w:szCs w:val="24"/>
        </w:rPr>
        <w:t xml:space="preserve">Wyjaśnienia wymaga, że intencją </w:t>
      </w:r>
      <w:r w:rsidRPr="009D1103">
        <w:rPr>
          <w:szCs w:val="24"/>
        </w:rPr>
        <w:t>projektodawcy było udzielenie ochrony konsumentowi, pod którym to pojęciem rozumiany jest w orzecznictwie TSUE (por. postanowienie Trybunału z dnia 14 września 2016 r., C-534/15, Dumitraș, EU:C:2016:700), zarówno główny dłużnik, tj. strona umowy</w:t>
      </w:r>
      <w:r w:rsidR="00A0521B">
        <w:rPr>
          <w:szCs w:val="24"/>
        </w:rPr>
        <w:t xml:space="preserve"> zawartej z przedsiębiorcą</w:t>
      </w:r>
      <w:r w:rsidRPr="009D1103">
        <w:rPr>
          <w:i/>
          <w:szCs w:val="24"/>
        </w:rPr>
        <w:t xml:space="preserve">, </w:t>
      </w:r>
      <w:r w:rsidRPr="009D1103">
        <w:rPr>
          <w:iCs/>
          <w:szCs w:val="24"/>
        </w:rPr>
        <w:t xml:space="preserve">jak i  poręczyciel, o ile oczywiście ten drugi spełnia również funkcjonalne przesłanki uprawniające go do takiej kwalifikacji i ochrony (nie działał w związku z prowadzoną działalnością gospodarczą). </w:t>
      </w:r>
    </w:p>
    <w:p w14:paraId="10BC8D58" w14:textId="368B7805" w:rsidR="00734F14" w:rsidRDefault="00C855EF" w:rsidP="00B17DEB">
      <w:pPr>
        <w:ind w:firstLine="708"/>
        <w:jc w:val="both"/>
      </w:pPr>
      <w:r>
        <w:rPr>
          <w:iCs/>
        </w:rPr>
        <w:t>Projektowany przepis art. 485</w:t>
      </w:r>
      <w:r w:rsidR="00871E9C">
        <w:rPr>
          <w:iCs/>
        </w:rPr>
        <w:t xml:space="preserve"> </w:t>
      </w:r>
      <w:r w:rsidRPr="00D75DD9">
        <w:t>§ 2</w:t>
      </w:r>
      <w:r>
        <w:t xml:space="preserve"> k.p.c. </w:t>
      </w:r>
      <w:r>
        <w:rPr>
          <w:szCs w:val="24"/>
        </w:rPr>
        <w:t xml:space="preserve">posługując się </w:t>
      </w:r>
      <w:r>
        <w:t xml:space="preserve">pojęciem „dłużnik”, a nie „pozwany”, ma zatem zastosowanie w sprawie, gdy pozwanym jest strona umowy, jak i poręczyciel wekslowy. Słowo „dłużnik” nie jest w tym przypadku tożsame z „pozwanym”, a dotyczy przedmiotu sprawy, tj. określonej umowy i sytuacji, w której „dłużnikiem” (niekoniecznie pozwanym) jest konsument. </w:t>
      </w:r>
    </w:p>
    <w:p w14:paraId="6D1F592A" w14:textId="42BC4502" w:rsidR="003279F7" w:rsidRPr="00734F14" w:rsidRDefault="00905031" w:rsidP="002116BE">
      <w:pPr>
        <w:ind w:firstLine="708"/>
        <w:jc w:val="both"/>
      </w:pPr>
      <w:r w:rsidRPr="001C6C8F">
        <w:rPr>
          <w:rFonts w:cs="Times New Roman"/>
        </w:rPr>
        <w:t xml:space="preserve">Obowiązek nałożony w </w:t>
      </w:r>
      <w:r w:rsidRPr="001C6C8F">
        <w:rPr>
          <w:rFonts w:eastAsia="Times New Roman" w:cs="Times New Roman"/>
          <w:szCs w:val="24"/>
        </w:rPr>
        <w:t xml:space="preserve">art. 485 § 2 </w:t>
      </w:r>
      <w:r w:rsidR="00FA1235" w:rsidRPr="001C6C8F">
        <w:rPr>
          <w:rFonts w:eastAsia="Times New Roman" w:cs="Times New Roman"/>
          <w:szCs w:val="24"/>
        </w:rPr>
        <w:t xml:space="preserve">zd. </w:t>
      </w:r>
      <w:r w:rsidR="005B1EAD" w:rsidRPr="001C6C8F">
        <w:rPr>
          <w:rFonts w:eastAsia="Times New Roman" w:cs="Times New Roman"/>
          <w:szCs w:val="24"/>
        </w:rPr>
        <w:t>3</w:t>
      </w:r>
      <w:r w:rsidR="00FA1235" w:rsidRPr="001C6C8F">
        <w:rPr>
          <w:rFonts w:eastAsia="Times New Roman" w:cs="Times New Roman"/>
          <w:szCs w:val="24"/>
        </w:rPr>
        <w:t xml:space="preserve"> </w:t>
      </w:r>
      <w:r w:rsidRPr="001C6C8F">
        <w:rPr>
          <w:rFonts w:eastAsia="Times New Roman" w:cs="Times New Roman"/>
          <w:szCs w:val="24"/>
        </w:rPr>
        <w:t>k.p.c. na stronę powodową umożliwi sądowi badanie</w:t>
      </w:r>
      <w:r w:rsidR="003279F7" w:rsidRPr="001C6C8F">
        <w:rPr>
          <w:rFonts w:eastAsia="Times New Roman" w:cs="Times New Roman"/>
          <w:szCs w:val="24"/>
        </w:rPr>
        <w:t xml:space="preserve"> </w:t>
      </w:r>
      <w:r w:rsidR="005B1EAD" w:rsidRPr="001C6C8F">
        <w:rPr>
          <w:rFonts w:eastAsia="Times New Roman" w:cs="Times New Roman"/>
          <w:szCs w:val="24"/>
        </w:rPr>
        <w:t xml:space="preserve">zawartej z konsumentem </w:t>
      </w:r>
      <w:r w:rsidR="003279F7" w:rsidRPr="001C6C8F">
        <w:rPr>
          <w:rFonts w:eastAsia="Times New Roman" w:cs="Times New Roman"/>
          <w:szCs w:val="24"/>
        </w:rPr>
        <w:t>umowy zabezpieczonej wekslem pod kątem</w:t>
      </w:r>
      <w:r w:rsidR="00942D18" w:rsidRPr="001C6C8F">
        <w:rPr>
          <w:rFonts w:eastAsia="Times New Roman" w:cs="Times New Roman"/>
          <w:szCs w:val="24"/>
        </w:rPr>
        <w:t xml:space="preserve"> </w:t>
      </w:r>
      <w:r w:rsidR="001E2D57" w:rsidRPr="001C6C8F">
        <w:rPr>
          <w:rFonts w:eastAsia="Times New Roman" w:cs="Times New Roman"/>
          <w:szCs w:val="24"/>
        </w:rPr>
        <w:t>występowania</w:t>
      </w:r>
      <w:r w:rsidR="00942D18" w:rsidRPr="001C6C8F">
        <w:rPr>
          <w:rFonts w:eastAsia="Times New Roman" w:cs="Times New Roman"/>
          <w:szCs w:val="24"/>
        </w:rPr>
        <w:t xml:space="preserve"> w niej</w:t>
      </w:r>
      <w:r w:rsidR="003279F7" w:rsidRPr="001C6C8F">
        <w:rPr>
          <w:rFonts w:eastAsia="Times New Roman" w:cs="Times New Roman"/>
          <w:szCs w:val="24"/>
        </w:rPr>
        <w:t xml:space="preserve"> klauzul </w:t>
      </w:r>
      <w:r w:rsidR="001E2D57" w:rsidRPr="001C6C8F">
        <w:rPr>
          <w:rFonts w:eastAsia="Times New Roman" w:cs="Times New Roman"/>
          <w:szCs w:val="24"/>
        </w:rPr>
        <w:t>niedozwolonych</w:t>
      </w:r>
      <w:r w:rsidR="003279F7" w:rsidRPr="001C6C8F">
        <w:rPr>
          <w:rFonts w:eastAsia="Times New Roman" w:cs="Times New Roman"/>
          <w:szCs w:val="24"/>
        </w:rPr>
        <w:t>. Jednocześnie</w:t>
      </w:r>
      <w:r w:rsidR="00105345" w:rsidRPr="001C6C8F">
        <w:rPr>
          <w:rFonts w:eastAsia="Times New Roman" w:cs="Times New Roman"/>
          <w:szCs w:val="24"/>
        </w:rPr>
        <w:t>,</w:t>
      </w:r>
      <w:r w:rsidR="003279F7" w:rsidRPr="001C6C8F">
        <w:rPr>
          <w:rFonts w:eastAsia="Times New Roman" w:cs="Times New Roman"/>
          <w:szCs w:val="24"/>
        </w:rPr>
        <w:t xml:space="preserve"> niedołączenie przez powoda umowy, do której znajduje zastosowanie </w:t>
      </w:r>
      <w:r w:rsidR="005B1EAD" w:rsidRPr="001C6C8F">
        <w:rPr>
          <w:rFonts w:cs="Times New Roman"/>
        </w:rPr>
        <w:t>ww. przepis</w:t>
      </w:r>
      <w:r w:rsidR="003279F7" w:rsidRPr="001C6C8F">
        <w:rPr>
          <w:rFonts w:cs="Times New Roman"/>
        </w:rPr>
        <w:t>, skutkować będzie brakiem możliwości wydania nakazu zapłaty w postępowaniu nakazowym</w:t>
      </w:r>
      <w:r w:rsidR="003279F7" w:rsidRPr="00734F14">
        <w:t xml:space="preserve"> oraz skierowanie</w:t>
      </w:r>
      <w:r w:rsidR="00765344">
        <w:t>m</w:t>
      </w:r>
      <w:r w:rsidR="003279F7" w:rsidRPr="00734F14">
        <w:t xml:space="preserve"> sprawy do rozpoznania w procesie z udziałem pozwanego.</w:t>
      </w:r>
    </w:p>
    <w:p w14:paraId="66AC8735" w14:textId="6A4EB991" w:rsidR="00215B0D" w:rsidRPr="001C6C8F" w:rsidRDefault="00FA1235" w:rsidP="002116BE">
      <w:pPr>
        <w:ind w:firstLine="708"/>
        <w:jc w:val="both"/>
        <w:rPr>
          <w:rFonts w:eastAsia="Times New Roman" w:cs="Times New Roman"/>
          <w:szCs w:val="24"/>
        </w:rPr>
      </w:pPr>
      <w:r w:rsidRPr="001C6C8F">
        <w:rPr>
          <w:rFonts w:cs="Times New Roman"/>
        </w:rPr>
        <w:lastRenderedPageBreak/>
        <w:t xml:space="preserve">W celu </w:t>
      </w:r>
      <w:r w:rsidR="00C91A6A" w:rsidRPr="001C6C8F">
        <w:rPr>
          <w:rFonts w:cs="Times New Roman"/>
        </w:rPr>
        <w:t xml:space="preserve">zapewnienia </w:t>
      </w:r>
      <w:r w:rsidRPr="001C6C8F">
        <w:rPr>
          <w:rFonts w:cs="Times New Roman"/>
        </w:rPr>
        <w:t>sprawniejszego</w:t>
      </w:r>
      <w:r w:rsidR="00AC292B" w:rsidRPr="001C6C8F">
        <w:rPr>
          <w:rFonts w:cs="Times New Roman"/>
        </w:rPr>
        <w:t xml:space="preserve"> i prawidłowego</w:t>
      </w:r>
      <w:r w:rsidRPr="001C6C8F">
        <w:rPr>
          <w:rFonts w:cs="Times New Roman"/>
        </w:rPr>
        <w:t xml:space="preserve"> procedowania w związku z wprowadzanym </w:t>
      </w:r>
      <w:r w:rsidR="00215B0D" w:rsidRPr="001C6C8F">
        <w:rPr>
          <w:rFonts w:cs="Times New Roman"/>
        </w:rPr>
        <w:t>obowiązkiem</w:t>
      </w:r>
      <w:r w:rsidRPr="001C6C8F">
        <w:rPr>
          <w:rFonts w:cs="Times New Roman"/>
        </w:rPr>
        <w:t xml:space="preserve"> </w:t>
      </w:r>
      <w:r w:rsidR="001E2D57" w:rsidRPr="001C6C8F">
        <w:rPr>
          <w:rFonts w:cs="Times New Roman"/>
        </w:rPr>
        <w:t>dołączenia umowy</w:t>
      </w:r>
      <w:r w:rsidR="00C91A6A" w:rsidRPr="001C6C8F">
        <w:rPr>
          <w:rFonts w:cs="Times New Roman"/>
        </w:rPr>
        <w:t>,</w:t>
      </w:r>
      <w:r w:rsidRPr="001C6C8F">
        <w:rPr>
          <w:rFonts w:eastAsia="Times New Roman" w:cs="Times New Roman"/>
          <w:szCs w:val="24"/>
        </w:rPr>
        <w:t xml:space="preserve"> </w:t>
      </w:r>
      <w:r w:rsidR="001E2D57" w:rsidRPr="001C6C8F">
        <w:rPr>
          <w:rFonts w:cs="Times New Roman"/>
        </w:rPr>
        <w:t>w projektowanym</w:t>
      </w:r>
      <w:r w:rsidRPr="001C6C8F">
        <w:rPr>
          <w:rFonts w:cs="Times New Roman"/>
        </w:rPr>
        <w:t xml:space="preserve"> </w:t>
      </w:r>
      <w:r w:rsidRPr="001C6C8F">
        <w:rPr>
          <w:rFonts w:eastAsia="Times New Roman" w:cs="Times New Roman"/>
          <w:szCs w:val="24"/>
        </w:rPr>
        <w:t xml:space="preserve">art. 485 § 2 zd. </w:t>
      </w:r>
      <w:r w:rsidR="005B1EAD" w:rsidRPr="001C6C8F">
        <w:rPr>
          <w:rFonts w:eastAsia="Times New Roman" w:cs="Times New Roman"/>
          <w:szCs w:val="24"/>
        </w:rPr>
        <w:t>4</w:t>
      </w:r>
      <w:r w:rsidRPr="001C6C8F">
        <w:rPr>
          <w:rFonts w:eastAsia="Times New Roman" w:cs="Times New Roman"/>
          <w:szCs w:val="24"/>
        </w:rPr>
        <w:t xml:space="preserve"> k.p.c.</w:t>
      </w:r>
      <w:r w:rsidR="00C91A6A" w:rsidRPr="001C6C8F">
        <w:rPr>
          <w:rFonts w:eastAsia="Times New Roman" w:cs="Times New Roman"/>
          <w:szCs w:val="24"/>
        </w:rPr>
        <w:t xml:space="preserve"> zakłada się</w:t>
      </w:r>
      <w:r w:rsidR="005B1EAD" w:rsidRPr="001C6C8F">
        <w:rPr>
          <w:rFonts w:eastAsia="Times New Roman" w:cs="Times New Roman"/>
          <w:szCs w:val="24"/>
        </w:rPr>
        <w:t>, w przypadku nieprzedstawienia wraz z pozwem umowy zabezpieczonej wekslem wraz z załącznikami,</w:t>
      </w:r>
      <w:r w:rsidR="003279F7" w:rsidRPr="001C6C8F">
        <w:rPr>
          <w:rFonts w:cs="Times New Roman"/>
        </w:rPr>
        <w:t xml:space="preserve"> konieczność </w:t>
      </w:r>
      <w:r w:rsidRPr="001C6C8F">
        <w:rPr>
          <w:rFonts w:cs="Times New Roman"/>
        </w:rPr>
        <w:t xml:space="preserve">złożenia przez </w:t>
      </w:r>
      <w:r w:rsidR="005E0135" w:rsidRPr="001C6C8F">
        <w:rPr>
          <w:rFonts w:cs="Times New Roman"/>
        </w:rPr>
        <w:t>stronę powodową</w:t>
      </w:r>
      <w:r w:rsidRPr="001C6C8F">
        <w:rPr>
          <w:rFonts w:cs="Times New Roman"/>
        </w:rPr>
        <w:t xml:space="preserve"> oświadczenia o tym czy roszczenie dochodzone pozwem przeciwko dłużnikowi, będącemu osobą fizyczną, powstało związku z umową</w:t>
      </w:r>
      <w:r w:rsidR="005B1EAD" w:rsidRPr="001C6C8F">
        <w:rPr>
          <w:rFonts w:cs="Times New Roman"/>
        </w:rPr>
        <w:t xml:space="preserve"> zawartą z konsumentem</w:t>
      </w:r>
      <w:r w:rsidRPr="001C6C8F">
        <w:rPr>
          <w:rFonts w:cs="Times New Roman"/>
        </w:rPr>
        <w:t>.</w:t>
      </w:r>
      <w:r w:rsidR="00215B0D" w:rsidRPr="001C6C8F">
        <w:rPr>
          <w:rFonts w:cs="Times New Roman"/>
        </w:rPr>
        <w:t xml:space="preserve"> Zgodnie z brzmieniem projektowanego art. </w:t>
      </w:r>
      <w:r w:rsidR="00215B0D" w:rsidRPr="001C6C8F">
        <w:rPr>
          <w:rFonts w:eastAsia="Times New Roman" w:cs="Times New Roman"/>
          <w:szCs w:val="24"/>
        </w:rPr>
        <w:t xml:space="preserve">485 § </w:t>
      </w:r>
      <w:r w:rsidR="00E00CA9" w:rsidRPr="001C6C8F">
        <w:rPr>
          <w:rFonts w:eastAsia="Times New Roman" w:cs="Times New Roman"/>
          <w:szCs w:val="24"/>
        </w:rPr>
        <w:t>4</w:t>
      </w:r>
      <w:r w:rsidR="00215B0D" w:rsidRPr="001C6C8F">
        <w:rPr>
          <w:rFonts w:eastAsia="Times New Roman" w:cs="Times New Roman"/>
          <w:szCs w:val="24"/>
        </w:rPr>
        <w:t xml:space="preserve"> k.p.c., </w:t>
      </w:r>
      <w:r w:rsidR="004D5004" w:rsidRPr="001C6C8F">
        <w:rPr>
          <w:rFonts w:eastAsia="Times New Roman" w:cs="Times New Roman"/>
          <w:szCs w:val="24"/>
        </w:rPr>
        <w:t xml:space="preserve">niezamieszczenie w pozwie </w:t>
      </w:r>
      <w:r w:rsidR="00215B0D" w:rsidRPr="001C6C8F">
        <w:rPr>
          <w:rFonts w:eastAsia="Times New Roman" w:cs="Times New Roman"/>
          <w:szCs w:val="24"/>
        </w:rPr>
        <w:t xml:space="preserve">oświadczenia o którym mowa w art. 485 § 2 zd. </w:t>
      </w:r>
      <w:r w:rsidR="005B1EAD" w:rsidRPr="001C6C8F">
        <w:rPr>
          <w:rFonts w:eastAsia="Times New Roman" w:cs="Times New Roman"/>
          <w:szCs w:val="24"/>
        </w:rPr>
        <w:t>4</w:t>
      </w:r>
      <w:r w:rsidR="00215B0D" w:rsidRPr="001C6C8F">
        <w:rPr>
          <w:rFonts w:eastAsia="Times New Roman" w:cs="Times New Roman"/>
          <w:szCs w:val="24"/>
        </w:rPr>
        <w:t xml:space="preserve"> k.p.c. stanowić będzie brak formalny pozwu, do którego uzupełnienia zastosowanie znajdzie art. 130 k.p.c. Wobec czego, w przypadku nieuzupełnienia na wezwanie przewodniczącego przez powoda braku </w:t>
      </w:r>
      <w:r w:rsidR="0041092C" w:rsidRPr="001C6C8F">
        <w:rPr>
          <w:rFonts w:eastAsia="Times New Roman" w:cs="Times New Roman"/>
          <w:szCs w:val="24"/>
        </w:rPr>
        <w:t xml:space="preserve">ww. </w:t>
      </w:r>
      <w:r w:rsidR="00215B0D" w:rsidRPr="001C6C8F">
        <w:rPr>
          <w:rFonts w:eastAsia="Times New Roman" w:cs="Times New Roman"/>
          <w:szCs w:val="24"/>
        </w:rPr>
        <w:t>oświadczenia pozew podlegać będzie zwrotowi.</w:t>
      </w:r>
    </w:p>
    <w:p w14:paraId="03CBEC47" w14:textId="16A2D342" w:rsidR="00E51250" w:rsidRPr="001C6C8F" w:rsidRDefault="00E51250" w:rsidP="00E51250">
      <w:pPr>
        <w:ind w:firstLine="708"/>
        <w:jc w:val="both"/>
        <w:rPr>
          <w:rFonts w:cs="Times New Roman"/>
        </w:rPr>
      </w:pPr>
      <w:r w:rsidRPr="001C6C8F">
        <w:rPr>
          <w:rFonts w:cs="Times New Roman"/>
        </w:rPr>
        <w:t xml:space="preserve">Złożenie oświadczenia, o którym mowa w projektowanym art. </w:t>
      </w:r>
      <w:r w:rsidRPr="001C6C8F">
        <w:rPr>
          <w:rFonts w:eastAsia="Times New Roman" w:cs="Times New Roman"/>
          <w:szCs w:val="24"/>
        </w:rPr>
        <w:t xml:space="preserve">485 § 2 zd. </w:t>
      </w:r>
      <w:r w:rsidR="004D5004" w:rsidRPr="001C6C8F">
        <w:rPr>
          <w:rFonts w:eastAsia="Times New Roman" w:cs="Times New Roman"/>
          <w:szCs w:val="24"/>
        </w:rPr>
        <w:t>4</w:t>
      </w:r>
      <w:r w:rsidRPr="001C6C8F">
        <w:rPr>
          <w:rFonts w:eastAsia="Times New Roman" w:cs="Times New Roman"/>
          <w:szCs w:val="24"/>
        </w:rPr>
        <w:t xml:space="preserve"> k.p.c. nie zwalnia jednak sądu od </w:t>
      </w:r>
      <w:r w:rsidRPr="001C6C8F">
        <w:rPr>
          <w:rFonts w:cs="Times New Roman"/>
        </w:rPr>
        <w:t xml:space="preserve">czynienia każdorazowo ustaleń czy roszczenie dochodzone pozwem skierowane zostało przeciwko konsumentowi. </w:t>
      </w:r>
    </w:p>
    <w:p w14:paraId="4134021C" w14:textId="5020FC5B" w:rsidR="00E51250" w:rsidRPr="001C6C8F" w:rsidRDefault="00E51250" w:rsidP="00E51250">
      <w:pPr>
        <w:ind w:firstLine="708"/>
        <w:jc w:val="both"/>
        <w:rPr>
          <w:rFonts w:cs="Times New Roman"/>
        </w:rPr>
      </w:pPr>
      <w:r>
        <w:t>J</w:t>
      </w:r>
      <w:r w:rsidRPr="00734F14">
        <w:t xml:space="preserve">uż w obecnym stanie prawnym, w związku z treścią art. 117 </w:t>
      </w:r>
      <w:r w:rsidRPr="00734F14">
        <w:rPr>
          <w:rFonts w:cs="Times New Roman"/>
        </w:rPr>
        <w:t>§</w:t>
      </w:r>
      <w:r w:rsidRPr="00734F14">
        <w:t xml:space="preserve"> 2</w:t>
      </w:r>
      <w:r w:rsidRPr="00734F14">
        <w:rPr>
          <w:vertAlign w:val="superscript"/>
        </w:rPr>
        <w:t>1</w:t>
      </w:r>
      <w:r w:rsidRPr="00734F14">
        <w:t xml:space="preserve"> k.c., </w:t>
      </w:r>
      <w:r>
        <w:t xml:space="preserve">sąd </w:t>
      </w:r>
      <w:r w:rsidRPr="00734F14">
        <w:t>zobowiązany jest niejednok</w:t>
      </w:r>
      <w:r>
        <w:t>rotnie do ustalenia czy pozwana</w:t>
      </w:r>
      <w:r w:rsidRPr="00734F14">
        <w:t xml:space="preserve"> w sprawie</w:t>
      </w:r>
      <w:r>
        <w:t xml:space="preserve"> osoba fizyczna</w:t>
      </w:r>
      <w:r w:rsidRPr="00734F14">
        <w:t xml:space="preserve"> jest konsument</w:t>
      </w:r>
      <w:r>
        <w:t>em</w:t>
      </w:r>
      <w:r w:rsidRPr="00734F14">
        <w:t xml:space="preserve">. </w:t>
      </w:r>
      <w:r>
        <w:t xml:space="preserve">Z </w:t>
      </w:r>
      <w:r w:rsidRPr="001C6C8F">
        <w:rPr>
          <w:rFonts w:cs="Times New Roman"/>
        </w:rPr>
        <w:t xml:space="preserve">drugiej strony </w:t>
      </w:r>
      <w:r w:rsidR="004D5004" w:rsidRPr="001C6C8F">
        <w:rPr>
          <w:rFonts w:cs="Times New Roman"/>
        </w:rPr>
        <w:t xml:space="preserve">zawarte w pozwie w postępowaniu nakazowym z weksla </w:t>
      </w:r>
      <w:r w:rsidRPr="001C6C8F">
        <w:rPr>
          <w:rFonts w:cs="Times New Roman"/>
        </w:rPr>
        <w:t>oświadczenie powoda w tym zakresie w wielu przypadkach może przyczynić się do przyspieszenia procedowania i usunięciu wątpliwości co</w:t>
      </w:r>
      <w:r w:rsidR="00E00CA9" w:rsidRPr="001C6C8F">
        <w:rPr>
          <w:rFonts w:cs="Times New Roman"/>
        </w:rPr>
        <w:t xml:space="preserve"> do</w:t>
      </w:r>
      <w:r w:rsidRPr="001C6C8F">
        <w:rPr>
          <w:rFonts w:cs="Times New Roman"/>
        </w:rPr>
        <w:t xml:space="preserve"> zakwalifikowania danego pozwanego jako konsumenta.</w:t>
      </w:r>
    </w:p>
    <w:p w14:paraId="0341CD5C" w14:textId="5AFE74DD" w:rsidR="00FA1235" w:rsidRPr="001C6C8F" w:rsidRDefault="009A4088" w:rsidP="002116BE">
      <w:pPr>
        <w:ind w:firstLine="708"/>
        <w:jc w:val="both"/>
        <w:rPr>
          <w:rFonts w:cs="Times New Roman"/>
        </w:rPr>
      </w:pPr>
      <w:r w:rsidRPr="001C6C8F">
        <w:rPr>
          <w:rFonts w:eastAsia="Times New Roman" w:cs="Times New Roman"/>
          <w:szCs w:val="24"/>
        </w:rPr>
        <w:t xml:space="preserve">W celu zapewnienia prawdziwości i rzetelności składanych przez </w:t>
      </w:r>
      <w:r w:rsidR="00E51250" w:rsidRPr="001C6C8F">
        <w:rPr>
          <w:rFonts w:eastAsia="Times New Roman" w:cs="Times New Roman"/>
          <w:szCs w:val="24"/>
        </w:rPr>
        <w:t>stronę</w:t>
      </w:r>
      <w:r w:rsidRPr="001C6C8F">
        <w:rPr>
          <w:rFonts w:eastAsia="Times New Roman" w:cs="Times New Roman"/>
          <w:szCs w:val="24"/>
        </w:rPr>
        <w:t xml:space="preserve"> oświadczeń, o których mowa w projektowanym </w:t>
      </w:r>
      <w:r w:rsidRPr="001C6C8F">
        <w:rPr>
          <w:rFonts w:cs="Times New Roman"/>
        </w:rPr>
        <w:t xml:space="preserve">art. </w:t>
      </w:r>
      <w:r w:rsidRPr="001C6C8F">
        <w:rPr>
          <w:rFonts w:eastAsia="Times New Roman" w:cs="Times New Roman"/>
          <w:szCs w:val="24"/>
        </w:rPr>
        <w:t xml:space="preserve">485 § 2 zd. </w:t>
      </w:r>
      <w:r w:rsidR="00271FA7" w:rsidRPr="001C6C8F">
        <w:rPr>
          <w:rFonts w:eastAsia="Times New Roman" w:cs="Times New Roman"/>
          <w:szCs w:val="24"/>
        </w:rPr>
        <w:t>4</w:t>
      </w:r>
      <w:r w:rsidRPr="001C6C8F">
        <w:rPr>
          <w:rFonts w:eastAsia="Times New Roman" w:cs="Times New Roman"/>
          <w:szCs w:val="24"/>
        </w:rPr>
        <w:t xml:space="preserve"> k.p.c.</w:t>
      </w:r>
      <w:r w:rsidR="005E0135" w:rsidRPr="001C6C8F">
        <w:rPr>
          <w:rFonts w:eastAsia="Times New Roman" w:cs="Times New Roman"/>
          <w:szCs w:val="24"/>
        </w:rPr>
        <w:t>,</w:t>
      </w:r>
      <w:r w:rsidRPr="001C6C8F">
        <w:rPr>
          <w:rFonts w:eastAsia="Times New Roman" w:cs="Times New Roman"/>
          <w:szCs w:val="24"/>
        </w:rPr>
        <w:t xml:space="preserve"> w art. 1 pkt </w:t>
      </w:r>
      <w:r w:rsidR="00DD4DB7">
        <w:rPr>
          <w:rFonts w:eastAsia="Times New Roman" w:cs="Times New Roman"/>
          <w:szCs w:val="24"/>
        </w:rPr>
        <w:t>4 lit. c</w:t>
      </w:r>
      <w:r w:rsidR="002A780E">
        <w:rPr>
          <w:rFonts w:eastAsia="Times New Roman" w:cs="Times New Roman"/>
          <w:szCs w:val="24"/>
        </w:rPr>
        <w:t>)</w:t>
      </w:r>
      <w:r w:rsidR="00DD4DB7" w:rsidRPr="001C6C8F">
        <w:rPr>
          <w:rFonts w:eastAsia="Times New Roman" w:cs="Times New Roman"/>
          <w:szCs w:val="24"/>
        </w:rPr>
        <w:t xml:space="preserve"> </w:t>
      </w:r>
      <w:r w:rsidRPr="001C6C8F">
        <w:rPr>
          <w:rFonts w:eastAsia="Times New Roman" w:cs="Times New Roman"/>
          <w:szCs w:val="24"/>
        </w:rPr>
        <w:t xml:space="preserve">ustawy nowelizującej (projektowany art. 485 § </w:t>
      </w:r>
      <w:r w:rsidR="00E00CA9" w:rsidRPr="001C6C8F">
        <w:rPr>
          <w:rFonts w:eastAsia="Times New Roman" w:cs="Times New Roman"/>
          <w:szCs w:val="24"/>
        </w:rPr>
        <w:t>5</w:t>
      </w:r>
      <w:r w:rsidRPr="001C6C8F">
        <w:rPr>
          <w:rFonts w:eastAsia="Times New Roman" w:cs="Times New Roman"/>
          <w:szCs w:val="24"/>
        </w:rPr>
        <w:t xml:space="preserve"> k.p.c.), przewidziano</w:t>
      </w:r>
      <w:r w:rsidR="004E7AEB" w:rsidRPr="001C6C8F">
        <w:rPr>
          <w:rFonts w:eastAsia="Times New Roman" w:cs="Times New Roman"/>
          <w:szCs w:val="24"/>
        </w:rPr>
        <w:t>,</w:t>
      </w:r>
      <w:r w:rsidRPr="001C6C8F">
        <w:rPr>
          <w:rFonts w:eastAsia="Times New Roman" w:cs="Times New Roman"/>
          <w:szCs w:val="24"/>
        </w:rPr>
        <w:t xml:space="preserve"> że złożenie </w:t>
      </w:r>
      <w:r w:rsidRPr="001C6C8F">
        <w:rPr>
          <w:rFonts w:cs="Times New Roman"/>
        </w:rPr>
        <w:t>niezgodne</w:t>
      </w:r>
      <w:r w:rsidR="00B12D3E" w:rsidRPr="001C6C8F">
        <w:rPr>
          <w:rFonts w:cs="Times New Roman"/>
        </w:rPr>
        <w:t>go z prawdą oświadczenia</w:t>
      </w:r>
      <w:r w:rsidRPr="001C6C8F">
        <w:rPr>
          <w:rFonts w:cs="Times New Roman"/>
        </w:rPr>
        <w:t xml:space="preserve">, o którym mowa w projektowanym art. 485 § 2 zdaniu </w:t>
      </w:r>
      <w:r w:rsidR="00271FA7" w:rsidRPr="001C6C8F">
        <w:rPr>
          <w:rFonts w:cs="Times New Roman"/>
        </w:rPr>
        <w:t>czwartym</w:t>
      </w:r>
      <w:r w:rsidRPr="001C6C8F">
        <w:rPr>
          <w:rFonts w:cs="Times New Roman"/>
        </w:rPr>
        <w:t>, iż roszczenie dochodzone pozwem nie powstało związku z umową</w:t>
      </w:r>
      <w:r w:rsidR="00271FA7" w:rsidRPr="001C6C8F">
        <w:rPr>
          <w:rFonts w:cs="Times New Roman"/>
        </w:rPr>
        <w:t xml:space="preserve"> zawartą z konsumentem</w:t>
      </w:r>
      <w:r w:rsidRPr="001C6C8F">
        <w:rPr>
          <w:rFonts w:cs="Times New Roman"/>
        </w:rPr>
        <w:t>, będzie dawało możliwość sądowi skazania powoda, jego przedstawiciela ustawowego lub pełnomocnika, który w złej wierze lub wskutek niezachowania należytej staranności złożył takie oświadczenie, na grzywnę do kwoty</w:t>
      </w:r>
      <w:r w:rsidR="007B61C9" w:rsidRPr="001C6C8F">
        <w:rPr>
          <w:rFonts w:cs="Times New Roman"/>
        </w:rPr>
        <w:t xml:space="preserve"> </w:t>
      </w:r>
      <w:r w:rsidR="00377E4C" w:rsidRPr="001C6C8F">
        <w:rPr>
          <w:rFonts w:cs="Times New Roman"/>
        </w:rPr>
        <w:t>3</w:t>
      </w:r>
      <w:r w:rsidR="007B61C9" w:rsidRPr="001C6C8F">
        <w:rPr>
          <w:rFonts w:cs="Times New Roman"/>
        </w:rPr>
        <w:t> 000 zł</w:t>
      </w:r>
      <w:r w:rsidR="00377E4C" w:rsidRPr="001C6C8F">
        <w:rPr>
          <w:rFonts w:cs="Times New Roman"/>
        </w:rPr>
        <w:t>, zgodnie z art. 163 § 1 zd. 1 k.p.c</w:t>
      </w:r>
      <w:r w:rsidR="007B61C9" w:rsidRPr="001C6C8F">
        <w:rPr>
          <w:rFonts w:cs="Times New Roman"/>
        </w:rPr>
        <w:t>.</w:t>
      </w:r>
    </w:p>
    <w:p w14:paraId="0E6FE617" w14:textId="77777777" w:rsidR="00F267BF" w:rsidRDefault="00F267BF" w:rsidP="002116BE">
      <w:pPr>
        <w:ind w:firstLine="708"/>
        <w:jc w:val="both"/>
      </w:pPr>
      <w:r>
        <w:t xml:space="preserve">Umożliwienie sądowi </w:t>
      </w:r>
      <w:r w:rsidR="00E51250">
        <w:t>skazania na grzywnę</w:t>
      </w:r>
      <w:r>
        <w:t xml:space="preserve"> nielojalnie postępującą stronę powodową nie tylko powinno doprowadzić do zapewnienia prawdziwości składanych oświadczeń</w:t>
      </w:r>
      <w:r w:rsidR="00E51250">
        <w:t>,</w:t>
      </w:r>
      <w:r>
        <w:t xml:space="preserve"> ale w konsekwencji </w:t>
      </w:r>
      <w:r w:rsidR="00961DA9">
        <w:t>również</w:t>
      </w:r>
      <w:r>
        <w:t xml:space="preserve"> przyczynić się do prawidłowego rozpoznania sprawy</w:t>
      </w:r>
      <w:r w:rsidR="00961DA9">
        <w:t xml:space="preserve"> i zapewnienia należytej ochrony praw pozwanych konsumentów.</w:t>
      </w:r>
      <w:r>
        <w:t xml:space="preserve"> </w:t>
      </w:r>
    </w:p>
    <w:p w14:paraId="3E62AA3B" w14:textId="77777777" w:rsidR="00AE265F" w:rsidRDefault="00377E4C" w:rsidP="002116BE">
      <w:pPr>
        <w:ind w:firstLine="708"/>
        <w:jc w:val="both"/>
      </w:pPr>
      <w:r>
        <w:t>Powyższa projektowana zmiana umożliwi również skazywani</w:t>
      </w:r>
      <w:r w:rsidR="00C32377">
        <w:t>e</w:t>
      </w:r>
      <w:r>
        <w:t xml:space="preserve"> na grzywny przez referendarzy sądowych, co będzie stanowiło kolejne rozszerzenie ich kompetencji na etapie postępowania nakazowego, po dopuszczeniu ich do orzekania w tych sprawach </w:t>
      </w:r>
      <w:r w:rsidR="00CA7584">
        <w:t>u</w:t>
      </w:r>
      <w:r w:rsidR="00CA7584" w:rsidRPr="00CA7584">
        <w:t>staw</w:t>
      </w:r>
      <w:r w:rsidR="008E7248">
        <w:t>ą</w:t>
      </w:r>
      <w:r w:rsidR="00CA7584" w:rsidRPr="00CA7584">
        <w:t xml:space="preserve"> z dnia 4 lipca 2019 r. </w:t>
      </w:r>
      <w:r w:rsidR="00CA7584" w:rsidRPr="00CA7584">
        <w:rPr>
          <w:i/>
        </w:rPr>
        <w:t xml:space="preserve">o zmianie ustawy - Kodeks postępowania cywilnego oraz niektórych innych </w:t>
      </w:r>
      <w:r w:rsidR="00CA7584" w:rsidRPr="00CA7584">
        <w:rPr>
          <w:i/>
        </w:rPr>
        <w:lastRenderedPageBreak/>
        <w:t>ustaw</w:t>
      </w:r>
      <w:r w:rsidR="00CA7584" w:rsidRPr="00CA7584">
        <w:t xml:space="preserve"> (Dz. U. poz. 1469 z późn. zm.).</w:t>
      </w:r>
    </w:p>
    <w:p w14:paraId="6A295CF1" w14:textId="760328D0" w:rsidR="00AE265F" w:rsidRDefault="00AE265F" w:rsidP="00AE265F">
      <w:pPr>
        <w:ind w:firstLine="708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W tym miejscu należy zauważyć, że uprawnienie do skazywania na grzywny tego samego kręgu podmiotów przez referendarzy sądowych przewiduje art. 505</w:t>
      </w:r>
      <w:r>
        <w:rPr>
          <w:rFonts w:cs="Times New Roman"/>
          <w:color w:val="000000" w:themeColor="text1"/>
          <w:szCs w:val="24"/>
          <w:vertAlign w:val="superscript"/>
        </w:rPr>
        <w:t xml:space="preserve">32 </w:t>
      </w:r>
      <w:r>
        <w:rPr>
          <w:rFonts w:cs="Times New Roman"/>
          <w:color w:val="000000" w:themeColor="text1"/>
          <w:szCs w:val="24"/>
        </w:rPr>
        <w:t>§ 3 k.p.c. Z brzmienia powyższego przepisu w zw. z art. 505</w:t>
      </w:r>
      <w:r>
        <w:rPr>
          <w:rFonts w:cs="Times New Roman"/>
          <w:color w:val="000000" w:themeColor="text1"/>
          <w:szCs w:val="24"/>
          <w:vertAlign w:val="superscript"/>
        </w:rPr>
        <w:t>28</w:t>
      </w:r>
      <w:r>
        <w:rPr>
          <w:rFonts w:cs="Times New Roman"/>
          <w:color w:val="000000" w:themeColor="text1"/>
          <w:szCs w:val="24"/>
        </w:rPr>
        <w:t xml:space="preserve"> § 1 k.p.c. w zw. z art. 480</w:t>
      </w:r>
      <w:r>
        <w:rPr>
          <w:rFonts w:cs="Times New Roman"/>
          <w:color w:val="000000" w:themeColor="text1"/>
          <w:szCs w:val="24"/>
          <w:vertAlign w:val="superscript"/>
        </w:rPr>
        <w:t>4</w:t>
      </w:r>
      <w:r>
        <w:rPr>
          <w:rFonts w:cs="Times New Roman"/>
          <w:color w:val="000000" w:themeColor="text1"/>
          <w:szCs w:val="24"/>
        </w:rPr>
        <w:t xml:space="preserve"> § 2 k.p.c. wynika, że w elektronicznym postępowaniu upominawczym referendarz sądowy może dokonywać wszystkich czynności w sprawie, z wyłączeniem prowadzenia rozprawy i wydania wyroku. Wobec tego, już obecnie ustawodawca na podstawie art. 505</w:t>
      </w:r>
      <w:r>
        <w:rPr>
          <w:rFonts w:cs="Times New Roman"/>
          <w:color w:val="000000" w:themeColor="text1"/>
          <w:szCs w:val="24"/>
          <w:vertAlign w:val="superscript"/>
        </w:rPr>
        <w:t xml:space="preserve">32 </w:t>
      </w:r>
      <w:r>
        <w:rPr>
          <w:rFonts w:cs="Times New Roman"/>
          <w:color w:val="000000" w:themeColor="text1"/>
          <w:szCs w:val="24"/>
        </w:rPr>
        <w:t>§ 3 k.p.c</w:t>
      </w:r>
      <w:r w:rsidR="00265304">
        <w:rPr>
          <w:rFonts w:cs="Times New Roman"/>
          <w:color w:val="000000" w:themeColor="text1"/>
          <w:szCs w:val="24"/>
        </w:rPr>
        <w:t>.</w:t>
      </w:r>
      <w:r>
        <w:rPr>
          <w:rFonts w:cs="Times New Roman"/>
          <w:color w:val="000000" w:themeColor="text1"/>
          <w:szCs w:val="24"/>
        </w:rPr>
        <w:t xml:space="preserve"> przewidział możliwość skazywania na grzywnę przez referendarza sądowego powoda, jego przedstawiciela ustawowego lub pełnomocnika, który w złej wierze lub wskutek niezachowania należytej staranności oznaczył nieprawidłowe dane w pozwie. </w:t>
      </w:r>
      <w:r w:rsidRPr="0086529F">
        <w:rPr>
          <w:rFonts w:cs="Times New Roman"/>
          <w:color w:val="000000" w:themeColor="text1"/>
          <w:szCs w:val="24"/>
        </w:rPr>
        <w:t>Również w doktrynie w sposób wyraźny i wprost wskazuje się, że „(…)</w:t>
      </w:r>
      <w:r w:rsidR="004E7AEB">
        <w:rPr>
          <w:rFonts w:cs="Times New Roman"/>
          <w:color w:val="000000" w:themeColor="text1"/>
          <w:szCs w:val="24"/>
        </w:rPr>
        <w:t xml:space="preserve"> </w:t>
      </w:r>
      <w:r w:rsidRPr="0086529F">
        <w:rPr>
          <w:rFonts w:cs="Times New Roman"/>
          <w:i/>
          <w:iCs/>
          <w:color w:val="333333"/>
          <w:szCs w:val="24"/>
          <w:shd w:val="clear" w:color="auto" w:fill="FFFFFF"/>
        </w:rPr>
        <w:t>grzywnę przewidzianą w analizowanym przepisie (</w:t>
      </w:r>
      <w:r w:rsidRPr="0086529F">
        <w:rPr>
          <w:rFonts w:cs="Times New Roman"/>
          <w:i/>
          <w:iCs/>
          <w:color w:val="000000" w:themeColor="text1"/>
          <w:szCs w:val="24"/>
        </w:rPr>
        <w:t>art. 505</w:t>
      </w:r>
      <w:r w:rsidRPr="0086529F">
        <w:rPr>
          <w:rFonts w:cs="Times New Roman"/>
          <w:i/>
          <w:iCs/>
          <w:color w:val="000000" w:themeColor="text1"/>
          <w:szCs w:val="24"/>
          <w:vertAlign w:val="superscript"/>
        </w:rPr>
        <w:t xml:space="preserve">32 </w:t>
      </w:r>
      <w:r w:rsidRPr="0086529F">
        <w:rPr>
          <w:rFonts w:cs="Times New Roman"/>
          <w:i/>
          <w:iCs/>
          <w:color w:val="000000" w:themeColor="text1"/>
          <w:szCs w:val="24"/>
        </w:rPr>
        <w:t xml:space="preserve">§ 3 k.p.c. – dopisek </w:t>
      </w:r>
      <w:r w:rsidR="00653681">
        <w:rPr>
          <w:rFonts w:cs="Times New Roman"/>
          <w:i/>
          <w:iCs/>
          <w:color w:val="000000" w:themeColor="text1"/>
          <w:szCs w:val="24"/>
        </w:rPr>
        <w:t>projektodawcy</w:t>
      </w:r>
      <w:r w:rsidRPr="0086529F">
        <w:rPr>
          <w:rFonts w:cs="Times New Roman"/>
          <w:i/>
          <w:iCs/>
          <w:color w:val="000000" w:themeColor="text1"/>
          <w:szCs w:val="24"/>
        </w:rPr>
        <w:t>)</w:t>
      </w:r>
      <w:r w:rsidRPr="0086529F">
        <w:rPr>
          <w:rFonts w:cs="Times New Roman"/>
          <w:i/>
          <w:iCs/>
          <w:color w:val="333333"/>
          <w:szCs w:val="24"/>
          <w:shd w:val="clear" w:color="auto" w:fill="FFFFFF"/>
        </w:rPr>
        <w:t xml:space="preserve"> może wymierzyć także referendarz sądowy</w:t>
      </w:r>
      <w:r w:rsidRPr="0086529F">
        <w:rPr>
          <w:rFonts w:cs="Times New Roman"/>
          <w:color w:val="333333"/>
          <w:szCs w:val="24"/>
          <w:shd w:val="clear" w:color="auto" w:fill="FFFFFF"/>
        </w:rPr>
        <w:t>” (</w:t>
      </w:r>
      <w:r>
        <w:rPr>
          <w:rFonts w:cs="Times New Roman"/>
          <w:color w:val="333333"/>
          <w:szCs w:val="24"/>
          <w:shd w:val="clear" w:color="auto" w:fill="FFFFFF"/>
        </w:rPr>
        <w:t xml:space="preserve">Robert Kulski, </w:t>
      </w:r>
      <w:r w:rsidRPr="0086529F">
        <w:rPr>
          <w:rFonts w:cs="Times New Roman"/>
          <w:color w:val="333333"/>
          <w:szCs w:val="24"/>
          <w:shd w:val="clear" w:color="auto" w:fill="FFFFFF"/>
        </w:rPr>
        <w:t>komentarz do art. 505</w:t>
      </w:r>
      <w:r w:rsidRPr="0086529F">
        <w:rPr>
          <w:rFonts w:cs="Times New Roman"/>
          <w:color w:val="333333"/>
          <w:szCs w:val="24"/>
          <w:shd w:val="clear" w:color="auto" w:fill="FFFFFF"/>
          <w:vertAlign w:val="superscript"/>
        </w:rPr>
        <w:t>32</w:t>
      </w:r>
      <w:r w:rsidRPr="0086529F">
        <w:rPr>
          <w:rFonts w:cs="Times New Roman"/>
          <w:color w:val="333333"/>
          <w:szCs w:val="24"/>
          <w:shd w:val="clear" w:color="auto" w:fill="FFFFFF"/>
        </w:rPr>
        <w:t>,</w:t>
      </w:r>
      <w:r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Pr="0086529F">
        <w:rPr>
          <w:rFonts w:cs="Times New Roman"/>
          <w:i/>
          <w:iCs/>
          <w:szCs w:val="24"/>
        </w:rPr>
        <w:t>Kodeks postępowania cywilnego. Tom III. Komentarz. Red. prof. dr hab. Andrzej Marciniak,  Art. 425–729</w:t>
      </w:r>
      <w:r>
        <w:rPr>
          <w:rFonts w:cs="Times New Roman"/>
          <w:i/>
          <w:iCs/>
          <w:szCs w:val="24"/>
        </w:rPr>
        <w:t>,</w:t>
      </w:r>
      <w:r w:rsidRPr="0086529F">
        <w:rPr>
          <w:rFonts w:cs="Times New Roman"/>
          <w:i/>
          <w:iCs/>
          <w:szCs w:val="24"/>
        </w:rPr>
        <w:t xml:space="preserve"> 2020, wyd. 1, System Informacji Prawnej Legalis</w:t>
      </w:r>
      <w:r w:rsidRPr="0086529F">
        <w:rPr>
          <w:rFonts w:cs="Times New Roman"/>
          <w:szCs w:val="24"/>
        </w:rPr>
        <w:t>).</w:t>
      </w:r>
      <w:r>
        <w:rPr>
          <w:rFonts w:cs="Times New Roman"/>
          <w:color w:val="000000" w:themeColor="text1"/>
          <w:szCs w:val="24"/>
        </w:rPr>
        <w:t xml:space="preserve"> Przy tym ocenne przesłanki do zastosowania sankcji grzywny wskazane w art. 505</w:t>
      </w:r>
      <w:r>
        <w:rPr>
          <w:rFonts w:cs="Times New Roman"/>
          <w:color w:val="000000" w:themeColor="text1"/>
          <w:szCs w:val="24"/>
          <w:vertAlign w:val="superscript"/>
        </w:rPr>
        <w:t xml:space="preserve">32 </w:t>
      </w:r>
      <w:r>
        <w:rPr>
          <w:rFonts w:cs="Times New Roman"/>
          <w:color w:val="000000" w:themeColor="text1"/>
          <w:szCs w:val="24"/>
        </w:rPr>
        <w:t>§ 3 k.p.c. są tożsame z tymi wskazanymi w projektowanym art. 485 § 5 k.p.c.</w:t>
      </w:r>
    </w:p>
    <w:p w14:paraId="4FDF7CA4" w14:textId="3946D5B7" w:rsidR="00AE265F" w:rsidRDefault="00AE265F" w:rsidP="00AE265F">
      <w:pPr>
        <w:ind w:firstLine="708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Dodatkowo należy wskazać, że referendarze sądowi są uprawnieni do skazywania stron na grzywny na podstawie art. 111 w zw. z art. 118 </w:t>
      </w:r>
      <w:r w:rsidR="00265304">
        <w:rPr>
          <w:rFonts w:cs="Times New Roman"/>
          <w:color w:val="000000" w:themeColor="text1"/>
          <w:szCs w:val="24"/>
        </w:rPr>
        <w:t>u.k.s.c</w:t>
      </w:r>
      <w:r w:rsidRPr="000A3AFE">
        <w:rPr>
          <w:rFonts w:cs="Times New Roman"/>
          <w:color w:val="000000" w:themeColor="text1"/>
          <w:szCs w:val="24"/>
        </w:rPr>
        <w:t>.</w:t>
      </w:r>
      <w:r>
        <w:rPr>
          <w:rFonts w:cs="Times New Roman"/>
          <w:color w:val="000000" w:themeColor="text1"/>
          <w:szCs w:val="24"/>
        </w:rPr>
        <w:t xml:space="preserve"> Przy tym, wydając takie postanowienie referendarz sądowym musi ocenić czy strona we wniosku świadomie podała nieprawdziwe okoliczności. </w:t>
      </w:r>
    </w:p>
    <w:p w14:paraId="4BBD796B" w14:textId="77777777" w:rsidR="00AE265F" w:rsidRDefault="00AE265F" w:rsidP="00AE265F">
      <w:pPr>
        <w:ind w:firstLine="708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Powyższe stanowisko podzielane jest również w doktrynie (por. </w:t>
      </w:r>
      <w:r w:rsidRPr="00141BF3">
        <w:rPr>
          <w:rFonts w:cs="Times New Roman"/>
          <w:color w:val="000000" w:themeColor="text1"/>
          <w:szCs w:val="24"/>
        </w:rPr>
        <w:t xml:space="preserve">Feliga Przemysław. </w:t>
      </w:r>
      <w:r w:rsidRPr="00491011">
        <w:rPr>
          <w:rFonts w:cs="Times New Roman"/>
          <w:i/>
          <w:iCs/>
          <w:color w:val="000000" w:themeColor="text1"/>
          <w:szCs w:val="24"/>
        </w:rPr>
        <w:t xml:space="preserve">Art. 118 </w:t>
      </w:r>
      <w:r>
        <w:rPr>
          <w:rFonts w:cs="Times New Roman"/>
          <w:i/>
          <w:iCs/>
          <w:color w:val="000000" w:themeColor="text1"/>
          <w:szCs w:val="24"/>
        </w:rPr>
        <w:t>w</w:t>
      </w:r>
      <w:r w:rsidRPr="00491011">
        <w:rPr>
          <w:rFonts w:cs="Times New Roman"/>
          <w:i/>
          <w:iCs/>
          <w:color w:val="000000" w:themeColor="text1"/>
          <w:szCs w:val="24"/>
        </w:rPr>
        <w:t>: Ustawa o kosztach sądowych w sprawach cywilnych. Komentarz, wyd. II. Wolters Kluwer Polska, 2019</w:t>
      </w:r>
      <w:r>
        <w:rPr>
          <w:rFonts w:cs="Times New Roman"/>
          <w:color w:val="000000" w:themeColor="text1"/>
          <w:szCs w:val="24"/>
        </w:rPr>
        <w:t xml:space="preserve">; </w:t>
      </w:r>
      <w:r w:rsidRPr="00491011">
        <w:rPr>
          <w:rFonts w:cs="Times New Roman"/>
          <w:color w:val="000000" w:themeColor="text1"/>
          <w:szCs w:val="24"/>
        </w:rPr>
        <w:t xml:space="preserve">Gonera Katarzyna. </w:t>
      </w:r>
      <w:r w:rsidRPr="00491011">
        <w:rPr>
          <w:rFonts w:cs="Times New Roman"/>
          <w:i/>
          <w:iCs/>
          <w:color w:val="000000" w:themeColor="text1"/>
          <w:szCs w:val="24"/>
        </w:rPr>
        <w:t xml:space="preserve">Art. 118 </w:t>
      </w:r>
      <w:r>
        <w:rPr>
          <w:rFonts w:cs="Times New Roman"/>
          <w:i/>
          <w:iCs/>
          <w:color w:val="000000" w:themeColor="text1"/>
          <w:szCs w:val="24"/>
        </w:rPr>
        <w:t>w</w:t>
      </w:r>
      <w:r w:rsidRPr="00491011">
        <w:rPr>
          <w:rFonts w:cs="Times New Roman"/>
          <w:i/>
          <w:iCs/>
          <w:color w:val="000000" w:themeColor="text1"/>
          <w:szCs w:val="24"/>
        </w:rPr>
        <w:t>: Ustawa o kosztach sądowych w sprawach cywilnych. Komentarz, wyd. IV. Wydawnictwo Prawnicze LexisNexis, 2011</w:t>
      </w:r>
      <w:r>
        <w:rPr>
          <w:rFonts w:cs="Times New Roman"/>
          <w:color w:val="000000" w:themeColor="text1"/>
          <w:szCs w:val="24"/>
        </w:rPr>
        <w:t>).</w:t>
      </w:r>
    </w:p>
    <w:p w14:paraId="3EE7CF8B" w14:textId="3EC62F0F" w:rsidR="00AE265F" w:rsidRDefault="00AE265F" w:rsidP="00AE265F">
      <w:pPr>
        <w:ind w:firstLine="708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735732">
        <w:rPr>
          <w:rFonts w:cs="Times New Roman"/>
          <w:color w:val="000000" w:themeColor="text1"/>
          <w:szCs w:val="24"/>
        </w:rPr>
        <w:t xml:space="preserve">Należy również zauważyć, że art. 118 </w:t>
      </w:r>
      <w:r w:rsidRPr="00735732">
        <w:rPr>
          <w:rFonts w:cs="Times New Roman"/>
          <w:color w:val="000000" w:themeColor="text1"/>
          <w:szCs w:val="24"/>
          <w:shd w:val="clear" w:color="auto" w:fill="FFFFFF"/>
        </w:rPr>
        <w:t>u.k.s.c. został uznany przez Trybunał Konstytucyjny w wyroku z 12.05.2011 r., </w:t>
      </w:r>
      <w:hyperlink r:id="rId8" w:anchor="/document/520888645?cm=DOCUMENT" w:history="1">
        <w:r w:rsidRPr="00735732">
          <w:rPr>
            <w:rStyle w:val="Hipercze"/>
            <w:rFonts w:cs="Times New Roman"/>
            <w:color w:val="000000" w:themeColor="text1"/>
            <w:szCs w:val="24"/>
            <w:u w:val="none"/>
            <w:shd w:val="clear" w:color="auto" w:fill="FFFFFF"/>
          </w:rPr>
          <w:t>P 38/08</w:t>
        </w:r>
      </w:hyperlink>
      <w:r w:rsidRPr="00735732">
        <w:rPr>
          <w:rFonts w:cs="Times New Roman"/>
          <w:color w:val="000000" w:themeColor="text1"/>
          <w:szCs w:val="24"/>
          <w:shd w:val="clear" w:color="auto" w:fill="FFFFFF"/>
        </w:rPr>
        <w:t>, OTK-A 2011/4, poz. 33, za zgodny z </w:t>
      </w:r>
      <w:hyperlink r:id="rId9" w:anchor="/document/16798613?unitId=art(45)ust(1)&amp;cm=DOCUMENT" w:history="1">
        <w:r w:rsidRPr="00735732">
          <w:rPr>
            <w:rStyle w:val="Hipercze"/>
            <w:rFonts w:cs="Times New Roman"/>
            <w:color w:val="000000" w:themeColor="text1"/>
            <w:szCs w:val="24"/>
            <w:u w:val="none"/>
            <w:shd w:val="clear" w:color="auto" w:fill="FFFFFF"/>
          </w:rPr>
          <w:t>art. 45 ust. 1</w:t>
        </w:r>
      </w:hyperlink>
      <w:r w:rsidRPr="00735732">
        <w:rPr>
          <w:rFonts w:cs="Times New Roman"/>
          <w:color w:val="000000" w:themeColor="text1"/>
          <w:szCs w:val="24"/>
          <w:shd w:val="clear" w:color="auto" w:fill="FFFFFF"/>
        </w:rPr>
        <w:t> Konstytucji RP.</w:t>
      </w:r>
      <w:r>
        <w:rPr>
          <w:rFonts w:cs="Times New Roman"/>
          <w:color w:val="000000" w:themeColor="text1"/>
          <w:szCs w:val="24"/>
          <w:shd w:val="clear" w:color="auto" w:fill="FFFFFF"/>
        </w:rPr>
        <w:t xml:space="preserve"> W ww. wyroku TK co prawda nie odniósł się wprost do przyznania referendarzom sądowym kompetencji do skazywania stron na grzywny na podstawie art. 111 w zw. z art. 118 u.k.s.c., to jednak jednocześnie nie zakwestionował w żaden sposób tego uprawnienia, ani też nie „zasygnalizował” aby w ww. zakresie można było mówić o niezgodności ww. przepisów z Konstytucją RP. Na uwagę w powyższym kontekście zasługuję analiza pojęcia „sprawy” przeprowadzona przez TK w ww. wyroku.</w:t>
      </w:r>
    </w:p>
    <w:p w14:paraId="5E11E0E2" w14:textId="7B7B9488" w:rsidR="00AE265F" w:rsidRDefault="000D66A1" w:rsidP="000D66A1">
      <w:pPr>
        <w:ind w:firstLine="708"/>
        <w:jc w:val="both"/>
        <w:rPr>
          <w:rFonts w:cs="Times New Roman"/>
          <w:color w:val="000000" w:themeColor="text1"/>
          <w:szCs w:val="24"/>
        </w:rPr>
      </w:pPr>
      <w:r>
        <w:t>W tym miejscu należy zauważyć, że referendarze sądowi są również uprawnieni do nakładania grzywien w postępowaniu rejestrowym na podstawie art. 24 ust. 1b u</w:t>
      </w:r>
      <w:r w:rsidRPr="00C32377">
        <w:t>staw</w:t>
      </w:r>
      <w:r>
        <w:t>y</w:t>
      </w:r>
      <w:r w:rsidRPr="00C32377">
        <w:t xml:space="preserve"> z dnia </w:t>
      </w:r>
      <w:r w:rsidRPr="00C32377">
        <w:lastRenderedPageBreak/>
        <w:t xml:space="preserve">20 sierpnia 1997 r. </w:t>
      </w:r>
      <w:r w:rsidRPr="00C32377">
        <w:rPr>
          <w:i/>
        </w:rPr>
        <w:t>o Krajowym Rejestrze Sądowym</w:t>
      </w:r>
      <w:r w:rsidRPr="00C32377">
        <w:t xml:space="preserve"> (Dz. U. z 2019 r. poz. 1500</w:t>
      </w:r>
      <w:r w:rsidR="007139A6">
        <w:t>, 1655 i 1798 oraz z 2020 r. poz. 288</w:t>
      </w:r>
      <w:r w:rsidRPr="00C32377">
        <w:t>)</w:t>
      </w:r>
      <w:r>
        <w:t xml:space="preserve"> oraz wymierzania grzywien w postępowaniu wieczystoksięgowym na podstawie art. 36 ust. 4 u</w:t>
      </w:r>
      <w:r w:rsidRPr="00C32377">
        <w:t>staw</w:t>
      </w:r>
      <w:r>
        <w:t>y</w:t>
      </w:r>
      <w:r w:rsidRPr="00C32377">
        <w:t xml:space="preserve"> z dnia 6 lipca 1982 r. </w:t>
      </w:r>
      <w:r w:rsidRPr="00C32377">
        <w:rPr>
          <w:i/>
        </w:rPr>
        <w:t>o księgach wieczystych i hipotece</w:t>
      </w:r>
      <w:r w:rsidRPr="00C32377">
        <w:t xml:space="preserve"> (</w:t>
      </w:r>
      <w:r>
        <w:t>Dz. U. z 2019 r. poz. 2204)</w:t>
      </w:r>
      <w:r w:rsidRPr="00C32377">
        <w:t>.</w:t>
      </w:r>
      <w:r w:rsidR="00AE265F">
        <w:rPr>
          <w:rFonts w:cs="Times New Roman"/>
          <w:color w:val="000000" w:themeColor="text1"/>
          <w:szCs w:val="24"/>
        </w:rPr>
        <w:t>Umożliwienie wykonywania uprawnienia wynikającego z projektowanego art. 485 § 5 k.p.c. referendarzom sądowym niewątpliwie przyczyni się do przyspieszenia rozpoznawania spraw (uniknięcie przekazywania akt do referatu sędziego i z powrotem do referendarza</w:t>
      </w:r>
      <w:r>
        <w:rPr>
          <w:rFonts w:cs="Times New Roman"/>
          <w:color w:val="000000" w:themeColor="text1"/>
          <w:szCs w:val="24"/>
        </w:rPr>
        <w:t xml:space="preserve"> sądowego</w:t>
      </w:r>
      <w:r w:rsidR="00AE265F">
        <w:rPr>
          <w:rFonts w:cs="Times New Roman"/>
          <w:color w:val="000000" w:themeColor="text1"/>
          <w:szCs w:val="24"/>
        </w:rPr>
        <w:t>) oraz nie spowoduje jednocześnie zwiększenia, znacznego już, obciążenia sędziów czynnościami wpadkowymi w sprawach, w których nie są oni referentami.</w:t>
      </w:r>
    </w:p>
    <w:p w14:paraId="41BFE863" w14:textId="77777777" w:rsidR="00265304" w:rsidRPr="009C786E" w:rsidRDefault="00265304" w:rsidP="000D66A1">
      <w:pPr>
        <w:ind w:firstLine="708"/>
        <w:jc w:val="both"/>
        <w:rPr>
          <w:rFonts w:cs="Times New Roman"/>
          <w:color w:val="000000" w:themeColor="text1"/>
          <w:szCs w:val="24"/>
        </w:rPr>
      </w:pPr>
    </w:p>
    <w:p w14:paraId="64D83C88" w14:textId="4EFE1D24" w:rsidR="00594C73" w:rsidRPr="00734F14" w:rsidRDefault="00594C73" w:rsidP="002116BE">
      <w:pPr>
        <w:ind w:firstLine="708"/>
        <w:jc w:val="both"/>
      </w:pPr>
      <w:r w:rsidRPr="00734F14">
        <w:t xml:space="preserve">Pozostałe zmiany przewidziane w projekcie ustawy (tj. art. 1 pkt </w:t>
      </w:r>
      <w:r w:rsidR="00F627A3">
        <w:t>3</w:t>
      </w:r>
      <w:r w:rsidRPr="00734F14">
        <w:t xml:space="preserve"> </w:t>
      </w:r>
      <w:r w:rsidR="00265304">
        <w:t>lit. a</w:t>
      </w:r>
      <w:r w:rsidR="002A780E">
        <w:t>)</w:t>
      </w:r>
      <w:r w:rsidR="00265304">
        <w:t xml:space="preserve"> </w:t>
      </w:r>
      <w:r w:rsidRPr="00734F14">
        <w:t xml:space="preserve">oraz art. </w:t>
      </w:r>
      <w:r w:rsidR="00CA4479">
        <w:t>6</w:t>
      </w:r>
      <w:r w:rsidRPr="00734F14">
        <w:t>)</w:t>
      </w:r>
      <w:r w:rsidR="004C753A">
        <w:t xml:space="preserve"> w zw. z wyrokiem TSUE w sprawie C-176/17 </w:t>
      </w:r>
      <w:r w:rsidR="004C753A">
        <w:rPr>
          <w:i/>
        </w:rPr>
        <w:t>Profi Credit Polska</w:t>
      </w:r>
      <w:r w:rsidRPr="00734F14">
        <w:t xml:space="preserve"> łagodzą </w:t>
      </w:r>
      <w:r w:rsidR="004C3E44">
        <w:t>wymogi</w:t>
      </w:r>
      <w:r w:rsidRPr="00734F14">
        <w:t xml:space="preserve"> formalno-fiskalne w stosunku do konsumentów wnoszących zarzuty od nakazu za</w:t>
      </w:r>
      <w:r w:rsidR="004C753A">
        <w:t>płaty w postępowaniu nakazowym.</w:t>
      </w:r>
    </w:p>
    <w:p w14:paraId="569716AE" w14:textId="32803124" w:rsidR="00523F2B" w:rsidRPr="00523F2B" w:rsidRDefault="00ED2FC9" w:rsidP="00036EC3">
      <w:pPr>
        <w:ind w:firstLine="708"/>
        <w:jc w:val="both"/>
      </w:pPr>
      <w:r w:rsidRPr="00734F14">
        <w:t xml:space="preserve">Art. 1 pkt </w:t>
      </w:r>
      <w:r w:rsidR="00F627A3">
        <w:t>3</w:t>
      </w:r>
      <w:r w:rsidR="00D76D4E">
        <w:t xml:space="preserve"> lit. a</w:t>
      </w:r>
      <w:r w:rsidR="002A780E">
        <w:t>)</w:t>
      </w:r>
      <w:r w:rsidRPr="00734F14">
        <w:t xml:space="preserve"> projektowanej ustawy zakłada</w:t>
      </w:r>
      <w:r w:rsidR="00854FE7">
        <w:t xml:space="preserve">, poza bardziej czytelnym sformułowaniem </w:t>
      </w:r>
      <w:r w:rsidR="00854FE7">
        <w:rPr>
          <w:rFonts w:cs="Times New Roman"/>
        </w:rPr>
        <w:t>§</w:t>
      </w:r>
      <w:r w:rsidR="00854FE7">
        <w:t xml:space="preserve"> 1 oraz </w:t>
      </w:r>
      <w:r w:rsidR="00854FE7">
        <w:rPr>
          <w:rFonts w:cs="Times New Roman"/>
        </w:rPr>
        <w:t>§</w:t>
      </w:r>
      <w:r w:rsidR="00854FE7">
        <w:t xml:space="preserve"> 2</w:t>
      </w:r>
      <w:r w:rsidRPr="00734F14">
        <w:t xml:space="preserve"> </w:t>
      </w:r>
      <w:r w:rsidR="00854FE7">
        <w:t>art. 480</w:t>
      </w:r>
      <w:r w:rsidR="00854FE7">
        <w:rPr>
          <w:vertAlign w:val="superscript"/>
        </w:rPr>
        <w:t>2</w:t>
      </w:r>
      <w:r w:rsidR="00854FE7">
        <w:t xml:space="preserve"> k.p.c., </w:t>
      </w:r>
      <w:r w:rsidRPr="00734F14">
        <w:t>wydłużenie terminu</w:t>
      </w:r>
      <w:r w:rsidR="009335DC" w:rsidRPr="00734F14">
        <w:t xml:space="preserve"> (</w:t>
      </w:r>
      <w:r w:rsidR="004C3E44">
        <w:t>w sytuacji</w:t>
      </w:r>
      <w:r w:rsidR="00105345">
        <w:t>,</w:t>
      </w:r>
      <w:r w:rsidR="009335DC" w:rsidRPr="00734F14">
        <w:t xml:space="preserve"> gdy doręczenie </w:t>
      </w:r>
      <w:r w:rsidR="00184ACB" w:rsidRPr="00734F14">
        <w:t xml:space="preserve">pozwanemu </w:t>
      </w:r>
      <w:r w:rsidR="009335DC" w:rsidRPr="00734F14">
        <w:t xml:space="preserve">nakazu zapłaty </w:t>
      </w:r>
      <w:r w:rsidR="00184ACB">
        <w:t xml:space="preserve">wydanego w postępowaniu nakazowym </w:t>
      </w:r>
      <w:r w:rsidR="009335DC" w:rsidRPr="00734F14">
        <w:t xml:space="preserve">ma nastąpić na terenie </w:t>
      </w:r>
      <w:r w:rsidR="00854FE7">
        <w:t>Rzeczypospolitej Polskiej</w:t>
      </w:r>
      <w:r w:rsidR="00481A4B">
        <w:t>)</w:t>
      </w:r>
      <w:r w:rsidRPr="00734F14">
        <w:t xml:space="preserve"> do wniesienia zarzutów od nakazu zapłaty</w:t>
      </w:r>
      <w:r w:rsidR="002D7E40" w:rsidRPr="00734F14">
        <w:t xml:space="preserve"> do miesiąca</w:t>
      </w:r>
      <w:r w:rsidR="00854FE7">
        <w:t>, w tym</w:t>
      </w:r>
      <w:r w:rsidRPr="00734F14">
        <w:t xml:space="preserve"> dl</w:t>
      </w:r>
      <w:r w:rsidR="00854FE7">
        <w:t>a</w:t>
      </w:r>
      <w:r w:rsidRPr="00734F14">
        <w:t xml:space="preserve"> </w:t>
      </w:r>
      <w:r w:rsidR="00250AC0" w:rsidRPr="00734F14">
        <w:t xml:space="preserve">pozwanego </w:t>
      </w:r>
      <w:r w:rsidRPr="00734F14">
        <w:t>zobowiązanego z weksla, którym jest konsument</w:t>
      </w:r>
      <w:r w:rsidR="00250AC0" w:rsidRPr="00734F14">
        <w:t xml:space="preserve">. </w:t>
      </w:r>
      <w:r w:rsidR="00B64449">
        <w:t>Ustawa zakłada również wprowadzenie sztywnego terminu trzech miesięcy</w:t>
      </w:r>
      <w:r w:rsidR="00523F2B">
        <w:t xml:space="preserve"> w art. 480</w:t>
      </w:r>
      <w:r w:rsidR="00523F2B">
        <w:rPr>
          <w:vertAlign w:val="superscript"/>
        </w:rPr>
        <w:t>2</w:t>
      </w:r>
      <w:r w:rsidR="00523F2B">
        <w:t xml:space="preserve"> </w:t>
      </w:r>
      <w:r w:rsidR="00523F2B">
        <w:rPr>
          <w:rFonts w:cs="Times New Roman"/>
        </w:rPr>
        <w:t>§</w:t>
      </w:r>
      <w:r w:rsidR="00523F2B">
        <w:t xml:space="preserve"> 2 pkt 4) k.p.c., w miejsce otwartego terminu określonego jako „</w:t>
      </w:r>
      <w:r w:rsidR="00523F2B" w:rsidRPr="003A1EC2">
        <w:rPr>
          <w:i/>
          <w:iCs/>
        </w:rPr>
        <w:t>nie krótszy niż trzy miesiące</w:t>
      </w:r>
      <w:r w:rsidR="00523F2B">
        <w:t>”,</w:t>
      </w:r>
      <w:r w:rsidR="00B64449">
        <w:t xml:space="preserve"> na wniesienie środka zaskarżenia od dnia doręczeni</w:t>
      </w:r>
      <w:r w:rsidR="00184ACB">
        <w:t>a</w:t>
      </w:r>
      <w:r w:rsidR="00B64449">
        <w:t xml:space="preserve"> nakazu zapłaty, gdy doręczenie ma nastąpić poza terenem Unii Europejskiej</w:t>
      </w:r>
      <w:r w:rsidR="00523F2B">
        <w:t>. Powyższa zmiana ma uprościć stosowanie art. 480</w:t>
      </w:r>
      <w:r w:rsidR="00523F2B">
        <w:rPr>
          <w:vertAlign w:val="superscript"/>
        </w:rPr>
        <w:t>2</w:t>
      </w:r>
      <w:r w:rsidR="00523F2B">
        <w:t xml:space="preserve"> </w:t>
      </w:r>
      <w:r w:rsidR="00523F2B">
        <w:rPr>
          <w:rFonts w:cs="Times New Roman"/>
        </w:rPr>
        <w:t>§</w:t>
      </w:r>
      <w:r w:rsidR="00523F2B">
        <w:t xml:space="preserve"> 2 k.p.c. i ujednolicić stosowanie prawa w skali kraju.</w:t>
      </w:r>
      <w:r w:rsidR="008E7248">
        <w:t xml:space="preserve"> Jednocześnie termin trzech miesięcy na wniesienie zarzutów od nakazu zapłaty w pełni gwarantuje zabezpieczenie praw pozwanych, mających adres do doręczeń poza terytorium Unii Europejskiej. Pozwany, który zamierza wnieść środek zaskarżenia powinien bez większych trudności dochować ww. terminu.</w:t>
      </w:r>
    </w:p>
    <w:p w14:paraId="7D4DF2EA" w14:textId="58CA8476" w:rsidR="00902677" w:rsidRDefault="00B64449" w:rsidP="00036EC3">
      <w:pPr>
        <w:ind w:firstLine="708"/>
        <w:jc w:val="both"/>
      </w:pPr>
      <w:r>
        <w:t xml:space="preserve"> </w:t>
      </w:r>
      <w:r w:rsidR="00184ACB">
        <w:t>Projekt</w:t>
      </w:r>
      <w:r w:rsidR="00854FE7">
        <w:t xml:space="preserve"> </w:t>
      </w:r>
      <w:r w:rsidR="00184ACB">
        <w:t xml:space="preserve">nie </w:t>
      </w:r>
      <w:r w:rsidR="00445ED9">
        <w:t xml:space="preserve">ogranicza </w:t>
      </w:r>
      <w:r w:rsidR="00854FE7">
        <w:t>wydłużenia terminu do wniesienia z</w:t>
      </w:r>
      <w:r w:rsidR="00ED25FB">
        <w:t>arzutów</w:t>
      </w:r>
      <w:r w:rsidR="004A0512">
        <w:t xml:space="preserve"> dla pozwanych, </w:t>
      </w:r>
      <w:r w:rsidR="00105345">
        <w:t xml:space="preserve">wobec których </w:t>
      </w:r>
      <w:r w:rsidR="004A0512">
        <w:t>doręczenie nakazu zapłaty będzie miało miejsce na terytorium Unii Europejskiej,</w:t>
      </w:r>
      <w:r w:rsidR="00ED25FB">
        <w:t xml:space="preserve"> jedynie d</w:t>
      </w:r>
      <w:r w:rsidR="00EB5CE6">
        <w:t>o</w:t>
      </w:r>
      <w:r w:rsidR="00ED25FB">
        <w:t xml:space="preserve"> zobowiązanych konsumentów, o których mowa powyżej, </w:t>
      </w:r>
      <w:r w:rsidR="00D51E3B">
        <w:t xml:space="preserve">m.in. </w:t>
      </w:r>
      <w:r w:rsidR="00ED25FB">
        <w:t>z uwagi na mogące się pojawić w związku z tak ograniczonym kręgiem podmiotowym, praktyczne problemy przy stosowaniu przepisu. Należy zauważyć, że mimo wprowadzeni</w:t>
      </w:r>
      <w:r w:rsidR="004A0512">
        <w:t>a</w:t>
      </w:r>
      <w:r w:rsidR="00ED25FB">
        <w:t xml:space="preserve"> przepisów mających zagwarantować prawidłową identyfikację pozwanego </w:t>
      </w:r>
      <w:r w:rsidR="00F627A3">
        <w:t xml:space="preserve">w postępowaniu nakazowym z weksla </w:t>
      </w:r>
      <w:r w:rsidR="00ED25FB">
        <w:t xml:space="preserve">jako konsumenta </w:t>
      </w:r>
      <w:r w:rsidR="002C5E99">
        <w:t xml:space="preserve">już na etapie wydawania nakazu, </w:t>
      </w:r>
      <w:r w:rsidR="00ED25FB">
        <w:t>nie da się całkowicie wykluczyć sytuacji, w której sąd dopiero na etapie</w:t>
      </w:r>
      <w:r w:rsidR="00184ACB">
        <w:t xml:space="preserve"> postępowania następującym</w:t>
      </w:r>
      <w:r w:rsidR="00ED25FB">
        <w:t xml:space="preserve"> po wydaniu </w:t>
      </w:r>
      <w:r w:rsidR="00ED25FB">
        <w:lastRenderedPageBreak/>
        <w:t>nakazu zapłaty w postępowaniu nakazowym poweźmie informacj</w:t>
      </w:r>
      <w:r w:rsidR="004A0512">
        <w:t>ę</w:t>
      </w:r>
      <w:r w:rsidR="00ED25FB">
        <w:t xml:space="preserve"> o tym, że pozwany jest konsumentem, bądź tym konsumentem nie jest.</w:t>
      </w:r>
      <w:r w:rsidR="00902677">
        <w:t xml:space="preserve"> </w:t>
      </w:r>
    </w:p>
    <w:p w14:paraId="326CF5D1" w14:textId="4B930AE0" w:rsidR="00854FE7" w:rsidRDefault="00ED25FB" w:rsidP="00036EC3">
      <w:pPr>
        <w:ind w:firstLine="708"/>
        <w:jc w:val="both"/>
      </w:pPr>
      <w:r>
        <w:t>Powyższe natomiast wpływałoby na termin do wniesienia zarzutów albo spełnienia świadczenia</w:t>
      </w:r>
      <w:r w:rsidR="006F03BB">
        <w:t xml:space="preserve"> (dwa tygodnie bądź miesiąc) i wymagałoby podejmowania przez sąd</w:t>
      </w:r>
      <w:r w:rsidR="00C262AA">
        <w:t xml:space="preserve"> ewentualnych</w:t>
      </w:r>
      <w:r w:rsidR="006F03BB">
        <w:t xml:space="preserve"> działań korygujących</w:t>
      </w:r>
      <w:r w:rsidR="00D51E3B">
        <w:t xml:space="preserve"> treść nakazu zapłaty</w:t>
      </w:r>
      <w:r w:rsidR="006F03BB">
        <w:t xml:space="preserve">. Wobec tego, zasadnym jest wydłużenie terminu do wniesienia zarzutów od nakazu zapłaty wydanego w postępowaniu nakazowym dla wszystkich pozwanych. Rozwiązanie takie może przyczynić się również do szybszego rozpoznawania spraw, bowiem w takim wypadku na sądzie nie będzie ciążył ww. obowiązek zmiany nakazu zapłaty oraz </w:t>
      </w:r>
      <w:r w:rsidR="006F03BB" w:rsidRPr="0069009E">
        <w:t>korygowania dotychczas podejmowanych czynności w sprawie, w sytuacji której w toku postępowania okazało</w:t>
      </w:r>
      <w:r w:rsidR="00304178">
        <w:t>by</w:t>
      </w:r>
      <w:r w:rsidR="006F03BB" w:rsidRPr="0069009E">
        <w:t xml:space="preserve"> się, że z uwagi na status pozwanego</w:t>
      </w:r>
      <w:r w:rsidR="002C5E99">
        <w:t>,</w:t>
      </w:r>
      <w:r w:rsidR="006F03BB" w:rsidRPr="0069009E">
        <w:t xml:space="preserve"> należało zastosować inny</w:t>
      </w:r>
      <w:r w:rsidR="00D51E3B">
        <w:t xml:space="preserve"> z</w:t>
      </w:r>
      <w:r w:rsidR="006F03BB" w:rsidRPr="0069009E">
        <w:t xml:space="preserve"> termin</w:t>
      </w:r>
      <w:r w:rsidR="00D51E3B">
        <w:t>ów, o których</w:t>
      </w:r>
      <w:r w:rsidR="006F03BB" w:rsidRPr="0069009E">
        <w:t xml:space="preserve"> mowa w projektowanym art. 480</w:t>
      </w:r>
      <w:r w:rsidR="006F03BB" w:rsidRPr="0069009E">
        <w:rPr>
          <w:vertAlign w:val="superscript"/>
        </w:rPr>
        <w:t>2</w:t>
      </w:r>
      <w:r w:rsidR="006F03BB" w:rsidRPr="0069009E">
        <w:t xml:space="preserve"> </w:t>
      </w:r>
      <w:r w:rsidR="006F03BB" w:rsidRPr="0069009E">
        <w:rPr>
          <w:rFonts w:cs="Times New Roman"/>
        </w:rPr>
        <w:t>§</w:t>
      </w:r>
      <w:r w:rsidR="006F03BB" w:rsidRPr="0069009E">
        <w:t xml:space="preserve"> 2 k.p.c.</w:t>
      </w:r>
    </w:p>
    <w:p w14:paraId="5A5BC004" w14:textId="77777777" w:rsidR="000A2998" w:rsidRPr="0069009E" w:rsidRDefault="000A2998" w:rsidP="00036EC3">
      <w:pPr>
        <w:ind w:firstLine="708"/>
        <w:jc w:val="both"/>
        <w:rPr>
          <w:rFonts w:cs="Times New Roman"/>
        </w:rPr>
      </w:pPr>
      <w:r w:rsidRPr="0069009E">
        <w:rPr>
          <w:rFonts w:cs="Times New Roman"/>
        </w:rPr>
        <w:t xml:space="preserve">Wydłużenie terminu do wniesienia zarzutów od nakazu zapłaty wydanego w postępowaniu nakazowym dla wszystkich pozwanych, w tym np. przedsiębiorców w sporach z innymi przedsiębiorcami, nie zagrozi </w:t>
      </w:r>
      <w:r w:rsidR="00304178">
        <w:rPr>
          <w:rFonts w:cs="Times New Roman"/>
        </w:rPr>
        <w:t xml:space="preserve">przy tym </w:t>
      </w:r>
      <w:r w:rsidRPr="0069009E">
        <w:rPr>
          <w:rFonts w:cs="Times New Roman"/>
        </w:rPr>
        <w:t xml:space="preserve">w żaden sposób interesom powodów. Zauważyć bowiem należy, że zgodnie z art. </w:t>
      </w:r>
      <w:r w:rsidR="0069009E" w:rsidRPr="0069009E">
        <w:rPr>
          <w:rFonts w:cs="Times New Roman"/>
        </w:rPr>
        <w:t xml:space="preserve">492 § 1 k.p.c. </w:t>
      </w:r>
      <w:r w:rsidR="0069009E" w:rsidRPr="0069009E">
        <w:rPr>
          <w:rFonts w:cs="Times New Roman"/>
          <w:shd w:val="clear" w:color="auto" w:fill="FFFFFF"/>
        </w:rPr>
        <w:t>nakaz zapłaty wydany w postępowaniu nakazowym z chwilą wydania stanowi tytuł zabezpieczenia, wykonalny bez nadawania mu klauzuli wykonalności.</w:t>
      </w:r>
      <w:r w:rsidR="0069009E">
        <w:rPr>
          <w:rFonts w:cs="Times New Roman"/>
          <w:shd w:val="clear" w:color="auto" w:fill="FFFFFF"/>
        </w:rPr>
        <w:t xml:space="preserve"> Wobec tego, w przypadku gdyby powód miał obawy, iż pozwany w tym wydłużonym miesięcznym terminie</w:t>
      </w:r>
      <w:r w:rsidR="00184ACB">
        <w:rPr>
          <w:rFonts w:cs="Times New Roman"/>
          <w:shd w:val="clear" w:color="auto" w:fill="FFFFFF"/>
        </w:rPr>
        <w:t>,</w:t>
      </w:r>
      <w:r w:rsidR="0069009E">
        <w:rPr>
          <w:rFonts w:cs="Times New Roman"/>
          <w:shd w:val="clear" w:color="auto" w:fill="FFFFFF"/>
        </w:rPr>
        <w:t xml:space="preserve"> mógłby </w:t>
      </w:r>
      <w:r w:rsidR="00304178">
        <w:rPr>
          <w:rFonts w:cs="Times New Roman"/>
          <w:shd w:val="clear" w:color="auto" w:fill="FFFFFF"/>
        </w:rPr>
        <w:t xml:space="preserve">np. </w:t>
      </w:r>
      <w:r w:rsidR="0069009E">
        <w:rPr>
          <w:rFonts w:cs="Times New Roman"/>
          <w:shd w:val="clear" w:color="auto" w:fill="FFFFFF"/>
        </w:rPr>
        <w:t>próbować podejmować czynności mające w konsekwencji utrudnić egzekucję należnych powodowi kwot, będzie on mógł zabezpieczyć swoje roszczenia na podstawie samego nakazu zapłaty do momentu jeg</w:t>
      </w:r>
      <w:r w:rsidR="00383296">
        <w:rPr>
          <w:rFonts w:cs="Times New Roman"/>
          <w:shd w:val="clear" w:color="auto" w:fill="FFFFFF"/>
        </w:rPr>
        <w:t>o ewentualnego uprawomocnienia.</w:t>
      </w:r>
    </w:p>
    <w:p w14:paraId="0CE22EF3" w14:textId="62774973" w:rsidR="00036EC3" w:rsidRDefault="00250AC0" w:rsidP="00036EC3">
      <w:pPr>
        <w:ind w:firstLine="708"/>
        <w:jc w:val="both"/>
      </w:pPr>
      <w:r w:rsidRPr="00734F14">
        <w:t xml:space="preserve">Rozwiązanie to ma </w:t>
      </w:r>
      <w:r w:rsidR="006F03BB">
        <w:t>również</w:t>
      </w:r>
      <w:r w:rsidRPr="00734F14">
        <w:t xml:space="preserve"> dać </w:t>
      </w:r>
      <w:r w:rsidR="00942D18" w:rsidRPr="00734F14">
        <w:t>pozwanemu</w:t>
      </w:r>
      <w:r w:rsidR="000A2998">
        <w:t>, w tym konsumentowi,</w:t>
      </w:r>
      <w:r w:rsidR="00942D18" w:rsidRPr="00734F14">
        <w:t xml:space="preserve"> </w:t>
      </w:r>
      <w:r w:rsidRPr="00734F14">
        <w:t xml:space="preserve">czas </w:t>
      </w:r>
      <w:r w:rsidR="003E1FB0">
        <w:t>na</w:t>
      </w:r>
      <w:r w:rsidR="003E1FB0" w:rsidRPr="00734F14">
        <w:t xml:space="preserve"> dokładn</w:t>
      </w:r>
      <w:r w:rsidR="003E1FB0">
        <w:t>ą</w:t>
      </w:r>
      <w:r w:rsidR="003E1FB0" w:rsidRPr="00734F14">
        <w:t xml:space="preserve"> </w:t>
      </w:r>
      <w:r w:rsidR="003E1FB0">
        <w:t xml:space="preserve">analizę pozwu i załączników, </w:t>
      </w:r>
      <w:r w:rsidR="00EB5CE6">
        <w:t xml:space="preserve">wśród </w:t>
      </w:r>
      <w:r w:rsidR="003E1FB0">
        <w:t>który</w:t>
      </w:r>
      <w:r w:rsidR="00EB5CE6">
        <w:t>ch,</w:t>
      </w:r>
      <w:r w:rsidR="003E1FB0" w:rsidRPr="00734F14">
        <w:t xml:space="preserve"> zgodnie z projektowaną zmianą art. 485 </w:t>
      </w:r>
      <w:r w:rsidR="003E1FB0" w:rsidRPr="00734F14">
        <w:rPr>
          <w:rFonts w:cs="Times New Roman"/>
        </w:rPr>
        <w:t>§</w:t>
      </w:r>
      <w:r w:rsidR="003E1FB0" w:rsidRPr="00734F14">
        <w:t xml:space="preserve"> 2 k.p.c., będzie również umowa</w:t>
      </w:r>
      <w:r w:rsidR="001D26AF">
        <w:t xml:space="preserve"> zabezpieczona wekslem</w:t>
      </w:r>
      <w:r w:rsidR="00C855EF">
        <w:t>.</w:t>
      </w:r>
      <w:r w:rsidR="003E1FB0">
        <w:t>. Pozwany będzie miał również możliwość zapoznania się z pouczeniami</w:t>
      </w:r>
      <w:r w:rsidR="00204324">
        <w:t xml:space="preserve"> doręczanymi przez sąd wraz z odpisem nakazu zapłaty</w:t>
      </w:r>
      <w:r w:rsidR="003E1FB0">
        <w:t xml:space="preserve"> </w:t>
      </w:r>
      <w:r w:rsidR="00036EC3">
        <w:t>i w konsekwencji</w:t>
      </w:r>
      <w:r w:rsidRPr="00734F14">
        <w:t xml:space="preserve"> prawidłowe</w:t>
      </w:r>
      <w:r w:rsidR="003E1FB0">
        <w:t>go</w:t>
      </w:r>
      <w:r w:rsidRPr="00734F14">
        <w:t xml:space="preserve"> sporządz</w:t>
      </w:r>
      <w:r w:rsidR="003E1FB0">
        <w:t>enia zarzutów od nakazu zapłaty</w:t>
      </w:r>
      <w:r w:rsidRPr="00734F14">
        <w:t xml:space="preserve">. </w:t>
      </w:r>
    </w:p>
    <w:p w14:paraId="5C2FDD6B" w14:textId="05B0D21C" w:rsidR="00ED2FC9" w:rsidRDefault="00250AC0" w:rsidP="00036EC3">
      <w:pPr>
        <w:ind w:firstLine="708"/>
        <w:jc w:val="both"/>
      </w:pPr>
      <w:r w:rsidRPr="00734F14">
        <w:t xml:space="preserve">Niewątpliwie </w:t>
      </w:r>
      <w:r w:rsidR="009335DC" w:rsidRPr="00734F14">
        <w:t xml:space="preserve">podstawowy </w:t>
      </w:r>
      <w:r w:rsidRPr="00734F14">
        <w:t>okres miesiąca</w:t>
      </w:r>
      <w:r w:rsidR="00481A4B">
        <w:t xml:space="preserve"> na zaskarżenie nakazu zapłaty wydanego w postępowaniu nakazowym</w:t>
      </w:r>
      <w:r w:rsidRPr="00734F14">
        <w:t xml:space="preserve">, zamiast dwóch tygodni, umożliwi </w:t>
      </w:r>
      <w:r w:rsidR="000A2998">
        <w:t>wszystkim pozwanym lepsze</w:t>
      </w:r>
      <w:r w:rsidRPr="00734F14">
        <w:t xml:space="preserve"> przygotowanie zarzutów od nakazu zapłaty pod względem formalnym i merytorycznym. </w:t>
      </w:r>
      <w:r w:rsidR="009335DC" w:rsidRPr="00734F14">
        <w:t xml:space="preserve">Wydłużenie terminu </w:t>
      </w:r>
      <w:r w:rsidR="005B1AE6">
        <w:t>na</w:t>
      </w:r>
      <w:r w:rsidR="009335DC" w:rsidRPr="00734F14">
        <w:t xml:space="preserve"> wniesieni</w:t>
      </w:r>
      <w:r w:rsidR="005B1AE6">
        <w:t>e</w:t>
      </w:r>
      <w:r w:rsidR="009335DC" w:rsidRPr="00734F14">
        <w:t xml:space="preserve"> zarzutów od nakazu zapłaty sprawi, że pozwany będzie miał</w:t>
      </w:r>
      <w:r w:rsidR="002D7E40" w:rsidRPr="00734F14">
        <w:t xml:space="preserve"> również</w:t>
      </w:r>
      <w:r w:rsidR="009335DC" w:rsidRPr="00734F14">
        <w:t xml:space="preserve"> czas na zgromadzenie środków na opłatę sądową od zarzutów do nakazu zapłaty, </w:t>
      </w:r>
      <w:r w:rsidR="00036EC3">
        <w:t xml:space="preserve">która zgodnie z art. </w:t>
      </w:r>
      <w:r w:rsidR="00CA4479">
        <w:t>6</w:t>
      </w:r>
      <w:r w:rsidR="0008323B">
        <w:t xml:space="preserve"> </w:t>
      </w:r>
      <w:r w:rsidR="00036EC3">
        <w:t>projektu</w:t>
      </w:r>
      <w:r w:rsidR="009335DC" w:rsidRPr="00734F14">
        <w:t xml:space="preserve"> nie przekroczy </w:t>
      </w:r>
      <w:r w:rsidR="002D7E40" w:rsidRPr="00734F14">
        <w:t>kwoty 750 zł</w:t>
      </w:r>
      <w:r w:rsidR="00383296">
        <w:t xml:space="preserve"> w sytuacji</w:t>
      </w:r>
      <w:r w:rsidR="00EB5CE6">
        <w:t>,</w:t>
      </w:r>
      <w:r w:rsidR="00383296">
        <w:t xml:space="preserve"> gdy pozwanym będzie konsument</w:t>
      </w:r>
      <w:r w:rsidR="002D7E40" w:rsidRPr="00734F14">
        <w:t>. W przypadku braku takich środków, pozwany</w:t>
      </w:r>
      <w:r w:rsidR="000A2998">
        <w:t>-konsument</w:t>
      </w:r>
      <w:r w:rsidR="002D7E40" w:rsidRPr="00734F14">
        <w:t xml:space="preserve"> będzie mógł zgromadzić dokumenty uzasadniające ewentualny wniosek o zwolnienie go od ponoszenia kosztów </w:t>
      </w:r>
      <w:r w:rsidR="002D7E40" w:rsidRPr="00734F14">
        <w:lastRenderedPageBreak/>
        <w:t>sądowych.</w:t>
      </w:r>
    </w:p>
    <w:p w14:paraId="334E341A" w14:textId="77777777" w:rsidR="00321659" w:rsidRDefault="004171D8" w:rsidP="002116BE">
      <w:pPr>
        <w:ind w:firstLine="708"/>
        <w:jc w:val="both"/>
      </w:pPr>
      <w:r>
        <w:t>W</w:t>
      </w:r>
      <w:r w:rsidR="00AB13A7">
        <w:t>ydłużenie terminu do wniesienia zarzutów od nakazu zapłaty w zakładanym zakresie spraw nie spowoduje nadmiernego wydłużenia ich rozpoznawania</w:t>
      </w:r>
      <w:r w:rsidR="00B52433">
        <w:t xml:space="preserve"> i nie wpłynie </w:t>
      </w:r>
      <w:r>
        <w:t>istotnie</w:t>
      </w:r>
      <w:r w:rsidR="00B52433">
        <w:t xml:space="preserve"> na średnią długość rozpoznawania spraw przez sądy w postępowaniu cywilnym</w:t>
      </w:r>
      <w:r w:rsidR="00AB13A7">
        <w:t xml:space="preserve">. </w:t>
      </w:r>
      <w:r w:rsidR="00036EC3">
        <w:t>Wręcz przeciwnie</w:t>
      </w:r>
      <w:r w:rsidR="00AB13A7">
        <w:t>, może przyczynić się do ich szybszego rozpoznania w przypadku</w:t>
      </w:r>
      <w:r w:rsidR="00EB5CE6">
        <w:t>,</w:t>
      </w:r>
      <w:r w:rsidR="00AB13A7">
        <w:t xml:space="preserve"> gdy pozwany skorzysta z przysługującego mu prawa do wniesienia zarzutów od nakazu zapłaty w terminie miesiąca, z uwagi na oczekiwaną poprawę ich spor</w:t>
      </w:r>
      <w:r w:rsidR="00383296">
        <w:t xml:space="preserve">ządzania pod względem formalnym, a </w:t>
      </w:r>
      <w:r w:rsidR="000A2998">
        <w:t>w przypadku konsument</w:t>
      </w:r>
      <w:r w:rsidR="00383296">
        <w:t>ów zobowiązanych</w:t>
      </w:r>
      <w:r w:rsidR="000A2998">
        <w:t xml:space="preserve"> z weksla </w:t>
      </w:r>
      <w:r w:rsidR="00EB5CE6">
        <w:t xml:space="preserve"> - także z uwagi na </w:t>
      </w:r>
      <w:r w:rsidR="00AB13A7">
        <w:t>możliwoś</w:t>
      </w:r>
      <w:r w:rsidR="00EB5CE6">
        <w:t>ć</w:t>
      </w:r>
      <w:r w:rsidR="00AB13A7">
        <w:t xml:space="preserve"> zajęcia </w:t>
      </w:r>
      <w:r w:rsidR="00351E4F">
        <w:t>stanowiska</w:t>
      </w:r>
      <w:r w:rsidR="00AB13A7">
        <w:t xml:space="preserve"> co do umowy podstawowej zabezpieczonej wekslem</w:t>
      </w:r>
      <w:r w:rsidR="00351E4F">
        <w:t xml:space="preserve"> już na </w:t>
      </w:r>
      <w:r w:rsidR="00036EC3">
        <w:t>początkowym</w:t>
      </w:r>
      <w:r w:rsidR="00351E4F">
        <w:t xml:space="preserve"> etapie postępowania</w:t>
      </w:r>
      <w:r w:rsidR="00AB13A7">
        <w:t>.</w:t>
      </w:r>
      <w:r w:rsidR="00351E4F">
        <w:t xml:space="preserve"> Można </w:t>
      </w:r>
      <w:r w:rsidR="00F75E43">
        <w:t>założyć</w:t>
      </w:r>
      <w:r w:rsidR="00351E4F">
        <w:t xml:space="preserve">, że sąd </w:t>
      </w:r>
      <w:r w:rsidR="00383296">
        <w:t>za</w:t>
      </w:r>
      <w:r w:rsidR="00351E4F">
        <w:t>pozna</w:t>
      </w:r>
      <w:r w:rsidR="00383296">
        <w:t xml:space="preserve"> się z</w:t>
      </w:r>
      <w:r w:rsidR="00351E4F">
        <w:t xml:space="preserve"> </w:t>
      </w:r>
      <w:r w:rsidR="00383296">
        <w:t>większością</w:t>
      </w:r>
      <w:r w:rsidR="00036EC3">
        <w:t xml:space="preserve"> argumentów</w:t>
      </w:r>
      <w:r w:rsidR="00351E4F">
        <w:t xml:space="preserve"> stron już po analizie dwóch pierwszych pism procesowych w sprawie, tj. pozwu oraz zarzutów od nakazu zapłaty</w:t>
      </w:r>
      <w:r w:rsidR="00B52433">
        <w:t>, co zdecydowani</w:t>
      </w:r>
      <w:r w:rsidR="005B1AE6">
        <w:t>e</w:t>
      </w:r>
      <w:r w:rsidR="00B52433">
        <w:t xml:space="preserve"> ułatwi i przyspieszy procedowanie w dalszym toku sprawy</w:t>
      </w:r>
      <w:r w:rsidR="00351E4F">
        <w:t>.</w:t>
      </w:r>
      <w:r w:rsidR="00AB13A7">
        <w:t xml:space="preserve"> </w:t>
      </w:r>
    </w:p>
    <w:p w14:paraId="5A31A84E" w14:textId="1549A2C9" w:rsidR="00345CCA" w:rsidRDefault="00D26227" w:rsidP="002116BE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Nadto, f</w:t>
      </w:r>
      <w:r w:rsidRPr="0009240A">
        <w:rPr>
          <w:rFonts w:cs="Times New Roman"/>
          <w:szCs w:val="24"/>
        </w:rPr>
        <w:t>aktycznie już teraz sądy stosują prounijną wykładnię przepisów k</w:t>
      </w:r>
      <w:r>
        <w:rPr>
          <w:rFonts w:cs="Times New Roman"/>
          <w:szCs w:val="24"/>
        </w:rPr>
        <w:t>.</w:t>
      </w:r>
      <w:r w:rsidRPr="0009240A">
        <w:rPr>
          <w:rFonts w:cs="Times New Roman"/>
          <w:szCs w:val="24"/>
        </w:rPr>
        <w:t>p</w:t>
      </w:r>
      <w:r>
        <w:rPr>
          <w:rFonts w:cs="Times New Roman"/>
          <w:szCs w:val="24"/>
        </w:rPr>
        <w:t>.</w:t>
      </w:r>
      <w:r w:rsidRPr="0009240A">
        <w:rPr>
          <w:rFonts w:cs="Times New Roman"/>
          <w:szCs w:val="24"/>
        </w:rPr>
        <w:t>c</w:t>
      </w:r>
      <w:r>
        <w:rPr>
          <w:rFonts w:cs="Times New Roman"/>
          <w:szCs w:val="24"/>
        </w:rPr>
        <w:t>.,</w:t>
      </w:r>
      <w:r w:rsidRPr="0009240A">
        <w:rPr>
          <w:rFonts w:cs="Times New Roman"/>
          <w:szCs w:val="24"/>
        </w:rPr>
        <w:t xml:space="preserve"> tj. </w:t>
      </w:r>
      <w:r>
        <w:rPr>
          <w:rFonts w:cs="Times New Roman"/>
          <w:szCs w:val="24"/>
        </w:rPr>
        <w:t>interpretację</w:t>
      </w:r>
      <w:r w:rsidRPr="0009240A">
        <w:rPr>
          <w:rFonts w:cs="Times New Roman"/>
          <w:szCs w:val="24"/>
        </w:rPr>
        <w:t xml:space="preserve"> zmienianych przepisów w zgodzie z wykładnią wskazaną przez TSUE, i  </w:t>
      </w:r>
      <w:r w:rsidR="00205B24">
        <w:rPr>
          <w:rFonts w:cs="Times New Roman"/>
          <w:szCs w:val="24"/>
        </w:rPr>
        <w:t xml:space="preserve">albo kierują na rozprawę </w:t>
      </w:r>
      <w:r w:rsidRPr="0009240A">
        <w:rPr>
          <w:rFonts w:cs="Times New Roman"/>
          <w:szCs w:val="24"/>
        </w:rPr>
        <w:t>sprawy o zapłatę na podstawie weksla, gdy pozwanym jest konsument albo wzywają powoda do przedłożenia umowy podstawowej. W konsekwencji</w:t>
      </w:r>
      <w:r w:rsidR="007210A5">
        <w:rPr>
          <w:rFonts w:cs="Times New Roman"/>
          <w:szCs w:val="24"/>
        </w:rPr>
        <w:t>,</w:t>
      </w:r>
      <w:r w:rsidRPr="0009240A">
        <w:rPr>
          <w:rFonts w:cs="Times New Roman"/>
          <w:szCs w:val="24"/>
        </w:rPr>
        <w:t xml:space="preserve"> projekt ujednolic</w:t>
      </w:r>
      <w:r>
        <w:rPr>
          <w:rFonts w:cs="Times New Roman"/>
          <w:szCs w:val="24"/>
        </w:rPr>
        <w:t>ając</w:t>
      </w:r>
      <w:r w:rsidRPr="0009240A">
        <w:rPr>
          <w:rFonts w:cs="Times New Roman"/>
          <w:szCs w:val="24"/>
        </w:rPr>
        <w:t xml:space="preserve"> przyjęte już teraz sposoby procedowania przez sądy w tego typu sprawach tylko przyspieszy bieg postępowań w tej kategorii spraw.</w:t>
      </w:r>
    </w:p>
    <w:p w14:paraId="279DFDEB" w14:textId="77777777" w:rsidR="00D26227" w:rsidRDefault="00D26227" w:rsidP="002116BE">
      <w:pPr>
        <w:ind w:firstLine="708"/>
        <w:jc w:val="both"/>
      </w:pPr>
    </w:p>
    <w:p w14:paraId="3E129087" w14:textId="666C5C9B" w:rsidR="00345CCA" w:rsidRPr="002419CE" w:rsidRDefault="00B64449" w:rsidP="002116BE">
      <w:pPr>
        <w:ind w:firstLine="708"/>
        <w:jc w:val="both"/>
      </w:pPr>
      <w:r>
        <w:t>U</w:t>
      </w:r>
      <w:r w:rsidRPr="00CA7584">
        <w:t>staw</w:t>
      </w:r>
      <w:r>
        <w:t>ą</w:t>
      </w:r>
      <w:r w:rsidRPr="00CA7584">
        <w:t xml:space="preserve"> z dnia 4 lipca 2019 r. </w:t>
      </w:r>
      <w:r w:rsidRPr="00CA7584">
        <w:rPr>
          <w:i/>
        </w:rPr>
        <w:t>o zmianie ustawy - Kodeks postępowania cywilnego oraz niektórych innych ustaw</w:t>
      </w:r>
      <w:r w:rsidRPr="00CA7584">
        <w:t xml:space="preserve"> (Dz. U. </w:t>
      </w:r>
      <w:r w:rsidR="006B6C51">
        <w:t xml:space="preserve">z 2019 r. </w:t>
      </w:r>
      <w:r w:rsidRPr="00CA7584">
        <w:t xml:space="preserve">poz. 1469 </w:t>
      </w:r>
      <w:r w:rsidR="00D76D4E">
        <w:t>i 2089 oraz z 2020 r. poz. 1086</w:t>
      </w:r>
      <w:r w:rsidRPr="00CA7584">
        <w:t>)</w:t>
      </w:r>
      <w:r w:rsidR="00D76D4E" w:rsidRPr="00D76D4E">
        <w:rPr>
          <w:rFonts w:ascii="Arial" w:hAnsi="Arial"/>
          <w:color w:val="333333"/>
          <w:sz w:val="18"/>
          <w:szCs w:val="18"/>
          <w:shd w:val="clear" w:color="auto" w:fill="FFFFFF"/>
        </w:rPr>
        <w:t xml:space="preserve"> </w:t>
      </w:r>
      <w:r>
        <w:t xml:space="preserve"> wprowadzono art. 480</w:t>
      </w:r>
      <w:r>
        <w:rPr>
          <w:vertAlign w:val="superscript"/>
        </w:rPr>
        <w:t>2</w:t>
      </w:r>
      <w:r>
        <w:t xml:space="preserve"> k.p.c.</w:t>
      </w:r>
      <w:r w:rsidR="00FC18D9">
        <w:t>, w którym przewidziane zostały</w:t>
      </w:r>
      <w:r>
        <w:t xml:space="preserve"> trzy różne terminy </w:t>
      </w:r>
      <w:r w:rsidRPr="002419CE">
        <w:t>do wnoszenia środków zaskarżenia w postępowaniach nakazowym i upominawczym, tj. dwutygodniowy, miesięczny i nie krótszy niż trzy miesiące</w:t>
      </w:r>
      <w:r w:rsidR="002419CE" w:rsidRPr="002419CE">
        <w:t>, przy czym ostatni z tych terminów w niniejszym projekcie ulegnie zmianie poprzez jego sztywne określenie na trzy miesiące</w:t>
      </w:r>
      <w:r w:rsidRPr="002419CE">
        <w:t xml:space="preserve">. </w:t>
      </w:r>
      <w:r w:rsidR="005A11D0">
        <w:t>W pierwotnym brzmieniu art. 480</w:t>
      </w:r>
      <w:r w:rsidR="005A11D0">
        <w:rPr>
          <w:vertAlign w:val="superscript"/>
        </w:rPr>
        <w:t>2</w:t>
      </w:r>
      <w:r w:rsidR="005A11D0">
        <w:t xml:space="preserve"> k.p.c. t</w:t>
      </w:r>
      <w:r w:rsidRPr="002419CE">
        <w:t>ermin do wniesienia środka zaskarżenia</w:t>
      </w:r>
      <w:r w:rsidR="005A11D0">
        <w:t xml:space="preserve"> uzależniony został od miejsca</w:t>
      </w:r>
      <w:r w:rsidR="00EB5CE6">
        <w:t>,</w:t>
      </w:r>
      <w:r w:rsidR="005A11D0">
        <w:t xml:space="preserve"> gdzie pozwany ma siedzibę lub miejsce zamieszkania, a </w:t>
      </w:r>
      <w:r w:rsidRPr="002419CE">
        <w:t xml:space="preserve">w </w:t>
      </w:r>
      <w:r w:rsidR="005A11D0">
        <w:t xml:space="preserve">przypadku gdy doręczenie ma nastąpić poza terytorium Unii Europejskiej, od miejsca w </w:t>
      </w:r>
      <w:r w:rsidRPr="002419CE">
        <w:t xml:space="preserve">którym </w:t>
      </w:r>
      <w:r w:rsidR="002419CE" w:rsidRPr="002419CE">
        <w:t>ma</w:t>
      </w:r>
      <w:r w:rsidRPr="002419CE">
        <w:t xml:space="preserve"> zostać doręczony </w:t>
      </w:r>
      <w:r w:rsidR="002419CE" w:rsidRPr="002419CE">
        <w:t>nakaz</w:t>
      </w:r>
      <w:r w:rsidRPr="002419CE">
        <w:t xml:space="preserve"> zapłaty pozwanemu.</w:t>
      </w:r>
      <w:r w:rsidR="005A11D0">
        <w:t xml:space="preserve"> Powyższa niespójność polegająca na tym, że w pewnych przypadkach ustawodawca posłużył się pojęciem siedziby i zamieszkania, a w ostatnim miejscem doręczenia, została wyeliminowana poprzez</w:t>
      </w:r>
      <w:r w:rsidR="00C54FF6">
        <w:t xml:space="preserve"> nowe</w:t>
      </w:r>
      <w:r w:rsidR="005A11D0">
        <w:t xml:space="preserve"> brzmienie projektowanego art. 480</w:t>
      </w:r>
      <w:r w:rsidR="005A11D0">
        <w:rPr>
          <w:vertAlign w:val="superscript"/>
        </w:rPr>
        <w:t>2</w:t>
      </w:r>
      <w:r w:rsidR="005A11D0">
        <w:t xml:space="preserve"> </w:t>
      </w:r>
      <w:r w:rsidR="005A11D0">
        <w:rPr>
          <w:rFonts w:cs="Times New Roman"/>
        </w:rPr>
        <w:t>§</w:t>
      </w:r>
      <w:r w:rsidR="005A11D0">
        <w:t xml:space="preserve"> 2 k.p.c.</w:t>
      </w:r>
      <w:r w:rsidR="00C54FF6">
        <w:t>, gdzie jednolicie posłużono się pojęciem miejsca</w:t>
      </w:r>
      <w:r w:rsidR="00EB5CE6">
        <w:t>,</w:t>
      </w:r>
      <w:r w:rsidR="00C54FF6">
        <w:t xml:space="preserve"> gdzie pozwanemu ma zostać doręczony nakaz zapłaty.</w:t>
      </w:r>
    </w:p>
    <w:p w14:paraId="693F5CDD" w14:textId="77777777" w:rsidR="002419CE" w:rsidRDefault="00FC18D9" w:rsidP="002116BE">
      <w:pPr>
        <w:ind w:firstLine="708"/>
        <w:jc w:val="both"/>
      </w:pPr>
      <w:r>
        <w:t>N</w:t>
      </w:r>
      <w:r w:rsidR="002419CE" w:rsidRPr="002419CE">
        <w:t>a etapie doręczania nakazu zapłaty sąd może powziąć informacj</w:t>
      </w:r>
      <w:r>
        <w:t>ę</w:t>
      </w:r>
      <w:r w:rsidR="002419CE" w:rsidRPr="002419CE">
        <w:t xml:space="preserve">, że pozwany ma inny </w:t>
      </w:r>
      <w:r w:rsidR="002419CE" w:rsidRPr="002419CE">
        <w:lastRenderedPageBreak/>
        <w:t>adres do d</w:t>
      </w:r>
      <w:r>
        <w:t>oręczeń</w:t>
      </w:r>
      <w:r w:rsidR="00DD6BAF">
        <w:t>,</w:t>
      </w:r>
      <w:r>
        <w:t xml:space="preserve"> niż wskazany w pozwie,</w:t>
      </w:r>
      <w:r w:rsidR="002419CE" w:rsidRPr="002419CE">
        <w:t xml:space="preserve"> który będzie skutkował koniecznością zmiany nakazu zapłaty w zakresie term</w:t>
      </w:r>
      <w:r w:rsidR="002419CE" w:rsidRPr="002419CE">
        <w:rPr>
          <w:rFonts w:cs="Times New Roman"/>
          <w:szCs w:val="24"/>
        </w:rPr>
        <w:t xml:space="preserve">inu do </w:t>
      </w:r>
      <w:r w:rsidR="002419CE" w:rsidRPr="002419CE">
        <w:rPr>
          <w:rFonts w:cs="Times New Roman"/>
          <w:szCs w:val="24"/>
          <w:shd w:val="clear" w:color="auto" w:fill="FFFFFF"/>
        </w:rPr>
        <w:t>zaspokojenia roszczenia albo wniesienia środka zaskarżenia.</w:t>
      </w:r>
      <w:r w:rsidR="002419CE">
        <w:rPr>
          <w:rFonts w:cs="Times New Roman"/>
          <w:szCs w:val="24"/>
          <w:shd w:val="clear" w:color="auto" w:fill="FFFFFF"/>
        </w:rPr>
        <w:t xml:space="preserve"> W obecnym brzmieni</w:t>
      </w:r>
      <w:r w:rsidR="00FD2500">
        <w:rPr>
          <w:rFonts w:cs="Times New Roman"/>
          <w:szCs w:val="24"/>
          <w:shd w:val="clear" w:color="auto" w:fill="FFFFFF"/>
        </w:rPr>
        <w:t>u k.p.c. brak jest</w:t>
      </w:r>
      <w:r w:rsidR="002419CE">
        <w:rPr>
          <w:rFonts w:cs="Times New Roman"/>
          <w:szCs w:val="24"/>
          <w:shd w:val="clear" w:color="auto" w:fill="FFFFFF"/>
        </w:rPr>
        <w:t xml:space="preserve"> podstawy do zmiany nakazu zapłaty w takiej w sytuacji, taka możliwość nie została również przewidziana ww. ustawą z 4 lipca 2019 r. </w:t>
      </w:r>
      <w:r w:rsidR="002419CE" w:rsidRPr="00CA7584">
        <w:rPr>
          <w:i/>
        </w:rPr>
        <w:t>o zmianie ustawy - Kodeks postępowania cywilnego oraz niektórych innych ustaw</w:t>
      </w:r>
      <w:r w:rsidR="00063ED4">
        <w:t>.</w:t>
      </w:r>
      <w:r w:rsidR="002419CE">
        <w:t xml:space="preserve"> </w:t>
      </w:r>
      <w:r w:rsidR="00063ED4">
        <w:t>W</w:t>
      </w:r>
      <w:r w:rsidR="002419CE">
        <w:t xml:space="preserve">obec tego, zaszła konieczność </w:t>
      </w:r>
      <w:r w:rsidR="00FD2500">
        <w:t xml:space="preserve">wprowadzenia stosownego przepisu, tj. art. </w:t>
      </w:r>
      <w:r w:rsidR="00FD2500" w:rsidRPr="00734F14">
        <w:t>4</w:t>
      </w:r>
      <w:r w:rsidR="00FD2500">
        <w:t>80</w:t>
      </w:r>
      <w:r w:rsidR="00FD2500">
        <w:rPr>
          <w:vertAlign w:val="superscript"/>
        </w:rPr>
        <w:t>2</w:t>
      </w:r>
      <w:r w:rsidR="00FD2500" w:rsidRPr="00734F14">
        <w:t xml:space="preserve"> </w:t>
      </w:r>
      <w:r w:rsidR="00FD2500" w:rsidRPr="00734F14">
        <w:rPr>
          <w:rFonts w:cs="Times New Roman"/>
        </w:rPr>
        <w:t>§</w:t>
      </w:r>
      <w:r w:rsidR="00FD2500" w:rsidRPr="00734F14">
        <w:t xml:space="preserve"> 2</w:t>
      </w:r>
      <w:r w:rsidR="00FD2500">
        <w:rPr>
          <w:vertAlign w:val="superscript"/>
        </w:rPr>
        <w:t>1</w:t>
      </w:r>
      <w:r w:rsidR="00FD2500" w:rsidRPr="00734F14">
        <w:t xml:space="preserve"> k.p.c.</w:t>
      </w:r>
      <w:r w:rsidR="00FD2500">
        <w:t xml:space="preserve"> Projektowany art. </w:t>
      </w:r>
      <w:r w:rsidR="00FD2500" w:rsidRPr="00734F14">
        <w:t>4</w:t>
      </w:r>
      <w:r w:rsidR="00FD2500">
        <w:t>80</w:t>
      </w:r>
      <w:r w:rsidR="00FD2500">
        <w:rPr>
          <w:vertAlign w:val="superscript"/>
        </w:rPr>
        <w:t>2</w:t>
      </w:r>
      <w:r w:rsidR="00FD2500" w:rsidRPr="00734F14">
        <w:t xml:space="preserve"> </w:t>
      </w:r>
      <w:r w:rsidR="00FD2500" w:rsidRPr="00734F14">
        <w:rPr>
          <w:rFonts w:cs="Times New Roman"/>
        </w:rPr>
        <w:t>§</w:t>
      </w:r>
      <w:r w:rsidR="00FD2500" w:rsidRPr="00734F14">
        <w:t xml:space="preserve"> 2</w:t>
      </w:r>
      <w:r w:rsidR="00FD2500">
        <w:rPr>
          <w:vertAlign w:val="superscript"/>
        </w:rPr>
        <w:t>1</w:t>
      </w:r>
      <w:r w:rsidR="00FD2500" w:rsidRPr="00734F14">
        <w:t xml:space="preserve"> k.p.c.</w:t>
      </w:r>
      <w:r w:rsidR="00FD2500">
        <w:t xml:space="preserve"> stanowi podstawę dokonania takiej zmiany i wskazuje jej formę (postanowienie).</w:t>
      </w:r>
    </w:p>
    <w:p w14:paraId="3EDA719D" w14:textId="5E96CD98" w:rsidR="00FD2500" w:rsidRDefault="00FD2500" w:rsidP="002116BE">
      <w:pPr>
        <w:ind w:firstLine="708"/>
        <w:jc w:val="both"/>
      </w:pPr>
      <w:r>
        <w:t xml:space="preserve">Wobec powyższej zmiany, należało również wprost wskazać, że w wypadku gdy sąd wyda postanowienie o zmianie nakazu zapłaty dokonuje się wzmianki o powyższym na oryginale nakazu, a kolejne wypisy i odpisy wydaje się w brzmieniu uwzględniającym zmianę (projektowany art. </w:t>
      </w:r>
      <w:r w:rsidRPr="00734F14">
        <w:t>4</w:t>
      </w:r>
      <w:r>
        <w:t>80</w:t>
      </w:r>
      <w:r>
        <w:rPr>
          <w:vertAlign w:val="superscript"/>
        </w:rPr>
        <w:t>2</w:t>
      </w:r>
      <w:r w:rsidRPr="00734F14">
        <w:t xml:space="preserve"> </w:t>
      </w:r>
      <w:r w:rsidRPr="00734F14">
        <w:rPr>
          <w:rFonts w:cs="Times New Roman"/>
        </w:rPr>
        <w:t>§</w:t>
      </w:r>
      <w:r w:rsidRPr="00734F14">
        <w:t xml:space="preserve"> </w:t>
      </w:r>
      <w:r w:rsidR="002A780E" w:rsidRPr="00734F14">
        <w:t>2</w:t>
      </w:r>
      <w:r w:rsidR="002A780E">
        <w:rPr>
          <w:vertAlign w:val="superscript"/>
        </w:rPr>
        <w:t>2</w:t>
      </w:r>
      <w:r w:rsidR="002A780E" w:rsidRPr="00734F14">
        <w:t xml:space="preserve"> </w:t>
      </w:r>
      <w:r w:rsidRPr="00734F14">
        <w:t>k.p.c.</w:t>
      </w:r>
      <w:r>
        <w:t>).</w:t>
      </w:r>
    </w:p>
    <w:p w14:paraId="404B37B3" w14:textId="10724413" w:rsidR="005C6CC4" w:rsidRPr="005C6CC4" w:rsidRDefault="005C6CC4" w:rsidP="002116BE">
      <w:pPr>
        <w:ind w:firstLine="708"/>
        <w:jc w:val="both"/>
      </w:pPr>
      <w:r>
        <w:t xml:space="preserve">Kolejną kwestią </w:t>
      </w:r>
      <w:r w:rsidR="00653681">
        <w:t>wymagającą rozstrzygnięcia</w:t>
      </w:r>
      <w:r>
        <w:t xml:space="preserve"> w związku z wprowadzeniem art. 480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§</w:t>
      </w:r>
      <w:r>
        <w:t xml:space="preserve"> 2</w:t>
      </w:r>
      <w:r>
        <w:rPr>
          <w:vertAlign w:val="superscript"/>
        </w:rPr>
        <w:t>1</w:t>
      </w:r>
      <w:r>
        <w:t xml:space="preserve"> k.p.c. była potrzeba </w:t>
      </w:r>
      <w:r w:rsidR="00653681">
        <w:t>przesądzenia</w:t>
      </w:r>
      <w:r>
        <w:t xml:space="preserve"> możliwości zaskarżenia postanowienia wydanego na podstawie ww. przepisu. Wobec tego, mając na uwadze, że ww. instytucja zmiany nakazu zapłaty jest najbardziej zbliżona do instytucji sprostowania, w przedmiocie którego orzeczenia sądu są zaskarżalne na podstawie art. 394</w:t>
      </w:r>
      <w:r>
        <w:rPr>
          <w:vertAlign w:val="superscript"/>
        </w:rPr>
        <w:t>1a</w:t>
      </w:r>
      <w:r>
        <w:t xml:space="preserve"> </w:t>
      </w:r>
      <w:r>
        <w:rPr>
          <w:rFonts w:cs="Times New Roman"/>
        </w:rPr>
        <w:t>§</w:t>
      </w:r>
      <w:r>
        <w:t xml:space="preserve"> 1 pkt 8 k.p.c., projektodawca przewidział dodanie pkt 8</w:t>
      </w:r>
      <w:r>
        <w:rPr>
          <w:vertAlign w:val="superscript"/>
        </w:rPr>
        <w:t>1</w:t>
      </w:r>
      <w:r>
        <w:t xml:space="preserve"> po pkt 8 w art. 394</w:t>
      </w:r>
      <w:r>
        <w:rPr>
          <w:vertAlign w:val="superscript"/>
        </w:rPr>
        <w:t>1a</w:t>
      </w:r>
      <w:r>
        <w:t xml:space="preserve"> </w:t>
      </w:r>
      <w:r>
        <w:rPr>
          <w:rFonts w:cs="Times New Roman"/>
        </w:rPr>
        <w:t>§</w:t>
      </w:r>
      <w:r>
        <w:t xml:space="preserve"> 1 k.p.c.</w:t>
      </w:r>
      <w:r w:rsidR="00AF31F5">
        <w:t>, który w przypadku postanowienia dotyczącego z</w:t>
      </w:r>
      <w:r w:rsidR="00AF31F5" w:rsidRPr="00653681">
        <w:rPr>
          <w:rFonts w:cs="Times New Roman"/>
          <w:szCs w:val="24"/>
        </w:rPr>
        <w:t xml:space="preserve">miany nakazu zapłaty dopuszcza wniesienie zażalenia </w:t>
      </w:r>
      <w:r w:rsidR="00653681" w:rsidRPr="00653681">
        <w:rPr>
          <w:rFonts w:cs="Times New Roman"/>
          <w:color w:val="333333"/>
          <w:szCs w:val="24"/>
          <w:shd w:val="clear" w:color="auto" w:fill="FFFFFF"/>
        </w:rPr>
        <w:t>do innego składu sądu pierwszej instancji.</w:t>
      </w:r>
    </w:p>
    <w:p w14:paraId="5D455A04" w14:textId="77777777" w:rsidR="00345CCA" w:rsidRPr="00734F14" w:rsidRDefault="00345CCA" w:rsidP="002116BE">
      <w:pPr>
        <w:ind w:firstLine="708"/>
        <w:jc w:val="both"/>
      </w:pPr>
    </w:p>
    <w:p w14:paraId="489B3E51" w14:textId="4E55DB3B" w:rsidR="00036EC3" w:rsidRDefault="002D7E40" w:rsidP="00314F46">
      <w:pPr>
        <w:ind w:firstLine="708"/>
        <w:jc w:val="both"/>
        <w:rPr>
          <w:rFonts w:cs="Times New Roman"/>
        </w:rPr>
      </w:pPr>
      <w:r w:rsidRPr="00734F14">
        <w:t xml:space="preserve">Jak wskazano powyżej art. </w:t>
      </w:r>
      <w:r w:rsidR="00E53766">
        <w:t>6</w:t>
      </w:r>
      <w:r w:rsidR="00E53766" w:rsidRPr="00734F14">
        <w:t xml:space="preserve"> </w:t>
      </w:r>
      <w:r w:rsidRPr="00734F14">
        <w:t>projektowanej ustawy zakłada wprowadzenie górnej wysokości opłaty sądowej od zarzutów od nakazu zapłaty w sprawach, w których pozwanym jest konsument.</w:t>
      </w:r>
      <w:r w:rsidR="00FE1BA8" w:rsidRPr="00734F14">
        <w:t>. Ustalając górną gran</w:t>
      </w:r>
      <w:r w:rsidR="00036EC3">
        <w:t xml:space="preserve">icę opłaty sądowej od zarzutów </w:t>
      </w:r>
      <w:r w:rsidR="00FE1BA8" w:rsidRPr="00734F14">
        <w:t>o</w:t>
      </w:r>
      <w:r w:rsidR="00036EC3">
        <w:t>d</w:t>
      </w:r>
      <w:r w:rsidR="00FE1BA8" w:rsidRPr="00734F14">
        <w:t xml:space="preserve"> nakazu zapłaty na kwotę 750 zł projektodawca wziął pod uwagę wysokość minimalnego wynagrodzenia w roku 2020</w:t>
      </w:r>
      <w:r w:rsidR="00193175">
        <w:t xml:space="preserve"> (2 600 zł</w:t>
      </w:r>
      <w:r w:rsidR="00314F46">
        <w:t xml:space="preserve"> - </w:t>
      </w:r>
      <w:r w:rsidR="00314F46">
        <w:rPr>
          <w:rFonts w:cs="Times New Roman"/>
        </w:rPr>
        <w:t>§</w:t>
      </w:r>
      <w:r w:rsidR="00314F46">
        <w:t xml:space="preserve"> 1 r</w:t>
      </w:r>
      <w:r w:rsidR="00193175" w:rsidRPr="00193175">
        <w:t>ozporządzeni</w:t>
      </w:r>
      <w:r w:rsidR="00314F46">
        <w:t>a</w:t>
      </w:r>
      <w:r w:rsidR="00193175" w:rsidRPr="00193175">
        <w:t xml:space="preserve"> Rady Ministrów z dnia 10 września 2019 r. </w:t>
      </w:r>
      <w:r w:rsidR="00193175" w:rsidRPr="00314F46">
        <w:rPr>
          <w:i/>
        </w:rPr>
        <w:t xml:space="preserve">w </w:t>
      </w:r>
      <w:r w:rsidR="00193175" w:rsidRPr="00314F46">
        <w:rPr>
          <w:rFonts w:cs="Times New Roman"/>
          <w:i/>
        </w:rPr>
        <w:t>sprawie wysokości minimalnego wynagrodzenia za pracę oraz wysokości minimalnej stawki godzinowej w 2020 r. (Dz. U. poz. 1778)</w:t>
      </w:r>
      <w:r w:rsidR="00314F46" w:rsidRPr="00314F46">
        <w:rPr>
          <w:rFonts w:cs="Times New Roman"/>
        </w:rPr>
        <w:t>)</w:t>
      </w:r>
      <w:r w:rsidR="00431041">
        <w:rPr>
          <w:rFonts w:cs="Times New Roman"/>
        </w:rPr>
        <w:t xml:space="preserve">, </w:t>
      </w:r>
      <w:r w:rsidR="00C54FF6">
        <w:rPr>
          <w:rFonts w:cs="Times New Roman"/>
        </w:rPr>
        <w:t>zakładany</w:t>
      </w:r>
      <w:r w:rsidR="00431041">
        <w:rPr>
          <w:rFonts w:cs="Times New Roman"/>
        </w:rPr>
        <w:t xml:space="preserve"> wzrost minimalnego wynagrodzenia</w:t>
      </w:r>
      <w:r w:rsidR="00036EC3">
        <w:rPr>
          <w:rFonts w:cs="Times New Roman"/>
        </w:rPr>
        <w:t xml:space="preserve"> oraz</w:t>
      </w:r>
      <w:r w:rsidR="00FE1BA8" w:rsidRPr="00314F46">
        <w:rPr>
          <w:rFonts w:cs="Times New Roman"/>
        </w:rPr>
        <w:t xml:space="preserve"> fakt, że art. </w:t>
      </w:r>
      <w:r w:rsidR="00314F46" w:rsidRPr="00314F46">
        <w:rPr>
          <w:rFonts w:cs="Times New Roman"/>
        </w:rPr>
        <w:t>13a</w:t>
      </w:r>
      <w:r w:rsidR="00FE1BA8" w:rsidRPr="00314F46">
        <w:rPr>
          <w:rFonts w:cs="Times New Roman"/>
        </w:rPr>
        <w:t xml:space="preserve"> ustawy</w:t>
      </w:r>
      <w:r w:rsidR="00314F46" w:rsidRPr="00314F46">
        <w:rPr>
          <w:rFonts w:cs="Times New Roman"/>
        </w:rPr>
        <w:t xml:space="preserve"> </w:t>
      </w:r>
      <w:r w:rsidR="00314F46" w:rsidRPr="00314F46">
        <w:rPr>
          <w:rFonts w:cs="Times New Roman"/>
          <w:i/>
        </w:rPr>
        <w:t>o kosztach sądowych w sprawach cywilnych</w:t>
      </w:r>
      <w:r w:rsidR="00314F46" w:rsidRPr="00314F46">
        <w:rPr>
          <w:rFonts w:cs="Times New Roman"/>
        </w:rPr>
        <w:t xml:space="preserve"> </w:t>
      </w:r>
      <w:r w:rsidR="00FE1BA8" w:rsidRPr="00314F46">
        <w:rPr>
          <w:rFonts w:cs="Times New Roman"/>
        </w:rPr>
        <w:t xml:space="preserve">przewiduje dla konsumenta maksymalną opłatę od pozwu na kwotę 1 000 zł, natomiast zgodnie z art. 19 ust. 4 </w:t>
      </w:r>
      <w:r w:rsidR="002A780E">
        <w:rPr>
          <w:rFonts w:cs="Times New Roman"/>
        </w:rPr>
        <w:t>u.k.s.c.</w:t>
      </w:r>
      <w:r w:rsidR="00036EC3" w:rsidRPr="00314F46">
        <w:rPr>
          <w:rFonts w:cs="Times New Roman"/>
        </w:rPr>
        <w:t xml:space="preserve"> </w:t>
      </w:r>
      <w:r w:rsidR="00314F46" w:rsidRPr="00314F46">
        <w:rPr>
          <w:rFonts w:cs="Times New Roman"/>
        </w:rPr>
        <w:t>od zarzutów</w:t>
      </w:r>
      <w:r w:rsidR="00FE1BA8" w:rsidRPr="00314F46">
        <w:rPr>
          <w:rFonts w:cs="Times New Roman"/>
        </w:rPr>
        <w:t xml:space="preserve"> od nakazu zapłaty wydane</w:t>
      </w:r>
      <w:r w:rsidR="00314F46" w:rsidRPr="00314F46">
        <w:rPr>
          <w:rFonts w:cs="Times New Roman"/>
        </w:rPr>
        <w:t>go</w:t>
      </w:r>
      <w:r w:rsidR="00FE1BA8" w:rsidRPr="00314F46">
        <w:rPr>
          <w:rFonts w:cs="Times New Roman"/>
        </w:rPr>
        <w:t xml:space="preserve"> w postępowaniu nakazowym </w:t>
      </w:r>
      <w:r w:rsidR="00314F46">
        <w:rPr>
          <w:rFonts w:cs="Times New Roman"/>
          <w:shd w:val="clear" w:color="auto" w:fill="FFFFFF"/>
        </w:rPr>
        <w:t xml:space="preserve">pobiera się od pozwanego </w:t>
      </w:r>
      <w:r w:rsidR="00314F46" w:rsidRPr="00314F46">
        <w:rPr>
          <w:rFonts w:cs="Times New Roman"/>
          <w:shd w:val="clear" w:color="auto" w:fill="FFFFFF"/>
        </w:rPr>
        <w:t>trzy czwarte części opłaty</w:t>
      </w:r>
      <w:r w:rsidR="00314F46">
        <w:rPr>
          <w:rFonts w:cs="Times New Roman"/>
          <w:shd w:val="clear" w:color="auto" w:fill="FFFFFF"/>
        </w:rPr>
        <w:t xml:space="preserve"> (3/4 z 1 000 zł = 750 zł)</w:t>
      </w:r>
      <w:r w:rsidR="00FE1BA8" w:rsidRPr="00314F46">
        <w:rPr>
          <w:rFonts w:cs="Times New Roman"/>
        </w:rPr>
        <w:t xml:space="preserve">. </w:t>
      </w:r>
    </w:p>
    <w:p w14:paraId="06B294BA" w14:textId="77777777" w:rsidR="005D39BB" w:rsidRPr="005D39BB" w:rsidRDefault="005D39BB" w:rsidP="005D39BB">
      <w:pPr>
        <w:ind w:firstLine="708"/>
        <w:jc w:val="both"/>
        <w:rPr>
          <w:rFonts w:cs="Times New Roman"/>
          <w:szCs w:val="24"/>
          <w:shd w:val="clear" w:color="auto" w:fill="FFFFFF"/>
        </w:rPr>
      </w:pPr>
      <w:r w:rsidRPr="005D39BB">
        <w:rPr>
          <w:rFonts w:cs="Times New Roman"/>
          <w:szCs w:val="24"/>
          <w:shd w:val="clear" w:color="auto" w:fill="FFFFFF"/>
        </w:rPr>
        <w:t xml:space="preserve">Maksymalna różnica między opłatą sądową od pozwu spełniającego przesłanki do rozpoznania w postępowaniu nakazowym uiszczaną przez powoda-przedsiębiorcę a opłatą sądową od zarzutów od nakazu zapłaty uiszczaną przez pozwanego-konsumenta wyniesie </w:t>
      </w:r>
      <w:r>
        <w:rPr>
          <w:rFonts w:cs="Times New Roman"/>
          <w:szCs w:val="24"/>
          <w:shd w:val="clear" w:color="auto" w:fill="FFFFFF"/>
        </w:rPr>
        <w:t xml:space="preserve">500 </w:t>
      </w:r>
      <w:r>
        <w:rPr>
          <w:rFonts w:cs="Times New Roman"/>
          <w:szCs w:val="24"/>
          <w:shd w:val="clear" w:color="auto" w:fill="FFFFFF"/>
        </w:rPr>
        <w:lastRenderedPageBreak/>
        <w:t xml:space="preserve">zł. </w:t>
      </w:r>
      <w:r w:rsidR="008D77F6">
        <w:rPr>
          <w:rFonts w:cs="Times New Roman"/>
          <w:szCs w:val="24"/>
          <w:shd w:val="clear" w:color="auto" w:fill="FFFFFF"/>
        </w:rPr>
        <w:t xml:space="preserve">Przy czym obowiązek uiszczenia przez konsumenta opłaty sądowej od zarzutów od nakazu zapłaty </w:t>
      </w:r>
      <w:r w:rsidR="00203BD5">
        <w:rPr>
          <w:rFonts w:cs="Times New Roman"/>
          <w:szCs w:val="24"/>
          <w:shd w:val="clear" w:color="auto" w:fill="FFFFFF"/>
        </w:rPr>
        <w:t xml:space="preserve">w postępowaniu nakazowym na podstawie weksla </w:t>
      </w:r>
      <w:r w:rsidR="008D77F6">
        <w:rPr>
          <w:rFonts w:cs="Times New Roman"/>
          <w:szCs w:val="24"/>
          <w:shd w:val="clear" w:color="auto" w:fill="FFFFFF"/>
        </w:rPr>
        <w:t>powstanie jedynie w sytuacji</w:t>
      </w:r>
      <w:r w:rsidR="008D785B">
        <w:rPr>
          <w:rFonts w:cs="Times New Roman"/>
          <w:szCs w:val="24"/>
          <w:shd w:val="clear" w:color="auto" w:fill="FFFFFF"/>
        </w:rPr>
        <w:t>,</w:t>
      </w:r>
      <w:r w:rsidR="008D77F6">
        <w:rPr>
          <w:rFonts w:cs="Times New Roman"/>
          <w:szCs w:val="24"/>
          <w:shd w:val="clear" w:color="auto" w:fill="FFFFFF"/>
        </w:rPr>
        <w:t xml:space="preserve"> gdy sąd wyda nakaz zapłaty, uprzednio dokonując oceny, że załączona umowa </w:t>
      </w:r>
      <w:r w:rsidR="008D77F6" w:rsidRPr="00203BD5">
        <w:rPr>
          <w:rFonts w:cs="Times New Roman"/>
          <w:szCs w:val="24"/>
          <w:shd w:val="clear" w:color="auto" w:fill="FFFFFF"/>
        </w:rPr>
        <w:t>o kredyt konsumencki</w:t>
      </w:r>
      <w:r w:rsidR="008D77F6">
        <w:rPr>
          <w:rFonts w:cs="Times New Roman"/>
          <w:szCs w:val="24"/>
          <w:shd w:val="clear" w:color="auto" w:fill="FFFFFF"/>
        </w:rPr>
        <w:t xml:space="preserve"> wraz z załącznikami </w:t>
      </w:r>
      <w:r w:rsidR="008D785B">
        <w:rPr>
          <w:rFonts w:cs="Times New Roman"/>
          <w:szCs w:val="24"/>
          <w:shd w:val="clear" w:color="auto" w:fill="FFFFFF"/>
        </w:rPr>
        <w:t>nie zawierają klauzul niedozwolonych.</w:t>
      </w:r>
    </w:p>
    <w:p w14:paraId="0C005B3F" w14:textId="15CF978A" w:rsidR="002D7E40" w:rsidRDefault="005D39BB" w:rsidP="00314F46">
      <w:pPr>
        <w:ind w:firstLine="708"/>
        <w:jc w:val="both"/>
        <w:rPr>
          <w:rFonts w:cs="Times New Roman"/>
          <w:shd w:val="clear" w:color="auto" w:fill="FFFFFF"/>
        </w:rPr>
      </w:pPr>
      <w:r>
        <w:rPr>
          <w:rFonts w:cs="Times New Roman"/>
        </w:rPr>
        <w:t>P</w:t>
      </w:r>
      <w:r w:rsidR="00FE1BA8" w:rsidRPr="00314F46">
        <w:rPr>
          <w:rFonts w:cs="Times New Roman"/>
        </w:rPr>
        <w:t>oniesienie nawet maksymalnej opłaty sądowej od zarzutów w kwocie 750 zł nie powinno stanowić dla większości</w:t>
      </w:r>
      <w:r w:rsidR="00384F85" w:rsidRPr="00314F46">
        <w:rPr>
          <w:rFonts w:cs="Times New Roman"/>
        </w:rPr>
        <w:t xml:space="preserve"> konsumentów nadmiernej </w:t>
      </w:r>
      <w:r w:rsidR="00384F85" w:rsidRPr="00734F14">
        <w:rPr>
          <w:rFonts w:cs="Times New Roman"/>
        </w:rPr>
        <w:t xml:space="preserve">bariery uniemożliwiającej uczestnictwo w postępowaniu. W przypadkach gdy </w:t>
      </w:r>
      <w:r w:rsidR="00314F46">
        <w:rPr>
          <w:rFonts w:cs="Times New Roman"/>
        </w:rPr>
        <w:t>uiszczenie</w:t>
      </w:r>
      <w:r w:rsidR="00384F85" w:rsidRPr="00734F14">
        <w:rPr>
          <w:rFonts w:cs="Times New Roman"/>
        </w:rPr>
        <w:t xml:space="preserve"> opłaty</w:t>
      </w:r>
      <w:r w:rsidR="00314F46">
        <w:rPr>
          <w:rFonts w:cs="Times New Roman"/>
        </w:rPr>
        <w:t xml:space="preserve"> </w:t>
      </w:r>
      <w:r w:rsidR="00384F85" w:rsidRPr="00734F14">
        <w:rPr>
          <w:rFonts w:cs="Times New Roman"/>
        </w:rPr>
        <w:t xml:space="preserve">w takiej wysokości mogłoby prowadzić w sytuacji danego pozwanego do </w:t>
      </w:r>
      <w:r w:rsidR="00384F85" w:rsidRPr="00734F14">
        <w:rPr>
          <w:rFonts w:cs="Times New Roman"/>
          <w:shd w:val="clear" w:color="auto" w:fill="FFFFFF"/>
        </w:rPr>
        <w:t xml:space="preserve">uszczerbku utrzymania koniecznego dla niego i jego rodziny lub narazić na taki uszczerbek, </w:t>
      </w:r>
      <w:r w:rsidR="00321659">
        <w:rPr>
          <w:rFonts w:cs="Times New Roman"/>
          <w:shd w:val="clear" w:color="auto" w:fill="FFFFFF"/>
        </w:rPr>
        <w:t>przysługuje</w:t>
      </w:r>
      <w:r w:rsidR="00384F85" w:rsidRPr="00734F14">
        <w:rPr>
          <w:rFonts w:cs="Times New Roman"/>
          <w:shd w:val="clear" w:color="auto" w:fill="FFFFFF"/>
        </w:rPr>
        <w:t xml:space="preserve"> mu uprawnienie do złożenia wniosku o zwolnienie go od ponoszenia kosztów sądowych, który będzie mógł przygotować w terminie miesiąca przewidzianym na wniesienie zarzutów od nakazu zapłat</w:t>
      </w:r>
      <w:r w:rsidR="00B550E8">
        <w:rPr>
          <w:rFonts w:cs="Times New Roman"/>
          <w:shd w:val="clear" w:color="auto" w:fill="FFFFFF"/>
        </w:rPr>
        <w:t>y</w:t>
      </w:r>
      <w:r w:rsidR="00384F85" w:rsidRPr="00734F14">
        <w:rPr>
          <w:rFonts w:cs="Times New Roman"/>
          <w:shd w:val="clear" w:color="auto" w:fill="FFFFFF"/>
        </w:rPr>
        <w:t>.</w:t>
      </w:r>
    </w:p>
    <w:p w14:paraId="04B931CB" w14:textId="77777777" w:rsidR="00345CCA" w:rsidRDefault="00345CCA" w:rsidP="00314F46">
      <w:pPr>
        <w:ind w:firstLine="708"/>
        <w:jc w:val="both"/>
        <w:rPr>
          <w:rFonts w:cs="Times New Roman"/>
          <w:shd w:val="clear" w:color="auto" w:fill="FFFFFF"/>
        </w:rPr>
      </w:pPr>
    </w:p>
    <w:p w14:paraId="4FB7EB2C" w14:textId="4EC850FB" w:rsidR="005D39BB" w:rsidRDefault="005D39BB" w:rsidP="00314F46">
      <w:pPr>
        <w:ind w:firstLine="708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Należy zauważyć, że </w:t>
      </w:r>
      <w:r w:rsidR="008D77F6">
        <w:rPr>
          <w:rFonts w:cs="Times New Roman"/>
          <w:shd w:val="clear" w:color="auto" w:fill="FFFFFF"/>
        </w:rPr>
        <w:t>w wyroku</w:t>
      </w:r>
      <w:r w:rsidR="008D77F6" w:rsidRPr="008D77F6">
        <w:t xml:space="preserve"> </w:t>
      </w:r>
      <w:r w:rsidR="008D77F6">
        <w:t xml:space="preserve">w sprawie C-176/17 </w:t>
      </w:r>
      <w:r w:rsidR="008D77F6">
        <w:rPr>
          <w:i/>
        </w:rPr>
        <w:t>Profi Credit Polska</w:t>
      </w:r>
      <w:r w:rsidR="008D77F6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TSUE zakwestionował polskie przepisy regulujące postępowanie nakazowe w sporach przeciwko konsumentom wskazując na kumulatywne występowanie wymogów formalnych i fiskalnych stawianych pozwanym</w:t>
      </w:r>
      <w:r w:rsidR="008D77F6">
        <w:rPr>
          <w:rFonts w:cs="Times New Roman"/>
          <w:shd w:val="clear" w:color="auto" w:fill="FFFFFF"/>
        </w:rPr>
        <w:t xml:space="preserve"> przy wnoszeniu zarzutów od nakazu zapłaty</w:t>
      </w:r>
      <w:r>
        <w:rPr>
          <w:rFonts w:cs="Times New Roman"/>
          <w:shd w:val="clear" w:color="auto" w:fill="FFFFFF"/>
        </w:rPr>
        <w:t xml:space="preserve">, przy jednoczesnym braku obowiązku badania przez sąd </w:t>
      </w:r>
      <w:r w:rsidR="008D6922">
        <w:rPr>
          <w:rFonts w:cs="Times New Roman"/>
          <w:shd w:val="clear" w:color="auto" w:fill="FFFFFF"/>
        </w:rPr>
        <w:t>czy w umowie, która została zabezpieczona wekslem, występują klauzule niedozwolone. W tym kontekście, przy wprowadzeni</w:t>
      </w:r>
      <w:r w:rsidR="00BB0CEC">
        <w:rPr>
          <w:rFonts w:cs="Times New Roman"/>
          <w:shd w:val="clear" w:color="auto" w:fill="FFFFFF"/>
        </w:rPr>
        <w:t>u</w:t>
      </w:r>
      <w:r w:rsidR="008D6922">
        <w:rPr>
          <w:rFonts w:cs="Times New Roman"/>
          <w:shd w:val="clear" w:color="auto" w:fill="FFFFFF"/>
        </w:rPr>
        <w:t xml:space="preserve"> wymogów, o których mowa w art. 1 pkt </w:t>
      </w:r>
      <w:r w:rsidR="00CA4479">
        <w:rPr>
          <w:rFonts w:cs="Times New Roman"/>
          <w:shd w:val="clear" w:color="auto" w:fill="FFFFFF"/>
        </w:rPr>
        <w:t>4</w:t>
      </w:r>
      <w:r w:rsidR="008D6922">
        <w:rPr>
          <w:rFonts w:cs="Times New Roman"/>
          <w:shd w:val="clear" w:color="auto" w:fill="FFFFFF"/>
        </w:rPr>
        <w:t xml:space="preserve"> projektu, </w:t>
      </w:r>
      <w:r w:rsidR="00BB0CEC">
        <w:rPr>
          <w:rFonts w:cs="Times New Roman"/>
          <w:shd w:val="clear" w:color="auto" w:fill="FFFFFF"/>
        </w:rPr>
        <w:t xml:space="preserve">skutkujących m.in. koniecznością badania przez sąd czy w załączonej umowie wraz z załącznikami niezawarte zostały </w:t>
      </w:r>
      <w:r w:rsidR="00203BD5">
        <w:rPr>
          <w:rFonts w:cs="Times New Roman"/>
          <w:shd w:val="clear" w:color="auto" w:fill="FFFFFF"/>
        </w:rPr>
        <w:t>postanowienia</w:t>
      </w:r>
      <w:r w:rsidR="00BB0CEC">
        <w:rPr>
          <w:rFonts w:cs="Times New Roman"/>
          <w:shd w:val="clear" w:color="auto" w:fill="FFFFFF"/>
        </w:rPr>
        <w:t xml:space="preserve"> niedozwolone</w:t>
      </w:r>
      <w:r w:rsidR="00137E5A">
        <w:rPr>
          <w:rFonts w:cs="Times New Roman"/>
          <w:shd w:val="clear" w:color="auto" w:fill="FFFFFF"/>
        </w:rPr>
        <w:t xml:space="preserve"> (zmiana ta stanowi również wykonanie wyroku </w:t>
      </w:r>
      <w:r w:rsidR="00137E5A">
        <w:rPr>
          <w:rFonts w:cs="Times New Roman"/>
          <w:szCs w:val="24"/>
        </w:rPr>
        <w:t xml:space="preserve">w połączonych sprawach C-419/18 i C-483/18 </w:t>
      </w:r>
      <w:r w:rsidR="00137E5A" w:rsidRPr="003544B7">
        <w:rPr>
          <w:i/>
        </w:rPr>
        <w:t>Profi Credit Polska</w:t>
      </w:r>
      <w:r w:rsidR="00137E5A">
        <w:t>)</w:t>
      </w:r>
      <w:r w:rsidR="00BB0CEC">
        <w:rPr>
          <w:rFonts w:cs="Times New Roman"/>
          <w:shd w:val="clear" w:color="auto" w:fill="FFFFFF"/>
        </w:rPr>
        <w:t xml:space="preserve">, </w:t>
      </w:r>
      <w:r w:rsidR="008D6922">
        <w:rPr>
          <w:rFonts w:cs="Times New Roman"/>
          <w:shd w:val="clear" w:color="auto" w:fill="FFFFFF"/>
        </w:rPr>
        <w:t>wydłużeniu terminu do wniesienia zarzutów od nakazu zapłaty (art.</w:t>
      </w:r>
      <w:r w:rsidR="00BB0CEC">
        <w:rPr>
          <w:rFonts w:cs="Times New Roman"/>
          <w:shd w:val="clear" w:color="auto" w:fill="FFFFFF"/>
        </w:rPr>
        <w:t xml:space="preserve"> 1 pkt </w:t>
      </w:r>
      <w:r w:rsidR="00E53766">
        <w:rPr>
          <w:rFonts w:cs="Times New Roman"/>
          <w:shd w:val="clear" w:color="auto" w:fill="FFFFFF"/>
        </w:rPr>
        <w:t>3</w:t>
      </w:r>
      <w:r w:rsidR="00CA4479">
        <w:rPr>
          <w:rFonts w:cs="Times New Roman"/>
          <w:shd w:val="clear" w:color="auto" w:fill="FFFFFF"/>
        </w:rPr>
        <w:t xml:space="preserve"> lit</w:t>
      </w:r>
      <w:r w:rsidR="002A780E">
        <w:rPr>
          <w:rFonts w:cs="Times New Roman"/>
          <w:shd w:val="clear" w:color="auto" w:fill="FFFFFF"/>
        </w:rPr>
        <w:t>.</w:t>
      </w:r>
      <w:r w:rsidR="007141AD">
        <w:rPr>
          <w:rFonts w:cs="Times New Roman"/>
          <w:shd w:val="clear" w:color="auto" w:fill="FFFFFF"/>
        </w:rPr>
        <w:t xml:space="preserve"> a)</w:t>
      </w:r>
      <w:r w:rsidR="00BB0CEC">
        <w:rPr>
          <w:rFonts w:cs="Times New Roman"/>
          <w:shd w:val="clear" w:color="auto" w:fill="FFFFFF"/>
        </w:rPr>
        <w:t xml:space="preserve"> projektu) oraz ograniczeniu maksymalnej wysokości opłaty sądowej od zarzutów od nakazu zapłaty, </w:t>
      </w:r>
      <w:r w:rsidR="00BB0CEC" w:rsidRPr="00FF2C21">
        <w:rPr>
          <w:rFonts w:cs="Times New Roman"/>
          <w:szCs w:val="24"/>
          <w:shd w:val="clear" w:color="auto" w:fill="FFFFFF"/>
        </w:rPr>
        <w:t>znowelizowane przepisy postępowan</w:t>
      </w:r>
      <w:r w:rsidR="00C54FF6">
        <w:rPr>
          <w:rFonts w:cs="Times New Roman"/>
          <w:szCs w:val="24"/>
          <w:shd w:val="clear" w:color="auto" w:fill="FFFFFF"/>
        </w:rPr>
        <w:t>ia nakazowego z weksla zapewni</w:t>
      </w:r>
      <w:r w:rsidR="00BB0CEC" w:rsidRPr="00FF2C21">
        <w:rPr>
          <w:rFonts w:cs="Times New Roman"/>
          <w:szCs w:val="24"/>
          <w:shd w:val="clear" w:color="auto" w:fill="FFFFFF"/>
        </w:rPr>
        <w:t xml:space="preserve">ą możliwość </w:t>
      </w:r>
      <w:r w:rsidR="00BB0CEC" w:rsidRPr="00FF2C21">
        <w:rPr>
          <w:rFonts w:cs="Times New Roman"/>
          <w:color w:val="000000"/>
          <w:szCs w:val="24"/>
        </w:rPr>
        <w:t xml:space="preserve">wykonania przez konsumenta </w:t>
      </w:r>
      <w:r w:rsidR="00FF2C21" w:rsidRPr="00FF2C21">
        <w:rPr>
          <w:rFonts w:cs="Times New Roman"/>
          <w:color w:val="000000"/>
          <w:szCs w:val="24"/>
        </w:rPr>
        <w:t xml:space="preserve">wszelkich </w:t>
      </w:r>
      <w:r w:rsidR="00BB0CEC" w:rsidRPr="00FF2C21">
        <w:rPr>
          <w:rFonts w:cs="Times New Roman"/>
          <w:color w:val="000000"/>
          <w:szCs w:val="24"/>
        </w:rPr>
        <w:t xml:space="preserve">uprawnień przyznanych </w:t>
      </w:r>
      <w:r w:rsidR="008D77F6">
        <w:rPr>
          <w:rFonts w:cs="Times New Roman"/>
          <w:color w:val="000000"/>
          <w:szCs w:val="24"/>
        </w:rPr>
        <w:t xml:space="preserve">mu </w:t>
      </w:r>
      <w:r w:rsidR="00BB0CEC" w:rsidRPr="00FF2C21">
        <w:rPr>
          <w:rFonts w:cs="Times New Roman"/>
          <w:color w:val="000000"/>
          <w:szCs w:val="24"/>
        </w:rPr>
        <w:t xml:space="preserve">przez dyrektywę </w:t>
      </w:r>
      <w:r w:rsidR="00FF2C21" w:rsidRPr="00FF2C21">
        <w:rPr>
          <w:rFonts w:cs="Times New Roman"/>
          <w:bCs/>
          <w:color w:val="000000"/>
          <w:szCs w:val="24"/>
        </w:rPr>
        <w:t xml:space="preserve">Rady 93/13/EWG z dnia 5 kwietnia 1993 r. </w:t>
      </w:r>
      <w:r w:rsidR="00FF2C21" w:rsidRPr="00FF2C21">
        <w:rPr>
          <w:rFonts w:cs="Times New Roman"/>
          <w:bCs/>
          <w:i/>
          <w:color w:val="000000"/>
          <w:szCs w:val="24"/>
        </w:rPr>
        <w:t>w sprawie nieuczciwych warunków w umowach konsumenckich</w:t>
      </w:r>
      <w:r w:rsidR="00BB0CEC" w:rsidRPr="00FF2C21">
        <w:rPr>
          <w:rFonts w:cs="Times New Roman"/>
          <w:color w:val="000000"/>
          <w:szCs w:val="24"/>
        </w:rPr>
        <w:t>.</w:t>
      </w:r>
      <w:r w:rsidR="00BB0CEC">
        <w:rPr>
          <w:rFonts w:cs="Times New Roman"/>
          <w:shd w:val="clear" w:color="auto" w:fill="FFFFFF"/>
        </w:rPr>
        <w:t xml:space="preserve"> </w:t>
      </w:r>
    </w:p>
    <w:p w14:paraId="2E022FA3" w14:textId="77777777" w:rsidR="00876A58" w:rsidRDefault="00876A58" w:rsidP="00314F46">
      <w:pPr>
        <w:ind w:firstLine="708"/>
        <w:jc w:val="both"/>
        <w:rPr>
          <w:rFonts w:cs="Times New Roman"/>
          <w:shd w:val="clear" w:color="auto" w:fill="FFFFFF"/>
        </w:rPr>
      </w:pPr>
    </w:p>
    <w:p w14:paraId="5DC5DA30" w14:textId="75D79242" w:rsidR="003267C7" w:rsidRDefault="0056704A" w:rsidP="003B0E78">
      <w:pPr>
        <w:pStyle w:val="NIEARTTEKSTtekstnieartykuowanynppodstprawnarozplubpreambua"/>
        <w:spacing w:before="0"/>
        <w:ind w:firstLine="709"/>
        <w:rPr>
          <w:b/>
        </w:rPr>
      </w:pPr>
      <w:r>
        <w:rPr>
          <w:b/>
        </w:rPr>
        <w:t xml:space="preserve">Art. 2 projektu (proj. art. 11 i 11a ustawy </w:t>
      </w:r>
      <w:r w:rsidR="0051199F">
        <w:rPr>
          <w:b/>
        </w:rPr>
        <w:t xml:space="preserve">z dnia 28 kwietnia 1936 r. - </w:t>
      </w:r>
      <w:r>
        <w:rPr>
          <w:b/>
        </w:rPr>
        <w:t>Prawo wekslowe</w:t>
      </w:r>
      <w:r w:rsidR="0051199F">
        <w:rPr>
          <w:b/>
        </w:rPr>
        <w:t xml:space="preserve"> (Dz.U. z 2016 r. poz. 160</w:t>
      </w:r>
      <w:r>
        <w:rPr>
          <w:b/>
        </w:rPr>
        <w:t>).</w:t>
      </w:r>
    </w:p>
    <w:p w14:paraId="63A429C0" w14:textId="77777777" w:rsidR="00876A58" w:rsidRDefault="00876A58" w:rsidP="00876A58">
      <w:pPr>
        <w:ind w:firstLine="680"/>
        <w:jc w:val="both"/>
      </w:pPr>
    </w:p>
    <w:p w14:paraId="7CDAC6B6" w14:textId="5BBE7B82" w:rsidR="00634B6C" w:rsidRDefault="00634B6C" w:rsidP="00634B6C">
      <w:pPr>
        <w:ind w:firstLine="680"/>
        <w:jc w:val="both"/>
      </w:pPr>
      <w:r>
        <w:t xml:space="preserve">Głównym celem wprowadzonych tu zmian jest potrzeba dostosowania </w:t>
      </w:r>
      <w:r w:rsidR="007C7FEE">
        <w:t xml:space="preserve">przenoszalności weksla w obrocie konsumenckim do przepisów procesowych. </w:t>
      </w:r>
      <w:r>
        <w:t xml:space="preserve">Skoro przedsiębiorca występując na drogę sądową na podstawie wystawionego przez konsumenta weksla będzie musiał dołączyć </w:t>
      </w:r>
      <w:r>
        <w:lastRenderedPageBreak/>
        <w:t xml:space="preserve">wraz z pozwem umowę główną, którą ów weksel zabezpieczał, bez wprowadzenia ograniczeń w prawie materialnym, wymaganie przedstawienia takiej umowy przez sąd od osoby trzeciej byłoby co najmniej utrudnione. Wykonalność nałożonych zarówno na przedsiębiorcę, jak i na sąd obowiązków, należało zatem zapewnić już na etapie kreowania praw </w:t>
      </w:r>
      <w:r w:rsidR="007C7FEE">
        <w:t xml:space="preserve">i obowiązków </w:t>
      </w:r>
      <w:r>
        <w:t xml:space="preserve">z weksla. </w:t>
      </w:r>
    </w:p>
    <w:p w14:paraId="78712A46" w14:textId="48826185" w:rsidR="00876A58" w:rsidRDefault="00876A58" w:rsidP="00876A58">
      <w:pPr>
        <w:ind w:firstLine="680"/>
        <w:jc w:val="both"/>
        <w:rPr>
          <w:iCs/>
        </w:rPr>
      </w:pPr>
      <w:r>
        <w:t xml:space="preserve">Zmiany w tym zakresie zostały wprowadzone do ustawy z dnia 28 kwietnia 1936 r. - Prawo wekslowe. TSUE w sprawie C-176/17 </w:t>
      </w:r>
      <w:r w:rsidRPr="003544B7">
        <w:rPr>
          <w:i/>
        </w:rPr>
        <w:t>Profi Credit Polska</w:t>
      </w:r>
      <w:r>
        <w:rPr>
          <w:i/>
        </w:rPr>
        <w:t xml:space="preserve"> </w:t>
      </w:r>
      <w:r w:rsidRPr="00E50CDA">
        <w:rPr>
          <w:iCs/>
        </w:rPr>
        <w:t>potwierdził</w:t>
      </w:r>
      <w:r>
        <w:rPr>
          <w:iCs/>
        </w:rPr>
        <w:t xml:space="preserve">, że w każdej sprawie, w której pozwanym jest konsument, sąd ma obowiązek z urzędu zbadać umowę główną, zabezpieczoną wekslem. Jest to kierunek </w:t>
      </w:r>
      <w:r>
        <w:t xml:space="preserve">wykładni art. 6 ust. 1 i art. 7 ust. 1 dyrektywy Rady 93/13/EWG z dnia 5 kwietnia 1993 r. </w:t>
      </w:r>
      <w:r w:rsidRPr="003A1EC2">
        <w:rPr>
          <w:i/>
          <w:iCs/>
        </w:rPr>
        <w:t>w sprawie nieuczciwych warunków w umowach konsumenckich</w:t>
      </w:r>
      <w:r>
        <w:t xml:space="preserve"> (Dz.U. 1993, L 95, s. 29), które mają zastosowanie nie tylko do umów o kredyt konsumencki, czyli szerzej niż regulacja dyrektywy Parlamentu Europejskiego i Rady 2008/48/WE z dnia 23 kwietnia 2008 r. </w:t>
      </w:r>
      <w:r w:rsidRPr="003A1EC2">
        <w:rPr>
          <w:i/>
          <w:iCs/>
        </w:rPr>
        <w:t>w sprawie umów o kredyt konsumencki oraz uchylającej dyrektywę Rady 87/102/EWG</w:t>
      </w:r>
      <w:r>
        <w:t xml:space="preserve"> (Dz.U. 2008, L 133, s. 66; sprostowania Dz.U. 2009, L 207, s. 14; Dz.U. 2010, L 199, s. 40; Dz.U. 2011, L 234, s. 46; Dz.U. 2015 L 36, s. 15).</w:t>
      </w:r>
      <w:r>
        <w:rPr>
          <w:iCs/>
        </w:rPr>
        <w:t xml:space="preserve"> W związku z powyższym dotychczasowa regulacja art. 41 ustawy  </w:t>
      </w:r>
      <w:r w:rsidRPr="003A1EC2">
        <w:rPr>
          <w:i/>
        </w:rPr>
        <w:t>o kredycie konsumenckim</w:t>
      </w:r>
      <w:r>
        <w:rPr>
          <w:iCs/>
        </w:rPr>
        <w:t xml:space="preserve">, okazała nie wystarczająca.   </w:t>
      </w:r>
    </w:p>
    <w:p w14:paraId="33B81018" w14:textId="6A12EF73" w:rsidR="007C7FEE" w:rsidRDefault="007C7FEE" w:rsidP="007C7FEE">
      <w:pPr>
        <w:jc w:val="both"/>
        <w:rPr>
          <w:iCs/>
        </w:rPr>
      </w:pPr>
      <w:r>
        <w:rPr>
          <w:iCs/>
        </w:rPr>
        <w:tab/>
        <w:t>Kluczową zmianą w tym zakresie jest dodanie art. 11a, który realizuje powyższy cel, wyłączając możliwość</w:t>
      </w:r>
      <w:r w:rsidR="00D00D77">
        <w:rPr>
          <w:iCs/>
        </w:rPr>
        <w:t xml:space="preserve"> przenoszenia ze skutkami indosu weksla wystawionego przez konsumenta na zabezpieczenie roszczeń  umowy</w:t>
      </w:r>
      <w:r>
        <w:rPr>
          <w:iCs/>
        </w:rPr>
        <w:t xml:space="preserve">. </w:t>
      </w:r>
    </w:p>
    <w:p w14:paraId="066683B5" w14:textId="73790A2E" w:rsidR="007C7FEE" w:rsidRPr="002905CE" w:rsidRDefault="007C7FEE" w:rsidP="003A1EC2">
      <w:pPr>
        <w:jc w:val="both"/>
        <w:rPr>
          <w:iCs/>
        </w:rPr>
      </w:pPr>
      <w:r>
        <w:rPr>
          <w:iCs/>
        </w:rPr>
        <w:tab/>
        <w:t xml:space="preserve">Projektowany art. 11 jest w istocie konsekwencją wprowadzonego w art. 11a ograniczenia. Zmiana </w:t>
      </w:r>
      <w:r w:rsidR="007F3C42">
        <w:rPr>
          <w:iCs/>
        </w:rPr>
        <w:t xml:space="preserve">w art. 11 </w:t>
      </w:r>
      <w:r>
        <w:rPr>
          <w:iCs/>
        </w:rPr>
        <w:t>polega</w:t>
      </w:r>
      <w:r w:rsidR="007F3C42">
        <w:rPr>
          <w:iCs/>
        </w:rPr>
        <w:t xml:space="preserve"> bowiem</w:t>
      </w:r>
      <w:r>
        <w:rPr>
          <w:iCs/>
        </w:rPr>
        <w:t xml:space="preserve"> tylko na wykreśleniu słowa „każdy” – skoro weks</w:t>
      </w:r>
      <w:r w:rsidR="00D00D77">
        <w:rPr>
          <w:iCs/>
        </w:rPr>
        <w:t>la</w:t>
      </w:r>
      <w:r>
        <w:rPr>
          <w:iCs/>
        </w:rPr>
        <w:t xml:space="preserve"> wystawion</w:t>
      </w:r>
      <w:r w:rsidR="00D00D77">
        <w:rPr>
          <w:iCs/>
        </w:rPr>
        <w:t>ego</w:t>
      </w:r>
      <w:r>
        <w:rPr>
          <w:iCs/>
        </w:rPr>
        <w:t xml:space="preserve"> przez konsumenta nie można przenieść przez indos</w:t>
      </w:r>
      <w:r w:rsidR="007F3C42">
        <w:rPr>
          <w:iCs/>
        </w:rPr>
        <w:t xml:space="preserve"> (o czym stanowi projektowany art. 11a)</w:t>
      </w:r>
      <w:r>
        <w:rPr>
          <w:iCs/>
        </w:rPr>
        <w:t xml:space="preserve">. </w:t>
      </w:r>
    </w:p>
    <w:p w14:paraId="5A1CC2D7" w14:textId="77777777" w:rsidR="0056704A" w:rsidRDefault="0056704A" w:rsidP="003B0E78">
      <w:pPr>
        <w:pStyle w:val="NIEARTTEKSTtekstnieartykuowanynppodstprawnarozplubpreambua"/>
        <w:spacing w:before="0"/>
        <w:ind w:firstLine="709"/>
        <w:rPr>
          <w:b/>
        </w:rPr>
      </w:pPr>
    </w:p>
    <w:p w14:paraId="5A45E8EB" w14:textId="05888D23" w:rsidR="00912153" w:rsidRDefault="00FA72C0" w:rsidP="003B0E78">
      <w:pPr>
        <w:pStyle w:val="NIEARTTEKSTtekstnieartykuowanynppodstprawnarozplubpreambua"/>
        <w:spacing w:before="0"/>
        <w:ind w:firstLine="709"/>
        <w:rPr>
          <w:b/>
        </w:rPr>
      </w:pPr>
      <w:r>
        <w:rPr>
          <w:b/>
        </w:rPr>
        <w:t xml:space="preserve">Art. 3 projektu (proj. </w:t>
      </w:r>
      <w:r w:rsidR="00912153">
        <w:rPr>
          <w:b/>
        </w:rPr>
        <w:t xml:space="preserve">art. 138c </w:t>
      </w:r>
      <w:r w:rsidR="00912153">
        <w:rPr>
          <w:rFonts w:cs="Times"/>
          <w:b/>
        </w:rPr>
        <w:t>§</w:t>
      </w:r>
      <w:r w:rsidR="00912153">
        <w:rPr>
          <w:b/>
        </w:rPr>
        <w:t xml:space="preserve"> 3 </w:t>
      </w:r>
      <w:r w:rsidR="00FC5635">
        <w:rPr>
          <w:b/>
        </w:rPr>
        <w:t>ustawy z dnia 20 maja 1971 r. - K</w:t>
      </w:r>
      <w:r w:rsidR="00912153" w:rsidRPr="000340B6">
        <w:rPr>
          <w:b/>
        </w:rPr>
        <w:t>odeksu wykroczeń</w:t>
      </w:r>
      <w:r w:rsidR="0051199F">
        <w:rPr>
          <w:b/>
        </w:rPr>
        <w:t xml:space="preserve"> (</w:t>
      </w:r>
      <w:r w:rsidR="00FC5635">
        <w:rPr>
          <w:b/>
        </w:rPr>
        <w:t>Dz.U. z 2019 r. poz. 821 i 1238 oraz z 2020 r. poz. 568, 956, 1086 i 1517</w:t>
      </w:r>
      <w:r w:rsidR="00912153">
        <w:rPr>
          <w:b/>
        </w:rPr>
        <w:t>)</w:t>
      </w:r>
    </w:p>
    <w:p w14:paraId="352D87EB" w14:textId="356268B1" w:rsidR="00912153" w:rsidRDefault="00912153" w:rsidP="003B0E78">
      <w:pPr>
        <w:pStyle w:val="NIEARTTEKSTtekstnieartykuowanynppodstprawnarozplubpreambua"/>
        <w:spacing w:before="0"/>
        <w:ind w:firstLine="709"/>
        <w:rPr>
          <w:bCs w:val="0"/>
        </w:rPr>
      </w:pPr>
    </w:p>
    <w:p w14:paraId="7D3A40DF" w14:textId="697E138F" w:rsidR="00F815D0" w:rsidRPr="00F815D0" w:rsidRDefault="00912153" w:rsidP="00912153">
      <w:pPr>
        <w:pStyle w:val="ARTartustawynprozporzdzenia"/>
        <w:rPr>
          <w:rFonts w:ascii="Times New Roman" w:hAnsi="Times New Roman" w:cs="Times New Roman"/>
          <w:szCs w:val="24"/>
        </w:rPr>
      </w:pPr>
      <w:r>
        <w:t xml:space="preserve">Mając na uwadze, że w projektowanym art. 11a ustawy </w:t>
      </w:r>
      <w:r>
        <w:rPr>
          <w:i/>
          <w:iCs/>
        </w:rPr>
        <w:t>prawo wekslowe</w:t>
      </w:r>
      <w:r>
        <w:t xml:space="preserve"> projektodawca rozszerzył ograniczenie przenoszenia weksli w obrocie konsumenckim poza wcześniej obowiązując</w:t>
      </w:r>
      <w:r w:rsidR="008568A5">
        <w:t>e</w:t>
      </w:r>
      <w:r>
        <w:t xml:space="preserve"> w art. 41 ustawy </w:t>
      </w:r>
      <w:r>
        <w:rPr>
          <w:i/>
          <w:iCs/>
        </w:rPr>
        <w:t>o kredycie konsumenckim</w:t>
      </w:r>
      <w:r>
        <w:t xml:space="preserve">, którego zmianę przewiduje art. 7 projektu, należało dostosować </w:t>
      </w:r>
      <w:r w:rsidR="001D4DF5">
        <w:t xml:space="preserve">do tej zmiany </w:t>
      </w:r>
      <w:r>
        <w:t>art. 138c kodeksu wykroczeń</w:t>
      </w:r>
      <w:r w:rsidR="008568A5" w:rsidRPr="00F815D0">
        <w:rPr>
          <w:rFonts w:ascii="Times New Roman" w:hAnsi="Times New Roman" w:cs="Times New Roman"/>
          <w:szCs w:val="24"/>
        </w:rPr>
        <w:t xml:space="preserve">. </w:t>
      </w:r>
      <w:r w:rsidR="0077224C">
        <w:rPr>
          <w:rFonts w:ascii="Times New Roman" w:hAnsi="Times New Roman" w:cs="Times New Roman"/>
          <w:szCs w:val="24"/>
        </w:rPr>
        <w:t>Projekt nie zakłada przy tym wprowadzenia dodatkowych ograniczeń co do przenoszenia czeków.</w:t>
      </w:r>
    </w:p>
    <w:p w14:paraId="57EE3D7B" w14:textId="77777777" w:rsidR="001D4DF5" w:rsidRPr="000340B6" w:rsidRDefault="008568A5" w:rsidP="00912153">
      <w:pPr>
        <w:pStyle w:val="ARTartustawynprozporzdzenia"/>
        <w:rPr>
          <w:rFonts w:ascii="Times New Roman" w:hAnsi="Times New Roman" w:cs="Times New Roman"/>
          <w:szCs w:val="24"/>
          <w:shd w:val="clear" w:color="auto" w:fill="FFFFFF"/>
        </w:rPr>
      </w:pPr>
      <w:r w:rsidRPr="000340B6">
        <w:rPr>
          <w:rFonts w:ascii="Times New Roman" w:hAnsi="Times New Roman" w:cs="Times New Roman"/>
          <w:szCs w:val="24"/>
        </w:rPr>
        <w:lastRenderedPageBreak/>
        <w:t xml:space="preserve">W obecnym brzmieniu art. 138c § 3 kodeksu wykroczeń penalizuje zachowanie polegające </w:t>
      </w:r>
      <w:r w:rsidRPr="000340B6">
        <w:rPr>
          <w:rFonts w:ascii="Times New Roman" w:hAnsi="Times New Roman" w:cs="Times New Roman"/>
          <w:szCs w:val="24"/>
          <w:shd w:val="clear" w:color="auto" w:fill="FFFFFF"/>
        </w:rPr>
        <w:t xml:space="preserve">na przyjmowaniu od konsumenta weksla lub czeku niezawierającego klauzuli „nie na zlecenie” w celu spełnienia lub zabezpieczenia świadczenia wynikającego </w:t>
      </w:r>
      <w:r w:rsidR="00F815D0" w:rsidRPr="000340B6">
        <w:rPr>
          <w:rFonts w:ascii="Times New Roman" w:hAnsi="Times New Roman" w:cs="Times New Roman"/>
          <w:szCs w:val="24"/>
          <w:shd w:val="clear" w:color="auto" w:fill="FFFFFF"/>
        </w:rPr>
        <w:t xml:space="preserve">jedynie </w:t>
      </w:r>
      <w:r w:rsidRPr="000340B6">
        <w:rPr>
          <w:rFonts w:ascii="Times New Roman" w:hAnsi="Times New Roman" w:cs="Times New Roman"/>
          <w:szCs w:val="24"/>
          <w:shd w:val="clear" w:color="auto" w:fill="FFFFFF"/>
        </w:rPr>
        <w:t>z umowy o kredyt konsumencki.</w:t>
      </w:r>
      <w:r w:rsidR="00F815D0" w:rsidRPr="000340B6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14:paraId="02C877A1" w14:textId="73C59AA7" w:rsidR="00D41BC8" w:rsidRPr="00EC28EE" w:rsidRDefault="00F815D0" w:rsidP="00D41BC8">
      <w:pPr>
        <w:pStyle w:val="ARTartustawynprozporzdzenia"/>
        <w:rPr>
          <w:rFonts w:ascii="Times New Roman" w:hAnsi="Times New Roman" w:cs="Times New Roman"/>
          <w:szCs w:val="24"/>
        </w:rPr>
      </w:pPr>
      <w:r w:rsidRPr="00EC28EE">
        <w:rPr>
          <w:rFonts w:ascii="Times New Roman" w:hAnsi="Times New Roman" w:cs="Times New Roman"/>
          <w:szCs w:val="24"/>
          <w:shd w:val="clear" w:color="auto" w:fill="FFFFFF"/>
        </w:rPr>
        <w:t xml:space="preserve">W związku z koniecznością zapewnienia pełniejszej ochrony praw konsumentów oraz skuteczności projektowanego art. 11a ustawy </w:t>
      </w:r>
      <w:r w:rsidRPr="00EC28EE">
        <w:rPr>
          <w:rFonts w:ascii="Times New Roman" w:hAnsi="Times New Roman" w:cs="Times New Roman"/>
          <w:i/>
          <w:iCs/>
          <w:szCs w:val="24"/>
          <w:shd w:val="clear" w:color="auto" w:fill="FFFFFF"/>
        </w:rPr>
        <w:t>prawo wekslowego</w:t>
      </w:r>
      <w:r w:rsidRPr="00EC28EE">
        <w:rPr>
          <w:rFonts w:ascii="Times New Roman" w:hAnsi="Times New Roman" w:cs="Times New Roman"/>
          <w:szCs w:val="24"/>
          <w:shd w:val="clear" w:color="auto" w:fill="FFFFFF"/>
        </w:rPr>
        <w:t xml:space="preserve">, należało rozszerzyć zakres zastosowania </w:t>
      </w:r>
      <w:r w:rsidR="00C1014C" w:rsidRPr="00EC28EE">
        <w:rPr>
          <w:rFonts w:ascii="Times New Roman" w:hAnsi="Times New Roman" w:cs="Times New Roman"/>
          <w:szCs w:val="24"/>
          <w:shd w:val="clear" w:color="auto" w:fill="FFFFFF"/>
        </w:rPr>
        <w:t xml:space="preserve">dotychczasowego </w:t>
      </w:r>
      <w:r w:rsidRPr="00EC28EE">
        <w:rPr>
          <w:rFonts w:ascii="Times New Roman" w:hAnsi="Times New Roman" w:cs="Times New Roman"/>
          <w:szCs w:val="24"/>
        </w:rPr>
        <w:t xml:space="preserve">art. 138c § 3 kodeksu wykroczeń do weksli wydanych </w:t>
      </w:r>
      <w:r w:rsidR="00EC28EE" w:rsidRPr="00EC28EE">
        <w:rPr>
          <w:rFonts w:ascii="Times New Roman" w:hAnsi="Times New Roman" w:cs="Times New Roman"/>
          <w:szCs w:val="24"/>
          <w:shd w:val="clear" w:color="auto" w:fill="FFFFFF"/>
        </w:rPr>
        <w:t xml:space="preserve">w celu spełnienia lub zabezpieczenia świadczenia </w:t>
      </w:r>
      <w:r w:rsidRPr="00EC28EE">
        <w:rPr>
          <w:rFonts w:ascii="Times New Roman" w:hAnsi="Times New Roman" w:cs="Times New Roman"/>
          <w:szCs w:val="24"/>
        </w:rPr>
        <w:t xml:space="preserve">wynikającego z </w:t>
      </w:r>
      <w:r w:rsidR="007A0A02" w:rsidRPr="00EC28EE">
        <w:rPr>
          <w:rFonts w:ascii="Times New Roman" w:hAnsi="Times New Roman" w:cs="Times New Roman"/>
          <w:szCs w:val="24"/>
        </w:rPr>
        <w:t>wszelkich</w:t>
      </w:r>
      <w:r w:rsidRPr="00EC28EE">
        <w:rPr>
          <w:rFonts w:ascii="Times New Roman" w:hAnsi="Times New Roman" w:cs="Times New Roman"/>
          <w:szCs w:val="24"/>
        </w:rPr>
        <w:t xml:space="preserve"> umów zawartych z konsumentem</w:t>
      </w:r>
      <w:r w:rsidR="001D4DF5" w:rsidRPr="00EC28EE">
        <w:rPr>
          <w:rFonts w:ascii="Times New Roman" w:hAnsi="Times New Roman" w:cs="Times New Roman"/>
          <w:szCs w:val="24"/>
        </w:rPr>
        <w:t xml:space="preserve">. </w:t>
      </w:r>
      <w:r w:rsidR="00D41BC8" w:rsidRPr="00EC28EE">
        <w:rPr>
          <w:rFonts w:ascii="Times New Roman" w:hAnsi="Times New Roman" w:cs="Times New Roman"/>
          <w:szCs w:val="24"/>
        </w:rPr>
        <w:t xml:space="preserve"> </w:t>
      </w:r>
    </w:p>
    <w:p w14:paraId="77D9F098" w14:textId="3D807251" w:rsidR="001D4DF5" w:rsidRDefault="00D41BC8" w:rsidP="00D41BC8">
      <w:pPr>
        <w:pStyle w:val="ARTartustawynprozporzdzenia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</w:t>
      </w:r>
      <w:r w:rsidR="001D4DF5">
        <w:rPr>
          <w:rFonts w:ascii="Times New Roman" w:hAnsi="Times New Roman" w:cs="Times New Roman"/>
          <w:szCs w:val="24"/>
        </w:rPr>
        <w:t xml:space="preserve">obec </w:t>
      </w:r>
      <w:r w:rsidR="0077224C">
        <w:rPr>
          <w:rFonts w:ascii="Times New Roman" w:hAnsi="Times New Roman" w:cs="Times New Roman"/>
          <w:szCs w:val="24"/>
        </w:rPr>
        <w:t>powyższego</w:t>
      </w:r>
      <w:r>
        <w:rPr>
          <w:rFonts w:ascii="Times New Roman" w:hAnsi="Times New Roman" w:cs="Times New Roman"/>
          <w:szCs w:val="24"/>
        </w:rPr>
        <w:t>,</w:t>
      </w:r>
      <w:r w:rsidR="001D4DF5">
        <w:rPr>
          <w:rFonts w:ascii="Times New Roman" w:hAnsi="Times New Roman" w:cs="Times New Roman"/>
          <w:szCs w:val="24"/>
        </w:rPr>
        <w:t xml:space="preserve"> brzmienie </w:t>
      </w:r>
      <w:r>
        <w:rPr>
          <w:rFonts w:ascii="Times New Roman" w:hAnsi="Times New Roman" w:cs="Times New Roman"/>
          <w:szCs w:val="24"/>
        </w:rPr>
        <w:t xml:space="preserve">art. </w:t>
      </w:r>
      <w:r w:rsidR="001D4DF5" w:rsidRPr="00F815D0">
        <w:rPr>
          <w:rFonts w:ascii="Times New Roman" w:hAnsi="Times New Roman" w:cs="Times New Roman"/>
          <w:szCs w:val="24"/>
        </w:rPr>
        <w:t>138c § 3 kodeksu wykroczeń</w:t>
      </w:r>
      <w:r w:rsidR="001D4DF5">
        <w:rPr>
          <w:rFonts w:ascii="Times New Roman" w:hAnsi="Times New Roman" w:cs="Times New Roman"/>
          <w:szCs w:val="24"/>
        </w:rPr>
        <w:t xml:space="preserve"> zmieniono w ten sposób</w:t>
      </w:r>
      <w:r w:rsidR="00C1014C">
        <w:rPr>
          <w:rFonts w:ascii="Times New Roman" w:hAnsi="Times New Roman" w:cs="Times New Roman"/>
          <w:szCs w:val="24"/>
        </w:rPr>
        <w:t xml:space="preserve">, że </w:t>
      </w:r>
      <w:r>
        <w:rPr>
          <w:rFonts w:ascii="Times New Roman" w:hAnsi="Times New Roman" w:cs="Times New Roman"/>
          <w:szCs w:val="24"/>
        </w:rPr>
        <w:t xml:space="preserve">pozostawiono w nim </w:t>
      </w:r>
      <w:r w:rsidR="0077224C">
        <w:rPr>
          <w:rFonts w:ascii="Times New Roman" w:hAnsi="Times New Roman" w:cs="Times New Roman"/>
          <w:szCs w:val="24"/>
        </w:rPr>
        <w:t xml:space="preserve">jedynie </w:t>
      </w:r>
      <w:r>
        <w:rPr>
          <w:rFonts w:ascii="Times New Roman" w:hAnsi="Times New Roman" w:cs="Times New Roman"/>
          <w:szCs w:val="24"/>
        </w:rPr>
        <w:t xml:space="preserve">regulację dotyczącą penalizacji w zakresie czeków przyjmowanych od konsumenta </w:t>
      </w:r>
      <w:r w:rsidR="00EC28EE" w:rsidRPr="00F815D0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w celu spełnienia lub zabezpieczenia świadczenia </w:t>
      </w:r>
      <w:r>
        <w:rPr>
          <w:rFonts w:ascii="Times New Roman" w:hAnsi="Times New Roman" w:cs="Times New Roman"/>
          <w:szCs w:val="24"/>
        </w:rPr>
        <w:t>wynikającego z umowy o kredyt konsumencki, wyłączając jednocześnie</w:t>
      </w:r>
      <w:r w:rsidR="001D4DF5">
        <w:rPr>
          <w:rFonts w:ascii="Times New Roman" w:hAnsi="Times New Roman" w:cs="Times New Roman"/>
          <w:szCs w:val="24"/>
        </w:rPr>
        <w:t xml:space="preserve"> z </w:t>
      </w:r>
      <w:r w:rsidR="00C1014C">
        <w:rPr>
          <w:rFonts w:ascii="Times New Roman" w:hAnsi="Times New Roman" w:cs="Times New Roman"/>
          <w:szCs w:val="24"/>
        </w:rPr>
        <w:t>jego zakresu</w:t>
      </w:r>
      <w:r w:rsidR="001D4DF5">
        <w:rPr>
          <w:rFonts w:ascii="Times New Roman" w:hAnsi="Times New Roman" w:cs="Times New Roman"/>
          <w:szCs w:val="24"/>
        </w:rPr>
        <w:t xml:space="preserve"> obrót wekslowy, któr</w:t>
      </w:r>
      <w:r w:rsidR="00C1014C">
        <w:rPr>
          <w:rFonts w:ascii="Times New Roman" w:hAnsi="Times New Roman" w:cs="Times New Roman"/>
          <w:szCs w:val="24"/>
        </w:rPr>
        <w:t>ego</w:t>
      </w:r>
      <w:r w:rsidR="001D4DF5">
        <w:rPr>
          <w:rFonts w:ascii="Times New Roman" w:hAnsi="Times New Roman" w:cs="Times New Roman"/>
          <w:szCs w:val="24"/>
        </w:rPr>
        <w:t xml:space="preserve"> uregulowan</w:t>
      </w:r>
      <w:r w:rsidR="00C1014C">
        <w:rPr>
          <w:rFonts w:ascii="Times New Roman" w:hAnsi="Times New Roman" w:cs="Times New Roman"/>
          <w:szCs w:val="24"/>
        </w:rPr>
        <w:t>ie</w:t>
      </w:r>
      <w:r w:rsidR="001D4DF5">
        <w:rPr>
          <w:rFonts w:ascii="Times New Roman" w:hAnsi="Times New Roman" w:cs="Times New Roman"/>
          <w:szCs w:val="24"/>
        </w:rPr>
        <w:t xml:space="preserve"> zosta</w:t>
      </w:r>
      <w:r>
        <w:rPr>
          <w:rFonts w:ascii="Times New Roman" w:hAnsi="Times New Roman" w:cs="Times New Roman"/>
          <w:szCs w:val="24"/>
        </w:rPr>
        <w:t>ło przeniesione</w:t>
      </w:r>
      <w:r w:rsidR="001D4DF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do</w:t>
      </w:r>
      <w:r w:rsidR="001D4DF5">
        <w:rPr>
          <w:rFonts w:ascii="Times New Roman" w:hAnsi="Times New Roman" w:cs="Times New Roman"/>
          <w:szCs w:val="24"/>
        </w:rPr>
        <w:t xml:space="preserve"> now</w:t>
      </w:r>
      <w:r>
        <w:rPr>
          <w:rFonts w:ascii="Times New Roman" w:hAnsi="Times New Roman" w:cs="Times New Roman"/>
          <w:szCs w:val="24"/>
        </w:rPr>
        <w:t>oprojektowanego</w:t>
      </w:r>
      <w:r w:rsidR="001D4DF5">
        <w:rPr>
          <w:rFonts w:ascii="Times New Roman" w:hAnsi="Times New Roman" w:cs="Times New Roman"/>
          <w:szCs w:val="24"/>
        </w:rPr>
        <w:t xml:space="preserve"> </w:t>
      </w:r>
      <w:r w:rsidR="001D4DF5" w:rsidRPr="00F815D0">
        <w:rPr>
          <w:rFonts w:ascii="Times New Roman" w:hAnsi="Times New Roman" w:cs="Times New Roman"/>
          <w:szCs w:val="24"/>
        </w:rPr>
        <w:t>§ 3</w:t>
      </w:r>
      <w:r w:rsidR="001D4DF5">
        <w:rPr>
          <w:rFonts w:ascii="Times New Roman" w:hAnsi="Times New Roman" w:cs="Times New Roman"/>
          <w:szCs w:val="24"/>
        </w:rPr>
        <w:t>a.</w:t>
      </w:r>
    </w:p>
    <w:p w14:paraId="10CB25B5" w14:textId="5D859D89" w:rsidR="00FA72C0" w:rsidRDefault="001C3B1D" w:rsidP="001C3B1D">
      <w:pPr>
        <w:pStyle w:val="ARTartustawynprozporzdzenia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Dodanie w art. 138c </w:t>
      </w:r>
      <w:r w:rsidRPr="00F815D0">
        <w:rPr>
          <w:rFonts w:ascii="Times New Roman" w:hAnsi="Times New Roman" w:cs="Times New Roman"/>
          <w:szCs w:val="24"/>
        </w:rPr>
        <w:t>§ 3</w:t>
      </w:r>
      <w:r>
        <w:rPr>
          <w:rFonts w:ascii="Times New Roman" w:hAnsi="Times New Roman" w:cs="Times New Roman"/>
          <w:szCs w:val="24"/>
        </w:rPr>
        <w:t xml:space="preserve">a implikuje konieczność zmiany w </w:t>
      </w:r>
      <w:r w:rsidRPr="00F815D0">
        <w:rPr>
          <w:rFonts w:ascii="Times New Roman" w:hAnsi="Times New Roman" w:cs="Times New Roman"/>
          <w:szCs w:val="24"/>
        </w:rPr>
        <w:t>§</w:t>
      </w:r>
      <w:r>
        <w:rPr>
          <w:rFonts w:ascii="Times New Roman" w:hAnsi="Times New Roman" w:cs="Times New Roman"/>
          <w:szCs w:val="24"/>
        </w:rPr>
        <w:t xml:space="preserve"> 4 art. 138c</w:t>
      </w:r>
      <w:r w:rsidR="008A5AA6">
        <w:rPr>
          <w:rFonts w:ascii="Times New Roman" w:hAnsi="Times New Roman" w:cs="Times New Roman"/>
          <w:szCs w:val="24"/>
        </w:rPr>
        <w:t xml:space="preserve"> kodeksu wykroczeń</w:t>
      </w:r>
      <w:r>
        <w:rPr>
          <w:rFonts w:ascii="Times New Roman" w:hAnsi="Times New Roman" w:cs="Times New Roman"/>
          <w:szCs w:val="24"/>
        </w:rPr>
        <w:t>, aby również w tym przypadku przewidziana była odpowiedzialność osób kierujących przedsiębiorstwem lub osób upoważnionych do zawierania umów z konsumentami, gdy przedsiębiorcą</w:t>
      </w:r>
      <w:r w:rsidR="008A5AA6">
        <w:rPr>
          <w:rFonts w:ascii="Times New Roman" w:hAnsi="Times New Roman" w:cs="Times New Roman"/>
          <w:szCs w:val="24"/>
        </w:rPr>
        <w:t xml:space="preserve"> przyjmującym weksel</w:t>
      </w:r>
      <w:r>
        <w:rPr>
          <w:rFonts w:ascii="Times New Roman" w:hAnsi="Times New Roman" w:cs="Times New Roman"/>
          <w:szCs w:val="24"/>
        </w:rPr>
        <w:t xml:space="preserve"> jest podmiot niebędący osobą fizyczną.</w:t>
      </w:r>
    </w:p>
    <w:p w14:paraId="29BB3F68" w14:textId="77777777" w:rsidR="001C3B1D" w:rsidRDefault="001C3B1D" w:rsidP="001C3B1D">
      <w:pPr>
        <w:pStyle w:val="ARTartustawynprozporzdzenia"/>
        <w:rPr>
          <w:b/>
        </w:rPr>
      </w:pPr>
    </w:p>
    <w:p w14:paraId="59EB770F" w14:textId="04F60C72" w:rsidR="006B68EA" w:rsidRPr="00D7028C" w:rsidRDefault="006B68EA" w:rsidP="003B0E78">
      <w:pPr>
        <w:pStyle w:val="NIEARTTEKSTtekstnieartykuowanynppodstprawnarozplubpreambua"/>
        <w:spacing w:before="0"/>
        <w:ind w:firstLine="709"/>
        <w:rPr>
          <w:b/>
          <w:bCs w:val="0"/>
        </w:rPr>
      </w:pPr>
      <w:r>
        <w:rPr>
          <w:b/>
        </w:rPr>
        <w:t xml:space="preserve">Art. </w:t>
      </w:r>
      <w:r w:rsidR="00BC361E">
        <w:rPr>
          <w:b/>
        </w:rPr>
        <w:t xml:space="preserve">4 </w:t>
      </w:r>
      <w:r>
        <w:rPr>
          <w:b/>
        </w:rPr>
        <w:t xml:space="preserve">projektu (proj. art. </w:t>
      </w:r>
      <w:r w:rsidRPr="0008323B">
        <w:rPr>
          <w:b/>
          <w:bCs w:val="0"/>
        </w:rPr>
        <w:t xml:space="preserve">15c ustawy </w:t>
      </w:r>
      <w:r w:rsidRPr="0008323B">
        <w:rPr>
          <w:b/>
          <w:bCs w:val="0"/>
          <w:i/>
          <w:iCs/>
        </w:rPr>
        <w:t xml:space="preserve">o zwalczaniu nieuczciwej </w:t>
      </w:r>
      <w:r w:rsidR="00D7028C" w:rsidRPr="0008323B">
        <w:rPr>
          <w:b/>
          <w:bCs w:val="0"/>
          <w:i/>
          <w:iCs/>
        </w:rPr>
        <w:t>konkurencji</w:t>
      </w:r>
      <w:r w:rsidR="00D7028C" w:rsidRPr="0008323B">
        <w:rPr>
          <w:b/>
          <w:bCs w:val="0"/>
        </w:rPr>
        <w:t>).</w:t>
      </w:r>
    </w:p>
    <w:p w14:paraId="02652782" w14:textId="7C015A77" w:rsidR="006B68EA" w:rsidRDefault="00D7028C" w:rsidP="006B68EA">
      <w:pPr>
        <w:pStyle w:val="ARTartustawynprozporzdzenia"/>
      </w:pPr>
      <w:r>
        <w:tab/>
      </w:r>
    </w:p>
    <w:p w14:paraId="1ED35113" w14:textId="019A3EE0" w:rsidR="00D7028C" w:rsidRPr="0099749E" w:rsidRDefault="00D7028C" w:rsidP="00256DE7">
      <w:pPr>
        <w:ind w:firstLine="708"/>
        <w:jc w:val="both"/>
        <w:rPr>
          <w:rFonts w:cs="Times New Roman"/>
          <w:i/>
          <w:szCs w:val="24"/>
        </w:rPr>
      </w:pPr>
      <w:r w:rsidRPr="00256DE7">
        <w:rPr>
          <w:rFonts w:cs="Times New Roman"/>
          <w:szCs w:val="24"/>
        </w:rPr>
        <w:t xml:space="preserve">Istotą proponowanego rozwiązania jest uzupełnienie katalogu stypizowanych w przepisach ustawy </w:t>
      </w:r>
      <w:r w:rsidRPr="0008323B">
        <w:rPr>
          <w:rFonts w:cs="Times New Roman"/>
          <w:i/>
          <w:iCs/>
          <w:szCs w:val="24"/>
        </w:rPr>
        <w:t>o zwalczaniu nieuczciwej konkurencji</w:t>
      </w:r>
      <w:r w:rsidRPr="00256DE7">
        <w:rPr>
          <w:rFonts w:cs="Times New Roman"/>
          <w:szCs w:val="24"/>
        </w:rPr>
        <w:t xml:space="preserve"> czynów nieuczciwej konkurencji o kolejny czyn. Zgodnie z projektowanym przepisem charakter czynu nieuczciwej konkurencji będzie miało </w:t>
      </w:r>
      <w:r w:rsidRPr="00256DE7">
        <w:rPr>
          <w:rFonts w:cs="Times New Roman"/>
          <w:i/>
          <w:szCs w:val="24"/>
        </w:rPr>
        <w:t>naruszenie zakazu praktyk ograniczających konkurencję w rozumieniu art. 6 i art. 9 ustawy o ochronie konkurencji i konsumentów, a także art. 101 i art. 102 Traktatu o Funkcjonowaniu Unii Europejskiej.</w:t>
      </w:r>
    </w:p>
    <w:p w14:paraId="5AF8943F" w14:textId="75115144" w:rsidR="00D7028C" w:rsidRDefault="00541FB9" w:rsidP="00256DE7">
      <w:pPr>
        <w:widowControl/>
        <w:ind w:firstLine="708"/>
        <w:jc w:val="both"/>
        <w:rPr>
          <w:rFonts w:eastAsiaTheme="minorHAnsi" w:cs="Times New Roman"/>
          <w:szCs w:val="24"/>
          <w:lang w:eastAsia="en-US"/>
        </w:rPr>
      </w:pPr>
      <w:r w:rsidRPr="0008323B">
        <w:rPr>
          <w:rFonts w:eastAsiaTheme="minorHAnsi" w:cs="Times New Roman"/>
          <w:szCs w:val="24"/>
          <w:lang w:eastAsia="en-US"/>
        </w:rPr>
        <w:t>Proponowana poprawka oprócz bezpośredniego wpływu</w:t>
      </w:r>
      <w:r w:rsidR="0099749E">
        <w:rPr>
          <w:rFonts w:eastAsiaTheme="minorHAnsi" w:cs="Times New Roman"/>
          <w:szCs w:val="24"/>
          <w:lang w:eastAsia="en-US"/>
        </w:rPr>
        <w:t xml:space="preserve"> na</w:t>
      </w:r>
      <w:r w:rsidRPr="0008323B">
        <w:rPr>
          <w:rFonts w:eastAsiaTheme="minorHAnsi" w:cs="Times New Roman"/>
          <w:szCs w:val="24"/>
          <w:lang w:eastAsia="en-US"/>
        </w:rPr>
        <w:t xml:space="preserve"> </w:t>
      </w:r>
      <w:r w:rsidR="00256DE7" w:rsidRPr="0008323B">
        <w:rPr>
          <w:rFonts w:eastAsiaTheme="minorHAnsi" w:cs="Times New Roman"/>
          <w:i/>
          <w:iCs/>
          <w:szCs w:val="24"/>
          <w:lang w:eastAsia="en-US"/>
        </w:rPr>
        <w:t>uznk</w:t>
      </w:r>
      <w:r w:rsidRPr="0008323B">
        <w:rPr>
          <w:rFonts w:eastAsiaTheme="minorHAnsi" w:cs="Times New Roman"/>
          <w:szCs w:val="24"/>
          <w:lang w:eastAsia="en-US"/>
        </w:rPr>
        <w:t xml:space="preserve"> </w:t>
      </w:r>
      <w:r w:rsidR="00256DE7" w:rsidRPr="0008323B">
        <w:rPr>
          <w:rFonts w:eastAsiaTheme="minorHAnsi" w:cs="Times New Roman"/>
          <w:szCs w:val="24"/>
          <w:lang w:eastAsia="en-US"/>
        </w:rPr>
        <w:t>będzie miała</w:t>
      </w:r>
      <w:r w:rsidRPr="0008323B">
        <w:rPr>
          <w:rFonts w:eastAsiaTheme="minorHAnsi" w:cs="Times New Roman"/>
          <w:szCs w:val="24"/>
          <w:lang w:eastAsia="en-US"/>
        </w:rPr>
        <w:t xml:space="preserve"> również</w:t>
      </w:r>
      <w:r w:rsidR="00256DE7" w:rsidRPr="0008323B">
        <w:rPr>
          <w:rFonts w:eastAsiaTheme="minorHAnsi" w:cs="Times New Roman"/>
          <w:szCs w:val="24"/>
          <w:lang w:eastAsia="en-US"/>
        </w:rPr>
        <w:t xml:space="preserve"> pośredni wpływ</w:t>
      </w:r>
      <w:r w:rsidRPr="0008323B">
        <w:rPr>
          <w:rFonts w:eastAsiaTheme="minorHAnsi" w:cs="Times New Roman"/>
          <w:szCs w:val="24"/>
          <w:lang w:eastAsia="en-US"/>
        </w:rPr>
        <w:t xml:space="preserve"> </w:t>
      </w:r>
      <w:r w:rsidR="00256DE7" w:rsidRPr="0008323B">
        <w:rPr>
          <w:rFonts w:eastAsiaTheme="minorHAnsi" w:cs="Times New Roman"/>
          <w:szCs w:val="24"/>
          <w:lang w:eastAsia="en-US"/>
        </w:rPr>
        <w:t xml:space="preserve">na </w:t>
      </w:r>
      <w:r w:rsidRPr="0008323B">
        <w:rPr>
          <w:rFonts w:eastAsiaTheme="minorHAnsi" w:cs="Times New Roman"/>
          <w:szCs w:val="24"/>
          <w:lang w:eastAsia="en-US"/>
        </w:rPr>
        <w:t>ustaw</w:t>
      </w:r>
      <w:r w:rsidR="00256DE7" w:rsidRPr="0008323B">
        <w:rPr>
          <w:rFonts w:eastAsiaTheme="minorHAnsi" w:cs="Times New Roman"/>
          <w:szCs w:val="24"/>
          <w:lang w:eastAsia="en-US"/>
        </w:rPr>
        <w:t>ę</w:t>
      </w:r>
      <w:r w:rsidRPr="0008323B">
        <w:rPr>
          <w:rFonts w:eastAsiaTheme="minorHAnsi" w:cs="Times New Roman"/>
          <w:szCs w:val="24"/>
          <w:lang w:eastAsia="en-US"/>
        </w:rPr>
        <w:t xml:space="preserve"> o ochronie</w:t>
      </w:r>
      <w:r w:rsidR="00256DE7" w:rsidRPr="0008323B">
        <w:rPr>
          <w:rFonts w:eastAsiaTheme="minorHAnsi" w:cs="Times New Roman"/>
          <w:szCs w:val="24"/>
          <w:lang w:eastAsia="en-US"/>
        </w:rPr>
        <w:t xml:space="preserve"> </w:t>
      </w:r>
      <w:r w:rsidRPr="0008323B">
        <w:rPr>
          <w:rFonts w:eastAsiaTheme="minorHAnsi" w:cs="Times New Roman"/>
          <w:szCs w:val="24"/>
          <w:lang w:eastAsia="en-US"/>
        </w:rPr>
        <w:t xml:space="preserve">konkurencji i konsumentów (Dz. U. z </w:t>
      </w:r>
      <w:r w:rsidR="00E64295" w:rsidRPr="0008323B">
        <w:rPr>
          <w:rFonts w:eastAsiaTheme="minorHAnsi" w:cs="Times New Roman"/>
          <w:szCs w:val="24"/>
          <w:lang w:eastAsia="en-US"/>
        </w:rPr>
        <w:t>20</w:t>
      </w:r>
      <w:r w:rsidR="00E64295">
        <w:rPr>
          <w:rFonts w:eastAsiaTheme="minorHAnsi" w:cs="Times New Roman"/>
          <w:szCs w:val="24"/>
          <w:lang w:eastAsia="en-US"/>
        </w:rPr>
        <w:t>20</w:t>
      </w:r>
      <w:r w:rsidR="00E64295" w:rsidRPr="0008323B">
        <w:rPr>
          <w:rFonts w:eastAsiaTheme="minorHAnsi" w:cs="Times New Roman"/>
          <w:szCs w:val="24"/>
          <w:lang w:eastAsia="en-US"/>
        </w:rPr>
        <w:t xml:space="preserve"> </w:t>
      </w:r>
      <w:r w:rsidRPr="0008323B">
        <w:rPr>
          <w:rFonts w:eastAsiaTheme="minorHAnsi" w:cs="Times New Roman"/>
          <w:szCs w:val="24"/>
          <w:lang w:eastAsia="en-US"/>
        </w:rPr>
        <w:t xml:space="preserve">r. poz. </w:t>
      </w:r>
      <w:r w:rsidR="00E64295">
        <w:rPr>
          <w:rFonts w:eastAsiaTheme="minorHAnsi" w:cs="Times New Roman"/>
          <w:szCs w:val="24"/>
          <w:lang w:eastAsia="en-US"/>
        </w:rPr>
        <w:t>1076 i 1086</w:t>
      </w:r>
      <w:r w:rsidRPr="0008323B">
        <w:rPr>
          <w:rFonts w:eastAsiaTheme="minorHAnsi" w:cs="Times New Roman"/>
          <w:szCs w:val="24"/>
          <w:lang w:eastAsia="en-US"/>
        </w:rPr>
        <w:t>, dalej</w:t>
      </w:r>
      <w:r w:rsidR="00256DE7" w:rsidRPr="0008323B">
        <w:rPr>
          <w:rFonts w:eastAsiaTheme="minorHAnsi" w:cs="Times New Roman"/>
          <w:szCs w:val="24"/>
          <w:lang w:eastAsia="en-US"/>
        </w:rPr>
        <w:t>:</w:t>
      </w:r>
      <w:r w:rsidRPr="0008323B">
        <w:rPr>
          <w:rFonts w:eastAsiaTheme="minorHAnsi" w:cs="Times New Roman"/>
          <w:szCs w:val="24"/>
          <w:lang w:eastAsia="en-US"/>
        </w:rPr>
        <w:t xml:space="preserve"> </w:t>
      </w:r>
      <w:r w:rsidRPr="0008323B">
        <w:rPr>
          <w:rFonts w:eastAsiaTheme="minorHAnsi" w:cs="Times New Roman"/>
          <w:i/>
          <w:iCs/>
          <w:szCs w:val="24"/>
          <w:lang w:eastAsia="en-US"/>
        </w:rPr>
        <w:t>uokik</w:t>
      </w:r>
      <w:r w:rsidRPr="0008323B">
        <w:rPr>
          <w:rFonts w:eastAsiaTheme="minorHAnsi" w:cs="Times New Roman"/>
          <w:szCs w:val="24"/>
          <w:lang w:eastAsia="en-US"/>
        </w:rPr>
        <w:t>).</w:t>
      </w:r>
      <w:r w:rsidR="00256DE7" w:rsidRPr="0008323B">
        <w:rPr>
          <w:rFonts w:eastAsiaTheme="minorHAnsi" w:cs="Times New Roman"/>
          <w:szCs w:val="24"/>
          <w:lang w:eastAsia="en-US"/>
        </w:rPr>
        <w:t xml:space="preserve"> Oba te akty prawne tworzą podstawowe ramy prawne dla zapewnienia prawidłowego funkcjonowania konkurencji w zakresie prawa prywatnego i publicznego. Przy </w:t>
      </w:r>
      <w:r w:rsidR="00256DE7" w:rsidRPr="0008323B">
        <w:rPr>
          <w:rFonts w:eastAsiaTheme="minorHAnsi" w:cs="Times New Roman"/>
          <w:szCs w:val="24"/>
          <w:lang w:eastAsia="en-US"/>
        </w:rPr>
        <w:lastRenderedPageBreak/>
        <w:t xml:space="preserve">czym ochrona konkurencji i konsumentów na podstawie </w:t>
      </w:r>
      <w:r w:rsidR="00256DE7" w:rsidRPr="0008323B">
        <w:rPr>
          <w:rFonts w:eastAsiaTheme="minorHAnsi" w:cs="Times New Roman"/>
          <w:i/>
          <w:iCs/>
          <w:szCs w:val="24"/>
          <w:lang w:eastAsia="en-US"/>
        </w:rPr>
        <w:t xml:space="preserve">uokik </w:t>
      </w:r>
      <w:r w:rsidR="00256DE7" w:rsidRPr="0008323B">
        <w:rPr>
          <w:rFonts w:eastAsiaTheme="minorHAnsi" w:cs="Times New Roman"/>
          <w:szCs w:val="24"/>
          <w:lang w:eastAsia="en-US"/>
        </w:rPr>
        <w:t xml:space="preserve">egzekwowana jest na gruncie prawa publicznego w trybie administracyjnym przez Prezesa Urzędu Ochrony Konkurencji i Konsumentów. Z kolei </w:t>
      </w:r>
      <w:r w:rsidR="00256DE7" w:rsidRPr="0008323B">
        <w:rPr>
          <w:rFonts w:eastAsiaTheme="minorHAnsi" w:cs="Times New Roman"/>
          <w:i/>
          <w:iCs/>
          <w:szCs w:val="24"/>
          <w:lang w:eastAsia="en-US"/>
        </w:rPr>
        <w:t>uznk</w:t>
      </w:r>
      <w:r w:rsidR="00256DE7" w:rsidRPr="0008323B">
        <w:rPr>
          <w:rFonts w:eastAsiaTheme="minorHAnsi" w:cs="Times New Roman"/>
          <w:szCs w:val="24"/>
          <w:lang w:eastAsia="en-US"/>
        </w:rPr>
        <w:t xml:space="preserve"> </w:t>
      </w:r>
      <w:r w:rsidRPr="0008323B">
        <w:rPr>
          <w:rFonts w:eastAsiaTheme="minorHAnsi" w:cs="Times New Roman"/>
          <w:szCs w:val="24"/>
          <w:lang w:eastAsia="en-US"/>
        </w:rPr>
        <w:t>jest instrumentem ochrony prywatnoprawnej</w:t>
      </w:r>
      <w:r w:rsidR="00256DE7" w:rsidRPr="0008323B">
        <w:rPr>
          <w:rFonts w:eastAsiaTheme="minorHAnsi" w:cs="Times New Roman"/>
          <w:szCs w:val="24"/>
          <w:lang w:eastAsia="en-US"/>
        </w:rPr>
        <w:t xml:space="preserve"> </w:t>
      </w:r>
      <w:r w:rsidRPr="0008323B">
        <w:rPr>
          <w:rFonts w:eastAsiaTheme="minorHAnsi" w:cs="Times New Roman"/>
          <w:szCs w:val="24"/>
          <w:lang w:eastAsia="en-US"/>
        </w:rPr>
        <w:t>przed czynami nieuczciwej konkurencji i chroni w pierwszej</w:t>
      </w:r>
      <w:r w:rsidR="00256DE7" w:rsidRPr="0008323B">
        <w:rPr>
          <w:rFonts w:eastAsiaTheme="minorHAnsi" w:cs="Times New Roman"/>
          <w:szCs w:val="24"/>
          <w:lang w:eastAsia="en-US"/>
        </w:rPr>
        <w:t xml:space="preserve"> </w:t>
      </w:r>
      <w:r w:rsidRPr="0008323B">
        <w:rPr>
          <w:rFonts w:eastAsiaTheme="minorHAnsi" w:cs="Times New Roman"/>
          <w:szCs w:val="24"/>
          <w:lang w:eastAsia="en-US"/>
        </w:rPr>
        <w:t>kolejności interes przedsiębiorców i ich klientów.</w:t>
      </w:r>
    </w:p>
    <w:p w14:paraId="3066C05F" w14:textId="74583E1F" w:rsidR="00D61B53" w:rsidRDefault="0099749E" w:rsidP="00D61B53">
      <w:pPr>
        <w:widowControl/>
        <w:ind w:firstLine="708"/>
        <w:jc w:val="both"/>
        <w:rPr>
          <w:rFonts w:cs="Times New Roman"/>
          <w:szCs w:val="24"/>
        </w:rPr>
      </w:pPr>
      <w:r>
        <w:rPr>
          <w:rFonts w:cs="Times New Roman"/>
        </w:rPr>
        <w:t>Niestety orzecznictwo polskich sądów nie przesądziło, gdzie przebiega granica między obydwoma reżimami. Sąd Najwyższy w swoim wyroku (</w:t>
      </w:r>
      <w:r w:rsidR="00B252E6">
        <w:rPr>
          <w:rFonts w:cs="Times New Roman"/>
        </w:rPr>
        <w:t>w</w:t>
      </w:r>
      <w:r>
        <w:rPr>
          <w:rFonts w:cs="Times New Roman"/>
        </w:rPr>
        <w:t xml:space="preserve">yrok SN z dnia 31 marca 2017 r. </w:t>
      </w:r>
      <w:r w:rsidR="00E867F6">
        <w:rPr>
          <w:rFonts w:cs="Times New Roman"/>
        </w:rPr>
        <w:t>s</w:t>
      </w:r>
      <w:r>
        <w:rPr>
          <w:rFonts w:cs="Times New Roman"/>
        </w:rPr>
        <w:t xml:space="preserve">ygn. </w:t>
      </w:r>
      <w:r w:rsidRPr="009A4EBE">
        <w:rPr>
          <w:rFonts w:cs="Times New Roman"/>
          <w:szCs w:val="24"/>
        </w:rPr>
        <w:t xml:space="preserve">akt I CSK 290/16) nie przesądził by z klauzuli generalnej (art. 3 </w:t>
      </w:r>
      <w:r w:rsidRPr="0008323B">
        <w:rPr>
          <w:rFonts w:cs="Times New Roman"/>
          <w:i/>
          <w:iCs/>
          <w:szCs w:val="24"/>
        </w:rPr>
        <w:t>uznk</w:t>
      </w:r>
      <w:r w:rsidRPr="009A4EBE">
        <w:rPr>
          <w:rFonts w:cs="Times New Roman"/>
          <w:szCs w:val="24"/>
        </w:rPr>
        <w:t xml:space="preserve">) można było wyinterpretować samodzielne roszczenia negatoryjne z art. 6, 9 </w:t>
      </w:r>
      <w:r w:rsidRPr="0008323B">
        <w:rPr>
          <w:rFonts w:cs="Times New Roman"/>
          <w:i/>
          <w:iCs/>
          <w:szCs w:val="24"/>
        </w:rPr>
        <w:t>uokik</w:t>
      </w:r>
      <w:r w:rsidRPr="009A4EBE">
        <w:rPr>
          <w:rFonts w:cs="Times New Roman"/>
          <w:szCs w:val="24"/>
        </w:rPr>
        <w:t xml:space="preserve"> oraz art. 101 i 102 TFUE.</w:t>
      </w:r>
    </w:p>
    <w:p w14:paraId="36702ADC" w14:textId="4CD86B39" w:rsidR="00E867F6" w:rsidRPr="00BC361E" w:rsidRDefault="0099749E" w:rsidP="00D61B53">
      <w:pPr>
        <w:widowControl/>
        <w:ind w:firstLine="708"/>
        <w:jc w:val="both"/>
        <w:rPr>
          <w:rFonts w:cs="Times New Roman"/>
          <w:szCs w:val="24"/>
        </w:rPr>
      </w:pPr>
      <w:r w:rsidRPr="00BC361E">
        <w:rPr>
          <w:rFonts w:eastAsiaTheme="minorHAnsi" w:cs="Times New Roman"/>
          <w:szCs w:val="24"/>
          <w:lang w:eastAsia="en-US"/>
        </w:rPr>
        <w:t xml:space="preserve">W doktrynie wskazuje się, że treść normatywna proponowanego art. 15c </w:t>
      </w:r>
      <w:r w:rsidRPr="00BC361E">
        <w:rPr>
          <w:rFonts w:eastAsiaTheme="minorHAnsi" w:cs="Times New Roman"/>
          <w:i/>
          <w:iCs/>
          <w:szCs w:val="24"/>
          <w:lang w:eastAsia="en-US"/>
        </w:rPr>
        <w:t>uznk</w:t>
      </w:r>
      <w:r w:rsidRPr="00FA72C0">
        <w:rPr>
          <w:rFonts w:eastAsiaTheme="minorHAnsi" w:cs="Times New Roman"/>
          <w:szCs w:val="24"/>
          <w:lang w:eastAsia="en-US"/>
        </w:rPr>
        <w:t xml:space="preserve"> w obecnym stanie prawnym byłaby możliwa do ustalenia na podstawie funkcjonalnej interpretacji </w:t>
      </w:r>
      <w:r w:rsidRPr="00BC361E">
        <w:rPr>
          <w:rFonts w:eastAsiaTheme="minorHAnsi" w:cs="Times New Roman"/>
          <w:szCs w:val="24"/>
          <w:lang w:eastAsia="en-US"/>
        </w:rPr>
        <w:t xml:space="preserve">art. 3 ust. 1 </w:t>
      </w:r>
      <w:r w:rsidRPr="00BC361E">
        <w:rPr>
          <w:rFonts w:eastAsiaTheme="minorHAnsi" w:cs="Times New Roman"/>
          <w:i/>
          <w:iCs/>
          <w:szCs w:val="24"/>
          <w:lang w:eastAsia="en-US"/>
        </w:rPr>
        <w:t>uznk</w:t>
      </w:r>
      <w:r w:rsidRPr="00BC361E">
        <w:rPr>
          <w:rFonts w:eastAsiaTheme="minorHAnsi" w:cs="Times New Roman"/>
          <w:szCs w:val="24"/>
          <w:lang w:eastAsia="en-US"/>
        </w:rPr>
        <w:t>, zawierającego klauzulę generalną</w:t>
      </w:r>
      <w:r w:rsidRPr="00BC361E">
        <w:rPr>
          <w:rFonts w:eastAsiaTheme="minorHAnsi" w:cs="Times New Roman"/>
          <w:b/>
          <w:bCs/>
          <w:szCs w:val="24"/>
          <w:lang w:eastAsia="en-US"/>
        </w:rPr>
        <w:t xml:space="preserve">, </w:t>
      </w:r>
      <w:r w:rsidRPr="00BC361E">
        <w:rPr>
          <w:rFonts w:eastAsiaTheme="minorHAnsi" w:cs="Times New Roman"/>
          <w:szCs w:val="24"/>
          <w:lang w:eastAsia="en-US"/>
        </w:rPr>
        <w:t>która definiuje czyn nieuczciwej</w:t>
      </w:r>
      <w:r w:rsidR="009A4EBE" w:rsidRPr="00BC361E">
        <w:rPr>
          <w:rFonts w:eastAsiaTheme="minorHAnsi" w:cs="Times New Roman"/>
          <w:szCs w:val="24"/>
          <w:lang w:eastAsia="en-US"/>
        </w:rPr>
        <w:t xml:space="preserve"> </w:t>
      </w:r>
      <w:r w:rsidRPr="00BC361E">
        <w:rPr>
          <w:rFonts w:eastAsiaTheme="minorHAnsi" w:cs="Times New Roman"/>
          <w:szCs w:val="24"/>
          <w:lang w:eastAsia="en-US"/>
        </w:rPr>
        <w:t>konkurencji jako zachowanie sprzeczne z prawem lub dobrymi obyczajami,</w:t>
      </w:r>
      <w:r w:rsidR="009A4EBE" w:rsidRPr="00BC361E">
        <w:rPr>
          <w:rFonts w:eastAsiaTheme="minorHAnsi" w:cs="Times New Roman"/>
          <w:szCs w:val="24"/>
          <w:lang w:eastAsia="en-US"/>
        </w:rPr>
        <w:t xml:space="preserve"> </w:t>
      </w:r>
      <w:r w:rsidRPr="00BC361E">
        <w:rPr>
          <w:rFonts w:eastAsiaTheme="minorHAnsi" w:cs="Times New Roman"/>
          <w:szCs w:val="24"/>
          <w:lang w:eastAsia="en-US"/>
        </w:rPr>
        <w:t>jeżeli zagraża lub narusza interes innego przedsiębiorcy lub</w:t>
      </w:r>
      <w:r w:rsidR="009A4EBE" w:rsidRPr="00BC361E">
        <w:rPr>
          <w:rFonts w:eastAsiaTheme="minorHAnsi" w:cs="Times New Roman"/>
          <w:szCs w:val="24"/>
          <w:lang w:eastAsia="en-US"/>
        </w:rPr>
        <w:t xml:space="preserve"> </w:t>
      </w:r>
      <w:r w:rsidRPr="00BC361E">
        <w:rPr>
          <w:rFonts w:eastAsiaTheme="minorHAnsi" w:cs="Times New Roman"/>
          <w:szCs w:val="24"/>
          <w:lang w:eastAsia="en-US"/>
        </w:rPr>
        <w:t>klienta</w:t>
      </w:r>
      <w:r w:rsidR="00B252E6" w:rsidRPr="00BC361E">
        <w:rPr>
          <w:rFonts w:eastAsiaTheme="minorHAnsi" w:cs="Times New Roman"/>
          <w:szCs w:val="24"/>
          <w:lang w:eastAsia="en-US"/>
        </w:rPr>
        <w:t>.</w:t>
      </w:r>
      <w:r w:rsidR="009A4EBE" w:rsidRPr="00BC361E">
        <w:rPr>
          <w:rFonts w:eastAsiaTheme="minorHAnsi" w:cs="Times New Roman"/>
          <w:szCs w:val="24"/>
          <w:lang w:eastAsia="en-US"/>
        </w:rPr>
        <w:t xml:space="preserve"> </w:t>
      </w:r>
      <w:r w:rsidR="00B252E6" w:rsidRPr="00BC361E">
        <w:rPr>
          <w:rFonts w:eastAsiaTheme="minorHAnsi" w:cs="Times New Roman"/>
          <w:szCs w:val="24"/>
          <w:lang w:eastAsia="en-US"/>
        </w:rPr>
        <w:t>J</w:t>
      </w:r>
      <w:r w:rsidR="009A4EBE" w:rsidRPr="00BC361E">
        <w:rPr>
          <w:rFonts w:eastAsiaTheme="minorHAnsi" w:cs="Times New Roman"/>
          <w:szCs w:val="24"/>
          <w:lang w:eastAsia="en-US"/>
        </w:rPr>
        <w:t>ednak</w:t>
      </w:r>
      <w:r w:rsidRPr="00BC361E">
        <w:rPr>
          <w:rFonts w:eastAsiaTheme="minorHAnsi" w:cs="Times New Roman"/>
          <w:szCs w:val="24"/>
          <w:lang w:eastAsia="en-US"/>
        </w:rPr>
        <w:t xml:space="preserve"> </w:t>
      </w:r>
      <w:r w:rsidR="009A4EBE" w:rsidRPr="00BC361E">
        <w:rPr>
          <w:rFonts w:eastAsiaTheme="minorHAnsi" w:cs="Times New Roman"/>
          <w:szCs w:val="24"/>
          <w:lang w:eastAsia="en-US"/>
        </w:rPr>
        <w:t>s</w:t>
      </w:r>
      <w:r w:rsidRPr="00BC361E">
        <w:rPr>
          <w:rFonts w:eastAsiaTheme="minorHAnsi" w:cs="Times New Roman"/>
          <w:szCs w:val="24"/>
          <w:lang w:eastAsia="en-US"/>
        </w:rPr>
        <w:t>ięganie do</w:t>
      </w:r>
      <w:r w:rsidR="009A4EBE" w:rsidRPr="00BC361E">
        <w:rPr>
          <w:rFonts w:eastAsiaTheme="minorHAnsi" w:cs="Times New Roman"/>
          <w:szCs w:val="24"/>
          <w:lang w:eastAsia="en-US"/>
        </w:rPr>
        <w:t xml:space="preserve"> takiej wykładni prawa budzi wątpliwości </w:t>
      </w:r>
      <w:r w:rsidRPr="00BC361E">
        <w:rPr>
          <w:rFonts w:eastAsiaTheme="minorHAnsi" w:cs="Times New Roman"/>
          <w:szCs w:val="24"/>
          <w:lang w:eastAsia="en-US"/>
        </w:rPr>
        <w:t>co do powodzenia prowadzenia sprawy o naturze naruszenia prawa konkurencji</w:t>
      </w:r>
      <w:r w:rsidR="009A4EBE" w:rsidRPr="00BC361E">
        <w:rPr>
          <w:rFonts w:eastAsiaTheme="minorHAnsi" w:cs="Times New Roman"/>
          <w:szCs w:val="24"/>
          <w:lang w:eastAsia="en-US"/>
        </w:rPr>
        <w:t xml:space="preserve"> </w:t>
      </w:r>
      <w:r w:rsidRPr="00BC361E">
        <w:rPr>
          <w:rFonts w:eastAsiaTheme="minorHAnsi" w:cs="Times New Roman"/>
          <w:szCs w:val="24"/>
          <w:lang w:eastAsia="en-US"/>
        </w:rPr>
        <w:t xml:space="preserve">na drodze procesu </w:t>
      </w:r>
      <w:r w:rsidR="009A4EBE" w:rsidRPr="00BC361E">
        <w:rPr>
          <w:rFonts w:eastAsiaTheme="minorHAnsi" w:cs="Times New Roman"/>
          <w:szCs w:val="24"/>
          <w:lang w:eastAsia="en-US"/>
        </w:rPr>
        <w:t>sądowego</w:t>
      </w:r>
      <w:r w:rsidR="00D61B53" w:rsidRPr="00BC361E">
        <w:rPr>
          <w:rFonts w:eastAsiaTheme="minorHAnsi" w:cs="Times New Roman"/>
          <w:szCs w:val="24"/>
          <w:lang w:eastAsia="en-US"/>
        </w:rPr>
        <w:t xml:space="preserve"> (Szerzej: P. Podrecki, </w:t>
      </w:r>
      <w:r w:rsidR="00D61B53" w:rsidRPr="00BC361E">
        <w:rPr>
          <w:rFonts w:eastAsiaTheme="minorHAnsi" w:cs="Times New Roman"/>
          <w:i/>
          <w:iCs/>
          <w:szCs w:val="24"/>
          <w:lang w:eastAsia="en-US"/>
        </w:rPr>
        <w:t>Porozumienia monopolistyczne i ich cywilnoprawne</w:t>
      </w:r>
      <w:r w:rsidR="00D61B53" w:rsidRPr="00BC361E">
        <w:rPr>
          <w:rFonts w:cs="Times New Roman"/>
          <w:szCs w:val="24"/>
        </w:rPr>
        <w:t xml:space="preserve"> </w:t>
      </w:r>
      <w:r w:rsidR="00D61B53" w:rsidRPr="00BC361E">
        <w:rPr>
          <w:rFonts w:eastAsiaTheme="minorHAnsi" w:cs="Times New Roman"/>
          <w:i/>
          <w:iCs/>
          <w:szCs w:val="24"/>
          <w:lang w:eastAsia="en-US"/>
        </w:rPr>
        <w:t xml:space="preserve">skutki, </w:t>
      </w:r>
      <w:r w:rsidR="00D61B53" w:rsidRPr="00BC361E">
        <w:rPr>
          <w:rFonts w:eastAsiaTheme="minorHAnsi" w:cs="Times New Roman"/>
          <w:szCs w:val="24"/>
          <w:lang w:eastAsia="en-US"/>
        </w:rPr>
        <w:t>Zeszyty Naukowe Uniwersytetu Jagiellońskiego. Prace z Wynalazczości</w:t>
      </w:r>
      <w:r w:rsidR="00D61B53" w:rsidRPr="00BC361E">
        <w:rPr>
          <w:rFonts w:cs="Times New Roman"/>
          <w:szCs w:val="24"/>
        </w:rPr>
        <w:t xml:space="preserve"> </w:t>
      </w:r>
      <w:r w:rsidR="00D61B53" w:rsidRPr="00BC361E">
        <w:rPr>
          <w:rFonts w:eastAsiaTheme="minorHAnsi" w:cs="Times New Roman"/>
          <w:szCs w:val="24"/>
          <w:lang w:eastAsia="en-US"/>
        </w:rPr>
        <w:t xml:space="preserve">i Własności Intelektualnej, 2000, z. 74; tenże: </w:t>
      </w:r>
      <w:r w:rsidR="00D61B53" w:rsidRPr="00BC361E">
        <w:rPr>
          <w:rFonts w:eastAsiaTheme="minorHAnsi" w:cs="Times New Roman"/>
          <w:i/>
          <w:iCs/>
          <w:szCs w:val="24"/>
          <w:lang w:eastAsia="en-US"/>
        </w:rPr>
        <w:t>Cywilnoprawne</w:t>
      </w:r>
      <w:r w:rsidR="00D61B53" w:rsidRPr="00BC361E">
        <w:rPr>
          <w:rFonts w:cs="Times New Roman"/>
          <w:szCs w:val="24"/>
        </w:rPr>
        <w:t xml:space="preserve"> </w:t>
      </w:r>
      <w:r w:rsidR="00D61B53" w:rsidRPr="00BC361E">
        <w:rPr>
          <w:rFonts w:eastAsiaTheme="minorHAnsi" w:cs="Times New Roman"/>
          <w:i/>
          <w:iCs/>
          <w:szCs w:val="24"/>
          <w:lang w:eastAsia="en-US"/>
        </w:rPr>
        <w:t xml:space="preserve">skutki porozumień </w:t>
      </w:r>
      <w:r w:rsidR="00D61B53" w:rsidRPr="00BC361E">
        <w:rPr>
          <w:rFonts w:eastAsiaTheme="minorHAnsi" w:cs="Times New Roman"/>
          <w:szCs w:val="24"/>
          <w:lang w:eastAsia="en-US"/>
        </w:rPr>
        <w:t xml:space="preserve">(w:) </w:t>
      </w:r>
      <w:r w:rsidR="00D61B53" w:rsidRPr="00BC361E">
        <w:rPr>
          <w:rFonts w:eastAsiaTheme="minorHAnsi" w:cs="Times New Roman"/>
          <w:i/>
          <w:iCs/>
          <w:szCs w:val="24"/>
          <w:lang w:eastAsia="en-US"/>
        </w:rPr>
        <w:t>Prawo konkurencji</w:t>
      </w:r>
      <w:r w:rsidR="00D61B53" w:rsidRPr="00BC361E">
        <w:rPr>
          <w:rFonts w:eastAsiaTheme="minorHAnsi" w:cs="Times New Roman"/>
          <w:szCs w:val="24"/>
          <w:lang w:eastAsia="en-US"/>
        </w:rPr>
        <w:t>. System Prawa Prywatnego tom</w:t>
      </w:r>
      <w:r w:rsidR="00D61B53" w:rsidRPr="00BC361E">
        <w:rPr>
          <w:rFonts w:cs="Times New Roman"/>
          <w:szCs w:val="24"/>
        </w:rPr>
        <w:t xml:space="preserve"> </w:t>
      </w:r>
      <w:r w:rsidR="00D61B53" w:rsidRPr="00BC361E">
        <w:rPr>
          <w:rFonts w:eastAsiaTheme="minorHAnsi" w:cs="Times New Roman"/>
          <w:szCs w:val="24"/>
          <w:lang w:eastAsia="en-US"/>
        </w:rPr>
        <w:t xml:space="preserve">15 pod red. M. Kępińskiego, C. H. Beck, Warszawa 2014, s. 1224 - 1262). </w:t>
      </w:r>
    </w:p>
    <w:p w14:paraId="055CB5A7" w14:textId="0BFF9867" w:rsidR="009A4EBE" w:rsidRDefault="009A4EBE" w:rsidP="009A4EBE">
      <w:pPr>
        <w:widowControl/>
        <w:ind w:firstLine="708"/>
        <w:jc w:val="both"/>
        <w:rPr>
          <w:rFonts w:eastAsiaTheme="minorHAnsi" w:cs="Times New Roman"/>
          <w:szCs w:val="24"/>
          <w:lang w:eastAsia="en-US"/>
        </w:rPr>
      </w:pPr>
      <w:r w:rsidRPr="00F815D0">
        <w:rPr>
          <w:rFonts w:eastAsiaTheme="minorHAnsi" w:cs="Times New Roman"/>
          <w:szCs w:val="24"/>
          <w:lang w:eastAsia="en-US"/>
        </w:rPr>
        <w:t>W ocenie projekt</w:t>
      </w:r>
      <w:r w:rsidRPr="007A0A02">
        <w:rPr>
          <w:rFonts w:eastAsiaTheme="minorHAnsi" w:cs="Times New Roman"/>
          <w:szCs w:val="24"/>
          <w:lang w:eastAsia="en-US"/>
        </w:rPr>
        <w:t>odawcy</w:t>
      </w:r>
      <w:r w:rsidRPr="0008323B">
        <w:rPr>
          <w:rFonts w:eastAsiaTheme="minorHAnsi" w:cs="Times New Roman"/>
          <w:szCs w:val="24"/>
          <w:lang w:eastAsia="en-US"/>
        </w:rPr>
        <w:t xml:space="preserve"> ww. proponowana zmiana ustawy o </w:t>
      </w:r>
      <w:r w:rsidRPr="0008323B">
        <w:rPr>
          <w:rFonts w:eastAsiaTheme="minorHAnsi" w:cs="Times New Roman"/>
          <w:i/>
          <w:iCs/>
          <w:szCs w:val="24"/>
          <w:lang w:eastAsia="en-US"/>
        </w:rPr>
        <w:t>uznk</w:t>
      </w:r>
      <w:r w:rsidRPr="0008323B">
        <w:rPr>
          <w:rFonts w:eastAsiaTheme="minorHAnsi" w:cs="Times New Roman"/>
          <w:szCs w:val="24"/>
          <w:lang w:eastAsia="en-US"/>
        </w:rPr>
        <w:t xml:space="preserve"> usuwa wskazane trudności interpretacyjne</w:t>
      </w:r>
      <w:r w:rsidRPr="0008323B">
        <w:rPr>
          <w:rFonts w:eastAsiaTheme="minorHAnsi" w:cs="Times New Roman"/>
          <w:b/>
          <w:bCs/>
          <w:szCs w:val="24"/>
          <w:lang w:eastAsia="en-US"/>
        </w:rPr>
        <w:t xml:space="preserve">, </w:t>
      </w:r>
      <w:r w:rsidRPr="0008323B">
        <w:rPr>
          <w:rFonts w:eastAsiaTheme="minorHAnsi" w:cs="Times New Roman"/>
          <w:szCs w:val="24"/>
          <w:lang w:eastAsia="en-US"/>
        </w:rPr>
        <w:t>dostosowując polską regulację do rozwiązań znanych w systemach</w:t>
      </w:r>
      <w:r w:rsidRPr="0008323B">
        <w:rPr>
          <w:rFonts w:eastAsiaTheme="minorHAnsi" w:cs="Times New Roman"/>
          <w:b/>
          <w:bCs/>
          <w:szCs w:val="24"/>
          <w:lang w:eastAsia="en-US"/>
        </w:rPr>
        <w:t xml:space="preserve"> </w:t>
      </w:r>
      <w:r w:rsidRPr="0008323B">
        <w:rPr>
          <w:rFonts w:eastAsiaTheme="minorHAnsi" w:cs="Times New Roman"/>
          <w:szCs w:val="24"/>
          <w:lang w:eastAsia="en-US"/>
        </w:rPr>
        <w:t xml:space="preserve">krajowych państw członkowskich UE (m. in. </w:t>
      </w:r>
      <w:r w:rsidR="00D61B53">
        <w:rPr>
          <w:rFonts w:eastAsiaTheme="minorHAnsi" w:cs="Times New Roman"/>
          <w:szCs w:val="24"/>
          <w:lang w:eastAsia="en-US"/>
        </w:rPr>
        <w:t>Austria</w:t>
      </w:r>
      <w:r w:rsidRPr="0008323B">
        <w:rPr>
          <w:rFonts w:eastAsiaTheme="minorHAnsi" w:cs="Times New Roman"/>
          <w:szCs w:val="24"/>
          <w:lang w:eastAsia="en-US"/>
        </w:rPr>
        <w:t xml:space="preserve">, </w:t>
      </w:r>
      <w:r w:rsidR="00D61B53">
        <w:rPr>
          <w:rFonts w:eastAsiaTheme="minorHAnsi" w:cs="Times New Roman"/>
          <w:szCs w:val="24"/>
          <w:lang w:eastAsia="en-US"/>
        </w:rPr>
        <w:t>Niemcy</w:t>
      </w:r>
      <w:r w:rsidRPr="0008323B">
        <w:rPr>
          <w:rFonts w:eastAsiaTheme="minorHAnsi" w:cs="Times New Roman"/>
          <w:szCs w:val="24"/>
          <w:lang w:eastAsia="en-US"/>
        </w:rPr>
        <w:t xml:space="preserve">, </w:t>
      </w:r>
      <w:r w:rsidR="00D61B53">
        <w:rPr>
          <w:rFonts w:eastAsiaTheme="minorHAnsi" w:cs="Times New Roman"/>
          <w:szCs w:val="24"/>
          <w:lang w:eastAsia="en-US"/>
        </w:rPr>
        <w:t>Francja</w:t>
      </w:r>
      <w:r w:rsidRPr="0008323B">
        <w:rPr>
          <w:rFonts w:eastAsiaTheme="minorHAnsi" w:cs="Times New Roman"/>
          <w:szCs w:val="24"/>
          <w:lang w:eastAsia="en-US"/>
        </w:rPr>
        <w:t>).</w:t>
      </w:r>
    </w:p>
    <w:p w14:paraId="1A82FB42" w14:textId="1C970E3A" w:rsidR="00E867F6" w:rsidRDefault="00E867F6" w:rsidP="00E867F6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Dzięki proponowanej zmianie przedsiębiorcy poszkodowani działaniami ograniczającymi konkurencję uzyskają dodatkowo (poza roszczeniami odszkodowawczymi) możliwość sięgnięcia po roszczenia negatoryjne określone w art. 18 ust. 1 </w:t>
      </w:r>
      <w:r w:rsidRPr="0008323B">
        <w:rPr>
          <w:rFonts w:cs="Times New Roman"/>
          <w:i/>
          <w:iCs/>
        </w:rPr>
        <w:t>uznk</w:t>
      </w:r>
      <w:r>
        <w:rPr>
          <w:rFonts w:cs="Times New Roman"/>
        </w:rPr>
        <w:t xml:space="preserve">, w tym w szczególności roszczenia o zaniechanie oraz usunięcie skutków naruszenia. Istnienie takiej możliwości będzie wpisywało się w potrzebę zapewnienia szybkiej reakcji na działania zaburzające funkcjonowanie rynku. Obecnie postępowania wyjaśniające i antymonopolowe trwają nierzadko latami, co czyni uzyskaną ostatecznie ochronę nieefektywną, spóźnioną i iluzoryczną. Na ścieżce cywilnoprawnej poszkodowany będzie mógł natomiast skorzystać z instytucji zabezpieczenia na czas trwania postępowania już przy uprawdopodobnieniu naruszenia. Proponowana zmiana jest więc jedynie kolejnym, konsekwentnym krokiem w kierunku zapewnienia skuteczniejszej ochrony przed naruszeniami konkurencji. Nadto takie powiązanie sfery publiczno- i prywatnoprawnej wpisuje się w obecny trend wzmacniania </w:t>
      </w:r>
      <w:r>
        <w:rPr>
          <w:rFonts w:cs="Times New Roman"/>
        </w:rPr>
        <w:lastRenderedPageBreak/>
        <w:t xml:space="preserve">efektywności egzekwowania prawa konkurencji. Niewątpliwie zmiana ta prowadzić </w:t>
      </w:r>
      <w:r w:rsidR="00D61B53">
        <w:rPr>
          <w:rFonts w:cs="Times New Roman"/>
        </w:rPr>
        <w:t xml:space="preserve">będzie również </w:t>
      </w:r>
      <w:r>
        <w:rPr>
          <w:rFonts w:cs="Times New Roman"/>
        </w:rPr>
        <w:t xml:space="preserve">do </w:t>
      </w:r>
      <w:r w:rsidR="00EF70A7">
        <w:rPr>
          <w:rFonts w:cs="Times New Roman"/>
        </w:rPr>
        <w:t xml:space="preserve">zwiększenia </w:t>
      </w:r>
      <w:r>
        <w:rPr>
          <w:rFonts w:cs="Times New Roman"/>
        </w:rPr>
        <w:t>ochrony konsumentów, na których interes</w:t>
      </w:r>
      <w:r w:rsidR="00D61B53">
        <w:rPr>
          <w:rFonts w:cs="Times New Roman"/>
        </w:rPr>
        <w:t>y</w:t>
      </w:r>
      <w:r>
        <w:rPr>
          <w:rFonts w:cs="Times New Roman"/>
        </w:rPr>
        <w:t xml:space="preserve"> co najmniej pośrednio wpływa każde naruszenie uczciwej konkurencji na rynku. </w:t>
      </w:r>
    </w:p>
    <w:p w14:paraId="271880F6" w14:textId="77777777" w:rsidR="00E867F6" w:rsidRPr="0008323B" w:rsidRDefault="00E867F6" w:rsidP="0008323B">
      <w:pPr>
        <w:widowControl/>
        <w:ind w:firstLine="708"/>
        <w:jc w:val="both"/>
        <w:rPr>
          <w:rFonts w:eastAsiaTheme="minorHAnsi" w:cs="Times New Roman"/>
          <w:b/>
          <w:bCs/>
          <w:szCs w:val="24"/>
          <w:lang w:eastAsia="en-US"/>
        </w:rPr>
      </w:pPr>
    </w:p>
    <w:p w14:paraId="1330631A" w14:textId="77777777" w:rsidR="00256DE7" w:rsidRPr="0008323B" w:rsidRDefault="00256DE7" w:rsidP="0008323B">
      <w:pPr>
        <w:widowControl/>
        <w:spacing w:line="240" w:lineRule="auto"/>
      </w:pPr>
    </w:p>
    <w:p w14:paraId="0A505029" w14:textId="6E4821F7" w:rsidR="003B0E78" w:rsidRDefault="003B0E78" w:rsidP="003B0E78">
      <w:pPr>
        <w:pStyle w:val="NIEARTTEKSTtekstnieartykuowanynppodstprawnarozplubpreambua"/>
        <w:spacing w:before="0"/>
        <w:ind w:firstLine="709"/>
        <w:rPr>
          <w:b/>
        </w:rPr>
      </w:pPr>
      <w:r w:rsidRPr="009C797D">
        <w:rPr>
          <w:b/>
        </w:rPr>
        <w:t>Art.</w:t>
      </w:r>
      <w:r>
        <w:rPr>
          <w:b/>
        </w:rPr>
        <w:t xml:space="preserve"> </w:t>
      </w:r>
      <w:r w:rsidR="00FA72C0">
        <w:rPr>
          <w:b/>
        </w:rPr>
        <w:t xml:space="preserve">5 </w:t>
      </w:r>
      <w:r>
        <w:rPr>
          <w:b/>
        </w:rPr>
        <w:t xml:space="preserve">projektu ( proj. art. 16 ust. 2 ustawy </w:t>
      </w:r>
      <w:r w:rsidRPr="00FA72C0">
        <w:rPr>
          <w:b/>
          <w:i/>
          <w:iCs/>
        </w:rPr>
        <w:t>o prawie pomocy</w:t>
      </w:r>
      <w:r>
        <w:rPr>
          <w:b/>
        </w:rPr>
        <w:t xml:space="preserve">) </w:t>
      </w:r>
    </w:p>
    <w:p w14:paraId="461FFDE0" w14:textId="77777777" w:rsidR="003267C7" w:rsidRPr="003267C7" w:rsidRDefault="003267C7" w:rsidP="003267C7">
      <w:pPr>
        <w:pStyle w:val="ARTartustawynprozporzdzenia"/>
      </w:pPr>
    </w:p>
    <w:p w14:paraId="545B5111" w14:textId="77777777" w:rsidR="003B0E78" w:rsidRPr="00463B3D" w:rsidRDefault="003B0E78" w:rsidP="003B0E78">
      <w:pPr>
        <w:pStyle w:val="NIEARTTEKSTtekstnieartykuowanynppodstprawnarozplubpreambua"/>
        <w:spacing w:before="0"/>
        <w:ind w:firstLine="709"/>
        <w:rPr>
          <w:rFonts w:ascii="Times New Roman" w:hAnsi="Times New Roman" w:cs="Times New Roman"/>
          <w:szCs w:val="24"/>
        </w:rPr>
      </w:pPr>
      <w:r w:rsidRPr="00463B3D">
        <w:rPr>
          <w:rFonts w:ascii="Times New Roman" w:hAnsi="Times New Roman" w:cs="Times New Roman"/>
          <w:szCs w:val="24"/>
        </w:rPr>
        <w:t xml:space="preserve">Przewidziana w projekcie nowelizacja ustawy z dnia 17 grudnia 2004 r. </w:t>
      </w:r>
      <w:r w:rsidRPr="003267C7">
        <w:rPr>
          <w:rFonts w:ascii="Times New Roman" w:hAnsi="Times New Roman" w:cs="Times New Roman"/>
          <w:i/>
          <w:szCs w:val="24"/>
        </w:rPr>
        <w:t>o prawie pomocy w postępowaniu w sprawach cywilnych prowadzonym w państwach członkowskich Unii Europejskiej oraz o prawie pomocy w celu ugodowego załatwienia sporu przed wszczęciem takiego postępowania</w:t>
      </w:r>
      <w:r w:rsidRPr="00463B3D">
        <w:rPr>
          <w:rFonts w:ascii="Times New Roman" w:hAnsi="Times New Roman" w:cs="Times New Roman"/>
          <w:szCs w:val="24"/>
        </w:rPr>
        <w:t xml:space="preserve"> ma na celu doprecyzowanie istnienia po stronie wnioskodawcy uprawnienia do ubiegania się o zwrot kosztów tłumaczenia koniecznych dokumentów uzasadniających wniosek o przyznanie prawa pomocy w postępowaniu prowadzonym w Rzeczypospolitej Polskiej. </w:t>
      </w:r>
    </w:p>
    <w:p w14:paraId="4E41D915" w14:textId="09891BAD" w:rsidR="003B0E78" w:rsidRDefault="003B0E78" w:rsidP="003B0E78">
      <w:pPr>
        <w:pStyle w:val="NIEARTTEKSTtekstnieartykuowanynppodstprawnarozplubpreambua"/>
        <w:spacing w:before="0"/>
        <w:ind w:firstLine="709"/>
        <w:rPr>
          <w:rFonts w:ascii="Times New Roman" w:hAnsi="Times New Roman" w:cs="Times New Roman"/>
          <w:szCs w:val="24"/>
        </w:rPr>
      </w:pPr>
      <w:r w:rsidRPr="00463B3D">
        <w:rPr>
          <w:rFonts w:ascii="Times New Roman" w:hAnsi="Times New Roman" w:cs="Times New Roman"/>
          <w:szCs w:val="24"/>
        </w:rPr>
        <w:t>Projektowana zmiana dostosow</w:t>
      </w:r>
      <w:r>
        <w:rPr>
          <w:rFonts w:ascii="Times New Roman" w:hAnsi="Times New Roman" w:cs="Times New Roman"/>
          <w:szCs w:val="24"/>
        </w:rPr>
        <w:t>uje polskie przepisy</w:t>
      </w:r>
      <w:r w:rsidRPr="00463B3D">
        <w:rPr>
          <w:rFonts w:ascii="Times New Roman" w:hAnsi="Times New Roman" w:cs="Times New Roman"/>
          <w:szCs w:val="24"/>
        </w:rPr>
        <w:t xml:space="preserve"> do wykładni dyrektywy Rady 2003/8/WE z dnia 27 stycznia 2003 r. </w:t>
      </w:r>
      <w:r w:rsidRPr="003267C7">
        <w:rPr>
          <w:rFonts w:ascii="Times New Roman" w:hAnsi="Times New Roman" w:cs="Times New Roman"/>
          <w:i/>
          <w:szCs w:val="24"/>
        </w:rPr>
        <w:t>w celu usprawnienia dostępu do wymiaru sprawiedliwości w sporach transgranicznych poprzez ustanowienie minimalnych wspólnych zasad odnoszących się do pomocy prawnej w sporach o tym charakterze</w:t>
      </w:r>
      <w:r w:rsidR="003267C7">
        <w:rPr>
          <w:rFonts w:ascii="Times New Roman" w:hAnsi="Times New Roman" w:cs="Times New Roman"/>
          <w:szCs w:val="24"/>
        </w:rPr>
        <w:t xml:space="preserve"> (Dz.</w:t>
      </w:r>
      <w:r w:rsidRPr="00463B3D">
        <w:rPr>
          <w:rFonts w:ascii="Times New Roman" w:hAnsi="Times New Roman" w:cs="Times New Roman"/>
          <w:szCs w:val="24"/>
        </w:rPr>
        <w:t>U</w:t>
      </w:r>
      <w:r w:rsidR="003267C7">
        <w:rPr>
          <w:rFonts w:ascii="Times New Roman" w:hAnsi="Times New Roman" w:cs="Times New Roman"/>
          <w:szCs w:val="24"/>
        </w:rPr>
        <w:t>.UE.L.</w:t>
      </w:r>
      <w:r w:rsidRPr="00463B3D">
        <w:rPr>
          <w:rFonts w:ascii="Times New Roman" w:hAnsi="Times New Roman" w:cs="Times New Roman"/>
          <w:szCs w:val="24"/>
        </w:rPr>
        <w:t>26 z 31.01.2003, str. 41), zawart</w:t>
      </w:r>
      <w:r w:rsidR="00B252E6">
        <w:rPr>
          <w:rFonts w:ascii="Times New Roman" w:hAnsi="Times New Roman" w:cs="Times New Roman"/>
          <w:szCs w:val="24"/>
        </w:rPr>
        <w:t>ej</w:t>
      </w:r>
      <w:r w:rsidRPr="00463B3D">
        <w:rPr>
          <w:rFonts w:ascii="Times New Roman" w:hAnsi="Times New Roman" w:cs="Times New Roman"/>
          <w:szCs w:val="24"/>
        </w:rPr>
        <w:t xml:space="preserve"> w wyroku </w:t>
      </w:r>
      <w:r w:rsidR="003267C7">
        <w:rPr>
          <w:rFonts w:ascii="Times New Roman" w:hAnsi="Times New Roman" w:cs="Times New Roman"/>
          <w:szCs w:val="24"/>
        </w:rPr>
        <w:t>TSUE</w:t>
      </w:r>
      <w:r w:rsidRPr="00463B3D">
        <w:rPr>
          <w:rFonts w:ascii="Times New Roman" w:hAnsi="Times New Roman" w:cs="Times New Roman"/>
          <w:szCs w:val="24"/>
        </w:rPr>
        <w:t xml:space="preserve"> z dnia 26 lipca 2017 r. w sprawie C-670/15 </w:t>
      </w:r>
      <w:r w:rsidR="003267C7" w:rsidRPr="005356F1">
        <w:rPr>
          <w:rFonts w:cs="Times New Roman"/>
          <w:i/>
          <w:color w:val="000000"/>
          <w:szCs w:val="24"/>
        </w:rPr>
        <w:t>Š</w:t>
      </w:r>
      <w:r w:rsidR="003267C7" w:rsidRPr="005356F1">
        <w:rPr>
          <w:rFonts w:cs="Times New Roman"/>
          <w:i/>
          <w:szCs w:val="24"/>
        </w:rPr>
        <w:t>alplachta</w:t>
      </w:r>
      <w:r w:rsidRPr="00463B3D">
        <w:rPr>
          <w:rFonts w:ascii="Times New Roman" w:hAnsi="Times New Roman" w:cs="Times New Roman"/>
          <w:szCs w:val="24"/>
        </w:rPr>
        <w:t xml:space="preserve">. W wyroku tym </w:t>
      </w:r>
      <w:r w:rsidR="003267C7" w:rsidRPr="003267C7">
        <w:rPr>
          <w:rFonts w:cs="Times New Roman"/>
          <w:color w:val="000000"/>
          <w:szCs w:val="24"/>
        </w:rPr>
        <w:t>TSUE</w:t>
      </w:r>
      <w:r w:rsidR="003267C7">
        <w:rPr>
          <w:rFonts w:cs="Times New Roman"/>
          <w:szCs w:val="24"/>
        </w:rPr>
        <w:t xml:space="preserve"> </w:t>
      </w:r>
      <w:r w:rsidRPr="00463B3D">
        <w:rPr>
          <w:rFonts w:ascii="Times New Roman" w:hAnsi="Times New Roman" w:cs="Times New Roman"/>
          <w:szCs w:val="24"/>
        </w:rPr>
        <w:t>wskazał</w:t>
      </w:r>
      <w:r w:rsidR="00B252E6">
        <w:rPr>
          <w:rFonts w:ascii="Times New Roman" w:hAnsi="Times New Roman" w:cs="Times New Roman"/>
          <w:szCs w:val="24"/>
        </w:rPr>
        <w:t xml:space="preserve"> na</w:t>
      </w:r>
      <w:r w:rsidRPr="00463B3D">
        <w:rPr>
          <w:rFonts w:ascii="Times New Roman" w:hAnsi="Times New Roman" w:cs="Times New Roman"/>
          <w:szCs w:val="24"/>
        </w:rPr>
        <w:t xml:space="preserve"> konieczność objęcia zakresem przyznanej pomocy prawnej także poniesionych przez wnioskodawcę kosztów tłumaczenia koniecznych dokumentów uzasadniających wniosek o przyznanie prawa pomocy. Z przepisów polskiej ustawy o prawie pomocy, implementującej wskazaną dyrektywę, takie uprawnienie wnioskodawcy nie wynika w sposób oczywisty. </w:t>
      </w:r>
    </w:p>
    <w:p w14:paraId="4F31E7A6" w14:textId="77777777" w:rsidR="003B0E78" w:rsidRPr="00734F14" w:rsidRDefault="003B0E78" w:rsidP="003B0E78">
      <w:pPr>
        <w:ind w:firstLine="708"/>
        <w:jc w:val="both"/>
      </w:pPr>
      <w:r w:rsidRPr="00463B3D">
        <w:rPr>
          <w:rFonts w:cs="Times New Roman"/>
          <w:szCs w:val="24"/>
        </w:rPr>
        <w:t xml:space="preserve">Umieszczenie proponowanej zmiany w art. 16 ustawy </w:t>
      </w:r>
      <w:r w:rsidRPr="00224DF8">
        <w:rPr>
          <w:rFonts w:cs="Times New Roman"/>
          <w:i/>
          <w:szCs w:val="24"/>
        </w:rPr>
        <w:t>o prawie pomocy</w:t>
      </w:r>
      <w:r w:rsidRPr="00463B3D">
        <w:rPr>
          <w:rFonts w:cs="Times New Roman"/>
          <w:szCs w:val="24"/>
        </w:rPr>
        <w:t xml:space="preserve"> wynika z przyjętej w niej systematyki oraz treści tego przepisu, który stanowi o szczegółowych warunkach zwolnienia od kosztów sądowych, w tym o zakresie zwolnienia od wydatków.</w:t>
      </w:r>
    </w:p>
    <w:p w14:paraId="4890B028" w14:textId="76E6C1A6" w:rsidR="002662BD" w:rsidRDefault="002662BD" w:rsidP="002116BE">
      <w:pPr>
        <w:ind w:firstLine="708"/>
        <w:jc w:val="both"/>
      </w:pPr>
    </w:p>
    <w:p w14:paraId="49AB6591" w14:textId="5C873CE8" w:rsidR="007A0A02" w:rsidRDefault="007A0A02" w:rsidP="007A0A02">
      <w:pPr>
        <w:pStyle w:val="NIEARTTEKSTtekstnieartykuowanynppodstprawnarozplubpreambua"/>
        <w:spacing w:before="0"/>
        <w:ind w:firstLine="709"/>
        <w:rPr>
          <w:b/>
        </w:rPr>
      </w:pPr>
      <w:r w:rsidRPr="009C797D">
        <w:rPr>
          <w:b/>
        </w:rPr>
        <w:t>Art.</w:t>
      </w:r>
      <w:r>
        <w:rPr>
          <w:b/>
        </w:rPr>
        <w:t xml:space="preserve"> 7 projektu ( proj. art. 41 ustawy </w:t>
      </w:r>
      <w:r>
        <w:rPr>
          <w:b/>
          <w:i/>
          <w:iCs/>
        </w:rPr>
        <w:t>o kredycie konsumenckim</w:t>
      </w:r>
      <w:r>
        <w:rPr>
          <w:b/>
        </w:rPr>
        <w:t xml:space="preserve">) </w:t>
      </w:r>
    </w:p>
    <w:p w14:paraId="0D9FE1F0" w14:textId="4B388A7D" w:rsidR="007A0A02" w:rsidRDefault="007A0A02" w:rsidP="002116BE">
      <w:pPr>
        <w:ind w:firstLine="708"/>
        <w:jc w:val="both"/>
      </w:pPr>
    </w:p>
    <w:p w14:paraId="76660CF7" w14:textId="77777777" w:rsidR="002566FD" w:rsidRDefault="0069725B" w:rsidP="002116BE">
      <w:pPr>
        <w:ind w:firstLine="708"/>
        <w:jc w:val="both"/>
      </w:pPr>
      <w:r>
        <w:t xml:space="preserve">Wobec projektowanego art. 11a ustawy </w:t>
      </w:r>
      <w:r>
        <w:rPr>
          <w:i/>
          <w:iCs/>
        </w:rPr>
        <w:t>prawo wekslowe</w:t>
      </w:r>
      <w:r>
        <w:t xml:space="preserve"> ograniczającego przenoszenie weksli przez </w:t>
      </w:r>
      <w:r>
        <w:rPr>
          <w:i/>
          <w:iCs/>
        </w:rPr>
        <w:t>indos</w:t>
      </w:r>
      <w:r>
        <w:t xml:space="preserve"> również w zakresie obecnie przewidzianym w art. 41 ustawy </w:t>
      </w:r>
      <w:r>
        <w:rPr>
          <w:i/>
          <w:iCs/>
        </w:rPr>
        <w:t>o kredycie konsumenckim</w:t>
      </w:r>
      <w:r>
        <w:t xml:space="preserve">, regulacja ww. przepisu ustawy </w:t>
      </w:r>
      <w:r>
        <w:rPr>
          <w:i/>
          <w:iCs/>
        </w:rPr>
        <w:t>o kredycie konsumenckim</w:t>
      </w:r>
      <w:r>
        <w:t xml:space="preserve"> w </w:t>
      </w:r>
      <w:r w:rsidR="002566FD">
        <w:t>części</w:t>
      </w:r>
      <w:r>
        <w:t xml:space="preserve"> odnoszą</w:t>
      </w:r>
      <w:r w:rsidR="002566FD">
        <w:t>cej</w:t>
      </w:r>
      <w:r>
        <w:t xml:space="preserve"> się do weksli stała się zbędna.</w:t>
      </w:r>
      <w:r w:rsidR="002566FD">
        <w:t xml:space="preserve"> </w:t>
      </w:r>
    </w:p>
    <w:p w14:paraId="5325C110" w14:textId="7A65D4C8" w:rsidR="007A0A02" w:rsidRPr="002566FD" w:rsidRDefault="002566FD" w:rsidP="002116BE">
      <w:pPr>
        <w:ind w:firstLine="708"/>
        <w:jc w:val="both"/>
      </w:pPr>
      <w:r>
        <w:lastRenderedPageBreak/>
        <w:t xml:space="preserve">Pozostawienie art. 41 ustawy </w:t>
      </w:r>
      <w:r>
        <w:rPr>
          <w:i/>
          <w:iCs/>
        </w:rPr>
        <w:t>o kredycie konsumenckim</w:t>
      </w:r>
      <w:r>
        <w:t xml:space="preserve"> w obecnym brzmieniu mogłoby prowadzić do niepotrzebnych wątpliwości interpretacyjnych co do zakresu jej zastosowania, jednocześnie nie wnosząc żadnej wartości dodanej w kwestii ochrony praw konsumenta w zakresie umów, do których zastosowanie znajduje ta ustawa.</w:t>
      </w:r>
    </w:p>
    <w:p w14:paraId="40641C86" w14:textId="7E3DF1D2" w:rsidR="0069725B" w:rsidRPr="0069725B" w:rsidRDefault="0069725B" w:rsidP="002116BE">
      <w:pPr>
        <w:ind w:firstLine="708"/>
        <w:jc w:val="both"/>
      </w:pPr>
      <w:r>
        <w:t>Mając na uwadze powyższe</w:t>
      </w:r>
      <w:r w:rsidR="00C44339">
        <w:t>,</w:t>
      </w:r>
      <w:r>
        <w:t xml:space="preserve"> projekt zakłada zmianę art. 41 ustawy </w:t>
      </w:r>
      <w:r>
        <w:rPr>
          <w:i/>
          <w:iCs/>
        </w:rPr>
        <w:t>o kredycie konsumenckim</w:t>
      </w:r>
      <w:r>
        <w:t xml:space="preserve"> poprzez ograniczenie jego zastosowania jedynie do czeków konsumenta.</w:t>
      </w:r>
    </w:p>
    <w:p w14:paraId="77CFB885" w14:textId="77777777" w:rsidR="007A0A02" w:rsidRPr="00734F14" w:rsidRDefault="007A0A02" w:rsidP="002116BE">
      <w:pPr>
        <w:ind w:firstLine="708"/>
        <w:jc w:val="both"/>
      </w:pPr>
    </w:p>
    <w:p w14:paraId="71C2DB1A" w14:textId="03AE5E21" w:rsidR="006F533F" w:rsidRDefault="006F533F" w:rsidP="00B83343">
      <w:pPr>
        <w:pStyle w:val="ARTartustawynprozporzdzenia"/>
        <w:numPr>
          <w:ilvl w:val="0"/>
          <w:numId w:val="1"/>
        </w:numPr>
        <w:spacing w:before="0"/>
        <w:rPr>
          <w:b/>
        </w:rPr>
      </w:pPr>
      <w:r>
        <w:rPr>
          <w:b/>
        </w:rPr>
        <w:t>Przepisy przejściowe</w:t>
      </w:r>
      <w:r w:rsidR="00FB46D5">
        <w:rPr>
          <w:b/>
        </w:rPr>
        <w:t xml:space="preserve"> – art. </w:t>
      </w:r>
      <w:r w:rsidR="009B0093">
        <w:rPr>
          <w:b/>
        </w:rPr>
        <w:t>8</w:t>
      </w:r>
      <w:r w:rsidR="00EC28EE">
        <w:rPr>
          <w:b/>
        </w:rPr>
        <w:t xml:space="preserve"> </w:t>
      </w:r>
      <w:r w:rsidR="00FB46D5">
        <w:rPr>
          <w:b/>
        </w:rPr>
        <w:t>projektu</w:t>
      </w:r>
    </w:p>
    <w:p w14:paraId="5B5C55DA" w14:textId="77777777" w:rsidR="00FB46D5" w:rsidRDefault="00FB46D5" w:rsidP="00FB46D5">
      <w:pPr>
        <w:pStyle w:val="ARTartustawynprozporzdzenia"/>
        <w:spacing w:before="0"/>
        <w:rPr>
          <w:b/>
        </w:rPr>
      </w:pPr>
    </w:p>
    <w:p w14:paraId="00566B22" w14:textId="77777777" w:rsidR="00FB46D5" w:rsidRDefault="00FB46D5" w:rsidP="00FB46D5">
      <w:pPr>
        <w:pStyle w:val="ARTartustawynprozporzdzenia"/>
        <w:spacing w:before="0"/>
        <w:ind w:firstLine="567"/>
      </w:pPr>
      <w:r>
        <w:t>Projektowane przepisy przejściowe mają zapewnić jak najszersze i najszybsze stosowanie przepisów wprowadzanych i zmienianych niniejszą ustawą</w:t>
      </w:r>
      <w:r w:rsidR="00AE3C29">
        <w:t>, a jednocześnie uniknięcie wątpliwości interpretacyjnych co do ich stosowania w czasie</w:t>
      </w:r>
      <w:r w:rsidR="002026EE">
        <w:t>. U podstaw tego założenia leży dobro stron postępowania, a przede wszystkim pozwanych-konsumentów w sprawach w postępowaniu nakazowym z weksla, w których dochodzone są roszczenia powstałe</w:t>
      </w:r>
      <w:r w:rsidR="002026EE" w:rsidRPr="008068FA">
        <w:t xml:space="preserve"> w związku z zawarciem umowy, do której znajduje zastosowanie ustawa </w:t>
      </w:r>
      <w:r w:rsidR="002026EE" w:rsidRPr="002026EE">
        <w:rPr>
          <w:i/>
        </w:rPr>
        <w:t>o kredycie konsumenckim</w:t>
      </w:r>
      <w:r w:rsidR="002026EE">
        <w:t>.</w:t>
      </w:r>
    </w:p>
    <w:p w14:paraId="0E58B027" w14:textId="5D17B63A" w:rsidR="00137E5A" w:rsidRDefault="00CE3561" w:rsidP="00FB46D5">
      <w:pPr>
        <w:pStyle w:val="ARTartustawynprozporzdzenia"/>
        <w:spacing w:before="0"/>
        <w:ind w:firstLine="567"/>
      </w:pPr>
      <w:r>
        <w:t xml:space="preserve">Zgodnie z art. </w:t>
      </w:r>
      <w:r w:rsidR="009B0093">
        <w:t>8</w:t>
      </w:r>
      <w:r w:rsidR="0008323B">
        <w:t xml:space="preserve"> </w:t>
      </w:r>
      <w:r>
        <w:t xml:space="preserve">pkt 1 projektu </w:t>
      </w:r>
      <w:r w:rsidR="00137E5A">
        <w:t xml:space="preserve">przepis art. 165 </w:t>
      </w:r>
      <w:r w:rsidR="00137E5A">
        <w:rPr>
          <w:rFonts w:cs="Times"/>
        </w:rPr>
        <w:t>§</w:t>
      </w:r>
      <w:r w:rsidR="00137E5A">
        <w:t xml:space="preserve"> 2 ustawy zmienianej w art. 1 w brzmieniu nadanym niniejszą ustawą znajdzie zastosowanie do pism procesowych oddanych w placówce pocztowej po dniu wejścia w życie niniejszej ustawy.</w:t>
      </w:r>
    </w:p>
    <w:p w14:paraId="7B6A6F81" w14:textId="71B6BC03" w:rsidR="00137E5A" w:rsidRDefault="002026EE" w:rsidP="00DD2A1B">
      <w:pPr>
        <w:pStyle w:val="ARTartustawynprozporzdzenia"/>
        <w:spacing w:before="0"/>
        <w:ind w:firstLine="567"/>
      </w:pPr>
      <w:r>
        <w:t>W celu uzyskania jasności i pewności co do wpływu</w:t>
      </w:r>
      <w:r w:rsidR="00CE3561">
        <w:t xml:space="preserve"> projektowanych zmian</w:t>
      </w:r>
      <w:r>
        <w:t xml:space="preserve"> na niezakończone jeszcze postępowania, </w:t>
      </w:r>
      <w:r w:rsidR="00CE3561">
        <w:t>w których</w:t>
      </w:r>
      <w:r w:rsidR="00DD2A1B">
        <w:t xml:space="preserve"> nie</w:t>
      </w:r>
      <w:r w:rsidR="00CE3561">
        <w:t xml:space="preserve"> został</w:t>
      </w:r>
      <w:r w:rsidR="00DD2A1B">
        <w:t xml:space="preserve"> jeszcze</w:t>
      </w:r>
      <w:r w:rsidR="00CE3561">
        <w:t xml:space="preserve"> wydany nakaz zapłaty wprowadzono przepisy przejściowe przewidziane w art. </w:t>
      </w:r>
      <w:r w:rsidR="009B0093">
        <w:t>8</w:t>
      </w:r>
      <w:r w:rsidR="0008323B">
        <w:t xml:space="preserve"> </w:t>
      </w:r>
      <w:r w:rsidR="00CE3561">
        <w:t>pkt. 2 projektu określając za punkt istotn</w:t>
      </w:r>
      <w:r w:rsidR="00DD2A1B">
        <w:t>y</w:t>
      </w:r>
      <w:r w:rsidR="00CE3561">
        <w:t xml:space="preserve"> dla stosowania wprowadzanych zmian moment wydania nakazu zapłaty.</w:t>
      </w:r>
    </w:p>
    <w:p w14:paraId="322DA3AB" w14:textId="02110DD9" w:rsidR="0008323B" w:rsidRDefault="0008323B" w:rsidP="0008323B">
      <w:pPr>
        <w:pStyle w:val="ARTartustawynprozporzdzenia"/>
        <w:spacing w:before="0"/>
        <w:ind w:firstLine="567"/>
      </w:pPr>
      <w:r>
        <w:t xml:space="preserve">Zgodnie z art. </w:t>
      </w:r>
      <w:r w:rsidR="009B0093">
        <w:t>8</w:t>
      </w:r>
      <w:r>
        <w:t xml:space="preserve"> ust. </w:t>
      </w:r>
      <w:r w:rsidR="00962571">
        <w:t xml:space="preserve">3 projektu ustawy przepis art. 15c ustawy zmienianej w art. </w:t>
      </w:r>
      <w:r w:rsidR="009B0093">
        <w:t>3</w:t>
      </w:r>
      <w:r w:rsidR="00962571">
        <w:t xml:space="preserve"> </w:t>
      </w:r>
      <w:r>
        <w:t>znajd</w:t>
      </w:r>
      <w:r w:rsidR="00962571">
        <w:t>zie</w:t>
      </w:r>
      <w:r>
        <w:t xml:space="preserve"> zastosowanie</w:t>
      </w:r>
      <w:r w:rsidR="00962571">
        <w:t xml:space="preserve"> </w:t>
      </w:r>
      <w:r w:rsidR="00962571" w:rsidRPr="00561908">
        <w:t xml:space="preserve">do czynów nieuczciwej konkurencji </w:t>
      </w:r>
      <w:r w:rsidR="00962571">
        <w:t xml:space="preserve">polegających na </w:t>
      </w:r>
      <w:r w:rsidR="00962571" w:rsidRPr="006F7670">
        <w:t>naruszeni</w:t>
      </w:r>
      <w:r w:rsidR="00962571">
        <w:t>u</w:t>
      </w:r>
      <w:r w:rsidR="00962571" w:rsidRPr="006F7670">
        <w:t xml:space="preserve"> zakazu praktyk ograniczających konkurencję w rozumieniu art. 6 i art. 9 </w:t>
      </w:r>
      <w:r w:rsidR="00FC5635">
        <w:rPr>
          <w:i/>
          <w:iCs/>
        </w:rPr>
        <w:t>uokik</w:t>
      </w:r>
      <w:r w:rsidR="00962571" w:rsidRPr="006F7670">
        <w:t>, a także art. 101 i art. 102 Traktatu o Funkcjonowaniu Unii Europejskiej</w:t>
      </w:r>
      <w:r w:rsidR="00962571">
        <w:t xml:space="preserve">, </w:t>
      </w:r>
      <w:r w:rsidR="00962571" w:rsidRPr="00561908">
        <w:t xml:space="preserve">popełnionych po </w:t>
      </w:r>
      <w:r w:rsidR="00962571">
        <w:t>dniu wejścia w życie niniejszej ustawy</w:t>
      </w:r>
      <w:r>
        <w:t>.</w:t>
      </w:r>
    </w:p>
    <w:p w14:paraId="3D449DEF" w14:textId="1A2591A0" w:rsidR="00137E5A" w:rsidRDefault="00DD2A1B" w:rsidP="00137E5A">
      <w:pPr>
        <w:pStyle w:val="ARTartustawynprozporzdzenia"/>
        <w:spacing w:before="0"/>
        <w:ind w:firstLine="567"/>
      </w:pPr>
      <w:r>
        <w:t xml:space="preserve">Zmiany przepisu art. 16 ustawy zamienianej w art. </w:t>
      </w:r>
      <w:r w:rsidR="00D2218F">
        <w:t>5</w:t>
      </w:r>
      <w:r w:rsidR="0008323B">
        <w:t xml:space="preserve"> </w:t>
      </w:r>
      <w:r>
        <w:t>w brzmieniu nadanym niniejszą ustawą</w:t>
      </w:r>
      <w:r w:rsidR="00137E5A">
        <w:t xml:space="preserve"> znajdą zastosowanie we wszystkich</w:t>
      </w:r>
      <w:r w:rsidR="00137E5A" w:rsidRPr="00883CFC">
        <w:t xml:space="preserve"> sprawach wszczętych i niezakończonych przed dniem wejścia w życie niniejszej ustawy</w:t>
      </w:r>
      <w:r>
        <w:t xml:space="preserve"> (art. </w:t>
      </w:r>
      <w:r w:rsidR="00D2218F">
        <w:t>8</w:t>
      </w:r>
      <w:r w:rsidR="00E97419">
        <w:t xml:space="preserve"> </w:t>
      </w:r>
      <w:r>
        <w:t xml:space="preserve">ust. </w:t>
      </w:r>
      <w:r w:rsidR="00E97419">
        <w:t xml:space="preserve">4 </w:t>
      </w:r>
      <w:r>
        <w:t>projektu ustawy)</w:t>
      </w:r>
      <w:r w:rsidR="00137E5A">
        <w:t>.</w:t>
      </w:r>
    </w:p>
    <w:p w14:paraId="0C6B9F70" w14:textId="62309139" w:rsidR="00137E5A" w:rsidRPr="00137E5A" w:rsidRDefault="009F141A" w:rsidP="00CE3561">
      <w:pPr>
        <w:pStyle w:val="ARTartustawynprozporzdzenia"/>
        <w:spacing w:before="0"/>
        <w:ind w:firstLine="567"/>
        <w:rPr>
          <w:b/>
        </w:rPr>
      </w:pPr>
      <w:bookmarkStart w:id="1" w:name="_Hlk37256016"/>
      <w:r>
        <w:t xml:space="preserve">W art. 8 ust. 5 projektu zawarta została regulacja intertemporalna rozgraniczająca zakresy stosowania dotychczasowej regulacji (art. 11 ustawy zmienianej w art. 2 projektu) i aktualnie obowiązującej ustawy. Jej podstawę stanowi reguła dalszego stosowania ustawy </w:t>
      </w:r>
      <w:r>
        <w:lastRenderedPageBreak/>
        <w:t>dotychczasowej (</w:t>
      </w:r>
      <w:r>
        <w:rPr>
          <w:i/>
          <w:iCs/>
        </w:rPr>
        <w:t>tempus regit actum)</w:t>
      </w:r>
      <w:r>
        <w:t>, co odpowiada ogólnym założeniom intertemporalnej regulacji stosunków zobowiązaniowych w prawie polskim.</w:t>
      </w:r>
    </w:p>
    <w:bookmarkEnd w:id="1"/>
    <w:p w14:paraId="17D0355A" w14:textId="77777777" w:rsidR="006F533F" w:rsidRDefault="006F533F" w:rsidP="006F533F">
      <w:pPr>
        <w:pStyle w:val="ARTartustawynprozporzdzenia"/>
        <w:spacing w:before="0"/>
        <w:ind w:left="1400" w:firstLine="0"/>
        <w:rPr>
          <w:b/>
        </w:rPr>
      </w:pPr>
    </w:p>
    <w:p w14:paraId="299B70DF" w14:textId="2E506CBC" w:rsidR="006F533F" w:rsidRDefault="006F533F" w:rsidP="00B83343">
      <w:pPr>
        <w:pStyle w:val="ARTartustawynprozporzdzenia"/>
        <w:numPr>
          <w:ilvl w:val="0"/>
          <w:numId w:val="1"/>
        </w:numPr>
        <w:spacing w:before="0"/>
        <w:rPr>
          <w:b/>
        </w:rPr>
      </w:pPr>
      <w:r>
        <w:rPr>
          <w:b/>
        </w:rPr>
        <w:t xml:space="preserve">Przepis końcowy – art. </w:t>
      </w:r>
      <w:r w:rsidR="00D2218F">
        <w:rPr>
          <w:b/>
        </w:rPr>
        <w:t>9</w:t>
      </w:r>
      <w:r w:rsidR="00E97419">
        <w:rPr>
          <w:b/>
        </w:rPr>
        <w:t xml:space="preserve"> </w:t>
      </w:r>
      <w:r>
        <w:rPr>
          <w:b/>
        </w:rPr>
        <w:t>projektu</w:t>
      </w:r>
    </w:p>
    <w:p w14:paraId="4B45F72C" w14:textId="77777777" w:rsidR="006F533F" w:rsidRDefault="006F533F" w:rsidP="006F533F">
      <w:pPr>
        <w:pStyle w:val="ARTartustawynprozporzdzenia"/>
        <w:spacing w:before="0"/>
        <w:ind w:left="1400" w:firstLine="0"/>
        <w:rPr>
          <w:b/>
        </w:rPr>
      </w:pPr>
    </w:p>
    <w:p w14:paraId="56283CDB" w14:textId="77777777" w:rsidR="006F533F" w:rsidRPr="00A91CD8" w:rsidRDefault="006F533F" w:rsidP="006F533F">
      <w:pPr>
        <w:spacing w:after="200"/>
        <w:ind w:firstLine="51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Pr="00A91CD8">
        <w:rPr>
          <w:rFonts w:eastAsia="Calibri"/>
          <w:lang w:eastAsia="en-US"/>
        </w:rPr>
        <w:t>rojektowan</w:t>
      </w:r>
      <w:r>
        <w:rPr>
          <w:rFonts w:eastAsia="Calibri"/>
          <w:lang w:eastAsia="en-US"/>
        </w:rPr>
        <w:t>y przepis</w:t>
      </w:r>
      <w:r w:rsidRPr="00A91CD8">
        <w:rPr>
          <w:rFonts w:eastAsia="Calibri"/>
          <w:lang w:eastAsia="en-US"/>
        </w:rPr>
        <w:t xml:space="preserve"> określa datę wejścia w życie</w:t>
      </w:r>
      <w:r>
        <w:rPr>
          <w:rFonts w:eastAsia="Calibri"/>
          <w:lang w:eastAsia="en-US"/>
        </w:rPr>
        <w:t xml:space="preserve"> ustawy</w:t>
      </w:r>
      <w:r w:rsidRPr="00A91CD8">
        <w:rPr>
          <w:rFonts w:eastAsia="Calibri"/>
          <w:lang w:eastAsia="en-US"/>
        </w:rPr>
        <w:t>.</w:t>
      </w:r>
    </w:p>
    <w:p w14:paraId="60B390A6" w14:textId="77777777" w:rsidR="006F533F" w:rsidRDefault="006F533F" w:rsidP="006F533F">
      <w:pPr>
        <w:pStyle w:val="ARTartustawynprozporzdzenia"/>
        <w:spacing w:before="0"/>
        <w:ind w:left="1400" w:firstLine="0"/>
        <w:rPr>
          <w:b/>
        </w:rPr>
      </w:pPr>
    </w:p>
    <w:p w14:paraId="63C10A24" w14:textId="77777777" w:rsidR="00B83343" w:rsidRDefault="00B83343" w:rsidP="00B83343">
      <w:pPr>
        <w:pStyle w:val="ARTartustawynprozporzdzenia"/>
        <w:numPr>
          <w:ilvl w:val="0"/>
          <w:numId w:val="1"/>
        </w:numPr>
        <w:spacing w:before="0"/>
        <w:rPr>
          <w:b/>
        </w:rPr>
      </w:pPr>
      <w:r w:rsidRPr="00734F14">
        <w:rPr>
          <w:b/>
        </w:rPr>
        <w:t>Kwestie dodatkowe</w:t>
      </w:r>
    </w:p>
    <w:p w14:paraId="7FAEFF1C" w14:textId="77777777" w:rsidR="003267C7" w:rsidRPr="00734F14" w:rsidRDefault="003267C7" w:rsidP="00250B6D">
      <w:pPr>
        <w:pStyle w:val="ARTartustawynprozporzdzenia"/>
        <w:spacing w:before="0"/>
        <w:ind w:firstLine="0"/>
        <w:rPr>
          <w:b/>
        </w:rPr>
      </w:pPr>
    </w:p>
    <w:p w14:paraId="777DD4EC" w14:textId="77777777" w:rsidR="00FB46D5" w:rsidRPr="00FB46D5" w:rsidRDefault="00B83343" w:rsidP="00FB46D5">
      <w:pPr>
        <w:pStyle w:val="NIEARTTEKSTtekstnieartykuowanynppodstprawnarozplubpreambua"/>
        <w:spacing w:before="0"/>
        <w:ind w:firstLine="709"/>
        <w:rPr>
          <w:rFonts w:ascii="Times New Roman" w:hAnsi="Times New Roman" w:cs="Times New Roman"/>
          <w:szCs w:val="24"/>
        </w:rPr>
      </w:pPr>
      <w:r w:rsidRPr="00734F14">
        <w:rPr>
          <w:rFonts w:ascii="Times New Roman" w:hAnsi="Times New Roman" w:cs="Times New Roman"/>
          <w:szCs w:val="24"/>
        </w:rPr>
        <w:t>Projekt w zakresie zmiany przepisów Kodeksu postępowania cywilnego nie spowoduje skutków finansowych dla budżetu państwa i budżetów jednostek samorządu terytorialnego.</w:t>
      </w:r>
    </w:p>
    <w:p w14:paraId="315E5666" w14:textId="08258C1C" w:rsidR="006A774B" w:rsidRDefault="006A774B" w:rsidP="006A774B">
      <w:pPr>
        <w:pStyle w:val="ARTartustawynprozporzdzenia"/>
        <w:spacing w:before="0"/>
        <w:ind w:firstLine="709"/>
        <w:rPr>
          <w:rFonts w:ascii="Times New Roman" w:hAnsi="Times New Roman" w:cs="Times New Roman"/>
          <w:szCs w:val="24"/>
        </w:rPr>
      </w:pPr>
      <w:r w:rsidRPr="00734F14">
        <w:rPr>
          <w:rFonts w:ascii="Times New Roman" w:hAnsi="Times New Roman" w:cs="Times New Roman"/>
          <w:szCs w:val="24"/>
        </w:rPr>
        <w:t xml:space="preserve">Zmiana ustawy </w:t>
      </w:r>
      <w:r w:rsidRPr="00314F46">
        <w:rPr>
          <w:rFonts w:cs="Times New Roman"/>
          <w:i/>
        </w:rPr>
        <w:t>o kosztach sądowych w sprawach cywilnych</w:t>
      </w:r>
      <w:r>
        <w:rPr>
          <w:rFonts w:ascii="Times New Roman" w:hAnsi="Times New Roman" w:cs="Times New Roman"/>
          <w:szCs w:val="24"/>
        </w:rPr>
        <w:t xml:space="preserve"> wywoła skutki finansowe </w:t>
      </w:r>
      <w:r w:rsidRPr="00734F14">
        <w:rPr>
          <w:rFonts w:ascii="Times New Roman" w:hAnsi="Times New Roman" w:cs="Times New Roman"/>
          <w:szCs w:val="24"/>
        </w:rPr>
        <w:t>dla budżetu państwa</w:t>
      </w:r>
      <w:r>
        <w:rPr>
          <w:rFonts w:ascii="Times New Roman" w:hAnsi="Times New Roman" w:cs="Times New Roman"/>
          <w:szCs w:val="24"/>
        </w:rPr>
        <w:t xml:space="preserve"> poprzez zmniejszenie wpływów z tytułu opłat </w:t>
      </w:r>
      <w:r w:rsidR="002E1D63">
        <w:rPr>
          <w:rFonts w:ascii="Times New Roman" w:hAnsi="Times New Roman" w:cs="Times New Roman"/>
          <w:szCs w:val="24"/>
        </w:rPr>
        <w:t>sądowych od wniesienia zarzutów od nakazu zapłaty w sprawach przeciwko konsumentom</w:t>
      </w:r>
      <w:r w:rsidRPr="00734F14">
        <w:rPr>
          <w:rFonts w:ascii="Times New Roman" w:hAnsi="Times New Roman" w:cs="Times New Roman"/>
          <w:szCs w:val="24"/>
        </w:rPr>
        <w:t xml:space="preserve">. </w:t>
      </w:r>
      <w:r w:rsidR="002E1D63">
        <w:rPr>
          <w:rFonts w:ascii="Times New Roman" w:hAnsi="Times New Roman" w:cs="Times New Roman"/>
          <w:szCs w:val="24"/>
        </w:rPr>
        <w:t>W konsekwencji</w:t>
      </w:r>
      <w:r w:rsidR="00EF6455">
        <w:rPr>
          <w:rFonts w:ascii="Times New Roman" w:hAnsi="Times New Roman" w:cs="Times New Roman"/>
          <w:szCs w:val="24"/>
        </w:rPr>
        <w:t>,</w:t>
      </w:r>
      <w:r w:rsidR="002E1D63">
        <w:rPr>
          <w:rFonts w:ascii="Times New Roman" w:hAnsi="Times New Roman" w:cs="Times New Roman"/>
          <w:szCs w:val="24"/>
        </w:rPr>
        <w:t xml:space="preserve"> w części</w:t>
      </w:r>
      <w:r w:rsidR="00EF6455">
        <w:rPr>
          <w:rFonts w:ascii="Times New Roman" w:hAnsi="Times New Roman" w:cs="Times New Roman"/>
          <w:szCs w:val="24"/>
        </w:rPr>
        <w:t>, w</w:t>
      </w:r>
      <w:r w:rsidR="002E1D63">
        <w:rPr>
          <w:rFonts w:ascii="Times New Roman" w:hAnsi="Times New Roman" w:cs="Times New Roman"/>
          <w:szCs w:val="24"/>
        </w:rPr>
        <w:t xml:space="preserve"> jakiej wniesione opłaty sądowe nie pokryją wszystkich </w:t>
      </w:r>
      <w:r w:rsidR="00D22A61">
        <w:rPr>
          <w:rFonts w:ascii="Times New Roman" w:hAnsi="Times New Roman" w:cs="Times New Roman"/>
          <w:szCs w:val="24"/>
        </w:rPr>
        <w:t>nakładów Skarbu Państwa</w:t>
      </w:r>
      <w:r w:rsidR="002E1D63">
        <w:rPr>
          <w:rFonts w:ascii="Times New Roman" w:hAnsi="Times New Roman" w:cs="Times New Roman"/>
          <w:szCs w:val="24"/>
        </w:rPr>
        <w:t xml:space="preserve"> </w:t>
      </w:r>
      <w:r w:rsidR="00D22A61">
        <w:rPr>
          <w:rFonts w:ascii="Times New Roman" w:hAnsi="Times New Roman" w:cs="Times New Roman"/>
          <w:szCs w:val="24"/>
        </w:rPr>
        <w:t>poniesionych w związku z toczącym się postępowaniem, różnica ta będzie obciążała Skarb Państwa. Przy czym dotyczyć będzie to jedynie spraw, w których wydany został nakaz zapłaty w postępowaniu nakazowym</w:t>
      </w:r>
      <w:r w:rsidR="001E0C28">
        <w:rPr>
          <w:rFonts w:ascii="Times New Roman" w:hAnsi="Times New Roman" w:cs="Times New Roman"/>
          <w:szCs w:val="24"/>
        </w:rPr>
        <w:t>,</w:t>
      </w:r>
      <w:r w:rsidR="00D22A61">
        <w:rPr>
          <w:rFonts w:ascii="Times New Roman" w:hAnsi="Times New Roman" w:cs="Times New Roman"/>
          <w:szCs w:val="24"/>
        </w:rPr>
        <w:t xml:space="preserve"> a wartość przedmiotu sporu przekracza 20 000 zł.</w:t>
      </w:r>
    </w:p>
    <w:p w14:paraId="0B2559DB" w14:textId="77777777" w:rsidR="002E1D63" w:rsidRDefault="006A774B" w:rsidP="002E1D63">
      <w:pPr>
        <w:pStyle w:val="ARTartustawynprozporzdzenia"/>
        <w:spacing w:before="0"/>
        <w:ind w:firstLine="709"/>
        <w:rPr>
          <w:rFonts w:ascii="Times New Roman" w:hAnsi="Times New Roman" w:cs="Times New Roman"/>
          <w:szCs w:val="24"/>
        </w:rPr>
      </w:pPr>
      <w:r w:rsidRPr="00734F14">
        <w:rPr>
          <w:rFonts w:ascii="Times New Roman" w:hAnsi="Times New Roman" w:cs="Times New Roman"/>
          <w:szCs w:val="24"/>
        </w:rPr>
        <w:t xml:space="preserve">Zmiana ustawy </w:t>
      </w:r>
      <w:r w:rsidRPr="006A774B">
        <w:rPr>
          <w:rFonts w:ascii="Times New Roman" w:hAnsi="Times New Roman" w:cs="Times New Roman"/>
          <w:i/>
          <w:szCs w:val="24"/>
        </w:rPr>
        <w:t>o prawie pomocy</w:t>
      </w:r>
      <w:r w:rsidRPr="00734F14">
        <w:rPr>
          <w:rFonts w:ascii="Times New Roman" w:hAnsi="Times New Roman" w:cs="Times New Roman"/>
          <w:szCs w:val="24"/>
        </w:rPr>
        <w:t xml:space="preserve"> także może potencjalnie wywołać skutki finansowe </w:t>
      </w:r>
      <w:r w:rsidRPr="00734F14">
        <w:rPr>
          <w:rFonts w:ascii="Times New Roman" w:hAnsi="Times New Roman" w:cs="Times New Roman"/>
          <w:szCs w:val="24"/>
        </w:rPr>
        <w:br/>
        <w:t xml:space="preserve">dla budżetu państwa. </w:t>
      </w:r>
    </w:p>
    <w:p w14:paraId="32F4CF05" w14:textId="77777777" w:rsidR="006A774B" w:rsidRDefault="002E1D63" w:rsidP="002E1D63">
      <w:pPr>
        <w:pStyle w:val="ARTartustawynprozporzdzenia"/>
        <w:spacing w:before="0"/>
        <w:ind w:firstLine="709"/>
        <w:rPr>
          <w:rFonts w:ascii="Times New Roman" w:hAnsi="Times New Roman" w:cs="Times New Roman"/>
          <w:szCs w:val="24"/>
        </w:rPr>
      </w:pPr>
      <w:r w:rsidRPr="00734F14">
        <w:rPr>
          <w:rFonts w:ascii="Times New Roman" w:hAnsi="Times New Roman" w:cs="Times New Roman"/>
          <w:szCs w:val="24"/>
        </w:rPr>
        <w:t>Ocenia się jednak, iż skutki finansowe dla budżetu państwa obu projektowanych zmian nie będą znaczące i wydatki w tym zakresie zostaną sfinansowane w ramach dostępnych w budżecie państwa w części 15 – Sądy powszechne, bez konieczności występowania o dodatkowe środki.</w:t>
      </w:r>
    </w:p>
    <w:p w14:paraId="74B6CFF3" w14:textId="77777777" w:rsidR="006A774B" w:rsidRPr="00D22A61" w:rsidRDefault="002E1D63" w:rsidP="00D22A61">
      <w:pPr>
        <w:pStyle w:val="ARTartustawynprozporzdzenia"/>
        <w:spacing w:before="0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6A774B" w:rsidRPr="00734F14">
        <w:rPr>
          <w:rFonts w:ascii="Times New Roman" w:hAnsi="Times New Roman" w:cs="Times New Roman"/>
          <w:szCs w:val="24"/>
        </w:rPr>
        <w:t>rojekt jest objęty prawem Unii Europejskiej.</w:t>
      </w:r>
    </w:p>
    <w:p w14:paraId="24549504" w14:textId="77777777" w:rsidR="00B83343" w:rsidRPr="00FB46D5" w:rsidRDefault="00B83343" w:rsidP="00FB46D5">
      <w:pPr>
        <w:pStyle w:val="ARTartustawynprozporzdzenia"/>
        <w:spacing w:before="0"/>
        <w:ind w:firstLine="709"/>
        <w:rPr>
          <w:rFonts w:ascii="Times New Roman" w:hAnsi="Times New Roman" w:cs="Times New Roman"/>
          <w:szCs w:val="24"/>
        </w:rPr>
      </w:pPr>
      <w:r w:rsidRPr="00734F14">
        <w:rPr>
          <w:rFonts w:ascii="Times New Roman" w:hAnsi="Times New Roman" w:cs="Times New Roman"/>
          <w:szCs w:val="24"/>
        </w:rPr>
        <w:t xml:space="preserve">Projekt zmian wskazanych ustaw nie wymaga jednak przedstawienia właściwym organom i instytucjom Unii Europejskiej, o których mowa w § 27 ust. 4 uchwały nr 190 Rady Ministrów z dnia 29 października 2013 r. – Regulamin pracy Rady Ministrów (M. P. z 2016 r. </w:t>
      </w:r>
      <w:r w:rsidRPr="00FB46D5">
        <w:rPr>
          <w:rFonts w:ascii="Times New Roman" w:hAnsi="Times New Roman" w:cs="Times New Roman"/>
          <w:szCs w:val="24"/>
        </w:rPr>
        <w:t>poz. 1006, z późn. zm.).</w:t>
      </w:r>
    </w:p>
    <w:p w14:paraId="5BE5781E" w14:textId="7B7F8527" w:rsidR="00FB46D5" w:rsidRPr="00FB46D5" w:rsidRDefault="002C6803" w:rsidP="0011262B">
      <w:pPr>
        <w:ind w:firstLine="708"/>
        <w:jc w:val="both"/>
        <w:rPr>
          <w:rFonts w:cs="Times New Roman"/>
          <w:szCs w:val="24"/>
        </w:rPr>
      </w:pPr>
      <w:r w:rsidRPr="0011262B">
        <w:rPr>
          <w:rFonts w:cs="Times New Roman"/>
          <w:szCs w:val="24"/>
        </w:rPr>
        <w:t>Głównym celem p</w:t>
      </w:r>
      <w:r w:rsidR="00B83343" w:rsidRPr="0011262B">
        <w:rPr>
          <w:rFonts w:cs="Times New Roman"/>
          <w:szCs w:val="24"/>
        </w:rPr>
        <w:t>rzewidzian</w:t>
      </w:r>
      <w:r w:rsidRPr="0011262B">
        <w:rPr>
          <w:rFonts w:cs="Times New Roman"/>
          <w:szCs w:val="24"/>
        </w:rPr>
        <w:t>ych</w:t>
      </w:r>
      <w:r w:rsidR="00B83343" w:rsidRPr="0011262B">
        <w:rPr>
          <w:rFonts w:cs="Times New Roman"/>
          <w:szCs w:val="24"/>
        </w:rPr>
        <w:t xml:space="preserve"> w projekcie rozwiąza</w:t>
      </w:r>
      <w:r w:rsidRPr="0011262B">
        <w:rPr>
          <w:rFonts w:cs="Times New Roman"/>
          <w:szCs w:val="24"/>
        </w:rPr>
        <w:t>ń jest ochrona konsumentów</w:t>
      </w:r>
      <w:r w:rsidR="0011262B">
        <w:rPr>
          <w:rFonts w:cs="Times New Roman"/>
          <w:szCs w:val="24"/>
        </w:rPr>
        <w:t>,</w:t>
      </w:r>
      <w:r w:rsidRPr="0011262B">
        <w:rPr>
          <w:rFonts w:cs="Times New Roman"/>
          <w:szCs w:val="24"/>
        </w:rPr>
        <w:t xml:space="preserve"> którą sądy są zobowiązane zapewnić z urzędu</w:t>
      </w:r>
      <w:r w:rsidR="0011262B">
        <w:rPr>
          <w:rFonts w:cs="Times New Roman"/>
          <w:szCs w:val="24"/>
        </w:rPr>
        <w:t>,</w:t>
      </w:r>
      <w:r w:rsidRPr="0011262B">
        <w:rPr>
          <w:rFonts w:cs="Times New Roman"/>
          <w:szCs w:val="24"/>
        </w:rPr>
        <w:t xml:space="preserve"> na podstawie przepisów dyrektywy </w:t>
      </w:r>
      <w:r w:rsidRPr="0011262B">
        <w:rPr>
          <w:rFonts w:cs="Times New Roman"/>
          <w:bCs/>
          <w:color w:val="000000"/>
          <w:szCs w:val="24"/>
        </w:rPr>
        <w:t xml:space="preserve">Rady 93/13/EWG z dnia 5 kwietnia 1993 r. </w:t>
      </w:r>
      <w:r w:rsidRPr="0011262B">
        <w:rPr>
          <w:rFonts w:cs="Times New Roman"/>
          <w:bCs/>
          <w:i/>
          <w:color w:val="000000"/>
          <w:szCs w:val="24"/>
        </w:rPr>
        <w:t>w sprawie nieuczciwych warunków w umowach konsumenckich</w:t>
      </w:r>
      <w:r w:rsidRPr="0011262B">
        <w:rPr>
          <w:rFonts w:cs="Times New Roman"/>
          <w:color w:val="000000"/>
          <w:szCs w:val="24"/>
        </w:rPr>
        <w:t>.</w:t>
      </w:r>
      <w:r w:rsidRPr="0011262B">
        <w:rPr>
          <w:rFonts w:cs="Times New Roman"/>
          <w:shd w:val="clear" w:color="auto" w:fill="FFFFFF"/>
        </w:rPr>
        <w:t xml:space="preserve"> </w:t>
      </w:r>
      <w:r w:rsidRPr="0011262B">
        <w:rPr>
          <w:rFonts w:cs="Times New Roman"/>
          <w:szCs w:val="24"/>
        </w:rPr>
        <w:t xml:space="preserve">Wprowadzane zmiany nie powinny wpłynąć </w:t>
      </w:r>
      <w:r w:rsidR="00B83343" w:rsidRPr="0011262B">
        <w:rPr>
          <w:rFonts w:cs="Times New Roman"/>
          <w:szCs w:val="24"/>
        </w:rPr>
        <w:t xml:space="preserve">na działalność </w:t>
      </w:r>
      <w:r w:rsidR="00B83343" w:rsidRPr="0011262B">
        <w:rPr>
          <w:rFonts w:cs="Times New Roman"/>
          <w:szCs w:val="24"/>
        </w:rPr>
        <w:lastRenderedPageBreak/>
        <w:t>mikroprzedsiębiorców, małych i średnich przedsiębiorców, w związku z czym odstąpiono od analiz i oceny przewidywanych skutków społeczno-gospodarczych wskazanych w art. 66 ust. 1 ustawy z dnia 6 marca 2018 r. – Prawo przedsiębiorców (Dz. U.</w:t>
      </w:r>
      <w:r w:rsidR="00CC1497">
        <w:rPr>
          <w:rFonts w:cs="Times New Roman"/>
          <w:szCs w:val="24"/>
        </w:rPr>
        <w:t xml:space="preserve"> z 2019 r. poz.1292</w:t>
      </w:r>
      <w:r w:rsidR="00B83343" w:rsidRPr="0011262B">
        <w:rPr>
          <w:rFonts w:cs="Times New Roman"/>
          <w:szCs w:val="24"/>
        </w:rPr>
        <w:t>).</w:t>
      </w:r>
    </w:p>
    <w:p w14:paraId="0D3E038C" w14:textId="77777777" w:rsidR="00FB46D5" w:rsidRDefault="00FB46D5" w:rsidP="00FB46D5">
      <w:pPr>
        <w:pStyle w:val="ARTartustawynprozporzdzenia"/>
        <w:spacing w:before="0"/>
        <w:ind w:firstLine="709"/>
        <w:rPr>
          <w:rFonts w:ascii="Times New Roman" w:eastAsiaTheme="minorHAnsi" w:hAnsi="Times New Roman" w:cs="Times New Roman"/>
          <w:szCs w:val="24"/>
          <w:lang w:eastAsia="en-US"/>
        </w:rPr>
      </w:pPr>
      <w:r w:rsidRPr="00FB46D5">
        <w:rPr>
          <w:rFonts w:ascii="Times New Roman" w:eastAsiaTheme="minorHAnsi" w:hAnsi="Times New Roman" w:cs="Times New Roman"/>
          <w:szCs w:val="24"/>
          <w:lang w:eastAsia="en-US"/>
        </w:rPr>
        <w:t>Stosownie do postanowień art. 5 ustawy z dnia 7 lipca 2005 r. o działalności lobbingowej w</w:t>
      </w:r>
      <w:r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Pr="00FB46D5">
        <w:rPr>
          <w:rFonts w:ascii="Times New Roman" w:eastAsiaTheme="minorHAnsi" w:hAnsi="Times New Roman" w:cs="Times New Roman"/>
          <w:szCs w:val="24"/>
          <w:lang w:eastAsia="en-US"/>
        </w:rPr>
        <w:t>procesie stanowienia prawa (Dz. U. 2017 r. poz. 248) projekt ustawy został zamieszczony na stronach</w:t>
      </w:r>
      <w:r>
        <w:rPr>
          <w:rFonts w:eastAsiaTheme="minorHAnsi" w:cs="Times New Roman"/>
          <w:szCs w:val="24"/>
          <w:lang w:eastAsia="en-US"/>
        </w:rPr>
        <w:t xml:space="preserve"> </w:t>
      </w:r>
      <w:r w:rsidRPr="00FB46D5">
        <w:rPr>
          <w:rFonts w:ascii="Times New Roman" w:eastAsiaTheme="minorHAnsi" w:hAnsi="Times New Roman" w:cs="Times New Roman"/>
          <w:szCs w:val="24"/>
          <w:lang w:eastAsia="en-US"/>
        </w:rPr>
        <w:t>internetowych Rządowego Centrum Legislacji w zakładce Rządowy Proces Legislacyjny.</w:t>
      </w:r>
    </w:p>
    <w:p w14:paraId="1F1AD3E0" w14:textId="77777777" w:rsidR="00E1725B" w:rsidRPr="00E1725B" w:rsidRDefault="00E1725B" w:rsidP="0011262B">
      <w:pPr>
        <w:pStyle w:val="ARTartustawynprozporzdzenia"/>
        <w:ind w:firstLine="709"/>
        <w:rPr>
          <w:rFonts w:eastAsiaTheme="minorHAnsi" w:cs="Times New Roman"/>
          <w:szCs w:val="24"/>
          <w:lang w:eastAsia="en-US"/>
        </w:rPr>
      </w:pPr>
      <w:r w:rsidRPr="00E1725B">
        <w:rPr>
          <w:rFonts w:eastAsiaTheme="minorHAnsi" w:cs="Times New Roman"/>
          <w:szCs w:val="24"/>
          <w:lang w:eastAsia="en-US"/>
        </w:rPr>
        <w:t xml:space="preserve">Projekt ustawy nie dotyczy funkcjonowania samorządu terytorialnego oraz nie podlega notyfikacji zgodnie z przepisami dotyczącymi funkcjonowania krajowego systemu notyfikacji norm i aktów prawnych. Projektowana ustawa nie zawiera </w:t>
      </w:r>
      <w:r>
        <w:rPr>
          <w:rFonts w:eastAsiaTheme="minorHAnsi" w:cs="Times New Roman"/>
          <w:szCs w:val="24"/>
          <w:lang w:eastAsia="en-US"/>
        </w:rPr>
        <w:t xml:space="preserve">bowiem </w:t>
      </w:r>
      <w:r w:rsidRPr="00E1725B">
        <w:rPr>
          <w:rFonts w:eastAsiaTheme="minorHAnsi" w:cs="Times New Roman"/>
          <w:szCs w:val="24"/>
          <w:lang w:eastAsia="en-US"/>
        </w:rPr>
        <w:t xml:space="preserve">przepisów technicznych w rozumieniu rozporządzenia Rady Ministrów z dnia 23 grudnia 2002 r. w sprawie sposobu funkcjonowania krajowego systemu notyfikacji norm i aktów prawnych (Dz. U. poz. 2039, z późn. zm.).      </w:t>
      </w:r>
    </w:p>
    <w:p w14:paraId="633EECD3" w14:textId="77777777" w:rsidR="00E1725B" w:rsidRPr="0011262B" w:rsidRDefault="00E1725B" w:rsidP="00E1725B">
      <w:pPr>
        <w:pStyle w:val="ARTartustawynprozporzdzenia"/>
        <w:spacing w:before="0"/>
        <w:ind w:firstLine="709"/>
        <w:rPr>
          <w:rFonts w:eastAsiaTheme="minorHAnsi" w:cs="Times New Roman"/>
          <w:szCs w:val="24"/>
          <w:lang w:eastAsia="en-US"/>
        </w:rPr>
      </w:pPr>
      <w:r w:rsidRPr="00E1725B">
        <w:rPr>
          <w:rFonts w:eastAsiaTheme="minorHAnsi" w:cs="Times New Roman"/>
          <w:szCs w:val="24"/>
          <w:lang w:eastAsia="en-US"/>
        </w:rPr>
        <w:t>Projekt ustawy nie wymaga przedstawienia właściwym organom i instytucjom Unii Europejskiej, w tym Europejskiemu Bankowi Centralnemu, w celu uzyskania opinii, dokonania powiadomienia, konsultacji albo uzgodnienia.</w:t>
      </w:r>
    </w:p>
    <w:p w14:paraId="00103A31" w14:textId="77777777" w:rsidR="00B83343" w:rsidRDefault="00B83343" w:rsidP="00FB46D5">
      <w:pPr>
        <w:pStyle w:val="ARTartustawynprozporzdzenia"/>
        <w:spacing w:before="0"/>
        <w:ind w:firstLine="709"/>
        <w:rPr>
          <w:rFonts w:ascii="Times New Roman" w:hAnsi="Times New Roman" w:cs="Times New Roman"/>
          <w:szCs w:val="24"/>
        </w:rPr>
      </w:pPr>
      <w:r w:rsidRPr="00FB46D5">
        <w:rPr>
          <w:rFonts w:ascii="Times New Roman" w:hAnsi="Times New Roman" w:cs="Times New Roman"/>
          <w:szCs w:val="24"/>
        </w:rPr>
        <w:t>Nie była dokonywana ocena OSR w trybie § 32 uchwały nr 190 Rady Ministrów z dnia 29 października 2013 r. – Regulamin pracy Rady Ministrów (M. P. z 2016 r. poz. 1006, z późn. zm.).</w:t>
      </w:r>
    </w:p>
    <w:p w14:paraId="09950D9F" w14:textId="77777777" w:rsidR="00E1725B" w:rsidRPr="00E1725B" w:rsidRDefault="00E1725B" w:rsidP="00E1725B">
      <w:pPr>
        <w:pStyle w:val="ARTartustawynprozporzdzenia"/>
        <w:spacing w:before="0"/>
        <w:ind w:firstLine="709"/>
        <w:rPr>
          <w:rFonts w:cs="Times New Roman"/>
          <w:szCs w:val="24"/>
        </w:rPr>
      </w:pPr>
      <w:r w:rsidRPr="00E1725B">
        <w:rPr>
          <w:rFonts w:cs="Times New Roman"/>
          <w:szCs w:val="24"/>
        </w:rPr>
        <w:t>Osiągnięcie celu ustawy nie jest możliwe za pomocą innych środków.</w:t>
      </w:r>
    </w:p>
    <w:p w14:paraId="3638397F" w14:textId="77777777" w:rsidR="00E1725B" w:rsidRPr="00FB46D5" w:rsidRDefault="00E1725B" w:rsidP="00FB46D5">
      <w:pPr>
        <w:pStyle w:val="ARTartustawynprozporzdzenia"/>
        <w:spacing w:before="0"/>
        <w:ind w:firstLine="709"/>
        <w:rPr>
          <w:rFonts w:ascii="Times New Roman" w:hAnsi="Times New Roman" w:cs="Times New Roman"/>
          <w:szCs w:val="24"/>
        </w:rPr>
      </w:pPr>
    </w:p>
    <w:p w14:paraId="26028F21" w14:textId="77777777" w:rsidR="004B3FB5" w:rsidRDefault="004B3FB5" w:rsidP="002116BE">
      <w:pPr>
        <w:ind w:firstLine="708"/>
        <w:jc w:val="both"/>
      </w:pPr>
    </w:p>
    <w:p w14:paraId="4B39AC05" w14:textId="77777777" w:rsidR="002662BD" w:rsidRPr="00E14CBE" w:rsidRDefault="002662BD" w:rsidP="002116BE">
      <w:pPr>
        <w:ind w:firstLine="708"/>
        <w:jc w:val="both"/>
      </w:pPr>
    </w:p>
    <w:sectPr w:rsidR="002662BD" w:rsidRPr="00E14CBE" w:rsidSect="00683CB6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F8D2F" w14:textId="77777777" w:rsidR="00C91381" w:rsidRDefault="00C91381" w:rsidP="00683CB6">
      <w:pPr>
        <w:spacing w:line="240" w:lineRule="auto"/>
      </w:pPr>
      <w:r>
        <w:separator/>
      </w:r>
    </w:p>
  </w:endnote>
  <w:endnote w:type="continuationSeparator" w:id="0">
    <w:p w14:paraId="14AFD22E" w14:textId="77777777" w:rsidR="00C91381" w:rsidRDefault="00C91381" w:rsidP="00683C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1404628"/>
      <w:docPartObj>
        <w:docPartGallery w:val="Page Numbers (Bottom of Page)"/>
        <w:docPartUnique/>
      </w:docPartObj>
    </w:sdtPr>
    <w:sdtEndPr/>
    <w:sdtContent>
      <w:p w14:paraId="55614A7C" w14:textId="77777777" w:rsidR="00683CB6" w:rsidRDefault="00683C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62B">
          <w:rPr>
            <w:noProof/>
          </w:rPr>
          <w:t>13</w:t>
        </w:r>
        <w:r>
          <w:fldChar w:fldCharType="end"/>
        </w:r>
      </w:p>
    </w:sdtContent>
  </w:sdt>
  <w:p w14:paraId="10734FFD" w14:textId="77777777" w:rsidR="00683CB6" w:rsidRDefault="00683C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CC9BE" w14:textId="77777777" w:rsidR="00C91381" w:rsidRDefault="00C91381" w:rsidP="00683CB6">
      <w:pPr>
        <w:spacing w:line="240" w:lineRule="auto"/>
      </w:pPr>
      <w:r>
        <w:separator/>
      </w:r>
    </w:p>
  </w:footnote>
  <w:footnote w:type="continuationSeparator" w:id="0">
    <w:p w14:paraId="18A1551B" w14:textId="77777777" w:rsidR="00C91381" w:rsidRDefault="00C91381" w:rsidP="00683C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C91632"/>
    <w:multiLevelType w:val="hybridMultilevel"/>
    <w:tmpl w:val="5E0AFF1E"/>
    <w:lvl w:ilvl="0" w:tplc="C5F026F6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2F"/>
    <w:rsid w:val="00031AC2"/>
    <w:rsid w:val="000340B6"/>
    <w:rsid w:val="00036EC3"/>
    <w:rsid w:val="00040A02"/>
    <w:rsid w:val="000416F6"/>
    <w:rsid w:val="00063ED4"/>
    <w:rsid w:val="0008323B"/>
    <w:rsid w:val="000854EC"/>
    <w:rsid w:val="000A22A4"/>
    <w:rsid w:val="000A2998"/>
    <w:rsid w:val="000B7C36"/>
    <w:rsid w:val="000D66A1"/>
    <w:rsid w:val="000E61F2"/>
    <w:rsid w:val="00105345"/>
    <w:rsid w:val="0011262B"/>
    <w:rsid w:val="0011303A"/>
    <w:rsid w:val="00117220"/>
    <w:rsid w:val="00121EEB"/>
    <w:rsid w:val="0012631B"/>
    <w:rsid w:val="00137E5A"/>
    <w:rsid w:val="0016395E"/>
    <w:rsid w:val="00181068"/>
    <w:rsid w:val="00184ACB"/>
    <w:rsid w:val="00193175"/>
    <w:rsid w:val="001C3B1D"/>
    <w:rsid w:val="001C6C8F"/>
    <w:rsid w:val="001D26AF"/>
    <w:rsid w:val="001D4DF5"/>
    <w:rsid w:val="001E0C28"/>
    <w:rsid w:val="001E2D57"/>
    <w:rsid w:val="002026EE"/>
    <w:rsid w:val="00202D3A"/>
    <w:rsid w:val="00203BD5"/>
    <w:rsid w:val="00204324"/>
    <w:rsid w:val="00205B24"/>
    <w:rsid w:val="002116BE"/>
    <w:rsid w:val="00215B0D"/>
    <w:rsid w:val="0022037C"/>
    <w:rsid w:val="00224DF8"/>
    <w:rsid w:val="0023373B"/>
    <w:rsid w:val="00236A31"/>
    <w:rsid w:val="002419CE"/>
    <w:rsid w:val="00250AC0"/>
    <w:rsid w:val="00250B6D"/>
    <w:rsid w:val="002566FD"/>
    <w:rsid w:val="00256DE7"/>
    <w:rsid w:val="0026215C"/>
    <w:rsid w:val="00265304"/>
    <w:rsid w:val="0026567D"/>
    <w:rsid w:val="002662BD"/>
    <w:rsid w:val="00271FA7"/>
    <w:rsid w:val="002730F4"/>
    <w:rsid w:val="002905CE"/>
    <w:rsid w:val="002A0868"/>
    <w:rsid w:val="002A0CF2"/>
    <w:rsid w:val="002A5786"/>
    <w:rsid w:val="002A780E"/>
    <w:rsid w:val="002C5E99"/>
    <w:rsid w:val="002C6803"/>
    <w:rsid w:val="002D75FA"/>
    <w:rsid w:val="002D7E40"/>
    <w:rsid w:val="002E1D63"/>
    <w:rsid w:val="002F6957"/>
    <w:rsid w:val="00304178"/>
    <w:rsid w:val="00314F46"/>
    <w:rsid w:val="003154A7"/>
    <w:rsid w:val="00321659"/>
    <w:rsid w:val="003222B0"/>
    <w:rsid w:val="003267C7"/>
    <w:rsid w:val="003279F7"/>
    <w:rsid w:val="00345CCA"/>
    <w:rsid w:val="00351E4F"/>
    <w:rsid w:val="00353AB6"/>
    <w:rsid w:val="003544B7"/>
    <w:rsid w:val="00377E4C"/>
    <w:rsid w:val="00383118"/>
    <w:rsid w:val="00383296"/>
    <w:rsid w:val="00384F85"/>
    <w:rsid w:val="0039649D"/>
    <w:rsid w:val="003A1EC2"/>
    <w:rsid w:val="003B0E78"/>
    <w:rsid w:val="003C1808"/>
    <w:rsid w:val="003C1D0F"/>
    <w:rsid w:val="003E1FB0"/>
    <w:rsid w:val="003E67D3"/>
    <w:rsid w:val="004054D1"/>
    <w:rsid w:val="0041092C"/>
    <w:rsid w:val="004171D8"/>
    <w:rsid w:val="00417C9D"/>
    <w:rsid w:val="00427C83"/>
    <w:rsid w:val="00431041"/>
    <w:rsid w:val="004313F9"/>
    <w:rsid w:val="004413C4"/>
    <w:rsid w:val="004448D9"/>
    <w:rsid w:val="00445ED9"/>
    <w:rsid w:val="0045553B"/>
    <w:rsid w:val="004563A2"/>
    <w:rsid w:val="00481A4B"/>
    <w:rsid w:val="00491978"/>
    <w:rsid w:val="004A0512"/>
    <w:rsid w:val="004A211A"/>
    <w:rsid w:val="004B3FB5"/>
    <w:rsid w:val="004B5157"/>
    <w:rsid w:val="004C3E44"/>
    <w:rsid w:val="004C753A"/>
    <w:rsid w:val="004D5004"/>
    <w:rsid w:val="004E7AEB"/>
    <w:rsid w:val="0051199F"/>
    <w:rsid w:val="00523F2B"/>
    <w:rsid w:val="005356F1"/>
    <w:rsid w:val="005407CA"/>
    <w:rsid w:val="00541FB9"/>
    <w:rsid w:val="00554EC1"/>
    <w:rsid w:val="0056704A"/>
    <w:rsid w:val="00576C21"/>
    <w:rsid w:val="00582BA0"/>
    <w:rsid w:val="00594C73"/>
    <w:rsid w:val="00597518"/>
    <w:rsid w:val="005A11D0"/>
    <w:rsid w:val="005B1AE6"/>
    <w:rsid w:val="005B1EAD"/>
    <w:rsid w:val="005B3C50"/>
    <w:rsid w:val="005C1B23"/>
    <w:rsid w:val="005C2339"/>
    <w:rsid w:val="005C6CC4"/>
    <w:rsid w:val="005D39BB"/>
    <w:rsid w:val="005E0135"/>
    <w:rsid w:val="0062706D"/>
    <w:rsid w:val="00630637"/>
    <w:rsid w:val="00634B6C"/>
    <w:rsid w:val="0064548B"/>
    <w:rsid w:val="00653681"/>
    <w:rsid w:val="00683CB6"/>
    <w:rsid w:val="0069009E"/>
    <w:rsid w:val="0069725B"/>
    <w:rsid w:val="006A774B"/>
    <w:rsid w:val="006B68EA"/>
    <w:rsid w:val="006B6C51"/>
    <w:rsid w:val="006D4724"/>
    <w:rsid w:val="006E1C23"/>
    <w:rsid w:val="006F03BB"/>
    <w:rsid w:val="006F533F"/>
    <w:rsid w:val="007139A6"/>
    <w:rsid w:val="007141AD"/>
    <w:rsid w:val="007210A5"/>
    <w:rsid w:val="00734F14"/>
    <w:rsid w:val="00747F2F"/>
    <w:rsid w:val="007531F5"/>
    <w:rsid w:val="00765344"/>
    <w:rsid w:val="0077224C"/>
    <w:rsid w:val="00774F52"/>
    <w:rsid w:val="00792E13"/>
    <w:rsid w:val="007A0A02"/>
    <w:rsid w:val="007B61C9"/>
    <w:rsid w:val="007C68FA"/>
    <w:rsid w:val="007C7FEE"/>
    <w:rsid w:val="007D74AF"/>
    <w:rsid w:val="007E0724"/>
    <w:rsid w:val="007F3C42"/>
    <w:rsid w:val="00804ACD"/>
    <w:rsid w:val="00832C1E"/>
    <w:rsid w:val="00854FE7"/>
    <w:rsid w:val="008568A5"/>
    <w:rsid w:val="008578FC"/>
    <w:rsid w:val="00871E9C"/>
    <w:rsid w:val="00876A58"/>
    <w:rsid w:val="008A5AA6"/>
    <w:rsid w:val="008B44C9"/>
    <w:rsid w:val="008B75D2"/>
    <w:rsid w:val="008D15CC"/>
    <w:rsid w:val="008D6922"/>
    <w:rsid w:val="008D77F6"/>
    <w:rsid w:val="008D785B"/>
    <w:rsid w:val="008E4323"/>
    <w:rsid w:val="008E7248"/>
    <w:rsid w:val="00902677"/>
    <w:rsid w:val="00905031"/>
    <w:rsid w:val="00912153"/>
    <w:rsid w:val="009174C7"/>
    <w:rsid w:val="00921430"/>
    <w:rsid w:val="00932C7A"/>
    <w:rsid w:val="009335DC"/>
    <w:rsid w:val="00942D18"/>
    <w:rsid w:val="00961DA9"/>
    <w:rsid w:val="00962571"/>
    <w:rsid w:val="0099749E"/>
    <w:rsid w:val="009A4088"/>
    <w:rsid w:val="009A4EBE"/>
    <w:rsid w:val="009B0093"/>
    <w:rsid w:val="009F141A"/>
    <w:rsid w:val="00A0521B"/>
    <w:rsid w:val="00A43FB7"/>
    <w:rsid w:val="00A74BCD"/>
    <w:rsid w:val="00A82C38"/>
    <w:rsid w:val="00A90119"/>
    <w:rsid w:val="00A926E1"/>
    <w:rsid w:val="00AA1F3E"/>
    <w:rsid w:val="00AB13A7"/>
    <w:rsid w:val="00AB40ED"/>
    <w:rsid w:val="00AC292B"/>
    <w:rsid w:val="00AC3BAF"/>
    <w:rsid w:val="00AE265F"/>
    <w:rsid w:val="00AE3C29"/>
    <w:rsid w:val="00AF31F5"/>
    <w:rsid w:val="00B05645"/>
    <w:rsid w:val="00B12D3E"/>
    <w:rsid w:val="00B17DEB"/>
    <w:rsid w:val="00B252E6"/>
    <w:rsid w:val="00B275BE"/>
    <w:rsid w:val="00B34F83"/>
    <w:rsid w:val="00B52433"/>
    <w:rsid w:val="00B550E8"/>
    <w:rsid w:val="00B64449"/>
    <w:rsid w:val="00B679EB"/>
    <w:rsid w:val="00B72465"/>
    <w:rsid w:val="00B83343"/>
    <w:rsid w:val="00B8419B"/>
    <w:rsid w:val="00BB0CEC"/>
    <w:rsid w:val="00BC361E"/>
    <w:rsid w:val="00BC3E80"/>
    <w:rsid w:val="00BD62F9"/>
    <w:rsid w:val="00C00A45"/>
    <w:rsid w:val="00C1014C"/>
    <w:rsid w:val="00C262AA"/>
    <w:rsid w:val="00C32377"/>
    <w:rsid w:val="00C44339"/>
    <w:rsid w:val="00C52FE1"/>
    <w:rsid w:val="00C54FF6"/>
    <w:rsid w:val="00C65D68"/>
    <w:rsid w:val="00C855EF"/>
    <w:rsid w:val="00C86F07"/>
    <w:rsid w:val="00C91381"/>
    <w:rsid w:val="00C91A6A"/>
    <w:rsid w:val="00CA4479"/>
    <w:rsid w:val="00CA7584"/>
    <w:rsid w:val="00CC1497"/>
    <w:rsid w:val="00CC5238"/>
    <w:rsid w:val="00CC57A6"/>
    <w:rsid w:val="00CD195E"/>
    <w:rsid w:val="00CE3561"/>
    <w:rsid w:val="00D00D77"/>
    <w:rsid w:val="00D2218F"/>
    <w:rsid w:val="00D22A61"/>
    <w:rsid w:val="00D26227"/>
    <w:rsid w:val="00D26E33"/>
    <w:rsid w:val="00D41BC8"/>
    <w:rsid w:val="00D51E3B"/>
    <w:rsid w:val="00D61B53"/>
    <w:rsid w:val="00D67493"/>
    <w:rsid w:val="00D7028C"/>
    <w:rsid w:val="00D71159"/>
    <w:rsid w:val="00D76D4E"/>
    <w:rsid w:val="00DD2A1B"/>
    <w:rsid w:val="00DD4DB7"/>
    <w:rsid w:val="00DD6BAF"/>
    <w:rsid w:val="00DE383E"/>
    <w:rsid w:val="00DE446D"/>
    <w:rsid w:val="00E00CA9"/>
    <w:rsid w:val="00E01F24"/>
    <w:rsid w:val="00E0647F"/>
    <w:rsid w:val="00E14CBE"/>
    <w:rsid w:val="00E1725B"/>
    <w:rsid w:val="00E411F4"/>
    <w:rsid w:val="00E43A7E"/>
    <w:rsid w:val="00E51250"/>
    <w:rsid w:val="00E53766"/>
    <w:rsid w:val="00E64295"/>
    <w:rsid w:val="00E81316"/>
    <w:rsid w:val="00E867F6"/>
    <w:rsid w:val="00E97419"/>
    <w:rsid w:val="00EB5CE6"/>
    <w:rsid w:val="00EC12B5"/>
    <w:rsid w:val="00EC28EE"/>
    <w:rsid w:val="00ED25FB"/>
    <w:rsid w:val="00ED2FC9"/>
    <w:rsid w:val="00EF355C"/>
    <w:rsid w:val="00EF6455"/>
    <w:rsid w:val="00EF70A7"/>
    <w:rsid w:val="00F2109C"/>
    <w:rsid w:val="00F267BF"/>
    <w:rsid w:val="00F627A3"/>
    <w:rsid w:val="00F67E05"/>
    <w:rsid w:val="00F75E43"/>
    <w:rsid w:val="00F815D0"/>
    <w:rsid w:val="00FA1235"/>
    <w:rsid w:val="00FA72C0"/>
    <w:rsid w:val="00FB035B"/>
    <w:rsid w:val="00FB46D5"/>
    <w:rsid w:val="00FC18D9"/>
    <w:rsid w:val="00FC5635"/>
    <w:rsid w:val="00FD2500"/>
    <w:rsid w:val="00FD2850"/>
    <w:rsid w:val="00FE13AB"/>
    <w:rsid w:val="00FE1BA8"/>
    <w:rsid w:val="00FE51C1"/>
    <w:rsid w:val="00FF2C21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9498"/>
  <w15:docId w15:val="{3CCE9DCB-9065-46BB-9306-4A020943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F2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747F2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747F2F"/>
    <w:rPr>
      <w:bCs/>
    </w:rPr>
  </w:style>
  <w:style w:type="character" w:customStyle="1" w:styleId="Ppogrubienie">
    <w:name w:val="_P_ – pogrubienie"/>
    <w:basedOn w:val="Domylnaczcionkaakapitu"/>
    <w:uiPriority w:val="1"/>
    <w:qFormat/>
    <w:rsid w:val="00747F2F"/>
    <w:rPr>
      <w:b/>
    </w:rPr>
  </w:style>
  <w:style w:type="character" w:customStyle="1" w:styleId="IGindeksgrny">
    <w:name w:val="_IG_ – indeks górny"/>
    <w:basedOn w:val="Domylnaczcionkaakapitu"/>
    <w:uiPriority w:val="2"/>
    <w:qFormat/>
    <w:rsid w:val="007D74AF"/>
    <w:rPr>
      <w:b w:val="0"/>
      <w:i w:val="0"/>
      <w:vanish w:val="0"/>
      <w:spacing w:val="0"/>
      <w:vertAlign w:val="superscript"/>
    </w:rPr>
  </w:style>
  <w:style w:type="character" w:customStyle="1" w:styleId="articletitle">
    <w:name w:val="articletitle"/>
    <w:basedOn w:val="Domylnaczcionkaakapitu"/>
    <w:rsid w:val="002662BD"/>
  </w:style>
  <w:style w:type="paragraph" w:styleId="NormalnyWeb">
    <w:name w:val="Normal (Web)"/>
    <w:basedOn w:val="Normalny"/>
    <w:uiPriority w:val="99"/>
    <w:semiHidden/>
    <w:unhideWhenUsed/>
    <w:rsid w:val="004B3FB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B3FB5"/>
    <w:rPr>
      <w:color w:val="0000FF"/>
      <w:u w:val="single"/>
    </w:rPr>
  </w:style>
  <w:style w:type="character" w:customStyle="1" w:styleId="csec-nr">
    <w:name w:val="c_sec-nr"/>
    <w:basedOn w:val="Domylnaczcionkaakapitu"/>
    <w:rsid w:val="004B3FB5"/>
  </w:style>
  <w:style w:type="character" w:styleId="Odwoaniedokomentarza">
    <w:name w:val="annotation reference"/>
    <w:basedOn w:val="Domylnaczcionkaakapitu"/>
    <w:uiPriority w:val="99"/>
    <w:semiHidden/>
    <w:rsid w:val="00FA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A1235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1235"/>
    <w:rPr>
      <w:rFonts w:ascii="Times" w:eastAsia="Times New Roman" w:hAnsi="Times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2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235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9A4088"/>
    <w:pPr>
      <w:widowControl/>
      <w:suppressAutoHyphens/>
      <w:ind w:left="510" w:firstLine="510"/>
      <w:jc w:val="both"/>
    </w:pPr>
    <w:rPr>
      <w:rFonts w:ascii="Times" w:hAnsi="Time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C7A"/>
    <w:pPr>
      <w:spacing w:line="240" w:lineRule="auto"/>
    </w:pPr>
    <w:rPr>
      <w:rFonts w:ascii="Times New Roman" w:eastAsiaTheme="minorEastAsia" w:hAnsi="Times New Roman" w:cs="Arial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C7A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3C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CB6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3C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CB6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9A4EBE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0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46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B708-389E-4036-95CA-EC7CA4A2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6382</Words>
  <Characters>38294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Kazek Przemysław  (DLPC)</dc:creator>
  <cp:lastModifiedBy>Srokowska Agata  (DPE)</cp:lastModifiedBy>
  <cp:revision>2</cp:revision>
  <cp:lastPrinted>2020-09-23T12:35:00Z</cp:lastPrinted>
  <dcterms:created xsi:type="dcterms:W3CDTF">2020-09-24T07:39:00Z</dcterms:created>
  <dcterms:modified xsi:type="dcterms:W3CDTF">2020-09-24T07:39:00Z</dcterms:modified>
</cp:coreProperties>
</file>