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9FE45" w14:textId="19B39AAD" w:rsidR="00E41C07" w:rsidRPr="00E07408" w:rsidRDefault="00D411C6" w:rsidP="00E41C07">
      <w:pPr>
        <w:pStyle w:val="OZNPROJEKTUwskazaniedatylubwersjiprojektu"/>
        <w:keepNext/>
        <w:rPr>
          <w:rFonts w:cs="Times New Roman"/>
        </w:rPr>
      </w:pPr>
      <w:bookmarkStart w:id="0" w:name="_GoBack"/>
      <w:bookmarkEnd w:id="0"/>
      <w:r w:rsidRPr="00E07408">
        <w:rPr>
          <w:rFonts w:cs="Times New Roman"/>
        </w:rPr>
        <w:t xml:space="preserve">projekt z dnia </w:t>
      </w:r>
      <w:r w:rsidR="00997431">
        <w:rPr>
          <w:rFonts w:cs="Times New Roman"/>
        </w:rPr>
        <w:t>11</w:t>
      </w:r>
      <w:r w:rsidR="008A36B2">
        <w:rPr>
          <w:rFonts w:cs="Times New Roman"/>
        </w:rPr>
        <w:t xml:space="preserve"> września</w:t>
      </w:r>
      <w:r w:rsidR="00E41C07" w:rsidRPr="00E07408">
        <w:rPr>
          <w:rFonts w:cs="Times New Roman"/>
        </w:rPr>
        <w:t xml:space="preserve"> 2020 r.</w:t>
      </w:r>
    </w:p>
    <w:p w14:paraId="261C56C3" w14:textId="77777777" w:rsidR="00E41C07" w:rsidRPr="00E07408" w:rsidRDefault="00E41C07" w:rsidP="00E41C07">
      <w:pPr>
        <w:pStyle w:val="OZNRODZAKTUtznustawalubrozporzdzenieiorganwydajcy"/>
        <w:rPr>
          <w:rFonts w:ascii="Times New Roman" w:hAnsi="Times New Roman"/>
        </w:rPr>
      </w:pPr>
      <w:r w:rsidRPr="00E07408">
        <w:rPr>
          <w:rFonts w:ascii="Times New Roman" w:hAnsi="Times New Roman"/>
        </w:rPr>
        <w:t>Rozporządzenie</w:t>
      </w:r>
    </w:p>
    <w:p w14:paraId="28394B70" w14:textId="77777777" w:rsidR="00E41C07" w:rsidRPr="00E07408" w:rsidRDefault="00E41C07" w:rsidP="00E41C07">
      <w:pPr>
        <w:pStyle w:val="OZNRODZAKTUtznustawalubrozporzdzenieiorganwydajcy"/>
        <w:rPr>
          <w:rFonts w:ascii="Times New Roman" w:hAnsi="Times New Roman"/>
        </w:rPr>
      </w:pPr>
      <w:r w:rsidRPr="00E07408">
        <w:rPr>
          <w:rFonts w:ascii="Times New Roman" w:hAnsi="Times New Roman"/>
        </w:rPr>
        <w:t>Ministra Cyfryzacji</w:t>
      </w:r>
      <w:r w:rsidRPr="00E07408">
        <w:rPr>
          <w:rStyle w:val="IGindeksgrny"/>
          <w:rFonts w:ascii="Times New Roman" w:hAnsi="Times New Roman"/>
        </w:rPr>
        <w:footnoteReference w:id="2"/>
      </w:r>
      <w:r w:rsidRPr="00E07408">
        <w:rPr>
          <w:rStyle w:val="IGindeksgrny"/>
          <w:rFonts w:ascii="Times New Roman" w:hAnsi="Times New Roman"/>
        </w:rPr>
        <w:t>)</w:t>
      </w:r>
    </w:p>
    <w:p w14:paraId="390FBDF0" w14:textId="77777777" w:rsidR="00E41C07" w:rsidRPr="00E07408" w:rsidRDefault="00E41C07" w:rsidP="00E41C07">
      <w:pPr>
        <w:pStyle w:val="DATAAKTUdatauchwalenialubwydaniaaktu"/>
        <w:rPr>
          <w:rFonts w:ascii="Times New Roman" w:hAnsi="Times New Roman" w:cs="Times New Roman"/>
        </w:rPr>
      </w:pPr>
      <w:r w:rsidRPr="00E07408">
        <w:rPr>
          <w:rFonts w:ascii="Times New Roman" w:hAnsi="Times New Roman" w:cs="Times New Roman"/>
        </w:rPr>
        <w:t>z dnia ………… r.</w:t>
      </w:r>
    </w:p>
    <w:p w14:paraId="2BF66725" w14:textId="77777777" w:rsidR="00E41C07" w:rsidRPr="00E07408" w:rsidRDefault="00E41C07" w:rsidP="00E41C07">
      <w:pPr>
        <w:pStyle w:val="TYTUAKTUprzedmiotregulacjiustawylubrozporzdzenia"/>
        <w:rPr>
          <w:rFonts w:ascii="Times New Roman" w:hAnsi="Times New Roman" w:cs="Times New Roman"/>
        </w:rPr>
      </w:pPr>
      <w:r w:rsidRPr="00E07408">
        <w:rPr>
          <w:rFonts w:ascii="Times New Roman" w:hAnsi="Times New Roman" w:cs="Times New Roman"/>
        </w:rPr>
        <w:t>w sprawie szczegółowych warunków i trybu udzielania wsparcia ze środków Funduszu Szerokopasmowego</w:t>
      </w:r>
    </w:p>
    <w:p w14:paraId="26DFD0CF" w14:textId="77777777" w:rsidR="00E41C07" w:rsidRPr="00E07408" w:rsidRDefault="00E41C07" w:rsidP="00E41C07">
      <w:pPr>
        <w:pStyle w:val="NIEARTTEKSTtekstnieartykuowanynppodstprawnarozplubpreambua"/>
        <w:rPr>
          <w:rFonts w:ascii="Times New Roman" w:hAnsi="Times New Roman" w:cs="Times New Roman"/>
        </w:rPr>
      </w:pPr>
      <w:r w:rsidRPr="00E07408">
        <w:rPr>
          <w:rFonts w:ascii="Times New Roman" w:hAnsi="Times New Roman" w:cs="Times New Roman"/>
        </w:rPr>
        <w:t>Na podstawie art. 16a ust. 9 ustawy z dnia 7 maja 2010 r. o wspieraniu rozwoju usług i sieci telekomunikacyjnych (Dz. U. z 2019 r. poz. 2410 oraz z 2020 r. poz. 471 i 875) zarządza się, co następuje:</w:t>
      </w:r>
    </w:p>
    <w:p w14:paraId="735A4AEC" w14:textId="77777777" w:rsidR="00E41C07" w:rsidRPr="00E07408" w:rsidRDefault="00E41C07" w:rsidP="00E41C07">
      <w:pPr>
        <w:pStyle w:val="ARTartustawynprozporzdzenia"/>
        <w:rPr>
          <w:rFonts w:ascii="Times New Roman" w:hAnsi="Times New Roman" w:cs="Times New Roman"/>
        </w:rPr>
      </w:pPr>
      <w:r w:rsidRPr="00E07408">
        <w:rPr>
          <w:rStyle w:val="Ppogrubienie"/>
          <w:rFonts w:ascii="Times New Roman" w:hAnsi="Times New Roman" w:cs="Times New Roman"/>
        </w:rPr>
        <w:t>§ 1.</w:t>
      </w:r>
      <w:r w:rsidRPr="00E07408">
        <w:rPr>
          <w:rFonts w:ascii="Times New Roman" w:hAnsi="Times New Roman" w:cs="Times New Roman"/>
        </w:rPr>
        <w:t xml:space="preserve"> 1. Rozporządzenie określa szczegółowe warunki i tryb udzielania wsparcia ze środków Funduszu Szerokopasmowego, o którym mowa w art. 16a ust. 1 ustawy z dnia 7 maja 2010 r. o wspieraniu rozwoju usług i sieci telekomunikacyjnych, zwanego dalej „Funduszem”.</w:t>
      </w:r>
    </w:p>
    <w:p w14:paraId="69F922A3" w14:textId="785F3FCD" w:rsidR="00E41C07" w:rsidRPr="00E07408" w:rsidRDefault="00E41C07" w:rsidP="00E41C07">
      <w:pPr>
        <w:pStyle w:val="USTustnpkodeksu"/>
        <w:rPr>
          <w:rFonts w:ascii="Times New Roman" w:hAnsi="Times New Roman" w:cs="Times New Roman"/>
        </w:rPr>
      </w:pPr>
      <w:r w:rsidRPr="00E07408">
        <w:rPr>
          <w:rFonts w:ascii="Times New Roman" w:hAnsi="Times New Roman" w:cs="Times New Roman"/>
        </w:rPr>
        <w:t>2. Wsparcia udziela dysponent Funduszu.</w:t>
      </w:r>
    </w:p>
    <w:p w14:paraId="15B2BE6E" w14:textId="77777777" w:rsidR="008A36B2" w:rsidRDefault="00E41C07" w:rsidP="008A36B2">
      <w:pPr>
        <w:pStyle w:val="ARTartustawynprozporzdzenia"/>
        <w:rPr>
          <w:rFonts w:ascii="Times New Roman" w:hAnsi="Times New Roman" w:cs="Times New Roman"/>
        </w:rPr>
      </w:pPr>
      <w:r w:rsidRPr="00E07408">
        <w:rPr>
          <w:rStyle w:val="Ppogrubienie"/>
          <w:rFonts w:ascii="Times New Roman" w:hAnsi="Times New Roman" w:cs="Times New Roman"/>
        </w:rPr>
        <w:t>§ 2.</w:t>
      </w:r>
      <w:r w:rsidRPr="00E07408">
        <w:rPr>
          <w:rFonts w:ascii="Times New Roman" w:hAnsi="Times New Roman" w:cs="Times New Roman"/>
        </w:rPr>
        <w:t xml:space="preserve"> 1. Wsparcie na działania, o których mowa w art. 16a ust. 4 pkt 1 ustawy z dnia 7 maja 2010 r. o wspieraniu rozwoju usług i sieci telekomunikacyjnych</w:t>
      </w:r>
      <w:r w:rsidR="0024382C">
        <w:rPr>
          <w:rFonts w:ascii="Times New Roman" w:hAnsi="Times New Roman" w:cs="Times New Roman"/>
        </w:rPr>
        <w:t>, zwanej dalej „ustawą”,</w:t>
      </w:r>
      <w:r w:rsidRPr="00E07408">
        <w:rPr>
          <w:rFonts w:ascii="Times New Roman" w:hAnsi="Times New Roman" w:cs="Times New Roman"/>
        </w:rPr>
        <w:t xml:space="preserve"> może być udzielone na</w:t>
      </w:r>
      <w:r w:rsidR="00655C70" w:rsidRPr="00655C70">
        <w:rPr>
          <w:rFonts w:ascii="Times New Roman" w:hAnsi="Times New Roman" w:cs="Times New Roman"/>
        </w:rPr>
        <w:t xml:space="preserve"> </w:t>
      </w:r>
      <w:r w:rsidR="00655C70" w:rsidRPr="00E07408">
        <w:rPr>
          <w:rFonts w:ascii="Times New Roman" w:hAnsi="Times New Roman" w:cs="Times New Roman"/>
        </w:rPr>
        <w:t>projekty</w:t>
      </w:r>
      <w:r w:rsidR="007C2DAE">
        <w:rPr>
          <w:rFonts w:ascii="Times New Roman" w:hAnsi="Times New Roman" w:cs="Times New Roman"/>
        </w:rPr>
        <w:t>:</w:t>
      </w:r>
    </w:p>
    <w:p w14:paraId="05403511" w14:textId="0AB8A254" w:rsidR="008A36B2" w:rsidRPr="008A36B2" w:rsidRDefault="008A36B2" w:rsidP="008A36B2">
      <w:pPr>
        <w:pStyle w:val="PKTpunkt"/>
        <w:rPr>
          <w:rFonts w:ascii="Times New Roman" w:hAnsi="Times New Roman" w:cs="Times New Roman"/>
        </w:rPr>
      </w:pPr>
      <w:r>
        <w:t>1)</w:t>
      </w:r>
      <w:r w:rsidR="00037CE8">
        <w:tab/>
      </w:r>
      <w:r w:rsidR="00E41C07" w:rsidRPr="008A36B2">
        <w:t xml:space="preserve">budowy </w:t>
      </w:r>
      <w:r w:rsidR="00B23484">
        <w:t xml:space="preserve">lub przebudowy </w:t>
      </w:r>
      <w:r w:rsidR="00E41C07" w:rsidRPr="008A36B2">
        <w:t xml:space="preserve">szybkich sieci telekomunikacyjnych </w:t>
      </w:r>
      <w:r w:rsidRPr="008A36B2">
        <w:t xml:space="preserve">lub </w:t>
      </w:r>
      <w:r w:rsidR="00E41C07" w:rsidRPr="008A36B2">
        <w:t>wykonani</w:t>
      </w:r>
      <w:r w:rsidR="007C2DAE" w:rsidRPr="008A36B2">
        <w:t>a</w:t>
      </w:r>
      <w:r w:rsidR="00E41C07" w:rsidRPr="008A36B2">
        <w:t xml:space="preserve"> przyłączy telekomunikacyjnych </w:t>
      </w:r>
      <w:r w:rsidR="00426547">
        <w:t>od</w:t>
      </w:r>
      <w:r w:rsidR="00E41C07" w:rsidRPr="008A36B2">
        <w:t xml:space="preserve"> </w:t>
      </w:r>
      <w:r w:rsidR="00740C54" w:rsidRPr="000E1237">
        <w:t xml:space="preserve">szybkich sieci telekomunikacyjnych </w:t>
      </w:r>
      <w:r w:rsidR="00426547" w:rsidRPr="000E1237">
        <w:t>do</w:t>
      </w:r>
      <w:r w:rsidR="00740C54" w:rsidRPr="000E1237">
        <w:t xml:space="preserve"> </w:t>
      </w:r>
      <w:r w:rsidR="00E41C07" w:rsidRPr="008A36B2">
        <w:t>lokalizacji użytkowników końcowych</w:t>
      </w:r>
      <w:r>
        <w:t xml:space="preserve">, </w:t>
      </w:r>
      <w:r w:rsidR="00E41C07" w:rsidRPr="008A36B2">
        <w:t xml:space="preserve">jeżeli na obszarze, którego ma dotyczyć projekt, nie istnieją i najprawdopodobniej nie powstaną na zasadach komercyjnych w ciągu trzech lat sieci dostępu nowej generacji w rozumieniu art. 2 pkt 138 rozporządzenia Komisji (UE) nr 651/2014 z dnia 17 czerwca 2014 r. uznającego niektóre rodzaje pomocy za zgodne z rynkiem wewnętrznym w zastosowaniu art. 107 i 108 Traktatu (Dz. Urz. UE L 187 z 26.06.2014, str. 1, z </w:t>
      </w:r>
      <w:proofErr w:type="spellStart"/>
      <w:r w:rsidR="00E41C07" w:rsidRPr="008A36B2">
        <w:t>późn</w:t>
      </w:r>
      <w:proofErr w:type="spellEnd"/>
      <w:r w:rsidR="00E41C07" w:rsidRPr="008A36B2">
        <w:t>. zm.</w:t>
      </w:r>
      <w:r w:rsidR="00E41C07" w:rsidRPr="00E07408">
        <w:rPr>
          <w:rStyle w:val="IGindeksgrny"/>
          <w:rFonts w:ascii="Times New Roman" w:hAnsi="Times New Roman" w:cs="Times New Roman"/>
        </w:rPr>
        <w:footnoteReference w:id="3"/>
      </w:r>
      <w:r w:rsidR="00E41C07" w:rsidRPr="008A36B2">
        <w:rPr>
          <w:rStyle w:val="IGindeksgrny"/>
          <w:rFonts w:ascii="Times New Roman" w:hAnsi="Times New Roman" w:cs="Times New Roman"/>
        </w:rPr>
        <w:t>)</w:t>
      </w:r>
      <w:r w:rsidR="00E41C07" w:rsidRPr="008A36B2">
        <w:t xml:space="preserve">), umożliwiające świadczenie usług dostępu do Internetu o gwarantowanej przepustowości co najmniej 30 </w:t>
      </w:r>
      <w:proofErr w:type="spellStart"/>
      <w:r w:rsidR="00E41C07" w:rsidRPr="008A36B2">
        <w:t>Mb</w:t>
      </w:r>
      <w:proofErr w:type="spellEnd"/>
      <w:r w:rsidR="00E41C07" w:rsidRPr="008A36B2">
        <w:t>/s, zwane dalej „sieciami dostępu nowej generacji</w:t>
      </w:r>
      <w:r w:rsidR="001922EF" w:rsidRPr="008A36B2">
        <w:t>”</w:t>
      </w:r>
      <w:r w:rsidR="001922EF">
        <w:t>;</w:t>
      </w:r>
    </w:p>
    <w:p w14:paraId="0B407C02" w14:textId="795BED15" w:rsidR="00845128" w:rsidRPr="008A36B2" w:rsidRDefault="008A36B2" w:rsidP="008A36B2">
      <w:pPr>
        <w:pStyle w:val="PKTpunkt"/>
      </w:pPr>
      <w:r>
        <w:lastRenderedPageBreak/>
        <w:t>2)</w:t>
      </w:r>
      <w:r w:rsidR="00037CE8">
        <w:tab/>
      </w:r>
      <w:r w:rsidR="00845128" w:rsidRPr="008A36B2">
        <w:t xml:space="preserve">sporządzenia planu rozwoju szybkich sieci telekomunikacyjnych na </w:t>
      </w:r>
      <w:r w:rsidR="00C15008">
        <w:t>obszarze</w:t>
      </w:r>
      <w:r w:rsidR="00845128" w:rsidRPr="008A36B2">
        <w:t xml:space="preserve"> gminy</w:t>
      </w:r>
      <w:r w:rsidRPr="008A36B2">
        <w:t xml:space="preserve">, jeżeli na tym </w:t>
      </w:r>
      <w:r w:rsidR="00C15008">
        <w:t>obszarze</w:t>
      </w:r>
      <w:r w:rsidRPr="008A36B2">
        <w:t xml:space="preserve"> występują użytkownicy końcowi, którzy nie </w:t>
      </w:r>
      <w:r w:rsidR="00C15008">
        <w:t>znajdują się w zasięgu</w:t>
      </w:r>
      <w:r w:rsidRPr="008A36B2">
        <w:t xml:space="preserve"> usług dostępu do </w:t>
      </w:r>
      <w:r w:rsidR="00A4743D" w:rsidRPr="008A36B2">
        <w:t>Internetu</w:t>
      </w:r>
      <w:r w:rsidRPr="008A36B2">
        <w:t xml:space="preserve"> o przepustowości co najmniej 100 </w:t>
      </w:r>
      <w:proofErr w:type="spellStart"/>
      <w:r w:rsidRPr="008A36B2">
        <w:t>Mb</w:t>
      </w:r>
      <w:proofErr w:type="spellEnd"/>
      <w:r w:rsidRPr="008A36B2">
        <w:t>/s</w:t>
      </w:r>
      <w:r w:rsidR="00845128" w:rsidRPr="008A36B2">
        <w:t>.</w:t>
      </w:r>
    </w:p>
    <w:p w14:paraId="43E2205C" w14:textId="77777777" w:rsidR="00490486" w:rsidRPr="00E07408" w:rsidRDefault="00E41C07" w:rsidP="008A36B2">
      <w:pPr>
        <w:pStyle w:val="USTustnpkodeksu"/>
      </w:pPr>
      <w:r w:rsidRPr="00E07408">
        <w:t xml:space="preserve">2. </w:t>
      </w:r>
      <w:r w:rsidR="00490486" w:rsidRPr="00E07408">
        <w:t>Beneficjentem wsparcia udzielanego na projekty</w:t>
      </w:r>
      <w:r w:rsidR="00490486">
        <w:t>, o których mowa w ust. 1</w:t>
      </w:r>
      <w:r w:rsidR="00490486" w:rsidRPr="00E07408">
        <w:t>:</w:t>
      </w:r>
    </w:p>
    <w:p w14:paraId="550035C6" w14:textId="4B118B71" w:rsidR="00490486" w:rsidRPr="00916B8C" w:rsidRDefault="00916B8C" w:rsidP="00916B8C">
      <w:pPr>
        <w:pStyle w:val="PKTpunkt"/>
      </w:pPr>
      <w:r>
        <w:t>1)</w:t>
      </w:r>
      <w:r w:rsidR="00037CE8">
        <w:tab/>
      </w:r>
      <w:r w:rsidRPr="00916B8C">
        <w:t xml:space="preserve">pkt 1 </w:t>
      </w:r>
      <w:r w:rsidR="001769DB" w:rsidRPr="00916B8C">
        <w:t xml:space="preserve">– </w:t>
      </w:r>
      <w:r w:rsidR="00490486" w:rsidRPr="00916B8C">
        <w:t>może być gmina</w:t>
      </w:r>
      <w:r w:rsidR="008A36B2">
        <w:t>,</w:t>
      </w:r>
      <w:r w:rsidRPr="00916B8C">
        <w:t xml:space="preserve"> przedsiębiorca telekomunikacyjny</w:t>
      </w:r>
      <w:r w:rsidR="008A36B2" w:rsidRPr="008A36B2">
        <w:t xml:space="preserve"> </w:t>
      </w:r>
      <w:r w:rsidR="004520C5">
        <w:t>albo</w:t>
      </w:r>
      <w:r w:rsidR="008A36B2" w:rsidRPr="00916B8C">
        <w:t xml:space="preserve"> podmiot leczniczy w</w:t>
      </w:r>
      <w:r w:rsidR="003458F3">
        <w:t> </w:t>
      </w:r>
      <w:r w:rsidR="008A36B2" w:rsidRPr="00916B8C">
        <w:t>rozumieniu ustawy z dnia 15 kwietnia 2011 r. o działalności leczniczej (Dz. U. z 2020 r. poz. 295 i 567)</w:t>
      </w:r>
      <w:r w:rsidR="00490486" w:rsidRPr="00916B8C">
        <w:t>;</w:t>
      </w:r>
    </w:p>
    <w:p w14:paraId="041BCA4B" w14:textId="7B1F3AD9" w:rsidR="00490486" w:rsidRPr="00916B8C" w:rsidRDefault="00916B8C" w:rsidP="008A36B2">
      <w:pPr>
        <w:pStyle w:val="PKTpunkt"/>
      </w:pPr>
      <w:r>
        <w:t>2)</w:t>
      </w:r>
      <w:r w:rsidR="00037CE8">
        <w:tab/>
      </w:r>
      <w:r w:rsidR="00490486" w:rsidRPr="00916B8C">
        <w:t>pkt 2</w:t>
      </w:r>
      <w:r w:rsidR="00490486" w:rsidRPr="00916B8C" w:rsidDel="008F7E1B">
        <w:t xml:space="preserve"> </w:t>
      </w:r>
      <w:r w:rsidR="00490486" w:rsidRPr="00916B8C">
        <w:t>– może być gmina</w:t>
      </w:r>
      <w:r w:rsidR="008A36B2">
        <w:t>.</w:t>
      </w:r>
    </w:p>
    <w:p w14:paraId="392C5F29" w14:textId="78219E00" w:rsidR="00E41C07" w:rsidRPr="00C6331B" w:rsidRDefault="00490486" w:rsidP="00C6331B">
      <w:pPr>
        <w:pStyle w:val="USTustnpkodeksu"/>
      </w:pPr>
      <w:r w:rsidRPr="00C6331B">
        <w:t xml:space="preserve">3. </w:t>
      </w:r>
      <w:r w:rsidR="00E41C07" w:rsidRPr="00C6331B">
        <w:t>Listę obszarów, o których mowa w ust. 1, ustala się przed ogłoszeniem naboru wniosków o udzielenie wsparcia na podstawie informacji:</w:t>
      </w:r>
    </w:p>
    <w:p w14:paraId="764B7F68" w14:textId="517536BD" w:rsidR="00E41C07" w:rsidRPr="00C6331B" w:rsidRDefault="00136738">
      <w:pPr>
        <w:pStyle w:val="PKTpunkt"/>
      </w:pPr>
      <w:r w:rsidRPr="00C6331B">
        <w:t>1)</w:t>
      </w:r>
      <w:r w:rsidR="00EF1AAD">
        <w:tab/>
      </w:r>
      <w:r w:rsidR="00C6331B">
        <w:t>pochodzących</w:t>
      </w:r>
      <w:r w:rsidR="00C676D4">
        <w:t xml:space="preserve"> </w:t>
      </w:r>
      <w:r w:rsidR="00C6331B">
        <w:t xml:space="preserve">z </w:t>
      </w:r>
      <w:r w:rsidRPr="00C6331B">
        <w:t>in</w:t>
      </w:r>
      <w:r w:rsidR="00E41C07" w:rsidRPr="00C6331B">
        <w:t>wentaryzacji, o której mowa w art. 29 ust. 1 ustawy</w:t>
      </w:r>
      <w:r w:rsidR="001922EF">
        <w:rPr>
          <w:rFonts w:ascii="Times New Roman" w:hAnsi="Times New Roman" w:cs="Times New Roman"/>
        </w:rPr>
        <w:t xml:space="preserve">; </w:t>
      </w:r>
    </w:p>
    <w:p w14:paraId="324ED4BF" w14:textId="00F002D8" w:rsidR="00C6331B" w:rsidRDefault="00136738">
      <w:pPr>
        <w:pStyle w:val="PKTpunkt"/>
      </w:pPr>
      <w:r w:rsidRPr="00C6331B">
        <w:t>2)</w:t>
      </w:r>
      <w:r w:rsidR="00EF1AAD">
        <w:tab/>
      </w:r>
      <w:r w:rsidR="00C6331B">
        <w:t xml:space="preserve">pochodzących z </w:t>
      </w:r>
      <w:r w:rsidRPr="00C6331B">
        <w:t>o</w:t>
      </w:r>
      <w:r w:rsidR="00E41C07" w:rsidRPr="00C6331B">
        <w:t>twartych konsultacji społecznych dotyczących tych obszarów</w:t>
      </w:r>
      <w:r w:rsidR="00C6331B">
        <w:t>;</w:t>
      </w:r>
    </w:p>
    <w:p w14:paraId="4963BEFA" w14:textId="287C2CA3" w:rsidR="00E41C07" w:rsidRPr="00C6331B" w:rsidRDefault="00C6331B">
      <w:pPr>
        <w:pStyle w:val="PKTpunkt"/>
      </w:pPr>
      <w:r>
        <w:t xml:space="preserve">3) </w:t>
      </w:r>
      <w:r>
        <w:tab/>
        <w:t xml:space="preserve">o szybkich sieciach </w:t>
      </w:r>
      <w:r w:rsidR="00B0176B">
        <w:t>telekomunikacyjnych</w:t>
      </w:r>
      <w:r>
        <w:t>, na które zostało przyznane wsparcie ze środków publicznych</w:t>
      </w:r>
      <w:r w:rsidR="00E41C07" w:rsidRPr="00C6331B">
        <w:t>.</w:t>
      </w:r>
    </w:p>
    <w:p w14:paraId="12A262F3" w14:textId="16FEF291" w:rsidR="00E41C07" w:rsidRPr="00C6331B" w:rsidRDefault="00490486">
      <w:pPr>
        <w:pStyle w:val="USTustnpkodeksu"/>
      </w:pPr>
      <w:r w:rsidRPr="00C6331B">
        <w:t>4</w:t>
      </w:r>
      <w:r w:rsidR="00E41C07" w:rsidRPr="00C6331B">
        <w:t xml:space="preserve">. W ramach otwartych konsultacji społecznych, o których mowa w ust. </w:t>
      </w:r>
      <w:r w:rsidR="008A36B2" w:rsidRPr="00C6331B">
        <w:t>3</w:t>
      </w:r>
      <w:r w:rsidR="00E41C07" w:rsidRPr="00C6331B">
        <w:t xml:space="preserve"> pkt 2, podmioty planujące budowę</w:t>
      </w:r>
      <w:r w:rsidR="00B23484">
        <w:t xml:space="preserve"> </w:t>
      </w:r>
      <w:r w:rsidR="00E41C07" w:rsidRPr="00C6331B">
        <w:t>sieci dostępu nowej generacji na danym obszarze na zasadach komercyjnych mogą zgłosić plany inwestycyjne.</w:t>
      </w:r>
    </w:p>
    <w:p w14:paraId="7ABACDDB" w14:textId="061A2BBB" w:rsidR="00E41C07" w:rsidRPr="00C6331B" w:rsidRDefault="00490486">
      <w:pPr>
        <w:pStyle w:val="USTustnpkodeksu"/>
      </w:pPr>
      <w:r w:rsidRPr="00C6331B">
        <w:t>5</w:t>
      </w:r>
      <w:r w:rsidR="00E41C07" w:rsidRPr="00C6331B">
        <w:t>. W przypadku stwierdzenia, że zgłoszony plan inwestycyjny nie jest realizowany, obszar wskazany w planie inwestycyjnym może zostać uznany za obszar, na którym może być udzielone wsparcie</w:t>
      </w:r>
      <w:r w:rsidR="00E41C07" w:rsidRPr="00E07408">
        <w:rPr>
          <w:rFonts w:ascii="Times New Roman" w:hAnsi="Times New Roman" w:cs="Times New Roman"/>
        </w:rPr>
        <w:t>.</w:t>
      </w:r>
    </w:p>
    <w:p w14:paraId="6B7832A2" w14:textId="12A9BDDC" w:rsidR="00E41C07" w:rsidRPr="00C6331B" w:rsidRDefault="00490486">
      <w:pPr>
        <w:pStyle w:val="USTustnpkodeksu"/>
      </w:pPr>
      <w:r w:rsidRPr="00C6331B">
        <w:t>6</w:t>
      </w:r>
      <w:r w:rsidR="00E41C07" w:rsidRPr="00C6331B">
        <w:t xml:space="preserve">. Ujawnienie informacji o istniejących sieciach dostępu nowej generacji lub planach inwestycyjnych dotyczących tych sieci po ustaleniu listy obszarów zgodnie z ust. </w:t>
      </w:r>
      <w:r w:rsidR="00A4743D">
        <w:t>3</w:t>
      </w:r>
      <w:r w:rsidR="00E41C07" w:rsidRPr="00C6331B">
        <w:t xml:space="preserve"> nie stanowi przeszkody do udzielenia wsparcia na tych obszarach.</w:t>
      </w:r>
    </w:p>
    <w:p w14:paraId="7D3B563A" w14:textId="14E56CE7" w:rsidR="0024382C" w:rsidRDefault="0024382C" w:rsidP="0024382C">
      <w:pPr>
        <w:pStyle w:val="ARTartustawynprozporzdzenia"/>
      </w:pPr>
      <w:r w:rsidRPr="008A36B2">
        <w:rPr>
          <w:rStyle w:val="Ppogrubienie"/>
        </w:rPr>
        <w:t>§ 3.</w:t>
      </w:r>
      <w:r>
        <w:t xml:space="preserve"> </w:t>
      </w:r>
      <w:r w:rsidR="00B27599">
        <w:t xml:space="preserve">1. </w:t>
      </w:r>
      <w:r>
        <w:t xml:space="preserve">Wsparcie na działania, o których mowa w art. 16a ust. 4 pkt 2 ustawy, </w:t>
      </w:r>
      <w:r w:rsidR="00B27599">
        <w:t>polegające na dofinansowaniu kosztów zakupu usług telekomunikacyjnych lub</w:t>
      </w:r>
      <w:r w:rsidR="007315B6">
        <w:t xml:space="preserve"> zakupu</w:t>
      </w:r>
      <w:r w:rsidR="00B27599">
        <w:t xml:space="preserve"> urządzeń multimedialnych lub udziału w szkoleniach rozwijających kompetencje cyfrowe, </w:t>
      </w:r>
      <w:r>
        <w:t>może być udzielone</w:t>
      </w:r>
      <w:r w:rsidRPr="00C975DE">
        <w:t xml:space="preserve"> </w:t>
      </w:r>
      <w:r w:rsidR="00B27599">
        <w:t xml:space="preserve">gminom </w:t>
      </w:r>
      <w:r>
        <w:t>na dofinansowanie</w:t>
      </w:r>
      <w:r w:rsidRPr="00C975DE">
        <w:t xml:space="preserve"> kosztów</w:t>
      </w:r>
      <w:r>
        <w:t>:</w:t>
      </w:r>
    </w:p>
    <w:p w14:paraId="6867E621" w14:textId="408F9FF0" w:rsidR="0024382C" w:rsidRDefault="0024382C" w:rsidP="0024382C">
      <w:pPr>
        <w:pStyle w:val="PKTpunkt"/>
      </w:pPr>
      <w:r>
        <w:t>1)</w:t>
      </w:r>
      <w:r w:rsidR="00EF1AAD">
        <w:tab/>
      </w:r>
      <w:r w:rsidRPr="00C975DE">
        <w:t xml:space="preserve">zakupu usług telekomunikacyjnych </w:t>
      </w:r>
      <w:r w:rsidR="00B27599">
        <w:t>konsumentom</w:t>
      </w:r>
      <w:r>
        <w:t>:</w:t>
      </w:r>
    </w:p>
    <w:p w14:paraId="74F471F4" w14:textId="165C8214" w:rsidR="0024382C" w:rsidRDefault="0024382C" w:rsidP="00B27599">
      <w:pPr>
        <w:pStyle w:val="LITlitera"/>
      </w:pPr>
      <w:r>
        <w:t>a)</w:t>
      </w:r>
      <w:r w:rsidR="00EF1AAD">
        <w:tab/>
      </w:r>
      <w:r>
        <w:t xml:space="preserve">których </w:t>
      </w:r>
      <w:r w:rsidR="002B55B5">
        <w:t xml:space="preserve">miesięczny </w:t>
      </w:r>
      <w:r w:rsidRPr="002B55B5">
        <w:t>dochód</w:t>
      </w:r>
      <w:r>
        <w:t xml:space="preserve"> </w:t>
      </w:r>
      <w:r w:rsidR="002B55B5">
        <w:t xml:space="preserve">rozporządzalny </w:t>
      </w:r>
      <w:r>
        <w:t xml:space="preserve">w gospodarstwie </w:t>
      </w:r>
      <w:r w:rsidR="002B55B5">
        <w:t>domowym</w:t>
      </w:r>
      <w:r w:rsidR="0055556A">
        <w:t xml:space="preserve"> konsumenta</w:t>
      </w:r>
      <w:r w:rsidR="002B55B5">
        <w:t>, w przeliczeniu na członka tego gospodarstwa</w:t>
      </w:r>
      <w:r>
        <w:t xml:space="preserve">, </w:t>
      </w:r>
      <w:r w:rsidR="000C1724">
        <w:t xml:space="preserve">w miesiącu poprzedzającym miesiąc udzielenia wsparcia, </w:t>
      </w:r>
      <w:r>
        <w:t>nie przekracza kwoty minimalnego wynagrodzenia za pracę</w:t>
      </w:r>
      <w:r w:rsidR="002B55B5">
        <w:t>, obowiązującego w roku udzielenia wsparcia,</w:t>
      </w:r>
      <w:r>
        <w:t xml:space="preserve"> </w:t>
      </w:r>
      <w:r>
        <w:lastRenderedPageBreak/>
        <w:t>pomniejszonego o należne podatki i świadczenia z ubezpieczenia społecznego i</w:t>
      </w:r>
      <w:r w:rsidR="003458F3">
        <w:t> </w:t>
      </w:r>
      <w:r>
        <w:t>zdrowotnego, lub</w:t>
      </w:r>
      <w:r w:rsidR="008D4D9E" w:rsidRPr="008D4D9E">
        <w:t xml:space="preserve"> </w:t>
      </w:r>
    </w:p>
    <w:p w14:paraId="60C4820B" w14:textId="0D2426B5" w:rsidR="0024382C" w:rsidRDefault="002B55B5" w:rsidP="00B27599">
      <w:pPr>
        <w:pStyle w:val="LITlitera"/>
      </w:pPr>
      <w:r>
        <w:t>b)</w:t>
      </w:r>
      <w:r w:rsidR="00EF1AAD">
        <w:tab/>
      </w:r>
      <w:r>
        <w:t>którzy</w:t>
      </w:r>
      <w:r w:rsidR="0024382C">
        <w:t xml:space="preserve"> </w:t>
      </w:r>
      <w:r w:rsidR="000C1724">
        <w:t>osiągnęli</w:t>
      </w:r>
      <w:r w:rsidR="0024382C">
        <w:t xml:space="preserve"> wiek</w:t>
      </w:r>
      <w:r>
        <w:t xml:space="preserve"> lub którzy osiągnęli</w:t>
      </w:r>
      <w:r w:rsidR="0024382C">
        <w:t xml:space="preserve"> staż pracy</w:t>
      </w:r>
      <w:r>
        <w:t xml:space="preserve"> uprawniający</w:t>
      </w:r>
      <w:r w:rsidR="0024382C">
        <w:t xml:space="preserve"> </w:t>
      </w:r>
      <w:r>
        <w:t xml:space="preserve">ich na podstawie właściwych przepisów </w:t>
      </w:r>
      <w:r w:rsidR="0024382C">
        <w:t>do pobierania świadczeń emerytalnych</w:t>
      </w:r>
      <w:r w:rsidR="00F85CCF">
        <w:t xml:space="preserve"> albo pobierają te świadczenia</w:t>
      </w:r>
      <w:r w:rsidR="0024382C">
        <w:t>, lub</w:t>
      </w:r>
    </w:p>
    <w:p w14:paraId="6DBDC91E" w14:textId="3EEDB802" w:rsidR="0024382C" w:rsidRDefault="002B55B5" w:rsidP="00B27599">
      <w:pPr>
        <w:pStyle w:val="LITlitera"/>
      </w:pPr>
      <w:r>
        <w:t>c)</w:t>
      </w:r>
      <w:r w:rsidR="00EF1AAD">
        <w:tab/>
      </w:r>
      <w:r>
        <w:t>którzy</w:t>
      </w:r>
      <w:r w:rsidR="0024382C">
        <w:t xml:space="preserve"> pobierają świadczenia rentowe</w:t>
      </w:r>
      <w:r>
        <w:t>;</w:t>
      </w:r>
    </w:p>
    <w:p w14:paraId="24D97E09" w14:textId="40B8FECA" w:rsidR="0024382C" w:rsidRDefault="0024382C" w:rsidP="0024382C">
      <w:pPr>
        <w:pStyle w:val="PKTpunkt"/>
      </w:pPr>
      <w:r>
        <w:t>2)</w:t>
      </w:r>
      <w:r w:rsidR="00EF1AAD">
        <w:tab/>
      </w:r>
      <w:r>
        <w:t>zakupu urządzeń multimedialnych:</w:t>
      </w:r>
    </w:p>
    <w:p w14:paraId="46C4D5BE" w14:textId="141371F6" w:rsidR="0024382C" w:rsidRDefault="002B55B5" w:rsidP="0024382C">
      <w:pPr>
        <w:pStyle w:val="LITlitera"/>
      </w:pPr>
      <w:r>
        <w:t>a)</w:t>
      </w:r>
      <w:r w:rsidR="00EF1AAD">
        <w:tab/>
      </w:r>
      <w:r>
        <w:t>konsumentom</w:t>
      </w:r>
      <w:r w:rsidR="0024382C">
        <w:t xml:space="preserve"> </w:t>
      </w:r>
      <w:r>
        <w:t>–</w:t>
      </w:r>
      <w:r w:rsidR="0024382C">
        <w:t xml:space="preserve"> </w:t>
      </w:r>
      <w:r>
        <w:t xml:space="preserve">jeżeli spełniają co najmniej jeden z warunków, o których mowa w pkt 1, </w:t>
      </w:r>
    </w:p>
    <w:p w14:paraId="0848B5E4" w14:textId="5452E5F6" w:rsidR="0024382C" w:rsidRDefault="0024382C" w:rsidP="0024382C">
      <w:pPr>
        <w:pStyle w:val="LITlitera"/>
      </w:pPr>
      <w:r>
        <w:t>b)</w:t>
      </w:r>
      <w:r w:rsidR="00EF1AAD">
        <w:tab/>
      </w:r>
      <w:r>
        <w:t>podmiotom innym niż określone w lit. a</w:t>
      </w:r>
      <w:r w:rsidR="00072092">
        <w:t xml:space="preserve"> </w:t>
      </w:r>
      <w:r w:rsidR="00142755">
        <w:t>–</w:t>
      </w:r>
      <w:r w:rsidR="00072092">
        <w:t xml:space="preserve"> jeżeli nie prowadzą działalności gospodarczej</w:t>
      </w:r>
      <w:r w:rsidR="00F85CCF">
        <w:t xml:space="preserve"> w rozumieniu ustawy z dnia 6 marca 2018 r. – Prawo przedsiębiorców (Dz. U. z 2019 r. poz. 1292 i 1495 oraz z 2020 r. poz. 424 i 1086);</w:t>
      </w:r>
    </w:p>
    <w:p w14:paraId="68769377" w14:textId="4DAC620B" w:rsidR="0024382C" w:rsidRDefault="0024382C" w:rsidP="0024382C">
      <w:pPr>
        <w:pStyle w:val="PKTpunkt"/>
      </w:pPr>
      <w:r>
        <w:t>3)</w:t>
      </w:r>
      <w:r w:rsidR="00EF1AAD">
        <w:tab/>
      </w:r>
      <w:r w:rsidR="00B27599">
        <w:t>udziału w szkoleniach rozwijających kompetencje cyfrowe konsumentom, jeżeli w</w:t>
      </w:r>
      <w:r w:rsidR="003458F3">
        <w:t> </w:t>
      </w:r>
      <w:r w:rsidR="00B27599">
        <w:t xml:space="preserve">powiecie ich zamieszkania nie są organizowane szkolenia, o których mowa w ust. </w:t>
      </w:r>
      <w:r w:rsidR="008122A5">
        <w:t>2</w:t>
      </w:r>
      <w:r w:rsidR="00B27599">
        <w:t>, wsparte ze środków Funduszu.</w:t>
      </w:r>
    </w:p>
    <w:p w14:paraId="28041971" w14:textId="4B436E83" w:rsidR="0024382C" w:rsidRPr="0024382C" w:rsidRDefault="00B27599" w:rsidP="007315B6">
      <w:pPr>
        <w:pStyle w:val="USTustnpkodeksu"/>
        <w:rPr>
          <w:rStyle w:val="Ppogrubienie"/>
          <w:b w:val="0"/>
        </w:rPr>
      </w:pPr>
      <w:r>
        <w:t xml:space="preserve">2. Wsparcie na działania, o których mowa w art. 16a ust. 4 pkt 2 ustawy, polegające na dofinansowaniu kosztów organizacji szkoleń rozwijających kompetencje </w:t>
      </w:r>
      <w:r w:rsidR="007315B6">
        <w:t>cyfrowe, może być udzielone</w:t>
      </w:r>
      <w:r>
        <w:t xml:space="preserve"> gminom, powiatom, województwom, fundacjom i organizacjom pożytku publicznego, jeżeli zapewnią</w:t>
      </w:r>
      <w:r w:rsidR="007315B6">
        <w:t xml:space="preserve">, że wzięcie udziału </w:t>
      </w:r>
      <w:r>
        <w:t>w organiz</w:t>
      </w:r>
      <w:r w:rsidR="007315B6">
        <w:t>owanych szkoleniach będzie wolne</w:t>
      </w:r>
      <w:r>
        <w:t xml:space="preserve"> od </w:t>
      </w:r>
      <w:r w:rsidR="007315B6">
        <w:t xml:space="preserve">jakichkolwiek </w:t>
      </w:r>
      <w:r>
        <w:t>kosztów</w:t>
      </w:r>
      <w:r w:rsidR="007315B6">
        <w:t>.</w:t>
      </w:r>
    </w:p>
    <w:p w14:paraId="4050DC64" w14:textId="352519A4" w:rsidR="00E41C07" w:rsidRPr="00E07408" w:rsidRDefault="00E41C07" w:rsidP="00E41C07">
      <w:pPr>
        <w:pStyle w:val="ARTartustawynprozporzdzenia"/>
        <w:rPr>
          <w:rFonts w:ascii="Times New Roman" w:hAnsi="Times New Roman" w:cs="Times New Roman"/>
        </w:rPr>
      </w:pPr>
      <w:r w:rsidRPr="00E07408">
        <w:rPr>
          <w:rStyle w:val="Ppogrubienie"/>
          <w:rFonts w:ascii="Times New Roman" w:hAnsi="Times New Roman" w:cs="Times New Roman"/>
        </w:rPr>
        <w:t>§ 4.</w:t>
      </w:r>
      <w:r w:rsidRPr="00E07408">
        <w:rPr>
          <w:rFonts w:ascii="Times New Roman" w:hAnsi="Times New Roman" w:cs="Times New Roman"/>
        </w:rPr>
        <w:t xml:space="preserve"> 1. Maksymalna wysokość wsparcia może wynieść do 100% wartości wydatków kwalifikowalnych projektu</w:t>
      </w:r>
      <w:r w:rsidR="00490486">
        <w:rPr>
          <w:rFonts w:ascii="Times New Roman" w:hAnsi="Times New Roman" w:cs="Times New Roman"/>
        </w:rPr>
        <w:t xml:space="preserve"> lub kosztów</w:t>
      </w:r>
      <w:r w:rsidRPr="00E07408">
        <w:rPr>
          <w:rFonts w:ascii="Times New Roman" w:hAnsi="Times New Roman" w:cs="Times New Roman"/>
        </w:rPr>
        <w:t>, na któr</w:t>
      </w:r>
      <w:r w:rsidR="00490486">
        <w:rPr>
          <w:rFonts w:ascii="Times New Roman" w:hAnsi="Times New Roman" w:cs="Times New Roman"/>
        </w:rPr>
        <w:t>e</w:t>
      </w:r>
      <w:r w:rsidRPr="00E07408">
        <w:rPr>
          <w:rFonts w:ascii="Times New Roman" w:hAnsi="Times New Roman" w:cs="Times New Roman"/>
        </w:rPr>
        <w:t xml:space="preserve"> udziela się wsparcia.</w:t>
      </w:r>
    </w:p>
    <w:p w14:paraId="7923C815" w14:textId="77AC2AE5" w:rsidR="00E41C07" w:rsidRPr="00E07408" w:rsidRDefault="00E41C07" w:rsidP="00E41C07">
      <w:pPr>
        <w:pStyle w:val="USTustnpkodeksu"/>
        <w:rPr>
          <w:rFonts w:ascii="Times New Roman" w:hAnsi="Times New Roman" w:cs="Times New Roman"/>
        </w:rPr>
      </w:pPr>
      <w:r w:rsidRPr="00E07408">
        <w:rPr>
          <w:rFonts w:ascii="Times New Roman" w:hAnsi="Times New Roman" w:cs="Times New Roman"/>
        </w:rPr>
        <w:t>2. Wsparcie jest udzielane w postaci bezzwrotnego dofinansowania</w:t>
      </w:r>
      <w:r w:rsidR="008122A5">
        <w:rPr>
          <w:rFonts w:ascii="Times New Roman" w:hAnsi="Times New Roman" w:cs="Times New Roman"/>
        </w:rPr>
        <w:t xml:space="preserve"> albo pożyczki</w:t>
      </w:r>
      <w:r w:rsidR="007C2DAE">
        <w:rPr>
          <w:rFonts w:ascii="Times New Roman" w:hAnsi="Times New Roman" w:cs="Times New Roman"/>
        </w:rPr>
        <w:t xml:space="preserve">, na podstawie umowy, do której stosuje się przepisy ustawy z dnia 23 kwietnia 1964 r. – Kodeks cywilny (Dz. U. z 2019 r. poz. 1145 i 1495 oraz z 2020 r. poz. </w:t>
      </w:r>
      <w:r w:rsidR="00655C70">
        <w:rPr>
          <w:rFonts w:ascii="Times New Roman" w:hAnsi="Times New Roman" w:cs="Times New Roman"/>
        </w:rPr>
        <w:t>875</w:t>
      </w:r>
      <w:r w:rsidR="001F3A65">
        <w:rPr>
          <w:rFonts w:ascii="Times New Roman" w:hAnsi="Times New Roman" w:cs="Times New Roman"/>
        </w:rPr>
        <w:t>).</w:t>
      </w:r>
    </w:p>
    <w:p w14:paraId="6CBFD313" w14:textId="0674ECD8" w:rsidR="00E41C07" w:rsidRPr="00E07408" w:rsidRDefault="00E41C07" w:rsidP="00E41C07">
      <w:pPr>
        <w:pStyle w:val="USTustnpkodeksu"/>
        <w:rPr>
          <w:rFonts w:ascii="Times New Roman" w:hAnsi="Times New Roman" w:cs="Times New Roman"/>
        </w:rPr>
      </w:pPr>
      <w:r w:rsidRPr="00E07408">
        <w:rPr>
          <w:rFonts w:ascii="Times New Roman" w:hAnsi="Times New Roman" w:cs="Times New Roman"/>
        </w:rPr>
        <w:t xml:space="preserve">3. Wsparcia nie udziela się na </w:t>
      </w:r>
      <w:r w:rsidR="00214A16">
        <w:rPr>
          <w:rFonts w:ascii="Times New Roman" w:hAnsi="Times New Roman" w:cs="Times New Roman"/>
        </w:rPr>
        <w:t>wydatki</w:t>
      </w:r>
      <w:r w:rsidR="00490486">
        <w:rPr>
          <w:rFonts w:ascii="Times New Roman" w:hAnsi="Times New Roman" w:cs="Times New Roman"/>
        </w:rPr>
        <w:t xml:space="preserve"> lub koszty</w:t>
      </w:r>
      <w:r w:rsidRPr="00E07408">
        <w:rPr>
          <w:rFonts w:ascii="Times New Roman" w:hAnsi="Times New Roman" w:cs="Times New Roman"/>
        </w:rPr>
        <w:t>, na które podmiot wnioskujący o</w:t>
      </w:r>
      <w:r w:rsidR="003458F3">
        <w:rPr>
          <w:rFonts w:ascii="Times New Roman" w:hAnsi="Times New Roman" w:cs="Times New Roman"/>
        </w:rPr>
        <w:t> </w:t>
      </w:r>
      <w:r w:rsidRPr="00E07408">
        <w:rPr>
          <w:rFonts w:ascii="Times New Roman" w:hAnsi="Times New Roman" w:cs="Times New Roman"/>
        </w:rPr>
        <w:t>udzielenie wsparcia uzyskał pomoc finansową ze środków publicznych na te same wydatki</w:t>
      </w:r>
      <w:r w:rsidR="00214A16">
        <w:rPr>
          <w:rFonts w:ascii="Times New Roman" w:hAnsi="Times New Roman" w:cs="Times New Roman"/>
        </w:rPr>
        <w:t xml:space="preserve"> lub koszty</w:t>
      </w:r>
      <w:r w:rsidRPr="00E07408">
        <w:rPr>
          <w:rFonts w:ascii="Times New Roman" w:hAnsi="Times New Roman" w:cs="Times New Roman"/>
        </w:rPr>
        <w:t>.</w:t>
      </w:r>
    </w:p>
    <w:p w14:paraId="16116D13" w14:textId="4EAED92F" w:rsidR="00E41C07" w:rsidRPr="00E07408" w:rsidRDefault="00E41C07" w:rsidP="00E41C07">
      <w:pPr>
        <w:pStyle w:val="USTustnpkodeksu"/>
        <w:keepNext/>
        <w:rPr>
          <w:rFonts w:ascii="Times New Roman" w:hAnsi="Times New Roman" w:cs="Times New Roman"/>
        </w:rPr>
      </w:pPr>
      <w:r w:rsidRPr="00E07408">
        <w:rPr>
          <w:rFonts w:ascii="Times New Roman" w:hAnsi="Times New Roman" w:cs="Times New Roman"/>
        </w:rPr>
        <w:t xml:space="preserve">4. W przypadku, gdy beneficjentem wsparcia </w:t>
      </w:r>
      <w:r w:rsidR="00916B8C">
        <w:rPr>
          <w:rFonts w:ascii="Times New Roman" w:hAnsi="Times New Roman" w:cs="Times New Roman"/>
        </w:rPr>
        <w:t xml:space="preserve">projektu, o którym mowa w § 2 ust. 1 pkt 1, </w:t>
      </w:r>
      <w:r w:rsidRPr="00E07408">
        <w:rPr>
          <w:rFonts w:ascii="Times New Roman" w:hAnsi="Times New Roman" w:cs="Times New Roman"/>
        </w:rPr>
        <w:t xml:space="preserve">jest </w:t>
      </w:r>
      <w:r w:rsidR="00916B8C" w:rsidRPr="00E2181C">
        <w:rPr>
          <w:rFonts w:ascii="Times New Roman" w:hAnsi="Times New Roman" w:cs="Times New Roman"/>
        </w:rPr>
        <w:t xml:space="preserve">przedsiębiorca telekomunikacyjny </w:t>
      </w:r>
      <w:r w:rsidR="00916B8C">
        <w:rPr>
          <w:rFonts w:ascii="Times New Roman" w:hAnsi="Times New Roman" w:cs="Times New Roman"/>
        </w:rPr>
        <w:t xml:space="preserve">albo </w:t>
      </w:r>
      <w:r w:rsidRPr="00E07408">
        <w:rPr>
          <w:rFonts w:ascii="Times New Roman" w:hAnsi="Times New Roman" w:cs="Times New Roman"/>
        </w:rPr>
        <w:t xml:space="preserve">gmina, a z charakteru projektu, na </w:t>
      </w:r>
      <w:r w:rsidR="00855709" w:rsidRPr="00E07408">
        <w:rPr>
          <w:rFonts w:ascii="Times New Roman" w:hAnsi="Times New Roman" w:cs="Times New Roman"/>
        </w:rPr>
        <w:t>któr</w:t>
      </w:r>
      <w:r w:rsidR="00855709">
        <w:rPr>
          <w:rFonts w:ascii="Times New Roman" w:hAnsi="Times New Roman" w:cs="Times New Roman"/>
        </w:rPr>
        <w:t>y</w:t>
      </w:r>
      <w:r w:rsidR="00855709" w:rsidRPr="00E07408">
        <w:rPr>
          <w:rFonts w:ascii="Times New Roman" w:hAnsi="Times New Roman" w:cs="Times New Roman"/>
        </w:rPr>
        <w:t xml:space="preserve"> </w:t>
      </w:r>
      <w:r w:rsidRPr="00E07408">
        <w:rPr>
          <w:rFonts w:ascii="Times New Roman" w:hAnsi="Times New Roman" w:cs="Times New Roman"/>
        </w:rPr>
        <w:t>zostało udzielone wsparcie, wynika, że</w:t>
      </w:r>
      <w:r w:rsidR="00916B8C">
        <w:rPr>
          <w:rFonts w:ascii="Times New Roman" w:hAnsi="Times New Roman" w:cs="Times New Roman"/>
        </w:rPr>
        <w:t xml:space="preserve"> gmina</w:t>
      </w:r>
      <w:r w:rsidRPr="00E07408">
        <w:rPr>
          <w:rFonts w:ascii="Times New Roman" w:hAnsi="Times New Roman" w:cs="Times New Roman"/>
        </w:rPr>
        <w:t xml:space="preserve"> </w:t>
      </w:r>
      <w:r w:rsidR="00655C70">
        <w:rPr>
          <w:rFonts w:ascii="Times New Roman" w:hAnsi="Times New Roman" w:cs="Times New Roman"/>
        </w:rPr>
        <w:t xml:space="preserve">będzie czerpać korzyści gospodarcze z projektu lub </w:t>
      </w:r>
      <w:r w:rsidRPr="00E07408">
        <w:rPr>
          <w:rFonts w:ascii="Times New Roman" w:hAnsi="Times New Roman" w:cs="Times New Roman"/>
        </w:rPr>
        <w:t>powierzy</w:t>
      </w:r>
      <w:r w:rsidR="00916B8C">
        <w:rPr>
          <w:rFonts w:ascii="Times New Roman" w:hAnsi="Times New Roman" w:cs="Times New Roman"/>
        </w:rPr>
        <w:t xml:space="preserve"> czerpanie korzyści gospodarczych z</w:t>
      </w:r>
      <w:r w:rsidR="00787CC1">
        <w:rPr>
          <w:rFonts w:ascii="Times New Roman" w:hAnsi="Times New Roman" w:cs="Times New Roman"/>
        </w:rPr>
        <w:t xml:space="preserve"> udzielonego wsparcia</w:t>
      </w:r>
      <w:r w:rsidRPr="00E07408">
        <w:rPr>
          <w:rFonts w:ascii="Times New Roman" w:hAnsi="Times New Roman" w:cs="Times New Roman"/>
        </w:rPr>
        <w:t xml:space="preserve"> podmiotowi </w:t>
      </w:r>
      <w:r w:rsidRPr="00E07408">
        <w:rPr>
          <w:rFonts w:ascii="Times New Roman" w:hAnsi="Times New Roman" w:cs="Times New Roman"/>
        </w:rPr>
        <w:lastRenderedPageBreak/>
        <w:t>prowadzącemu działalność gospodarczą, albo w przypadku</w:t>
      </w:r>
      <w:r w:rsidR="00655C70">
        <w:rPr>
          <w:rFonts w:ascii="Times New Roman" w:hAnsi="Times New Roman" w:cs="Times New Roman"/>
        </w:rPr>
        <w:t>,</w:t>
      </w:r>
      <w:r w:rsidRPr="00E07408">
        <w:rPr>
          <w:rFonts w:ascii="Times New Roman" w:hAnsi="Times New Roman" w:cs="Times New Roman"/>
        </w:rPr>
        <w:t xml:space="preserve"> gdy beneficjentem wsparcia jest podmiot leczniczy prowadzący działalność gospodarczą, wsparcie to stanowi:</w:t>
      </w:r>
    </w:p>
    <w:p w14:paraId="35923E68" w14:textId="24CEBB30" w:rsidR="00E41C07" w:rsidRPr="00426547" w:rsidRDefault="00136738">
      <w:pPr>
        <w:pStyle w:val="PKTpunkt"/>
      </w:pPr>
      <w:r w:rsidRPr="00426547">
        <w:t>1)</w:t>
      </w:r>
      <w:r w:rsidR="00163A71">
        <w:tab/>
      </w:r>
      <w:r w:rsidR="00E41C07" w:rsidRPr="00426547">
        <w:t xml:space="preserve">pomoc inwestycyjną na rozwój sieci szerokopasmowych i jest udzielane zgodnie z warunkami określonymi w przepisach rozdziału I </w:t>
      </w:r>
      <w:proofErr w:type="spellStart"/>
      <w:r w:rsidR="00E41C07" w:rsidRPr="00426547">
        <w:t>i</w:t>
      </w:r>
      <w:proofErr w:type="spellEnd"/>
      <w:r w:rsidR="00E41C07" w:rsidRPr="00426547">
        <w:t xml:space="preserve"> art. 52 rozporządzenia Komisji (UE) nr 651/2014 z dnia 17 czerwca 2014 r. uznającego niektóre rodzaje pomocy za zgodne z rynkiem wewnętrznym w zastosowaniu art. 107 i 108 Traktatu lub;</w:t>
      </w:r>
    </w:p>
    <w:p w14:paraId="4670E0B7" w14:textId="29EFF57C" w:rsidR="00E41C07" w:rsidRPr="00426547" w:rsidRDefault="00136738">
      <w:pPr>
        <w:pStyle w:val="PKTpunkt"/>
      </w:pPr>
      <w:r w:rsidRPr="00426547">
        <w:t>2)</w:t>
      </w:r>
      <w:r w:rsidR="00163A71">
        <w:tab/>
      </w:r>
      <w:r w:rsidR="00E41C07" w:rsidRPr="00426547">
        <w:t xml:space="preserve">pomoc de </w:t>
      </w:r>
      <w:proofErr w:type="spellStart"/>
      <w:r w:rsidR="00E41C07" w:rsidRPr="00426547">
        <w:t>minimis</w:t>
      </w:r>
      <w:proofErr w:type="spellEnd"/>
      <w:r w:rsidR="00E41C07" w:rsidRPr="00426547">
        <w:t xml:space="preserve"> i jest udzielane zgodnie z warunkami określonymi w rozporządzeniu Komisji (UE) nr 1407/2013 z dnia 18 grudnia 2013 r. w sprawie stosowania art. 107 i 108 Traktatu o funkcjonowaniu Unii Europejskiej do pomocy de </w:t>
      </w:r>
      <w:proofErr w:type="spellStart"/>
      <w:r w:rsidR="00E41C07" w:rsidRPr="00426547">
        <w:t>minimis</w:t>
      </w:r>
      <w:proofErr w:type="spellEnd"/>
      <w:r w:rsidR="00E41C07" w:rsidRPr="00426547">
        <w:t xml:space="preserve"> (Dz. Urz. UE L 352 z 24.12.2013, str. 1).</w:t>
      </w:r>
    </w:p>
    <w:p w14:paraId="7369AA83" w14:textId="22542C1A" w:rsidR="00E41C07" w:rsidRPr="00E07408" w:rsidRDefault="00E41C07" w:rsidP="00E41C07">
      <w:pPr>
        <w:pStyle w:val="ARTartustawynprozporzdzenia"/>
        <w:rPr>
          <w:rFonts w:ascii="Times New Roman" w:hAnsi="Times New Roman" w:cs="Times New Roman"/>
        </w:rPr>
      </w:pPr>
      <w:r w:rsidRPr="00E07408">
        <w:rPr>
          <w:rStyle w:val="Ppogrubienie"/>
          <w:rFonts w:ascii="Times New Roman" w:hAnsi="Times New Roman" w:cs="Times New Roman"/>
        </w:rPr>
        <w:t>§ 5.</w:t>
      </w:r>
      <w:r w:rsidRPr="00E07408">
        <w:rPr>
          <w:rFonts w:ascii="Times New Roman" w:hAnsi="Times New Roman" w:cs="Times New Roman"/>
        </w:rPr>
        <w:t xml:space="preserve"> 1. Wsparcie jest udzielane na wniosek o udzielenie wsparcia.</w:t>
      </w:r>
    </w:p>
    <w:p w14:paraId="37BF6238" w14:textId="75A94FBD" w:rsidR="00E41C07" w:rsidRPr="00E07408" w:rsidRDefault="00E41C07" w:rsidP="00E41C07">
      <w:pPr>
        <w:pStyle w:val="USTustnpkodeksu"/>
        <w:keepNext/>
        <w:rPr>
          <w:rFonts w:ascii="Times New Roman" w:hAnsi="Times New Roman" w:cs="Times New Roman"/>
        </w:rPr>
      </w:pPr>
      <w:r w:rsidRPr="00E07408">
        <w:rPr>
          <w:rFonts w:ascii="Times New Roman" w:hAnsi="Times New Roman" w:cs="Times New Roman"/>
        </w:rPr>
        <w:t>2. Wsparcie jest udzielane w oparciu o otwarty i niedyskryminacyjny nabór wniosków o</w:t>
      </w:r>
      <w:r w:rsidR="003458F3">
        <w:rPr>
          <w:rFonts w:ascii="Times New Roman" w:hAnsi="Times New Roman" w:cs="Times New Roman"/>
        </w:rPr>
        <w:t> </w:t>
      </w:r>
      <w:r w:rsidRPr="00E07408">
        <w:rPr>
          <w:rFonts w:ascii="Times New Roman" w:hAnsi="Times New Roman" w:cs="Times New Roman"/>
        </w:rPr>
        <w:t>udzielenie wsparcia, przy czym wsparcie na:</w:t>
      </w:r>
    </w:p>
    <w:p w14:paraId="4427D749" w14:textId="4D705172" w:rsidR="00E41C07" w:rsidRPr="00E07408" w:rsidRDefault="00136738" w:rsidP="00E41C07">
      <w:pPr>
        <w:pStyle w:val="PKTpunkt"/>
        <w:rPr>
          <w:rFonts w:ascii="Times New Roman" w:hAnsi="Times New Roman" w:cs="Times New Roman"/>
        </w:rPr>
      </w:pPr>
      <w:r>
        <w:rPr>
          <w:rFonts w:ascii="Times New Roman" w:hAnsi="Times New Roman" w:cs="Times New Roman"/>
        </w:rPr>
        <w:t>1)</w:t>
      </w:r>
      <w:r w:rsidR="00270A6F">
        <w:rPr>
          <w:rFonts w:ascii="Times New Roman" w:hAnsi="Times New Roman" w:cs="Times New Roman"/>
        </w:rPr>
        <w:tab/>
      </w:r>
      <w:r w:rsidR="00697758">
        <w:rPr>
          <w:rFonts w:ascii="Times New Roman" w:hAnsi="Times New Roman" w:cs="Times New Roman"/>
        </w:rPr>
        <w:t>projekty budowy</w:t>
      </w:r>
      <w:r w:rsidR="00B23484">
        <w:rPr>
          <w:rFonts w:ascii="Times New Roman" w:hAnsi="Times New Roman" w:cs="Times New Roman"/>
        </w:rPr>
        <w:t xml:space="preserve"> lub przebudowy</w:t>
      </w:r>
      <w:r w:rsidR="00697758">
        <w:rPr>
          <w:rFonts w:ascii="Times New Roman" w:hAnsi="Times New Roman" w:cs="Times New Roman"/>
        </w:rPr>
        <w:t xml:space="preserve"> szybkich sieci telekomunikacyjnych</w:t>
      </w:r>
      <w:r w:rsidR="00E41C07" w:rsidRPr="00E07408">
        <w:rPr>
          <w:rFonts w:ascii="Times New Roman" w:hAnsi="Times New Roman" w:cs="Times New Roman"/>
        </w:rPr>
        <w:t xml:space="preserve"> – jest udzielane w trybie przejrzystego i konkurencyjnego konkursu;</w:t>
      </w:r>
    </w:p>
    <w:p w14:paraId="477AD64C" w14:textId="571F3BFE" w:rsidR="00E41C07" w:rsidRPr="00E07408" w:rsidRDefault="00136738" w:rsidP="00E41C07">
      <w:pPr>
        <w:pStyle w:val="PKTpunkt"/>
        <w:rPr>
          <w:rFonts w:ascii="Times New Roman" w:hAnsi="Times New Roman" w:cs="Times New Roman"/>
        </w:rPr>
      </w:pPr>
      <w:r>
        <w:rPr>
          <w:rFonts w:ascii="Times New Roman" w:hAnsi="Times New Roman" w:cs="Times New Roman"/>
        </w:rPr>
        <w:t>2)</w:t>
      </w:r>
      <w:r w:rsidR="00270A6F">
        <w:rPr>
          <w:rFonts w:ascii="Times New Roman" w:hAnsi="Times New Roman" w:cs="Times New Roman"/>
        </w:rPr>
        <w:tab/>
      </w:r>
      <w:r w:rsidR="00697758">
        <w:rPr>
          <w:rFonts w:ascii="Times New Roman" w:hAnsi="Times New Roman" w:cs="Times New Roman"/>
        </w:rPr>
        <w:t xml:space="preserve">projekty </w:t>
      </w:r>
      <w:r w:rsidR="00697758" w:rsidRPr="008A36B2">
        <w:t xml:space="preserve">wykonania przyłączy telekomunikacyjnych </w:t>
      </w:r>
      <w:r w:rsidR="00426547">
        <w:t xml:space="preserve">od szybkich sieci telekomunikacyjnych </w:t>
      </w:r>
      <w:r w:rsidR="00697758" w:rsidRPr="008A36B2">
        <w:t>do lokalizacji użytkowników końcowych</w:t>
      </w:r>
      <w:r w:rsidR="00787CC1">
        <w:rPr>
          <w:rFonts w:ascii="Times New Roman" w:hAnsi="Times New Roman" w:cs="Times New Roman"/>
        </w:rPr>
        <w:t xml:space="preserve">, </w:t>
      </w:r>
      <w:r w:rsidR="00697758">
        <w:rPr>
          <w:rFonts w:ascii="Times New Roman" w:hAnsi="Times New Roman" w:cs="Times New Roman"/>
        </w:rPr>
        <w:t>projekty, o których mowa w §</w:t>
      </w:r>
      <w:r w:rsidR="00697758">
        <w:t xml:space="preserve"> 2 ust. 1 pkt 2</w:t>
      </w:r>
      <w:r w:rsidR="00E2181C">
        <w:t>,</w:t>
      </w:r>
      <w:r w:rsidR="00697758">
        <w:t xml:space="preserve"> </w:t>
      </w:r>
      <w:r w:rsidR="00787CC1">
        <w:rPr>
          <w:rFonts w:ascii="Times New Roman" w:hAnsi="Times New Roman" w:cs="Times New Roman"/>
        </w:rPr>
        <w:t>oraz na dofinansowanie kosztów, o których mowa w § 3</w:t>
      </w:r>
      <w:r w:rsidR="00E41C07" w:rsidRPr="00E07408">
        <w:rPr>
          <w:rFonts w:ascii="Times New Roman" w:hAnsi="Times New Roman" w:cs="Times New Roman"/>
        </w:rPr>
        <w:t xml:space="preserve"> – jest udzielane w trybie naboru ciągłego.</w:t>
      </w:r>
    </w:p>
    <w:p w14:paraId="4E7C0616" w14:textId="6A8BABFC" w:rsidR="00E41C07" w:rsidRPr="00E07408" w:rsidRDefault="00E41C07" w:rsidP="00E41C07">
      <w:pPr>
        <w:pStyle w:val="USTustnpkodeksu"/>
        <w:rPr>
          <w:rFonts w:ascii="Times New Roman" w:hAnsi="Times New Roman" w:cs="Times New Roman"/>
        </w:rPr>
      </w:pPr>
      <w:r w:rsidRPr="00E07408">
        <w:rPr>
          <w:rFonts w:ascii="Times New Roman" w:hAnsi="Times New Roman" w:cs="Times New Roman"/>
        </w:rPr>
        <w:t xml:space="preserve">3. Ogłoszenie o konkursie lub </w:t>
      </w:r>
      <w:r w:rsidR="00D82B14">
        <w:rPr>
          <w:rFonts w:ascii="Times New Roman" w:hAnsi="Times New Roman" w:cs="Times New Roman"/>
        </w:rPr>
        <w:t xml:space="preserve">o </w:t>
      </w:r>
      <w:r w:rsidRPr="00E07408">
        <w:rPr>
          <w:rFonts w:ascii="Times New Roman" w:hAnsi="Times New Roman" w:cs="Times New Roman"/>
        </w:rPr>
        <w:t>naborze ciągłym</w:t>
      </w:r>
      <w:r w:rsidR="00426547">
        <w:rPr>
          <w:rFonts w:ascii="Times New Roman" w:hAnsi="Times New Roman" w:cs="Times New Roman"/>
        </w:rPr>
        <w:t xml:space="preserve"> dysponent Funduszu </w:t>
      </w:r>
      <w:r w:rsidR="00E01CC8">
        <w:rPr>
          <w:rFonts w:ascii="Times New Roman" w:hAnsi="Times New Roman" w:cs="Times New Roman"/>
        </w:rPr>
        <w:t>albo</w:t>
      </w:r>
      <w:r w:rsidR="001801AA">
        <w:rPr>
          <w:rFonts w:ascii="Times New Roman" w:hAnsi="Times New Roman" w:cs="Times New Roman"/>
        </w:rPr>
        <w:t xml:space="preserve"> instytucja mu podległa lub przez niego nadzorowana, której dysponent Funduszu powierzył wykonywanie w jego imieniu zadań w zakresie udzielania wsparcia ze środków Fundusz</w:t>
      </w:r>
      <w:r w:rsidR="00E26F7F">
        <w:rPr>
          <w:rFonts w:ascii="Times New Roman" w:hAnsi="Times New Roman" w:cs="Times New Roman"/>
        </w:rPr>
        <w:t>u</w:t>
      </w:r>
      <w:r w:rsidR="001801AA">
        <w:rPr>
          <w:rFonts w:ascii="Times New Roman" w:hAnsi="Times New Roman" w:cs="Times New Roman"/>
        </w:rPr>
        <w:t xml:space="preserve">, zwani dalej „organizatorami”, </w:t>
      </w:r>
      <w:r w:rsidRPr="00E07408">
        <w:rPr>
          <w:rFonts w:ascii="Times New Roman" w:hAnsi="Times New Roman" w:cs="Times New Roman"/>
        </w:rPr>
        <w:t>podaj</w:t>
      </w:r>
      <w:r w:rsidR="001801AA">
        <w:rPr>
          <w:rFonts w:ascii="Times New Roman" w:hAnsi="Times New Roman" w:cs="Times New Roman"/>
        </w:rPr>
        <w:t>ą</w:t>
      </w:r>
      <w:r w:rsidRPr="00E07408">
        <w:rPr>
          <w:rFonts w:ascii="Times New Roman" w:hAnsi="Times New Roman" w:cs="Times New Roman"/>
        </w:rPr>
        <w:t xml:space="preserve"> do publicznej wiadomości na swojej stronie internetowej nie później niż na 7 dni przed planowanym terminem rozpoczęcia składania wniosków o udzielenie wsparcia.</w:t>
      </w:r>
    </w:p>
    <w:p w14:paraId="07026A17" w14:textId="77777777" w:rsidR="00E41C07" w:rsidRPr="00E07408" w:rsidRDefault="00E41C07" w:rsidP="00E41C07">
      <w:pPr>
        <w:pStyle w:val="USTustnpkodeksu"/>
        <w:keepNext/>
        <w:rPr>
          <w:rFonts w:ascii="Times New Roman" w:hAnsi="Times New Roman" w:cs="Times New Roman"/>
        </w:rPr>
      </w:pPr>
      <w:r w:rsidRPr="00E07408">
        <w:rPr>
          <w:rFonts w:ascii="Times New Roman" w:hAnsi="Times New Roman" w:cs="Times New Roman"/>
        </w:rPr>
        <w:t>4. W ogłoszeniu, o którym mowa w ust. 3, określa się w szczególności:</w:t>
      </w:r>
    </w:p>
    <w:p w14:paraId="02AC9DA5" w14:textId="3D5B6D59" w:rsidR="00E41C07" w:rsidRPr="00E07408" w:rsidRDefault="00136738" w:rsidP="00E41C07">
      <w:pPr>
        <w:pStyle w:val="PKTpunkt"/>
        <w:rPr>
          <w:rFonts w:ascii="Times New Roman" w:hAnsi="Times New Roman" w:cs="Times New Roman"/>
        </w:rPr>
      </w:pPr>
      <w:r>
        <w:rPr>
          <w:rFonts w:ascii="Times New Roman" w:hAnsi="Times New Roman" w:cs="Times New Roman"/>
        </w:rPr>
        <w:t>1)</w:t>
      </w:r>
      <w:r w:rsidR="00270A6F">
        <w:rPr>
          <w:rFonts w:ascii="Times New Roman" w:hAnsi="Times New Roman" w:cs="Times New Roman"/>
        </w:rPr>
        <w:tab/>
      </w:r>
      <w:r w:rsidR="00E41C07" w:rsidRPr="00E07408">
        <w:rPr>
          <w:rFonts w:ascii="Times New Roman" w:hAnsi="Times New Roman" w:cs="Times New Roman"/>
        </w:rPr>
        <w:t>przedmiot konkursu lub naboru ciągłego;</w:t>
      </w:r>
    </w:p>
    <w:p w14:paraId="332879A4" w14:textId="24A9723C" w:rsidR="00E41C07" w:rsidRPr="00E07408" w:rsidRDefault="00136738" w:rsidP="00E41C07">
      <w:pPr>
        <w:pStyle w:val="PKTpunkt"/>
        <w:rPr>
          <w:rFonts w:ascii="Times New Roman" w:hAnsi="Times New Roman" w:cs="Times New Roman"/>
        </w:rPr>
      </w:pPr>
      <w:r>
        <w:rPr>
          <w:rFonts w:ascii="Times New Roman" w:hAnsi="Times New Roman" w:cs="Times New Roman"/>
        </w:rPr>
        <w:t>2)</w:t>
      </w:r>
      <w:r w:rsidR="00270A6F">
        <w:rPr>
          <w:rFonts w:ascii="Times New Roman" w:hAnsi="Times New Roman" w:cs="Times New Roman"/>
        </w:rPr>
        <w:tab/>
      </w:r>
      <w:r w:rsidR="00E41C07" w:rsidRPr="00E07408">
        <w:rPr>
          <w:rFonts w:ascii="Times New Roman" w:hAnsi="Times New Roman" w:cs="Times New Roman"/>
        </w:rPr>
        <w:t xml:space="preserve">kategorie podmiotów, o których mowa w § </w:t>
      </w:r>
      <w:r w:rsidR="00787CC1">
        <w:rPr>
          <w:rFonts w:ascii="Times New Roman" w:hAnsi="Times New Roman" w:cs="Times New Roman"/>
        </w:rPr>
        <w:t>2</w:t>
      </w:r>
      <w:r w:rsidR="00697758">
        <w:rPr>
          <w:rFonts w:ascii="Times New Roman" w:hAnsi="Times New Roman" w:cs="Times New Roman"/>
        </w:rPr>
        <w:t xml:space="preserve"> </w:t>
      </w:r>
      <w:r w:rsidR="00787CC1">
        <w:rPr>
          <w:rFonts w:ascii="Times New Roman" w:hAnsi="Times New Roman" w:cs="Times New Roman"/>
        </w:rPr>
        <w:t xml:space="preserve">lub </w:t>
      </w:r>
      <w:r w:rsidR="00E41C07" w:rsidRPr="00E07408">
        <w:rPr>
          <w:rFonts w:ascii="Times New Roman" w:hAnsi="Times New Roman" w:cs="Times New Roman"/>
        </w:rPr>
        <w:t xml:space="preserve">3, do </w:t>
      </w:r>
      <w:r w:rsidR="004C05CB">
        <w:rPr>
          <w:rFonts w:ascii="Times New Roman" w:hAnsi="Times New Roman" w:cs="Times New Roman"/>
        </w:rPr>
        <w:t>których</w:t>
      </w:r>
      <w:r w:rsidR="004C05CB" w:rsidRPr="00E07408">
        <w:rPr>
          <w:rFonts w:ascii="Times New Roman" w:hAnsi="Times New Roman" w:cs="Times New Roman"/>
        </w:rPr>
        <w:t xml:space="preserve"> </w:t>
      </w:r>
      <w:r w:rsidR="00E41C07" w:rsidRPr="00E07408">
        <w:rPr>
          <w:rFonts w:ascii="Times New Roman" w:hAnsi="Times New Roman" w:cs="Times New Roman"/>
        </w:rPr>
        <w:t>skierowany jest konkurs lub nabór ciągły;</w:t>
      </w:r>
    </w:p>
    <w:p w14:paraId="32CF52FC" w14:textId="13903799" w:rsidR="00E41C07" w:rsidRPr="00E07408" w:rsidRDefault="00136738" w:rsidP="00E41C07">
      <w:pPr>
        <w:pStyle w:val="PKTpunkt"/>
        <w:rPr>
          <w:rFonts w:ascii="Times New Roman" w:hAnsi="Times New Roman" w:cs="Times New Roman"/>
        </w:rPr>
      </w:pPr>
      <w:r>
        <w:rPr>
          <w:rFonts w:ascii="Times New Roman" w:hAnsi="Times New Roman" w:cs="Times New Roman"/>
        </w:rPr>
        <w:t>3)</w:t>
      </w:r>
      <w:r w:rsidR="00270A6F">
        <w:rPr>
          <w:rFonts w:ascii="Times New Roman" w:hAnsi="Times New Roman" w:cs="Times New Roman"/>
        </w:rPr>
        <w:tab/>
      </w:r>
      <w:r w:rsidR="00E41C07" w:rsidRPr="00E07408">
        <w:rPr>
          <w:rFonts w:ascii="Times New Roman" w:hAnsi="Times New Roman" w:cs="Times New Roman"/>
        </w:rPr>
        <w:t>maksymalną intensywność wsparcia lub maksymalną wartość wsparcia dla projektów, których dotyczy konkurs lub nabór ciągły</w:t>
      </w:r>
      <w:r w:rsidR="00787CC1">
        <w:rPr>
          <w:rFonts w:ascii="Times New Roman" w:hAnsi="Times New Roman" w:cs="Times New Roman"/>
        </w:rPr>
        <w:t>, albo maksymalną intensywność wsparcia lub maksymalną wartość dofinansowania kosztów, których dotyczy nabór ciągły</w:t>
      </w:r>
      <w:r w:rsidR="00E41C07" w:rsidRPr="00E07408">
        <w:rPr>
          <w:rFonts w:ascii="Times New Roman" w:hAnsi="Times New Roman" w:cs="Times New Roman"/>
        </w:rPr>
        <w:t>;</w:t>
      </w:r>
    </w:p>
    <w:p w14:paraId="56AF6630" w14:textId="1EB1AD38" w:rsidR="00E41C07" w:rsidRPr="00E07408" w:rsidRDefault="00136738" w:rsidP="00E41C07">
      <w:pPr>
        <w:pStyle w:val="PKTpunkt"/>
        <w:rPr>
          <w:rFonts w:ascii="Times New Roman" w:hAnsi="Times New Roman" w:cs="Times New Roman"/>
        </w:rPr>
      </w:pPr>
      <w:r>
        <w:rPr>
          <w:rFonts w:ascii="Times New Roman" w:hAnsi="Times New Roman" w:cs="Times New Roman"/>
        </w:rPr>
        <w:t>4)</w:t>
      </w:r>
      <w:r w:rsidR="00270A6F">
        <w:rPr>
          <w:rFonts w:ascii="Times New Roman" w:hAnsi="Times New Roman" w:cs="Times New Roman"/>
        </w:rPr>
        <w:tab/>
      </w:r>
      <w:r w:rsidR="00E41C07" w:rsidRPr="00E07408">
        <w:rPr>
          <w:rFonts w:ascii="Times New Roman" w:hAnsi="Times New Roman" w:cs="Times New Roman"/>
        </w:rPr>
        <w:t>katalog wydatków kwalifikujących się do objęcia wsparciem;</w:t>
      </w:r>
    </w:p>
    <w:p w14:paraId="21F014B5" w14:textId="214EFF82" w:rsidR="00E41C07" w:rsidRPr="00E07408" w:rsidRDefault="00136738" w:rsidP="00E41C07">
      <w:pPr>
        <w:pStyle w:val="PKTpunkt"/>
        <w:rPr>
          <w:rFonts w:ascii="Times New Roman" w:hAnsi="Times New Roman" w:cs="Times New Roman"/>
        </w:rPr>
      </w:pPr>
      <w:r>
        <w:rPr>
          <w:rFonts w:ascii="Times New Roman" w:hAnsi="Times New Roman" w:cs="Times New Roman"/>
        </w:rPr>
        <w:lastRenderedPageBreak/>
        <w:t>5)</w:t>
      </w:r>
      <w:r w:rsidR="00270A6F">
        <w:rPr>
          <w:rFonts w:ascii="Times New Roman" w:hAnsi="Times New Roman" w:cs="Times New Roman"/>
        </w:rPr>
        <w:tab/>
      </w:r>
      <w:r w:rsidR="00E41C07" w:rsidRPr="00E07408">
        <w:rPr>
          <w:rFonts w:ascii="Times New Roman" w:hAnsi="Times New Roman" w:cs="Times New Roman"/>
        </w:rPr>
        <w:t>wymagania formalne, których spełnienie warunkuje możliwość ubiegania się o udzielenie wsparcia, a w przypadku ogłoszenia o konkursie – także kryteria wyboru projektów do wsparcia;</w:t>
      </w:r>
    </w:p>
    <w:p w14:paraId="1257325B" w14:textId="6EACE09C" w:rsidR="00E41C07" w:rsidRPr="00E07408" w:rsidRDefault="00136738" w:rsidP="00E41C07">
      <w:pPr>
        <w:pStyle w:val="PKTpunkt"/>
        <w:rPr>
          <w:rFonts w:ascii="Times New Roman" w:hAnsi="Times New Roman" w:cs="Times New Roman"/>
        </w:rPr>
      </w:pPr>
      <w:r>
        <w:rPr>
          <w:rFonts w:ascii="Times New Roman" w:hAnsi="Times New Roman" w:cs="Times New Roman"/>
        </w:rPr>
        <w:t>6)</w:t>
      </w:r>
      <w:r w:rsidR="00270A6F">
        <w:rPr>
          <w:rFonts w:ascii="Times New Roman" w:hAnsi="Times New Roman" w:cs="Times New Roman"/>
        </w:rPr>
        <w:tab/>
      </w:r>
      <w:r w:rsidR="00E41C07" w:rsidRPr="00E07408">
        <w:rPr>
          <w:rFonts w:ascii="Times New Roman" w:hAnsi="Times New Roman" w:cs="Times New Roman"/>
        </w:rPr>
        <w:t>wzór wniosku o udzielenie wsparcia;</w:t>
      </w:r>
    </w:p>
    <w:p w14:paraId="3633954A" w14:textId="7931BE53" w:rsidR="00E41C07" w:rsidRPr="00E07408" w:rsidRDefault="00136738" w:rsidP="00E41C07">
      <w:pPr>
        <w:pStyle w:val="PKTpunkt"/>
        <w:rPr>
          <w:rFonts w:ascii="Times New Roman" w:hAnsi="Times New Roman" w:cs="Times New Roman"/>
        </w:rPr>
      </w:pPr>
      <w:r>
        <w:rPr>
          <w:rFonts w:ascii="Times New Roman" w:hAnsi="Times New Roman" w:cs="Times New Roman"/>
        </w:rPr>
        <w:t>7)</w:t>
      </w:r>
      <w:r w:rsidR="00270A6F">
        <w:rPr>
          <w:rFonts w:ascii="Times New Roman" w:hAnsi="Times New Roman" w:cs="Times New Roman"/>
        </w:rPr>
        <w:tab/>
      </w:r>
      <w:r w:rsidR="00E41C07" w:rsidRPr="00E07408">
        <w:rPr>
          <w:rFonts w:ascii="Times New Roman" w:hAnsi="Times New Roman" w:cs="Times New Roman"/>
        </w:rPr>
        <w:t>wzór umowy o udzielenie wsparcia;</w:t>
      </w:r>
    </w:p>
    <w:p w14:paraId="73F3159E" w14:textId="045F6786" w:rsidR="00E41C07" w:rsidRPr="00E07408" w:rsidRDefault="00136738" w:rsidP="00E41C07">
      <w:pPr>
        <w:pStyle w:val="PKTpunkt"/>
        <w:rPr>
          <w:rFonts w:ascii="Times New Roman" w:hAnsi="Times New Roman" w:cs="Times New Roman"/>
        </w:rPr>
      </w:pPr>
      <w:r>
        <w:rPr>
          <w:rFonts w:ascii="Times New Roman" w:hAnsi="Times New Roman" w:cs="Times New Roman"/>
        </w:rPr>
        <w:t>8)</w:t>
      </w:r>
      <w:r w:rsidR="00270A6F">
        <w:rPr>
          <w:rFonts w:ascii="Times New Roman" w:hAnsi="Times New Roman" w:cs="Times New Roman"/>
        </w:rPr>
        <w:tab/>
      </w:r>
      <w:r w:rsidR="00E41C07" w:rsidRPr="00E07408">
        <w:rPr>
          <w:rFonts w:ascii="Times New Roman" w:hAnsi="Times New Roman" w:cs="Times New Roman"/>
        </w:rPr>
        <w:t>termin i sposób składania wniosków o udzielenie wsparcia;</w:t>
      </w:r>
    </w:p>
    <w:p w14:paraId="4F913127" w14:textId="618D4EF8" w:rsidR="00E41C07" w:rsidRPr="00E07408" w:rsidRDefault="00136738" w:rsidP="00E41C07">
      <w:pPr>
        <w:pStyle w:val="PKTpunkt"/>
        <w:keepNext/>
        <w:rPr>
          <w:rFonts w:ascii="Times New Roman" w:hAnsi="Times New Roman" w:cs="Times New Roman"/>
        </w:rPr>
      </w:pPr>
      <w:r>
        <w:rPr>
          <w:rFonts w:ascii="Times New Roman" w:hAnsi="Times New Roman" w:cs="Times New Roman"/>
        </w:rPr>
        <w:t>9)</w:t>
      </w:r>
      <w:r w:rsidR="00270A6F">
        <w:rPr>
          <w:rFonts w:ascii="Times New Roman" w:hAnsi="Times New Roman" w:cs="Times New Roman"/>
        </w:rPr>
        <w:tab/>
      </w:r>
      <w:r w:rsidR="00E41C07" w:rsidRPr="00E07408">
        <w:rPr>
          <w:rFonts w:ascii="Times New Roman" w:hAnsi="Times New Roman" w:cs="Times New Roman"/>
        </w:rPr>
        <w:t xml:space="preserve">tryb i sposób porozumiewania się </w:t>
      </w:r>
      <w:r w:rsidR="009C47D5">
        <w:rPr>
          <w:rFonts w:ascii="Times New Roman" w:hAnsi="Times New Roman" w:cs="Times New Roman"/>
        </w:rPr>
        <w:t xml:space="preserve">organizatora </w:t>
      </w:r>
      <w:r w:rsidR="00E41C07" w:rsidRPr="00E07408">
        <w:rPr>
          <w:rFonts w:ascii="Times New Roman" w:hAnsi="Times New Roman" w:cs="Times New Roman"/>
        </w:rPr>
        <w:t>z podmiotami, które złożą wnioski o udzielenie wsparcia, w szczególności w zakresie:</w:t>
      </w:r>
    </w:p>
    <w:p w14:paraId="10178E98" w14:textId="2F0A8B0A" w:rsidR="00E41C07" w:rsidRPr="00E07408" w:rsidRDefault="00136738" w:rsidP="00E41C07">
      <w:pPr>
        <w:pStyle w:val="LITlitera"/>
        <w:rPr>
          <w:rFonts w:ascii="Times New Roman" w:hAnsi="Times New Roman" w:cs="Times New Roman"/>
        </w:rPr>
      </w:pPr>
      <w:r>
        <w:rPr>
          <w:rFonts w:ascii="Times New Roman" w:hAnsi="Times New Roman" w:cs="Times New Roman"/>
        </w:rPr>
        <w:t xml:space="preserve">a) </w:t>
      </w:r>
      <w:r w:rsidR="00270A6F">
        <w:rPr>
          <w:rFonts w:ascii="Times New Roman" w:hAnsi="Times New Roman" w:cs="Times New Roman"/>
        </w:rPr>
        <w:tab/>
      </w:r>
      <w:r w:rsidR="00E41C07" w:rsidRPr="00E07408">
        <w:rPr>
          <w:rFonts w:ascii="Times New Roman" w:hAnsi="Times New Roman" w:cs="Times New Roman"/>
        </w:rPr>
        <w:t>uzupełniania braków formalnych wniosków o udzielenie wsparcia i terminu dokonywania tych uzupełnień, nie krótszego niż 7 dni od dnia wezwania,</w:t>
      </w:r>
    </w:p>
    <w:p w14:paraId="72C6267F" w14:textId="4284B9C0" w:rsidR="00E41C07" w:rsidRPr="00E07408" w:rsidRDefault="00136738" w:rsidP="00E41C07">
      <w:pPr>
        <w:pStyle w:val="LITlitera"/>
        <w:rPr>
          <w:rFonts w:ascii="Times New Roman" w:hAnsi="Times New Roman" w:cs="Times New Roman"/>
        </w:rPr>
      </w:pPr>
      <w:r>
        <w:rPr>
          <w:rFonts w:ascii="Times New Roman" w:hAnsi="Times New Roman" w:cs="Times New Roman"/>
        </w:rPr>
        <w:t xml:space="preserve">b) </w:t>
      </w:r>
      <w:r w:rsidR="00270A6F">
        <w:rPr>
          <w:rFonts w:ascii="Times New Roman" w:hAnsi="Times New Roman" w:cs="Times New Roman"/>
        </w:rPr>
        <w:tab/>
      </w:r>
      <w:r w:rsidR="00E41C07" w:rsidRPr="00E07408">
        <w:rPr>
          <w:rFonts w:ascii="Times New Roman" w:hAnsi="Times New Roman" w:cs="Times New Roman"/>
        </w:rPr>
        <w:t>przedstawiania wyjaśnień do treści wniosków o udzielenie wsparcia i terminu przedstawiania tych wyjaśnień, nie krótszego niż 7 dni od dnia wezwania.</w:t>
      </w:r>
    </w:p>
    <w:p w14:paraId="36BFC8B4" w14:textId="099BA2D9" w:rsidR="00E41C07" w:rsidRPr="00E07408" w:rsidRDefault="00E41C07" w:rsidP="00E41C07">
      <w:pPr>
        <w:pStyle w:val="USTustnpkodeksu"/>
        <w:keepNext/>
        <w:rPr>
          <w:rFonts w:ascii="Times New Roman" w:hAnsi="Times New Roman" w:cs="Times New Roman"/>
        </w:rPr>
      </w:pPr>
      <w:r w:rsidRPr="00E07408">
        <w:rPr>
          <w:rFonts w:ascii="Times New Roman" w:hAnsi="Times New Roman" w:cs="Times New Roman"/>
        </w:rPr>
        <w:t>5. Konkurs może zostać podzielony na następujące po sobie rundy, w których każda obejmuje składanie wniosków o udzielenie wsparcia oraz wybór projektów do wsparcia. W</w:t>
      </w:r>
      <w:r w:rsidR="003458F3">
        <w:rPr>
          <w:rFonts w:ascii="Times New Roman" w:hAnsi="Times New Roman" w:cs="Times New Roman"/>
        </w:rPr>
        <w:t> </w:t>
      </w:r>
      <w:r w:rsidRPr="00E07408">
        <w:rPr>
          <w:rFonts w:ascii="Times New Roman" w:hAnsi="Times New Roman" w:cs="Times New Roman"/>
        </w:rPr>
        <w:t>takim przypadku:</w:t>
      </w:r>
    </w:p>
    <w:p w14:paraId="768370E3" w14:textId="32C3051F" w:rsidR="00E41C07" w:rsidRPr="00E07408" w:rsidRDefault="00136738" w:rsidP="00E41C07">
      <w:pPr>
        <w:pStyle w:val="PKTpunkt"/>
        <w:rPr>
          <w:rFonts w:ascii="Times New Roman" w:hAnsi="Times New Roman" w:cs="Times New Roman"/>
        </w:rPr>
      </w:pPr>
      <w:r>
        <w:rPr>
          <w:rFonts w:ascii="Times New Roman" w:hAnsi="Times New Roman" w:cs="Times New Roman"/>
        </w:rPr>
        <w:t>1)</w:t>
      </w:r>
      <w:r w:rsidR="00270A6F">
        <w:rPr>
          <w:rFonts w:ascii="Times New Roman" w:hAnsi="Times New Roman" w:cs="Times New Roman"/>
        </w:rPr>
        <w:tab/>
      </w:r>
      <w:r w:rsidR="00E41C07" w:rsidRPr="00E07408">
        <w:rPr>
          <w:rFonts w:ascii="Times New Roman" w:hAnsi="Times New Roman" w:cs="Times New Roman"/>
        </w:rPr>
        <w:t>ogłoszenie, o którym mowa w ust. 3, zawiera informację, że konkurs został podzielony na rundy;</w:t>
      </w:r>
    </w:p>
    <w:p w14:paraId="2B8EA9F4" w14:textId="7EA84921" w:rsidR="00E41C07" w:rsidRPr="00E07408" w:rsidRDefault="00136738" w:rsidP="00E41C07">
      <w:pPr>
        <w:pStyle w:val="PKTpunkt"/>
        <w:rPr>
          <w:rFonts w:ascii="Times New Roman" w:hAnsi="Times New Roman" w:cs="Times New Roman"/>
        </w:rPr>
      </w:pPr>
      <w:r>
        <w:rPr>
          <w:rFonts w:ascii="Times New Roman" w:hAnsi="Times New Roman" w:cs="Times New Roman"/>
        </w:rPr>
        <w:t>2)</w:t>
      </w:r>
      <w:r w:rsidR="00270A6F">
        <w:rPr>
          <w:rFonts w:ascii="Times New Roman" w:hAnsi="Times New Roman" w:cs="Times New Roman"/>
        </w:rPr>
        <w:tab/>
      </w:r>
      <w:r w:rsidR="00E41C07" w:rsidRPr="00E07408">
        <w:rPr>
          <w:rFonts w:ascii="Times New Roman" w:hAnsi="Times New Roman" w:cs="Times New Roman"/>
        </w:rPr>
        <w:t>konkurs może zakończyć się na 1 rundzie.</w:t>
      </w:r>
    </w:p>
    <w:p w14:paraId="1B1AC84A" w14:textId="40F02B88" w:rsidR="00E41C07" w:rsidRPr="00E07408" w:rsidRDefault="00E41C07" w:rsidP="00E41C07">
      <w:pPr>
        <w:pStyle w:val="USTustnpkodeksu"/>
        <w:rPr>
          <w:rFonts w:ascii="Times New Roman" w:hAnsi="Times New Roman" w:cs="Times New Roman"/>
        </w:rPr>
      </w:pPr>
      <w:r w:rsidRPr="00E07408">
        <w:rPr>
          <w:rFonts w:ascii="Times New Roman" w:hAnsi="Times New Roman" w:cs="Times New Roman"/>
        </w:rPr>
        <w:t xml:space="preserve">6. </w:t>
      </w:r>
      <w:r w:rsidR="001801AA">
        <w:rPr>
          <w:rFonts w:ascii="Times New Roman" w:hAnsi="Times New Roman" w:cs="Times New Roman"/>
        </w:rPr>
        <w:t xml:space="preserve">Organizator </w:t>
      </w:r>
      <w:r w:rsidRPr="00E07408">
        <w:rPr>
          <w:rFonts w:ascii="Times New Roman" w:hAnsi="Times New Roman" w:cs="Times New Roman"/>
        </w:rPr>
        <w:t>w terminie 30 dni od dnia zawarcia umowy o udzielenie wsparcia podaje do publicznej wiadomości na swojej stronie internetowej informacj</w:t>
      </w:r>
      <w:r w:rsidR="00655C70">
        <w:rPr>
          <w:rFonts w:ascii="Times New Roman" w:hAnsi="Times New Roman" w:cs="Times New Roman"/>
        </w:rPr>
        <w:t>e</w:t>
      </w:r>
      <w:r w:rsidRPr="00E07408">
        <w:rPr>
          <w:rFonts w:ascii="Times New Roman" w:hAnsi="Times New Roman" w:cs="Times New Roman"/>
        </w:rPr>
        <w:t xml:space="preserve"> o zawarciu umowy, obejmujące co najmniej nazwę beneficjenta, datę zawarcia umowy, przedmiot umowy oraz wysokość udzielonego wsparcia.</w:t>
      </w:r>
    </w:p>
    <w:p w14:paraId="6D827FC5" w14:textId="77777777" w:rsidR="00E41C07" w:rsidRPr="00E07408" w:rsidRDefault="00E41C07" w:rsidP="007315B6">
      <w:pPr>
        <w:pStyle w:val="ARTartustawynprozporzdzenia"/>
        <w:rPr>
          <w:rFonts w:ascii="Times New Roman" w:hAnsi="Times New Roman" w:cs="Times New Roman"/>
        </w:rPr>
      </w:pPr>
      <w:r w:rsidRPr="00E07408">
        <w:rPr>
          <w:rStyle w:val="Ppogrubienie"/>
          <w:rFonts w:ascii="Times New Roman" w:hAnsi="Times New Roman" w:cs="Times New Roman"/>
        </w:rPr>
        <w:t>§ 6.</w:t>
      </w:r>
      <w:r w:rsidRPr="00E07408">
        <w:rPr>
          <w:rFonts w:ascii="Times New Roman" w:hAnsi="Times New Roman" w:cs="Times New Roman"/>
        </w:rPr>
        <w:t xml:space="preserve"> 1. Wydatkami kwalifikującymi się do objęcia wsparciem są wydatki faktycznie poniesione i udokumentowane przez beneficjenta, bezpośrednio i wyłącznie związane z </w:t>
      </w:r>
      <w:r w:rsidR="007315B6">
        <w:rPr>
          <w:rFonts w:ascii="Times New Roman" w:hAnsi="Times New Roman" w:cs="Times New Roman"/>
        </w:rPr>
        <w:t>działaniem</w:t>
      </w:r>
      <w:r w:rsidRPr="00E07408">
        <w:rPr>
          <w:rFonts w:ascii="Times New Roman" w:hAnsi="Times New Roman" w:cs="Times New Roman"/>
        </w:rPr>
        <w:t>, na któr</w:t>
      </w:r>
      <w:r w:rsidR="007315B6">
        <w:rPr>
          <w:rFonts w:ascii="Times New Roman" w:hAnsi="Times New Roman" w:cs="Times New Roman"/>
        </w:rPr>
        <w:t>e</w:t>
      </w:r>
      <w:r w:rsidRPr="00E07408">
        <w:rPr>
          <w:rFonts w:ascii="Times New Roman" w:hAnsi="Times New Roman" w:cs="Times New Roman"/>
        </w:rPr>
        <w:t xml:space="preserve"> udzielono wsparcia, niezbędne do jego realizacji, ponoszone w sposób efektywny, skuteczny i zgodny zasadami gospodarności, które są możliwe do zidentyfikowania, w szczególności poprzez wprowadzenie do ewidencji księgowej.</w:t>
      </w:r>
    </w:p>
    <w:p w14:paraId="426C8DF2" w14:textId="4BA7B5BA" w:rsidR="00E41C07" w:rsidRPr="00E07408" w:rsidRDefault="00E41C07" w:rsidP="00E41C07">
      <w:pPr>
        <w:pStyle w:val="USTustnpkodeksu"/>
        <w:rPr>
          <w:rFonts w:ascii="Times New Roman" w:hAnsi="Times New Roman" w:cs="Times New Roman"/>
        </w:rPr>
      </w:pPr>
      <w:r w:rsidRPr="00E07408">
        <w:rPr>
          <w:rFonts w:ascii="Times New Roman" w:hAnsi="Times New Roman" w:cs="Times New Roman"/>
        </w:rPr>
        <w:t>2. Wydatkami kwalifikującymi się do objęcia wsparciem są wydatki poniesione po dniu złożenia wniosku o udzielenie wsparcia do dnia określonego w umowie o udzielenie wsparcia.</w:t>
      </w:r>
    </w:p>
    <w:p w14:paraId="598E4D9C" w14:textId="77777777" w:rsidR="00E41C07" w:rsidRPr="00E07408" w:rsidRDefault="00E41C07" w:rsidP="00E41C07">
      <w:pPr>
        <w:pStyle w:val="ARTartustawynprozporzdzenia"/>
        <w:rPr>
          <w:rFonts w:ascii="Times New Roman" w:hAnsi="Times New Roman" w:cs="Times New Roman"/>
        </w:rPr>
      </w:pPr>
      <w:r w:rsidRPr="00E07408">
        <w:rPr>
          <w:rStyle w:val="Ppogrubienie"/>
          <w:rFonts w:ascii="Times New Roman" w:hAnsi="Times New Roman" w:cs="Times New Roman"/>
        </w:rPr>
        <w:t>§ 7.</w:t>
      </w:r>
      <w:r w:rsidRPr="00E07408">
        <w:rPr>
          <w:rFonts w:ascii="Times New Roman" w:hAnsi="Times New Roman" w:cs="Times New Roman"/>
        </w:rPr>
        <w:t xml:space="preserve"> Rozporządzenie wchodzi w życie po upływie 14 dni od dnia ogłoszenia.</w:t>
      </w:r>
    </w:p>
    <w:p w14:paraId="43444B90" w14:textId="77777777" w:rsidR="00D411C6" w:rsidRPr="00E07408" w:rsidRDefault="00D411C6" w:rsidP="00E41C07">
      <w:pPr>
        <w:pStyle w:val="ARTartustawynprozporzdzenia"/>
        <w:rPr>
          <w:rFonts w:ascii="Times New Roman" w:hAnsi="Times New Roman" w:cs="Times New Roman"/>
        </w:rPr>
      </w:pPr>
    </w:p>
    <w:p w14:paraId="2E13B0C0" w14:textId="77777777" w:rsidR="00562C28" w:rsidRPr="00E07408" w:rsidRDefault="00562C28" w:rsidP="00562C28">
      <w:pPr>
        <w:pStyle w:val="NAZORGWYDnazwaorganuwydajcegoprojektowanyakt"/>
        <w:rPr>
          <w:rFonts w:ascii="Times New Roman" w:hAnsi="Times New Roman"/>
        </w:rPr>
      </w:pPr>
      <w:r w:rsidRPr="00E07408">
        <w:rPr>
          <w:rFonts w:ascii="Times New Roman" w:hAnsi="Times New Roman"/>
        </w:rPr>
        <w:lastRenderedPageBreak/>
        <w:t>MINISTER CYFRYZACJI</w:t>
      </w:r>
    </w:p>
    <w:p w14:paraId="44707CA2" w14:textId="77777777" w:rsidR="00D411C6" w:rsidRPr="00E07408" w:rsidRDefault="00D411C6" w:rsidP="00562C28">
      <w:pPr>
        <w:pStyle w:val="OZNPARAFYADNOTACJE"/>
        <w:rPr>
          <w:rFonts w:cs="Times New Roman"/>
        </w:rPr>
      </w:pPr>
    </w:p>
    <w:p w14:paraId="2A6A2640" w14:textId="77777777" w:rsidR="00D411C6" w:rsidRPr="00E07408" w:rsidRDefault="00D411C6" w:rsidP="00562C28">
      <w:pPr>
        <w:pStyle w:val="OZNPARAFYADNOTACJE"/>
        <w:rPr>
          <w:rFonts w:cs="Times New Roman"/>
        </w:rPr>
      </w:pPr>
    </w:p>
    <w:p w14:paraId="454A1F18" w14:textId="77777777" w:rsidR="00D411C6" w:rsidRPr="00E07408" w:rsidRDefault="00D411C6" w:rsidP="00562C28">
      <w:pPr>
        <w:pStyle w:val="OZNPARAFYADNOTACJE"/>
        <w:rPr>
          <w:rFonts w:cs="Times New Roman"/>
        </w:rPr>
      </w:pPr>
    </w:p>
    <w:p w14:paraId="4797BE40" w14:textId="77777777" w:rsidR="00D411C6" w:rsidRPr="00E07408" w:rsidRDefault="00D411C6" w:rsidP="00562C28">
      <w:pPr>
        <w:pStyle w:val="OZNPARAFYADNOTACJE"/>
        <w:rPr>
          <w:rFonts w:cs="Times New Roman"/>
        </w:rPr>
      </w:pPr>
    </w:p>
    <w:p w14:paraId="1A2AE157" w14:textId="77777777" w:rsidR="00A83132" w:rsidRPr="00A83132" w:rsidRDefault="00A83132" w:rsidP="00A83132">
      <w:pPr>
        <w:pStyle w:val="OZNPARAFYADNOTACJE"/>
        <w:rPr>
          <w:rFonts w:cs="Times New Roman"/>
        </w:rPr>
      </w:pPr>
      <w:r w:rsidRPr="00A83132">
        <w:rPr>
          <w:rFonts w:cs="Times New Roman"/>
        </w:rPr>
        <w:t>ZA ZGODNOŚĆ POD WZGLĘDEM PRAWNYM,</w:t>
      </w:r>
    </w:p>
    <w:p w14:paraId="7A137E93" w14:textId="77777777" w:rsidR="00A83132" w:rsidRPr="00A83132" w:rsidRDefault="00A83132" w:rsidP="00A83132">
      <w:pPr>
        <w:pStyle w:val="OZNPARAFYADNOTACJE"/>
        <w:rPr>
          <w:rFonts w:cs="Times New Roman"/>
        </w:rPr>
      </w:pPr>
      <w:r w:rsidRPr="00A83132">
        <w:rPr>
          <w:rFonts w:cs="Times New Roman"/>
        </w:rPr>
        <w:t>REDAKCYJNYM I LEGISLACYJNYM</w:t>
      </w:r>
    </w:p>
    <w:p w14:paraId="58EBC18A" w14:textId="77777777" w:rsidR="00A83132" w:rsidRPr="00A83132" w:rsidRDefault="00A83132" w:rsidP="00A83132">
      <w:pPr>
        <w:pStyle w:val="OZNPARAFYADNOTACJE"/>
        <w:rPr>
          <w:rFonts w:cs="Times New Roman"/>
        </w:rPr>
      </w:pPr>
      <w:r w:rsidRPr="00A83132">
        <w:rPr>
          <w:rFonts w:cs="Times New Roman"/>
        </w:rPr>
        <w:t>Iwona Szulc</w:t>
      </w:r>
    </w:p>
    <w:p w14:paraId="676CB9F3" w14:textId="77777777" w:rsidR="00A83132" w:rsidRPr="00A83132" w:rsidRDefault="00A83132" w:rsidP="00A83132">
      <w:pPr>
        <w:pStyle w:val="OZNPARAFYADNOTACJE"/>
        <w:rPr>
          <w:rFonts w:cs="Times New Roman"/>
        </w:rPr>
      </w:pPr>
      <w:r w:rsidRPr="00A83132">
        <w:rPr>
          <w:rFonts w:cs="Times New Roman"/>
        </w:rPr>
        <w:t>Zastępca Dyrektora Departamentu Prawnego</w:t>
      </w:r>
    </w:p>
    <w:p w14:paraId="512691EB" w14:textId="77777777" w:rsidR="00A83132" w:rsidRPr="00A83132" w:rsidRDefault="00A83132" w:rsidP="00A83132">
      <w:pPr>
        <w:pStyle w:val="OZNPARAFYADNOTACJE"/>
        <w:rPr>
          <w:rFonts w:cs="Times New Roman"/>
        </w:rPr>
      </w:pPr>
      <w:r w:rsidRPr="00A83132">
        <w:rPr>
          <w:rFonts w:cs="Times New Roman"/>
        </w:rPr>
        <w:t>w Ministerstwie Cyfryzacji</w:t>
      </w:r>
    </w:p>
    <w:p w14:paraId="236A719F" w14:textId="4FB8BAC3" w:rsidR="00D411C6" w:rsidRPr="00E07408" w:rsidRDefault="00A83132" w:rsidP="00A83132">
      <w:pPr>
        <w:pStyle w:val="OZNPARAFYADNOTACJE"/>
        <w:rPr>
          <w:rFonts w:cs="Times New Roman"/>
        </w:rPr>
      </w:pPr>
      <w:r w:rsidRPr="00A83132">
        <w:rPr>
          <w:rFonts w:cs="Times New Roman"/>
        </w:rPr>
        <w:t>/- podpisano elektronicznie/</w:t>
      </w:r>
    </w:p>
    <w:p w14:paraId="4595A878" w14:textId="77777777" w:rsidR="00E41C07" w:rsidRPr="00E07408" w:rsidRDefault="00E41C07">
      <w:pPr>
        <w:widowControl/>
        <w:autoSpaceDE/>
        <w:autoSpaceDN/>
        <w:adjustRightInd/>
        <w:rPr>
          <w:rFonts w:cs="Times New Roman"/>
        </w:rPr>
      </w:pPr>
      <w:r w:rsidRPr="00E07408">
        <w:rPr>
          <w:rFonts w:cs="Times New Roman"/>
        </w:rPr>
        <w:br w:type="page"/>
      </w:r>
    </w:p>
    <w:p w14:paraId="196CD6EB" w14:textId="77777777" w:rsidR="006A27DD" w:rsidRPr="00E07408" w:rsidRDefault="006A27DD" w:rsidP="006A27DD">
      <w:pPr>
        <w:pStyle w:val="TYTTABELItytutabeli"/>
        <w:rPr>
          <w:rFonts w:ascii="Times New Roman" w:hAnsi="Times New Roman" w:cs="Times New Roman"/>
        </w:rPr>
      </w:pPr>
      <w:r w:rsidRPr="00E07408">
        <w:rPr>
          <w:rFonts w:ascii="Times New Roman" w:hAnsi="Times New Roman" w:cs="Times New Roman"/>
        </w:rPr>
        <w:lastRenderedPageBreak/>
        <w:t>UZASADNIENIE</w:t>
      </w:r>
    </w:p>
    <w:p w14:paraId="7F7DA83E" w14:textId="46105680" w:rsidR="006A27DD" w:rsidRPr="00E07408" w:rsidRDefault="006A27DD" w:rsidP="001A7CE0">
      <w:pPr>
        <w:pStyle w:val="NIEARTTEKSTtekstnieartykuowanynppodstprawnarozplubpreambua"/>
        <w:rPr>
          <w:rFonts w:ascii="Times New Roman" w:hAnsi="Times New Roman" w:cs="Times New Roman"/>
        </w:rPr>
      </w:pPr>
      <w:r w:rsidRPr="00E07408">
        <w:rPr>
          <w:rFonts w:ascii="Times New Roman" w:hAnsi="Times New Roman" w:cs="Times New Roman"/>
        </w:rPr>
        <w:t>Projektowane rozporządzenie stanowi wykonanie delegacji ustawowej, określonej w art. 16a ust. 9 ustawy z dnia 7 maja 2010 r. o wspieraniu rozwoju usług i sieci telekomunikacyjnych (Dz. U. z 2019 r. poz. 2410 oraz z 2020 r. poz. 471 i 875), dodanym do tej ustawy ustawą z</w:t>
      </w:r>
      <w:r w:rsidR="003458F3">
        <w:rPr>
          <w:rFonts w:ascii="Times New Roman" w:hAnsi="Times New Roman" w:cs="Times New Roman"/>
        </w:rPr>
        <w:t> </w:t>
      </w:r>
      <w:r w:rsidRPr="00E07408">
        <w:rPr>
          <w:rFonts w:ascii="Times New Roman" w:hAnsi="Times New Roman" w:cs="Times New Roman"/>
        </w:rPr>
        <w:t>dnia 30 sierpnia 2019 r. o zmianie ustawy o wspieraniu rozwoju usług i sieci telekomunikacyjnych oraz niektórych innych ustaw (Dz. U. poz. 1815</w:t>
      </w:r>
      <w:r w:rsidR="005A6054">
        <w:rPr>
          <w:rFonts w:ascii="Times New Roman" w:hAnsi="Times New Roman" w:cs="Times New Roman"/>
        </w:rPr>
        <w:t xml:space="preserve"> i 695</w:t>
      </w:r>
      <w:r w:rsidRPr="00E07408">
        <w:rPr>
          <w:rFonts w:ascii="Times New Roman" w:hAnsi="Times New Roman" w:cs="Times New Roman"/>
        </w:rPr>
        <w:t>). Na mocy ustawy z dnia 30 sierpnia 2019 r. o</w:t>
      </w:r>
      <w:r w:rsidR="003458F3">
        <w:rPr>
          <w:rFonts w:ascii="Times New Roman" w:hAnsi="Times New Roman" w:cs="Times New Roman"/>
        </w:rPr>
        <w:t> </w:t>
      </w:r>
      <w:r w:rsidRPr="00E07408">
        <w:rPr>
          <w:rFonts w:ascii="Times New Roman" w:hAnsi="Times New Roman" w:cs="Times New Roman"/>
        </w:rPr>
        <w:t xml:space="preserve">zmianie ustawy o wspieraniu rozwoju usług i sieci telekomunikacyjnych oraz niektórych innych ustaw został utworzony Fundusz Szerokopasmowy (państwowy fundusz celowy), którego celem jest wspieranie działań prowadzących do rozwoju podaży i popytu na nowoczesne usługi łączności elektronicznej oraz rozwoju kompetencji cyfrowych społeczeństwa. </w:t>
      </w:r>
    </w:p>
    <w:p w14:paraId="12AC5F8B" w14:textId="6C793E43" w:rsidR="00655C70" w:rsidRDefault="006A27DD" w:rsidP="001A7CE0">
      <w:pPr>
        <w:pStyle w:val="NIEARTTEKSTtekstnieartykuowanynppodstprawnarozplubpreambua"/>
        <w:rPr>
          <w:rFonts w:ascii="Times New Roman" w:hAnsi="Times New Roman" w:cs="Times New Roman"/>
        </w:rPr>
      </w:pPr>
      <w:r w:rsidRPr="00E07408">
        <w:rPr>
          <w:rFonts w:ascii="Times New Roman" w:hAnsi="Times New Roman" w:cs="Times New Roman"/>
        </w:rPr>
        <w:t>Początkowo (tj. zgodnie z pierwotnym brzmieniem wyżej wymienionej ustawy zmieniającej) przepisy dotyczące Funduszu Szerokopasmowego miały wejść w życie z dniem 1 stycznia 2021 r. Jednakże, w związku z wystąpieniem stanu epidemii wirusa SARS-CoV-2 i</w:t>
      </w:r>
      <w:r w:rsidR="003458F3">
        <w:rPr>
          <w:rFonts w:ascii="Times New Roman" w:hAnsi="Times New Roman" w:cs="Times New Roman"/>
        </w:rPr>
        <w:t> </w:t>
      </w:r>
      <w:r w:rsidRPr="00E07408">
        <w:rPr>
          <w:rFonts w:ascii="Times New Roman" w:hAnsi="Times New Roman" w:cs="Times New Roman"/>
        </w:rPr>
        <w:t>nabraniem przez powszechny dostęp do szybkiego Internetu szczególnego znaczenia dla możliwości funkcjonowania społeczeństwa i gospodarki w warunkach ograniczonej mobilności, na mocy ustawy z dnia 16 kwietnia 2020 r. o szczególnych instrumentach wsparcia w związku z rozprzestrzenianiem się wirusa SARS-CoV-2 (Dz. U. poz. 695</w:t>
      </w:r>
      <w:r w:rsidR="00B534D9">
        <w:rPr>
          <w:rFonts w:ascii="Times New Roman" w:hAnsi="Times New Roman" w:cs="Times New Roman"/>
        </w:rPr>
        <w:t>, 875, 979, 1086, 1423 i 1493</w:t>
      </w:r>
      <w:r w:rsidRPr="00E07408">
        <w:rPr>
          <w:rFonts w:ascii="Times New Roman" w:hAnsi="Times New Roman" w:cs="Times New Roman"/>
        </w:rPr>
        <w:t>) wejście w życie tych przepisów zostało przyspieszone</w:t>
      </w:r>
      <w:r w:rsidR="00D53BD4">
        <w:rPr>
          <w:rFonts w:ascii="Times New Roman" w:hAnsi="Times New Roman" w:cs="Times New Roman"/>
        </w:rPr>
        <w:t>.</w:t>
      </w:r>
      <w:r w:rsidRPr="00E07408">
        <w:rPr>
          <w:rFonts w:ascii="Times New Roman" w:hAnsi="Times New Roman" w:cs="Times New Roman"/>
        </w:rPr>
        <w:t xml:space="preserve"> </w:t>
      </w:r>
    </w:p>
    <w:p w14:paraId="79DA0546" w14:textId="76FA8FD7" w:rsidR="006A27DD" w:rsidRPr="00E07408" w:rsidRDefault="006A27DD" w:rsidP="004564B6">
      <w:pPr>
        <w:pStyle w:val="NIEARTTEKSTtekstnieartykuowanynppodstprawnarozplubpreambua"/>
        <w:rPr>
          <w:rFonts w:ascii="Times New Roman" w:hAnsi="Times New Roman" w:cs="Times New Roman"/>
        </w:rPr>
      </w:pPr>
      <w:r w:rsidRPr="00E07408">
        <w:rPr>
          <w:rFonts w:ascii="Times New Roman" w:hAnsi="Times New Roman" w:cs="Times New Roman"/>
        </w:rPr>
        <w:t>Budżet Funduszu w 2020 r. wyniesie 87 mln zł, z kolei od 2021 r. jego roczne przychody będą wynosić ok. 13</w:t>
      </w:r>
      <w:r w:rsidR="00F967D1">
        <w:rPr>
          <w:rFonts w:ascii="Times New Roman" w:hAnsi="Times New Roman" w:cs="Times New Roman"/>
        </w:rPr>
        <w:t>0</w:t>
      </w:r>
      <w:r w:rsidRPr="00E07408">
        <w:rPr>
          <w:rFonts w:ascii="Times New Roman" w:hAnsi="Times New Roman" w:cs="Times New Roman"/>
        </w:rPr>
        <w:t xml:space="preserve"> mln zł. </w:t>
      </w:r>
      <w:r w:rsidR="006120FA">
        <w:rPr>
          <w:rFonts w:ascii="Times New Roman" w:hAnsi="Times New Roman" w:cs="Times New Roman"/>
        </w:rPr>
        <w:t>W momencie opracowywania projektu rozporządzenia nie zostało jeszcze rozstrzygnięte, jakiego rodzaju interwencje ze środków Funduszu zostaną ogłoszone w</w:t>
      </w:r>
      <w:r w:rsidR="003458F3">
        <w:rPr>
          <w:rFonts w:ascii="Times New Roman" w:hAnsi="Times New Roman" w:cs="Times New Roman"/>
        </w:rPr>
        <w:t> </w:t>
      </w:r>
      <w:r w:rsidR="006120FA">
        <w:rPr>
          <w:rFonts w:ascii="Times New Roman" w:hAnsi="Times New Roman" w:cs="Times New Roman"/>
        </w:rPr>
        <w:t>pierwszej kolejności – w dniu 4 sierpnia 2020 r. Minister Cyfryzacji nawiązał współpracę z</w:t>
      </w:r>
      <w:r w:rsidR="003458F3">
        <w:rPr>
          <w:rFonts w:ascii="Times New Roman" w:hAnsi="Times New Roman" w:cs="Times New Roman"/>
        </w:rPr>
        <w:t> </w:t>
      </w:r>
      <w:r w:rsidR="006120FA">
        <w:rPr>
          <w:rFonts w:ascii="Times New Roman" w:hAnsi="Times New Roman" w:cs="Times New Roman"/>
        </w:rPr>
        <w:t xml:space="preserve">4 gminami o odmiennych charakterystykach podaży i popytu na usługi telekomunikacyjne, której celem jest wypracowanie różnych modeli interwencji najlepiej dostosowanych do różnych potrzeb lokalnych społeczności, co ma zapewnić wysoki poziom </w:t>
      </w:r>
      <w:proofErr w:type="spellStart"/>
      <w:r w:rsidR="006120FA">
        <w:rPr>
          <w:rFonts w:ascii="Times New Roman" w:hAnsi="Times New Roman" w:cs="Times New Roman"/>
        </w:rPr>
        <w:t>aplikowalności</w:t>
      </w:r>
      <w:proofErr w:type="spellEnd"/>
      <w:r w:rsidR="006120FA">
        <w:rPr>
          <w:rFonts w:ascii="Times New Roman" w:hAnsi="Times New Roman" w:cs="Times New Roman"/>
        </w:rPr>
        <w:t xml:space="preserve"> o</w:t>
      </w:r>
      <w:r w:rsidR="003458F3">
        <w:rPr>
          <w:rFonts w:ascii="Times New Roman" w:hAnsi="Times New Roman" w:cs="Times New Roman"/>
        </w:rPr>
        <w:t> </w:t>
      </w:r>
      <w:r w:rsidR="006120FA">
        <w:rPr>
          <w:rFonts w:ascii="Times New Roman" w:hAnsi="Times New Roman" w:cs="Times New Roman"/>
        </w:rPr>
        <w:t>środki Funduszu.</w:t>
      </w:r>
    </w:p>
    <w:p w14:paraId="3C094DF5" w14:textId="73A2280F" w:rsidR="006A27DD" w:rsidRPr="00E07408" w:rsidRDefault="006A27DD" w:rsidP="001A7CE0">
      <w:pPr>
        <w:pStyle w:val="NIEARTTEKSTtekstnieartykuowanynppodstprawnarozplubpreambua"/>
        <w:rPr>
          <w:rFonts w:ascii="Times New Roman" w:hAnsi="Times New Roman" w:cs="Times New Roman"/>
        </w:rPr>
      </w:pPr>
      <w:r w:rsidRPr="00E07408">
        <w:rPr>
          <w:rFonts w:ascii="Times New Roman" w:hAnsi="Times New Roman" w:cs="Times New Roman"/>
        </w:rPr>
        <w:t xml:space="preserve">W § 2 </w:t>
      </w:r>
      <w:r w:rsidR="00B56F5A">
        <w:rPr>
          <w:rFonts w:ascii="Times New Roman" w:hAnsi="Times New Roman" w:cs="Times New Roman"/>
        </w:rPr>
        <w:t xml:space="preserve">w ust. 1 </w:t>
      </w:r>
      <w:r w:rsidRPr="00E07408">
        <w:rPr>
          <w:rFonts w:ascii="Times New Roman" w:hAnsi="Times New Roman" w:cs="Times New Roman"/>
        </w:rPr>
        <w:t xml:space="preserve">projektu określono warunki udzielania wsparcia na działania </w:t>
      </w:r>
      <w:r w:rsidR="00B56F5A">
        <w:rPr>
          <w:rFonts w:ascii="Times New Roman" w:hAnsi="Times New Roman" w:cs="Times New Roman"/>
        </w:rPr>
        <w:t xml:space="preserve">wspierające podaż usług telekomunikacyjnych, </w:t>
      </w:r>
      <w:r w:rsidRPr="00E07408">
        <w:rPr>
          <w:rFonts w:ascii="Times New Roman" w:hAnsi="Times New Roman" w:cs="Times New Roman"/>
        </w:rPr>
        <w:t xml:space="preserve">polegające na budowie </w:t>
      </w:r>
      <w:r w:rsidR="00B23484">
        <w:rPr>
          <w:rFonts w:ascii="Times New Roman" w:hAnsi="Times New Roman" w:cs="Times New Roman"/>
        </w:rPr>
        <w:t xml:space="preserve">lub przebudowie </w:t>
      </w:r>
      <w:r w:rsidRPr="00E07408">
        <w:rPr>
          <w:rFonts w:ascii="Times New Roman" w:hAnsi="Times New Roman" w:cs="Times New Roman"/>
        </w:rPr>
        <w:t>szybkich sieci telekomunikacyjnyc</w:t>
      </w:r>
      <w:r w:rsidR="00B56F5A">
        <w:rPr>
          <w:rFonts w:ascii="Times New Roman" w:hAnsi="Times New Roman" w:cs="Times New Roman"/>
        </w:rPr>
        <w:t>h,</w:t>
      </w:r>
      <w:r w:rsidRPr="00E07408">
        <w:rPr>
          <w:rFonts w:ascii="Times New Roman" w:hAnsi="Times New Roman" w:cs="Times New Roman"/>
        </w:rPr>
        <w:t xml:space="preserve"> wykonywaniu przyłączy telekomunikacyjnych w lokalizacji użytkownika końcowego</w:t>
      </w:r>
      <w:r w:rsidR="00B56F5A">
        <w:rPr>
          <w:rFonts w:ascii="Times New Roman" w:hAnsi="Times New Roman" w:cs="Times New Roman"/>
        </w:rPr>
        <w:t xml:space="preserve"> lub opracowywaniu gminnych planów rozwoju sieci szerokopasmowych</w:t>
      </w:r>
      <w:r w:rsidRPr="00E07408">
        <w:rPr>
          <w:rFonts w:ascii="Times New Roman" w:hAnsi="Times New Roman" w:cs="Times New Roman"/>
        </w:rPr>
        <w:t xml:space="preserve">. Proponuje się, aby wsparcie </w:t>
      </w:r>
      <w:r w:rsidR="00681D2E">
        <w:rPr>
          <w:rFonts w:ascii="Times New Roman" w:hAnsi="Times New Roman" w:cs="Times New Roman"/>
        </w:rPr>
        <w:t xml:space="preserve">na inwestycje </w:t>
      </w:r>
      <w:r w:rsidRPr="00E07408">
        <w:rPr>
          <w:rFonts w:ascii="Times New Roman" w:hAnsi="Times New Roman" w:cs="Times New Roman"/>
        </w:rPr>
        <w:t xml:space="preserve">mogło być udzielone wyłącznie </w:t>
      </w:r>
      <w:r w:rsidRPr="00E07408">
        <w:rPr>
          <w:rFonts w:ascii="Times New Roman" w:hAnsi="Times New Roman" w:cs="Times New Roman"/>
        </w:rPr>
        <w:lastRenderedPageBreak/>
        <w:t>na projekty dotyczące użytkowników końcowych, którzy nie znajdują się w zasięgu sieci dostępu nowej generacji (w rozumieniu art. 2 pkt 138 rozporządzenia Komisji (UE) nr 651/2014 uznającego niektóre rodzaje pomocy za zgodne z rynkiem wewnętrznym w</w:t>
      </w:r>
      <w:r w:rsidR="003458F3">
        <w:rPr>
          <w:rFonts w:ascii="Times New Roman" w:hAnsi="Times New Roman" w:cs="Times New Roman"/>
        </w:rPr>
        <w:t> </w:t>
      </w:r>
      <w:r w:rsidRPr="00E07408">
        <w:rPr>
          <w:rFonts w:ascii="Times New Roman" w:hAnsi="Times New Roman" w:cs="Times New Roman"/>
        </w:rPr>
        <w:t xml:space="preserve">zastosowaniu art. 107 i 108 Traktatu - Dz. Urz. UE L 187 z 26.06.2014, str. 1, z </w:t>
      </w:r>
      <w:proofErr w:type="spellStart"/>
      <w:r w:rsidRPr="00E07408">
        <w:rPr>
          <w:rFonts w:ascii="Times New Roman" w:hAnsi="Times New Roman" w:cs="Times New Roman"/>
        </w:rPr>
        <w:t>późn</w:t>
      </w:r>
      <w:proofErr w:type="spellEnd"/>
      <w:r w:rsidRPr="00E07408">
        <w:rPr>
          <w:rFonts w:ascii="Times New Roman" w:hAnsi="Times New Roman" w:cs="Times New Roman"/>
        </w:rPr>
        <w:t xml:space="preserve">. zm., dalej jako „rozporządzenie nr 651/2014”) i nie znajdą się w zasięgu takich sieci na zasadach komercyjnych w ciągu trzech lat, co ma być weryfikowane na podstawie inwentaryzacji infrastruktury i usług telekomunikacyjnych Prezesa </w:t>
      </w:r>
      <w:r w:rsidR="00270A6F" w:rsidRPr="00E07408">
        <w:rPr>
          <w:rFonts w:ascii="Times New Roman" w:hAnsi="Times New Roman" w:cs="Times New Roman"/>
        </w:rPr>
        <w:t>U</w:t>
      </w:r>
      <w:r w:rsidR="00270A6F">
        <w:rPr>
          <w:rFonts w:ascii="Times New Roman" w:hAnsi="Times New Roman" w:cs="Times New Roman"/>
        </w:rPr>
        <w:t>rzędu komunikacji Elektronicznej</w:t>
      </w:r>
      <w:r w:rsidR="00270A6F" w:rsidRPr="00E07408">
        <w:rPr>
          <w:rFonts w:ascii="Times New Roman" w:hAnsi="Times New Roman" w:cs="Times New Roman"/>
        </w:rPr>
        <w:t xml:space="preserve"> </w:t>
      </w:r>
      <w:r w:rsidRPr="00E07408">
        <w:rPr>
          <w:rFonts w:ascii="Times New Roman" w:hAnsi="Times New Roman" w:cs="Times New Roman"/>
        </w:rPr>
        <w:t xml:space="preserve">oraz w drodze otwartych konsultacji społecznych, w ramach których </w:t>
      </w:r>
      <w:r w:rsidR="00F967D1">
        <w:rPr>
          <w:rFonts w:ascii="Times New Roman" w:hAnsi="Times New Roman" w:cs="Times New Roman"/>
        </w:rPr>
        <w:t>przedsiębiorcy</w:t>
      </w:r>
      <w:r w:rsidRPr="00E07408">
        <w:rPr>
          <w:rFonts w:ascii="Times New Roman" w:hAnsi="Times New Roman" w:cs="Times New Roman"/>
        </w:rPr>
        <w:t xml:space="preserve"> telekomunikacyjni będą mogli zgłaszać plany inwestycyjne dotyczące budowy</w:t>
      </w:r>
      <w:r w:rsidR="00B23484">
        <w:rPr>
          <w:rFonts w:ascii="Times New Roman" w:hAnsi="Times New Roman" w:cs="Times New Roman"/>
        </w:rPr>
        <w:t xml:space="preserve"> </w:t>
      </w:r>
      <w:r w:rsidRPr="00E07408">
        <w:rPr>
          <w:rFonts w:ascii="Times New Roman" w:hAnsi="Times New Roman" w:cs="Times New Roman"/>
        </w:rPr>
        <w:t>sieci szerokopasmowych</w:t>
      </w:r>
      <w:r w:rsidR="00FD1E19">
        <w:rPr>
          <w:rFonts w:ascii="Times New Roman" w:hAnsi="Times New Roman" w:cs="Times New Roman"/>
        </w:rPr>
        <w:t>, a także na podstawie informacji o inwestycjach szerokopasmowych, realizowanych z udziałem wsparcia ze środków publicznych (zarówno pochodzących z Funduszu, jak i z innych źródeł, w szczególności Programu Operacyjnego Polska Cyfrowa)</w:t>
      </w:r>
      <w:r w:rsidRPr="00E07408">
        <w:rPr>
          <w:rFonts w:ascii="Times New Roman" w:hAnsi="Times New Roman" w:cs="Times New Roman"/>
        </w:rPr>
        <w:t>. Warunki te odpowiadają warunkom dopuszczalności udzielenia pomocy publicznej na projekty budowy sieci szerokopasmowych, określone w art. 52 ust. 3 rozporządzenia nr 651/2014. Ustalenie „kwalifikowalnych” użytkowników końcowych, ze względu na konieczność uproszczenia zasad aplikowania o</w:t>
      </w:r>
      <w:r w:rsidR="003458F3">
        <w:rPr>
          <w:rFonts w:ascii="Times New Roman" w:hAnsi="Times New Roman" w:cs="Times New Roman"/>
        </w:rPr>
        <w:t> </w:t>
      </w:r>
      <w:r w:rsidRPr="00E07408">
        <w:rPr>
          <w:rFonts w:ascii="Times New Roman" w:hAnsi="Times New Roman" w:cs="Times New Roman"/>
        </w:rPr>
        <w:t>środki Funduszu, zostanie dokonane przed ogłoszeniem interwencji i nie będzie wymagane na poziomie beneficjentów (gmin).</w:t>
      </w:r>
    </w:p>
    <w:p w14:paraId="4C008FD6" w14:textId="6F92F7B9" w:rsidR="006A27DD" w:rsidRPr="00E07408" w:rsidRDefault="006A27DD" w:rsidP="001A7CE0">
      <w:pPr>
        <w:pStyle w:val="NIEARTTEKSTtekstnieartykuowanynppodstprawnarozplubpreambua"/>
        <w:rPr>
          <w:rFonts w:ascii="Times New Roman" w:hAnsi="Times New Roman" w:cs="Times New Roman"/>
        </w:rPr>
      </w:pPr>
      <w:r w:rsidRPr="00E07408">
        <w:rPr>
          <w:rFonts w:ascii="Times New Roman" w:hAnsi="Times New Roman" w:cs="Times New Roman"/>
        </w:rPr>
        <w:t xml:space="preserve">W § </w:t>
      </w:r>
      <w:r w:rsidR="00B56F5A">
        <w:rPr>
          <w:rFonts w:ascii="Times New Roman" w:hAnsi="Times New Roman" w:cs="Times New Roman"/>
        </w:rPr>
        <w:t>2 w ust. 2</w:t>
      </w:r>
      <w:r w:rsidRPr="00E07408">
        <w:rPr>
          <w:rFonts w:ascii="Times New Roman" w:hAnsi="Times New Roman" w:cs="Times New Roman"/>
        </w:rPr>
        <w:t xml:space="preserve"> projektu określony został katalog potencjalnych beneficjentów środków Funduszu Szerokopasmowego – </w:t>
      </w:r>
      <w:r w:rsidR="00B56F5A">
        <w:rPr>
          <w:rFonts w:ascii="Times New Roman" w:hAnsi="Times New Roman" w:cs="Times New Roman"/>
        </w:rPr>
        <w:t xml:space="preserve">w przypadku projektów budowy </w:t>
      </w:r>
      <w:r w:rsidR="00B23484">
        <w:rPr>
          <w:rFonts w:ascii="Times New Roman" w:hAnsi="Times New Roman" w:cs="Times New Roman"/>
        </w:rPr>
        <w:t xml:space="preserve">lub przebudowy </w:t>
      </w:r>
      <w:r w:rsidR="00B56F5A">
        <w:rPr>
          <w:rFonts w:ascii="Times New Roman" w:hAnsi="Times New Roman" w:cs="Times New Roman"/>
        </w:rPr>
        <w:t>sieci szerokopasmowych będą to gminy lub przedsiębiorcy telekomunikacyjni, w przypadku tzw. voucherów na wykonanie przyłączy telekomunikacyjnych będą to gminy lub</w:t>
      </w:r>
      <w:r w:rsidRPr="00E07408">
        <w:rPr>
          <w:rFonts w:ascii="Times New Roman" w:hAnsi="Times New Roman" w:cs="Times New Roman"/>
        </w:rPr>
        <w:t xml:space="preserve"> </w:t>
      </w:r>
      <w:r w:rsidR="00270A6F" w:rsidRPr="00270A6F">
        <w:rPr>
          <w:rFonts w:ascii="Times New Roman" w:hAnsi="Times New Roman" w:cs="Times New Roman"/>
        </w:rPr>
        <w:t>podmiot</w:t>
      </w:r>
      <w:r w:rsidR="00270A6F">
        <w:rPr>
          <w:rFonts w:ascii="Times New Roman" w:hAnsi="Times New Roman" w:cs="Times New Roman"/>
        </w:rPr>
        <w:t>y</w:t>
      </w:r>
      <w:r w:rsidR="00270A6F" w:rsidRPr="00270A6F">
        <w:rPr>
          <w:rFonts w:ascii="Times New Roman" w:hAnsi="Times New Roman" w:cs="Times New Roman"/>
        </w:rPr>
        <w:t xml:space="preserve"> lecznicz</w:t>
      </w:r>
      <w:r w:rsidR="00270A6F">
        <w:rPr>
          <w:rFonts w:ascii="Times New Roman" w:hAnsi="Times New Roman" w:cs="Times New Roman"/>
        </w:rPr>
        <w:t>e</w:t>
      </w:r>
      <w:r w:rsidR="00270A6F" w:rsidRPr="00270A6F">
        <w:rPr>
          <w:rFonts w:ascii="Times New Roman" w:hAnsi="Times New Roman" w:cs="Times New Roman"/>
        </w:rPr>
        <w:t xml:space="preserve"> w rozumieniu ustawy z dnia 15 kwietnia 2011 r. o działalności leczniczej (Dz. U. z 2020 r. poz. 295 i 567)</w:t>
      </w:r>
      <w:r w:rsidR="00B56F5A">
        <w:rPr>
          <w:rFonts w:ascii="Times New Roman" w:hAnsi="Times New Roman" w:cs="Times New Roman"/>
        </w:rPr>
        <w:t>, zaś beneficjentami planów rozwoju sieci będą mogły być wyłącznie gminy</w:t>
      </w:r>
      <w:r w:rsidRPr="00E07408">
        <w:rPr>
          <w:rFonts w:ascii="Times New Roman" w:hAnsi="Times New Roman" w:cs="Times New Roman"/>
        </w:rPr>
        <w:t>.</w:t>
      </w:r>
    </w:p>
    <w:p w14:paraId="4C9AEACB" w14:textId="1BFD9E16" w:rsidR="00B56F5A" w:rsidRDefault="00B56F5A" w:rsidP="004564B6">
      <w:pPr>
        <w:pStyle w:val="NIEARTTEKSTtekstnieartykuowanynppodstprawnarozplubpreambua"/>
        <w:rPr>
          <w:rFonts w:ascii="Times New Roman" w:hAnsi="Times New Roman" w:cs="Times New Roman"/>
          <w:szCs w:val="24"/>
        </w:rPr>
      </w:pPr>
      <w:r>
        <w:rPr>
          <w:rFonts w:ascii="Times New Roman" w:hAnsi="Times New Roman" w:cs="Times New Roman"/>
          <w:szCs w:val="24"/>
        </w:rPr>
        <w:t xml:space="preserve">W § 3 projektu określono warunki udzielania wsparcia i beneficjentów wsparcia na działania </w:t>
      </w:r>
      <w:r w:rsidR="00F72118">
        <w:rPr>
          <w:rFonts w:ascii="Times New Roman" w:hAnsi="Times New Roman" w:cs="Times New Roman"/>
          <w:szCs w:val="24"/>
        </w:rPr>
        <w:t>w obszarze popytu na usługi i urządzenia telekomunikacyjne oraz w obszarze szkoleń z kompetencji cyfrowych. Gminy będą mogły być beneficjentami środków na dalsze wsparcie konsumentów i innych podmiotów w zakresie zakupu usług lub urządzeń telekomunikacyjnych oraz udziału w szkoleniach rozwijających kompetencje cyfrowe. W przypadku dofinansowania zakupu usług lub urządzeń, uwzględniając ograniczony budżet Funduszu, proponuje się ograniczenie kwalifikowalności takiego dofinansowania jedynie do konsumentów o</w:t>
      </w:r>
      <w:r w:rsidR="003458F3">
        <w:rPr>
          <w:rFonts w:ascii="Times New Roman" w:hAnsi="Times New Roman" w:cs="Times New Roman"/>
          <w:szCs w:val="24"/>
        </w:rPr>
        <w:t> </w:t>
      </w:r>
      <w:r w:rsidR="00F72118">
        <w:rPr>
          <w:rFonts w:ascii="Times New Roman" w:hAnsi="Times New Roman" w:cs="Times New Roman"/>
          <w:szCs w:val="24"/>
        </w:rPr>
        <w:t xml:space="preserve">najniższych dochodach rozporządzalnych, którzy mogą mieć rzeczywiste problemy </w:t>
      </w:r>
      <w:r w:rsidR="00F72118">
        <w:rPr>
          <w:rFonts w:ascii="Times New Roman" w:hAnsi="Times New Roman" w:cs="Times New Roman"/>
          <w:szCs w:val="24"/>
        </w:rPr>
        <w:lastRenderedPageBreak/>
        <w:t>z</w:t>
      </w:r>
      <w:r w:rsidR="003458F3">
        <w:rPr>
          <w:rFonts w:ascii="Times New Roman" w:hAnsi="Times New Roman" w:cs="Times New Roman"/>
          <w:szCs w:val="24"/>
        </w:rPr>
        <w:t> </w:t>
      </w:r>
      <w:r w:rsidR="00F72118">
        <w:rPr>
          <w:rFonts w:ascii="Times New Roman" w:hAnsi="Times New Roman" w:cs="Times New Roman"/>
          <w:szCs w:val="24"/>
        </w:rPr>
        <w:t xml:space="preserve">samodzielnym sfinansowaniem tych usług, a dla podmiotów innych niż konsumenci proponuje się jedynie umożliwienie im korzystania ze środków na zakup urządzeń multimedialnych. W tym zakresie rozważa się w szczególności podmioty użyteczności publicznej takie jak biblioteki, gminne ośrodki kultury itp. Proponuje się nie stosować ograniczenia dochodowego do wsparcia udziału w szkoleniach podnoszących kompetencje cyfrowe – takie ograniczenie byłoby niesłuszną barierą równego dostępu do edukacji w jednym z najbardziej kluczowych obszarów kompetencyjnych w </w:t>
      </w:r>
      <w:r w:rsidR="00942BA5">
        <w:rPr>
          <w:rFonts w:ascii="Times New Roman" w:hAnsi="Times New Roman" w:cs="Times New Roman"/>
          <w:szCs w:val="24"/>
        </w:rPr>
        <w:t xml:space="preserve">dynamicznie </w:t>
      </w:r>
      <w:proofErr w:type="spellStart"/>
      <w:r w:rsidR="00942BA5">
        <w:rPr>
          <w:rFonts w:ascii="Times New Roman" w:hAnsi="Times New Roman" w:cs="Times New Roman"/>
          <w:szCs w:val="24"/>
        </w:rPr>
        <w:t>cyfryzującym</w:t>
      </w:r>
      <w:proofErr w:type="spellEnd"/>
      <w:r w:rsidR="00942BA5">
        <w:rPr>
          <w:rFonts w:ascii="Times New Roman" w:hAnsi="Times New Roman" w:cs="Times New Roman"/>
          <w:szCs w:val="24"/>
        </w:rPr>
        <w:t xml:space="preserve"> się świecie.</w:t>
      </w:r>
      <w:r w:rsidR="002D0CCB">
        <w:rPr>
          <w:rFonts w:ascii="Times New Roman" w:hAnsi="Times New Roman" w:cs="Times New Roman"/>
          <w:szCs w:val="24"/>
        </w:rPr>
        <w:t xml:space="preserve"> Takie wsparcie nie będzie jednak możliwe, jeżeli na terenie danego powiatu będą już prowadzone szkolenia finansowane ze środków Funduszu. W końcu </w:t>
      </w:r>
      <w:r w:rsidR="00F72118">
        <w:rPr>
          <w:rFonts w:ascii="Times New Roman" w:hAnsi="Times New Roman" w:cs="Times New Roman"/>
          <w:szCs w:val="24"/>
        </w:rPr>
        <w:t xml:space="preserve">beneficjentami wsparcia na organizację szkoleń rozwijających kompetencje cyfrowe będą mogły być gminy, powiaty, województwa, fundacje i </w:t>
      </w:r>
      <w:r w:rsidR="002D0CCB">
        <w:rPr>
          <w:rFonts w:ascii="Times New Roman" w:hAnsi="Times New Roman" w:cs="Times New Roman"/>
          <w:szCs w:val="24"/>
        </w:rPr>
        <w:t>organizacje pożytku publicznego, o ile zorganizują te szkolenia w</w:t>
      </w:r>
      <w:r w:rsidR="003458F3">
        <w:rPr>
          <w:rFonts w:ascii="Times New Roman" w:hAnsi="Times New Roman" w:cs="Times New Roman"/>
          <w:szCs w:val="24"/>
        </w:rPr>
        <w:t> </w:t>
      </w:r>
      <w:r w:rsidR="002D0CCB">
        <w:rPr>
          <w:rFonts w:ascii="Times New Roman" w:hAnsi="Times New Roman" w:cs="Times New Roman"/>
          <w:szCs w:val="24"/>
        </w:rPr>
        <w:t>sposób zapewniający równy dostęp wszystkim potencjalnym zainteresowanym uczestnikom i</w:t>
      </w:r>
      <w:r w:rsidR="003458F3">
        <w:rPr>
          <w:rFonts w:ascii="Times New Roman" w:hAnsi="Times New Roman" w:cs="Times New Roman"/>
          <w:szCs w:val="24"/>
        </w:rPr>
        <w:t> </w:t>
      </w:r>
      <w:r w:rsidR="002D0CCB">
        <w:rPr>
          <w:rFonts w:ascii="Times New Roman" w:hAnsi="Times New Roman" w:cs="Times New Roman"/>
          <w:szCs w:val="24"/>
        </w:rPr>
        <w:t>pod warunkiem pełnej nieodpłatności za udział.</w:t>
      </w:r>
    </w:p>
    <w:p w14:paraId="6E2E56B8" w14:textId="6BA680BD" w:rsidR="006A27DD" w:rsidRPr="00E07408" w:rsidRDefault="006A27DD" w:rsidP="001A7CE0">
      <w:pPr>
        <w:pStyle w:val="NIEARTTEKSTtekstnieartykuowanynppodstprawnarozplubpreambua"/>
        <w:rPr>
          <w:rFonts w:ascii="Times New Roman" w:hAnsi="Times New Roman" w:cs="Times New Roman"/>
          <w:szCs w:val="24"/>
        </w:rPr>
      </w:pPr>
      <w:r w:rsidRPr="00E07408">
        <w:rPr>
          <w:rFonts w:ascii="Times New Roman" w:hAnsi="Times New Roman" w:cs="Times New Roman"/>
          <w:szCs w:val="24"/>
        </w:rPr>
        <w:t>W § 4 ust. 1 projektu określono, że wsparcie ze środków Funduszu może osiągnąć poziom 100% wartości kosztów kwalifikowalnych projektu</w:t>
      </w:r>
      <w:r w:rsidR="002D0CCB">
        <w:rPr>
          <w:rFonts w:ascii="Times New Roman" w:hAnsi="Times New Roman" w:cs="Times New Roman"/>
          <w:szCs w:val="24"/>
        </w:rPr>
        <w:t xml:space="preserve"> lub dofinansowywanych kosztów (usług, urządzeń</w:t>
      </w:r>
      <w:r w:rsidR="00020AEC">
        <w:rPr>
          <w:rFonts w:ascii="Times New Roman" w:hAnsi="Times New Roman" w:cs="Times New Roman"/>
          <w:szCs w:val="24"/>
        </w:rPr>
        <w:t>,</w:t>
      </w:r>
      <w:r w:rsidR="002D0CCB">
        <w:rPr>
          <w:rFonts w:ascii="Times New Roman" w:hAnsi="Times New Roman" w:cs="Times New Roman"/>
          <w:szCs w:val="24"/>
        </w:rPr>
        <w:t xml:space="preserve"> itp.)</w:t>
      </w:r>
      <w:r w:rsidRPr="00E07408">
        <w:rPr>
          <w:rFonts w:ascii="Times New Roman" w:hAnsi="Times New Roman" w:cs="Times New Roman"/>
          <w:szCs w:val="24"/>
        </w:rPr>
        <w:t xml:space="preserve">. Ma to szczególne znaczenie w kontekście umożliwienia podłączenia </w:t>
      </w:r>
      <w:r w:rsidR="002D0CCB">
        <w:rPr>
          <w:rFonts w:ascii="Times New Roman" w:hAnsi="Times New Roman" w:cs="Times New Roman"/>
          <w:szCs w:val="24"/>
        </w:rPr>
        <w:t xml:space="preserve">do szybkiego </w:t>
      </w:r>
      <w:r w:rsidR="00020AEC">
        <w:rPr>
          <w:rFonts w:ascii="Times New Roman" w:hAnsi="Times New Roman" w:cs="Times New Roman"/>
          <w:szCs w:val="24"/>
        </w:rPr>
        <w:t>Internetu</w:t>
      </w:r>
      <w:r w:rsidR="002D0CCB">
        <w:rPr>
          <w:rFonts w:ascii="Times New Roman" w:hAnsi="Times New Roman" w:cs="Times New Roman"/>
          <w:szCs w:val="24"/>
        </w:rPr>
        <w:t xml:space="preserve">, </w:t>
      </w:r>
      <w:r w:rsidRPr="00E07408">
        <w:rPr>
          <w:rFonts w:ascii="Times New Roman" w:hAnsi="Times New Roman" w:cs="Times New Roman"/>
          <w:szCs w:val="24"/>
        </w:rPr>
        <w:t>ze środków Funduszu</w:t>
      </w:r>
      <w:r w:rsidR="002D0CCB">
        <w:rPr>
          <w:rFonts w:ascii="Times New Roman" w:hAnsi="Times New Roman" w:cs="Times New Roman"/>
          <w:szCs w:val="24"/>
        </w:rPr>
        <w:t>,</w:t>
      </w:r>
      <w:r w:rsidRPr="00E07408">
        <w:rPr>
          <w:rFonts w:ascii="Times New Roman" w:hAnsi="Times New Roman" w:cs="Times New Roman"/>
          <w:szCs w:val="24"/>
        </w:rPr>
        <w:t xml:space="preserve"> użytkowników końcowych najbardziej oddalonych od skupisk ludzkich, w przypadku których koszty doprowadzenia przyłącza telekomunikacyjnego są najwyższe</w:t>
      </w:r>
      <w:r w:rsidR="002D0CCB">
        <w:rPr>
          <w:rFonts w:ascii="Times New Roman" w:hAnsi="Times New Roman" w:cs="Times New Roman"/>
          <w:szCs w:val="24"/>
        </w:rPr>
        <w:t xml:space="preserve"> – ale także umożliwi 100% refundację zakupu usług czy urządzeń dla użytkowników najbardziej potrzebujących</w:t>
      </w:r>
      <w:r w:rsidRPr="00E07408">
        <w:rPr>
          <w:rFonts w:ascii="Times New Roman" w:hAnsi="Times New Roman" w:cs="Times New Roman"/>
          <w:szCs w:val="24"/>
        </w:rPr>
        <w:t>. Formą udzielanego wsparcia będzie bezzwrotne dofinansowanie (§ 4 ust. 2 projektu). Wsparcie nie może zostać udzielone na wydatki w ramach działania, które zostały już pokryte z innych publicznych źródeł pomocy finansowej (§ 4 ust. 3 projektu).</w:t>
      </w:r>
    </w:p>
    <w:p w14:paraId="02C1BD0B" w14:textId="6DA5CF30" w:rsidR="006A27DD" w:rsidRPr="00E07408" w:rsidRDefault="006A27DD" w:rsidP="001A7CE0">
      <w:pPr>
        <w:pStyle w:val="NIEARTTEKSTtekstnieartykuowanynppodstprawnarozplubpreambua"/>
        <w:rPr>
          <w:rFonts w:ascii="Times New Roman" w:hAnsi="Times New Roman" w:cs="Times New Roman"/>
        </w:rPr>
      </w:pPr>
      <w:r w:rsidRPr="00E07408">
        <w:rPr>
          <w:rFonts w:ascii="Times New Roman" w:hAnsi="Times New Roman" w:cs="Times New Roman"/>
        </w:rPr>
        <w:t>W § 4 ust. 4 i 5 projektu doprecyzowuje się, że w przypadku, gdy beneficjentem ostatecznym wsparcia będzie podmiot prowadzący działalność gospodarczą (przedsiębiorca telekomunikacyjny</w:t>
      </w:r>
      <w:r w:rsidR="002D0CCB">
        <w:rPr>
          <w:rFonts w:ascii="Times New Roman" w:hAnsi="Times New Roman" w:cs="Times New Roman"/>
        </w:rPr>
        <w:t>, w tym</w:t>
      </w:r>
      <w:r w:rsidRPr="00E07408">
        <w:rPr>
          <w:rFonts w:ascii="Times New Roman" w:hAnsi="Times New Roman" w:cs="Times New Roman"/>
        </w:rPr>
        <w:t xml:space="preserve"> realizujący projekt na rzecz gminy</w:t>
      </w:r>
      <w:r w:rsidR="002D0CCB">
        <w:rPr>
          <w:rFonts w:ascii="Times New Roman" w:hAnsi="Times New Roman" w:cs="Times New Roman"/>
        </w:rPr>
        <w:t>, gmina prowadząca działalność gospodarczą,</w:t>
      </w:r>
      <w:r w:rsidRPr="00E07408">
        <w:rPr>
          <w:rFonts w:ascii="Times New Roman" w:hAnsi="Times New Roman" w:cs="Times New Roman"/>
        </w:rPr>
        <w:t xml:space="preserve"> lub </w:t>
      </w:r>
      <w:r w:rsidR="00020AEC">
        <w:rPr>
          <w:rFonts w:ascii="Times New Roman" w:hAnsi="Times New Roman" w:cs="Times New Roman"/>
        </w:rPr>
        <w:t>podmiot lecznicy</w:t>
      </w:r>
      <w:r w:rsidR="00020AEC" w:rsidRPr="00E07408">
        <w:rPr>
          <w:rFonts w:ascii="Times New Roman" w:hAnsi="Times New Roman" w:cs="Times New Roman"/>
        </w:rPr>
        <w:t xml:space="preserve"> </w:t>
      </w:r>
      <w:r w:rsidRPr="00E07408">
        <w:rPr>
          <w:rFonts w:ascii="Times New Roman" w:hAnsi="Times New Roman" w:cs="Times New Roman"/>
        </w:rPr>
        <w:t xml:space="preserve">będący przedsiębiorstwem), wsparcie stanowi pomoc publiczną i musi być udzielane przy zachowaniu warunków, o których mowa w rozdziale I </w:t>
      </w:r>
      <w:proofErr w:type="spellStart"/>
      <w:r w:rsidRPr="00E07408">
        <w:rPr>
          <w:rFonts w:ascii="Times New Roman" w:hAnsi="Times New Roman" w:cs="Times New Roman"/>
        </w:rPr>
        <w:t>i</w:t>
      </w:r>
      <w:proofErr w:type="spellEnd"/>
      <w:r w:rsidRPr="00E07408">
        <w:rPr>
          <w:rFonts w:ascii="Times New Roman" w:hAnsi="Times New Roman" w:cs="Times New Roman"/>
        </w:rPr>
        <w:t xml:space="preserve"> art. 52 rozporządzenia nr 651/2014, lub pomoc de </w:t>
      </w:r>
      <w:proofErr w:type="spellStart"/>
      <w:r w:rsidRPr="00E07408">
        <w:rPr>
          <w:rFonts w:ascii="Times New Roman" w:hAnsi="Times New Roman" w:cs="Times New Roman"/>
        </w:rPr>
        <w:t>minimis</w:t>
      </w:r>
      <w:proofErr w:type="spellEnd"/>
      <w:r w:rsidRPr="00E07408">
        <w:rPr>
          <w:rFonts w:ascii="Times New Roman" w:hAnsi="Times New Roman" w:cs="Times New Roman"/>
        </w:rPr>
        <w:t xml:space="preserve"> i musi być udzielane przy zachowaniu warunków, określonych w rozporządzeniu Komisji (UE) nr 1407/2013 z dnia 18 grudnia 2013 r. w sprawie stosowania art. 107 i 108 Traktatu o funkcjonowaniu Unii Europejskiej do pomocy de </w:t>
      </w:r>
      <w:proofErr w:type="spellStart"/>
      <w:r w:rsidRPr="00E07408">
        <w:rPr>
          <w:rFonts w:ascii="Times New Roman" w:hAnsi="Times New Roman" w:cs="Times New Roman"/>
        </w:rPr>
        <w:t>minimis</w:t>
      </w:r>
      <w:proofErr w:type="spellEnd"/>
      <w:r w:rsidRPr="00E07408">
        <w:rPr>
          <w:rFonts w:ascii="Times New Roman" w:hAnsi="Times New Roman" w:cs="Times New Roman"/>
        </w:rPr>
        <w:t xml:space="preserve"> (Dz. Urz. UE L 352 z 24.12.2013, str. 1).</w:t>
      </w:r>
    </w:p>
    <w:p w14:paraId="5D7E0D8F" w14:textId="77777777" w:rsidR="006A27DD" w:rsidRPr="00E07408" w:rsidRDefault="006A27DD" w:rsidP="001A7CE0">
      <w:pPr>
        <w:pStyle w:val="NIEARTTEKSTtekstnieartykuowanynppodstprawnarozplubpreambua"/>
        <w:rPr>
          <w:rFonts w:ascii="Times New Roman" w:hAnsi="Times New Roman" w:cs="Times New Roman"/>
        </w:rPr>
      </w:pPr>
      <w:r w:rsidRPr="00E07408">
        <w:rPr>
          <w:rFonts w:ascii="Times New Roman" w:hAnsi="Times New Roman" w:cs="Times New Roman"/>
        </w:rPr>
        <w:lastRenderedPageBreak/>
        <w:t>W § 5 ust. 1 projektu wskazano, że warunkiem udzielenia wsparcia jest złożenie wniosku o jego udzielenie. W § 5 ust. 2 projektu określono szczegółowo tryby udzielania wsparcia:</w:t>
      </w:r>
    </w:p>
    <w:p w14:paraId="47DB1A7E" w14:textId="74367502" w:rsidR="006A27DD" w:rsidRPr="00E07408" w:rsidRDefault="001A7CE0" w:rsidP="001A7CE0">
      <w:pPr>
        <w:pStyle w:val="NIEARTTEKSTtekstnieartykuowanynppodstprawnarozplubpreambua"/>
        <w:rPr>
          <w:rFonts w:ascii="Times New Roman" w:eastAsiaTheme="minorHAnsi" w:hAnsi="Times New Roman" w:cs="Times New Roman"/>
          <w:szCs w:val="24"/>
          <w:lang w:eastAsia="en-US"/>
        </w:rPr>
      </w:pPr>
      <w:r w:rsidRPr="00E07408">
        <w:rPr>
          <w:rFonts w:ascii="Times New Roman" w:eastAsiaTheme="minorHAnsi" w:hAnsi="Times New Roman" w:cs="Times New Roman"/>
          <w:szCs w:val="24"/>
          <w:lang w:eastAsia="en-US"/>
        </w:rPr>
        <w:t>1)</w:t>
      </w:r>
      <w:r w:rsidRPr="00E07408">
        <w:rPr>
          <w:rFonts w:ascii="Times New Roman" w:eastAsiaTheme="minorHAnsi" w:hAnsi="Times New Roman" w:cs="Times New Roman"/>
          <w:szCs w:val="24"/>
          <w:lang w:eastAsia="en-US"/>
        </w:rPr>
        <w:tab/>
      </w:r>
      <w:r w:rsidR="006A27DD" w:rsidRPr="00E07408">
        <w:rPr>
          <w:rFonts w:ascii="Times New Roman" w:eastAsiaTheme="minorHAnsi" w:hAnsi="Times New Roman" w:cs="Times New Roman"/>
          <w:szCs w:val="24"/>
          <w:lang w:eastAsia="en-US"/>
        </w:rPr>
        <w:t xml:space="preserve">na projekty budowy </w:t>
      </w:r>
      <w:r w:rsidR="00B23484">
        <w:rPr>
          <w:rFonts w:ascii="Times New Roman" w:eastAsiaTheme="minorHAnsi" w:hAnsi="Times New Roman" w:cs="Times New Roman"/>
          <w:szCs w:val="24"/>
          <w:lang w:eastAsia="en-US"/>
        </w:rPr>
        <w:t xml:space="preserve">lub przebudowy </w:t>
      </w:r>
      <w:r w:rsidR="006A27DD" w:rsidRPr="00E07408">
        <w:rPr>
          <w:rFonts w:ascii="Times New Roman" w:eastAsiaTheme="minorHAnsi" w:hAnsi="Times New Roman" w:cs="Times New Roman"/>
          <w:szCs w:val="24"/>
          <w:lang w:eastAsia="en-US"/>
        </w:rPr>
        <w:t>sieci szerokopasmowych – wsparcie będzie udzielane w oparciu o otwarty, przejrzysty, niedyskryminacyjny i konkurencyjny konkurs;</w:t>
      </w:r>
    </w:p>
    <w:p w14:paraId="3B9421B3" w14:textId="77777777" w:rsidR="006A27DD" w:rsidRPr="00E07408" w:rsidRDefault="001A7CE0" w:rsidP="001A7CE0">
      <w:pPr>
        <w:pStyle w:val="NIEARTTEKSTtekstnieartykuowanynppodstprawnarozplubpreambua"/>
        <w:rPr>
          <w:rFonts w:ascii="Times New Roman" w:eastAsiaTheme="minorHAnsi" w:hAnsi="Times New Roman" w:cs="Times New Roman"/>
          <w:lang w:eastAsia="en-US"/>
        </w:rPr>
      </w:pPr>
      <w:r w:rsidRPr="00E07408">
        <w:rPr>
          <w:rFonts w:ascii="Times New Roman" w:eastAsiaTheme="minorHAnsi" w:hAnsi="Times New Roman" w:cs="Times New Roman"/>
          <w:lang w:eastAsia="en-US"/>
        </w:rPr>
        <w:t>2)</w:t>
      </w:r>
      <w:r w:rsidRPr="00E07408">
        <w:rPr>
          <w:rFonts w:ascii="Times New Roman" w:eastAsiaTheme="minorHAnsi" w:hAnsi="Times New Roman" w:cs="Times New Roman"/>
          <w:lang w:eastAsia="en-US"/>
        </w:rPr>
        <w:tab/>
      </w:r>
      <w:r w:rsidR="006A27DD" w:rsidRPr="00E07408">
        <w:rPr>
          <w:rFonts w:ascii="Times New Roman" w:eastAsiaTheme="minorHAnsi" w:hAnsi="Times New Roman" w:cs="Times New Roman"/>
          <w:lang w:eastAsia="en-US"/>
        </w:rPr>
        <w:t xml:space="preserve">na </w:t>
      </w:r>
      <w:r w:rsidR="002D0CCB">
        <w:rPr>
          <w:rFonts w:ascii="Times New Roman" w:eastAsiaTheme="minorHAnsi" w:hAnsi="Times New Roman" w:cs="Times New Roman"/>
          <w:lang w:eastAsia="en-US"/>
        </w:rPr>
        <w:t>pozostałe działania</w:t>
      </w:r>
      <w:r w:rsidR="006A27DD" w:rsidRPr="00E07408">
        <w:rPr>
          <w:rFonts w:ascii="Times New Roman" w:eastAsiaTheme="minorHAnsi" w:hAnsi="Times New Roman" w:cs="Times New Roman"/>
          <w:lang w:eastAsia="en-US"/>
        </w:rPr>
        <w:t xml:space="preserve"> – wsparcie będzie udzielane w drodze ciągłego naboru wniosków.</w:t>
      </w:r>
    </w:p>
    <w:p w14:paraId="3CDDA645" w14:textId="6833B0DB" w:rsidR="006A27DD" w:rsidRPr="00E07408" w:rsidRDefault="006A27DD" w:rsidP="001A7CE0">
      <w:pPr>
        <w:pStyle w:val="NIEARTTEKSTtekstnieartykuowanynppodstprawnarozplubpreambua"/>
        <w:rPr>
          <w:rFonts w:ascii="Times New Roman" w:hAnsi="Times New Roman" w:cs="Times New Roman"/>
          <w:szCs w:val="24"/>
        </w:rPr>
      </w:pPr>
      <w:r w:rsidRPr="00F967D1">
        <w:rPr>
          <w:rFonts w:ascii="Times New Roman" w:hAnsi="Times New Roman"/>
        </w:rPr>
        <w:t>Należy zwrócić uwagę, że procedura posiadająca cechy konkursu będzie stosowana przez gminy w celu udzielenia pomocy publicznej przedsiębiorcy telekomunikacyjnemu, który fizycznie zrealizuje projekt budowy</w:t>
      </w:r>
      <w:r w:rsidR="00B23484">
        <w:rPr>
          <w:rFonts w:ascii="Times New Roman" w:hAnsi="Times New Roman"/>
        </w:rPr>
        <w:t xml:space="preserve"> lub przebudowy</w:t>
      </w:r>
      <w:r w:rsidRPr="00F967D1">
        <w:rPr>
          <w:rFonts w:ascii="Times New Roman" w:hAnsi="Times New Roman"/>
        </w:rPr>
        <w:t xml:space="preserve"> sieci szerokopasmowej (co wynika z § 4 ust. 4</w:t>
      </w:r>
      <w:r w:rsidR="00020AEC">
        <w:rPr>
          <w:rFonts w:ascii="Times New Roman" w:hAnsi="Times New Roman" w:cs="Times New Roman"/>
          <w:szCs w:val="24"/>
        </w:rPr>
        <w:t xml:space="preserve"> projektu</w:t>
      </w:r>
      <w:r w:rsidRPr="00F967D1">
        <w:rPr>
          <w:rFonts w:ascii="Times New Roman" w:hAnsi="Times New Roman"/>
        </w:rPr>
        <w:t>).</w:t>
      </w:r>
    </w:p>
    <w:p w14:paraId="1E408188" w14:textId="6222C091" w:rsidR="006A27DD" w:rsidRPr="00E07408" w:rsidRDefault="006A27DD" w:rsidP="001A7CE0">
      <w:pPr>
        <w:pStyle w:val="NIEARTTEKSTtekstnieartykuowanynppodstprawnarozplubpreambua"/>
        <w:rPr>
          <w:rFonts w:ascii="Times New Roman" w:hAnsi="Times New Roman" w:cs="Times New Roman"/>
          <w:szCs w:val="24"/>
        </w:rPr>
      </w:pPr>
      <w:r w:rsidRPr="00E07408">
        <w:rPr>
          <w:rFonts w:ascii="Times New Roman" w:hAnsi="Times New Roman" w:cs="Times New Roman"/>
          <w:szCs w:val="24"/>
        </w:rPr>
        <w:t>W § 5 ust. 4 projektu sprecyzowano wymagania dotyczące treści ogłoszenia o</w:t>
      </w:r>
      <w:r w:rsidR="003458F3">
        <w:rPr>
          <w:rFonts w:ascii="Times New Roman" w:hAnsi="Times New Roman" w:cs="Times New Roman"/>
          <w:szCs w:val="24"/>
        </w:rPr>
        <w:t> </w:t>
      </w:r>
      <w:r w:rsidRPr="00E07408">
        <w:rPr>
          <w:rFonts w:ascii="Times New Roman" w:hAnsi="Times New Roman" w:cs="Times New Roman"/>
          <w:szCs w:val="24"/>
        </w:rPr>
        <w:t>planowanym naborze wniosków o udzielenie wsparcia, w tym w szczególności określenia w</w:t>
      </w:r>
      <w:r w:rsidR="003458F3">
        <w:rPr>
          <w:rFonts w:ascii="Times New Roman" w:hAnsi="Times New Roman" w:cs="Times New Roman"/>
          <w:szCs w:val="24"/>
        </w:rPr>
        <w:t> </w:t>
      </w:r>
      <w:r w:rsidRPr="00E07408">
        <w:rPr>
          <w:rFonts w:ascii="Times New Roman" w:hAnsi="Times New Roman" w:cs="Times New Roman"/>
          <w:szCs w:val="24"/>
        </w:rPr>
        <w:t>nim:</w:t>
      </w:r>
    </w:p>
    <w:p w14:paraId="2BB5F76E" w14:textId="77777777" w:rsidR="006A27DD" w:rsidRPr="00E07408" w:rsidRDefault="001A7CE0" w:rsidP="001A7CE0">
      <w:pPr>
        <w:pStyle w:val="NIEARTTEKSTtekstnieartykuowanynppodstprawnarozplubpreambua"/>
        <w:rPr>
          <w:rFonts w:ascii="Times New Roman" w:eastAsiaTheme="minorHAnsi" w:hAnsi="Times New Roman" w:cs="Times New Roman"/>
          <w:szCs w:val="24"/>
          <w:lang w:eastAsia="en-US"/>
        </w:rPr>
      </w:pPr>
      <w:r w:rsidRPr="00E07408">
        <w:rPr>
          <w:rFonts w:ascii="Times New Roman" w:eastAsiaTheme="minorHAnsi" w:hAnsi="Times New Roman" w:cs="Times New Roman"/>
          <w:szCs w:val="24"/>
          <w:lang w:eastAsia="en-US"/>
        </w:rPr>
        <w:t>1)</w:t>
      </w:r>
      <w:r w:rsidRPr="00E07408">
        <w:rPr>
          <w:rFonts w:ascii="Times New Roman" w:eastAsiaTheme="minorHAnsi" w:hAnsi="Times New Roman" w:cs="Times New Roman"/>
          <w:szCs w:val="24"/>
          <w:lang w:eastAsia="en-US"/>
        </w:rPr>
        <w:tab/>
      </w:r>
      <w:r w:rsidR="006A27DD" w:rsidRPr="00E07408">
        <w:rPr>
          <w:rFonts w:ascii="Times New Roman" w:eastAsiaTheme="minorHAnsi" w:hAnsi="Times New Roman" w:cs="Times New Roman"/>
          <w:szCs w:val="24"/>
          <w:lang w:eastAsia="en-US"/>
        </w:rPr>
        <w:t>rodzaju interwencji i kategorii wspieranych działań;</w:t>
      </w:r>
    </w:p>
    <w:p w14:paraId="7EE1F333" w14:textId="77777777" w:rsidR="006A27DD" w:rsidRPr="00E07408" w:rsidRDefault="001A7CE0" w:rsidP="001A7CE0">
      <w:pPr>
        <w:pStyle w:val="NIEARTTEKSTtekstnieartykuowanynppodstprawnarozplubpreambua"/>
        <w:rPr>
          <w:rFonts w:ascii="Times New Roman" w:eastAsiaTheme="minorHAnsi" w:hAnsi="Times New Roman" w:cs="Times New Roman"/>
          <w:szCs w:val="24"/>
          <w:lang w:eastAsia="en-US"/>
        </w:rPr>
      </w:pPr>
      <w:r w:rsidRPr="00E07408">
        <w:rPr>
          <w:rFonts w:ascii="Times New Roman" w:eastAsiaTheme="minorHAnsi" w:hAnsi="Times New Roman" w:cs="Times New Roman"/>
          <w:szCs w:val="24"/>
          <w:lang w:eastAsia="en-US"/>
        </w:rPr>
        <w:t>2)</w:t>
      </w:r>
      <w:r w:rsidRPr="00E07408">
        <w:rPr>
          <w:rFonts w:ascii="Times New Roman" w:eastAsiaTheme="minorHAnsi" w:hAnsi="Times New Roman" w:cs="Times New Roman"/>
          <w:szCs w:val="24"/>
          <w:lang w:eastAsia="en-US"/>
        </w:rPr>
        <w:tab/>
      </w:r>
      <w:r w:rsidR="006A27DD" w:rsidRPr="00E07408">
        <w:rPr>
          <w:rFonts w:ascii="Times New Roman" w:eastAsiaTheme="minorHAnsi" w:hAnsi="Times New Roman" w:cs="Times New Roman"/>
          <w:szCs w:val="24"/>
          <w:lang w:eastAsia="en-US"/>
        </w:rPr>
        <w:t>wymagań dotyczących potencjalnych beneficjentów;</w:t>
      </w:r>
    </w:p>
    <w:p w14:paraId="3D3BED3B" w14:textId="77777777" w:rsidR="006A27DD" w:rsidRPr="00E07408" w:rsidRDefault="001A7CE0" w:rsidP="001A7CE0">
      <w:pPr>
        <w:pStyle w:val="NIEARTTEKSTtekstnieartykuowanynppodstprawnarozplubpreambua"/>
        <w:rPr>
          <w:rFonts w:ascii="Times New Roman" w:eastAsiaTheme="minorHAnsi" w:hAnsi="Times New Roman" w:cs="Times New Roman"/>
          <w:szCs w:val="24"/>
          <w:lang w:eastAsia="en-US"/>
        </w:rPr>
      </w:pPr>
      <w:r w:rsidRPr="00E07408">
        <w:rPr>
          <w:rFonts w:ascii="Times New Roman" w:eastAsiaTheme="minorHAnsi" w:hAnsi="Times New Roman" w:cs="Times New Roman"/>
          <w:szCs w:val="24"/>
          <w:lang w:eastAsia="en-US"/>
        </w:rPr>
        <w:t>3)</w:t>
      </w:r>
      <w:r w:rsidRPr="00E07408">
        <w:rPr>
          <w:rFonts w:ascii="Times New Roman" w:eastAsiaTheme="minorHAnsi" w:hAnsi="Times New Roman" w:cs="Times New Roman"/>
          <w:szCs w:val="24"/>
          <w:lang w:eastAsia="en-US"/>
        </w:rPr>
        <w:tab/>
      </w:r>
      <w:r w:rsidR="006A27DD" w:rsidRPr="00E07408">
        <w:rPr>
          <w:rFonts w:ascii="Times New Roman" w:eastAsiaTheme="minorHAnsi" w:hAnsi="Times New Roman" w:cs="Times New Roman"/>
          <w:szCs w:val="24"/>
          <w:lang w:eastAsia="en-US"/>
        </w:rPr>
        <w:t>maksymalnego poziomu wsparcia i katalogu wydatków kwalifikowalnych;</w:t>
      </w:r>
    </w:p>
    <w:p w14:paraId="3F08B418" w14:textId="77777777" w:rsidR="006A27DD" w:rsidRPr="00E07408" w:rsidRDefault="001A7CE0" w:rsidP="001A7CE0">
      <w:pPr>
        <w:pStyle w:val="NIEARTTEKSTtekstnieartykuowanynppodstprawnarozplubpreambua"/>
        <w:rPr>
          <w:rFonts w:ascii="Times New Roman" w:eastAsiaTheme="minorHAnsi" w:hAnsi="Times New Roman" w:cs="Times New Roman"/>
          <w:szCs w:val="24"/>
          <w:lang w:eastAsia="en-US"/>
        </w:rPr>
      </w:pPr>
      <w:r w:rsidRPr="00E07408">
        <w:rPr>
          <w:rFonts w:ascii="Times New Roman" w:eastAsiaTheme="minorHAnsi" w:hAnsi="Times New Roman" w:cs="Times New Roman"/>
          <w:szCs w:val="24"/>
          <w:lang w:eastAsia="en-US"/>
        </w:rPr>
        <w:t>4)</w:t>
      </w:r>
      <w:r w:rsidRPr="00E07408">
        <w:rPr>
          <w:rFonts w:ascii="Times New Roman" w:eastAsiaTheme="minorHAnsi" w:hAnsi="Times New Roman" w:cs="Times New Roman"/>
          <w:szCs w:val="24"/>
          <w:lang w:eastAsia="en-US"/>
        </w:rPr>
        <w:tab/>
      </w:r>
      <w:r w:rsidR="006A27DD" w:rsidRPr="00E07408">
        <w:rPr>
          <w:rFonts w:ascii="Times New Roman" w:eastAsiaTheme="minorHAnsi" w:hAnsi="Times New Roman" w:cs="Times New Roman"/>
          <w:szCs w:val="24"/>
          <w:lang w:eastAsia="en-US"/>
        </w:rPr>
        <w:t>wzoru wniosku i umowy o udzielenie wsparcia.</w:t>
      </w:r>
    </w:p>
    <w:p w14:paraId="4BF1D762" w14:textId="77777777" w:rsidR="006A27DD" w:rsidRPr="00E07408" w:rsidRDefault="006A27DD" w:rsidP="001A7CE0">
      <w:pPr>
        <w:pStyle w:val="NIEARTTEKSTtekstnieartykuowanynppodstprawnarozplubpreambua"/>
        <w:rPr>
          <w:rFonts w:ascii="Times New Roman" w:hAnsi="Times New Roman" w:cs="Times New Roman"/>
          <w:szCs w:val="24"/>
        </w:rPr>
      </w:pPr>
      <w:r w:rsidRPr="00E07408">
        <w:rPr>
          <w:rFonts w:ascii="Times New Roman" w:hAnsi="Times New Roman" w:cs="Times New Roman"/>
          <w:szCs w:val="24"/>
        </w:rPr>
        <w:t>Dopuszczono możliwość podzielenia konkursu na rundy – jest to rozwiązanie zaczerpnięte z dopuszczalnego modelu organizacji konkursów, w których wsparcie udzielane jest ze środków polityki spójności (§ 5 ust. 5 projektu).</w:t>
      </w:r>
    </w:p>
    <w:p w14:paraId="17E09C34" w14:textId="77777777" w:rsidR="006A27DD" w:rsidRPr="00E07408" w:rsidRDefault="006A27DD" w:rsidP="001A7CE0">
      <w:pPr>
        <w:pStyle w:val="NIEARTTEKSTtekstnieartykuowanynppodstprawnarozplubpreambua"/>
        <w:rPr>
          <w:rFonts w:ascii="Times New Roman" w:hAnsi="Times New Roman" w:cs="Times New Roman"/>
          <w:szCs w:val="24"/>
        </w:rPr>
      </w:pPr>
      <w:r w:rsidRPr="00E07408">
        <w:rPr>
          <w:rFonts w:ascii="Times New Roman" w:hAnsi="Times New Roman" w:cs="Times New Roman"/>
          <w:szCs w:val="24"/>
        </w:rPr>
        <w:t>W § 5 ust. 6 projektu zobowiązano podmiot organizujący interwencję do podawania do publicznej wiadomości informacji o zawartych umowach o udzielenie wsparcia.</w:t>
      </w:r>
    </w:p>
    <w:p w14:paraId="1ED522F3" w14:textId="6A425BA1" w:rsidR="006A27DD" w:rsidRPr="00E07408" w:rsidRDefault="006A27DD" w:rsidP="001A7CE0">
      <w:pPr>
        <w:pStyle w:val="NIEARTTEKSTtekstnieartykuowanynppodstprawnarozplubpreambua"/>
        <w:rPr>
          <w:rFonts w:ascii="Times New Roman" w:hAnsi="Times New Roman" w:cs="Times New Roman"/>
          <w:szCs w:val="24"/>
        </w:rPr>
      </w:pPr>
      <w:r w:rsidRPr="00E07408">
        <w:rPr>
          <w:rFonts w:ascii="Times New Roman" w:hAnsi="Times New Roman" w:cs="Times New Roman"/>
          <w:szCs w:val="24"/>
        </w:rPr>
        <w:t>W § 6 projektu określono, co należy rozumieć przez wydatki kwalifikowalne, w</w:t>
      </w:r>
      <w:r w:rsidR="003458F3">
        <w:rPr>
          <w:rFonts w:ascii="Times New Roman" w:hAnsi="Times New Roman" w:cs="Times New Roman"/>
          <w:szCs w:val="24"/>
        </w:rPr>
        <w:t> </w:t>
      </w:r>
      <w:r w:rsidRPr="00E07408">
        <w:rPr>
          <w:rFonts w:ascii="Times New Roman" w:hAnsi="Times New Roman" w:cs="Times New Roman"/>
          <w:szCs w:val="24"/>
        </w:rPr>
        <w:t>szczególności czego mogą dotyczyć, co wchodzi w ich skład oraz w jakim okresie ich poniesienie może warunkować ich refundację ze środków Funduszu.</w:t>
      </w:r>
    </w:p>
    <w:p w14:paraId="71AA969F" w14:textId="77777777" w:rsidR="006A27DD" w:rsidRPr="00E07408" w:rsidRDefault="006A27DD" w:rsidP="001A7CE0">
      <w:pPr>
        <w:pStyle w:val="NIEARTTEKSTtekstnieartykuowanynppodstprawnarozplubpreambua"/>
        <w:rPr>
          <w:rFonts w:ascii="Times New Roman" w:hAnsi="Times New Roman" w:cs="Times New Roman"/>
          <w:szCs w:val="24"/>
        </w:rPr>
      </w:pPr>
      <w:r w:rsidRPr="00E07408">
        <w:rPr>
          <w:rFonts w:ascii="Times New Roman" w:hAnsi="Times New Roman" w:cs="Times New Roman"/>
          <w:szCs w:val="24"/>
        </w:rPr>
        <w:t>Rozporządzenie wejdzie w życie po upływie 14 dni od dnia ogłoszenia.</w:t>
      </w:r>
    </w:p>
    <w:p w14:paraId="38614381" w14:textId="77777777" w:rsidR="006A27DD" w:rsidRPr="00E07408" w:rsidRDefault="006A27DD" w:rsidP="001A7CE0">
      <w:pPr>
        <w:pStyle w:val="NIEARTTEKSTtekstnieartykuowanynppodstprawnarozplubpreambua"/>
        <w:rPr>
          <w:rFonts w:ascii="Times New Roman" w:hAnsi="Times New Roman" w:cs="Times New Roman"/>
          <w:szCs w:val="24"/>
        </w:rPr>
      </w:pPr>
      <w:r w:rsidRPr="00E07408">
        <w:rPr>
          <w:rFonts w:ascii="Times New Roman" w:hAnsi="Times New Roman" w:cs="Times New Roman"/>
          <w:szCs w:val="24"/>
        </w:rPr>
        <w:t>Projekt rozporządzenia nie jest sprzeczny z prawem Unii Europejskiej.</w:t>
      </w:r>
    </w:p>
    <w:p w14:paraId="06677B84" w14:textId="4AEBA821" w:rsidR="006A27DD" w:rsidRPr="00E07408" w:rsidRDefault="006A27DD" w:rsidP="001A7CE0">
      <w:pPr>
        <w:pStyle w:val="NIEARTTEKSTtekstnieartykuowanynppodstprawnarozplubpreambua"/>
        <w:rPr>
          <w:rFonts w:ascii="Times New Roman" w:hAnsi="Times New Roman" w:cs="Times New Roman"/>
          <w:szCs w:val="24"/>
        </w:rPr>
      </w:pPr>
      <w:r w:rsidRPr="00E07408">
        <w:rPr>
          <w:rFonts w:ascii="Times New Roman" w:hAnsi="Times New Roman" w:cs="Times New Roman"/>
          <w:szCs w:val="24"/>
        </w:rPr>
        <w:t xml:space="preserve">Projektowane rozporządzenie będzie mieć pozytywny wpływ na sytuację mikro, małych i średnich przedsiębiorców – ze środków Funduszu udzielane będzie wsparcie, którego </w:t>
      </w:r>
      <w:r w:rsidRPr="00E07408">
        <w:rPr>
          <w:rFonts w:ascii="Times New Roman" w:hAnsi="Times New Roman" w:cs="Times New Roman"/>
          <w:szCs w:val="24"/>
        </w:rPr>
        <w:lastRenderedPageBreak/>
        <w:t xml:space="preserve">ostatecznymi beneficjentami będą mogli być </w:t>
      </w:r>
      <w:r w:rsidR="002D0CCB">
        <w:rPr>
          <w:rFonts w:ascii="Times New Roman" w:hAnsi="Times New Roman" w:cs="Times New Roman"/>
          <w:szCs w:val="24"/>
        </w:rPr>
        <w:t xml:space="preserve">m.in. </w:t>
      </w:r>
      <w:r w:rsidRPr="00E07408">
        <w:rPr>
          <w:rFonts w:ascii="Times New Roman" w:hAnsi="Times New Roman" w:cs="Times New Roman"/>
          <w:szCs w:val="24"/>
        </w:rPr>
        <w:t>przedsiębiorcy telekomunikacyjni, w</w:t>
      </w:r>
      <w:r w:rsidR="003458F3">
        <w:rPr>
          <w:rFonts w:ascii="Times New Roman" w:hAnsi="Times New Roman" w:cs="Times New Roman"/>
          <w:szCs w:val="24"/>
        </w:rPr>
        <w:t> </w:t>
      </w:r>
      <w:r w:rsidRPr="00E07408">
        <w:rPr>
          <w:rFonts w:ascii="Times New Roman" w:hAnsi="Times New Roman" w:cs="Times New Roman"/>
          <w:szCs w:val="24"/>
        </w:rPr>
        <w:t>szczególności ci działający na lokalnych rynkach</w:t>
      </w:r>
      <w:r w:rsidR="002D0CCB">
        <w:rPr>
          <w:rFonts w:ascii="Times New Roman" w:hAnsi="Times New Roman" w:cs="Times New Roman"/>
          <w:szCs w:val="24"/>
        </w:rPr>
        <w:t>, a także podmioty prowadzące szkolenia z</w:t>
      </w:r>
      <w:r w:rsidR="003458F3">
        <w:rPr>
          <w:rFonts w:ascii="Times New Roman" w:hAnsi="Times New Roman" w:cs="Times New Roman"/>
          <w:szCs w:val="24"/>
        </w:rPr>
        <w:t> </w:t>
      </w:r>
      <w:r w:rsidR="002D0CCB">
        <w:rPr>
          <w:rFonts w:ascii="Times New Roman" w:hAnsi="Times New Roman" w:cs="Times New Roman"/>
          <w:szCs w:val="24"/>
        </w:rPr>
        <w:t>kompetencji cyfrowych.</w:t>
      </w:r>
    </w:p>
    <w:p w14:paraId="4AFA2DA7" w14:textId="77777777" w:rsidR="006A27DD" w:rsidRPr="00E07408" w:rsidRDefault="006A27DD" w:rsidP="001A7CE0">
      <w:pPr>
        <w:pStyle w:val="NIEARTTEKSTtekstnieartykuowanynppodstprawnarozplubpreambua"/>
        <w:rPr>
          <w:rFonts w:ascii="Times New Roman" w:hAnsi="Times New Roman" w:cs="Times New Roman"/>
          <w:szCs w:val="24"/>
        </w:rPr>
      </w:pPr>
      <w:r w:rsidRPr="00E07408">
        <w:rPr>
          <w:rFonts w:ascii="Times New Roman" w:hAnsi="Times New Roman" w:cs="Times New Roman"/>
          <w:szCs w:val="24"/>
        </w:rPr>
        <w:t>Projektowana regulacja nie zawiera przepisów technicznych w rozumieniu rozporządzenia Rady Ministrów z dnia 23 grudnia 2002 r. w sprawie sposobu funkcjonowania krajowego systemu notyfikacji norm i aktów prawnych (Dz. U. poz. 2039 oraz z 2004 r. poz. 597) i nie podlega notyfikacji Komisji Europejskiej.</w:t>
      </w:r>
    </w:p>
    <w:p w14:paraId="7AB62A12" w14:textId="77777777" w:rsidR="006A27DD" w:rsidRPr="00E07408" w:rsidRDefault="006A27DD" w:rsidP="001A7CE0">
      <w:pPr>
        <w:pStyle w:val="NIEARTTEKSTtekstnieartykuowanynppodstprawnarozplubpreambua"/>
        <w:rPr>
          <w:rFonts w:ascii="Times New Roman" w:hAnsi="Times New Roman" w:cs="Times New Roman"/>
          <w:szCs w:val="24"/>
        </w:rPr>
      </w:pPr>
      <w:r w:rsidRPr="00E07408">
        <w:rPr>
          <w:rFonts w:ascii="Times New Roman" w:hAnsi="Times New Roman" w:cs="Times New Roman"/>
          <w:szCs w:val="24"/>
        </w:rPr>
        <w:t xml:space="preserve">Projektowana regulacja nie będzie wymagała notyfikacji Komisji Europejskiej w trybie ustawy z dnia 30 kwietnia 2004 r. o postępowaniu w sprawach dotyczących pomocy publicznej </w:t>
      </w:r>
      <w:r w:rsidRPr="00E07408">
        <w:rPr>
          <w:rFonts w:ascii="Times New Roman" w:hAnsi="Times New Roman" w:cs="Times New Roman"/>
          <w:szCs w:val="24"/>
        </w:rPr>
        <w:br/>
        <w:t>(Dz. U. z 2020 r. poz. 708).</w:t>
      </w:r>
    </w:p>
    <w:p w14:paraId="3978DC8A" w14:textId="77777777" w:rsidR="006A27DD" w:rsidRPr="00E07408" w:rsidRDefault="006A27DD" w:rsidP="001A7CE0">
      <w:pPr>
        <w:pStyle w:val="NIEARTTEKSTtekstnieartykuowanynppodstprawnarozplubpreambua"/>
        <w:rPr>
          <w:rFonts w:ascii="Times New Roman" w:hAnsi="Times New Roman" w:cs="Times New Roman"/>
          <w:szCs w:val="24"/>
        </w:rPr>
      </w:pPr>
      <w:r w:rsidRPr="00E07408">
        <w:rPr>
          <w:rFonts w:ascii="Times New Roman" w:hAnsi="Times New Roman" w:cs="Times New Roman"/>
          <w:szCs w:val="24"/>
        </w:rPr>
        <w:t xml:space="preserve">Projekt nie wymaga przedstawienia właściwym organom i instytucjom Unii Europejskiej, w tym Europejskiemu Bankowi Centralnemu, w celu uzyskania opinii, dokonania powiadomienia, konsultacji albo uzgodnienia. </w:t>
      </w:r>
    </w:p>
    <w:p w14:paraId="6CB17877" w14:textId="4D9DC571" w:rsidR="004D02B6" w:rsidRDefault="006A27DD" w:rsidP="004D02B6">
      <w:pPr>
        <w:pStyle w:val="NIEARTTEKSTtekstnieartykuowanynppodstprawnarozplubpreambua"/>
        <w:rPr>
          <w:rFonts w:ascii="Times New Roman" w:hAnsi="Times New Roman" w:cs="Times New Roman"/>
          <w:szCs w:val="24"/>
        </w:rPr>
        <w:sectPr w:rsidR="004D02B6" w:rsidSect="001A7F15">
          <w:headerReference w:type="default" r:id="rId9"/>
          <w:footnotePr>
            <w:numRestart w:val="eachSect"/>
          </w:footnotePr>
          <w:pgSz w:w="11906" w:h="16838"/>
          <w:pgMar w:top="1560" w:right="1434" w:bottom="1560" w:left="1418" w:header="709" w:footer="709" w:gutter="0"/>
          <w:cols w:space="708"/>
          <w:titlePg/>
          <w:docGrid w:linePitch="254"/>
        </w:sectPr>
      </w:pPr>
      <w:r w:rsidRPr="00E07408">
        <w:rPr>
          <w:rFonts w:ascii="Times New Roman" w:hAnsi="Times New Roman" w:cs="Times New Roman"/>
          <w:szCs w:val="24"/>
        </w:rPr>
        <w:t>Stosownie do postanowień art. 5 ustawy z dnia 7 lipca 2005 r. o działalności lobbingowej w procesie stanowienia prawa (Dz. U. z 2017 r. poz. 248), projekt zostanie udostępniony w Biuletynie Informacji Publicznej. Ponadto zgodnie z § 52 ust. 1 uchwały Nr 190 Rady Ministrów z dnia 29 października 2013 r. – Regulamin pracy Rady Ministrów (M.P. z 2016 r. poz. 1006 i 1204, z 2018 r. poz. 114 i 278 oraz z 2019 r. poz. 137 1192), zostanie udostępniony w Biuletynie Informacji Publicznej na stronie podmiotowej Rządowego Centrum Legislacji, w</w:t>
      </w:r>
      <w:r w:rsidR="003458F3">
        <w:rPr>
          <w:rFonts w:ascii="Times New Roman" w:hAnsi="Times New Roman" w:cs="Times New Roman"/>
          <w:szCs w:val="24"/>
        </w:rPr>
        <w:t> </w:t>
      </w:r>
      <w:r w:rsidRPr="00E07408">
        <w:rPr>
          <w:rFonts w:ascii="Times New Roman" w:hAnsi="Times New Roman" w:cs="Times New Roman"/>
          <w:szCs w:val="24"/>
        </w:rPr>
        <w:t>serwis</w:t>
      </w:r>
      <w:r w:rsidR="004D02B6">
        <w:rPr>
          <w:rFonts w:ascii="Times New Roman" w:hAnsi="Times New Roman" w:cs="Times New Roman"/>
          <w:szCs w:val="24"/>
        </w:rPr>
        <w:t>ie Rządowy Proces Legislacyjny.</w:t>
      </w:r>
    </w:p>
    <w:p w14:paraId="6F67615E" w14:textId="77777777" w:rsidR="001A7CE0" w:rsidRPr="00E07408" w:rsidRDefault="001A7CE0" w:rsidP="004D02B6">
      <w:pPr>
        <w:pStyle w:val="NIEARTTEKSTtekstnieartykuowanynppodstprawnarozplubpreambua"/>
        <w:rPr>
          <w:rFonts w:cs="Times New Roman"/>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1A7CE0" w:rsidRPr="00E07408" w14:paraId="434075BD" w14:textId="77777777" w:rsidTr="00E07408">
        <w:trPr>
          <w:trHeight w:val="1611"/>
          <w:jc w:val="center"/>
        </w:trPr>
        <w:tc>
          <w:tcPr>
            <w:tcW w:w="6631" w:type="dxa"/>
            <w:gridSpan w:val="17"/>
          </w:tcPr>
          <w:p w14:paraId="6C0F41F7" w14:textId="77777777" w:rsidR="001A7CE0" w:rsidRPr="00C134CF" w:rsidRDefault="001A7CE0" w:rsidP="00E07408">
            <w:pPr>
              <w:spacing w:before="120" w:line="240" w:lineRule="auto"/>
              <w:ind w:hanging="45"/>
              <w:rPr>
                <w:rFonts w:cs="Times New Roman"/>
                <w:color w:val="000000"/>
                <w:sz w:val="22"/>
                <w:szCs w:val="22"/>
              </w:rPr>
            </w:pPr>
            <w:bookmarkStart w:id="1" w:name="t1"/>
            <w:r w:rsidRPr="00C134CF">
              <w:rPr>
                <w:rFonts w:cs="Times New Roman"/>
                <w:b/>
                <w:color w:val="000000"/>
                <w:sz w:val="22"/>
                <w:szCs w:val="22"/>
              </w:rPr>
              <w:t>Nazwa projektu</w:t>
            </w:r>
          </w:p>
          <w:p w14:paraId="20629373" w14:textId="77777777" w:rsidR="001A7CE0" w:rsidRPr="00C134CF" w:rsidRDefault="001A7CE0" w:rsidP="00E07408">
            <w:pPr>
              <w:spacing w:line="240" w:lineRule="auto"/>
              <w:ind w:hanging="34"/>
              <w:rPr>
                <w:rFonts w:cs="Times New Roman"/>
                <w:color w:val="000000"/>
                <w:sz w:val="22"/>
                <w:szCs w:val="22"/>
              </w:rPr>
            </w:pPr>
            <w:r w:rsidRPr="00C134CF">
              <w:rPr>
                <w:rFonts w:cs="Times New Roman"/>
                <w:color w:val="000000"/>
                <w:sz w:val="22"/>
                <w:szCs w:val="22"/>
              </w:rPr>
              <w:t>rozporządzenie Ministra Cyfryzacji w sprawie szczegółowych warunków i trybu udzielania wsparcia ze środków Funduszu Szerokopasmowego</w:t>
            </w:r>
          </w:p>
          <w:p w14:paraId="00BF59DB" w14:textId="77777777" w:rsidR="001A7CE0" w:rsidRPr="00C134CF" w:rsidRDefault="001A7CE0" w:rsidP="00E07408">
            <w:pPr>
              <w:spacing w:before="120" w:line="240" w:lineRule="auto"/>
              <w:ind w:hanging="45"/>
              <w:rPr>
                <w:rFonts w:cs="Times New Roman"/>
                <w:b/>
                <w:color w:val="000000"/>
                <w:sz w:val="22"/>
                <w:szCs w:val="22"/>
              </w:rPr>
            </w:pPr>
            <w:r w:rsidRPr="00C134CF">
              <w:rPr>
                <w:rFonts w:cs="Times New Roman"/>
                <w:b/>
                <w:color w:val="000000"/>
                <w:sz w:val="22"/>
                <w:szCs w:val="22"/>
              </w:rPr>
              <w:t>Ministerstwo wiodące i ministerstwa współpracujące</w:t>
            </w:r>
          </w:p>
          <w:bookmarkEnd w:id="1"/>
          <w:p w14:paraId="47E6C714" w14:textId="77777777" w:rsidR="001A7CE0" w:rsidRPr="00C134CF" w:rsidRDefault="001A7CE0" w:rsidP="00E07408">
            <w:pPr>
              <w:spacing w:line="240" w:lineRule="auto"/>
              <w:ind w:hanging="34"/>
              <w:rPr>
                <w:rFonts w:cs="Times New Roman"/>
                <w:color w:val="000000"/>
                <w:sz w:val="22"/>
                <w:szCs w:val="22"/>
              </w:rPr>
            </w:pPr>
            <w:r w:rsidRPr="00C134CF">
              <w:rPr>
                <w:rFonts w:cs="Times New Roman"/>
                <w:color w:val="000000"/>
                <w:sz w:val="22"/>
                <w:szCs w:val="22"/>
              </w:rPr>
              <w:t>Ministerstwo Cyfryzacji</w:t>
            </w:r>
          </w:p>
          <w:p w14:paraId="7B701DA9" w14:textId="77777777" w:rsidR="00D411C6" w:rsidRPr="00C134CF" w:rsidRDefault="00D411C6" w:rsidP="00E07408">
            <w:pPr>
              <w:spacing w:line="240" w:lineRule="auto"/>
              <w:ind w:hanging="34"/>
              <w:rPr>
                <w:rFonts w:cs="Times New Roman"/>
                <w:color w:val="000000"/>
                <w:sz w:val="22"/>
                <w:szCs w:val="22"/>
              </w:rPr>
            </w:pPr>
          </w:p>
          <w:p w14:paraId="172EC812" w14:textId="77777777" w:rsidR="001A7CE0" w:rsidRPr="00C134CF" w:rsidRDefault="001A7CE0" w:rsidP="00E07408">
            <w:pPr>
              <w:spacing w:line="240" w:lineRule="auto"/>
              <w:rPr>
                <w:rFonts w:cs="Times New Roman"/>
                <w:b/>
                <w:sz w:val="22"/>
                <w:szCs w:val="22"/>
              </w:rPr>
            </w:pPr>
            <w:r w:rsidRPr="00C134CF">
              <w:rPr>
                <w:rFonts w:cs="Times New Roman"/>
                <w:b/>
                <w:sz w:val="22"/>
                <w:szCs w:val="22"/>
              </w:rPr>
              <w:t xml:space="preserve">Osoba odpowiedzialna za projekt w randze Ministra, Sekretarza Stanu lub Podsekretarza Stanu </w:t>
            </w:r>
          </w:p>
          <w:p w14:paraId="78BE0EC3" w14:textId="77777777" w:rsidR="001A7CE0" w:rsidRPr="00C134CF" w:rsidRDefault="00265CEE" w:rsidP="00E07408">
            <w:pPr>
              <w:spacing w:line="240" w:lineRule="auto"/>
              <w:rPr>
                <w:rFonts w:cs="Times New Roman"/>
                <w:sz w:val="22"/>
                <w:szCs w:val="22"/>
              </w:rPr>
            </w:pPr>
            <w:r>
              <w:rPr>
                <w:rFonts w:cs="Times New Roman"/>
                <w:sz w:val="22"/>
                <w:szCs w:val="22"/>
              </w:rPr>
              <w:t>Marek Zagórski, Minister Cyfryzacji</w:t>
            </w:r>
          </w:p>
          <w:p w14:paraId="2E493FD5" w14:textId="77777777" w:rsidR="001A7CE0" w:rsidRPr="00C134CF" w:rsidRDefault="001A7CE0" w:rsidP="00E07408">
            <w:pPr>
              <w:spacing w:before="120" w:line="240" w:lineRule="auto"/>
              <w:ind w:hanging="45"/>
              <w:rPr>
                <w:rFonts w:cs="Times New Roman"/>
                <w:b/>
                <w:color w:val="000000"/>
                <w:sz w:val="22"/>
                <w:szCs w:val="22"/>
              </w:rPr>
            </w:pPr>
            <w:r w:rsidRPr="00C134CF">
              <w:rPr>
                <w:rFonts w:cs="Times New Roman"/>
                <w:b/>
                <w:color w:val="000000"/>
                <w:sz w:val="22"/>
                <w:szCs w:val="22"/>
              </w:rPr>
              <w:t>Kontakt do opiekuna merytorycznego projektu</w:t>
            </w:r>
          </w:p>
          <w:p w14:paraId="4B22A4EC" w14:textId="18C1CFE6" w:rsidR="001A7CE0" w:rsidRPr="00C134CF" w:rsidRDefault="001A7CE0" w:rsidP="00E07408">
            <w:pPr>
              <w:spacing w:line="240" w:lineRule="auto"/>
              <w:ind w:hanging="34"/>
              <w:rPr>
                <w:rFonts w:cs="Times New Roman"/>
                <w:bCs/>
                <w:color w:val="000000"/>
                <w:sz w:val="22"/>
                <w:szCs w:val="22"/>
              </w:rPr>
            </w:pPr>
            <w:bookmarkStart w:id="2" w:name="t3"/>
            <w:r w:rsidRPr="00C134CF">
              <w:rPr>
                <w:rFonts w:cs="Times New Roman"/>
                <w:bCs/>
                <w:color w:val="000000"/>
                <w:sz w:val="22"/>
                <w:szCs w:val="22"/>
              </w:rPr>
              <w:t>Marcin Łukasiewicz</w:t>
            </w:r>
            <w:r w:rsidR="00C676D4">
              <w:rPr>
                <w:rFonts w:cs="Times New Roman"/>
                <w:bCs/>
                <w:color w:val="000000"/>
                <w:sz w:val="22"/>
                <w:szCs w:val="22"/>
              </w:rPr>
              <w:t xml:space="preserve"> </w:t>
            </w:r>
            <w:r w:rsidRPr="00C134CF">
              <w:rPr>
                <w:rFonts w:cs="Times New Roman"/>
                <w:bCs/>
                <w:color w:val="000000"/>
                <w:sz w:val="22"/>
                <w:szCs w:val="22"/>
              </w:rPr>
              <w:t>– Wydział Inwestycji Telekomunikacyjnych w Departamencie Telekomunikacji w Ministerstwie Cyfryzacji, tel. 22 245-5</w:t>
            </w:r>
            <w:r w:rsidR="00CA2F49">
              <w:rPr>
                <w:rFonts w:cs="Times New Roman"/>
                <w:bCs/>
                <w:color w:val="000000"/>
                <w:sz w:val="22"/>
                <w:szCs w:val="22"/>
              </w:rPr>
              <w:t>7</w:t>
            </w:r>
            <w:r w:rsidRPr="00C134CF">
              <w:rPr>
                <w:rFonts w:cs="Times New Roman"/>
                <w:bCs/>
                <w:color w:val="000000"/>
                <w:sz w:val="22"/>
                <w:szCs w:val="22"/>
              </w:rPr>
              <w:t>-</w:t>
            </w:r>
            <w:r w:rsidR="00CA2F49">
              <w:rPr>
                <w:rFonts w:cs="Times New Roman"/>
                <w:bCs/>
                <w:color w:val="000000"/>
                <w:sz w:val="22"/>
                <w:szCs w:val="22"/>
              </w:rPr>
              <w:t>8</w:t>
            </w:r>
            <w:r w:rsidRPr="00C134CF">
              <w:rPr>
                <w:rFonts w:cs="Times New Roman"/>
                <w:bCs/>
                <w:color w:val="000000"/>
                <w:sz w:val="22"/>
                <w:szCs w:val="22"/>
              </w:rPr>
              <w:t>8</w:t>
            </w:r>
            <w:bookmarkEnd w:id="2"/>
          </w:p>
          <w:p w14:paraId="0B1DC3B6" w14:textId="77777777" w:rsidR="001A7CE0" w:rsidRPr="00C134CF" w:rsidRDefault="001A7CE0" w:rsidP="00E07408">
            <w:pPr>
              <w:spacing w:line="240" w:lineRule="auto"/>
              <w:ind w:hanging="34"/>
              <w:rPr>
                <w:rFonts w:cs="Times New Roman"/>
                <w:color w:val="000000"/>
                <w:szCs w:val="24"/>
              </w:rPr>
            </w:pPr>
            <w:r w:rsidRPr="00C134CF">
              <w:rPr>
                <w:rFonts w:cs="Times New Roman"/>
                <w:bCs/>
                <w:color w:val="000000"/>
                <w:sz w:val="22"/>
                <w:szCs w:val="22"/>
              </w:rPr>
              <w:t>Magdalena Nowak – Wydział Inwestycji Telekomunikacyjnych w Departamencie Telekomunikacji w Ministerstwie Cyfryzacji, tel. 22 245-57-27</w:t>
            </w:r>
          </w:p>
        </w:tc>
        <w:tc>
          <w:tcPr>
            <w:tcW w:w="4306" w:type="dxa"/>
            <w:gridSpan w:val="13"/>
            <w:shd w:val="clear" w:color="auto" w:fill="FFFFFF"/>
          </w:tcPr>
          <w:p w14:paraId="0FE9C5A8" w14:textId="04E242DA" w:rsidR="001A7CE0" w:rsidRPr="00C134CF" w:rsidRDefault="001A7CE0" w:rsidP="00E07408">
            <w:pPr>
              <w:spacing w:line="240" w:lineRule="auto"/>
              <w:rPr>
                <w:rFonts w:cs="Times New Roman"/>
                <w:b/>
                <w:sz w:val="22"/>
                <w:szCs w:val="22"/>
              </w:rPr>
            </w:pPr>
            <w:r w:rsidRPr="00C134CF">
              <w:rPr>
                <w:rFonts w:cs="Times New Roman"/>
                <w:b/>
                <w:sz w:val="22"/>
                <w:szCs w:val="22"/>
              </w:rPr>
              <w:t>Data sporządzenia</w:t>
            </w:r>
            <w:r w:rsidRPr="00C134CF">
              <w:rPr>
                <w:rFonts w:cs="Times New Roman"/>
                <w:b/>
                <w:sz w:val="22"/>
                <w:szCs w:val="22"/>
              </w:rPr>
              <w:br/>
            </w:r>
            <w:r w:rsidR="00110F5A">
              <w:rPr>
                <w:rFonts w:cs="Times New Roman"/>
                <w:sz w:val="22"/>
                <w:szCs w:val="22"/>
              </w:rPr>
              <w:t>11</w:t>
            </w:r>
            <w:r w:rsidR="00265CEE">
              <w:rPr>
                <w:rFonts w:cs="Times New Roman"/>
                <w:sz w:val="22"/>
                <w:szCs w:val="22"/>
              </w:rPr>
              <w:t>.09</w:t>
            </w:r>
            <w:r w:rsidRPr="00C134CF">
              <w:rPr>
                <w:rFonts w:cs="Times New Roman"/>
                <w:sz w:val="22"/>
                <w:szCs w:val="22"/>
              </w:rPr>
              <w:t>.2020 r.</w:t>
            </w:r>
          </w:p>
          <w:p w14:paraId="16507BC6" w14:textId="77777777" w:rsidR="001A7CE0" w:rsidRPr="00C134CF" w:rsidRDefault="001A7CE0" w:rsidP="00E07408">
            <w:pPr>
              <w:spacing w:line="240" w:lineRule="auto"/>
              <w:rPr>
                <w:rFonts w:cs="Times New Roman"/>
                <w:b/>
                <w:sz w:val="22"/>
                <w:szCs w:val="22"/>
              </w:rPr>
            </w:pPr>
          </w:p>
          <w:p w14:paraId="28A9282F" w14:textId="77777777" w:rsidR="001A7CE0" w:rsidRPr="00C134CF" w:rsidRDefault="001A7CE0" w:rsidP="00E07408">
            <w:pPr>
              <w:spacing w:line="240" w:lineRule="auto"/>
              <w:rPr>
                <w:rFonts w:cs="Times New Roman"/>
                <w:b/>
                <w:sz w:val="22"/>
                <w:szCs w:val="22"/>
              </w:rPr>
            </w:pPr>
            <w:r w:rsidRPr="00C134CF">
              <w:rPr>
                <w:rFonts w:cs="Times New Roman"/>
                <w:b/>
                <w:sz w:val="22"/>
                <w:szCs w:val="22"/>
              </w:rPr>
              <w:t xml:space="preserve">Źródło: </w:t>
            </w:r>
            <w:bookmarkStart w:id="3" w:name="Lista1"/>
          </w:p>
          <w:bookmarkEnd w:id="3"/>
          <w:p w14:paraId="7C7750F6" w14:textId="77777777" w:rsidR="001A7CE0" w:rsidRPr="00C134CF" w:rsidRDefault="001A7CE0" w:rsidP="00E07408">
            <w:pPr>
              <w:spacing w:line="240" w:lineRule="auto"/>
              <w:rPr>
                <w:rFonts w:cs="Times New Roman"/>
                <w:sz w:val="22"/>
                <w:szCs w:val="22"/>
              </w:rPr>
            </w:pPr>
            <w:r w:rsidRPr="00C134CF">
              <w:rPr>
                <w:rFonts w:cs="Times New Roman"/>
                <w:sz w:val="22"/>
                <w:szCs w:val="22"/>
              </w:rPr>
              <w:t>art. 16a ust. 9 ustawy z dnia 7 maja 2010 r. o wspieraniu rozwoju usług i sieci telekomunikacyjnych (Dz. U. z 2019 r. poz. 2410 oraz z 2020 r. poz. 471 i 875)</w:t>
            </w:r>
          </w:p>
          <w:p w14:paraId="0869EEEC" w14:textId="77777777" w:rsidR="001A7CE0" w:rsidRPr="00C134CF" w:rsidRDefault="001A7CE0" w:rsidP="00E07408">
            <w:pPr>
              <w:spacing w:line="240" w:lineRule="auto"/>
              <w:rPr>
                <w:rFonts w:cs="Times New Roman"/>
                <w:sz w:val="22"/>
                <w:szCs w:val="22"/>
              </w:rPr>
            </w:pPr>
          </w:p>
          <w:p w14:paraId="62FF8975" w14:textId="77777777" w:rsidR="001A7CE0" w:rsidRPr="00C134CF" w:rsidRDefault="001A7CE0" w:rsidP="00E07408">
            <w:pPr>
              <w:spacing w:before="120" w:line="240" w:lineRule="auto"/>
              <w:rPr>
                <w:rFonts w:cs="Times New Roman"/>
                <w:b/>
                <w:color w:val="000000"/>
                <w:sz w:val="22"/>
                <w:szCs w:val="22"/>
              </w:rPr>
            </w:pPr>
            <w:r w:rsidRPr="00C134CF">
              <w:rPr>
                <w:rFonts w:cs="Times New Roman"/>
                <w:b/>
                <w:color w:val="000000"/>
                <w:sz w:val="22"/>
                <w:szCs w:val="22"/>
              </w:rPr>
              <w:t xml:space="preserve">Nr w wykazie prac </w:t>
            </w:r>
          </w:p>
          <w:p w14:paraId="0049306A" w14:textId="77777777" w:rsidR="001A7CE0" w:rsidRPr="00C134CF" w:rsidRDefault="001A7CE0" w:rsidP="00E07408">
            <w:pPr>
              <w:spacing w:line="240" w:lineRule="auto"/>
              <w:rPr>
                <w:rFonts w:cs="Times New Roman"/>
                <w:color w:val="000000"/>
                <w:sz w:val="22"/>
                <w:szCs w:val="22"/>
              </w:rPr>
            </w:pPr>
            <w:r w:rsidRPr="00C134CF">
              <w:rPr>
                <w:rFonts w:cs="Times New Roman"/>
                <w:color w:val="000000"/>
                <w:sz w:val="22"/>
                <w:szCs w:val="22"/>
              </w:rPr>
              <w:t>158</w:t>
            </w:r>
          </w:p>
          <w:p w14:paraId="12D2FCFF" w14:textId="77777777" w:rsidR="001A7CE0" w:rsidRPr="00C134CF" w:rsidRDefault="001A7CE0" w:rsidP="00E07408">
            <w:pPr>
              <w:spacing w:line="240" w:lineRule="auto"/>
              <w:rPr>
                <w:rFonts w:cs="Times New Roman"/>
                <w:color w:val="000000"/>
                <w:szCs w:val="24"/>
              </w:rPr>
            </w:pPr>
          </w:p>
        </w:tc>
      </w:tr>
      <w:tr w:rsidR="001A7CE0" w:rsidRPr="00E07408" w14:paraId="460ED069" w14:textId="77777777" w:rsidTr="00E07408">
        <w:trPr>
          <w:trHeight w:val="142"/>
          <w:jc w:val="center"/>
        </w:trPr>
        <w:tc>
          <w:tcPr>
            <w:tcW w:w="10937" w:type="dxa"/>
            <w:gridSpan w:val="30"/>
            <w:shd w:val="clear" w:color="auto" w:fill="99CCFF"/>
          </w:tcPr>
          <w:p w14:paraId="1AF1B739" w14:textId="77777777" w:rsidR="001A7CE0" w:rsidRPr="00E07408" w:rsidRDefault="001A7CE0" w:rsidP="00E07408">
            <w:pPr>
              <w:spacing w:line="240" w:lineRule="auto"/>
              <w:ind w:left="57"/>
              <w:jc w:val="center"/>
              <w:rPr>
                <w:rFonts w:cs="Times New Roman"/>
                <w:b/>
                <w:color w:val="FFFFFF"/>
                <w:sz w:val="32"/>
                <w:szCs w:val="32"/>
              </w:rPr>
            </w:pPr>
            <w:r w:rsidRPr="00E07408">
              <w:rPr>
                <w:rFonts w:cs="Times New Roman"/>
                <w:b/>
                <w:color w:val="FFFFFF"/>
                <w:sz w:val="32"/>
                <w:szCs w:val="32"/>
              </w:rPr>
              <w:t>OCENA SKUTKÓW REGULACJI</w:t>
            </w:r>
          </w:p>
        </w:tc>
      </w:tr>
      <w:tr w:rsidR="001A7CE0" w:rsidRPr="00E07408" w14:paraId="5470DFE1" w14:textId="77777777" w:rsidTr="00E07408">
        <w:trPr>
          <w:trHeight w:val="333"/>
          <w:jc w:val="center"/>
        </w:trPr>
        <w:tc>
          <w:tcPr>
            <w:tcW w:w="10937" w:type="dxa"/>
            <w:gridSpan w:val="30"/>
            <w:shd w:val="clear" w:color="auto" w:fill="99CCFF"/>
            <w:vAlign w:val="center"/>
          </w:tcPr>
          <w:p w14:paraId="415E29A8" w14:textId="77777777" w:rsidR="001A7CE0" w:rsidRPr="00C134CF" w:rsidRDefault="001A7CE0" w:rsidP="00147A2A">
            <w:pPr>
              <w:widowControl/>
              <w:numPr>
                <w:ilvl w:val="0"/>
                <w:numId w:val="1"/>
              </w:numPr>
              <w:autoSpaceDE/>
              <w:autoSpaceDN/>
              <w:adjustRightInd/>
              <w:spacing w:before="60" w:after="60" w:line="240" w:lineRule="auto"/>
              <w:ind w:left="318" w:hanging="284"/>
              <w:jc w:val="both"/>
              <w:rPr>
                <w:rFonts w:cs="Times New Roman"/>
                <w:b/>
                <w:color w:val="000000"/>
                <w:sz w:val="22"/>
                <w:szCs w:val="22"/>
              </w:rPr>
            </w:pPr>
            <w:r w:rsidRPr="00C134CF">
              <w:rPr>
                <w:rFonts w:cs="Times New Roman"/>
                <w:b/>
                <w:sz w:val="22"/>
                <w:szCs w:val="22"/>
              </w:rPr>
              <w:t>Jaki problem jest rozwiązywany?</w:t>
            </w:r>
            <w:bookmarkStart w:id="4" w:name="Wybór1"/>
            <w:bookmarkEnd w:id="4"/>
          </w:p>
        </w:tc>
      </w:tr>
      <w:tr w:rsidR="001A7CE0" w:rsidRPr="00E07408" w14:paraId="2D12414D" w14:textId="77777777" w:rsidTr="00E07408">
        <w:trPr>
          <w:trHeight w:val="142"/>
          <w:jc w:val="center"/>
        </w:trPr>
        <w:tc>
          <w:tcPr>
            <w:tcW w:w="10937" w:type="dxa"/>
            <w:gridSpan w:val="30"/>
            <w:shd w:val="clear" w:color="auto" w:fill="FFFFFF"/>
          </w:tcPr>
          <w:p w14:paraId="0949B061" w14:textId="77777777" w:rsidR="001A7CE0" w:rsidRPr="00C134CF" w:rsidRDefault="001A7CE0" w:rsidP="00E07408">
            <w:pPr>
              <w:spacing w:after="120" w:line="240" w:lineRule="auto"/>
              <w:jc w:val="both"/>
              <w:rPr>
                <w:rFonts w:cs="Times New Roman"/>
                <w:bCs/>
                <w:sz w:val="22"/>
                <w:szCs w:val="22"/>
                <w:shd w:val="clear" w:color="auto" w:fill="FFFFFF"/>
              </w:rPr>
            </w:pPr>
            <w:r w:rsidRPr="00C134CF">
              <w:rPr>
                <w:rFonts w:cs="Times New Roman"/>
                <w:bCs/>
                <w:sz w:val="22"/>
                <w:szCs w:val="22"/>
                <w:shd w:val="clear" w:color="auto" w:fill="FFFFFF"/>
              </w:rPr>
              <w:t>W dniu 10 marca 2020 r. Rada Ministrów przyjęła aktualizację Narodowego Planu Szerokopasmowego (dalej jako „NPS”)</w:t>
            </w:r>
            <w:r w:rsidR="00CA2F49">
              <w:rPr>
                <w:rFonts w:cs="Times New Roman"/>
                <w:bCs/>
                <w:sz w:val="22"/>
                <w:szCs w:val="22"/>
                <w:shd w:val="clear" w:color="auto" w:fill="FFFFFF"/>
              </w:rPr>
              <w:t xml:space="preserve"> </w:t>
            </w:r>
            <w:r w:rsidRPr="00C134CF">
              <w:rPr>
                <w:rFonts w:cs="Times New Roman"/>
                <w:bCs/>
                <w:sz w:val="22"/>
                <w:szCs w:val="22"/>
                <w:shd w:val="clear" w:color="auto" w:fill="FFFFFF"/>
              </w:rPr>
              <w:t>– rządowego programu rozwoju określającego cele w zakresie powszechnego dostępu do szybkiego i bardzo szybkiego Internetu, a także środki dla realizacji tych celów. W obliczu gwałtownie zmieniających się trendów technologicznych w telekomunikacji oraz współbieżnej do nich ewolucji potrzeb konsumentów i przedsiębiorców w zakresie jakości usług łączności elektronicznej, aktualizacja NPS określiła następujące główne cele Państwa w tym obszarze:</w:t>
            </w:r>
          </w:p>
          <w:p w14:paraId="6B003375" w14:textId="77777777" w:rsidR="001A7CE0" w:rsidRPr="00C134CF" w:rsidRDefault="001A7CE0" w:rsidP="00147A2A">
            <w:pPr>
              <w:pStyle w:val="Akapitzlist"/>
              <w:numPr>
                <w:ilvl w:val="0"/>
                <w:numId w:val="3"/>
              </w:numPr>
              <w:spacing w:after="120" w:line="240" w:lineRule="auto"/>
              <w:jc w:val="both"/>
              <w:rPr>
                <w:rFonts w:ascii="Times New Roman" w:hAnsi="Times New Roman" w:cs="Times New Roman"/>
                <w:bCs/>
                <w:shd w:val="clear" w:color="auto" w:fill="FFFFFF"/>
                <w:lang w:val="pl-PL"/>
              </w:rPr>
            </w:pPr>
            <w:r w:rsidRPr="00C134CF">
              <w:rPr>
                <w:rFonts w:ascii="Times New Roman" w:hAnsi="Times New Roman" w:cs="Times New Roman"/>
                <w:bCs/>
                <w:shd w:val="clear" w:color="auto" w:fill="FFFFFF"/>
                <w:lang w:val="pl-PL"/>
              </w:rPr>
              <w:t xml:space="preserve">zapewnienie wszystkim gospodarstwom domowym do 2025 roku dostępu do Internetu o przepustowości co najmniej 100 </w:t>
            </w:r>
            <w:proofErr w:type="spellStart"/>
            <w:r w:rsidRPr="00C134CF">
              <w:rPr>
                <w:rFonts w:ascii="Times New Roman" w:hAnsi="Times New Roman" w:cs="Times New Roman"/>
                <w:bCs/>
                <w:shd w:val="clear" w:color="auto" w:fill="FFFFFF"/>
                <w:lang w:val="pl-PL"/>
              </w:rPr>
              <w:t>Mb</w:t>
            </w:r>
            <w:proofErr w:type="spellEnd"/>
            <w:r w:rsidRPr="00C134CF">
              <w:rPr>
                <w:rFonts w:ascii="Times New Roman" w:hAnsi="Times New Roman" w:cs="Times New Roman"/>
                <w:bCs/>
                <w:shd w:val="clear" w:color="auto" w:fill="FFFFFF"/>
                <w:lang w:val="pl-PL"/>
              </w:rPr>
              <w:t xml:space="preserve">/s w oparciu o sieci, które umożliwią także świadczenie usług o przepustowościach mierzonych w </w:t>
            </w:r>
            <w:proofErr w:type="spellStart"/>
            <w:r w:rsidRPr="00C134CF">
              <w:rPr>
                <w:rFonts w:ascii="Times New Roman" w:hAnsi="Times New Roman" w:cs="Times New Roman"/>
                <w:bCs/>
                <w:shd w:val="clear" w:color="auto" w:fill="FFFFFF"/>
                <w:lang w:val="pl-PL"/>
              </w:rPr>
              <w:t>Gb</w:t>
            </w:r>
            <w:proofErr w:type="spellEnd"/>
            <w:r w:rsidRPr="00C134CF">
              <w:rPr>
                <w:rFonts w:ascii="Times New Roman" w:hAnsi="Times New Roman" w:cs="Times New Roman"/>
                <w:bCs/>
                <w:shd w:val="clear" w:color="auto" w:fill="FFFFFF"/>
                <w:lang w:val="pl-PL"/>
              </w:rPr>
              <w:t>/s;</w:t>
            </w:r>
          </w:p>
          <w:p w14:paraId="01C2EE84" w14:textId="77777777" w:rsidR="001A7CE0" w:rsidRPr="00C134CF" w:rsidRDefault="001A7CE0" w:rsidP="00147A2A">
            <w:pPr>
              <w:pStyle w:val="Akapitzlist"/>
              <w:numPr>
                <w:ilvl w:val="0"/>
                <w:numId w:val="3"/>
              </w:numPr>
              <w:spacing w:after="120" w:line="240" w:lineRule="auto"/>
              <w:jc w:val="both"/>
              <w:rPr>
                <w:rFonts w:ascii="Times New Roman" w:hAnsi="Times New Roman" w:cs="Times New Roman"/>
                <w:bCs/>
                <w:shd w:val="clear" w:color="auto" w:fill="FFFFFF"/>
                <w:lang w:val="pl-PL"/>
              </w:rPr>
            </w:pPr>
            <w:r w:rsidRPr="00C134CF">
              <w:rPr>
                <w:rFonts w:ascii="Times New Roman" w:hAnsi="Times New Roman" w:cs="Times New Roman"/>
                <w:bCs/>
                <w:shd w:val="clear" w:color="auto" w:fill="FFFFFF"/>
                <w:lang w:val="pl-PL"/>
              </w:rPr>
              <w:t xml:space="preserve">zapewnienie do 2025 roku dostępu do Internetu o przepustowości co najmniej 1 </w:t>
            </w:r>
            <w:proofErr w:type="spellStart"/>
            <w:r w:rsidRPr="00C134CF">
              <w:rPr>
                <w:rFonts w:ascii="Times New Roman" w:hAnsi="Times New Roman" w:cs="Times New Roman"/>
                <w:bCs/>
                <w:shd w:val="clear" w:color="auto" w:fill="FFFFFF"/>
                <w:lang w:val="pl-PL"/>
              </w:rPr>
              <w:t>Gb</w:t>
            </w:r>
            <w:proofErr w:type="spellEnd"/>
            <w:r w:rsidRPr="00C134CF">
              <w:rPr>
                <w:rFonts w:ascii="Times New Roman" w:hAnsi="Times New Roman" w:cs="Times New Roman"/>
                <w:bCs/>
                <w:shd w:val="clear" w:color="auto" w:fill="FFFFFF"/>
                <w:lang w:val="pl-PL"/>
              </w:rPr>
              <w:t>/s dla wszystkich miejsc stanowiących główną siłę napędową rozwoju społeczno-gospodarczego (takich jak szkoły, placówki służby zdrowia, miejsca świadczenia usług publicznych, czy węzły transportowe);</w:t>
            </w:r>
          </w:p>
          <w:p w14:paraId="2E44FDB8" w14:textId="77777777" w:rsidR="001A7CE0" w:rsidRPr="00C134CF" w:rsidRDefault="001A7CE0" w:rsidP="00147A2A">
            <w:pPr>
              <w:pStyle w:val="Akapitzlist"/>
              <w:numPr>
                <w:ilvl w:val="0"/>
                <w:numId w:val="3"/>
              </w:numPr>
              <w:spacing w:after="120" w:line="240" w:lineRule="auto"/>
              <w:jc w:val="both"/>
              <w:rPr>
                <w:rFonts w:ascii="Times New Roman" w:hAnsi="Times New Roman" w:cs="Times New Roman"/>
                <w:bCs/>
                <w:shd w:val="clear" w:color="auto" w:fill="FFFFFF"/>
                <w:lang w:val="pl-PL"/>
              </w:rPr>
            </w:pPr>
            <w:r w:rsidRPr="00C134CF">
              <w:rPr>
                <w:rFonts w:ascii="Times New Roman" w:hAnsi="Times New Roman" w:cs="Times New Roman"/>
                <w:bCs/>
                <w:shd w:val="clear" w:color="auto" w:fill="FFFFFF"/>
                <w:lang w:val="pl-PL"/>
              </w:rPr>
              <w:t>zapewnienie łączności w sieciach 5G w co najmniej 1 głównym mieście do roku 2020 oraz w co najmniej wszystkich głównych ośrodkach miejskich i wzdłuż głównych kolejowych i drogowych szlaków komunikacyjnych do roku 2025.</w:t>
            </w:r>
          </w:p>
          <w:p w14:paraId="27C6456D" w14:textId="38AC5685" w:rsidR="001A7CE0" w:rsidRPr="00C134CF" w:rsidRDefault="001A7CE0" w:rsidP="00E07408">
            <w:pPr>
              <w:spacing w:after="120" w:line="240" w:lineRule="auto"/>
              <w:jc w:val="both"/>
              <w:rPr>
                <w:rFonts w:cs="Times New Roman"/>
                <w:bCs/>
                <w:sz w:val="22"/>
                <w:szCs w:val="22"/>
                <w:shd w:val="clear" w:color="auto" w:fill="FFFFFF"/>
              </w:rPr>
            </w:pPr>
            <w:r w:rsidRPr="00C134CF">
              <w:rPr>
                <w:rFonts w:cs="Times New Roman"/>
                <w:bCs/>
                <w:sz w:val="22"/>
                <w:szCs w:val="22"/>
                <w:shd w:val="clear" w:color="auto" w:fill="FFFFFF"/>
              </w:rPr>
              <w:t xml:space="preserve">Cele określone w aktualizacji NPS są spójne z celami europejskimi, określonymi przez Komisję Europejską w komunikacie </w:t>
            </w:r>
            <w:r w:rsidRPr="00C134CF">
              <w:rPr>
                <w:rFonts w:cs="Times New Roman"/>
                <w:bCs/>
                <w:i/>
                <w:sz w:val="22"/>
                <w:szCs w:val="22"/>
                <w:shd w:val="clear" w:color="auto" w:fill="FFFFFF"/>
              </w:rPr>
              <w:t>Łączność dla Konkurencyjnego Jednolitego Rynku Cyfrowego: w kierunku europejskiego społeczeństwa gigabitowego</w:t>
            </w:r>
            <w:r w:rsidRPr="004D02B6">
              <w:rPr>
                <w:rStyle w:val="IGindeksgrny"/>
              </w:rPr>
              <w:footnoteReference w:id="4"/>
            </w:r>
            <w:r w:rsidR="004D02B6" w:rsidRPr="004D02B6">
              <w:rPr>
                <w:rStyle w:val="IGindeksgrny"/>
              </w:rPr>
              <w:t>)</w:t>
            </w:r>
            <w:r w:rsidRPr="00C134CF">
              <w:rPr>
                <w:rFonts w:cs="Times New Roman"/>
                <w:bCs/>
                <w:sz w:val="22"/>
                <w:szCs w:val="22"/>
                <w:shd w:val="clear" w:color="auto" w:fill="FFFFFF"/>
              </w:rPr>
              <w:t>, który stanowi kontynuację strategii polityki wspólnotowej w obszarze dostępu do szybkiego Internetu, określonej w</w:t>
            </w:r>
            <w:r w:rsidR="003458F3">
              <w:rPr>
                <w:rFonts w:cs="Times New Roman"/>
                <w:bCs/>
                <w:sz w:val="22"/>
                <w:szCs w:val="22"/>
                <w:shd w:val="clear" w:color="auto" w:fill="FFFFFF"/>
              </w:rPr>
              <w:t> </w:t>
            </w:r>
            <w:r w:rsidRPr="00C134CF">
              <w:rPr>
                <w:rFonts w:cs="Times New Roman"/>
                <w:bCs/>
                <w:i/>
                <w:sz w:val="22"/>
                <w:szCs w:val="22"/>
                <w:shd w:val="clear" w:color="auto" w:fill="FFFFFF"/>
              </w:rPr>
              <w:t>Europejskiej Agendzie Cyfrowej</w:t>
            </w:r>
            <w:r w:rsidRPr="00C134CF">
              <w:rPr>
                <w:rFonts w:cs="Times New Roman"/>
                <w:bCs/>
                <w:sz w:val="22"/>
                <w:szCs w:val="22"/>
                <w:shd w:val="clear" w:color="auto" w:fill="FFFFFF"/>
              </w:rPr>
              <w:t>.</w:t>
            </w:r>
          </w:p>
          <w:p w14:paraId="7C623F4F" w14:textId="467FF752" w:rsidR="001A7CE0" w:rsidRPr="00C134CF" w:rsidRDefault="001A7CE0" w:rsidP="00E07408">
            <w:pPr>
              <w:spacing w:after="120" w:line="240" w:lineRule="auto"/>
              <w:jc w:val="both"/>
              <w:rPr>
                <w:rFonts w:cs="Times New Roman"/>
                <w:bCs/>
                <w:sz w:val="22"/>
                <w:szCs w:val="22"/>
                <w:shd w:val="clear" w:color="auto" w:fill="FFFFFF"/>
              </w:rPr>
            </w:pPr>
            <w:r w:rsidRPr="00C134CF">
              <w:rPr>
                <w:rFonts w:cs="Times New Roman"/>
                <w:bCs/>
                <w:sz w:val="22"/>
                <w:szCs w:val="22"/>
                <w:shd w:val="clear" w:color="auto" w:fill="FFFFFF"/>
              </w:rPr>
              <w:t xml:space="preserve">W NPS dokonano diagnozy rynku dostępu do usług łączności elektronicznej w Polsce, w tym istniejącego poziomu realizacji nowych celów NPS oraz wynikającej stąd luki w podaży infrastruktury realizującej te cele, a także oszacowano nakłady inwestycyjne niezbędne do zapewnienia tej infrastruktury. Zdefiniowano także mocne i słabe strony rynku oraz stojące przed nim szanse i zagrożenia, wśród których najważniejszym jest utrzymywanie się szeregu administracyjno-prawnych barier inwestycyjnych, które negatywnie wpływają na </w:t>
            </w:r>
            <w:proofErr w:type="spellStart"/>
            <w:r w:rsidRPr="00C134CF">
              <w:rPr>
                <w:rFonts w:cs="Times New Roman"/>
                <w:bCs/>
                <w:sz w:val="22"/>
                <w:szCs w:val="22"/>
                <w:shd w:val="clear" w:color="auto" w:fill="FFFFFF"/>
              </w:rPr>
              <w:t>koszto</w:t>
            </w:r>
            <w:proofErr w:type="spellEnd"/>
            <w:r w:rsidRPr="00C134CF">
              <w:rPr>
                <w:rFonts w:cs="Times New Roman"/>
                <w:bCs/>
                <w:sz w:val="22"/>
                <w:szCs w:val="22"/>
                <w:shd w:val="clear" w:color="auto" w:fill="FFFFFF"/>
              </w:rPr>
              <w:t>- i czasochłonność procesów inwestycyjnych w</w:t>
            </w:r>
            <w:r w:rsidR="003458F3">
              <w:rPr>
                <w:rFonts w:cs="Times New Roman"/>
                <w:bCs/>
                <w:sz w:val="22"/>
                <w:szCs w:val="22"/>
                <w:shd w:val="clear" w:color="auto" w:fill="FFFFFF"/>
              </w:rPr>
              <w:t> </w:t>
            </w:r>
            <w:r w:rsidRPr="00C134CF">
              <w:rPr>
                <w:rFonts w:cs="Times New Roman"/>
                <w:bCs/>
                <w:sz w:val="22"/>
                <w:szCs w:val="22"/>
                <w:shd w:val="clear" w:color="auto" w:fill="FFFFFF"/>
              </w:rPr>
              <w:t xml:space="preserve">nowoczesną infrastrukturę telekomunikacyjną oraz na koszty jej późniejszego utrzymania, a przez to istotnie ograniczają potencjał inwestycyjny rynku telekomunikacyjnego. Cierpią na tym w szczególności obszary oddalone (wiejskie), które </w:t>
            </w:r>
            <w:r w:rsidRPr="00C134CF">
              <w:rPr>
                <w:rFonts w:cs="Times New Roman"/>
                <w:bCs/>
                <w:sz w:val="22"/>
                <w:szCs w:val="22"/>
                <w:shd w:val="clear" w:color="auto" w:fill="FFFFFF"/>
              </w:rPr>
              <w:lastRenderedPageBreak/>
              <w:t>już ze swej istoty (niska gęstość zaludnienia, rozproszona zabudowa itd.) nie stanowią obszarów atrakcyjnych inwestycyjnie. Należy bowiem dodać, że inwestycje w infrastrukturę telekomunikacyjną – w odróżnieniu od inwestycji np. w infrastrukturę transportową – są inwestycjami komercyjnymi, w związku z czym decyzje o podjęciu tych inwestycji podejmowane są w oparciu o przesłanki ekonomicznej opłacalności.</w:t>
            </w:r>
          </w:p>
          <w:p w14:paraId="6023BC4C" w14:textId="363FD7CF" w:rsidR="001A7CE0" w:rsidRPr="00C134CF" w:rsidRDefault="001A7CE0" w:rsidP="00E07408">
            <w:pPr>
              <w:spacing w:after="120" w:line="240" w:lineRule="auto"/>
              <w:jc w:val="both"/>
              <w:rPr>
                <w:rFonts w:cs="Times New Roman"/>
                <w:bCs/>
                <w:sz w:val="22"/>
                <w:szCs w:val="22"/>
                <w:shd w:val="clear" w:color="auto" w:fill="FFFFFF"/>
              </w:rPr>
            </w:pPr>
            <w:r w:rsidRPr="00C134CF">
              <w:rPr>
                <w:rFonts w:cs="Times New Roman"/>
                <w:bCs/>
                <w:sz w:val="22"/>
                <w:szCs w:val="22"/>
                <w:shd w:val="clear" w:color="auto" w:fill="FFFFFF"/>
              </w:rPr>
              <w:t>Jak wskazano powyżej, w aktualizacji NPS dokonano szacunków w zakresie potrzeb finansowych niezbędnych do zrealizowania przez operatorów telekomunikacyjnych inwestycji w infrastrukturę telekomunikacyjną w skali, jaka pozwoli osiągnąć cele określone w NPS, z uwzględnieniem szacunków w zakresie zdolności inwestycyjnych operatorów w okresie objętym programowaniem NPS. Dla celów w zakresie powszechnej podaży usług dostępu do bardzo szybkiego Internetu koszty inwestycyjne zostały oszacowane na poziomie od 17,47 mld zł do 24,77 mld zł dla sieci przewodowych oraz od 5,93 mld zł do 10,47 mld zł dla sieci bezprzewodowych</w:t>
            </w:r>
            <w:r w:rsidRPr="00C134CF">
              <w:rPr>
                <w:rStyle w:val="Odwoanieprzypisudolnego"/>
                <w:bCs/>
                <w:sz w:val="22"/>
                <w:szCs w:val="22"/>
                <w:shd w:val="clear" w:color="auto" w:fill="FFFFFF"/>
              </w:rPr>
              <w:footnoteReference w:id="5"/>
            </w:r>
            <w:r w:rsidRPr="00C134CF">
              <w:rPr>
                <w:rFonts w:cs="Times New Roman"/>
                <w:bCs/>
                <w:sz w:val="22"/>
                <w:szCs w:val="22"/>
                <w:shd w:val="clear" w:color="auto" w:fill="FFFFFF"/>
              </w:rPr>
              <w:t>. Z kolei koszty inwestycji w kolejne generacje sieci dostępu bezprzewodowego zostały oszacowane na poziomie od 9,57 do 13,34 mld zł</w:t>
            </w:r>
            <w:r w:rsidRPr="00C134CF">
              <w:rPr>
                <w:rStyle w:val="Odwoanieprzypisudolnego"/>
                <w:bCs/>
                <w:sz w:val="22"/>
                <w:szCs w:val="22"/>
                <w:shd w:val="clear" w:color="auto" w:fill="FFFFFF"/>
              </w:rPr>
              <w:footnoteReference w:id="6"/>
            </w:r>
            <w:r w:rsidRPr="00C134CF">
              <w:rPr>
                <w:rFonts w:cs="Times New Roman"/>
                <w:bCs/>
                <w:sz w:val="22"/>
                <w:szCs w:val="22"/>
                <w:shd w:val="clear" w:color="auto" w:fill="FFFFFF"/>
              </w:rPr>
              <w:t>. Potencjalna luka finansowa realizacji celów NPS – jako różnica pomiędzy wielkością niezbędnych nakładów inwestycyjnych, a możliwościami finansowymi operatorów – została zaś oszacowana na poziomie od 15,50 mld zł do nawet 38,11 mld zł. Wartości te pokazują, jak ogromne wyzwanie stoi przed Polską i działającymi na polskim rynku operatorami w celu zapewnienia społeczeństwu i</w:t>
            </w:r>
            <w:r w:rsidR="003458F3">
              <w:rPr>
                <w:rFonts w:cs="Times New Roman"/>
                <w:bCs/>
                <w:sz w:val="22"/>
                <w:szCs w:val="22"/>
                <w:shd w:val="clear" w:color="auto" w:fill="FFFFFF"/>
              </w:rPr>
              <w:t> </w:t>
            </w:r>
            <w:r w:rsidRPr="00C134CF">
              <w:rPr>
                <w:rFonts w:cs="Times New Roman"/>
                <w:bCs/>
                <w:sz w:val="22"/>
                <w:szCs w:val="22"/>
                <w:shd w:val="clear" w:color="auto" w:fill="FFFFFF"/>
              </w:rPr>
              <w:t>gospodarce równości szans oraz możliwości rozwoju i budowy przewag konkurencyjnych w oparciu o wykorzystanie najnowszych technologii informacyjno-komunikacyjnych.</w:t>
            </w:r>
          </w:p>
          <w:p w14:paraId="55FBA086" w14:textId="77777777" w:rsidR="001A7CE0" w:rsidRPr="00C134CF" w:rsidRDefault="001A7CE0" w:rsidP="00E07408">
            <w:pPr>
              <w:spacing w:after="120" w:line="240" w:lineRule="auto"/>
              <w:jc w:val="both"/>
              <w:rPr>
                <w:rFonts w:cs="Times New Roman"/>
                <w:bCs/>
                <w:sz w:val="22"/>
                <w:szCs w:val="22"/>
                <w:shd w:val="clear" w:color="auto" w:fill="FFFFFF"/>
              </w:rPr>
            </w:pPr>
            <w:r w:rsidRPr="00C134CF">
              <w:rPr>
                <w:rFonts w:cs="Times New Roman"/>
                <w:bCs/>
                <w:sz w:val="22"/>
                <w:szCs w:val="22"/>
                <w:shd w:val="clear" w:color="auto" w:fill="FFFFFF"/>
              </w:rPr>
              <w:t xml:space="preserve">Państwo od wielu lat wspiera finansowo zwiększanie możliwości dostępu obywateli do nowoczesnych usług telekomunikacyjnych, współfinansując inwestycje w infrastrukturę szerokopasmową na trwale wykluczonych cyfrowo obszarach tzw. białych plam (w obecnej perspektywie finansowej w ramach I osi priorytetowej Programu Operacyjnego Polska Cyfrowa, dzięki której dostęp do szybkiego Internetu zostanie zapewniony dla prawie 2 mln gospodarstw domowych i ponad 13 tys. szkół z terenów wiejskich i </w:t>
            </w:r>
            <w:proofErr w:type="spellStart"/>
            <w:r w:rsidRPr="00C134CF">
              <w:rPr>
                <w:rFonts w:cs="Times New Roman"/>
                <w:bCs/>
                <w:sz w:val="22"/>
                <w:szCs w:val="22"/>
                <w:shd w:val="clear" w:color="auto" w:fill="FFFFFF"/>
              </w:rPr>
              <w:t>suburbanizowanych</w:t>
            </w:r>
            <w:proofErr w:type="spellEnd"/>
            <w:r w:rsidRPr="00C134CF">
              <w:rPr>
                <w:rFonts w:cs="Times New Roman"/>
                <w:bCs/>
                <w:sz w:val="22"/>
                <w:szCs w:val="22"/>
                <w:shd w:val="clear" w:color="auto" w:fill="FFFFFF"/>
              </w:rPr>
              <w:t>). Budżet tych działań jest jednak niewystarczający do zniwelowania terytorialnych różnic w możliwości dostępu do Internetu o wysokich przepustowościach, jak również do zapewnienia wszystkim obywatelom równych możliwości korzystania z usług szybkiej łączności elektronicznej.</w:t>
            </w:r>
          </w:p>
          <w:p w14:paraId="314A2A9E" w14:textId="4A4703EE" w:rsidR="001A7CE0" w:rsidRDefault="001A7CE0" w:rsidP="00E07408">
            <w:pPr>
              <w:spacing w:after="120" w:line="240" w:lineRule="auto"/>
              <w:jc w:val="both"/>
              <w:rPr>
                <w:rFonts w:cs="Times New Roman"/>
                <w:bCs/>
                <w:sz w:val="22"/>
                <w:szCs w:val="22"/>
                <w:shd w:val="clear" w:color="auto" w:fill="FFFFFF"/>
              </w:rPr>
            </w:pPr>
            <w:r w:rsidRPr="00C134CF">
              <w:rPr>
                <w:rFonts w:cs="Times New Roman"/>
                <w:bCs/>
                <w:sz w:val="22"/>
                <w:szCs w:val="22"/>
                <w:shd w:val="clear" w:color="auto" w:fill="FFFFFF"/>
              </w:rPr>
              <w:t>Znaczenie powszechnego dostępu do szybkiego Internetu zostało także wzmocnione w związku z wystąpieniem stanu epidemii wirusa SARS-CoV-2, podczas którego wprowadzono ograniczenia m.in. w przemieszczaniu się obywateli. W</w:t>
            </w:r>
            <w:r w:rsidR="003458F3">
              <w:rPr>
                <w:rFonts w:cs="Times New Roman"/>
                <w:bCs/>
                <w:sz w:val="22"/>
                <w:szCs w:val="22"/>
                <w:shd w:val="clear" w:color="auto" w:fill="FFFFFF"/>
              </w:rPr>
              <w:t> </w:t>
            </w:r>
            <w:r w:rsidRPr="00C134CF">
              <w:rPr>
                <w:rFonts w:cs="Times New Roman"/>
                <w:bCs/>
                <w:sz w:val="22"/>
                <w:szCs w:val="22"/>
                <w:shd w:val="clear" w:color="auto" w:fill="FFFFFF"/>
              </w:rPr>
              <w:t>reakcji na te ograniczenia większość społeczeństwa i gospodarki została zmuszona przejść do funkcjonowania w trybie zdalnym (zdalna praca, zdalna szkoła, itd.), do czego niezbędne jest posiadanie przez wszystkich mieszkańców kraju dostępu do stabilnego, szybkiego łącza internetowego.</w:t>
            </w:r>
          </w:p>
          <w:p w14:paraId="0551C57F" w14:textId="216E923C" w:rsidR="00CA2F49" w:rsidRPr="00C134CF" w:rsidRDefault="00CA2F49" w:rsidP="00E07408">
            <w:pPr>
              <w:spacing w:after="120" w:line="240" w:lineRule="auto"/>
              <w:jc w:val="both"/>
              <w:rPr>
                <w:rFonts w:cs="Times New Roman"/>
                <w:color w:val="000000"/>
                <w:sz w:val="22"/>
                <w:szCs w:val="22"/>
              </w:rPr>
            </w:pPr>
            <w:r>
              <w:rPr>
                <w:rFonts w:cs="Times New Roman"/>
                <w:bCs/>
                <w:sz w:val="22"/>
                <w:szCs w:val="22"/>
                <w:shd w:val="clear" w:color="auto" w:fill="FFFFFF"/>
              </w:rPr>
              <w:t>Za podażą nowoczesnych usług telekomunikacyjnych powinny podążać działania wspierające popyt na te usługi, w</w:t>
            </w:r>
            <w:r w:rsidR="003458F3">
              <w:rPr>
                <w:rFonts w:cs="Times New Roman"/>
                <w:bCs/>
                <w:sz w:val="22"/>
                <w:szCs w:val="22"/>
                <w:shd w:val="clear" w:color="auto" w:fill="FFFFFF"/>
              </w:rPr>
              <w:t> </w:t>
            </w:r>
            <w:r>
              <w:rPr>
                <w:rFonts w:cs="Times New Roman"/>
                <w:bCs/>
                <w:sz w:val="22"/>
                <w:szCs w:val="22"/>
                <w:shd w:val="clear" w:color="auto" w:fill="FFFFFF"/>
              </w:rPr>
              <w:t xml:space="preserve">szczególności dotyczące rozwoju kompetencji cyfrowych. </w:t>
            </w:r>
            <w:r w:rsidR="004564B6" w:rsidRPr="004564B6">
              <w:rPr>
                <w:rFonts w:cs="Times New Roman"/>
                <w:bCs/>
                <w:sz w:val="22"/>
                <w:szCs w:val="22"/>
                <w:shd w:val="clear" w:color="auto" w:fill="FFFFFF"/>
              </w:rPr>
              <w:t>Strategia na rzecz Odpowiedzialnego Rozwoju (SOR) zwraca uwagę na kluczowe znacznie kompetencji cyfrowych wskazując, iż nie będzie możliwe przejście do modelu gospodarki opartej na wiedzy i uzyskanie przez Polskę przewagi konkurencyjnej w XXI wieku bez szerokiego wykorzystania</w:t>
            </w:r>
            <w:r w:rsidR="004564B6">
              <w:rPr>
                <w:rFonts w:cs="Times New Roman"/>
                <w:bCs/>
                <w:sz w:val="22"/>
                <w:szCs w:val="22"/>
                <w:shd w:val="clear" w:color="auto" w:fill="FFFFFF"/>
              </w:rPr>
              <w:t xml:space="preserve"> tych kompetencji.</w:t>
            </w:r>
          </w:p>
        </w:tc>
      </w:tr>
      <w:tr w:rsidR="001A7CE0" w:rsidRPr="00E07408" w14:paraId="6A5D27A7" w14:textId="77777777" w:rsidTr="00E07408">
        <w:trPr>
          <w:trHeight w:val="142"/>
          <w:jc w:val="center"/>
        </w:trPr>
        <w:tc>
          <w:tcPr>
            <w:tcW w:w="10937" w:type="dxa"/>
            <w:gridSpan w:val="30"/>
            <w:shd w:val="clear" w:color="auto" w:fill="99CCFF"/>
            <w:vAlign w:val="center"/>
          </w:tcPr>
          <w:p w14:paraId="305FE83D" w14:textId="77777777" w:rsidR="001A7CE0" w:rsidRPr="00C134CF" w:rsidRDefault="001A7CE0" w:rsidP="00147A2A">
            <w:pPr>
              <w:widowControl/>
              <w:numPr>
                <w:ilvl w:val="0"/>
                <w:numId w:val="1"/>
              </w:numPr>
              <w:autoSpaceDE/>
              <w:autoSpaceDN/>
              <w:adjustRightInd/>
              <w:spacing w:before="60" w:after="60" w:line="240" w:lineRule="auto"/>
              <w:ind w:left="318" w:hanging="284"/>
              <w:jc w:val="both"/>
              <w:rPr>
                <w:rFonts w:cs="Times New Roman"/>
                <w:b/>
                <w:color w:val="000000"/>
                <w:sz w:val="22"/>
                <w:szCs w:val="22"/>
              </w:rPr>
            </w:pPr>
            <w:r w:rsidRPr="00C134CF">
              <w:rPr>
                <w:rFonts w:cs="Times New Roman"/>
                <w:b/>
                <w:color w:val="000000"/>
                <w:spacing w:val="-2"/>
                <w:sz w:val="22"/>
                <w:szCs w:val="22"/>
              </w:rPr>
              <w:lastRenderedPageBreak/>
              <w:t>Rekomendowane rozwiązanie, w tym planowane narzędzia interwencji, i oczekiwany efekt</w:t>
            </w:r>
          </w:p>
        </w:tc>
      </w:tr>
      <w:tr w:rsidR="001A7CE0" w:rsidRPr="00E07408" w14:paraId="0EE5490B" w14:textId="77777777" w:rsidTr="00E07408">
        <w:trPr>
          <w:trHeight w:val="142"/>
          <w:jc w:val="center"/>
        </w:trPr>
        <w:tc>
          <w:tcPr>
            <w:tcW w:w="10937" w:type="dxa"/>
            <w:gridSpan w:val="30"/>
            <w:shd w:val="clear" w:color="auto" w:fill="auto"/>
          </w:tcPr>
          <w:p w14:paraId="12C7140D" w14:textId="77777777" w:rsidR="001A7CE0" w:rsidRPr="00C134CF" w:rsidRDefault="001A7CE0" w:rsidP="00E07408">
            <w:pPr>
              <w:spacing w:after="120" w:line="240" w:lineRule="auto"/>
              <w:jc w:val="both"/>
              <w:rPr>
                <w:rFonts w:cs="Times New Roman"/>
                <w:sz w:val="22"/>
                <w:szCs w:val="22"/>
              </w:rPr>
            </w:pPr>
            <w:r w:rsidRPr="00C134CF">
              <w:rPr>
                <w:rFonts w:cs="Times New Roman"/>
                <w:bCs/>
                <w:sz w:val="22"/>
                <w:szCs w:val="22"/>
                <w:shd w:val="clear" w:color="auto" w:fill="FFFFFF"/>
              </w:rPr>
              <w:t xml:space="preserve">W dobie wyzwań stojących przed Polską oraz prawdopodobnym, znaczącym ograniczeniem funduszy zewnętrznych możliwych do przeznaczenia na wsparcie publiczne inwestycji w szybkie sieci szerokopasmowe, ustawa z dnia 30 sierpnia 2019 r. o zmianie ustawy o wspieraniu rozwoju usług i sieci telekomunikacyjnych oraz niektórych innych ustaw utworzyła tzw. Fundusz Szerokopasmowy, którego </w:t>
            </w:r>
            <w:r w:rsidRPr="00C134CF">
              <w:rPr>
                <w:rFonts w:cs="Times New Roman"/>
                <w:sz w:val="22"/>
                <w:szCs w:val="22"/>
              </w:rPr>
              <w:t>celem jest wspieranie działań prowadzących do rozwoju podaży i popytu na nowoczesne usługi łączności elektronicznej oraz rozwoju kompetencji cyfrowych społeczeństwa. Roczne przychody tego Funduszu wynosić będą ok. 13</w:t>
            </w:r>
            <w:r w:rsidR="004564B6">
              <w:rPr>
                <w:rFonts w:cs="Times New Roman"/>
                <w:sz w:val="22"/>
                <w:szCs w:val="22"/>
              </w:rPr>
              <w:t>0</w:t>
            </w:r>
            <w:r w:rsidRPr="00C134CF">
              <w:rPr>
                <w:rFonts w:cs="Times New Roman"/>
                <w:sz w:val="22"/>
                <w:szCs w:val="22"/>
              </w:rPr>
              <w:t xml:space="preserve"> mln zł (a w 2020 roku – 87 mln zł). Ustawa określiła minimalny zakres zasad, na podstawie których Fundusz ten ma funkcjonować, natomiast do dookreślenia w drodze rozporządzenia delegowała sprawy szczegółowych warunków i trybu udzielania wsparcia ze środków Funduszu, z uwzględnieniem ustawowego </w:t>
            </w:r>
            <w:r w:rsidRPr="00C134CF">
              <w:rPr>
                <w:rFonts w:cs="Times New Roman"/>
                <w:sz w:val="22"/>
                <w:szCs w:val="22"/>
              </w:rPr>
              <w:lastRenderedPageBreak/>
              <w:t>przeznaczenia tych środków, dbałości o ich racjonalne gospodarowanie oraz z poszanowaniem zasad dotyczących udzielania pomocy publicznej.</w:t>
            </w:r>
          </w:p>
          <w:p w14:paraId="7A58FD27" w14:textId="77777777" w:rsidR="004564B6" w:rsidRDefault="004564B6" w:rsidP="008A36B2">
            <w:pPr>
              <w:pStyle w:val="NIEARTTEKSTtekstnieartykuowanynppodstprawnarozplubpreambua"/>
              <w:spacing w:before="0" w:line="240" w:lineRule="auto"/>
              <w:ind w:firstLine="0"/>
              <w:rPr>
                <w:rFonts w:cs="Times New Roman"/>
                <w:sz w:val="22"/>
                <w:szCs w:val="22"/>
              </w:rPr>
            </w:pPr>
            <w:r>
              <w:rPr>
                <w:rFonts w:cs="Times New Roman"/>
                <w:sz w:val="22"/>
                <w:szCs w:val="22"/>
              </w:rPr>
              <w:t>Projektowane rozporządzenie określa warunki, tryb oraz beneficjentów wsparcia na działania polegające na:</w:t>
            </w:r>
          </w:p>
          <w:p w14:paraId="42F4B77B" w14:textId="2EE7C721" w:rsidR="004564B6" w:rsidRDefault="00B23484" w:rsidP="008A36B2">
            <w:pPr>
              <w:pStyle w:val="NIEARTTEKSTtekstnieartykuowanynppodstprawnarozplubpreambua"/>
              <w:numPr>
                <w:ilvl w:val="0"/>
                <w:numId w:val="6"/>
              </w:numPr>
              <w:spacing w:before="0" w:line="240" w:lineRule="auto"/>
              <w:rPr>
                <w:rFonts w:cs="Times New Roman"/>
                <w:sz w:val="22"/>
                <w:szCs w:val="22"/>
              </w:rPr>
            </w:pPr>
            <w:r>
              <w:rPr>
                <w:rFonts w:cs="Times New Roman"/>
                <w:sz w:val="22"/>
                <w:szCs w:val="22"/>
              </w:rPr>
              <w:t>b</w:t>
            </w:r>
            <w:r w:rsidR="004564B6">
              <w:rPr>
                <w:rFonts w:cs="Times New Roman"/>
                <w:sz w:val="22"/>
                <w:szCs w:val="22"/>
              </w:rPr>
              <w:t>udowie</w:t>
            </w:r>
            <w:r>
              <w:rPr>
                <w:rFonts w:cs="Times New Roman"/>
                <w:sz w:val="22"/>
                <w:szCs w:val="22"/>
              </w:rPr>
              <w:t xml:space="preserve"> lub przebudowie</w:t>
            </w:r>
            <w:r w:rsidR="004564B6">
              <w:rPr>
                <w:rFonts w:cs="Times New Roman"/>
                <w:sz w:val="22"/>
                <w:szCs w:val="22"/>
              </w:rPr>
              <w:t xml:space="preserve"> sieci szerokopasmowych,</w:t>
            </w:r>
          </w:p>
          <w:p w14:paraId="412FBC54" w14:textId="77777777" w:rsidR="004564B6" w:rsidRDefault="004564B6" w:rsidP="008A36B2">
            <w:pPr>
              <w:pStyle w:val="NIEARTTEKSTtekstnieartykuowanynppodstprawnarozplubpreambua"/>
              <w:numPr>
                <w:ilvl w:val="0"/>
                <w:numId w:val="6"/>
              </w:numPr>
              <w:spacing w:before="0" w:line="240" w:lineRule="auto"/>
              <w:rPr>
                <w:rFonts w:cs="Times New Roman"/>
                <w:sz w:val="22"/>
                <w:szCs w:val="22"/>
              </w:rPr>
            </w:pPr>
            <w:r>
              <w:rPr>
                <w:rFonts w:cs="Times New Roman"/>
                <w:sz w:val="22"/>
                <w:szCs w:val="22"/>
              </w:rPr>
              <w:t>wykonywaniu przyłączy telekomunikacyjnych,</w:t>
            </w:r>
          </w:p>
          <w:p w14:paraId="5F58C9C4" w14:textId="77777777" w:rsidR="004564B6" w:rsidRDefault="004564B6" w:rsidP="008A36B2">
            <w:pPr>
              <w:pStyle w:val="NIEARTTEKSTtekstnieartykuowanynppodstprawnarozplubpreambua"/>
              <w:numPr>
                <w:ilvl w:val="0"/>
                <w:numId w:val="6"/>
              </w:numPr>
              <w:spacing w:before="0" w:line="240" w:lineRule="auto"/>
              <w:rPr>
                <w:rFonts w:cs="Times New Roman"/>
                <w:sz w:val="22"/>
                <w:szCs w:val="22"/>
              </w:rPr>
            </w:pPr>
            <w:r>
              <w:rPr>
                <w:rFonts w:cs="Times New Roman"/>
                <w:sz w:val="22"/>
                <w:szCs w:val="22"/>
              </w:rPr>
              <w:t>opracowywaniu gminnych planów rozwoju sieci szerokopasmowych,</w:t>
            </w:r>
          </w:p>
          <w:p w14:paraId="6C414994" w14:textId="77777777" w:rsidR="004564B6" w:rsidRDefault="004564B6" w:rsidP="008A36B2">
            <w:pPr>
              <w:pStyle w:val="NIEARTTEKSTtekstnieartykuowanynppodstprawnarozplubpreambua"/>
              <w:numPr>
                <w:ilvl w:val="0"/>
                <w:numId w:val="6"/>
              </w:numPr>
              <w:spacing w:before="0" w:line="240" w:lineRule="auto"/>
              <w:rPr>
                <w:rFonts w:cs="Times New Roman"/>
                <w:sz w:val="22"/>
                <w:szCs w:val="22"/>
              </w:rPr>
            </w:pPr>
            <w:r>
              <w:rPr>
                <w:rFonts w:cs="Times New Roman"/>
                <w:sz w:val="22"/>
                <w:szCs w:val="22"/>
              </w:rPr>
              <w:t>zakupach usług telekomunikacyjnych i urządzeń telekomunikacyjnych dla najbardziej potrzebujących,</w:t>
            </w:r>
          </w:p>
          <w:p w14:paraId="1FB0A9C1" w14:textId="77777777" w:rsidR="004564B6" w:rsidRDefault="004564B6" w:rsidP="008A36B2">
            <w:pPr>
              <w:pStyle w:val="NIEARTTEKSTtekstnieartykuowanynppodstprawnarozplubpreambua"/>
              <w:numPr>
                <w:ilvl w:val="0"/>
                <w:numId w:val="6"/>
              </w:numPr>
              <w:spacing w:before="0" w:line="240" w:lineRule="auto"/>
              <w:rPr>
                <w:rFonts w:cs="Times New Roman"/>
                <w:sz w:val="22"/>
                <w:szCs w:val="22"/>
              </w:rPr>
            </w:pPr>
            <w:r>
              <w:rPr>
                <w:rFonts w:cs="Times New Roman"/>
                <w:sz w:val="22"/>
                <w:szCs w:val="22"/>
              </w:rPr>
              <w:t>organizacji lub udziale w szkoleniach podnoszących kompetencje cyfrowe.</w:t>
            </w:r>
          </w:p>
          <w:p w14:paraId="576D15AC" w14:textId="77777777" w:rsidR="008D444D" w:rsidRPr="00D82B14" w:rsidRDefault="004564B6" w:rsidP="008A36B2">
            <w:pPr>
              <w:pStyle w:val="ARTartustawynprozporzdzenia"/>
              <w:spacing w:line="240" w:lineRule="auto"/>
              <w:ind w:firstLine="0"/>
              <w:rPr>
                <w:rFonts w:cs="Times New Roman"/>
                <w:sz w:val="22"/>
                <w:szCs w:val="22"/>
              </w:rPr>
            </w:pPr>
            <w:r w:rsidRPr="008A36B2">
              <w:rPr>
                <w:sz w:val="22"/>
                <w:szCs w:val="22"/>
              </w:rPr>
              <w:t>W momencie opracowywania projektu rozporządzenia nie rozstrzygnięto, jakie interwencje ze środków Funduszu zostaną przeprowadzone w pierwszej kolejności – będzie to przedmiotem dalszych, odrębnych konsultacji.</w:t>
            </w:r>
          </w:p>
        </w:tc>
      </w:tr>
      <w:tr w:rsidR="001A7CE0" w:rsidRPr="00E07408" w14:paraId="0350B8C9" w14:textId="77777777" w:rsidTr="00E07408">
        <w:trPr>
          <w:trHeight w:val="307"/>
          <w:jc w:val="center"/>
        </w:trPr>
        <w:tc>
          <w:tcPr>
            <w:tcW w:w="10937" w:type="dxa"/>
            <w:gridSpan w:val="30"/>
            <w:shd w:val="clear" w:color="auto" w:fill="99CCFF"/>
            <w:vAlign w:val="center"/>
          </w:tcPr>
          <w:p w14:paraId="0D2FF182" w14:textId="77777777" w:rsidR="001A7CE0" w:rsidRPr="00C134CF" w:rsidRDefault="001A7CE0" w:rsidP="00147A2A">
            <w:pPr>
              <w:widowControl/>
              <w:numPr>
                <w:ilvl w:val="0"/>
                <w:numId w:val="1"/>
              </w:numPr>
              <w:autoSpaceDE/>
              <w:autoSpaceDN/>
              <w:adjustRightInd/>
              <w:spacing w:before="60" w:after="60" w:line="240" w:lineRule="auto"/>
              <w:ind w:left="318" w:hanging="284"/>
              <w:jc w:val="both"/>
              <w:rPr>
                <w:rFonts w:cs="Times New Roman"/>
                <w:b/>
                <w:color w:val="000000"/>
                <w:sz w:val="22"/>
                <w:szCs w:val="22"/>
              </w:rPr>
            </w:pPr>
            <w:r w:rsidRPr="00C134CF">
              <w:rPr>
                <w:rFonts w:cs="Times New Roman"/>
                <w:b/>
                <w:spacing w:val="-2"/>
                <w:sz w:val="22"/>
                <w:szCs w:val="22"/>
              </w:rPr>
              <w:lastRenderedPageBreak/>
              <w:t>Jak problem został rozwiązany w innych krajach, w szczególności krajach członkowskich OECD/UE</w:t>
            </w:r>
            <w:r w:rsidRPr="00C134CF">
              <w:rPr>
                <w:rFonts w:cs="Times New Roman"/>
                <w:b/>
                <w:color w:val="000000"/>
                <w:sz w:val="22"/>
                <w:szCs w:val="22"/>
              </w:rPr>
              <w:t>?</w:t>
            </w:r>
            <w:r w:rsidRPr="00C134CF">
              <w:rPr>
                <w:rFonts w:cs="Times New Roman"/>
                <w:i/>
                <w:color w:val="000000"/>
                <w:sz w:val="22"/>
                <w:szCs w:val="22"/>
              </w:rPr>
              <w:t xml:space="preserve"> </w:t>
            </w:r>
          </w:p>
        </w:tc>
      </w:tr>
      <w:tr w:rsidR="001A7CE0" w:rsidRPr="00E07408" w14:paraId="4D5DAF78" w14:textId="77777777" w:rsidTr="00E07408">
        <w:trPr>
          <w:trHeight w:val="142"/>
          <w:jc w:val="center"/>
        </w:trPr>
        <w:tc>
          <w:tcPr>
            <w:tcW w:w="10937" w:type="dxa"/>
            <w:gridSpan w:val="30"/>
            <w:shd w:val="clear" w:color="auto" w:fill="auto"/>
          </w:tcPr>
          <w:p w14:paraId="4ACD9F1B" w14:textId="77777777" w:rsidR="001A7CE0" w:rsidRPr="00C134CF" w:rsidRDefault="001A7CE0" w:rsidP="00E07408">
            <w:pPr>
              <w:spacing w:line="240" w:lineRule="auto"/>
              <w:jc w:val="both"/>
              <w:rPr>
                <w:rFonts w:cs="Times New Roman"/>
                <w:color w:val="000000"/>
                <w:spacing w:val="-2"/>
                <w:sz w:val="22"/>
                <w:szCs w:val="22"/>
              </w:rPr>
            </w:pPr>
            <w:r w:rsidRPr="00C134CF">
              <w:rPr>
                <w:rFonts w:cs="Times New Roman"/>
                <w:color w:val="000000"/>
                <w:spacing w:val="-2"/>
                <w:sz w:val="22"/>
                <w:szCs w:val="22"/>
              </w:rPr>
              <w:t>W większości państw członkowskich OECD/UE realizowane są interwencje publiczne w obszarze rozwoju powszechnego dostępu do szybkiego Internetu, finansowane ze środków polityki spójności lub ze środków krajowych (lokalnych).</w:t>
            </w:r>
          </w:p>
        </w:tc>
      </w:tr>
      <w:tr w:rsidR="001A7CE0" w:rsidRPr="00E07408" w14:paraId="0234A190" w14:textId="77777777" w:rsidTr="00E07408">
        <w:trPr>
          <w:trHeight w:val="359"/>
          <w:jc w:val="center"/>
        </w:trPr>
        <w:tc>
          <w:tcPr>
            <w:tcW w:w="10937" w:type="dxa"/>
            <w:gridSpan w:val="30"/>
            <w:shd w:val="clear" w:color="auto" w:fill="99CCFF"/>
            <w:vAlign w:val="center"/>
          </w:tcPr>
          <w:p w14:paraId="1E216537" w14:textId="77777777" w:rsidR="001A7CE0" w:rsidRPr="00C134CF" w:rsidRDefault="001A7CE0" w:rsidP="00147A2A">
            <w:pPr>
              <w:widowControl/>
              <w:numPr>
                <w:ilvl w:val="0"/>
                <w:numId w:val="1"/>
              </w:numPr>
              <w:autoSpaceDE/>
              <w:autoSpaceDN/>
              <w:adjustRightInd/>
              <w:spacing w:before="60" w:after="60" w:line="240" w:lineRule="auto"/>
              <w:ind w:left="318" w:hanging="284"/>
              <w:jc w:val="both"/>
              <w:rPr>
                <w:rFonts w:cs="Times New Roman"/>
                <w:b/>
                <w:color w:val="000000"/>
                <w:sz w:val="22"/>
                <w:szCs w:val="22"/>
              </w:rPr>
            </w:pPr>
            <w:r w:rsidRPr="00C134CF">
              <w:rPr>
                <w:rFonts w:cs="Times New Roman"/>
                <w:b/>
                <w:color w:val="000000"/>
                <w:sz w:val="22"/>
                <w:szCs w:val="22"/>
              </w:rPr>
              <w:t>Podmioty, na które oddziałuje projekt</w:t>
            </w:r>
          </w:p>
        </w:tc>
      </w:tr>
      <w:tr w:rsidR="001A7CE0" w:rsidRPr="00E07408" w14:paraId="099020E2" w14:textId="77777777" w:rsidTr="00E07408">
        <w:trPr>
          <w:trHeight w:val="142"/>
          <w:jc w:val="center"/>
        </w:trPr>
        <w:tc>
          <w:tcPr>
            <w:tcW w:w="2668" w:type="dxa"/>
            <w:gridSpan w:val="3"/>
            <w:shd w:val="clear" w:color="auto" w:fill="auto"/>
          </w:tcPr>
          <w:p w14:paraId="3826B5BA" w14:textId="77777777" w:rsidR="001A7CE0" w:rsidRPr="00C134CF" w:rsidRDefault="001A7CE0" w:rsidP="00E07408">
            <w:pPr>
              <w:spacing w:before="40" w:line="240" w:lineRule="auto"/>
              <w:jc w:val="center"/>
              <w:rPr>
                <w:rFonts w:cs="Times New Roman"/>
                <w:color w:val="000000"/>
                <w:spacing w:val="-2"/>
                <w:sz w:val="22"/>
                <w:szCs w:val="22"/>
              </w:rPr>
            </w:pPr>
            <w:r w:rsidRPr="00C134CF">
              <w:rPr>
                <w:rFonts w:cs="Times New Roman"/>
                <w:color w:val="000000"/>
                <w:spacing w:val="-2"/>
                <w:sz w:val="22"/>
                <w:szCs w:val="22"/>
              </w:rPr>
              <w:t>Grupa</w:t>
            </w:r>
          </w:p>
        </w:tc>
        <w:tc>
          <w:tcPr>
            <w:tcW w:w="2292" w:type="dxa"/>
            <w:gridSpan w:val="8"/>
            <w:shd w:val="clear" w:color="auto" w:fill="auto"/>
          </w:tcPr>
          <w:p w14:paraId="4016850D" w14:textId="77777777" w:rsidR="001A7CE0" w:rsidRPr="00C134CF" w:rsidRDefault="001A7CE0" w:rsidP="00E07408">
            <w:pPr>
              <w:spacing w:before="40" w:line="240" w:lineRule="auto"/>
              <w:jc w:val="center"/>
              <w:rPr>
                <w:rFonts w:cs="Times New Roman"/>
                <w:color w:val="000000"/>
                <w:spacing w:val="-2"/>
                <w:sz w:val="22"/>
                <w:szCs w:val="22"/>
              </w:rPr>
            </w:pPr>
            <w:r w:rsidRPr="00C134CF">
              <w:rPr>
                <w:rFonts w:cs="Times New Roman"/>
                <w:color w:val="000000"/>
                <w:spacing w:val="-2"/>
                <w:sz w:val="22"/>
                <w:szCs w:val="22"/>
              </w:rPr>
              <w:t>Wielkość</w:t>
            </w:r>
          </w:p>
        </w:tc>
        <w:tc>
          <w:tcPr>
            <w:tcW w:w="2996" w:type="dxa"/>
            <w:gridSpan w:val="12"/>
            <w:shd w:val="clear" w:color="auto" w:fill="auto"/>
          </w:tcPr>
          <w:p w14:paraId="3AFB2475" w14:textId="77777777" w:rsidR="001A7CE0" w:rsidRPr="00C134CF" w:rsidRDefault="001A7CE0" w:rsidP="00E07408">
            <w:pPr>
              <w:spacing w:before="40" w:line="240" w:lineRule="auto"/>
              <w:jc w:val="center"/>
              <w:rPr>
                <w:rFonts w:cs="Times New Roman"/>
                <w:color w:val="000000"/>
                <w:spacing w:val="-2"/>
                <w:sz w:val="22"/>
                <w:szCs w:val="22"/>
              </w:rPr>
            </w:pPr>
            <w:r w:rsidRPr="00C134CF">
              <w:rPr>
                <w:rFonts w:cs="Times New Roman"/>
                <w:color w:val="000000"/>
                <w:spacing w:val="-2"/>
                <w:sz w:val="22"/>
                <w:szCs w:val="22"/>
              </w:rPr>
              <w:t>Źródło danych</w:t>
            </w:r>
            <w:r w:rsidRPr="00C134CF" w:rsidDel="00260F33">
              <w:rPr>
                <w:rFonts w:cs="Times New Roman"/>
                <w:color w:val="000000"/>
                <w:spacing w:val="-2"/>
                <w:sz w:val="22"/>
                <w:szCs w:val="22"/>
              </w:rPr>
              <w:t xml:space="preserve"> </w:t>
            </w:r>
          </w:p>
        </w:tc>
        <w:tc>
          <w:tcPr>
            <w:tcW w:w="2981" w:type="dxa"/>
            <w:gridSpan w:val="7"/>
            <w:shd w:val="clear" w:color="auto" w:fill="auto"/>
          </w:tcPr>
          <w:p w14:paraId="4FB26316" w14:textId="77777777" w:rsidR="001A7CE0" w:rsidRPr="00C134CF" w:rsidRDefault="001A7CE0" w:rsidP="00E07408">
            <w:pPr>
              <w:spacing w:before="40" w:line="240" w:lineRule="auto"/>
              <w:jc w:val="center"/>
              <w:rPr>
                <w:rFonts w:cs="Times New Roman"/>
                <w:color w:val="000000"/>
                <w:spacing w:val="-2"/>
                <w:sz w:val="22"/>
                <w:szCs w:val="22"/>
              </w:rPr>
            </w:pPr>
            <w:r w:rsidRPr="00C134CF">
              <w:rPr>
                <w:rFonts w:cs="Times New Roman"/>
                <w:color w:val="000000"/>
                <w:spacing w:val="-2"/>
                <w:sz w:val="22"/>
                <w:szCs w:val="22"/>
              </w:rPr>
              <w:t>Oddziaływanie</w:t>
            </w:r>
          </w:p>
        </w:tc>
      </w:tr>
      <w:tr w:rsidR="001A7CE0" w:rsidRPr="00E07408" w14:paraId="21FEAB70" w14:textId="77777777" w:rsidTr="00E07408">
        <w:trPr>
          <w:trHeight w:val="142"/>
          <w:jc w:val="center"/>
        </w:trPr>
        <w:tc>
          <w:tcPr>
            <w:tcW w:w="2668" w:type="dxa"/>
            <w:gridSpan w:val="3"/>
            <w:shd w:val="clear" w:color="auto" w:fill="auto"/>
          </w:tcPr>
          <w:p w14:paraId="794A2210" w14:textId="77777777" w:rsidR="001A7CE0" w:rsidRPr="00C134CF" w:rsidRDefault="001A7CE0" w:rsidP="00E07408">
            <w:pPr>
              <w:spacing w:line="240" w:lineRule="auto"/>
              <w:rPr>
                <w:rFonts w:cs="Times New Roman"/>
                <w:color w:val="000000"/>
                <w:spacing w:val="-2"/>
                <w:sz w:val="22"/>
                <w:szCs w:val="22"/>
              </w:rPr>
            </w:pPr>
            <w:r w:rsidRPr="00C134CF">
              <w:rPr>
                <w:rFonts w:cs="Times New Roman"/>
                <w:color w:val="000000"/>
                <w:sz w:val="22"/>
                <w:szCs w:val="22"/>
              </w:rPr>
              <w:t>potencjalni beneficjenci środków Funduszu Szerokopasmowego</w:t>
            </w:r>
          </w:p>
        </w:tc>
        <w:tc>
          <w:tcPr>
            <w:tcW w:w="2292" w:type="dxa"/>
            <w:gridSpan w:val="8"/>
            <w:shd w:val="clear" w:color="auto" w:fill="auto"/>
          </w:tcPr>
          <w:p w14:paraId="2C09C736" w14:textId="77777777" w:rsidR="001A7CE0" w:rsidRDefault="001A7CE0" w:rsidP="00E07408">
            <w:pPr>
              <w:spacing w:line="240" w:lineRule="auto"/>
              <w:rPr>
                <w:rFonts w:cs="Times New Roman"/>
                <w:color w:val="000000"/>
                <w:spacing w:val="-2"/>
                <w:sz w:val="22"/>
                <w:szCs w:val="22"/>
              </w:rPr>
            </w:pPr>
            <w:r w:rsidRPr="00C134CF">
              <w:rPr>
                <w:rFonts w:cs="Times New Roman"/>
                <w:color w:val="000000"/>
                <w:spacing w:val="-2"/>
                <w:sz w:val="22"/>
                <w:szCs w:val="22"/>
              </w:rPr>
              <w:t>2477 gmin</w:t>
            </w:r>
          </w:p>
          <w:p w14:paraId="0E2C1ECA" w14:textId="77777777" w:rsidR="004564B6" w:rsidRDefault="004564B6" w:rsidP="00E07408">
            <w:pPr>
              <w:spacing w:line="240" w:lineRule="auto"/>
              <w:rPr>
                <w:rFonts w:cs="Times New Roman"/>
                <w:color w:val="000000"/>
                <w:spacing w:val="-2"/>
                <w:sz w:val="22"/>
                <w:szCs w:val="22"/>
              </w:rPr>
            </w:pPr>
            <w:r>
              <w:rPr>
                <w:rFonts w:cs="Times New Roman"/>
                <w:color w:val="000000"/>
                <w:spacing w:val="-2"/>
                <w:sz w:val="22"/>
                <w:szCs w:val="22"/>
              </w:rPr>
              <w:t>380 powiatów</w:t>
            </w:r>
          </w:p>
          <w:p w14:paraId="4DA5D963" w14:textId="77777777" w:rsidR="004564B6" w:rsidRPr="00C134CF" w:rsidRDefault="004564B6" w:rsidP="00E07408">
            <w:pPr>
              <w:spacing w:line="240" w:lineRule="auto"/>
              <w:rPr>
                <w:rFonts w:cs="Times New Roman"/>
                <w:color w:val="000000"/>
                <w:spacing w:val="-2"/>
                <w:sz w:val="22"/>
                <w:szCs w:val="22"/>
              </w:rPr>
            </w:pPr>
            <w:r>
              <w:rPr>
                <w:rFonts w:cs="Times New Roman"/>
                <w:color w:val="000000"/>
                <w:spacing w:val="-2"/>
                <w:sz w:val="22"/>
                <w:szCs w:val="22"/>
              </w:rPr>
              <w:t>16 województw</w:t>
            </w:r>
          </w:p>
          <w:p w14:paraId="6E919908" w14:textId="77777777" w:rsidR="001A7CE0" w:rsidRDefault="00D82B14" w:rsidP="00E07408">
            <w:pPr>
              <w:spacing w:line="240" w:lineRule="auto"/>
              <w:rPr>
                <w:rFonts w:cs="Times New Roman"/>
                <w:color w:val="000000"/>
                <w:spacing w:val="-2"/>
                <w:sz w:val="22"/>
                <w:szCs w:val="22"/>
              </w:rPr>
            </w:pPr>
            <w:r>
              <w:rPr>
                <w:rFonts w:cs="Times New Roman"/>
                <w:color w:val="000000"/>
                <w:spacing w:val="-2"/>
                <w:sz w:val="22"/>
                <w:szCs w:val="22"/>
              </w:rPr>
              <w:t>do ok. 35 tys. p</w:t>
            </w:r>
            <w:r w:rsidR="001A7CE0" w:rsidRPr="00C134CF">
              <w:rPr>
                <w:rFonts w:cs="Times New Roman"/>
                <w:color w:val="000000"/>
                <w:spacing w:val="-2"/>
                <w:sz w:val="22"/>
                <w:szCs w:val="22"/>
              </w:rPr>
              <w:t>lacówek ochrony zdrowia</w:t>
            </w:r>
          </w:p>
          <w:p w14:paraId="62A8C197" w14:textId="77777777" w:rsidR="004564B6" w:rsidRDefault="004564B6" w:rsidP="00E07408">
            <w:pPr>
              <w:spacing w:line="240" w:lineRule="auto"/>
              <w:rPr>
                <w:rFonts w:cs="Times New Roman"/>
                <w:color w:val="000000"/>
                <w:spacing w:val="-2"/>
                <w:sz w:val="22"/>
                <w:szCs w:val="22"/>
              </w:rPr>
            </w:pPr>
            <w:r>
              <w:rPr>
                <w:rFonts w:cs="Times New Roman"/>
                <w:color w:val="000000"/>
                <w:spacing w:val="-2"/>
                <w:sz w:val="22"/>
                <w:szCs w:val="22"/>
              </w:rPr>
              <w:t>ok. 22 tys. fundacji</w:t>
            </w:r>
          </w:p>
          <w:p w14:paraId="7F179717" w14:textId="77777777" w:rsidR="004564B6" w:rsidRPr="00C134CF" w:rsidRDefault="004564B6" w:rsidP="00E07408">
            <w:pPr>
              <w:spacing w:line="240" w:lineRule="auto"/>
              <w:rPr>
                <w:rFonts w:cs="Times New Roman"/>
                <w:color w:val="000000"/>
                <w:spacing w:val="-2"/>
                <w:sz w:val="22"/>
                <w:szCs w:val="22"/>
              </w:rPr>
            </w:pPr>
            <w:r>
              <w:rPr>
                <w:rFonts w:cs="Times New Roman"/>
                <w:color w:val="000000"/>
                <w:spacing w:val="-2"/>
                <w:sz w:val="22"/>
                <w:szCs w:val="22"/>
              </w:rPr>
              <w:t>inne organizacje pożytku publicznego</w:t>
            </w:r>
          </w:p>
        </w:tc>
        <w:tc>
          <w:tcPr>
            <w:tcW w:w="2996" w:type="dxa"/>
            <w:gridSpan w:val="12"/>
            <w:shd w:val="clear" w:color="auto" w:fill="auto"/>
          </w:tcPr>
          <w:p w14:paraId="470C5A5F" w14:textId="77777777" w:rsidR="001A7CE0" w:rsidRPr="00C134CF" w:rsidRDefault="001A7CE0" w:rsidP="00E07408">
            <w:pPr>
              <w:spacing w:line="240" w:lineRule="auto"/>
              <w:rPr>
                <w:rFonts w:cs="Times New Roman"/>
                <w:color w:val="000000"/>
                <w:spacing w:val="-2"/>
                <w:sz w:val="22"/>
                <w:szCs w:val="22"/>
              </w:rPr>
            </w:pPr>
            <w:r w:rsidRPr="00C134CF">
              <w:rPr>
                <w:rFonts w:cs="Times New Roman"/>
                <w:color w:val="000000"/>
                <w:spacing w:val="-2"/>
                <w:sz w:val="22"/>
                <w:szCs w:val="22"/>
              </w:rPr>
              <w:t>Ministerstwo Cyfryzacji</w:t>
            </w:r>
          </w:p>
          <w:p w14:paraId="3FF3C2A8" w14:textId="77777777" w:rsidR="001A7CE0" w:rsidRPr="00C134CF" w:rsidRDefault="001A7CE0" w:rsidP="00E07408">
            <w:pPr>
              <w:spacing w:line="240" w:lineRule="auto"/>
              <w:rPr>
                <w:rFonts w:cs="Times New Roman"/>
                <w:color w:val="000000"/>
                <w:spacing w:val="-2"/>
                <w:sz w:val="22"/>
                <w:szCs w:val="22"/>
              </w:rPr>
            </w:pPr>
            <w:r w:rsidRPr="00C134CF">
              <w:rPr>
                <w:rFonts w:cs="Times New Roman"/>
                <w:color w:val="000000"/>
                <w:spacing w:val="-2"/>
                <w:sz w:val="22"/>
                <w:szCs w:val="22"/>
              </w:rPr>
              <w:t>Ministerstwo Zdrowia</w:t>
            </w:r>
          </w:p>
          <w:p w14:paraId="057F8033" w14:textId="77777777" w:rsidR="001A7CE0" w:rsidRDefault="001A7CE0" w:rsidP="00E07408">
            <w:pPr>
              <w:spacing w:line="240" w:lineRule="auto"/>
              <w:rPr>
                <w:rFonts w:cs="Times New Roman"/>
                <w:color w:val="000000"/>
                <w:spacing w:val="-2"/>
                <w:sz w:val="22"/>
                <w:szCs w:val="22"/>
              </w:rPr>
            </w:pPr>
            <w:r w:rsidRPr="00C134CF">
              <w:rPr>
                <w:rFonts w:cs="Times New Roman"/>
                <w:color w:val="000000"/>
                <w:spacing w:val="-2"/>
                <w:sz w:val="22"/>
                <w:szCs w:val="22"/>
              </w:rPr>
              <w:t>Ministerstwo Spraw Wewnętrznych i Administracji</w:t>
            </w:r>
          </w:p>
          <w:p w14:paraId="0765DDDA" w14:textId="77777777" w:rsidR="004564B6" w:rsidRPr="00C134CF" w:rsidRDefault="004564B6" w:rsidP="00E07408">
            <w:pPr>
              <w:spacing w:line="240" w:lineRule="auto"/>
              <w:rPr>
                <w:rFonts w:cs="Times New Roman"/>
                <w:color w:val="000000"/>
                <w:spacing w:val="-2"/>
                <w:sz w:val="22"/>
                <w:szCs w:val="22"/>
              </w:rPr>
            </w:pPr>
            <w:r>
              <w:rPr>
                <w:rFonts w:cs="Times New Roman"/>
                <w:color w:val="000000"/>
                <w:spacing w:val="-2"/>
                <w:sz w:val="22"/>
                <w:szCs w:val="22"/>
              </w:rPr>
              <w:t>Portal Organizacji Pozarządowych</w:t>
            </w:r>
          </w:p>
        </w:tc>
        <w:tc>
          <w:tcPr>
            <w:tcW w:w="2981" w:type="dxa"/>
            <w:gridSpan w:val="7"/>
            <w:shd w:val="clear" w:color="auto" w:fill="auto"/>
          </w:tcPr>
          <w:p w14:paraId="69FCA5F2" w14:textId="77777777" w:rsidR="001A7CE0" w:rsidRPr="00C134CF" w:rsidRDefault="001A7CE0" w:rsidP="00E07408">
            <w:pPr>
              <w:spacing w:line="240" w:lineRule="auto"/>
              <w:jc w:val="both"/>
              <w:rPr>
                <w:rFonts w:cs="Times New Roman"/>
                <w:color w:val="000000"/>
                <w:spacing w:val="-2"/>
                <w:sz w:val="22"/>
                <w:szCs w:val="22"/>
              </w:rPr>
            </w:pPr>
            <w:r w:rsidRPr="00C134CF">
              <w:rPr>
                <w:rFonts w:cs="Times New Roman"/>
                <w:color w:val="000000"/>
                <w:spacing w:val="-2"/>
                <w:sz w:val="22"/>
                <w:szCs w:val="22"/>
              </w:rPr>
              <w:t>określenie szczegółowych warunków i trybu ubiegania się o wsparcie finansowe ze środków Funduszu;</w:t>
            </w:r>
          </w:p>
          <w:p w14:paraId="1C772622" w14:textId="77777777" w:rsidR="001A7CE0" w:rsidRPr="00C134CF" w:rsidRDefault="001A7CE0" w:rsidP="00E07408">
            <w:pPr>
              <w:spacing w:line="240" w:lineRule="auto"/>
              <w:jc w:val="both"/>
              <w:rPr>
                <w:rFonts w:cs="Times New Roman"/>
                <w:color w:val="000000"/>
                <w:spacing w:val="-2"/>
                <w:sz w:val="22"/>
                <w:szCs w:val="22"/>
              </w:rPr>
            </w:pPr>
            <w:r w:rsidRPr="00C134CF">
              <w:rPr>
                <w:rFonts w:cs="Times New Roman"/>
                <w:color w:val="000000"/>
                <w:spacing w:val="-2"/>
                <w:sz w:val="22"/>
                <w:szCs w:val="22"/>
              </w:rPr>
              <w:t>możliwość ubiegania się o środki Funduszu</w:t>
            </w:r>
          </w:p>
        </w:tc>
      </w:tr>
      <w:tr w:rsidR="001A7CE0" w:rsidRPr="00E07408" w14:paraId="31DCB252" w14:textId="77777777" w:rsidTr="00E07408">
        <w:trPr>
          <w:gridAfter w:val="1"/>
          <w:wAfter w:w="10" w:type="dxa"/>
          <w:trHeight w:val="142"/>
          <w:jc w:val="center"/>
        </w:trPr>
        <w:tc>
          <w:tcPr>
            <w:tcW w:w="2668" w:type="dxa"/>
            <w:gridSpan w:val="3"/>
            <w:shd w:val="clear" w:color="auto" w:fill="auto"/>
          </w:tcPr>
          <w:p w14:paraId="4203AD4C" w14:textId="5A8604E1" w:rsidR="001A7CE0" w:rsidRPr="00C134CF" w:rsidRDefault="001A7CE0" w:rsidP="00E07408">
            <w:pPr>
              <w:spacing w:line="240" w:lineRule="auto"/>
              <w:rPr>
                <w:rFonts w:cs="Times New Roman"/>
                <w:color w:val="000000"/>
                <w:sz w:val="22"/>
                <w:szCs w:val="22"/>
              </w:rPr>
            </w:pPr>
            <w:r w:rsidRPr="00C134CF">
              <w:rPr>
                <w:rFonts w:cs="Times New Roman"/>
                <w:color w:val="000000"/>
                <w:sz w:val="22"/>
                <w:szCs w:val="22"/>
              </w:rPr>
              <w:t>dysponent Funduszu Szerokopasmowego, instytucje zaangażowane we wdrażanie interwencji Funduszu</w:t>
            </w:r>
            <w:r w:rsidR="00F967D1">
              <w:rPr>
                <w:rFonts w:cs="Times New Roman"/>
                <w:color w:val="000000"/>
                <w:sz w:val="22"/>
                <w:szCs w:val="22"/>
              </w:rPr>
              <w:t xml:space="preserve"> (Centrum Projektów Polska Cyfrowa, Urząd Komunikacji Elektronicznej</w:t>
            </w:r>
            <w:r w:rsidR="00E26F7F">
              <w:rPr>
                <w:rFonts w:cs="Times New Roman"/>
                <w:color w:val="000000"/>
                <w:sz w:val="22"/>
                <w:szCs w:val="22"/>
              </w:rPr>
              <w:t>,</w:t>
            </w:r>
            <w:r w:rsidR="00F967D1">
              <w:rPr>
                <w:rFonts w:cs="Times New Roman"/>
                <w:color w:val="000000"/>
                <w:sz w:val="22"/>
                <w:szCs w:val="22"/>
              </w:rPr>
              <w:t xml:space="preserve"> Instytut Łączności – Państwowy Instytut Badawczy)</w:t>
            </w:r>
          </w:p>
        </w:tc>
        <w:tc>
          <w:tcPr>
            <w:tcW w:w="2292" w:type="dxa"/>
            <w:gridSpan w:val="8"/>
            <w:shd w:val="clear" w:color="auto" w:fill="auto"/>
          </w:tcPr>
          <w:p w14:paraId="221C0CA3" w14:textId="77777777" w:rsidR="001A7CE0" w:rsidRPr="00C134CF" w:rsidRDefault="001A7CE0" w:rsidP="00E07408">
            <w:pPr>
              <w:spacing w:line="240" w:lineRule="auto"/>
              <w:rPr>
                <w:rFonts w:cs="Times New Roman"/>
                <w:color w:val="000000"/>
                <w:spacing w:val="-2"/>
                <w:sz w:val="22"/>
                <w:szCs w:val="22"/>
              </w:rPr>
            </w:pPr>
            <w:r w:rsidRPr="00C134CF">
              <w:rPr>
                <w:rFonts w:cs="Times New Roman"/>
                <w:color w:val="000000"/>
                <w:spacing w:val="-2"/>
                <w:sz w:val="22"/>
                <w:szCs w:val="22"/>
              </w:rPr>
              <w:t>4</w:t>
            </w:r>
          </w:p>
        </w:tc>
        <w:tc>
          <w:tcPr>
            <w:tcW w:w="2996" w:type="dxa"/>
            <w:gridSpan w:val="12"/>
            <w:shd w:val="clear" w:color="auto" w:fill="auto"/>
          </w:tcPr>
          <w:p w14:paraId="7D3AD103" w14:textId="77777777" w:rsidR="001A7CE0" w:rsidRDefault="001A7CE0" w:rsidP="00E07408">
            <w:pPr>
              <w:spacing w:line="240" w:lineRule="auto"/>
              <w:rPr>
                <w:rFonts w:cs="Times New Roman"/>
                <w:color w:val="000000"/>
                <w:spacing w:val="-2"/>
                <w:sz w:val="22"/>
                <w:szCs w:val="22"/>
              </w:rPr>
            </w:pPr>
            <w:r w:rsidRPr="00C134CF">
              <w:rPr>
                <w:rFonts w:cs="Times New Roman"/>
                <w:color w:val="000000"/>
                <w:spacing w:val="-2"/>
                <w:sz w:val="22"/>
                <w:szCs w:val="22"/>
              </w:rPr>
              <w:t>Ministerstwo Cyfryzacji</w:t>
            </w:r>
          </w:p>
          <w:p w14:paraId="291D7C65" w14:textId="29ECDA4B" w:rsidR="001A7CE0" w:rsidRPr="00C134CF" w:rsidRDefault="001A7CE0" w:rsidP="00E07408">
            <w:pPr>
              <w:spacing w:line="240" w:lineRule="auto"/>
              <w:rPr>
                <w:rFonts w:cs="Times New Roman"/>
                <w:color w:val="000000"/>
                <w:spacing w:val="-2"/>
                <w:sz w:val="22"/>
                <w:szCs w:val="22"/>
              </w:rPr>
            </w:pPr>
          </w:p>
        </w:tc>
        <w:tc>
          <w:tcPr>
            <w:tcW w:w="2981" w:type="dxa"/>
            <w:gridSpan w:val="6"/>
            <w:shd w:val="clear" w:color="auto" w:fill="auto"/>
          </w:tcPr>
          <w:p w14:paraId="6B39E47D" w14:textId="77777777" w:rsidR="001A7CE0" w:rsidRPr="00C134CF" w:rsidRDefault="001A7CE0" w:rsidP="00E07408">
            <w:pPr>
              <w:spacing w:line="240" w:lineRule="auto"/>
              <w:jc w:val="both"/>
              <w:rPr>
                <w:rFonts w:cs="Times New Roman"/>
                <w:color w:val="000000"/>
                <w:spacing w:val="-2"/>
                <w:sz w:val="22"/>
                <w:szCs w:val="22"/>
              </w:rPr>
            </w:pPr>
            <w:r w:rsidRPr="00C134CF">
              <w:rPr>
                <w:rFonts w:cs="Times New Roman"/>
                <w:color w:val="000000"/>
                <w:spacing w:val="-2"/>
                <w:sz w:val="22"/>
                <w:szCs w:val="22"/>
              </w:rPr>
              <w:t>określenie szczegółowych warunków i trybu udzielania wsparcia finansowego ze środków Funduszu;</w:t>
            </w:r>
          </w:p>
          <w:p w14:paraId="26FF7949" w14:textId="77777777" w:rsidR="001A7CE0" w:rsidRPr="00C134CF" w:rsidRDefault="001A7CE0" w:rsidP="00E07408">
            <w:pPr>
              <w:spacing w:line="240" w:lineRule="auto"/>
              <w:jc w:val="both"/>
              <w:rPr>
                <w:rFonts w:cs="Times New Roman"/>
                <w:color w:val="000000"/>
                <w:spacing w:val="-2"/>
                <w:sz w:val="22"/>
                <w:szCs w:val="22"/>
              </w:rPr>
            </w:pPr>
            <w:r w:rsidRPr="00C134CF">
              <w:rPr>
                <w:rFonts w:cs="Times New Roman"/>
                <w:color w:val="000000"/>
                <w:spacing w:val="-2"/>
                <w:sz w:val="22"/>
                <w:szCs w:val="22"/>
              </w:rPr>
              <w:t>możliwość udzielania wsparcia ze środków Funduszu</w:t>
            </w:r>
          </w:p>
        </w:tc>
      </w:tr>
      <w:tr w:rsidR="001A7CE0" w:rsidRPr="00E07408" w14:paraId="1335BF23" w14:textId="77777777" w:rsidTr="00E07408">
        <w:trPr>
          <w:gridAfter w:val="1"/>
          <w:wAfter w:w="10" w:type="dxa"/>
          <w:trHeight w:val="302"/>
          <w:jc w:val="center"/>
        </w:trPr>
        <w:tc>
          <w:tcPr>
            <w:tcW w:w="10937" w:type="dxa"/>
            <w:gridSpan w:val="29"/>
            <w:shd w:val="clear" w:color="auto" w:fill="99CCFF"/>
            <w:vAlign w:val="center"/>
          </w:tcPr>
          <w:p w14:paraId="7AB1D498" w14:textId="77777777" w:rsidR="001A7CE0" w:rsidRPr="00C134CF" w:rsidRDefault="001A7CE0" w:rsidP="00147A2A">
            <w:pPr>
              <w:widowControl/>
              <w:numPr>
                <w:ilvl w:val="0"/>
                <w:numId w:val="1"/>
              </w:numPr>
              <w:autoSpaceDE/>
              <w:autoSpaceDN/>
              <w:adjustRightInd/>
              <w:spacing w:before="60" w:after="60" w:line="240" w:lineRule="auto"/>
              <w:ind w:left="318" w:hanging="284"/>
              <w:jc w:val="both"/>
              <w:rPr>
                <w:rFonts w:cs="Times New Roman"/>
                <w:b/>
                <w:color w:val="000000"/>
                <w:sz w:val="22"/>
                <w:szCs w:val="22"/>
              </w:rPr>
            </w:pPr>
            <w:r w:rsidRPr="00C134CF">
              <w:rPr>
                <w:rFonts w:cs="Times New Roman"/>
                <w:b/>
                <w:color w:val="000000"/>
                <w:sz w:val="22"/>
                <w:szCs w:val="22"/>
              </w:rPr>
              <w:t>Informacje na temat zakresu, czasu trwania i podsumowanie wyników konsultacji</w:t>
            </w:r>
          </w:p>
        </w:tc>
      </w:tr>
      <w:tr w:rsidR="001A7CE0" w:rsidRPr="00E07408" w14:paraId="5EBB0A79" w14:textId="77777777" w:rsidTr="00E07408">
        <w:trPr>
          <w:gridAfter w:val="1"/>
          <w:wAfter w:w="10" w:type="dxa"/>
          <w:trHeight w:val="342"/>
          <w:jc w:val="center"/>
        </w:trPr>
        <w:tc>
          <w:tcPr>
            <w:tcW w:w="10937" w:type="dxa"/>
            <w:gridSpan w:val="29"/>
            <w:shd w:val="clear" w:color="auto" w:fill="FFFFFF"/>
          </w:tcPr>
          <w:p w14:paraId="0FF25532" w14:textId="77777777" w:rsidR="001A7CE0" w:rsidRPr="00C134CF" w:rsidRDefault="001A7CE0" w:rsidP="00E07408">
            <w:pPr>
              <w:spacing w:line="240" w:lineRule="auto"/>
              <w:jc w:val="both"/>
              <w:rPr>
                <w:rFonts w:cs="Times New Roman"/>
                <w:color w:val="000000"/>
                <w:spacing w:val="-2"/>
                <w:sz w:val="22"/>
                <w:szCs w:val="22"/>
              </w:rPr>
            </w:pPr>
            <w:r w:rsidRPr="00C134CF">
              <w:rPr>
                <w:rFonts w:cs="Times New Roman"/>
                <w:color w:val="000000"/>
                <w:spacing w:val="-2"/>
                <w:sz w:val="22"/>
                <w:szCs w:val="22"/>
              </w:rPr>
              <w:t>Projekt rozporządzenia zostanie poddany konsultacjom publicznym.</w:t>
            </w:r>
          </w:p>
        </w:tc>
      </w:tr>
      <w:tr w:rsidR="001A7CE0" w:rsidRPr="00E07408" w14:paraId="7BDA2D8E" w14:textId="77777777" w:rsidTr="00E07408">
        <w:trPr>
          <w:gridAfter w:val="1"/>
          <w:wAfter w:w="10" w:type="dxa"/>
          <w:trHeight w:val="363"/>
          <w:jc w:val="center"/>
        </w:trPr>
        <w:tc>
          <w:tcPr>
            <w:tcW w:w="10937" w:type="dxa"/>
            <w:gridSpan w:val="29"/>
            <w:shd w:val="clear" w:color="auto" w:fill="99CCFF"/>
            <w:vAlign w:val="center"/>
          </w:tcPr>
          <w:p w14:paraId="488D9D59" w14:textId="77777777" w:rsidR="001A7CE0" w:rsidRPr="00C134CF" w:rsidRDefault="001A7CE0" w:rsidP="00147A2A">
            <w:pPr>
              <w:widowControl/>
              <w:numPr>
                <w:ilvl w:val="0"/>
                <w:numId w:val="1"/>
              </w:numPr>
              <w:autoSpaceDE/>
              <w:autoSpaceDN/>
              <w:adjustRightInd/>
              <w:spacing w:before="60" w:after="60" w:line="240" w:lineRule="auto"/>
              <w:ind w:left="318" w:hanging="284"/>
              <w:jc w:val="both"/>
              <w:rPr>
                <w:rFonts w:cs="Times New Roman"/>
                <w:b/>
                <w:color w:val="000000"/>
                <w:sz w:val="22"/>
                <w:szCs w:val="22"/>
              </w:rPr>
            </w:pPr>
            <w:r w:rsidRPr="00C134CF">
              <w:rPr>
                <w:rFonts w:cs="Times New Roman"/>
                <w:b/>
                <w:color w:val="000000"/>
                <w:sz w:val="22"/>
                <w:szCs w:val="22"/>
              </w:rPr>
              <w:t xml:space="preserve"> Wpływ na sektor finansów publicznych</w:t>
            </w:r>
          </w:p>
        </w:tc>
      </w:tr>
      <w:tr w:rsidR="001A7CE0" w:rsidRPr="00E07408" w14:paraId="6E2D09F9" w14:textId="77777777" w:rsidTr="00E07408">
        <w:trPr>
          <w:gridAfter w:val="1"/>
          <w:wAfter w:w="10" w:type="dxa"/>
          <w:trHeight w:val="142"/>
          <w:jc w:val="center"/>
        </w:trPr>
        <w:tc>
          <w:tcPr>
            <w:tcW w:w="3133" w:type="dxa"/>
            <w:gridSpan w:val="4"/>
            <w:vMerge w:val="restart"/>
            <w:shd w:val="clear" w:color="auto" w:fill="FFFFFF"/>
          </w:tcPr>
          <w:p w14:paraId="7C1292B3" w14:textId="77777777" w:rsidR="001A7CE0" w:rsidRPr="00C134CF" w:rsidRDefault="001A7CE0" w:rsidP="00E07408">
            <w:pPr>
              <w:spacing w:before="40" w:after="40"/>
              <w:rPr>
                <w:rFonts w:cs="Times New Roman"/>
                <w:i/>
                <w:color w:val="000000"/>
                <w:sz w:val="21"/>
                <w:szCs w:val="21"/>
              </w:rPr>
            </w:pPr>
            <w:r w:rsidRPr="00C134CF">
              <w:rPr>
                <w:rFonts w:cs="Times New Roman"/>
                <w:color w:val="000000"/>
                <w:sz w:val="21"/>
                <w:szCs w:val="21"/>
              </w:rPr>
              <w:t>(ceny stałe z 2018 r.)</w:t>
            </w:r>
          </w:p>
        </w:tc>
        <w:tc>
          <w:tcPr>
            <w:tcW w:w="7804" w:type="dxa"/>
            <w:gridSpan w:val="25"/>
            <w:shd w:val="clear" w:color="auto" w:fill="FFFFFF"/>
          </w:tcPr>
          <w:p w14:paraId="6F92CF71" w14:textId="77777777" w:rsidR="001A7CE0" w:rsidRPr="00C134CF" w:rsidRDefault="001A7CE0" w:rsidP="00E07408">
            <w:pPr>
              <w:spacing w:before="40" w:after="40" w:line="240" w:lineRule="auto"/>
              <w:jc w:val="center"/>
              <w:rPr>
                <w:rFonts w:cs="Times New Roman"/>
                <w:i/>
                <w:color w:val="000000"/>
                <w:spacing w:val="-2"/>
                <w:sz w:val="21"/>
                <w:szCs w:val="21"/>
              </w:rPr>
            </w:pPr>
            <w:r w:rsidRPr="00C134CF">
              <w:rPr>
                <w:rFonts w:cs="Times New Roman"/>
                <w:color w:val="000000"/>
                <w:sz w:val="21"/>
                <w:szCs w:val="21"/>
              </w:rPr>
              <w:t>Skutki w okresie 10 lat od wejścia w życie zmian [mln zł]</w:t>
            </w:r>
          </w:p>
        </w:tc>
      </w:tr>
      <w:tr w:rsidR="001A7CE0" w:rsidRPr="00E07408" w14:paraId="06A217A8" w14:textId="77777777" w:rsidTr="00E07408">
        <w:trPr>
          <w:gridAfter w:val="1"/>
          <w:wAfter w:w="10" w:type="dxa"/>
          <w:trHeight w:val="142"/>
          <w:jc w:val="center"/>
        </w:trPr>
        <w:tc>
          <w:tcPr>
            <w:tcW w:w="3133" w:type="dxa"/>
            <w:gridSpan w:val="4"/>
            <w:vMerge/>
            <w:shd w:val="clear" w:color="auto" w:fill="FFFFFF"/>
          </w:tcPr>
          <w:p w14:paraId="50E49343" w14:textId="77777777" w:rsidR="001A7CE0" w:rsidRPr="00C134CF" w:rsidRDefault="001A7CE0" w:rsidP="00E07408">
            <w:pPr>
              <w:spacing w:before="40" w:after="40" w:line="240" w:lineRule="auto"/>
              <w:rPr>
                <w:rFonts w:cs="Times New Roman"/>
                <w:i/>
                <w:color w:val="000000"/>
                <w:sz w:val="21"/>
                <w:szCs w:val="21"/>
              </w:rPr>
            </w:pPr>
          </w:p>
        </w:tc>
        <w:tc>
          <w:tcPr>
            <w:tcW w:w="569" w:type="dxa"/>
            <w:gridSpan w:val="2"/>
            <w:shd w:val="clear" w:color="auto" w:fill="FFFFFF"/>
            <w:vAlign w:val="center"/>
          </w:tcPr>
          <w:p w14:paraId="6BF24A47" w14:textId="77777777" w:rsidR="001A7CE0" w:rsidRPr="00C134CF" w:rsidRDefault="001A7CE0" w:rsidP="00E07408">
            <w:pPr>
              <w:spacing w:line="240" w:lineRule="auto"/>
              <w:jc w:val="center"/>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vAlign w:val="center"/>
          </w:tcPr>
          <w:p w14:paraId="491876EF" w14:textId="77777777" w:rsidR="001A7CE0" w:rsidRPr="00C134CF" w:rsidRDefault="001A7CE0" w:rsidP="00E07408">
            <w:pPr>
              <w:spacing w:line="240" w:lineRule="auto"/>
              <w:jc w:val="center"/>
              <w:rPr>
                <w:rFonts w:cs="Times New Roman"/>
                <w:color w:val="000000"/>
                <w:sz w:val="21"/>
                <w:szCs w:val="21"/>
              </w:rPr>
            </w:pPr>
            <w:r w:rsidRPr="00C134CF">
              <w:rPr>
                <w:rFonts w:cs="Times New Roman"/>
                <w:color w:val="000000"/>
                <w:sz w:val="21"/>
                <w:szCs w:val="21"/>
              </w:rPr>
              <w:t>1</w:t>
            </w:r>
          </w:p>
        </w:tc>
        <w:tc>
          <w:tcPr>
            <w:tcW w:w="570" w:type="dxa"/>
            <w:gridSpan w:val="2"/>
            <w:shd w:val="clear" w:color="auto" w:fill="FFFFFF"/>
            <w:vAlign w:val="center"/>
          </w:tcPr>
          <w:p w14:paraId="4A979374" w14:textId="77777777" w:rsidR="001A7CE0" w:rsidRPr="00C134CF" w:rsidRDefault="001A7CE0" w:rsidP="00E07408">
            <w:pPr>
              <w:spacing w:line="240" w:lineRule="auto"/>
              <w:jc w:val="center"/>
              <w:rPr>
                <w:rFonts w:cs="Times New Roman"/>
                <w:color w:val="000000"/>
                <w:sz w:val="21"/>
                <w:szCs w:val="21"/>
              </w:rPr>
            </w:pPr>
            <w:r w:rsidRPr="00C134CF">
              <w:rPr>
                <w:rFonts w:cs="Times New Roman"/>
                <w:color w:val="000000"/>
                <w:sz w:val="21"/>
                <w:szCs w:val="21"/>
              </w:rPr>
              <w:t>2</w:t>
            </w:r>
          </w:p>
        </w:tc>
        <w:tc>
          <w:tcPr>
            <w:tcW w:w="569" w:type="dxa"/>
            <w:gridSpan w:val="3"/>
            <w:shd w:val="clear" w:color="auto" w:fill="FFFFFF"/>
            <w:vAlign w:val="center"/>
          </w:tcPr>
          <w:p w14:paraId="3400A0CF" w14:textId="77777777" w:rsidR="001A7CE0" w:rsidRPr="00C134CF" w:rsidRDefault="001A7CE0" w:rsidP="00E07408">
            <w:pPr>
              <w:spacing w:line="240" w:lineRule="auto"/>
              <w:jc w:val="center"/>
              <w:rPr>
                <w:rFonts w:cs="Times New Roman"/>
                <w:color w:val="000000"/>
                <w:sz w:val="21"/>
                <w:szCs w:val="21"/>
              </w:rPr>
            </w:pPr>
            <w:r w:rsidRPr="00C134CF">
              <w:rPr>
                <w:rFonts w:cs="Times New Roman"/>
                <w:color w:val="000000"/>
                <w:sz w:val="21"/>
                <w:szCs w:val="21"/>
              </w:rPr>
              <w:t>3</w:t>
            </w:r>
          </w:p>
        </w:tc>
        <w:tc>
          <w:tcPr>
            <w:tcW w:w="570" w:type="dxa"/>
            <w:gridSpan w:val="2"/>
            <w:shd w:val="clear" w:color="auto" w:fill="FFFFFF"/>
            <w:vAlign w:val="center"/>
          </w:tcPr>
          <w:p w14:paraId="1725EC9C" w14:textId="77777777" w:rsidR="001A7CE0" w:rsidRPr="00C134CF" w:rsidRDefault="001A7CE0" w:rsidP="00E07408">
            <w:pPr>
              <w:spacing w:line="240" w:lineRule="auto"/>
              <w:jc w:val="center"/>
              <w:rPr>
                <w:rFonts w:cs="Times New Roman"/>
                <w:color w:val="000000"/>
                <w:sz w:val="21"/>
                <w:szCs w:val="21"/>
              </w:rPr>
            </w:pPr>
            <w:r w:rsidRPr="00C134CF">
              <w:rPr>
                <w:rFonts w:cs="Times New Roman"/>
                <w:color w:val="000000"/>
                <w:sz w:val="21"/>
                <w:szCs w:val="21"/>
              </w:rPr>
              <w:t>4</w:t>
            </w:r>
          </w:p>
        </w:tc>
        <w:tc>
          <w:tcPr>
            <w:tcW w:w="570" w:type="dxa"/>
            <w:shd w:val="clear" w:color="auto" w:fill="FFFFFF"/>
            <w:vAlign w:val="center"/>
          </w:tcPr>
          <w:p w14:paraId="24F2D41F" w14:textId="77777777" w:rsidR="001A7CE0" w:rsidRPr="00C134CF" w:rsidRDefault="001A7CE0" w:rsidP="00E07408">
            <w:pPr>
              <w:spacing w:line="240" w:lineRule="auto"/>
              <w:jc w:val="center"/>
              <w:rPr>
                <w:rFonts w:cs="Times New Roman"/>
                <w:color w:val="000000"/>
                <w:sz w:val="21"/>
                <w:szCs w:val="21"/>
              </w:rPr>
            </w:pPr>
            <w:r w:rsidRPr="00C134CF">
              <w:rPr>
                <w:rFonts w:cs="Times New Roman"/>
                <w:color w:val="000000"/>
                <w:sz w:val="21"/>
                <w:szCs w:val="21"/>
              </w:rPr>
              <w:t>5</w:t>
            </w:r>
          </w:p>
        </w:tc>
        <w:tc>
          <w:tcPr>
            <w:tcW w:w="570" w:type="dxa"/>
            <w:gridSpan w:val="3"/>
            <w:shd w:val="clear" w:color="auto" w:fill="FFFFFF"/>
            <w:vAlign w:val="center"/>
          </w:tcPr>
          <w:p w14:paraId="12C06CA0" w14:textId="77777777" w:rsidR="001A7CE0" w:rsidRPr="00C134CF" w:rsidRDefault="001A7CE0" w:rsidP="00E07408">
            <w:pPr>
              <w:spacing w:line="240" w:lineRule="auto"/>
              <w:jc w:val="center"/>
              <w:rPr>
                <w:rFonts w:cs="Times New Roman"/>
                <w:color w:val="000000"/>
                <w:sz w:val="21"/>
                <w:szCs w:val="21"/>
              </w:rPr>
            </w:pPr>
            <w:r w:rsidRPr="00C134CF">
              <w:rPr>
                <w:rFonts w:cs="Times New Roman"/>
                <w:color w:val="000000"/>
                <w:sz w:val="21"/>
                <w:szCs w:val="21"/>
              </w:rPr>
              <w:t>6</w:t>
            </w:r>
          </w:p>
        </w:tc>
        <w:tc>
          <w:tcPr>
            <w:tcW w:w="569" w:type="dxa"/>
            <w:gridSpan w:val="3"/>
            <w:shd w:val="clear" w:color="auto" w:fill="FFFFFF"/>
            <w:vAlign w:val="center"/>
          </w:tcPr>
          <w:p w14:paraId="7B13F4E9" w14:textId="77777777" w:rsidR="001A7CE0" w:rsidRPr="00C134CF" w:rsidRDefault="001A7CE0" w:rsidP="00E07408">
            <w:pPr>
              <w:spacing w:line="240" w:lineRule="auto"/>
              <w:jc w:val="center"/>
              <w:rPr>
                <w:rFonts w:cs="Times New Roman"/>
                <w:color w:val="000000"/>
                <w:sz w:val="21"/>
                <w:szCs w:val="21"/>
              </w:rPr>
            </w:pPr>
            <w:r w:rsidRPr="00C134CF">
              <w:rPr>
                <w:rFonts w:cs="Times New Roman"/>
                <w:color w:val="000000"/>
                <w:sz w:val="21"/>
                <w:szCs w:val="21"/>
              </w:rPr>
              <w:t>7</w:t>
            </w:r>
          </w:p>
        </w:tc>
        <w:tc>
          <w:tcPr>
            <w:tcW w:w="570" w:type="dxa"/>
            <w:gridSpan w:val="2"/>
            <w:shd w:val="clear" w:color="auto" w:fill="FFFFFF"/>
            <w:vAlign w:val="center"/>
          </w:tcPr>
          <w:p w14:paraId="47A79717" w14:textId="77777777" w:rsidR="001A7CE0" w:rsidRPr="00C134CF" w:rsidRDefault="001A7CE0" w:rsidP="00E07408">
            <w:pPr>
              <w:spacing w:line="240" w:lineRule="auto"/>
              <w:jc w:val="center"/>
              <w:rPr>
                <w:rFonts w:cs="Times New Roman"/>
                <w:color w:val="000000"/>
                <w:sz w:val="21"/>
                <w:szCs w:val="21"/>
              </w:rPr>
            </w:pPr>
            <w:r w:rsidRPr="00C134CF">
              <w:rPr>
                <w:rFonts w:cs="Times New Roman"/>
                <w:color w:val="000000"/>
                <w:sz w:val="21"/>
                <w:szCs w:val="21"/>
              </w:rPr>
              <w:t>8</w:t>
            </w:r>
          </w:p>
        </w:tc>
        <w:tc>
          <w:tcPr>
            <w:tcW w:w="570" w:type="dxa"/>
            <w:gridSpan w:val="2"/>
            <w:shd w:val="clear" w:color="auto" w:fill="FFFFFF"/>
            <w:vAlign w:val="center"/>
          </w:tcPr>
          <w:p w14:paraId="035C1E5B" w14:textId="77777777" w:rsidR="001A7CE0" w:rsidRPr="00C134CF" w:rsidRDefault="001A7CE0" w:rsidP="00E07408">
            <w:pPr>
              <w:spacing w:line="240" w:lineRule="auto"/>
              <w:jc w:val="center"/>
              <w:rPr>
                <w:rFonts w:cs="Times New Roman"/>
                <w:color w:val="000000"/>
                <w:sz w:val="21"/>
                <w:szCs w:val="21"/>
              </w:rPr>
            </w:pPr>
            <w:r w:rsidRPr="00C134CF">
              <w:rPr>
                <w:rFonts w:cs="Times New Roman"/>
                <w:color w:val="000000"/>
                <w:sz w:val="21"/>
                <w:szCs w:val="21"/>
              </w:rPr>
              <w:t>9</w:t>
            </w:r>
          </w:p>
        </w:tc>
        <w:tc>
          <w:tcPr>
            <w:tcW w:w="570" w:type="dxa"/>
            <w:shd w:val="clear" w:color="auto" w:fill="FFFFFF"/>
            <w:vAlign w:val="center"/>
          </w:tcPr>
          <w:p w14:paraId="00054A1A" w14:textId="77777777" w:rsidR="001A7CE0" w:rsidRPr="00C134CF" w:rsidRDefault="001A7CE0" w:rsidP="00E07408">
            <w:pPr>
              <w:spacing w:line="240" w:lineRule="auto"/>
              <w:jc w:val="center"/>
              <w:rPr>
                <w:rFonts w:cs="Times New Roman"/>
                <w:color w:val="000000"/>
                <w:sz w:val="21"/>
                <w:szCs w:val="21"/>
              </w:rPr>
            </w:pPr>
            <w:r w:rsidRPr="00C134CF">
              <w:rPr>
                <w:rFonts w:cs="Times New Roman"/>
                <w:color w:val="000000"/>
                <w:sz w:val="21"/>
                <w:szCs w:val="21"/>
              </w:rPr>
              <w:t>10</w:t>
            </w:r>
          </w:p>
        </w:tc>
        <w:tc>
          <w:tcPr>
            <w:tcW w:w="1537" w:type="dxa"/>
            <w:gridSpan w:val="2"/>
            <w:shd w:val="clear" w:color="auto" w:fill="FFFFFF"/>
            <w:vAlign w:val="center"/>
          </w:tcPr>
          <w:p w14:paraId="65F86E08" w14:textId="77777777" w:rsidR="001A7CE0" w:rsidRPr="00C134CF" w:rsidRDefault="001A7CE0" w:rsidP="00E07408">
            <w:pPr>
              <w:spacing w:before="40" w:after="40" w:line="240" w:lineRule="auto"/>
              <w:jc w:val="center"/>
              <w:rPr>
                <w:rFonts w:cs="Times New Roman"/>
                <w:i/>
                <w:color w:val="000000"/>
                <w:spacing w:val="-2"/>
                <w:sz w:val="21"/>
                <w:szCs w:val="21"/>
              </w:rPr>
            </w:pPr>
            <w:r w:rsidRPr="00C134CF">
              <w:rPr>
                <w:rFonts w:cs="Times New Roman"/>
                <w:i/>
                <w:color w:val="000000"/>
                <w:spacing w:val="-2"/>
                <w:sz w:val="21"/>
                <w:szCs w:val="21"/>
              </w:rPr>
              <w:t>Łącznie (0-10)</w:t>
            </w:r>
          </w:p>
        </w:tc>
      </w:tr>
      <w:tr w:rsidR="001A7CE0" w:rsidRPr="00E07408" w14:paraId="52C9F706" w14:textId="77777777" w:rsidTr="00E07408">
        <w:trPr>
          <w:trHeight w:val="321"/>
          <w:jc w:val="center"/>
        </w:trPr>
        <w:tc>
          <w:tcPr>
            <w:tcW w:w="3133" w:type="dxa"/>
            <w:gridSpan w:val="4"/>
            <w:shd w:val="clear" w:color="auto" w:fill="FFFFFF"/>
            <w:vAlign w:val="center"/>
          </w:tcPr>
          <w:p w14:paraId="137234D7" w14:textId="77777777" w:rsidR="001A7CE0" w:rsidRPr="00C134CF" w:rsidRDefault="001A7CE0" w:rsidP="00E07408">
            <w:pPr>
              <w:spacing w:line="240" w:lineRule="auto"/>
              <w:rPr>
                <w:rFonts w:cs="Times New Roman"/>
                <w:color w:val="000000"/>
                <w:sz w:val="21"/>
                <w:szCs w:val="21"/>
              </w:rPr>
            </w:pPr>
            <w:r w:rsidRPr="00C134CF">
              <w:rPr>
                <w:rFonts w:cs="Times New Roman"/>
                <w:b/>
                <w:color w:val="000000"/>
                <w:sz w:val="21"/>
                <w:szCs w:val="21"/>
              </w:rPr>
              <w:t>Dochody ogółem</w:t>
            </w:r>
          </w:p>
        </w:tc>
        <w:tc>
          <w:tcPr>
            <w:tcW w:w="569" w:type="dxa"/>
            <w:gridSpan w:val="2"/>
            <w:shd w:val="clear" w:color="auto" w:fill="FFFFFF"/>
          </w:tcPr>
          <w:p w14:paraId="1F61E769" w14:textId="77777777" w:rsidR="001A7CE0" w:rsidRPr="00C134CF" w:rsidRDefault="001A7CE0" w:rsidP="00E07408">
            <w:pPr>
              <w:spacing w:line="240" w:lineRule="auto"/>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09F76FAE"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74841317"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09DD51FE"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0A9F41D6"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1AAD69F0"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3"/>
            <w:shd w:val="clear" w:color="auto" w:fill="FFFFFF"/>
          </w:tcPr>
          <w:p w14:paraId="09C5E2B3"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07969D96"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38282B94"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781CAD6C"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7F35EE35"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1547" w:type="dxa"/>
            <w:gridSpan w:val="3"/>
            <w:shd w:val="clear" w:color="auto" w:fill="FFFFFF"/>
          </w:tcPr>
          <w:p w14:paraId="53006FB3"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r>
      <w:tr w:rsidR="001A7CE0" w:rsidRPr="00E07408" w14:paraId="6109DE3A" w14:textId="77777777" w:rsidTr="00E07408">
        <w:trPr>
          <w:trHeight w:val="321"/>
          <w:jc w:val="center"/>
        </w:trPr>
        <w:tc>
          <w:tcPr>
            <w:tcW w:w="3133" w:type="dxa"/>
            <w:gridSpan w:val="4"/>
            <w:shd w:val="clear" w:color="auto" w:fill="FFFFFF"/>
            <w:vAlign w:val="center"/>
          </w:tcPr>
          <w:p w14:paraId="29168895"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budżet państwa</w:t>
            </w:r>
          </w:p>
        </w:tc>
        <w:tc>
          <w:tcPr>
            <w:tcW w:w="569" w:type="dxa"/>
            <w:gridSpan w:val="2"/>
            <w:shd w:val="clear" w:color="auto" w:fill="FFFFFF"/>
          </w:tcPr>
          <w:p w14:paraId="60828914" w14:textId="77777777" w:rsidR="001A7CE0" w:rsidRPr="00C134CF" w:rsidRDefault="001A7CE0" w:rsidP="00E07408">
            <w:pPr>
              <w:spacing w:line="240" w:lineRule="auto"/>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0AD1B303"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29CD3F66"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42060691"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7C36D2B2"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5E3DF7B0"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3"/>
            <w:shd w:val="clear" w:color="auto" w:fill="FFFFFF"/>
          </w:tcPr>
          <w:p w14:paraId="0A54130D"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566B93B7"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780EC3F2"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69800D67"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708F173C"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1547" w:type="dxa"/>
            <w:gridSpan w:val="3"/>
            <w:shd w:val="clear" w:color="auto" w:fill="FFFFFF"/>
          </w:tcPr>
          <w:p w14:paraId="3C7B4B70"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r>
      <w:tr w:rsidR="001A7CE0" w:rsidRPr="00E07408" w14:paraId="316D28B2" w14:textId="77777777" w:rsidTr="00E07408">
        <w:trPr>
          <w:trHeight w:val="344"/>
          <w:jc w:val="center"/>
        </w:trPr>
        <w:tc>
          <w:tcPr>
            <w:tcW w:w="3133" w:type="dxa"/>
            <w:gridSpan w:val="4"/>
            <w:shd w:val="clear" w:color="auto" w:fill="FFFFFF"/>
            <w:vAlign w:val="center"/>
          </w:tcPr>
          <w:p w14:paraId="529F4F68"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JST</w:t>
            </w:r>
          </w:p>
        </w:tc>
        <w:tc>
          <w:tcPr>
            <w:tcW w:w="569" w:type="dxa"/>
            <w:gridSpan w:val="2"/>
            <w:shd w:val="clear" w:color="auto" w:fill="FFFFFF"/>
          </w:tcPr>
          <w:p w14:paraId="44B617AE" w14:textId="77777777" w:rsidR="001A7CE0" w:rsidRPr="00C134CF" w:rsidRDefault="001A7CE0" w:rsidP="00E07408">
            <w:pPr>
              <w:spacing w:line="240" w:lineRule="auto"/>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18B75251"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4BDDBAAD"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144F631B"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4499B7A2"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58269DDD"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3"/>
            <w:shd w:val="clear" w:color="auto" w:fill="FFFFFF"/>
          </w:tcPr>
          <w:p w14:paraId="5C830339"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291F76AD"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3718A3F0"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475606E7"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4A53A828"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1547" w:type="dxa"/>
            <w:gridSpan w:val="3"/>
            <w:shd w:val="clear" w:color="auto" w:fill="FFFFFF"/>
          </w:tcPr>
          <w:p w14:paraId="0666D104"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r>
      <w:tr w:rsidR="001A7CE0" w:rsidRPr="00E07408" w14:paraId="266A69EA" w14:textId="77777777" w:rsidTr="00E07408">
        <w:trPr>
          <w:trHeight w:val="344"/>
          <w:jc w:val="center"/>
        </w:trPr>
        <w:tc>
          <w:tcPr>
            <w:tcW w:w="3133" w:type="dxa"/>
            <w:gridSpan w:val="4"/>
            <w:shd w:val="clear" w:color="auto" w:fill="FFFFFF"/>
            <w:vAlign w:val="center"/>
          </w:tcPr>
          <w:p w14:paraId="43BF0EE1"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pozostałe jednostki (oddzielnie)</w:t>
            </w:r>
          </w:p>
        </w:tc>
        <w:tc>
          <w:tcPr>
            <w:tcW w:w="569" w:type="dxa"/>
            <w:gridSpan w:val="2"/>
            <w:shd w:val="clear" w:color="auto" w:fill="FFFFFF"/>
          </w:tcPr>
          <w:p w14:paraId="13AA9BE4" w14:textId="77777777" w:rsidR="001A7CE0" w:rsidRPr="00C134CF" w:rsidRDefault="001A7CE0" w:rsidP="00E07408">
            <w:pPr>
              <w:spacing w:line="240" w:lineRule="auto"/>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132B3E9E"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7D0DDD21"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17E941DD"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6A906CF6"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41B1039E"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3"/>
            <w:shd w:val="clear" w:color="auto" w:fill="FFFFFF"/>
          </w:tcPr>
          <w:p w14:paraId="3EE48D9B"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6119388A"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1F9B000B"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185D6DC8"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53494595"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1547" w:type="dxa"/>
            <w:gridSpan w:val="3"/>
            <w:shd w:val="clear" w:color="auto" w:fill="FFFFFF"/>
          </w:tcPr>
          <w:p w14:paraId="3CFF3A3F"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r>
      <w:tr w:rsidR="001A7CE0" w:rsidRPr="00E07408" w14:paraId="5E70A77B" w14:textId="77777777" w:rsidTr="00E07408">
        <w:trPr>
          <w:trHeight w:val="330"/>
          <w:jc w:val="center"/>
        </w:trPr>
        <w:tc>
          <w:tcPr>
            <w:tcW w:w="3133" w:type="dxa"/>
            <w:gridSpan w:val="4"/>
            <w:shd w:val="clear" w:color="auto" w:fill="FFFFFF"/>
            <w:vAlign w:val="center"/>
          </w:tcPr>
          <w:p w14:paraId="5B6E067B" w14:textId="77777777" w:rsidR="001A7CE0" w:rsidRPr="00C134CF" w:rsidRDefault="001A7CE0" w:rsidP="00E07408">
            <w:pPr>
              <w:spacing w:line="240" w:lineRule="auto"/>
              <w:rPr>
                <w:rFonts w:cs="Times New Roman"/>
                <w:color w:val="000000"/>
                <w:sz w:val="21"/>
                <w:szCs w:val="21"/>
              </w:rPr>
            </w:pPr>
            <w:r w:rsidRPr="00C134CF">
              <w:rPr>
                <w:rFonts w:cs="Times New Roman"/>
                <w:b/>
                <w:color w:val="000000"/>
                <w:sz w:val="21"/>
                <w:szCs w:val="21"/>
              </w:rPr>
              <w:t>Wydatki ogółem</w:t>
            </w:r>
          </w:p>
        </w:tc>
        <w:tc>
          <w:tcPr>
            <w:tcW w:w="569" w:type="dxa"/>
            <w:gridSpan w:val="2"/>
            <w:shd w:val="clear" w:color="auto" w:fill="FFFFFF"/>
          </w:tcPr>
          <w:p w14:paraId="26FB79AC" w14:textId="77777777" w:rsidR="001A7CE0" w:rsidRPr="00C134CF" w:rsidRDefault="001A7CE0" w:rsidP="00E07408">
            <w:pPr>
              <w:spacing w:line="240" w:lineRule="auto"/>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18777EEC"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3B4CE97E"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10A664BD"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5A735198"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150E1122"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3"/>
            <w:shd w:val="clear" w:color="auto" w:fill="FFFFFF"/>
          </w:tcPr>
          <w:p w14:paraId="57B401D1"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2FB69F2B"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0C051236"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39985013"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2344B40F"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1547" w:type="dxa"/>
            <w:gridSpan w:val="3"/>
            <w:shd w:val="clear" w:color="auto" w:fill="FFFFFF"/>
          </w:tcPr>
          <w:p w14:paraId="1DBC5E0C"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r>
      <w:tr w:rsidR="001A7CE0" w:rsidRPr="00E07408" w14:paraId="0FF05103" w14:textId="77777777" w:rsidTr="00E07408">
        <w:trPr>
          <w:trHeight w:val="330"/>
          <w:jc w:val="center"/>
        </w:trPr>
        <w:tc>
          <w:tcPr>
            <w:tcW w:w="3133" w:type="dxa"/>
            <w:gridSpan w:val="4"/>
            <w:shd w:val="clear" w:color="auto" w:fill="FFFFFF"/>
            <w:vAlign w:val="center"/>
          </w:tcPr>
          <w:p w14:paraId="22D61192"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budżet państwa</w:t>
            </w:r>
          </w:p>
        </w:tc>
        <w:tc>
          <w:tcPr>
            <w:tcW w:w="569" w:type="dxa"/>
            <w:gridSpan w:val="2"/>
            <w:shd w:val="clear" w:color="auto" w:fill="FFFFFF"/>
          </w:tcPr>
          <w:p w14:paraId="096CD97F" w14:textId="77777777" w:rsidR="001A7CE0" w:rsidRPr="00C134CF" w:rsidRDefault="001A7CE0" w:rsidP="00E07408">
            <w:pPr>
              <w:spacing w:line="240" w:lineRule="auto"/>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2FE08D3E"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54974E87"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4BAC6410"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2F879D8B"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00B3AE46"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3"/>
            <w:shd w:val="clear" w:color="auto" w:fill="FFFFFF"/>
          </w:tcPr>
          <w:p w14:paraId="08315F91"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692BF0A0"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55BB233F"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07440673"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57B82618"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1547" w:type="dxa"/>
            <w:gridSpan w:val="3"/>
            <w:shd w:val="clear" w:color="auto" w:fill="FFFFFF"/>
          </w:tcPr>
          <w:p w14:paraId="4E9A4906"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r>
      <w:tr w:rsidR="001A7CE0" w:rsidRPr="00E07408" w14:paraId="1CAAFA3A" w14:textId="77777777" w:rsidTr="00E07408">
        <w:trPr>
          <w:trHeight w:val="351"/>
          <w:jc w:val="center"/>
        </w:trPr>
        <w:tc>
          <w:tcPr>
            <w:tcW w:w="3133" w:type="dxa"/>
            <w:gridSpan w:val="4"/>
            <w:shd w:val="clear" w:color="auto" w:fill="FFFFFF"/>
            <w:vAlign w:val="center"/>
          </w:tcPr>
          <w:p w14:paraId="11608DCD"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JST</w:t>
            </w:r>
          </w:p>
        </w:tc>
        <w:tc>
          <w:tcPr>
            <w:tcW w:w="569" w:type="dxa"/>
            <w:gridSpan w:val="2"/>
            <w:shd w:val="clear" w:color="auto" w:fill="FFFFFF"/>
          </w:tcPr>
          <w:p w14:paraId="402C9D4E"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0A9B9D25"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0EE845D3"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7FCB57A9"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36EEEE73"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073E7597"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c>
          <w:tcPr>
            <w:tcW w:w="570" w:type="dxa"/>
            <w:gridSpan w:val="3"/>
            <w:shd w:val="clear" w:color="auto" w:fill="FFFFFF"/>
          </w:tcPr>
          <w:p w14:paraId="0231E419"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4F083613"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090F4A14"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2A999D36"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6230E014"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c>
          <w:tcPr>
            <w:tcW w:w="1547" w:type="dxa"/>
            <w:gridSpan w:val="3"/>
            <w:shd w:val="clear" w:color="auto" w:fill="FFFFFF"/>
          </w:tcPr>
          <w:p w14:paraId="081159B4"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r>
      <w:tr w:rsidR="001A7CE0" w:rsidRPr="00E07408" w14:paraId="4C969367" w14:textId="77777777" w:rsidTr="00E07408">
        <w:trPr>
          <w:trHeight w:val="351"/>
          <w:jc w:val="center"/>
        </w:trPr>
        <w:tc>
          <w:tcPr>
            <w:tcW w:w="3133" w:type="dxa"/>
            <w:gridSpan w:val="4"/>
            <w:shd w:val="clear" w:color="auto" w:fill="FFFFFF"/>
            <w:vAlign w:val="center"/>
          </w:tcPr>
          <w:p w14:paraId="664E4082"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pozostałe jednostki (oddzielnie)</w:t>
            </w:r>
          </w:p>
        </w:tc>
        <w:tc>
          <w:tcPr>
            <w:tcW w:w="569" w:type="dxa"/>
            <w:gridSpan w:val="2"/>
            <w:shd w:val="clear" w:color="auto" w:fill="FFFFFF"/>
          </w:tcPr>
          <w:p w14:paraId="630DB954" w14:textId="77777777" w:rsidR="001A7CE0" w:rsidRPr="00C134CF" w:rsidRDefault="001A7CE0" w:rsidP="00E07408">
            <w:pPr>
              <w:spacing w:line="240" w:lineRule="auto"/>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208BC042"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2C5B574E"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47310F12"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401C072C"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0E4BF077"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3"/>
            <w:shd w:val="clear" w:color="auto" w:fill="FFFFFF"/>
          </w:tcPr>
          <w:p w14:paraId="1254B1AB"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56309595"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20E75244"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654BCC13"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27E0D8C9"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1547" w:type="dxa"/>
            <w:gridSpan w:val="3"/>
            <w:shd w:val="clear" w:color="auto" w:fill="FFFFFF"/>
          </w:tcPr>
          <w:p w14:paraId="77E94F5D"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r>
      <w:tr w:rsidR="001A7CE0" w:rsidRPr="00E07408" w14:paraId="17CA3867" w14:textId="77777777" w:rsidTr="00E07408">
        <w:trPr>
          <w:trHeight w:val="360"/>
          <w:jc w:val="center"/>
        </w:trPr>
        <w:tc>
          <w:tcPr>
            <w:tcW w:w="3133" w:type="dxa"/>
            <w:gridSpan w:val="4"/>
            <w:shd w:val="clear" w:color="auto" w:fill="FFFFFF"/>
            <w:vAlign w:val="center"/>
          </w:tcPr>
          <w:p w14:paraId="47A1B08E" w14:textId="77777777" w:rsidR="001A7CE0" w:rsidRPr="00C134CF" w:rsidRDefault="001A7CE0" w:rsidP="00E07408">
            <w:pPr>
              <w:spacing w:line="240" w:lineRule="auto"/>
              <w:rPr>
                <w:rFonts w:cs="Times New Roman"/>
                <w:color w:val="000000"/>
                <w:sz w:val="21"/>
                <w:szCs w:val="21"/>
              </w:rPr>
            </w:pPr>
            <w:r w:rsidRPr="00C134CF">
              <w:rPr>
                <w:rFonts w:cs="Times New Roman"/>
                <w:b/>
                <w:color w:val="000000"/>
                <w:sz w:val="21"/>
                <w:szCs w:val="21"/>
              </w:rPr>
              <w:lastRenderedPageBreak/>
              <w:t>Saldo ogółem</w:t>
            </w:r>
          </w:p>
        </w:tc>
        <w:tc>
          <w:tcPr>
            <w:tcW w:w="569" w:type="dxa"/>
            <w:gridSpan w:val="2"/>
            <w:shd w:val="clear" w:color="auto" w:fill="FFFFFF"/>
          </w:tcPr>
          <w:p w14:paraId="20FF2522" w14:textId="77777777" w:rsidR="001A7CE0" w:rsidRPr="00C134CF" w:rsidRDefault="001A7CE0" w:rsidP="00E07408">
            <w:pPr>
              <w:spacing w:line="240" w:lineRule="auto"/>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77405241"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79A07DB2"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1D03200F"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1BF1A5CF"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2072BF2E"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3"/>
            <w:shd w:val="clear" w:color="auto" w:fill="FFFFFF"/>
          </w:tcPr>
          <w:p w14:paraId="6D1D1E67"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11243554"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351E9E2D"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72A6E2D6"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07591851"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1547" w:type="dxa"/>
            <w:gridSpan w:val="3"/>
            <w:shd w:val="clear" w:color="auto" w:fill="FFFFFF"/>
          </w:tcPr>
          <w:p w14:paraId="0006968C"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r>
      <w:tr w:rsidR="001A7CE0" w:rsidRPr="00E07408" w14:paraId="6101F00B" w14:textId="77777777" w:rsidTr="00E07408">
        <w:trPr>
          <w:trHeight w:val="360"/>
          <w:jc w:val="center"/>
        </w:trPr>
        <w:tc>
          <w:tcPr>
            <w:tcW w:w="3133" w:type="dxa"/>
            <w:gridSpan w:val="4"/>
            <w:shd w:val="clear" w:color="auto" w:fill="FFFFFF"/>
            <w:vAlign w:val="center"/>
          </w:tcPr>
          <w:p w14:paraId="43E27C18"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budżet państwa</w:t>
            </w:r>
          </w:p>
        </w:tc>
        <w:tc>
          <w:tcPr>
            <w:tcW w:w="569" w:type="dxa"/>
            <w:gridSpan w:val="2"/>
            <w:shd w:val="clear" w:color="auto" w:fill="FFFFFF"/>
          </w:tcPr>
          <w:p w14:paraId="62BF8073" w14:textId="77777777" w:rsidR="001A7CE0" w:rsidRPr="00C134CF" w:rsidRDefault="001A7CE0" w:rsidP="00E07408">
            <w:pPr>
              <w:spacing w:line="240" w:lineRule="auto"/>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67AF9A56"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56C0B7EC"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3A5CBB0A"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12805477"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603506EF"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3"/>
            <w:shd w:val="clear" w:color="auto" w:fill="FFFFFF"/>
          </w:tcPr>
          <w:p w14:paraId="6D57F762"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62BA4E67"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205EC386"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6E7FBA0D"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351184C7"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1547" w:type="dxa"/>
            <w:gridSpan w:val="3"/>
            <w:shd w:val="clear" w:color="auto" w:fill="FFFFFF"/>
          </w:tcPr>
          <w:p w14:paraId="7C1F8A1A"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r>
      <w:tr w:rsidR="001A7CE0" w:rsidRPr="00E07408" w14:paraId="64F1339E" w14:textId="77777777" w:rsidTr="00E07408">
        <w:trPr>
          <w:trHeight w:val="357"/>
          <w:jc w:val="center"/>
        </w:trPr>
        <w:tc>
          <w:tcPr>
            <w:tcW w:w="3133" w:type="dxa"/>
            <w:gridSpan w:val="4"/>
            <w:shd w:val="clear" w:color="auto" w:fill="FFFFFF"/>
            <w:vAlign w:val="center"/>
          </w:tcPr>
          <w:p w14:paraId="2262C5B7"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JST</w:t>
            </w:r>
          </w:p>
        </w:tc>
        <w:tc>
          <w:tcPr>
            <w:tcW w:w="569" w:type="dxa"/>
            <w:gridSpan w:val="2"/>
            <w:shd w:val="clear" w:color="auto" w:fill="FFFFFF"/>
          </w:tcPr>
          <w:p w14:paraId="4247D0A7" w14:textId="77777777" w:rsidR="001A7CE0" w:rsidRPr="00C134CF" w:rsidRDefault="001A7CE0" w:rsidP="00E07408">
            <w:pPr>
              <w:spacing w:line="240" w:lineRule="auto"/>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581C61F8"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53E755FD"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6CDA9E27"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19F236CE"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7C2D4164"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3"/>
            <w:shd w:val="clear" w:color="auto" w:fill="FFFFFF"/>
          </w:tcPr>
          <w:p w14:paraId="6F32A13F"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0460DAE9"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12BADB36"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257873CC"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18FF1009"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1547" w:type="dxa"/>
            <w:gridSpan w:val="3"/>
            <w:shd w:val="clear" w:color="auto" w:fill="FFFFFF"/>
          </w:tcPr>
          <w:p w14:paraId="0C16E238"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r>
      <w:tr w:rsidR="001A7CE0" w:rsidRPr="00E07408" w14:paraId="08FCAF2D" w14:textId="77777777" w:rsidTr="00E07408">
        <w:trPr>
          <w:trHeight w:val="357"/>
          <w:jc w:val="center"/>
        </w:trPr>
        <w:tc>
          <w:tcPr>
            <w:tcW w:w="3133" w:type="dxa"/>
            <w:gridSpan w:val="4"/>
            <w:shd w:val="clear" w:color="auto" w:fill="FFFFFF"/>
            <w:vAlign w:val="center"/>
          </w:tcPr>
          <w:p w14:paraId="145613DC"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pozostałe jednostki (oddzielnie)</w:t>
            </w:r>
          </w:p>
        </w:tc>
        <w:tc>
          <w:tcPr>
            <w:tcW w:w="569" w:type="dxa"/>
            <w:gridSpan w:val="2"/>
            <w:shd w:val="clear" w:color="auto" w:fill="FFFFFF"/>
          </w:tcPr>
          <w:p w14:paraId="4544A222" w14:textId="77777777" w:rsidR="001A7CE0" w:rsidRPr="00C134CF" w:rsidRDefault="001A7CE0" w:rsidP="00E07408">
            <w:pPr>
              <w:spacing w:line="240" w:lineRule="auto"/>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750CC991"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069DAA01"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698F923F"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43EA6955"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12D7B1AE"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3"/>
            <w:shd w:val="clear" w:color="auto" w:fill="FFFFFF"/>
          </w:tcPr>
          <w:p w14:paraId="77C824D8"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69" w:type="dxa"/>
            <w:gridSpan w:val="3"/>
            <w:shd w:val="clear" w:color="auto" w:fill="FFFFFF"/>
          </w:tcPr>
          <w:p w14:paraId="543A5AFE"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5DC1AB19"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gridSpan w:val="2"/>
            <w:shd w:val="clear" w:color="auto" w:fill="FFFFFF"/>
          </w:tcPr>
          <w:p w14:paraId="69CDBC57"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570" w:type="dxa"/>
            <w:shd w:val="clear" w:color="auto" w:fill="FFFFFF"/>
          </w:tcPr>
          <w:p w14:paraId="14BF42C7"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c>
          <w:tcPr>
            <w:tcW w:w="1547" w:type="dxa"/>
            <w:gridSpan w:val="3"/>
            <w:shd w:val="clear" w:color="auto" w:fill="FFFFFF"/>
          </w:tcPr>
          <w:p w14:paraId="087198B9" w14:textId="77777777" w:rsidR="001A7CE0" w:rsidRPr="00C134CF" w:rsidRDefault="001A7CE0" w:rsidP="00E07408">
            <w:pPr>
              <w:jc w:val="both"/>
              <w:rPr>
                <w:rFonts w:cs="Times New Roman"/>
                <w:color w:val="000000"/>
                <w:sz w:val="21"/>
                <w:szCs w:val="21"/>
              </w:rPr>
            </w:pPr>
            <w:r w:rsidRPr="00C134CF">
              <w:rPr>
                <w:rFonts w:cs="Times New Roman"/>
                <w:color w:val="000000"/>
                <w:sz w:val="21"/>
                <w:szCs w:val="21"/>
              </w:rPr>
              <w:t>0</w:t>
            </w:r>
          </w:p>
        </w:tc>
      </w:tr>
      <w:tr w:rsidR="001A7CE0" w:rsidRPr="00E07408" w14:paraId="21BE0768" w14:textId="77777777" w:rsidTr="00E07408">
        <w:trPr>
          <w:gridAfter w:val="1"/>
          <w:wAfter w:w="10" w:type="dxa"/>
          <w:trHeight w:val="348"/>
          <w:jc w:val="center"/>
        </w:trPr>
        <w:tc>
          <w:tcPr>
            <w:tcW w:w="2243" w:type="dxa"/>
            <w:gridSpan w:val="2"/>
            <w:shd w:val="clear" w:color="auto" w:fill="FFFFFF"/>
            <w:vAlign w:val="center"/>
          </w:tcPr>
          <w:p w14:paraId="60D90D24"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 xml:space="preserve">Źródła finansowania </w:t>
            </w:r>
          </w:p>
        </w:tc>
        <w:tc>
          <w:tcPr>
            <w:tcW w:w="8694" w:type="dxa"/>
            <w:gridSpan w:val="27"/>
            <w:shd w:val="clear" w:color="auto" w:fill="FFFFFF"/>
            <w:vAlign w:val="center"/>
          </w:tcPr>
          <w:p w14:paraId="01D9F5F9" w14:textId="77777777" w:rsidR="001A7CE0" w:rsidRPr="00C134CF" w:rsidRDefault="001A7CE0" w:rsidP="00E07408">
            <w:pPr>
              <w:spacing w:line="240" w:lineRule="auto"/>
              <w:jc w:val="both"/>
              <w:rPr>
                <w:rFonts w:cs="Times New Roman"/>
                <w:color w:val="000000"/>
                <w:sz w:val="21"/>
                <w:szCs w:val="21"/>
              </w:rPr>
            </w:pPr>
            <w:r w:rsidRPr="00C134CF">
              <w:rPr>
                <w:rFonts w:cs="Times New Roman"/>
                <w:color w:val="000000"/>
                <w:sz w:val="21"/>
                <w:szCs w:val="21"/>
              </w:rPr>
              <w:t>Nie dotyczy.</w:t>
            </w:r>
          </w:p>
        </w:tc>
      </w:tr>
      <w:tr w:rsidR="001A7CE0" w:rsidRPr="00E07408" w14:paraId="2CC1CA5A" w14:textId="77777777" w:rsidTr="00E07408">
        <w:trPr>
          <w:gridAfter w:val="1"/>
          <w:wAfter w:w="10" w:type="dxa"/>
          <w:trHeight w:val="833"/>
          <w:jc w:val="center"/>
        </w:trPr>
        <w:tc>
          <w:tcPr>
            <w:tcW w:w="2243" w:type="dxa"/>
            <w:gridSpan w:val="2"/>
            <w:shd w:val="clear" w:color="auto" w:fill="FFFFFF"/>
          </w:tcPr>
          <w:p w14:paraId="122EF23C"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Dodatkowe informacje, w tym wskazanie źródeł danych i przyjętych do obliczeń założeń</w:t>
            </w:r>
          </w:p>
        </w:tc>
        <w:tc>
          <w:tcPr>
            <w:tcW w:w="8694" w:type="dxa"/>
            <w:gridSpan w:val="27"/>
            <w:shd w:val="clear" w:color="auto" w:fill="FFFFFF"/>
          </w:tcPr>
          <w:p w14:paraId="2E0F9CEC" w14:textId="77777777" w:rsidR="001A7CE0" w:rsidRPr="00C134CF" w:rsidRDefault="001A7CE0" w:rsidP="00E07408">
            <w:pPr>
              <w:spacing w:line="240" w:lineRule="auto"/>
              <w:jc w:val="both"/>
              <w:rPr>
                <w:rFonts w:cs="Times New Roman"/>
                <w:color w:val="000000"/>
                <w:sz w:val="21"/>
                <w:szCs w:val="21"/>
              </w:rPr>
            </w:pPr>
            <w:r w:rsidRPr="00C134CF">
              <w:rPr>
                <w:rFonts w:cs="Times New Roman"/>
                <w:color w:val="000000"/>
                <w:sz w:val="21"/>
                <w:szCs w:val="21"/>
              </w:rPr>
              <w:t>Fundusz Szerokopasmowy zasilany będzie dochodami budżetu państwa pochodzącymi z tytułów wymienionych w art. 16a ust. 3 ustawy, tj. z tytułu opłaty za gospodarowanie numeracją (100% wpływów), 15% opłat za dysponowanie częstotliwościami oraz kar i grzywien, nakładanych przez Prezesa Urzędu Komunikacji Elektronicznej (100% wpływów). Dane o wysokości tych dochodów ustalono na podstawie Planu dochodów UKE na 20</w:t>
            </w:r>
            <w:r w:rsidR="007559FE">
              <w:rPr>
                <w:rFonts w:cs="Times New Roman"/>
                <w:color w:val="000000"/>
                <w:sz w:val="21"/>
                <w:szCs w:val="21"/>
              </w:rPr>
              <w:t xml:space="preserve">21 </w:t>
            </w:r>
            <w:r w:rsidRPr="00C134CF">
              <w:rPr>
                <w:rFonts w:cs="Times New Roman"/>
                <w:color w:val="000000"/>
                <w:sz w:val="21"/>
                <w:szCs w:val="21"/>
              </w:rPr>
              <w:t>rok</w:t>
            </w:r>
            <w:r w:rsidR="007559FE">
              <w:rPr>
                <w:rFonts w:cs="Times New Roman"/>
                <w:color w:val="000000"/>
                <w:sz w:val="21"/>
                <w:szCs w:val="21"/>
              </w:rPr>
              <w:t xml:space="preserve"> oraz Sprawozdania z działalności Prezesa UKE za 2019 r.</w:t>
            </w:r>
            <w:r w:rsidRPr="00C134CF">
              <w:rPr>
                <w:rFonts w:cs="Times New Roman"/>
                <w:color w:val="000000"/>
                <w:sz w:val="21"/>
                <w:szCs w:val="21"/>
              </w:rPr>
              <w:t xml:space="preserve">, które </w:t>
            </w:r>
            <w:r w:rsidR="007559FE">
              <w:rPr>
                <w:rFonts w:cs="Times New Roman"/>
                <w:color w:val="000000"/>
                <w:sz w:val="21"/>
                <w:szCs w:val="21"/>
              </w:rPr>
              <w:t>są</w:t>
            </w:r>
            <w:r w:rsidRPr="00C134CF">
              <w:rPr>
                <w:rFonts w:cs="Times New Roman"/>
                <w:color w:val="000000"/>
                <w:sz w:val="21"/>
                <w:szCs w:val="21"/>
              </w:rPr>
              <w:t xml:space="preserve"> planowane </w:t>
            </w:r>
            <w:r w:rsidR="007559FE">
              <w:rPr>
                <w:rFonts w:cs="Times New Roman"/>
                <w:color w:val="000000"/>
                <w:sz w:val="21"/>
                <w:szCs w:val="21"/>
              </w:rPr>
              <w:t xml:space="preserve">lub zostały osiągnięte </w:t>
            </w:r>
            <w:r w:rsidRPr="00C134CF">
              <w:rPr>
                <w:rFonts w:cs="Times New Roman"/>
                <w:color w:val="000000"/>
                <w:sz w:val="21"/>
                <w:szCs w:val="21"/>
              </w:rPr>
              <w:t>na kwotę:</w:t>
            </w:r>
          </w:p>
          <w:p w14:paraId="2803DB42" w14:textId="77777777" w:rsidR="001A7CE0" w:rsidRPr="00C134CF" w:rsidRDefault="001A7CE0" w:rsidP="00147A2A">
            <w:pPr>
              <w:widowControl/>
              <w:numPr>
                <w:ilvl w:val="0"/>
                <w:numId w:val="2"/>
              </w:numPr>
              <w:autoSpaceDE/>
              <w:autoSpaceDN/>
              <w:adjustRightInd/>
              <w:spacing w:line="240" w:lineRule="auto"/>
              <w:jc w:val="both"/>
              <w:rPr>
                <w:rFonts w:cs="Times New Roman"/>
                <w:color w:val="000000"/>
                <w:sz w:val="21"/>
                <w:szCs w:val="21"/>
              </w:rPr>
            </w:pPr>
            <w:r w:rsidRPr="00C134CF">
              <w:rPr>
                <w:rFonts w:cs="Times New Roman"/>
                <w:color w:val="000000"/>
                <w:sz w:val="21"/>
                <w:szCs w:val="21"/>
              </w:rPr>
              <w:t>z tytułu opłat za prawo do wykorzystywania zasobów numeracji – 85,</w:t>
            </w:r>
            <w:r w:rsidR="007559FE">
              <w:rPr>
                <w:rFonts w:cs="Times New Roman"/>
                <w:color w:val="000000"/>
                <w:sz w:val="21"/>
                <w:szCs w:val="21"/>
              </w:rPr>
              <w:t>161</w:t>
            </w:r>
            <w:r w:rsidRPr="00C134CF">
              <w:rPr>
                <w:rFonts w:cs="Times New Roman"/>
                <w:color w:val="000000"/>
                <w:sz w:val="21"/>
                <w:szCs w:val="21"/>
              </w:rPr>
              <w:t xml:space="preserve"> mln zł;</w:t>
            </w:r>
          </w:p>
          <w:p w14:paraId="36FF3E6E" w14:textId="1BFFA050" w:rsidR="001A7CE0" w:rsidRPr="00C134CF" w:rsidRDefault="001A7CE0" w:rsidP="00147A2A">
            <w:pPr>
              <w:widowControl/>
              <w:numPr>
                <w:ilvl w:val="0"/>
                <w:numId w:val="2"/>
              </w:numPr>
              <w:autoSpaceDE/>
              <w:autoSpaceDN/>
              <w:adjustRightInd/>
              <w:spacing w:line="240" w:lineRule="auto"/>
              <w:jc w:val="both"/>
              <w:rPr>
                <w:rFonts w:cs="Times New Roman"/>
                <w:color w:val="000000"/>
                <w:sz w:val="21"/>
                <w:szCs w:val="21"/>
              </w:rPr>
            </w:pPr>
            <w:r w:rsidRPr="00C134CF">
              <w:rPr>
                <w:rFonts w:cs="Times New Roman"/>
                <w:color w:val="000000"/>
                <w:sz w:val="21"/>
                <w:szCs w:val="21"/>
              </w:rPr>
              <w:t>z tytułu opłat za prawo do wykorzystywania częstotliwości</w:t>
            </w:r>
            <w:r w:rsidR="00C676D4">
              <w:rPr>
                <w:rFonts w:cs="Times New Roman"/>
                <w:color w:val="000000"/>
                <w:sz w:val="21"/>
                <w:szCs w:val="21"/>
              </w:rPr>
              <w:t xml:space="preserve"> </w:t>
            </w:r>
            <w:r w:rsidRPr="00C134CF">
              <w:rPr>
                <w:rFonts w:cs="Times New Roman"/>
                <w:color w:val="000000"/>
                <w:sz w:val="21"/>
                <w:szCs w:val="21"/>
              </w:rPr>
              <w:t xml:space="preserve">– </w:t>
            </w:r>
            <w:r w:rsidR="007559FE">
              <w:rPr>
                <w:rFonts w:cs="Times New Roman"/>
                <w:color w:val="000000"/>
                <w:sz w:val="21"/>
                <w:szCs w:val="21"/>
              </w:rPr>
              <w:t>273</w:t>
            </w:r>
            <w:r w:rsidRPr="00C134CF">
              <w:rPr>
                <w:rFonts w:cs="Times New Roman"/>
                <w:color w:val="000000"/>
                <w:sz w:val="21"/>
                <w:szCs w:val="21"/>
              </w:rPr>
              <w:t>,</w:t>
            </w:r>
            <w:r w:rsidR="007559FE">
              <w:rPr>
                <w:rFonts w:cs="Times New Roman"/>
                <w:color w:val="000000"/>
                <w:sz w:val="21"/>
                <w:szCs w:val="21"/>
              </w:rPr>
              <w:t>399</w:t>
            </w:r>
            <w:r w:rsidRPr="00C134CF">
              <w:rPr>
                <w:rFonts w:cs="Times New Roman"/>
                <w:color w:val="000000"/>
                <w:sz w:val="21"/>
                <w:szCs w:val="21"/>
              </w:rPr>
              <w:t xml:space="preserve"> mln zł;</w:t>
            </w:r>
          </w:p>
          <w:p w14:paraId="790AD86D" w14:textId="77777777" w:rsidR="001A7CE0" w:rsidRPr="00C134CF" w:rsidRDefault="001A7CE0" w:rsidP="00147A2A">
            <w:pPr>
              <w:widowControl/>
              <w:numPr>
                <w:ilvl w:val="0"/>
                <w:numId w:val="2"/>
              </w:numPr>
              <w:autoSpaceDE/>
              <w:autoSpaceDN/>
              <w:adjustRightInd/>
              <w:spacing w:line="240" w:lineRule="auto"/>
              <w:jc w:val="both"/>
              <w:rPr>
                <w:rFonts w:cs="Times New Roman"/>
                <w:color w:val="000000"/>
                <w:sz w:val="21"/>
                <w:szCs w:val="21"/>
              </w:rPr>
            </w:pPr>
            <w:r w:rsidRPr="00C134CF">
              <w:rPr>
                <w:rFonts w:cs="Times New Roman"/>
                <w:color w:val="000000"/>
                <w:sz w:val="21"/>
                <w:szCs w:val="21"/>
              </w:rPr>
              <w:t xml:space="preserve">z tytułu kar i grzywien – </w:t>
            </w:r>
            <w:r w:rsidR="007559FE">
              <w:rPr>
                <w:rFonts w:cs="Times New Roman"/>
                <w:color w:val="000000"/>
                <w:sz w:val="21"/>
                <w:szCs w:val="21"/>
              </w:rPr>
              <w:t>4,010</w:t>
            </w:r>
            <w:r w:rsidRPr="00C134CF">
              <w:rPr>
                <w:rFonts w:cs="Times New Roman"/>
                <w:color w:val="000000"/>
                <w:sz w:val="21"/>
                <w:szCs w:val="21"/>
              </w:rPr>
              <w:t xml:space="preserve"> mln zł.</w:t>
            </w:r>
          </w:p>
          <w:p w14:paraId="301DBEF7" w14:textId="77777777" w:rsidR="001A7CE0" w:rsidRPr="00C134CF" w:rsidRDefault="001A7CE0">
            <w:pPr>
              <w:spacing w:line="240" w:lineRule="auto"/>
              <w:jc w:val="both"/>
              <w:rPr>
                <w:rFonts w:cs="Times New Roman"/>
                <w:color w:val="000000"/>
                <w:sz w:val="21"/>
                <w:szCs w:val="21"/>
              </w:rPr>
            </w:pPr>
            <w:r w:rsidRPr="00C134CF">
              <w:rPr>
                <w:rFonts w:cs="Times New Roman"/>
                <w:color w:val="000000"/>
                <w:sz w:val="21"/>
                <w:szCs w:val="21"/>
              </w:rPr>
              <w:t>Z ostrożności przyjęto, że w poszczególnych latach dochody z ww. tytułów odpowiadać będą dochodom bazowym</w:t>
            </w:r>
            <w:r w:rsidR="007559FE">
              <w:rPr>
                <w:rFonts w:cs="Times New Roman"/>
                <w:color w:val="000000"/>
                <w:sz w:val="21"/>
                <w:szCs w:val="21"/>
              </w:rPr>
              <w:t>, które w 2021 roku szacuje się na łącznie 130,181 mln zł.</w:t>
            </w:r>
            <w:r w:rsidRPr="00C134CF">
              <w:rPr>
                <w:rFonts w:cs="Times New Roman"/>
                <w:color w:val="000000"/>
                <w:sz w:val="21"/>
                <w:szCs w:val="21"/>
              </w:rPr>
              <w:t xml:space="preserve"> Fundusz w 2020 roku zostanie zasilony kwotą 87 mln zł.</w:t>
            </w:r>
          </w:p>
          <w:p w14:paraId="0033DCD5" w14:textId="77777777" w:rsidR="001A7CE0" w:rsidRPr="00C134CF" w:rsidRDefault="001A7CE0" w:rsidP="00E07408">
            <w:pPr>
              <w:spacing w:line="240" w:lineRule="auto"/>
              <w:jc w:val="both"/>
              <w:rPr>
                <w:rFonts w:cs="Times New Roman"/>
                <w:color w:val="000000"/>
                <w:sz w:val="21"/>
                <w:szCs w:val="21"/>
              </w:rPr>
            </w:pPr>
            <w:r w:rsidRPr="00C134CF">
              <w:rPr>
                <w:rFonts w:cs="Times New Roman"/>
                <w:color w:val="000000"/>
                <w:sz w:val="21"/>
                <w:szCs w:val="21"/>
              </w:rPr>
              <w:t>Jednocześnie katalog przychodów Funduszu zakłada możliwość oddawania wolnych środków Funduszu w zarządzanie na podstawie art. 78d ust. 2 ustawy z dnia 27 sierpnia 2009 r. o finansach publicznych i osiąganie przychodu z odsetek od tych wolnych środków, a także otrzymywanie dotacji z budżetu państwa.</w:t>
            </w:r>
          </w:p>
          <w:p w14:paraId="60AB7559" w14:textId="7253DB32" w:rsidR="001A7CE0" w:rsidRPr="00C134CF" w:rsidRDefault="001A7CE0" w:rsidP="00E07408">
            <w:pPr>
              <w:spacing w:line="240" w:lineRule="auto"/>
              <w:jc w:val="both"/>
              <w:rPr>
                <w:rFonts w:cs="Times New Roman"/>
                <w:color w:val="000000"/>
                <w:sz w:val="21"/>
                <w:szCs w:val="21"/>
              </w:rPr>
            </w:pPr>
            <w:r w:rsidRPr="00C134CF">
              <w:rPr>
                <w:rFonts w:cs="Times New Roman"/>
                <w:color w:val="000000"/>
                <w:sz w:val="21"/>
                <w:szCs w:val="21"/>
              </w:rPr>
              <w:t xml:space="preserve">Założono, że ze środków funduszu finansowane będą także koszty jego obsługi, w tym koszty ewentualnego zatrudnienia w instytucjach operujących środkami funduszu – w związku z czym nie wyodrębniono tych kosztów jako dodatkowych wydatków budżetu państwa. Niemniej zakłada się, że całościowe koszty obsługi Funduszu (rozumiane jako koszty prowadzenia rachunku Funduszu, koszty prowadzenia interwencji podejmowanych ze środków Funduszu, oraz koszty </w:t>
            </w:r>
            <w:proofErr w:type="spellStart"/>
            <w:r w:rsidRPr="00C134CF">
              <w:rPr>
                <w:rFonts w:cs="Times New Roman"/>
                <w:color w:val="000000"/>
                <w:sz w:val="21"/>
                <w:szCs w:val="21"/>
              </w:rPr>
              <w:t>ogólnoadministracyjne</w:t>
            </w:r>
            <w:proofErr w:type="spellEnd"/>
            <w:r w:rsidRPr="00C134CF">
              <w:rPr>
                <w:rFonts w:cs="Times New Roman"/>
                <w:color w:val="000000"/>
                <w:sz w:val="21"/>
                <w:szCs w:val="21"/>
              </w:rPr>
              <w:t>, w tym koszty osobowe osób obsługujących Fundusz i uczestniczących we wdrażaniu interwencji) wyniosą w danym roku maksymalnie do 5% rocznego zakładanego budżetu Funduszu. Założono maksymalne roczne zaangażowanie osobowe we wdrażanie Funduszu w wysokości łącznie 20 etatów we wszystkich instytucjach uczestniczących w systemie wdrażania Funduszu.</w:t>
            </w:r>
          </w:p>
        </w:tc>
      </w:tr>
      <w:tr w:rsidR="001A7CE0" w:rsidRPr="00E07408" w14:paraId="441D06DA" w14:textId="77777777" w:rsidTr="00E07408">
        <w:trPr>
          <w:gridAfter w:val="1"/>
          <w:wAfter w:w="10" w:type="dxa"/>
          <w:trHeight w:val="345"/>
          <w:jc w:val="center"/>
        </w:trPr>
        <w:tc>
          <w:tcPr>
            <w:tcW w:w="10937" w:type="dxa"/>
            <w:gridSpan w:val="29"/>
            <w:shd w:val="clear" w:color="auto" w:fill="99CCFF"/>
          </w:tcPr>
          <w:p w14:paraId="217C9997" w14:textId="77777777" w:rsidR="001A7CE0" w:rsidRPr="00C134CF" w:rsidRDefault="001A7CE0" w:rsidP="00147A2A">
            <w:pPr>
              <w:widowControl/>
              <w:numPr>
                <w:ilvl w:val="0"/>
                <w:numId w:val="1"/>
              </w:numPr>
              <w:autoSpaceDE/>
              <w:autoSpaceDN/>
              <w:adjustRightInd/>
              <w:spacing w:before="120" w:after="120" w:line="240" w:lineRule="auto"/>
              <w:jc w:val="both"/>
              <w:rPr>
                <w:rFonts w:cs="Times New Roman"/>
                <w:b/>
                <w:color w:val="000000"/>
                <w:spacing w:val="-2"/>
                <w:sz w:val="22"/>
                <w:szCs w:val="22"/>
              </w:rPr>
            </w:pPr>
            <w:r w:rsidRPr="00C134CF">
              <w:rPr>
                <w:rFonts w:cs="Times New Roman"/>
                <w:b/>
                <w:color w:val="000000"/>
                <w:spacing w:val="-2"/>
                <w:sz w:val="22"/>
                <w:szCs w:val="22"/>
              </w:rPr>
              <w:t xml:space="preserve">Wpływ na </w:t>
            </w:r>
            <w:r w:rsidRPr="00C134CF">
              <w:rPr>
                <w:rFonts w:cs="Times New Roman"/>
                <w:b/>
                <w:color w:val="000000"/>
                <w:sz w:val="22"/>
                <w:szCs w:val="22"/>
              </w:rPr>
              <w:t xml:space="preserve">konkurencyjność gospodarki i przedsiębiorczość, w tym funkcjonowanie przedsiębiorców oraz na rodzinę, obywateli i gospodarstwa domowe </w:t>
            </w:r>
          </w:p>
        </w:tc>
      </w:tr>
      <w:tr w:rsidR="001A7CE0" w:rsidRPr="00E07408" w14:paraId="3E766E7E" w14:textId="77777777" w:rsidTr="00E07408">
        <w:trPr>
          <w:gridAfter w:val="1"/>
          <w:wAfter w:w="10" w:type="dxa"/>
          <w:trHeight w:val="142"/>
          <w:jc w:val="center"/>
        </w:trPr>
        <w:tc>
          <w:tcPr>
            <w:tcW w:w="3889" w:type="dxa"/>
            <w:gridSpan w:val="7"/>
            <w:shd w:val="clear" w:color="auto" w:fill="FFFFFF"/>
          </w:tcPr>
          <w:p w14:paraId="289CC099"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Czas w latach od wejścia w życie zmian</w:t>
            </w:r>
          </w:p>
        </w:tc>
        <w:tc>
          <w:tcPr>
            <w:tcW w:w="937" w:type="dxa"/>
            <w:gridSpan w:val="2"/>
            <w:shd w:val="clear" w:color="auto" w:fill="FFFFFF"/>
          </w:tcPr>
          <w:p w14:paraId="20957A89" w14:textId="77777777" w:rsidR="001A7CE0" w:rsidRPr="00C134CF" w:rsidRDefault="001A7CE0" w:rsidP="00E07408">
            <w:pPr>
              <w:spacing w:line="240" w:lineRule="auto"/>
              <w:jc w:val="center"/>
              <w:rPr>
                <w:rFonts w:cs="Times New Roman"/>
                <w:color w:val="000000"/>
                <w:sz w:val="21"/>
                <w:szCs w:val="21"/>
              </w:rPr>
            </w:pPr>
            <w:r w:rsidRPr="00C134CF">
              <w:rPr>
                <w:rFonts w:cs="Times New Roman"/>
                <w:color w:val="000000"/>
                <w:sz w:val="21"/>
                <w:szCs w:val="21"/>
              </w:rPr>
              <w:t>0</w:t>
            </w:r>
          </w:p>
        </w:tc>
        <w:tc>
          <w:tcPr>
            <w:tcW w:w="938" w:type="dxa"/>
            <w:gridSpan w:val="5"/>
            <w:shd w:val="clear" w:color="auto" w:fill="FFFFFF"/>
          </w:tcPr>
          <w:p w14:paraId="218AA227" w14:textId="77777777" w:rsidR="001A7CE0" w:rsidRPr="00C134CF" w:rsidRDefault="001A7CE0" w:rsidP="00E07408">
            <w:pPr>
              <w:spacing w:line="240" w:lineRule="auto"/>
              <w:jc w:val="center"/>
              <w:rPr>
                <w:rFonts w:cs="Times New Roman"/>
                <w:color w:val="000000"/>
                <w:sz w:val="21"/>
                <w:szCs w:val="21"/>
              </w:rPr>
            </w:pPr>
            <w:r w:rsidRPr="00C134CF">
              <w:rPr>
                <w:rFonts w:cs="Times New Roman"/>
                <w:color w:val="000000"/>
                <w:sz w:val="21"/>
                <w:szCs w:val="21"/>
              </w:rPr>
              <w:t>1</w:t>
            </w:r>
          </w:p>
        </w:tc>
        <w:tc>
          <w:tcPr>
            <w:tcW w:w="938" w:type="dxa"/>
            <w:gridSpan w:val="4"/>
            <w:shd w:val="clear" w:color="auto" w:fill="FFFFFF"/>
          </w:tcPr>
          <w:p w14:paraId="5E7B777A" w14:textId="77777777" w:rsidR="001A7CE0" w:rsidRPr="00C134CF" w:rsidRDefault="001A7CE0" w:rsidP="00E07408">
            <w:pPr>
              <w:spacing w:line="240" w:lineRule="auto"/>
              <w:jc w:val="center"/>
              <w:rPr>
                <w:rFonts w:cs="Times New Roman"/>
                <w:color w:val="000000"/>
                <w:sz w:val="21"/>
                <w:szCs w:val="21"/>
              </w:rPr>
            </w:pPr>
            <w:r w:rsidRPr="00C134CF">
              <w:rPr>
                <w:rFonts w:cs="Times New Roman"/>
                <w:color w:val="000000"/>
                <w:sz w:val="21"/>
                <w:szCs w:val="21"/>
              </w:rPr>
              <w:t>2</w:t>
            </w:r>
          </w:p>
        </w:tc>
        <w:tc>
          <w:tcPr>
            <w:tcW w:w="937" w:type="dxa"/>
            <w:gridSpan w:val="3"/>
            <w:shd w:val="clear" w:color="auto" w:fill="FFFFFF"/>
          </w:tcPr>
          <w:p w14:paraId="41A35DD5" w14:textId="77777777" w:rsidR="001A7CE0" w:rsidRPr="00C134CF" w:rsidRDefault="001A7CE0" w:rsidP="00E07408">
            <w:pPr>
              <w:spacing w:line="240" w:lineRule="auto"/>
              <w:jc w:val="center"/>
              <w:rPr>
                <w:rFonts w:cs="Times New Roman"/>
                <w:color w:val="000000"/>
                <w:sz w:val="21"/>
                <w:szCs w:val="21"/>
              </w:rPr>
            </w:pPr>
            <w:r w:rsidRPr="00C134CF">
              <w:rPr>
                <w:rFonts w:cs="Times New Roman"/>
                <w:color w:val="000000"/>
                <w:sz w:val="21"/>
                <w:szCs w:val="21"/>
              </w:rPr>
              <w:t>3</w:t>
            </w:r>
          </w:p>
        </w:tc>
        <w:tc>
          <w:tcPr>
            <w:tcW w:w="938" w:type="dxa"/>
            <w:gridSpan w:val="4"/>
            <w:shd w:val="clear" w:color="auto" w:fill="FFFFFF"/>
          </w:tcPr>
          <w:p w14:paraId="33539E67" w14:textId="77777777" w:rsidR="001A7CE0" w:rsidRPr="00C134CF" w:rsidRDefault="001A7CE0" w:rsidP="00E07408">
            <w:pPr>
              <w:spacing w:line="240" w:lineRule="auto"/>
              <w:jc w:val="center"/>
              <w:rPr>
                <w:rFonts w:cs="Times New Roman"/>
                <w:color w:val="000000"/>
                <w:sz w:val="21"/>
                <w:szCs w:val="21"/>
              </w:rPr>
            </w:pPr>
            <w:r w:rsidRPr="00C134CF">
              <w:rPr>
                <w:rFonts w:cs="Times New Roman"/>
                <w:color w:val="000000"/>
                <w:sz w:val="21"/>
                <w:szCs w:val="21"/>
              </w:rPr>
              <w:t>5</w:t>
            </w:r>
          </w:p>
        </w:tc>
        <w:tc>
          <w:tcPr>
            <w:tcW w:w="938" w:type="dxa"/>
            <w:gridSpan w:val="3"/>
            <w:shd w:val="clear" w:color="auto" w:fill="FFFFFF"/>
          </w:tcPr>
          <w:p w14:paraId="29F0B015" w14:textId="77777777" w:rsidR="001A7CE0" w:rsidRPr="00C134CF" w:rsidRDefault="001A7CE0" w:rsidP="00E07408">
            <w:pPr>
              <w:spacing w:line="240" w:lineRule="auto"/>
              <w:jc w:val="center"/>
              <w:rPr>
                <w:rFonts w:cs="Times New Roman"/>
                <w:color w:val="000000"/>
                <w:sz w:val="21"/>
                <w:szCs w:val="21"/>
              </w:rPr>
            </w:pPr>
            <w:r w:rsidRPr="00C134CF">
              <w:rPr>
                <w:rFonts w:cs="Times New Roman"/>
                <w:color w:val="000000"/>
                <w:sz w:val="21"/>
                <w:szCs w:val="21"/>
              </w:rPr>
              <w:t>10</w:t>
            </w:r>
          </w:p>
        </w:tc>
        <w:tc>
          <w:tcPr>
            <w:tcW w:w="1422" w:type="dxa"/>
            <w:shd w:val="clear" w:color="auto" w:fill="FFFFFF"/>
          </w:tcPr>
          <w:p w14:paraId="119FE73B" w14:textId="77777777" w:rsidR="001A7CE0" w:rsidRPr="00C134CF" w:rsidRDefault="001A7CE0" w:rsidP="00E07408">
            <w:pPr>
              <w:spacing w:line="240" w:lineRule="auto"/>
              <w:jc w:val="center"/>
              <w:rPr>
                <w:rFonts w:cs="Times New Roman"/>
                <w:i/>
                <w:color w:val="000000"/>
                <w:spacing w:val="-2"/>
                <w:sz w:val="21"/>
                <w:szCs w:val="21"/>
              </w:rPr>
            </w:pPr>
            <w:r w:rsidRPr="00C134CF">
              <w:rPr>
                <w:rFonts w:cs="Times New Roman"/>
                <w:i/>
                <w:color w:val="000000"/>
                <w:spacing w:val="-2"/>
                <w:sz w:val="21"/>
                <w:szCs w:val="21"/>
              </w:rPr>
              <w:t>Łącznie</w:t>
            </w:r>
            <w:r w:rsidRPr="00C134CF" w:rsidDel="0073273A">
              <w:rPr>
                <w:rFonts w:cs="Times New Roman"/>
                <w:i/>
                <w:color w:val="000000"/>
                <w:spacing w:val="-2"/>
                <w:sz w:val="21"/>
                <w:szCs w:val="21"/>
              </w:rPr>
              <w:t xml:space="preserve"> </w:t>
            </w:r>
            <w:r w:rsidRPr="00C134CF">
              <w:rPr>
                <w:rFonts w:cs="Times New Roman"/>
                <w:i/>
                <w:color w:val="000000"/>
                <w:spacing w:val="-2"/>
                <w:sz w:val="21"/>
                <w:szCs w:val="21"/>
              </w:rPr>
              <w:t>(0-10)</w:t>
            </w:r>
          </w:p>
        </w:tc>
      </w:tr>
      <w:tr w:rsidR="001A7CE0" w:rsidRPr="00E07408" w14:paraId="23D68205" w14:textId="77777777" w:rsidTr="00E07408">
        <w:trPr>
          <w:gridAfter w:val="1"/>
          <w:wAfter w:w="10" w:type="dxa"/>
          <w:trHeight w:val="142"/>
          <w:jc w:val="center"/>
        </w:trPr>
        <w:tc>
          <w:tcPr>
            <w:tcW w:w="1596" w:type="dxa"/>
            <w:vMerge w:val="restart"/>
            <w:shd w:val="clear" w:color="auto" w:fill="FFFFFF"/>
          </w:tcPr>
          <w:p w14:paraId="6079AA1E" w14:textId="77777777" w:rsidR="001A7CE0" w:rsidRPr="00C134CF" w:rsidRDefault="001A7CE0" w:rsidP="00E07408">
            <w:pPr>
              <w:rPr>
                <w:rFonts w:cs="Times New Roman"/>
                <w:color w:val="000000"/>
                <w:sz w:val="21"/>
                <w:szCs w:val="21"/>
              </w:rPr>
            </w:pPr>
            <w:r w:rsidRPr="00C134CF">
              <w:rPr>
                <w:rFonts w:cs="Times New Roman"/>
                <w:color w:val="000000"/>
                <w:sz w:val="21"/>
                <w:szCs w:val="21"/>
              </w:rPr>
              <w:t>W ujęciu pieniężnym</w:t>
            </w:r>
          </w:p>
          <w:p w14:paraId="368032A4" w14:textId="77777777" w:rsidR="001A7CE0" w:rsidRPr="00C134CF" w:rsidRDefault="001A7CE0" w:rsidP="00E07408">
            <w:pPr>
              <w:rPr>
                <w:rFonts w:cs="Times New Roman"/>
                <w:spacing w:val="-2"/>
                <w:sz w:val="21"/>
                <w:szCs w:val="21"/>
              </w:rPr>
            </w:pPr>
            <w:r w:rsidRPr="00C134CF">
              <w:rPr>
                <w:rFonts w:cs="Times New Roman"/>
                <w:spacing w:val="-2"/>
                <w:sz w:val="21"/>
                <w:szCs w:val="21"/>
              </w:rPr>
              <w:t xml:space="preserve">(w mln zł, </w:t>
            </w:r>
          </w:p>
          <w:p w14:paraId="6F238D13" w14:textId="77777777" w:rsidR="001A7CE0" w:rsidRPr="00C134CF" w:rsidRDefault="001A7CE0" w:rsidP="00E07408">
            <w:pPr>
              <w:spacing w:line="240" w:lineRule="auto"/>
              <w:rPr>
                <w:rFonts w:cs="Times New Roman"/>
                <w:color w:val="000000"/>
                <w:sz w:val="21"/>
                <w:szCs w:val="21"/>
              </w:rPr>
            </w:pPr>
            <w:r w:rsidRPr="00C134CF">
              <w:rPr>
                <w:rFonts w:cs="Times New Roman"/>
                <w:spacing w:val="-2"/>
                <w:sz w:val="21"/>
                <w:szCs w:val="21"/>
              </w:rPr>
              <w:t>ceny stałe z …… r.)</w:t>
            </w:r>
          </w:p>
        </w:tc>
        <w:tc>
          <w:tcPr>
            <w:tcW w:w="2293" w:type="dxa"/>
            <w:gridSpan w:val="6"/>
            <w:shd w:val="clear" w:color="auto" w:fill="FFFFFF"/>
          </w:tcPr>
          <w:p w14:paraId="41E80764"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duże przedsiębiorstwa</w:t>
            </w:r>
          </w:p>
        </w:tc>
        <w:tc>
          <w:tcPr>
            <w:tcW w:w="937" w:type="dxa"/>
            <w:gridSpan w:val="2"/>
            <w:vMerge w:val="restart"/>
            <w:shd w:val="clear" w:color="auto" w:fill="FFFFFF"/>
            <w:vAlign w:val="center"/>
          </w:tcPr>
          <w:p w14:paraId="7D7059F8"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c>
          <w:tcPr>
            <w:tcW w:w="938" w:type="dxa"/>
            <w:gridSpan w:val="5"/>
            <w:vMerge w:val="restart"/>
            <w:shd w:val="clear" w:color="auto" w:fill="FFFFFF"/>
            <w:vAlign w:val="center"/>
          </w:tcPr>
          <w:p w14:paraId="5A388CB5"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c>
          <w:tcPr>
            <w:tcW w:w="938" w:type="dxa"/>
            <w:gridSpan w:val="4"/>
            <w:vMerge w:val="restart"/>
            <w:shd w:val="clear" w:color="auto" w:fill="FFFFFF"/>
            <w:vAlign w:val="center"/>
          </w:tcPr>
          <w:p w14:paraId="467AE148"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c>
          <w:tcPr>
            <w:tcW w:w="937" w:type="dxa"/>
            <w:gridSpan w:val="3"/>
            <w:vMerge w:val="restart"/>
            <w:shd w:val="clear" w:color="auto" w:fill="FFFFFF"/>
            <w:vAlign w:val="center"/>
          </w:tcPr>
          <w:p w14:paraId="732165B7"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c>
          <w:tcPr>
            <w:tcW w:w="938" w:type="dxa"/>
            <w:gridSpan w:val="4"/>
            <w:vMerge w:val="restart"/>
            <w:shd w:val="clear" w:color="auto" w:fill="FFFFFF"/>
            <w:vAlign w:val="center"/>
          </w:tcPr>
          <w:p w14:paraId="63480029"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c>
          <w:tcPr>
            <w:tcW w:w="938" w:type="dxa"/>
            <w:gridSpan w:val="3"/>
            <w:vMerge w:val="restart"/>
            <w:shd w:val="clear" w:color="auto" w:fill="FFFFFF"/>
            <w:vAlign w:val="center"/>
          </w:tcPr>
          <w:p w14:paraId="5C3B0746"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0</w:t>
            </w:r>
          </w:p>
        </w:tc>
        <w:tc>
          <w:tcPr>
            <w:tcW w:w="1422" w:type="dxa"/>
            <w:vMerge w:val="restart"/>
            <w:shd w:val="clear" w:color="auto" w:fill="FFFFFF"/>
            <w:vAlign w:val="center"/>
          </w:tcPr>
          <w:p w14:paraId="5F92F539" w14:textId="77777777" w:rsidR="001A7CE0" w:rsidRPr="00C134CF" w:rsidRDefault="001A7CE0" w:rsidP="00E07408">
            <w:pPr>
              <w:spacing w:line="240" w:lineRule="auto"/>
              <w:rPr>
                <w:rFonts w:cs="Times New Roman"/>
                <w:color w:val="000000"/>
                <w:spacing w:val="-2"/>
                <w:sz w:val="21"/>
                <w:szCs w:val="21"/>
              </w:rPr>
            </w:pPr>
            <w:r w:rsidRPr="00C134CF">
              <w:rPr>
                <w:rFonts w:cs="Times New Roman"/>
                <w:color w:val="000000"/>
                <w:spacing w:val="-2"/>
                <w:sz w:val="21"/>
                <w:szCs w:val="21"/>
              </w:rPr>
              <w:t>0</w:t>
            </w:r>
          </w:p>
        </w:tc>
      </w:tr>
      <w:tr w:rsidR="001A7CE0" w:rsidRPr="00E07408" w14:paraId="6ABFB0DF" w14:textId="77777777" w:rsidTr="00E07408">
        <w:trPr>
          <w:gridAfter w:val="1"/>
          <w:wAfter w:w="10" w:type="dxa"/>
          <w:trHeight w:val="142"/>
          <w:jc w:val="center"/>
        </w:trPr>
        <w:tc>
          <w:tcPr>
            <w:tcW w:w="1596" w:type="dxa"/>
            <w:vMerge/>
            <w:shd w:val="clear" w:color="auto" w:fill="FFFFFF"/>
          </w:tcPr>
          <w:p w14:paraId="7746CC62" w14:textId="77777777" w:rsidR="001A7CE0" w:rsidRPr="00C134CF" w:rsidRDefault="001A7CE0" w:rsidP="00E07408">
            <w:pPr>
              <w:spacing w:line="240" w:lineRule="auto"/>
              <w:rPr>
                <w:rFonts w:cs="Times New Roman"/>
                <w:color w:val="000000"/>
                <w:sz w:val="21"/>
                <w:szCs w:val="21"/>
              </w:rPr>
            </w:pPr>
          </w:p>
        </w:tc>
        <w:tc>
          <w:tcPr>
            <w:tcW w:w="2293" w:type="dxa"/>
            <w:gridSpan w:val="6"/>
            <w:shd w:val="clear" w:color="auto" w:fill="FFFFFF"/>
          </w:tcPr>
          <w:p w14:paraId="721BD23F"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sektor mikro-, małych i średnich przedsiębiorstw</w:t>
            </w:r>
          </w:p>
        </w:tc>
        <w:tc>
          <w:tcPr>
            <w:tcW w:w="937" w:type="dxa"/>
            <w:gridSpan w:val="2"/>
            <w:vMerge/>
            <w:shd w:val="clear" w:color="auto" w:fill="FFFFFF"/>
          </w:tcPr>
          <w:p w14:paraId="305DA476" w14:textId="77777777" w:rsidR="001A7CE0" w:rsidRPr="00C134CF" w:rsidRDefault="001A7CE0" w:rsidP="00E07408">
            <w:pPr>
              <w:spacing w:line="240" w:lineRule="auto"/>
              <w:rPr>
                <w:rFonts w:cs="Times New Roman"/>
                <w:color w:val="000000"/>
                <w:sz w:val="21"/>
                <w:szCs w:val="21"/>
              </w:rPr>
            </w:pPr>
          </w:p>
        </w:tc>
        <w:tc>
          <w:tcPr>
            <w:tcW w:w="938" w:type="dxa"/>
            <w:gridSpan w:val="5"/>
            <w:vMerge/>
            <w:shd w:val="clear" w:color="auto" w:fill="FFFFFF"/>
          </w:tcPr>
          <w:p w14:paraId="137B1A29" w14:textId="77777777" w:rsidR="001A7CE0" w:rsidRPr="00C134CF" w:rsidRDefault="001A7CE0" w:rsidP="00E07408">
            <w:pPr>
              <w:spacing w:line="240" w:lineRule="auto"/>
              <w:rPr>
                <w:rFonts w:cs="Times New Roman"/>
                <w:color w:val="000000"/>
                <w:sz w:val="21"/>
                <w:szCs w:val="21"/>
              </w:rPr>
            </w:pPr>
          </w:p>
        </w:tc>
        <w:tc>
          <w:tcPr>
            <w:tcW w:w="938" w:type="dxa"/>
            <w:gridSpan w:val="4"/>
            <w:vMerge/>
            <w:shd w:val="clear" w:color="auto" w:fill="FFFFFF"/>
          </w:tcPr>
          <w:p w14:paraId="74A761D2" w14:textId="77777777" w:rsidR="001A7CE0" w:rsidRPr="00C134CF" w:rsidRDefault="001A7CE0" w:rsidP="00E07408">
            <w:pPr>
              <w:spacing w:line="240" w:lineRule="auto"/>
              <w:rPr>
                <w:rFonts w:cs="Times New Roman"/>
                <w:color w:val="000000"/>
                <w:sz w:val="21"/>
                <w:szCs w:val="21"/>
              </w:rPr>
            </w:pPr>
          </w:p>
        </w:tc>
        <w:tc>
          <w:tcPr>
            <w:tcW w:w="937" w:type="dxa"/>
            <w:gridSpan w:val="3"/>
            <w:vMerge/>
            <w:shd w:val="clear" w:color="auto" w:fill="FFFFFF"/>
          </w:tcPr>
          <w:p w14:paraId="5460A7B4" w14:textId="77777777" w:rsidR="001A7CE0" w:rsidRPr="00C134CF" w:rsidRDefault="001A7CE0" w:rsidP="00E07408">
            <w:pPr>
              <w:spacing w:line="240" w:lineRule="auto"/>
              <w:rPr>
                <w:rFonts w:cs="Times New Roman"/>
                <w:color w:val="000000"/>
                <w:sz w:val="21"/>
                <w:szCs w:val="21"/>
              </w:rPr>
            </w:pPr>
          </w:p>
        </w:tc>
        <w:tc>
          <w:tcPr>
            <w:tcW w:w="938" w:type="dxa"/>
            <w:gridSpan w:val="4"/>
            <w:vMerge/>
            <w:shd w:val="clear" w:color="auto" w:fill="FFFFFF"/>
          </w:tcPr>
          <w:p w14:paraId="1B0E8C52" w14:textId="77777777" w:rsidR="001A7CE0" w:rsidRPr="00C134CF" w:rsidRDefault="001A7CE0" w:rsidP="00E07408">
            <w:pPr>
              <w:spacing w:line="240" w:lineRule="auto"/>
              <w:rPr>
                <w:rFonts w:cs="Times New Roman"/>
                <w:color w:val="000000"/>
                <w:sz w:val="21"/>
                <w:szCs w:val="21"/>
              </w:rPr>
            </w:pPr>
          </w:p>
        </w:tc>
        <w:tc>
          <w:tcPr>
            <w:tcW w:w="938" w:type="dxa"/>
            <w:gridSpan w:val="3"/>
            <w:vMerge/>
            <w:shd w:val="clear" w:color="auto" w:fill="FFFFFF"/>
          </w:tcPr>
          <w:p w14:paraId="1829D6CC" w14:textId="77777777" w:rsidR="001A7CE0" w:rsidRPr="00C134CF" w:rsidRDefault="001A7CE0" w:rsidP="00E07408">
            <w:pPr>
              <w:spacing w:line="240" w:lineRule="auto"/>
              <w:rPr>
                <w:rFonts w:cs="Times New Roman"/>
                <w:color w:val="000000"/>
                <w:sz w:val="21"/>
                <w:szCs w:val="21"/>
              </w:rPr>
            </w:pPr>
          </w:p>
        </w:tc>
        <w:tc>
          <w:tcPr>
            <w:tcW w:w="1422" w:type="dxa"/>
            <w:vMerge/>
            <w:shd w:val="clear" w:color="auto" w:fill="FFFFFF"/>
          </w:tcPr>
          <w:p w14:paraId="1821FBA5" w14:textId="77777777" w:rsidR="001A7CE0" w:rsidRPr="00C134CF" w:rsidRDefault="001A7CE0" w:rsidP="00E07408">
            <w:pPr>
              <w:spacing w:line="240" w:lineRule="auto"/>
              <w:rPr>
                <w:rFonts w:cs="Times New Roman"/>
                <w:color w:val="000000"/>
                <w:spacing w:val="-2"/>
                <w:sz w:val="21"/>
                <w:szCs w:val="21"/>
              </w:rPr>
            </w:pPr>
          </w:p>
        </w:tc>
      </w:tr>
      <w:tr w:rsidR="001A7CE0" w:rsidRPr="00E07408" w14:paraId="1D9F784D" w14:textId="77777777" w:rsidTr="00E07408">
        <w:trPr>
          <w:gridAfter w:val="1"/>
          <w:wAfter w:w="10" w:type="dxa"/>
          <w:trHeight w:val="142"/>
          <w:jc w:val="center"/>
        </w:trPr>
        <w:tc>
          <w:tcPr>
            <w:tcW w:w="1596" w:type="dxa"/>
            <w:vMerge/>
            <w:shd w:val="clear" w:color="auto" w:fill="FFFFFF"/>
          </w:tcPr>
          <w:p w14:paraId="56F1433C" w14:textId="77777777" w:rsidR="001A7CE0" w:rsidRPr="00C134CF" w:rsidRDefault="001A7CE0" w:rsidP="00E07408">
            <w:pPr>
              <w:spacing w:line="240" w:lineRule="auto"/>
              <w:rPr>
                <w:rFonts w:cs="Times New Roman"/>
                <w:color w:val="000000"/>
                <w:sz w:val="21"/>
                <w:szCs w:val="21"/>
              </w:rPr>
            </w:pPr>
          </w:p>
        </w:tc>
        <w:tc>
          <w:tcPr>
            <w:tcW w:w="2293" w:type="dxa"/>
            <w:gridSpan w:val="6"/>
            <w:shd w:val="clear" w:color="auto" w:fill="FFFFFF"/>
          </w:tcPr>
          <w:p w14:paraId="00AD480A" w14:textId="77777777" w:rsidR="001A7CE0" w:rsidRPr="00C134CF" w:rsidRDefault="001A7CE0" w:rsidP="00E07408">
            <w:pPr>
              <w:spacing w:line="240" w:lineRule="auto"/>
              <w:rPr>
                <w:rFonts w:cs="Times New Roman"/>
                <w:color w:val="000000"/>
                <w:sz w:val="21"/>
                <w:szCs w:val="21"/>
              </w:rPr>
            </w:pPr>
            <w:r w:rsidRPr="00C134CF">
              <w:rPr>
                <w:rFonts w:cs="Times New Roman"/>
                <w:sz w:val="21"/>
                <w:szCs w:val="21"/>
              </w:rPr>
              <w:t>rodzina, obywatele oraz gospodarstwa domowe</w:t>
            </w:r>
          </w:p>
        </w:tc>
        <w:tc>
          <w:tcPr>
            <w:tcW w:w="937" w:type="dxa"/>
            <w:gridSpan w:val="2"/>
            <w:vMerge/>
            <w:shd w:val="clear" w:color="auto" w:fill="FFFFFF"/>
          </w:tcPr>
          <w:p w14:paraId="12B1690C" w14:textId="77777777" w:rsidR="001A7CE0" w:rsidRPr="00C134CF" w:rsidRDefault="001A7CE0" w:rsidP="00E07408">
            <w:pPr>
              <w:spacing w:line="240" w:lineRule="auto"/>
              <w:rPr>
                <w:rFonts w:cs="Times New Roman"/>
                <w:color w:val="000000"/>
                <w:sz w:val="21"/>
                <w:szCs w:val="21"/>
              </w:rPr>
            </w:pPr>
          </w:p>
        </w:tc>
        <w:tc>
          <w:tcPr>
            <w:tcW w:w="938" w:type="dxa"/>
            <w:gridSpan w:val="5"/>
            <w:vMerge/>
            <w:shd w:val="clear" w:color="auto" w:fill="FFFFFF"/>
          </w:tcPr>
          <w:p w14:paraId="3B17BACA" w14:textId="77777777" w:rsidR="001A7CE0" w:rsidRPr="00C134CF" w:rsidRDefault="001A7CE0" w:rsidP="00E07408">
            <w:pPr>
              <w:spacing w:line="240" w:lineRule="auto"/>
              <w:rPr>
                <w:rFonts w:cs="Times New Roman"/>
                <w:color w:val="000000"/>
                <w:sz w:val="21"/>
                <w:szCs w:val="21"/>
              </w:rPr>
            </w:pPr>
          </w:p>
        </w:tc>
        <w:tc>
          <w:tcPr>
            <w:tcW w:w="938" w:type="dxa"/>
            <w:gridSpan w:val="4"/>
            <w:vMerge/>
            <w:shd w:val="clear" w:color="auto" w:fill="FFFFFF"/>
          </w:tcPr>
          <w:p w14:paraId="1865BD07" w14:textId="77777777" w:rsidR="001A7CE0" w:rsidRPr="00C134CF" w:rsidRDefault="001A7CE0" w:rsidP="00E07408">
            <w:pPr>
              <w:spacing w:line="240" w:lineRule="auto"/>
              <w:rPr>
                <w:rFonts w:cs="Times New Roman"/>
                <w:color w:val="000000"/>
                <w:sz w:val="21"/>
                <w:szCs w:val="21"/>
              </w:rPr>
            </w:pPr>
          </w:p>
        </w:tc>
        <w:tc>
          <w:tcPr>
            <w:tcW w:w="937" w:type="dxa"/>
            <w:gridSpan w:val="3"/>
            <w:vMerge/>
            <w:shd w:val="clear" w:color="auto" w:fill="FFFFFF"/>
          </w:tcPr>
          <w:p w14:paraId="1211650D" w14:textId="77777777" w:rsidR="001A7CE0" w:rsidRPr="00C134CF" w:rsidRDefault="001A7CE0" w:rsidP="00E07408">
            <w:pPr>
              <w:spacing w:line="240" w:lineRule="auto"/>
              <w:rPr>
                <w:rFonts w:cs="Times New Roman"/>
                <w:color w:val="000000"/>
                <w:sz w:val="21"/>
                <w:szCs w:val="21"/>
              </w:rPr>
            </w:pPr>
          </w:p>
        </w:tc>
        <w:tc>
          <w:tcPr>
            <w:tcW w:w="938" w:type="dxa"/>
            <w:gridSpan w:val="4"/>
            <w:vMerge/>
            <w:shd w:val="clear" w:color="auto" w:fill="FFFFFF"/>
          </w:tcPr>
          <w:p w14:paraId="405E5D58" w14:textId="77777777" w:rsidR="001A7CE0" w:rsidRPr="00C134CF" w:rsidRDefault="001A7CE0" w:rsidP="00E07408">
            <w:pPr>
              <w:spacing w:line="240" w:lineRule="auto"/>
              <w:rPr>
                <w:rFonts w:cs="Times New Roman"/>
                <w:color w:val="000000"/>
                <w:sz w:val="21"/>
                <w:szCs w:val="21"/>
              </w:rPr>
            </w:pPr>
          </w:p>
        </w:tc>
        <w:tc>
          <w:tcPr>
            <w:tcW w:w="938" w:type="dxa"/>
            <w:gridSpan w:val="3"/>
            <w:vMerge/>
            <w:shd w:val="clear" w:color="auto" w:fill="FFFFFF"/>
          </w:tcPr>
          <w:p w14:paraId="7F2FC697" w14:textId="77777777" w:rsidR="001A7CE0" w:rsidRPr="00C134CF" w:rsidRDefault="001A7CE0" w:rsidP="00E07408">
            <w:pPr>
              <w:spacing w:line="240" w:lineRule="auto"/>
              <w:rPr>
                <w:rFonts w:cs="Times New Roman"/>
                <w:color w:val="000000"/>
                <w:sz w:val="21"/>
                <w:szCs w:val="21"/>
              </w:rPr>
            </w:pPr>
          </w:p>
        </w:tc>
        <w:tc>
          <w:tcPr>
            <w:tcW w:w="1422" w:type="dxa"/>
            <w:vMerge/>
            <w:shd w:val="clear" w:color="auto" w:fill="FFFFFF"/>
          </w:tcPr>
          <w:p w14:paraId="66E295F3" w14:textId="77777777" w:rsidR="001A7CE0" w:rsidRPr="00C134CF" w:rsidRDefault="001A7CE0" w:rsidP="00E07408">
            <w:pPr>
              <w:spacing w:line="240" w:lineRule="auto"/>
              <w:rPr>
                <w:rFonts w:cs="Times New Roman"/>
                <w:color w:val="000000"/>
                <w:sz w:val="21"/>
                <w:szCs w:val="21"/>
              </w:rPr>
            </w:pPr>
          </w:p>
        </w:tc>
      </w:tr>
      <w:tr w:rsidR="001A7CE0" w:rsidRPr="00E07408" w14:paraId="14BC4CA8" w14:textId="77777777" w:rsidTr="00E07408">
        <w:trPr>
          <w:gridAfter w:val="1"/>
          <w:wAfter w:w="10" w:type="dxa"/>
          <w:trHeight w:val="142"/>
          <w:jc w:val="center"/>
        </w:trPr>
        <w:tc>
          <w:tcPr>
            <w:tcW w:w="1596" w:type="dxa"/>
            <w:vMerge w:val="restart"/>
            <w:shd w:val="clear" w:color="auto" w:fill="FFFFFF"/>
          </w:tcPr>
          <w:p w14:paraId="09D6E077"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W ujęciu niepieniężnym</w:t>
            </w:r>
          </w:p>
        </w:tc>
        <w:tc>
          <w:tcPr>
            <w:tcW w:w="2293" w:type="dxa"/>
            <w:gridSpan w:val="6"/>
            <w:shd w:val="clear" w:color="auto" w:fill="FFFFFF"/>
          </w:tcPr>
          <w:p w14:paraId="136DFB71"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duże przedsiębiorstwa</w:t>
            </w:r>
          </w:p>
        </w:tc>
        <w:tc>
          <w:tcPr>
            <w:tcW w:w="7048" w:type="dxa"/>
            <w:gridSpan w:val="22"/>
            <w:shd w:val="clear" w:color="auto" w:fill="FFFFFF"/>
          </w:tcPr>
          <w:p w14:paraId="7D53D917" w14:textId="77777777" w:rsidR="001A7CE0" w:rsidRPr="00C134CF" w:rsidRDefault="007559FE" w:rsidP="00E07408">
            <w:pPr>
              <w:spacing w:line="240" w:lineRule="auto"/>
              <w:jc w:val="both"/>
              <w:rPr>
                <w:rFonts w:cs="Times New Roman"/>
                <w:color w:val="000000"/>
                <w:spacing w:val="-2"/>
                <w:sz w:val="21"/>
                <w:szCs w:val="21"/>
              </w:rPr>
            </w:pPr>
            <w:r>
              <w:rPr>
                <w:rFonts w:cs="Times New Roman"/>
                <w:color w:val="000000"/>
                <w:spacing w:val="-2"/>
                <w:sz w:val="21"/>
                <w:szCs w:val="21"/>
              </w:rPr>
              <w:t>Duże przedsiębiorstwa będą mogły być beneficjentami środków udzielanych jako wsparcie ze środków Funduszu.</w:t>
            </w:r>
          </w:p>
        </w:tc>
      </w:tr>
      <w:tr w:rsidR="001A7CE0" w:rsidRPr="00E07408" w14:paraId="363AC8BD" w14:textId="77777777" w:rsidTr="00E07408">
        <w:trPr>
          <w:gridAfter w:val="1"/>
          <w:wAfter w:w="10" w:type="dxa"/>
          <w:trHeight w:val="142"/>
          <w:jc w:val="center"/>
        </w:trPr>
        <w:tc>
          <w:tcPr>
            <w:tcW w:w="1596" w:type="dxa"/>
            <w:vMerge/>
            <w:shd w:val="clear" w:color="auto" w:fill="FFFFFF"/>
          </w:tcPr>
          <w:p w14:paraId="16D581E8" w14:textId="77777777" w:rsidR="001A7CE0" w:rsidRPr="00C134CF" w:rsidRDefault="001A7CE0" w:rsidP="00E07408">
            <w:pPr>
              <w:spacing w:line="240" w:lineRule="auto"/>
              <w:rPr>
                <w:rFonts w:cs="Times New Roman"/>
                <w:color w:val="000000"/>
                <w:sz w:val="21"/>
                <w:szCs w:val="21"/>
              </w:rPr>
            </w:pPr>
          </w:p>
        </w:tc>
        <w:tc>
          <w:tcPr>
            <w:tcW w:w="2293" w:type="dxa"/>
            <w:gridSpan w:val="6"/>
            <w:shd w:val="clear" w:color="auto" w:fill="FFFFFF"/>
          </w:tcPr>
          <w:p w14:paraId="17E54F97"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sektor mikro-, małych i średnich przedsiębiorstw</w:t>
            </w:r>
          </w:p>
        </w:tc>
        <w:tc>
          <w:tcPr>
            <w:tcW w:w="7048" w:type="dxa"/>
            <w:gridSpan w:val="22"/>
            <w:shd w:val="clear" w:color="auto" w:fill="FFFFFF"/>
          </w:tcPr>
          <w:p w14:paraId="532B1112" w14:textId="77777777" w:rsidR="001A7CE0" w:rsidRPr="00C134CF" w:rsidRDefault="007559FE" w:rsidP="00E07408">
            <w:pPr>
              <w:spacing w:line="240" w:lineRule="auto"/>
              <w:rPr>
                <w:rFonts w:cs="Times New Roman"/>
                <w:color w:val="000000"/>
                <w:spacing w:val="-2"/>
                <w:sz w:val="21"/>
                <w:szCs w:val="21"/>
              </w:rPr>
            </w:pPr>
            <w:r>
              <w:rPr>
                <w:rFonts w:cs="Times New Roman"/>
                <w:color w:val="000000"/>
                <w:spacing w:val="-2"/>
                <w:sz w:val="21"/>
                <w:szCs w:val="21"/>
              </w:rPr>
              <w:t>Przedsiębiorstwa z sektora MŚP będą mogły być beneficjentami środków udzielanych jako wsparcie ze środków Funduszu.</w:t>
            </w:r>
          </w:p>
        </w:tc>
      </w:tr>
      <w:tr w:rsidR="001A7CE0" w:rsidRPr="00E07408" w14:paraId="4A482488" w14:textId="77777777" w:rsidTr="00E07408">
        <w:trPr>
          <w:gridAfter w:val="1"/>
          <w:wAfter w:w="10" w:type="dxa"/>
          <w:trHeight w:val="596"/>
          <w:jc w:val="center"/>
        </w:trPr>
        <w:tc>
          <w:tcPr>
            <w:tcW w:w="1596" w:type="dxa"/>
            <w:vMerge/>
            <w:shd w:val="clear" w:color="auto" w:fill="FFFFFF"/>
          </w:tcPr>
          <w:p w14:paraId="0833D567" w14:textId="77777777" w:rsidR="001A7CE0" w:rsidRPr="00C134CF" w:rsidRDefault="001A7CE0" w:rsidP="00E07408">
            <w:pPr>
              <w:spacing w:line="240" w:lineRule="auto"/>
              <w:rPr>
                <w:rFonts w:cs="Times New Roman"/>
                <w:color w:val="000000"/>
                <w:sz w:val="21"/>
                <w:szCs w:val="21"/>
              </w:rPr>
            </w:pPr>
          </w:p>
        </w:tc>
        <w:tc>
          <w:tcPr>
            <w:tcW w:w="2293" w:type="dxa"/>
            <w:gridSpan w:val="6"/>
            <w:shd w:val="clear" w:color="auto" w:fill="FFFFFF"/>
          </w:tcPr>
          <w:p w14:paraId="478E829F" w14:textId="77777777" w:rsidR="001A7CE0" w:rsidRPr="00C134CF" w:rsidRDefault="001A7CE0" w:rsidP="00E07408">
            <w:pPr>
              <w:tabs>
                <w:tab w:val="right" w:pos="1936"/>
              </w:tabs>
              <w:spacing w:line="240" w:lineRule="auto"/>
              <w:rPr>
                <w:rFonts w:cs="Times New Roman"/>
                <w:color w:val="000000"/>
                <w:sz w:val="21"/>
                <w:szCs w:val="21"/>
              </w:rPr>
            </w:pPr>
            <w:r w:rsidRPr="00C134CF">
              <w:rPr>
                <w:rFonts w:cs="Times New Roman"/>
                <w:sz w:val="21"/>
                <w:szCs w:val="21"/>
              </w:rPr>
              <w:t>rodzina, obywatele oraz gospodarstwa domowe</w:t>
            </w:r>
            <w:r w:rsidRPr="00C134CF">
              <w:rPr>
                <w:rFonts w:cs="Times New Roman"/>
                <w:color w:val="000000"/>
                <w:sz w:val="21"/>
                <w:szCs w:val="21"/>
              </w:rPr>
              <w:t xml:space="preserve"> </w:t>
            </w:r>
          </w:p>
        </w:tc>
        <w:tc>
          <w:tcPr>
            <w:tcW w:w="7048" w:type="dxa"/>
            <w:gridSpan w:val="22"/>
            <w:shd w:val="clear" w:color="auto" w:fill="FFFFFF"/>
          </w:tcPr>
          <w:p w14:paraId="4135DC10" w14:textId="77777777" w:rsidR="001A7CE0" w:rsidRPr="00C134CF" w:rsidRDefault="007559FE" w:rsidP="00E07408">
            <w:pPr>
              <w:spacing w:line="240" w:lineRule="auto"/>
              <w:jc w:val="both"/>
              <w:rPr>
                <w:rFonts w:cs="Times New Roman"/>
                <w:color w:val="000000"/>
                <w:spacing w:val="-2"/>
                <w:sz w:val="21"/>
                <w:szCs w:val="21"/>
              </w:rPr>
            </w:pPr>
            <w:r>
              <w:rPr>
                <w:rFonts w:cs="Times New Roman"/>
                <w:color w:val="000000"/>
                <w:spacing w:val="-2"/>
                <w:sz w:val="21"/>
                <w:szCs w:val="21"/>
              </w:rPr>
              <w:t>Konsumenci w gospodarstwach domowych o najniższych dochodach będą mogli być beneficjentami ostatecznymi wsparcia dostępu do usług telekomunikacyjnych, korzystania z urządzeń multimedialnych oraz rozwoju kompetencji cyfrowych.</w:t>
            </w:r>
          </w:p>
        </w:tc>
      </w:tr>
      <w:tr w:rsidR="001A7CE0" w:rsidRPr="00E07408" w14:paraId="498036FC" w14:textId="77777777" w:rsidTr="00E07408">
        <w:trPr>
          <w:gridAfter w:val="1"/>
          <w:wAfter w:w="10" w:type="dxa"/>
          <w:trHeight w:val="240"/>
          <w:jc w:val="center"/>
        </w:trPr>
        <w:tc>
          <w:tcPr>
            <w:tcW w:w="1596" w:type="dxa"/>
            <w:vMerge/>
            <w:shd w:val="clear" w:color="auto" w:fill="FFFFFF"/>
          </w:tcPr>
          <w:p w14:paraId="4CAE63A0" w14:textId="77777777" w:rsidR="001A7CE0" w:rsidRPr="00C134CF" w:rsidRDefault="001A7CE0" w:rsidP="00E07408">
            <w:pPr>
              <w:spacing w:line="240" w:lineRule="auto"/>
              <w:rPr>
                <w:rFonts w:cs="Times New Roman"/>
                <w:color w:val="000000"/>
                <w:sz w:val="21"/>
                <w:szCs w:val="21"/>
              </w:rPr>
            </w:pPr>
          </w:p>
        </w:tc>
        <w:tc>
          <w:tcPr>
            <w:tcW w:w="2293" w:type="dxa"/>
            <w:gridSpan w:val="6"/>
            <w:shd w:val="clear" w:color="auto" w:fill="FFFFFF"/>
          </w:tcPr>
          <w:p w14:paraId="5930D261" w14:textId="77777777" w:rsidR="001A7CE0" w:rsidRPr="00C134CF" w:rsidRDefault="001A7CE0" w:rsidP="00E07408">
            <w:pPr>
              <w:tabs>
                <w:tab w:val="right" w:pos="1936"/>
              </w:tabs>
              <w:rPr>
                <w:rFonts w:cs="Times New Roman"/>
                <w:sz w:val="21"/>
                <w:szCs w:val="21"/>
              </w:rPr>
            </w:pPr>
            <w:r w:rsidRPr="00C134CF">
              <w:rPr>
                <w:rFonts w:cs="Times New Roman"/>
                <w:sz w:val="21"/>
                <w:szCs w:val="21"/>
              </w:rPr>
              <w:t>rolnictwo</w:t>
            </w:r>
          </w:p>
        </w:tc>
        <w:tc>
          <w:tcPr>
            <w:tcW w:w="7048" w:type="dxa"/>
            <w:gridSpan w:val="22"/>
            <w:shd w:val="clear" w:color="auto" w:fill="FFFFFF"/>
          </w:tcPr>
          <w:p w14:paraId="4103CA99" w14:textId="77777777" w:rsidR="001A7CE0" w:rsidRPr="00C134CF" w:rsidRDefault="007559FE" w:rsidP="00E07408">
            <w:pPr>
              <w:tabs>
                <w:tab w:val="left" w:pos="632"/>
              </w:tabs>
              <w:spacing w:line="240" w:lineRule="auto"/>
              <w:jc w:val="both"/>
              <w:rPr>
                <w:rFonts w:cs="Times New Roman"/>
                <w:color w:val="000000"/>
                <w:spacing w:val="-2"/>
                <w:sz w:val="21"/>
                <w:szCs w:val="21"/>
              </w:rPr>
            </w:pPr>
            <w:r>
              <w:rPr>
                <w:rFonts w:cs="Times New Roman"/>
                <w:color w:val="000000"/>
                <w:spacing w:val="-2"/>
                <w:sz w:val="21"/>
                <w:szCs w:val="21"/>
              </w:rPr>
              <w:t>Konsumenci z gospodarstw rolnych o najniższych dochodach będą mogli być beneficjentami ostatecznymi wsparcia dostępu do usług telekomunikacyjnych, korzystania z urządzeń multimedialnych oraz rozwoju kompetencji cyfrowych.</w:t>
            </w:r>
          </w:p>
        </w:tc>
      </w:tr>
      <w:tr w:rsidR="001A7CE0" w:rsidRPr="00E07408" w14:paraId="65D8D9A8" w14:textId="77777777" w:rsidTr="00E07408">
        <w:trPr>
          <w:gridAfter w:val="1"/>
          <w:wAfter w:w="10" w:type="dxa"/>
          <w:trHeight w:val="142"/>
          <w:jc w:val="center"/>
        </w:trPr>
        <w:tc>
          <w:tcPr>
            <w:tcW w:w="1596" w:type="dxa"/>
            <w:vMerge w:val="restart"/>
            <w:shd w:val="clear" w:color="auto" w:fill="FFFFFF"/>
          </w:tcPr>
          <w:p w14:paraId="56CA2E7F"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t>Niemierzalne</w:t>
            </w:r>
          </w:p>
        </w:tc>
        <w:tc>
          <w:tcPr>
            <w:tcW w:w="2293" w:type="dxa"/>
            <w:gridSpan w:val="6"/>
            <w:shd w:val="clear" w:color="auto" w:fill="FFFFFF"/>
          </w:tcPr>
          <w:p w14:paraId="2566ACE2"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C134CF">
              <w:rPr>
                <w:rFonts w:cs="Times New Roman"/>
                <w:color w:val="000000"/>
                <w:sz w:val="21"/>
                <w:szCs w:val="21"/>
              </w:rPr>
              <w:instrText xml:space="preserve"> FORMTEXT </w:instrText>
            </w:r>
            <w:r w:rsidRPr="00C134CF">
              <w:rPr>
                <w:rFonts w:cs="Times New Roman"/>
                <w:color w:val="000000"/>
                <w:sz w:val="21"/>
                <w:szCs w:val="21"/>
              </w:rPr>
            </w:r>
            <w:r w:rsidRPr="00C134CF">
              <w:rPr>
                <w:rFonts w:cs="Times New Roman"/>
                <w:color w:val="000000"/>
                <w:sz w:val="21"/>
                <w:szCs w:val="21"/>
              </w:rPr>
              <w:fldChar w:fldCharType="separate"/>
            </w:r>
            <w:r w:rsidRPr="00C134CF">
              <w:rPr>
                <w:rFonts w:cs="Times New Roman"/>
                <w:noProof/>
                <w:color w:val="000000"/>
                <w:sz w:val="21"/>
                <w:szCs w:val="21"/>
              </w:rPr>
              <w:t>(dodaj/usuń)</w:t>
            </w:r>
            <w:r w:rsidRPr="00C134CF">
              <w:rPr>
                <w:rFonts w:cs="Times New Roman"/>
                <w:color w:val="000000"/>
                <w:sz w:val="21"/>
                <w:szCs w:val="21"/>
              </w:rPr>
              <w:fldChar w:fldCharType="end"/>
            </w:r>
          </w:p>
        </w:tc>
        <w:tc>
          <w:tcPr>
            <w:tcW w:w="7048" w:type="dxa"/>
            <w:gridSpan w:val="22"/>
            <w:shd w:val="clear" w:color="auto" w:fill="FFFFFF"/>
          </w:tcPr>
          <w:p w14:paraId="6F031F68" w14:textId="77777777" w:rsidR="001A7CE0" w:rsidRPr="00C134CF" w:rsidRDefault="001A7CE0" w:rsidP="00E07408">
            <w:pPr>
              <w:spacing w:line="240" w:lineRule="auto"/>
              <w:rPr>
                <w:rFonts w:cs="Times New Roman"/>
                <w:color w:val="000000"/>
                <w:spacing w:val="-2"/>
                <w:sz w:val="21"/>
                <w:szCs w:val="21"/>
              </w:rPr>
            </w:pPr>
          </w:p>
        </w:tc>
      </w:tr>
      <w:tr w:rsidR="001A7CE0" w:rsidRPr="00E07408" w14:paraId="7ED26AC0" w14:textId="77777777" w:rsidTr="00E07408">
        <w:trPr>
          <w:gridAfter w:val="1"/>
          <w:wAfter w:w="10" w:type="dxa"/>
          <w:trHeight w:val="142"/>
          <w:jc w:val="center"/>
        </w:trPr>
        <w:tc>
          <w:tcPr>
            <w:tcW w:w="1596" w:type="dxa"/>
            <w:vMerge/>
            <w:shd w:val="clear" w:color="auto" w:fill="FFFFFF"/>
          </w:tcPr>
          <w:p w14:paraId="4B22EC0E" w14:textId="77777777" w:rsidR="001A7CE0" w:rsidRPr="00C134CF" w:rsidRDefault="001A7CE0" w:rsidP="00E07408">
            <w:pPr>
              <w:spacing w:line="240" w:lineRule="auto"/>
              <w:rPr>
                <w:rFonts w:cs="Times New Roman"/>
                <w:color w:val="000000"/>
                <w:sz w:val="21"/>
                <w:szCs w:val="21"/>
              </w:rPr>
            </w:pPr>
          </w:p>
        </w:tc>
        <w:tc>
          <w:tcPr>
            <w:tcW w:w="2293" w:type="dxa"/>
            <w:gridSpan w:val="6"/>
            <w:shd w:val="clear" w:color="auto" w:fill="FFFFFF"/>
          </w:tcPr>
          <w:p w14:paraId="15C6AFC1"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C134CF">
              <w:rPr>
                <w:rFonts w:cs="Times New Roman"/>
                <w:color w:val="000000"/>
                <w:sz w:val="21"/>
                <w:szCs w:val="21"/>
              </w:rPr>
              <w:instrText xml:space="preserve"> FORMTEXT </w:instrText>
            </w:r>
            <w:r w:rsidRPr="00C134CF">
              <w:rPr>
                <w:rFonts w:cs="Times New Roman"/>
                <w:color w:val="000000"/>
                <w:sz w:val="21"/>
                <w:szCs w:val="21"/>
              </w:rPr>
            </w:r>
            <w:r w:rsidRPr="00C134CF">
              <w:rPr>
                <w:rFonts w:cs="Times New Roman"/>
                <w:color w:val="000000"/>
                <w:sz w:val="21"/>
                <w:szCs w:val="21"/>
              </w:rPr>
              <w:fldChar w:fldCharType="separate"/>
            </w:r>
            <w:r w:rsidRPr="00C134CF">
              <w:rPr>
                <w:rFonts w:cs="Times New Roman"/>
                <w:noProof/>
                <w:color w:val="000000"/>
                <w:sz w:val="21"/>
                <w:szCs w:val="21"/>
              </w:rPr>
              <w:t>(dodaj/usuń)</w:t>
            </w:r>
            <w:r w:rsidRPr="00C134CF">
              <w:rPr>
                <w:rFonts w:cs="Times New Roman"/>
                <w:color w:val="000000"/>
                <w:sz w:val="21"/>
                <w:szCs w:val="21"/>
              </w:rPr>
              <w:fldChar w:fldCharType="end"/>
            </w:r>
          </w:p>
        </w:tc>
        <w:tc>
          <w:tcPr>
            <w:tcW w:w="7048" w:type="dxa"/>
            <w:gridSpan w:val="22"/>
            <w:shd w:val="clear" w:color="auto" w:fill="FFFFFF"/>
          </w:tcPr>
          <w:p w14:paraId="02512A5A" w14:textId="77777777" w:rsidR="001A7CE0" w:rsidRPr="00C134CF" w:rsidRDefault="001A7CE0" w:rsidP="00E07408">
            <w:pPr>
              <w:spacing w:line="240" w:lineRule="auto"/>
              <w:rPr>
                <w:rFonts w:cs="Times New Roman"/>
                <w:color w:val="000000"/>
                <w:spacing w:val="-2"/>
                <w:sz w:val="21"/>
                <w:szCs w:val="21"/>
              </w:rPr>
            </w:pPr>
          </w:p>
        </w:tc>
      </w:tr>
      <w:tr w:rsidR="001A7CE0" w:rsidRPr="00E07408" w14:paraId="20AF4AAF" w14:textId="77777777" w:rsidTr="00E07408">
        <w:trPr>
          <w:gridAfter w:val="1"/>
          <w:wAfter w:w="10" w:type="dxa"/>
          <w:trHeight w:val="1643"/>
          <w:jc w:val="center"/>
        </w:trPr>
        <w:tc>
          <w:tcPr>
            <w:tcW w:w="2243" w:type="dxa"/>
            <w:gridSpan w:val="2"/>
            <w:shd w:val="clear" w:color="auto" w:fill="FFFFFF"/>
          </w:tcPr>
          <w:p w14:paraId="69564076" w14:textId="77777777" w:rsidR="001A7CE0" w:rsidRPr="00C134CF" w:rsidRDefault="001A7CE0" w:rsidP="00E07408">
            <w:pPr>
              <w:spacing w:line="240" w:lineRule="auto"/>
              <w:rPr>
                <w:rFonts w:cs="Times New Roman"/>
                <w:color w:val="000000"/>
                <w:sz w:val="21"/>
                <w:szCs w:val="21"/>
              </w:rPr>
            </w:pPr>
            <w:r w:rsidRPr="00C134CF">
              <w:rPr>
                <w:rFonts w:cs="Times New Roman"/>
                <w:color w:val="000000"/>
                <w:sz w:val="21"/>
                <w:szCs w:val="21"/>
              </w:rPr>
              <w:lastRenderedPageBreak/>
              <w:t xml:space="preserve">Dodatkowe informacje, w tym wskazanie źródeł danych i przyjętych do obliczeń założeń </w:t>
            </w:r>
          </w:p>
        </w:tc>
        <w:tc>
          <w:tcPr>
            <w:tcW w:w="8694" w:type="dxa"/>
            <w:gridSpan w:val="27"/>
            <w:shd w:val="clear" w:color="auto" w:fill="FFFFFF"/>
            <w:vAlign w:val="center"/>
          </w:tcPr>
          <w:p w14:paraId="2CF3D140" w14:textId="77777777" w:rsidR="001A7CE0" w:rsidRPr="00C134CF" w:rsidRDefault="001A7CE0" w:rsidP="00E07408">
            <w:pPr>
              <w:spacing w:line="240" w:lineRule="auto"/>
              <w:jc w:val="both"/>
              <w:rPr>
                <w:rFonts w:cs="Times New Roman"/>
                <w:color w:val="000000"/>
                <w:sz w:val="21"/>
                <w:szCs w:val="21"/>
              </w:rPr>
            </w:pPr>
            <w:r w:rsidRPr="00C134CF">
              <w:rPr>
                <w:rFonts w:cs="Times New Roman"/>
                <w:color w:val="000000"/>
                <w:sz w:val="21"/>
                <w:szCs w:val="21"/>
              </w:rPr>
              <w:t>Wsparcie podejmowane ze środków Funduszu Szerokopasmowego przyczynią się do wyrównania terytorialnych różnic w możliwości dostępu do Internetu wysokich przepustowości. Będzie mieć to pozytywny wpływ na jakość życia wszystkich grup społecznych (rodziny, osoby niepełnosprawne, uczniowie, studenci, itp.) oraz na przedsiębiorstwa wykorzystujące internetowe kanały komunikacji w celu świadczenia usług (lub do prowadzenia działalności).</w:t>
            </w:r>
          </w:p>
        </w:tc>
      </w:tr>
      <w:tr w:rsidR="001A7CE0" w:rsidRPr="00C134CF" w14:paraId="0CE84641" w14:textId="77777777" w:rsidTr="00E07408">
        <w:trPr>
          <w:gridAfter w:val="1"/>
          <w:wAfter w:w="10" w:type="dxa"/>
          <w:trHeight w:val="342"/>
          <w:jc w:val="center"/>
        </w:trPr>
        <w:tc>
          <w:tcPr>
            <w:tcW w:w="10937" w:type="dxa"/>
            <w:gridSpan w:val="29"/>
            <w:shd w:val="clear" w:color="auto" w:fill="99CCFF"/>
            <w:vAlign w:val="center"/>
          </w:tcPr>
          <w:p w14:paraId="7FD0EB85" w14:textId="77777777" w:rsidR="001A7CE0" w:rsidRPr="00C134CF" w:rsidRDefault="001A7CE0" w:rsidP="00147A2A">
            <w:pPr>
              <w:widowControl/>
              <w:numPr>
                <w:ilvl w:val="0"/>
                <w:numId w:val="1"/>
              </w:numPr>
              <w:autoSpaceDE/>
              <w:autoSpaceDN/>
              <w:adjustRightInd/>
              <w:spacing w:before="60" w:after="60" w:line="240" w:lineRule="auto"/>
              <w:ind w:left="318" w:hanging="284"/>
              <w:jc w:val="both"/>
              <w:rPr>
                <w:rFonts w:cs="Times New Roman"/>
                <w:b/>
                <w:color w:val="000000"/>
                <w:sz w:val="22"/>
                <w:szCs w:val="22"/>
              </w:rPr>
            </w:pPr>
            <w:r w:rsidRPr="00C134CF">
              <w:rPr>
                <w:rFonts w:cs="Times New Roman"/>
                <w:b/>
                <w:color w:val="000000"/>
                <w:sz w:val="22"/>
                <w:szCs w:val="22"/>
              </w:rPr>
              <w:t xml:space="preserve"> Zmiana obciążeń regulacyjnych (w tym obowiązków informacyjnych) wynikających z projektu</w:t>
            </w:r>
          </w:p>
        </w:tc>
      </w:tr>
      <w:tr w:rsidR="001A7CE0" w:rsidRPr="00C134CF" w14:paraId="20073BA6" w14:textId="77777777" w:rsidTr="00E07408">
        <w:trPr>
          <w:gridAfter w:val="1"/>
          <w:wAfter w:w="10" w:type="dxa"/>
          <w:trHeight w:val="151"/>
          <w:jc w:val="center"/>
        </w:trPr>
        <w:tc>
          <w:tcPr>
            <w:tcW w:w="10937" w:type="dxa"/>
            <w:gridSpan w:val="29"/>
            <w:shd w:val="clear" w:color="auto" w:fill="FFFFFF"/>
          </w:tcPr>
          <w:p w14:paraId="45DBE5AF" w14:textId="77777777" w:rsidR="001A7CE0" w:rsidRPr="00C134CF" w:rsidRDefault="001A7CE0" w:rsidP="00E07408">
            <w:pPr>
              <w:spacing w:line="240" w:lineRule="auto"/>
              <w:rPr>
                <w:rFonts w:cs="Times New Roman"/>
                <w:color w:val="000000"/>
                <w:sz w:val="22"/>
                <w:szCs w:val="22"/>
              </w:rPr>
            </w:pPr>
            <w:r w:rsidRPr="00C134CF">
              <w:rPr>
                <w:rFonts w:cs="Times New Roman"/>
                <w:color w:val="000000"/>
                <w:sz w:val="22"/>
                <w:szCs w:val="22"/>
              </w:rPr>
              <w:fldChar w:fldCharType="begin">
                <w:ffData>
                  <w:name w:val=""/>
                  <w:enabled/>
                  <w:calcOnExit w:val="0"/>
                  <w:checkBox>
                    <w:sizeAuto/>
                    <w:default w:val="1"/>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w:t>
            </w:r>
            <w:r w:rsidRPr="00C134CF">
              <w:rPr>
                <w:rFonts w:cs="Times New Roman"/>
                <w:color w:val="000000"/>
                <w:spacing w:val="-2"/>
                <w:sz w:val="22"/>
                <w:szCs w:val="22"/>
              </w:rPr>
              <w:t>nie dotyczy</w:t>
            </w:r>
          </w:p>
        </w:tc>
      </w:tr>
      <w:tr w:rsidR="001A7CE0" w:rsidRPr="00C134CF" w14:paraId="2DA38F3C" w14:textId="77777777" w:rsidTr="00E07408">
        <w:trPr>
          <w:gridAfter w:val="1"/>
          <w:wAfter w:w="10" w:type="dxa"/>
          <w:trHeight w:val="946"/>
          <w:jc w:val="center"/>
        </w:trPr>
        <w:tc>
          <w:tcPr>
            <w:tcW w:w="5111" w:type="dxa"/>
            <w:gridSpan w:val="12"/>
            <w:shd w:val="clear" w:color="auto" w:fill="FFFFFF"/>
          </w:tcPr>
          <w:p w14:paraId="5088174F" w14:textId="77777777" w:rsidR="001A7CE0" w:rsidRPr="00C134CF" w:rsidRDefault="001A7CE0" w:rsidP="00E07408">
            <w:pPr>
              <w:rPr>
                <w:rFonts w:cs="Times New Roman"/>
                <w:color w:val="000000"/>
                <w:spacing w:val="-2"/>
                <w:sz w:val="22"/>
                <w:szCs w:val="22"/>
              </w:rPr>
            </w:pPr>
            <w:r w:rsidRPr="00C134CF">
              <w:rPr>
                <w:rFonts w:cs="Times New Roman"/>
                <w:color w:val="000000"/>
                <w:spacing w:val="-2"/>
                <w:sz w:val="22"/>
                <w:szCs w:val="22"/>
              </w:rPr>
              <w:t xml:space="preserve">Wprowadzane są obciążenia poza bezwzględnie wymaganymi przez UE </w:t>
            </w:r>
            <w:r w:rsidRPr="00C134CF">
              <w:rPr>
                <w:rFonts w:cs="Times New Roman"/>
                <w:color w:val="000000"/>
                <w:sz w:val="22"/>
                <w:szCs w:val="22"/>
              </w:rPr>
              <w:t>(szczegóły w odwróconej tabeli zgodności).</w:t>
            </w:r>
          </w:p>
        </w:tc>
        <w:tc>
          <w:tcPr>
            <w:tcW w:w="5826" w:type="dxa"/>
            <w:gridSpan w:val="17"/>
            <w:shd w:val="clear" w:color="auto" w:fill="FFFFFF"/>
          </w:tcPr>
          <w:p w14:paraId="0FF320E5" w14:textId="77777777" w:rsidR="001A7CE0" w:rsidRPr="00C134CF" w:rsidRDefault="001A7CE0" w:rsidP="00E07408">
            <w:pPr>
              <w:spacing w:line="240" w:lineRule="auto"/>
              <w:rPr>
                <w:rFonts w:cs="Times New Roman"/>
                <w:color w:val="000000"/>
                <w:sz w:val="22"/>
                <w:szCs w:val="22"/>
              </w:rPr>
            </w:pPr>
            <w:r w:rsidRPr="00C134CF">
              <w:rPr>
                <w:rFonts w:cs="Times New Roman"/>
                <w:color w:val="000000"/>
                <w:sz w:val="22"/>
                <w:szCs w:val="22"/>
              </w:rPr>
              <w:fldChar w:fldCharType="begin">
                <w:ffData>
                  <w:name w:val=""/>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tak</w:t>
            </w:r>
          </w:p>
          <w:p w14:paraId="7D41B9F2" w14:textId="77777777" w:rsidR="001A7CE0" w:rsidRPr="00C134CF" w:rsidRDefault="001A7CE0" w:rsidP="00E07408">
            <w:pPr>
              <w:spacing w:line="240" w:lineRule="auto"/>
              <w:rPr>
                <w:rFonts w:cs="Times New Roman"/>
                <w:color w:val="000000"/>
                <w:sz w:val="22"/>
                <w:szCs w:val="22"/>
              </w:rPr>
            </w:pPr>
            <w:r w:rsidRPr="00C134CF">
              <w:rPr>
                <w:rFonts w:cs="Times New Roman"/>
                <w:color w:val="000000"/>
                <w:sz w:val="22"/>
                <w:szCs w:val="22"/>
              </w:rPr>
              <w:fldChar w:fldCharType="begin">
                <w:ffData>
                  <w:name w:val=""/>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nie</w:t>
            </w:r>
          </w:p>
          <w:p w14:paraId="5D876110" w14:textId="77777777" w:rsidR="001A7CE0" w:rsidRPr="00C134CF" w:rsidRDefault="001A7CE0" w:rsidP="00E07408">
            <w:pPr>
              <w:rPr>
                <w:rFonts w:cs="Times New Roman"/>
                <w:color w:val="000000"/>
                <w:sz w:val="22"/>
                <w:szCs w:val="22"/>
              </w:rPr>
            </w:pPr>
            <w:r w:rsidRPr="00C134CF">
              <w:rPr>
                <w:rFonts w:cs="Times New Roman"/>
                <w:color w:val="000000"/>
                <w:sz w:val="22"/>
                <w:szCs w:val="22"/>
              </w:rPr>
              <w:fldChar w:fldCharType="begin">
                <w:ffData>
                  <w:name w:val="Wybór1"/>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nie dotyczy</w:t>
            </w:r>
          </w:p>
        </w:tc>
      </w:tr>
      <w:tr w:rsidR="001A7CE0" w:rsidRPr="00C134CF" w14:paraId="449B6AB7" w14:textId="77777777" w:rsidTr="00E07408">
        <w:trPr>
          <w:gridAfter w:val="1"/>
          <w:wAfter w:w="10" w:type="dxa"/>
          <w:trHeight w:val="1245"/>
          <w:jc w:val="center"/>
        </w:trPr>
        <w:tc>
          <w:tcPr>
            <w:tcW w:w="5111" w:type="dxa"/>
            <w:gridSpan w:val="12"/>
            <w:shd w:val="clear" w:color="auto" w:fill="FFFFFF"/>
          </w:tcPr>
          <w:p w14:paraId="76BAC444" w14:textId="77777777" w:rsidR="001A7CE0" w:rsidRPr="00C134CF" w:rsidRDefault="001A7CE0" w:rsidP="00E07408">
            <w:pPr>
              <w:spacing w:line="240" w:lineRule="auto"/>
              <w:rPr>
                <w:rFonts w:cs="Times New Roman"/>
                <w:color w:val="000000"/>
                <w:spacing w:val="-2"/>
                <w:sz w:val="22"/>
                <w:szCs w:val="22"/>
              </w:rPr>
            </w:pPr>
            <w:r w:rsidRPr="00C134CF">
              <w:rPr>
                <w:rFonts w:cs="Times New Roman"/>
                <w:color w:val="000000"/>
                <w:sz w:val="22"/>
                <w:szCs w:val="22"/>
              </w:rPr>
              <w:fldChar w:fldCharType="begin">
                <w:ffData>
                  <w:name w:val=""/>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w:t>
            </w:r>
            <w:r w:rsidRPr="00C134CF">
              <w:rPr>
                <w:rFonts w:cs="Times New Roman"/>
                <w:color w:val="000000"/>
                <w:spacing w:val="-2"/>
                <w:sz w:val="22"/>
                <w:szCs w:val="22"/>
              </w:rPr>
              <w:t xml:space="preserve">zmniejszenie liczby dokumentów </w:t>
            </w:r>
          </w:p>
          <w:p w14:paraId="76084BE0" w14:textId="77777777" w:rsidR="001A7CE0" w:rsidRPr="00C134CF" w:rsidRDefault="001A7CE0" w:rsidP="00E07408">
            <w:pPr>
              <w:spacing w:line="240" w:lineRule="auto"/>
              <w:rPr>
                <w:rFonts w:cs="Times New Roman"/>
                <w:color w:val="000000"/>
                <w:spacing w:val="-2"/>
                <w:sz w:val="22"/>
                <w:szCs w:val="22"/>
              </w:rPr>
            </w:pPr>
            <w:r w:rsidRPr="00C134CF">
              <w:rPr>
                <w:rFonts w:cs="Times New Roman"/>
                <w:color w:val="000000"/>
                <w:sz w:val="22"/>
                <w:szCs w:val="22"/>
              </w:rPr>
              <w:fldChar w:fldCharType="begin">
                <w:ffData>
                  <w:name w:val=""/>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w:t>
            </w:r>
            <w:r w:rsidRPr="00C134CF">
              <w:rPr>
                <w:rFonts w:cs="Times New Roman"/>
                <w:color w:val="000000"/>
                <w:spacing w:val="-2"/>
                <w:sz w:val="22"/>
                <w:szCs w:val="22"/>
              </w:rPr>
              <w:t>zmniejszenie liczby procedur</w:t>
            </w:r>
          </w:p>
          <w:p w14:paraId="3753D539" w14:textId="77777777" w:rsidR="001A7CE0" w:rsidRPr="00C134CF" w:rsidRDefault="001A7CE0" w:rsidP="00E07408">
            <w:pPr>
              <w:spacing w:line="240" w:lineRule="auto"/>
              <w:rPr>
                <w:rFonts w:cs="Times New Roman"/>
                <w:color w:val="000000"/>
                <w:spacing w:val="-2"/>
                <w:sz w:val="22"/>
                <w:szCs w:val="22"/>
              </w:rPr>
            </w:pPr>
            <w:r w:rsidRPr="00C134CF">
              <w:rPr>
                <w:rFonts w:cs="Times New Roman"/>
                <w:color w:val="000000"/>
                <w:sz w:val="22"/>
                <w:szCs w:val="22"/>
              </w:rPr>
              <w:fldChar w:fldCharType="begin">
                <w:ffData>
                  <w:name w:val=""/>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w:t>
            </w:r>
            <w:r w:rsidRPr="00C134CF">
              <w:rPr>
                <w:rFonts w:cs="Times New Roman"/>
                <w:color w:val="000000"/>
                <w:spacing w:val="-2"/>
                <w:sz w:val="22"/>
                <w:szCs w:val="22"/>
              </w:rPr>
              <w:t>skrócenie czasu na załatwienie sprawy</w:t>
            </w:r>
          </w:p>
          <w:p w14:paraId="2627C77F" w14:textId="77777777" w:rsidR="001A7CE0" w:rsidRPr="00C134CF" w:rsidRDefault="001A7CE0" w:rsidP="00E07408">
            <w:pPr>
              <w:rPr>
                <w:rFonts w:cs="Times New Roman"/>
                <w:b/>
                <w:color w:val="000000"/>
                <w:spacing w:val="-2"/>
                <w:sz w:val="22"/>
                <w:szCs w:val="22"/>
              </w:rPr>
            </w:pPr>
            <w:r w:rsidRPr="00C134CF">
              <w:rPr>
                <w:rFonts w:cs="Times New Roman"/>
                <w:color w:val="000000"/>
                <w:sz w:val="22"/>
                <w:szCs w:val="22"/>
              </w:rPr>
              <w:fldChar w:fldCharType="begin">
                <w:ffData>
                  <w:name w:val="Wybór1"/>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w:t>
            </w:r>
            <w:r w:rsidRPr="00C134CF">
              <w:rPr>
                <w:rFonts w:cs="Times New Roman"/>
                <w:color w:val="000000"/>
                <w:spacing w:val="-2"/>
                <w:sz w:val="22"/>
                <w:szCs w:val="22"/>
              </w:rPr>
              <w:t>inne:</w:t>
            </w:r>
            <w:r w:rsidRPr="00C134CF">
              <w:rPr>
                <w:rFonts w:cs="Times New Roman"/>
                <w:color w:val="000000"/>
                <w:sz w:val="22"/>
                <w:szCs w:val="22"/>
              </w:rPr>
              <w:t xml:space="preserve"> </w:t>
            </w:r>
            <w:r w:rsidRPr="00C134CF">
              <w:rPr>
                <w:rFonts w:cs="Times New Roman"/>
                <w:color w:val="000000"/>
                <w:sz w:val="22"/>
                <w:szCs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C134CF">
              <w:rPr>
                <w:rFonts w:cs="Times New Roman"/>
                <w:color w:val="000000"/>
                <w:sz w:val="22"/>
                <w:szCs w:val="22"/>
              </w:rPr>
              <w:instrText xml:space="preserve"> FORMTEXT </w:instrText>
            </w:r>
            <w:r w:rsidRPr="00C134CF">
              <w:rPr>
                <w:rFonts w:cs="Times New Roman"/>
                <w:color w:val="000000"/>
                <w:sz w:val="22"/>
                <w:szCs w:val="22"/>
              </w:rPr>
            </w:r>
            <w:r w:rsidRPr="00C134CF">
              <w:rPr>
                <w:rFonts w:cs="Times New Roman"/>
                <w:color w:val="000000"/>
                <w:sz w:val="22"/>
                <w:szCs w:val="22"/>
              </w:rPr>
              <w:fldChar w:fldCharType="separate"/>
            </w:r>
            <w:r w:rsidRPr="00C134CF">
              <w:rPr>
                <w:rFonts w:cs="Times New Roman"/>
                <w:noProof/>
                <w:color w:val="000000"/>
                <w:sz w:val="22"/>
                <w:szCs w:val="22"/>
              </w:rPr>
              <w:t> </w:t>
            </w:r>
            <w:r w:rsidRPr="00C134CF">
              <w:rPr>
                <w:rFonts w:cs="Times New Roman"/>
                <w:noProof/>
                <w:color w:val="000000"/>
                <w:sz w:val="22"/>
                <w:szCs w:val="22"/>
              </w:rPr>
              <w:t> </w:t>
            </w:r>
            <w:r w:rsidRPr="00C134CF">
              <w:rPr>
                <w:rFonts w:cs="Times New Roman"/>
                <w:noProof/>
                <w:color w:val="000000"/>
                <w:sz w:val="22"/>
                <w:szCs w:val="22"/>
              </w:rPr>
              <w:t> </w:t>
            </w:r>
            <w:r w:rsidRPr="00C134CF">
              <w:rPr>
                <w:rFonts w:cs="Times New Roman"/>
                <w:noProof/>
                <w:color w:val="000000"/>
                <w:sz w:val="22"/>
                <w:szCs w:val="22"/>
              </w:rPr>
              <w:t> </w:t>
            </w:r>
            <w:r w:rsidRPr="00C134CF">
              <w:rPr>
                <w:rFonts w:cs="Times New Roman"/>
                <w:noProof/>
                <w:color w:val="000000"/>
                <w:sz w:val="22"/>
                <w:szCs w:val="22"/>
              </w:rPr>
              <w:t> </w:t>
            </w:r>
            <w:r w:rsidRPr="00C134CF">
              <w:rPr>
                <w:rFonts w:cs="Times New Roman"/>
                <w:color w:val="000000"/>
                <w:sz w:val="22"/>
                <w:szCs w:val="22"/>
              </w:rPr>
              <w:fldChar w:fldCharType="end"/>
            </w:r>
          </w:p>
        </w:tc>
        <w:tc>
          <w:tcPr>
            <w:tcW w:w="5826" w:type="dxa"/>
            <w:gridSpan w:val="17"/>
            <w:shd w:val="clear" w:color="auto" w:fill="FFFFFF"/>
          </w:tcPr>
          <w:p w14:paraId="5F1D1A2B" w14:textId="77777777" w:rsidR="001A7CE0" w:rsidRPr="00C134CF" w:rsidRDefault="001A7CE0" w:rsidP="00E07408">
            <w:pPr>
              <w:spacing w:line="240" w:lineRule="auto"/>
              <w:rPr>
                <w:rFonts w:cs="Times New Roman"/>
                <w:color w:val="000000"/>
                <w:spacing w:val="-2"/>
                <w:sz w:val="22"/>
                <w:szCs w:val="22"/>
              </w:rPr>
            </w:pPr>
            <w:r w:rsidRPr="00C134CF">
              <w:rPr>
                <w:rFonts w:cs="Times New Roman"/>
                <w:color w:val="000000"/>
                <w:sz w:val="22"/>
                <w:szCs w:val="22"/>
              </w:rPr>
              <w:fldChar w:fldCharType="begin">
                <w:ffData>
                  <w:name w:val=""/>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w:t>
            </w:r>
            <w:r w:rsidRPr="00C134CF">
              <w:rPr>
                <w:rFonts w:cs="Times New Roman"/>
                <w:color w:val="000000"/>
                <w:spacing w:val="-2"/>
                <w:sz w:val="22"/>
                <w:szCs w:val="22"/>
              </w:rPr>
              <w:t>zwiększenie liczby dokumentów</w:t>
            </w:r>
          </w:p>
          <w:p w14:paraId="7A81C4F3" w14:textId="77777777" w:rsidR="001A7CE0" w:rsidRPr="00C134CF" w:rsidRDefault="001A7CE0" w:rsidP="00E07408">
            <w:pPr>
              <w:spacing w:line="240" w:lineRule="auto"/>
              <w:rPr>
                <w:rFonts w:cs="Times New Roman"/>
                <w:color w:val="000000"/>
                <w:spacing w:val="-2"/>
                <w:sz w:val="22"/>
                <w:szCs w:val="22"/>
              </w:rPr>
            </w:pPr>
            <w:r w:rsidRPr="00C134CF">
              <w:rPr>
                <w:rFonts w:cs="Times New Roman"/>
                <w:color w:val="000000"/>
                <w:sz w:val="22"/>
                <w:szCs w:val="22"/>
              </w:rPr>
              <w:fldChar w:fldCharType="begin">
                <w:ffData>
                  <w:name w:val="Wybór1"/>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w:t>
            </w:r>
            <w:r w:rsidRPr="00C134CF">
              <w:rPr>
                <w:rFonts w:cs="Times New Roman"/>
                <w:color w:val="000000"/>
                <w:spacing w:val="-2"/>
                <w:sz w:val="22"/>
                <w:szCs w:val="22"/>
              </w:rPr>
              <w:t>zwiększenie liczby procedur</w:t>
            </w:r>
          </w:p>
          <w:p w14:paraId="5F6D9C9B" w14:textId="77777777" w:rsidR="001A7CE0" w:rsidRPr="00C134CF" w:rsidRDefault="001A7CE0" w:rsidP="00E07408">
            <w:pPr>
              <w:spacing w:line="240" w:lineRule="auto"/>
              <w:rPr>
                <w:rFonts w:cs="Times New Roman"/>
                <w:color w:val="000000"/>
                <w:spacing w:val="-2"/>
                <w:sz w:val="22"/>
                <w:szCs w:val="22"/>
              </w:rPr>
            </w:pPr>
            <w:r w:rsidRPr="00C134CF">
              <w:rPr>
                <w:rFonts w:cs="Times New Roman"/>
                <w:color w:val="000000"/>
                <w:sz w:val="22"/>
                <w:szCs w:val="22"/>
              </w:rPr>
              <w:fldChar w:fldCharType="begin">
                <w:ffData>
                  <w:name w:val="Wybór1"/>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w:t>
            </w:r>
            <w:r w:rsidRPr="00C134CF">
              <w:rPr>
                <w:rFonts w:cs="Times New Roman"/>
                <w:color w:val="000000"/>
                <w:spacing w:val="-2"/>
                <w:sz w:val="22"/>
                <w:szCs w:val="22"/>
              </w:rPr>
              <w:t>wydłużenie czasu na załatwienie sprawy</w:t>
            </w:r>
          </w:p>
          <w:p w14:paraId="0B1DC9BE" w14:textId="77777777" w:rsidR="001A7CE0" w:rsidRPr="00C134CF" w:rsidRDefault="001A7CE0" w:rsidP="00E07408">
            <w:pPr>
              <w:spacing w:line="240" w:lineRule="auto"/>
              <w:rPr>
                <w:rFonts w:cs="Times New Roman"/>
                <w:color w:val="000000"/>
                <w:sz w:val="22"/>
                <w:szCs w:val="22"/>
              </w:rPr>
            </w:pPr>
            <w:r w:rsidRPr="00C134CF">
              <w:rPr>
                <w:rFonts w:cs="Times New Roman"/>
                <w:color w:val="000000"/>
                <w:sz w:val="22"/>
                <w:szCs w:val="22"/>
              </w:rPr>
              <w:fldChar w:fldCharType="begin">
                <w:ffData>
                  <w:name w:val="Wybór1"/>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w:t>
            </w:r>
            <w:r w:rsidRPr="00C134CF">
              <w:rPr>
                <w:rFonts w:cs="Times New Roman"/>
                <w:color w:val="000000"/>
                <w:spacing w:val="-2"/>
                <w:sz w:val="22"/>
                <w:szCs w:val="22"/>
              </w:rPr>
              <w:t>inne:</w:t>
            </w:r>
            <w:r w:rsidRPr="00C134CF">
              <w:rPr>
                <w:rFonts w:cs="Times New Roman"/>
                <w:color w:val="000000"/>
                <w:sz w:val="22"/>
                <w:szCs w:val="22"/>
              </w:rPr>
              <w:t xml:space="preserve"> </w:t>
            </w:r>
            <w:r w:rsidRPr="00C134CF">
              <w:rPr>
                <w:rFonts w:cs="Times New Roman"/>
                <w:color w:val="000000"/>
                <w:sz w:val="22"/>
                <w:szCs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C134CF">
              <w:rPr>
                <w:rFonts w:cs="Times New Roman"/>
                <w:color w:val="000000"/>
                <w:sz w:val="22"/>
                <w:szCs w:val="22"/>
              </w:rPr>
              <w:instrText xml:space="preserve"> FORMTEXT </w:instrText>
            </w:r>
            <w:r w:rsidRPr="00C134CF">
              <w:rPr>
                <w:rFonts w:cs="Times New Roman"/>
                <w:color w:val="000000"/>
                <w:sz w:val="22"/>
                <w:szCs w:val="22"/>
              </w:rPr>
            </w:r>
            <w:r w:rsidRPr="00C134CF">
              <w:rPr>
                <w:rFonts w:cs="Times New Roman"/>
                <w:color w:val="000000"/>
                <w:sz w:val="22"/>
                <w:szCs w:val="22"/>
              </w:rPr>
              <w:fldChar w:fldCharType="separate"/>
            </w:r>
            <w:r w:rsidRPr="00C134CF">
              <w:rPr>
                <w:rFonts w:cs="Times New Roman"/>
                <w:noProof/>
                <w:color w:val="000000"/>
                <w:sz w:val="22"/>
                <w:szCs w:val="22"/>
              </w:rPr>
              <w:t> </w:t>
            </w:r>
            <w:r w:rsidRPr="00C134CF">
              <w:rPr>
                <w:rFonts w:cs="Times New Roman"/>
                <w:noProof/>
                <w:color w:val="000000"/>
                <w:sz w:val="22"/>
                <w:szCs w:val="22"/>
              </w:rPr>
              <w:t> </w:t>
            </w:r>
            <w:r w:rsidRPr="00C134CF">
              <w:rPr>
                <w:rFonts w:cs="Times New Roman"/>
                <w:noProof/>
                <w:color w:val="000000"/>
                <w:sz w:val="22"/>
                <w:szCs w:val="22"/>
              </w:rPr>
              <w:t> </w:t>
            </w:r>
            <w:r w:rsidRPr="00C134CF">
              <w:rPr>
                <w:rFonts w:cs="Times New Roman"/>
                <w:noProof/>
                <w:color w:val="000000"/>
                <w:sz w:val="22"/>
                <w:szCs w:val="22"/>
              </w:rPr>
              <w:t> </w:t>
            </w:r>
            <w:r w:rsidRPr="00C134CF">
              <w:rPr>
                <w:rFonts w:cs="Times New Roman"/>
                <w:noProof/>
                <w:color w:val="000000"/>
                <w:sz w:val="22"/>
                <w:szCs w:val="22"/>
              </w:rPr>
              <w:t> </w:t>
            </w:r>
            <w:r w:rsidRPr="00C134CF">
              <w:rPr>
                <w:rFonts w:cs="Times New Roman"/>
                <w:color w:val="000000"/>
                <w:sz w:val="22"/>
                <w:szCs w:val="22"/>
              </w:rPr>
              <w:fldChar w:fldCharType="end"/>
            </w:r>
          </w:p>
          <w:p w14:paraId="10D132ED" w14:textId="77777777" w:rsidR="001A7CE0" w:rsidRPr="00C134CF" w:rsidRDefault="001A7CE0" w:rsidP="00E07408">
            <w:pPr>
              <w:spacing w:line="240" w:lineRule="auto"/>
              <w:rPr>
                <w:rFonts w:cs="Times New Roman"/>
                <w:color w:val="000000"/>
                <w:sz w:val="22"/>
                <w:szCs w:val="22"/>
              </w:rPr>
            </w:pPr>
          </w:p>
        </w:tc>
      </w:tr>
      <w:tr w:rsidR="001A7CE0" w:rsidRPr="00C134CF" w14:paraId="1B8C7251" w14:textId="77777777" w:rsidTr="00E07408">
        <w:trPr>
          <w:gridAfter w:val="1"/>
          <w:wAfter w:w="10" w:type="dxa"/>
          <w:trHeight w:val="870"/>
          <w:jc w:val="center"/>
        </w:trPr>
        <w:tc>
          <w:tcPr>
            <w:tcW w:w="5111" w:type="dxa"/>
            <w:gridSpan w:val="12"/>
            <w:shd w:val="clear" w:color="auto" w:fill="FFFFFF"/>
          </w:tcPr>
          <w:p w14:paraId="1959C64D" w14:textId="77777777" w:rsidR="001A7CE0" w:rsidRPr="00C134CF" w:rsidRDefault="001A7CE0" w:rsidP="00E07408">
            <w:pPr>
              <w:spacing w:line="240" w:lineRule="auto"/>
              <w:rPr>
                <w:rFonts w:cs="Times New Roman"/>
                <w:color w:val="000000"/>
                <w:sz w:val="22"/>
                <w:szCs w:val="22"/>
              </w:rPr>
            </w:pPr>
            <w:r w:rsidRPr="00C134CF">
              <w:rPr>
                <w:rFonts w:cs="Times New Roman"/>
                <w:color w:val="000000"/>
                <w:spacing w:val="-2"/>
                <w:sz w:val="22"/>
                <w:szCs w:val="22"/>
              </w:rPr>
              <w:t xml:space="preserve">Wprowadzane obciążenia są przystosowane do ich elektronizacji. </w:t>
            </w:r>
          </w:p>
        </w:tc>
        <w:tc>
          <w:tcPr>
            <w:tcW w:w="5826" w:type="dxa"/>
            <w:gridSpan w:val="17"/>
            <w:shd w:val="clear" w:color="auto" w:fill="FFFFFF"/>
          </w:tcPr>
          <w:p w14:paraId="241926F4" w14:textId="77777777" w:rsidR="001A7CE0" w:rsidRPr="00C134CF" w:rsidRDefault="001A7CE0" w:rsidP="00E07408">
            <w:pPr>
              <w:spacing w:line="240" w:lineRule="auto"/>
              <w:rPr>
                <w:rFonts w:cs="Times New Roman"/>
                <w:color w:val="000000"/>
                <w:sz w:val="22"/>
                <w:szCs w:val="22"/>
              </w:rPr>
            </w:pPr>
            <w:r w:rsidRPr="00C134CF">
              <w:rPr>
                <w:rFonts w:cs="Times New Roman"/>
                <w:color w:val="000000"/>
                <w:sz w:val="22"/>
                <w:szCs w:val="22"/>
              </w:rPr>
              <w:fldChar w:fldCharType="begin">
                <w:ffData>
                  <w:name w:val=""/>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tak</w:t>
            </w:r>
          </w:p>
          <w:p w14:paraId="73F83435" w14:textId="77777777" w:rsidR="001A7CE0" w:rsidRPr="00C134CF" w:rsidRDefault="001A7CE0" w:rsidP="00E07408">
            <w:pPr>
              <w:spacing w:line="240" w:lineRule="auto"/>
              <w:rPr>
                <w:rFonts w:cs="Times New Roman"/>
                <w:color w:val="000000"/>
                <w:sz w:val="22"/>
                <w:szCs w:val="22"/>
              </w:rPr>
            </w:pPr>
            <w:r w:rsidRPr="00C134CF">
              <w:rPr>
                <w:rFonts w:cs="Times New Roman"/>
                <w:color w:val="000000"/>
                <w:sz w:val="22"/>
                <w:szCs w:val="22"/>
              </w:rPr>
              <w:fldChar w:fldCharType="begin">
                <w:ffData>
                  <w:name w:val="Wybór1"/>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nie</w:t>
            </w:r>
          </w:p>
          <w:p w14:paraId="13F7BFBB" w14:textId="77777777" w:rsidR="001A7CE0" w:rsidRPr="00C134CF" w:rsidRDefault="001A7CE0" w:rsidP="00E07408">
            <w:pPr>
              <w:spacing w:line="240" w:lineRule="auto"/>
              <w:rPr>
                <w:rFonts w:cs="Times New Roman"/>
                <w:color w:val="000000"/>
                <w:sz w:val="22"/>
                <w:szCs w:val="22"/>
              </w:rPr>
            </w:pPr>
            <w:r w:rsidRPr="00C134CF">
              <w:rPr>
                <w:rFonts w:cs="Times New Roman"/>
                <w:color w:val="000000"/>
                <w:sz w:val="22"/>
                <w:szCs w:val="22"/>
              </w:rPr>
              <w:fldChar w:fldCharType="begin">
                <w:ffData>
                  <w:name w:val="Wybór1"/>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nie dotyczy</w:t>
            </w:r>
          </w:p>
          <w:p w14:paraId="228320C2" w14:textId="77777777" w:rsidR="001A7CE0" w:rsidRPr="00C134CF" w:rsidRDefault="001A7CE0" w:rsidP="00E07408">
            <w:pPr>
              <w:spacing w:line="240" w:lineRule="auto"/>
              <w:rPr>
                <w:rFonts w:cs="Times New Roman"/>
                <w:color w:val="000000"/>
                <w:sz w:val="22"/>
                <w:szCs w:val="22"/>
              </w:rPr>
            </w:pPr>
          </w:p>
        </w:tc>
      </w:tr>
      <w:tr w:rsidR="001A7CE0" w:rsidRPr="00C134CF" w14:paraId="06C3FD6A" w14:textId="77777777" w:rsidTr="00E07408">
        <w:trPr>
          <w:gridAfter w:val="1"/>
          <w:wAfter w:w="10" w:type="dxa"/>
          <w:trHeight w:val="630"/>
          <w:jc w:val="center"/>
        </w:trPr>
        <w:tc>
          <w:tcPr>
            <w:tcW w:w="10937" w:type="dxa"/>
            <w:gridSpan w:val="29"/>
            <w:shd w:val="clear" w:color="auto" w:fill="FFFFFF"/>
          </w:tcPr>
          <w:p w14:paraId="760A5DF9" w14:textId="77777777" w:rsidR="001A7CE0" w:rsidRPr="00C134CF" w:rsidRDefault="001A7CE0" w:rsidP="00E07408">
            <w:pPr>
              <w:spacing w:line="240" w:lineRule="auto"/>
              <w:jc w:val="both"/>
              <w:rPr>
                <w:rFonts w:cs="Times New Roman"/>
                <w:color w:val="000000"/>
                <w:sz w:val="22"/>
                <w:szCs w:val="22"/>
              </w:rPr>
            </w:pPr>
            <w:r w:rsidRPr="00C134CF">
              <w:rPr>
                <w:rFonts w:cs="Times New Roman"/>
                <w:color w:val="000000"/>
                <w:sz w:val="22"/>
                <w:szCs w:val="22"/>
              </w:rPr>
              <w:t>Nie dotyczy.</w:t>
            </w:r>
          </w:p>
        </w:tc>
      </w:tr>
      <w:tr w:rsidR="001A7CE0" w:rsidRPr="00C134CF" w14:paraId="79294686" w14:textId="77777777" w:rsidTr="00E07408">
        <w:trPr>
          <w:gridAfter w:val="1"/>
          <w:wAfter w:w="10" w:type="dxa"/>
          <w:trHeight w:val="142"/>
          <w:jc w:val="center"/>
        </w:trPr>
        <w:tc>
          <w:tcPr>
            <w:tcW w:w="10937" w:type="dxa"/>
            <w:gridSpan w:val="29"/>
            <w:shd w:val="clear" w:color="auto" w:fill="99CCFF"/>
          </w:tcPr>
          <w:p w14:paraId="27DD8AF9" w14:textId="77777777" w:rsidR="001A7CE0" w:rsidRPr="00C134CF" w:rsidRDefault="001A7CE0" w:rsidP="00147A2A">
            <w:pPr>
              <w:widowControl/>
              <w:numPr>
                <w:ilvl w:val="0"/>
                <w:numId w:val="1"/>
              </w:numPr>
              <w:autoSpaceDE/>
              <w:autoSpaceDN/>
              <w:adjustRightInd/>
              <w:spacing w:before="60" w:after="60" w:line="240" w:lineRule="auto"/>
              <w:jc w:val="both"/>
              <w:rPr>
                <w:rFonts w:cs="Times New Roman"/>
                <w:b/>
                <w:color w:val="000000"/>
                <w:sz w:val="22"/>
                <w:szCs w:val="22"/>
              </w:rPr>
            </w:pPr>
            <w:r w:rsidRPr="00C134CF">
              <w:rPr>
                <w:rFonts w:cs="Times New Roman"/>
                <w:b/>
                <w:color w:val="000000"/>
                <w:sz w:val="22"/>
                <w:szCs w:val="22"/>
              </w:rPr>
              <w:t xml:space="preserve">Wpływ na rynek pracy </w:t>
            </w:r>
          </w:p>
        </w:tc>
      </w:tr>
      <w:tr w:rsidR="001A7CE0" w:rsidRPr="00C134CF" w14:paraId="321BB70A" w14:textId="77777777" w:rsidTr="00E07408">
        <w:trPr>
          <w:gridAfter w:val="1"/>
          <w:wAfter w:w="10" w:type="dxa"/>
          <w:trHeight w:val="142"/>
          <w:jc w:val="center"/>
        </w:trPr>
        <w:tc>
          <w:tcPr>
            <w:tcW w:w="10937" w:type="dxa"/>
            <w:gridSpan w:val="29"/>
            <w:shd w:val="clear" w:color="auto" w:fill="auto"/>
          </w:tcPr>
          <w:p w14:paraId="3F837B3D" w14:textId="7E7F488F" w:rsidR="001A7CE0" w:rsidRPr="00C134CF" w:rsidRDefault="001A7CE0" w:rsidP="00E07408">
            <w:pPr>
              <w:spacing w:line="240" w:lineRule="auto"/>
              <w:jc w:val="both"/>
              <w:rPr>
                <w:rFonts w:cs="Times New Roman"/>
                <w:color w:val="000000"/>
                <w:sz w:val="22"/>
                <w:szCs w:val="22"/>
              </w:rPr>
            </w:pPr>
            <w:r w:rsidRPr="00C134CF">
              <w:rPr>
                <w:rFonts w:cs="Times New Roman"/>
                <w:color w:val="000000"/>
                <w:sz w:val="22"/>
                <w:szCs w:val="22"/>
              </w:rPr>
              <w:t>Dzięki środkom Funduszu będą podejmowane inwestycje infrastrukturalne, wpływające pozytywnie na utrzymanie i</w:t>
            </w:r>
            <w:r w:rsidR="003458F3">
              <w:rPr>
                <w:rFonts w:cs="Times New Roman"/>
                <w:color w:val="000000"/>
                <w:sz w:val="22"/>
                <w:szCs w:val="22"/>
              </w:rPr>
              <w:t> </w:t>
            </w:r>
            <w:r w:rsidRPr="00C134CF">
              <w:rPr>
                <w:rFonts w:cs="Times New Roman"/>
                <w:color w:val="000000"/>
                <w:sz w:val="22"/>
                <w:szCs w:val="22"/>
              </w:rPr>
              <w:t>kreację miejsc pracy w sektorach produkcji infrastruktury oraz podwykonawstwa robót budowlanych.</w:t>
            </w:r>
          </w:p>
        </w:tc>
      </w:tr>
      <w:tr w:rsidR="001A7CE0" w:rsidRPr="00C134CF" w14:paraId="6823CF38" w14:textId="77777777" w:rsidTr="00E07408">
        <w:trPr>
          <w:gridAfter w:val="1"/>
          <w:wAfter w:w="10" w:type="dxa"/>
          <w:trHeight w:val="142"/>
          <w:jc w:val="center"/>
        </w:trPr>
        <w:tc>
          <w:tcPr>
            <w:tcW w:w="10937" w:type="dxa"/>
            <w:gridSpan w:val="29"/>
            <w:shd w:val="clear" w:color="auto" w:fill="99CCFF"/>
          </w:tcPr>
          <w:p w14:paraId="6C49D957" w14:textId="77777777" w:rsidR="001A7CE0" w:rsidRPr="00C134CF" w:rsidRDefault="001A7CE0" w:rsidP="00147A2A">
            <w:pPr>
              <w:widowControl/>
              <w:numPr>
                <w:ilvl w:val="0"/>
                <w:numId w:val="1"/>
              </w:numPr>
              <w:autoSpaceDE/>
              <w:autoSpaceDN/>
              <w:adjustRightInd/>
              <w:spacing w:before="60" w:after="60" w:line="240" w:lineRule="auto"/>
              <w:jc w:val="both"/>
              <w:rPr>
                <w:rFonts w:cs="Times New Roman"/>
                <w:b/>
                <w:color w:val="000000"/>
                <w:sz w:val="22"/>
                <w:szCs w:val="22"/>
              </w:rPr>
            </w:pPr>
            <w:r w:rsidRPr="00C134CF">
              <w:rPr>
                <w:rFonts w:cs="Times New Roman"/>
                <w:b/>
                <w:color w:val="000000"/>
                <w:sz w:val="22"/>
                <w:szCs w:val="22"/>
              </w:rPr>
              <w:t>Wpływ na pozostałe obszary</w:t>
            </w:r>
          </w:p>
        </w:tc>
      </w:tr>
      <w:tr w:rsidR="001A7CE0" w:rsidRPr="00C134CF" w14:paraId="14AE0B7D" w14:textId="77777777" w:rsidTr="00E07408">
        <w:trPr>
          <w:gridAfter w:val="1"/>
          <w:wAfter w:w="10" w:type="dxa"/>
          <w:trHeight w:val="1031"/>
          <w:jc w:val="center"/>
        </w:trPr>
        <w:tc>
          <w:tcPr>
            <w:tcW w:w="3547" w:type="dxa"/>
            <w:gridSpan w:val="5"/>
            <w:shd w:val="clear" w:color="auto" w:fill="FFFFFF"/>
          </w:tcPr>
          <w:p w14:paraId="40D197D9" w14:textId="77777777" w:rsidR="001A7CE0" w:rsidRPr="00C134CF" w:rsidRDefault="001A7CE0" w:rsidP="00E07408">
            <w:pPr>
              <w:spacing w:line="240" w:lineRule="auto"/>
              <w:rPr>
                <w:rFonts w:cs="Times New Roman"/>
                <w:color w:val="000000"/>
                <w:sz w:val="22"/>
                <w:szCs w:val="22"/>
              </w:rPr>
            </w:pPr>
          </w:p>
          <w:p w14:paraId="43BB2704" w14:textId="77777777" w:rsidR="001A7CE0" w:rsidRPr="00C134CF" w:rsidRDefault="001A7CE0" w:rsidP="00E07408">
            <w:pPr>
              <w:spacing w:line="240" w:lineRule="auto"/>
              <w:rPr>
                <w:rFonts w:cs="Times New Roman"/>
                <w:color w:val="000000"/>
                <w:spacing w:val="-2"/>
                <w:sz w:val="22"/>
                <w:szCs w:val="22"/>
              </w:rPr>
            </w:pPr>
            <w:r w:rsidRPr="00C134CF">
              <w:rPr>
                <w:rFonts w:cs="Times New Roman"/>
                <w:color w:val="000000"/>
                <w:sz w:val="22"/>
                <w:szCs w:val="22"/>
              </w:rPr>
              <w:fldChar w:fldCharType="begin">
                <w:ffData>
                  <w:name w:val=""/>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w:t>
            </w:r>
            <w:r w:rsidRPr="00C134CF">
              <w:rPr>
                <w:rFonts w:cs="Times New Roman"/>
                <w:color w:val="000000"/>
                <w:spacing w:val="-2"/>
                <w:sz w:val="22"/>
                <w:szCs w:val="22"/>
              </w:rPr>
              <w:t>środowisko naturalne</w:t>
            </w:r>
          </w:p>
          <w:p w14:paraId="7DD48D5B" w14:textId="77777777" w:rsidR="001A7CE0" w:rsidRPr="00C134CF" w:rsidRDefault="001A7CE0" w:rsidP="00E07408">
            <w:pPr>
              <w:spacing w:line="240" w:lineRule="auto"/>
              <w:rPr>
                <w:rFonts w:cs="Times New Roman"/>
                <w:color w:val="000000"/>
                <w:sz w:val="22"/>
                <w:szCs w:val="22"/>
              </w:rPr>
            </w:pPr>
            <w:r w:rsidRPr="00C134CF">
              <w:rPr>
                <w:rFonts w:cs="Times New Roman"/>
                <w:color w:val="000000"/>
                <w:sz w:val="22"/>
                <w:szCs w:val="22"/>
              </w:rPr>
              <w:fldChar w:fldCharType="begin">
                <w:ffData>
                  <w:name w:val=""/>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sytuacja i rozwój regionalny</w:t>
            </w:r>
          </w:p>
          <w:p w14:paraId="5E3FD225" w14:textId="77777777" w:rsidR="001A7CE0" w:rsidRPr="00C134CF" w:rsidRDefault="001A7CE0" w:rsidP="00E07408">
            <w:pPr>
              <w:spacing w:line="240" w:lineRule="auto"/>
              <w:rPr>
                <w:rFonts w:cs="Times New Roman"/>
                <w:color w:val="000000"/>
                <w:spacing w:val="-2"/>
                <w:sz w:val="22"/>
                <w:szCs w:val="22"/>
              </w:rPr>
            </w:pPr>
            <w:r w:rsidRPr="00C134CF">
              <w:rPr>
                <w:rFonts w:cs="Times New Roman"/>
                <w:color w:val="000000"/>
                <w:sz w:val="22"/>
                <w:szCs w:val="22"/>
              </w:rPr>
              <w:fldChar w:fldCharType="begin">
                <w:ffData>
                  <w:name w:val=""/>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w:t>
            </w:r>
            <w:r w:rsidRPr="00C134CF">
              <w:rPr>
                <w:rFonts w:cs="Times New Roman"/>
                <w:color w:val="000000"/>
                <w:spacing w:val="-2"/>
                <w:sz w:val="22"/>
                <w:szCs w:val="22"/>
              </w:rPr>
              <w:t xml:space="preserve">inne: </w:t>
            </w:r>
            <w:r w:rsidRPr="00C134CF">
              <w:rPr>
                <w:rFonts w:cs="Times New Roman"/>
                <w:color w:val="000000"/>
                <w:sz w:val="22"/>
                <w:szCs w:val="22"/>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C134CF">
              <w:rPr>
                <w:rFonts w:cs="Times New Roman"/>
                <w:color w:val="000000"/>
                <w:sz w:val="22"/>
                <w:szCs w:val="22"/>
              </w:rPr>
              <w:instrText xml:space="preserve"> FORMTEXT </w:instrText>
            </w:r>
            <w:r w:rsidRPr="00C134CF">
              <w:rPr>
                <w:rFonts w:cs="Times New Roman"/>
                <w:color w:val="000000"/>
                <w:sz w:val="22"/>
                <w:szCs w:val="22"/>
              </w:rPr>
            </w:r>
            <w:r w:rsidRPr="00C134CF">
              <w:rPr>
                <w:rFonts w:cs="Times New Roman"/>
                <w:color w:val="000000"/>
                <w:sz w:val="22"/>
                <w:szCs w:val="22"/>
              </w:rPr>
              <w:fldChar w:fldCharType="separate"/>
            </w:r>
            <w:r w:rsidRPr="00C134CF">
              <w:rPr>
                <w:rFonts w:cs="Times New Roman"/>
                <w:noProof/>
                <w:color w:val="000000"/>
                <w:sz w:val="22"/>
                <w:szCs w:val="22"/>
              </w:rPr>
              <w:t> </w:t>
            </w:r>
            <w:r w:rsidRPr="00C134CF">
              <w:rPr>
                <w:rFonts w:cs="Times New Roman"/>
                <w:noProof/>
                <w:color w:val="000000"/>
                <w:sz w:val="22"/>
                <w:szCs w:val="22"/>
              </w:rPr>
              <w:t> </w:t>
            </w:r>
            <w:r w:rsidRPr="00C134CF">
              <w:rPr>
                <w:rFonts w:cs="Times New Roman"/>
                <w:noProof/>
                <w:color w:val="000000"/>
                <w:sz w:val="22"/>
                <w:szCs w:val="22"/>
              </w:rPr>
              <w:t> </w:t>
            </w:r>
            <w:r w:rsidRPr="00C134CF">
              <w:rPr>
                <w:rFonts w:cs="Times New Roman"/>
                <w:noProof/>
                <w:color w:val="000000"/>
                <w:sz w:val="22"/>
                <w:szCs w:val="22"/>
              </w:rPr>
              <w:t> </w:t>
            </w:r>
            <w:r w:rsidRPr="00C134CF">
              <w:rPr>
                <w:rFonts w:cs="Times New Roman"/>
                <w:noProof/>
                <w:color w:val="000000"/>
                <w:sz w:val="22"/>
                <w:szCs w:val="22"/>
              </w:rPr>
              <w:t> </w:t>
            </w:r>
            <w:r w:rsidRPr="00C134CF">
              <w:rPr>
                <w:rFonts w:cs="Times New Roman"/>
                <w:color w:val="000000"/>
                <w:sz w:val="22"/>
                <w:szCs w:val="22"/>
              </w:rPr>
              <w:fldChar w:fldCharType="end"/>
            </w:r>
          </w:p>
        </w:tc>
        <w:tc>
          <w:tcPr>
            <w:tcW w:w="3687" w:type="dxa"/>
            <w:gridSpan w:val="15"/>
            <w:shd w:val="clear" w:color="auto" w:fill="FFFFFF"/>
          </w:tcPr>
          <w:p w14:paraId="516DB978" w14:textId="77777777" w:rsidR="001A7CE0" w:rsidRPr="00C134CF" w:rsidRDefault="001A7CE0" w:rsidP="00E07408">
            <w:pPr>
              <w:spacing w:line="240" w:lineRule="auto"/>
              <w:rPr>
                <w:rFonts w:cs="Times New Roman"/>
                <w:color w:val="000000"/>
                <w:sz w:val="22"/>
                <w:szCs w:val="22"/>
              </w:rPr>
            </w:pPr>
          </w:p>
          <w:p w14:paraId="79711D3D" w14:textId="77777777" w:rsidR="001A7CE0" w:rsidRPr="00C134CF" w:rsidRDefault="001A7CE0" w:rsidP="00E07408">
            <w:pPr>
              <w:spacing w:line="240" w:lineRule="auto"/>
              <w:rPr>
                <w:rFonts w:cs="Times New Roman"/>
                <w:color w:val="000000"/>
                <w:spacing w:val="-2"/>
                <w:sz w:val="22"/>
                <w:szCs w:val="22"/>
              </w:rPr>
            </w:pPr>
            <w:r w:rsidRPr="00C134CF">
              <w:rPr>
                <w:rFonts w:cs="Times New Roman"/>
                <w:color w:val="000000"/>
                <w:sz w:val="22"/>
                <w:szCs w:val="22"/>
              </w:rPr>
              <w:fldChar w:fldCharType="begin">
                <w:ffData>
                  <w:name w:val="Wybór1"/>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w:t>
            </w:r>
            <w:r w:rsidRPr="00C134CF">
              <w:rPr>
                <w:rFonts w:cs="Times New Roman"/>
                <w:color w:val="000000"/>
                <w:spacing w:val="-2"/>
                <w:sz w:val="22"/>
                <w:szCs w:val="22"/>
              </w:rPr>
              <w:t>demografia</w:t>
            </w:r>
          </w:p>
          <w:p w14:paraId="037B958A" w14:textId="77777777" w:rsidR="001A7CE0" w:rsidRPr="00C134CF" w:rsidRDefault="001A7CE0" w:rsidP="00E07408">
            <w:pPr>
              <w:spacing w:line="240" w:lineRule="auto"/>
              <w:rPr>
                <w:rFonts w:cs="Times New Roman"/>
                <w:color w:val="000000"/>
                <w:sz w:val="22"/>
                <w:szCs w:val="22"/>
              </w:rPr>
            </w:pPr>
            <w:r w:rsidRPr="00C134CF">
              <w:rPr>
                <w:rFonts w:cs="Times New Roman"/>
                <w:color w:val="000000"/>
                <w:sz w:val="22"/>
                <w:szCs w:val="22"/>
              </w:rPr>
              <w:fldChar w:fldCharType="begin">
                <w:ffData>
                  <w:name w:val=""/>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mienie państwowe</w:t>
            </w:r>
          </w:p>
        </w:tc>
        <w:tc>
          <w:tcPr>
            <w:tcW w:w="3703" w:type="dxa"/>
            <w:gridSpan w:val="9"/>
            <w:shd w:val="clear" w:color="auto" w:fill="FFFFFF"/>
          </w:tcPr>
          <w:p w14:paraId="372483A9" w14:textId="77777777" w:rsidR="001A7CE0" w:rsidRPr="00C134CF" w:rsidRDefault="001A7CE0" w:rsidP="00E07408">
            <w:pPr>
              <w:spacing w:line="240" w:lineRule="auto"/>
              <w:rPr>
                <w:rFonts w:cs="Times New Roman"/>
                <w:color w:val="000000"/>
                <w:sz w:val="22"/>
                <w:szCs w:val="22"/>
              </w:rPr>
            </w:pPr>
          </w:p>
          <w:p w14:paraId="0EDBAA89" w14:textId="77777777" w:rsidR="001A7CE0" w:rsidRPr="00C134CF" w:rsidRDefault="001A7CE0" w:rsidP="00E07408">
            <w:pPr>
              <w:spacing w:line="240" w:lineRule="auto"/>
              <w:rPr>
                <w:rFonts w:cs="Times New Roman"/>
                <w:color w:val="000000"/>
                <w:spacing w:val="-2"/>
                <w:sz w:val="22"/>
                <w:szCs w:val="22"/>
              </w:rPr>
            </w:pPr>
            <w:r w:rsidRPr="00C134CF">
              <w:rPr>
                <w:rFonts w:cs="Times New Roman"/>
                <w:color w:val="000000"/>
                <w:sz w:val="22"/>
                <w:szCs w:val="22"/>
              </w:rPr>
              <w:fldChar w:fldCharType="begin">
                <w:ffData>
                  <w:name w:val=""/>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w:t>
            </w:r>
            <w:r w:rsidRPr="00C134CF">
              <w:rPr>
                <w:rFonts w:cs="Times New Roman"/>
                <w:color w:val="000000"/>
                <w:spacing w:val="-2"/>
                <w:sz w:val="22"/>
                <w:szCs w:val="22"/>
              </w:rPr>
              <w:t>informatyzacja</w:t>
            </w:r>
          </w:p>
          <w:p w14:paraId="1C2A0FD4" w14:textId="77777777" w:rsidR="001A7CE0" w:rsidRPr="00C134CF" w:rsidRDefault="001A7CE0" w:rsidP="00E07408">
            <w:pPr>
              <w:spacing w:line="240" w:lineRule="auto"/>
              <w:rPr>
                <w:rFonts w:cs="Times New Roman"/>
                <w:color w:val="000000"/>
                <w:sz w:val="22"/>
                <w:szCs w:val="22"/>
              </w:rPr>
            </w:pPr>
            <w:r w:rsidRPr="00C134CF">
              <w:rPr>
                <w:rFonts w:cs="Times New Roman"/>
                <w:color w:val="000000"/>
                <w:sz w:val="22"/>
                <w:szCs w:val="22"/>
              </w:rPr>
              <w:fldChar w:fldCharType="begin">
                <w:ffData>
                  <w:name w:val=""/>
                  <w:enabled/>
                  <w:calcOnExit w:val="0"/>
                  <w:checkBox>
                    <w:sizeAuto/>
                    <w:default w:val="0"/>
                  </w:checkBox>
                </w:ffData>
              </w:fldChar>
            </w:r>
            <w:r w:rsidRPr="00C134CF">
              <w:rPr>
                <w:rFonts w:cs="Times New Roman"/>
                <w:color w:val="000000"/>
                <w:sz w:val="22"/>
                <w:szCs w:val="22"/>
              </w:rPr>
              <w:instrText xml:space="preserve"> FORMCHECKBOX </w:instrText>
            </w:r>
            <w:r w:rsidR="008B2490">
              <w:rPr>
                <w:rFonts w:cs="Times New Roman"/>
                <w:color w:val="000000"/>
                <w:sz w:val="22"/>
                <w:szCs w:val="22"/>
              </w:rPr>
            </w:r>
            <w:r w:rsidR="008B2490">
              <w:rPr>
                <w:rFonts w:cs="Times New Roman"/>
                <w:color w:val="000000"/>
                <w:sz w:val="22"/>
                <w:szCs w:val="22"/>
              </w:rPr>
              <w:fldChar w:fldCharType="separate"/>
            </w:r>
            <w:r w:rsidRPr="00C134CF">
              <w:rPr>
                <w:rFonts w:cs="Times New Roman"/>
                <w:color w:val="000000"/>
                <w:sz w:val="22"/>
                <w:szCs w:val="22"/>
              </w:rPr>
              <w:fldChar w:fldCharType="end"/>
            </w:r>
            <w:r w:rsidRPr="00C134CF">
              <w:rPr>
                <w:rFonts w:cs="Times New Roman"/>
                <w:color w:val="000000"/>
                <w:sz w:val="22"/>
                <w:szCs w:val="22"/>
              </w:rPr>
              <w:t xml:space="preserve"> </w:t>
            </w:r>
            <w:r w:rsidRPr="00C134CF">
              <w:rPr>
                <w:rFonts w:cs="Times New Roman"/>
                <w:color w:val="000000"/>
                <w:spacing w:val="-2"/>
                <w:sz w:val="22"/>
                <w:szCs w:val="22"/>
              </w:rPr>
              <w:t>zdrowie</w:t>
            </w:r>
          </w:p>
        </w:tc>
      </w:tr>
      <w:tr w:rsidR="001A7CE0" w:rsidRPr="00C134CF" w14:paraId="1EB10BA5" w14:textId="77777777" w:rsidTr="00E07408">
        <w:trPr>
          <w:gridAfter w:val="1"/>
          <w:wAfter w:w="10" w:type="dxa"/>
          <w:trHeight w:val="712"/>
          <w:jc w:val="center"/>
        </w:trPr>
        <w:tc>
          <w:tcPr>
            <w:tcW w:w="2243" w:type="dxa"/>
            <w:gridSpan w:val="2"/>
            <w:shd w:val="clear" w:color="auto" w:fill="FFFFFF"/>
            <w:vAlign w:val="center"/>
          </w:tcPr>
          <w:p w14:paraId="73FB7B38" w14:textId="77777777" w:rsidR="001A7CE0" w:rsidRPr="00C134CF" w:rsidRDefault="001A7CE0" w:rsidP="00E07408">
            <w:pPr>
              <w:spacing w:line="240" w:lineRule="auto"/>
              <w:rPr>
                <w:rFonts w:cs="Times New Roman"/>
                <w:color w:val="000000"/>
                <w:sz w:val="22"/>
                <w:szCs w:val="22"/>
              </w:rPr>
            </w:pPr>
            <w:r w:rsidRPr="00C134CF">
              <w:rPr>
                <w:rFonts w:cs="Times New Roman"/>
                <w:color w:val="000000"/>
                <w:sz w:val="22"/>
                <w:szCs w:val="22"/>
              </w:rPr>
              <w:t>Omówienie wpływu</w:t>
            </w:r>
          </w:p>
        </w:tc>
        <w:tc>
          <w:tcPr>
            <w:tcW w:w="8694" w:type="dxa"/>
            <w:gridSpan w:val="27"/>
            <w:shd w:val="clear" w:color="auto" w:fill="FFFFFF"/>
            <w:vAlign w:val="center"/>
          </w:tcPr>
          <w:p w14:paraId="11B3181F" w14:textId="77777777" w:rsidR="001A7CE0" w:rsidRPr="00C134CF" w:rsidRDefault="001A7CE0" w:rsidP="00E07408">
            <w:pPr>
              <w:spacing w:line="240" w:lineRule="auto"/>
              <w:jc w:val="both"/>
              <w:rPr>
                <w:rFonts w:cs="Times New Roman"/>
                <w:color w:val="000000"/>
                <w:spacing w:val="-2"/>
                <w:sz w:val="22"/>
                <w:szCs w:val="22"/>
              </w:rPr>
            </w:pPr>
            <w:r w:rsidRPr="00C134CF">
              <w:rPr>
                <w:rFonts w:cs="Times New Roman"/>
                <w:color w:val="000000"/>
                <w:spacing w:val="-2"/>
                <w:sz w:val="22"/>
                <w:szCs w:val="22"/>
              </w:rPr>
              <w:t>Nie dotyczy.</w:t>
            </w:r>
          </w:p>
        </w:tc>
      </w:tr>
      <w:tr w:rsidR="001A7CE0" w:rsidRPr="00C134CF" w14:paraId="0B8519B5" w14:textId="77777777" w:rsidTr="00E07408">
        <w:trPr>
          <w:gridAfter w:val="1"/>
          <w:wAfter w:w="10" w:type="dxa"/>
          <w:trHeight w:val="142"/>
          <w:jc w:val="center"/>
        </w:trPr>
        <w:tc>
          <w:tcPr>
            <w:tcW w:w="10937" w:type="dxa"/>
            <w:gridSpan w:val="29"/>
            <w:shd w:val="clear" w:color="auto" w:fill="99CCFF"/>
          </w:tcPr>
          <w:p w14:paraId="09187D21" w14:textId="77777777" w:rsidR="001A7CE0" w:rsidRPr="00C134CF" w:rsidRDefault="001A7CE0" w:rsidP="00147A2A">
            <w:pPr>
              <w:widowControl/>
              <w:numPr>
                <w:ilvl w:val="0"/>
                <w:numId w:val="1"/>
              </w:numPr>
              <w:autoSpaceDE/>
              <w:autoSpaceDN/>
              <w:adjustRightInd/>
              <w:spacing w:before="60" w:after="60" w:line="240" w:lineRule="auto"/>
              <w:ind w:left="318" w:hanging="284"/>
              <w:jc w:val="both"/>
              <w:rPr>
                <w:rFonts w:cs="Times New Roman"/>
                <w:b/>
                <w:sz w:val="22"/>
                <w:szCs w:val="22"/>
              </w:rPr>
            </w:pPr>
            <w:r w:rsidRPr="00C134CF">
              <w:rPr>
                <w:rFonts w:cs="Times New Roman"/>
                <w:b/>
                <w:spacing w:val="-2"/>
                <w:sz w:val="22"/>
                <w:szCs w:val="22"/>
              </w:rPr>
              <w:t>Planowane wykonanie przepisów aktu prawnego</w:t>
            </w:r>
          </w:p>
        </w:tc>
      </w:tr>
      <w:tr w:rsidR="001A7CE0" w:rsidRPr="00C134CF" w14:paraId="5805CEE8" w14:textId="77777777" w:rsidTr="00E07408">
        <w:trPr>
          <w:gridAfter w:val="1"/>
          <w:wAfter w:w="10" w:type="dxa"/>
          <w:trHeight w:val="142"/>
          <w:jc w:val="center"/>
        </w:trPr>
        <w:tc>
          <w:tcPr>
            <w:tcW w:w="10937" w:type="dxa"/>
            <w:gridSpan w:val="29"/>
            <w:shd w:val="clear" w:color="auto" w:fill="FFFFFF"/>
          </w:tcPr>
          <w:p w14:paraId="0C37E982" w14:textId="77777777" w:rsidR="001A7CE0" w:rsidRPr="00C134CF" w:rsidRDefault="001A7CE0" w:rsidP="00E07408">
            <w:pPr>
              <w:spacing w:line="240" w:lineRule="auto"/>
              <w:jc w:val="both"/>
              <w:rPr>
                <w:rFonts w:cs="Times New Roman"/>
                <w:spacing w:val="-2"/>
                <w:sz w:val="22"/>
                <w:szCs w:val="22"/>
              </w:rPr>
            </w:pPr>
            <w:r w:rsidRPr="00C134CF">
              <w:rPr>
                <w:rFonts w:cs="Times New Roman"/>
                <w:spacing w:val="-2"/>
                <w:sz w:val="22"/>
                <w:szCs w:val="22"/>
              </w:rPr>
              <w:t>Rozporządzenie wejdzie w życie po upływie 14 dni od dnia ogłoszenia</w:t>
            </w:r>
          </w:p>
        </w:tc>
      </w:tr>
      <w:tr w:rsidR="001A7CE0" w:rsidRPr="00C134CF" w14:paraId="25653034" w14:textId="77777777" w:rsidTr="00E07408">
        <w:trPr>
          <w:gridAfter w:val="1"/>
          <w:wAfter w:w="10" w:type="dxa"/>
          <w:trHeight w:val="142"/>
          <w:jc w:val="center"/>
        </w:trPr>
        <w:tc>
          <w:tcPr>
            <w:tcW w:w="10937" w:type="dxa"/>
            <w:gridSpan w:val="29"/>
            <w:shd w:val="clear" w:color="auto" w:fill="99CCFF"/>
          </w:tcPr>
          <w:p w14:paraId="71DF7A56" w14:textId="77777777" w:rsidR="001A7CE0" w:rsidRPr="00C134CF" w:rsidRDefault="001A7CE0" w:rsidP="00147A2A">
            <w:pPr>
              <w:widowControl/>
              <w:numPr>
                <w:ilvl w:val="0"/>
                <w:numId w:val="1"/>
              </w:numPr>
              <w:autoSpaceDE/>
              <w:autoSpaceDN/>
              <w:adjustRightInd/>
              <w:spacing w:before="60" w:after="60" w:line="240" w:lineRule="auto"/>
              <w:ind w:left="318" w:hanging="284"/>
              <w:jc w:val="both"/>
              <w:rPr>
                <w:rFonts w:cs="Times New Roman"/>
                <w:b/>
                <w:color w:val="000000"/>
                <w:sz w:val="22"/>
                <w:szCs w:val="22"/>
              </w:rPr>
            </w:pPr>
            <w:r w:rsidRPr="00C134CF">
              <w:rPr>
                <w:rFonts w:cs="Times New Roman"/>
                <w:b/>
                <w:color w:val="000000"/>
                <w:sz w:val="22"/>
                <w:szCs w:val="22"/>
              </w:rPr>
              <w:t xml:space="preserve"> </w:t>
            </w:r>
            <w:r w:rsidRPr="00C134CF">
              <w:rPr>
                <w:rFonts w:cs="Times New Roman"/>
                <w:b/>
                <w:spacing w:val="-2"/>
                <w:sz w:val="22"/>
                <w:szCs w:val="22"/>
              </w:rPr>
              <w:t>W jaki sposób i kiedy nastąpi ewaluacja efektów projektu oraz jakie mierniki zostaną zastosowane?</w:t>
            </w:r>
          </w:p>
        </w:tc>
      </w:tr>
      <w:tr w:rsidR="001A7CE0" w:rsidRPr="00C134CF" w14:paraId="5D9098E8" w14:textId="77777777" w:rsidTr="00E07408">
        <w:trPr>
          <w:gridAfter w:val="1"/>
          <w:wAfter w:w="10" w:type="dxa"/>
          <w:trHeight w:val="142"/>
          <w:jc w:val="center"/>
        </w:trPr>
        <w:tc>
          <w:tcPr>
            <w:tcW w:w="10937" w:type="dxa"/>
            <w:gridSpan w:val="29"/>
            <w:shd w:val="clear" w:color="auto" w:fill="FFFFFF"/>
          </w:tcPr>
          <w:p w14:paraId="35F6F137" w14:textId="77777777" w:rsidR="001A7CE0" w:rsidRPr="00C134CF" w:rsidRDefault="001A7CE0" w:rsidP="00E07408">
            <w:pPr>
              <w:spacing w:line="240" w:lineRule="auto"/>
              <w:jc w:val="both"/>
              <w:rPr>
                <w:rFonts w:cs="Times New Roman"/>
                <w:color w:val="000000"/>
                <w:spacing w:val="-2"/>
                <w:sz w:val="22"/>
                <w:szCs w:val="22"/>
              </w:rPr>
            </w:pPr>
            <w:r w:rsidRPr="00C134CF">
              <w:rPr>
                <w:rFonts w:cs="Times New Roman"/>
                <w:color w:val="000000"/>
                <w:spacing w:val="-2"/>
                <w:sz w:val="22"/>
                <w:szCs w:val="22"/>
              </w:rPr>
              <w:t>Nie dotyczy.</w:t>
            </w:r>
          </w:p>
        </w:tc>
      </w:tr>
      <w:tr w:rsidR="001A7CE0" w:rsidRPr="00C134CF" w14:paraId="2B073B25" w14:textId="77777777" w:rsidTr="00E07408">
        <w:trPr>
          <w:gridAfter w:val="1"/>
          <w:wAfter w:w="10" w:type="dxa"/>
          <w:trHeight w:val="142"/>
          <w:jc w:val="center"/>
        </w:trPr>
        <w:tc>
          <w:tcPr>
            <w:tcW w:w="10937" w:type="dxa"/>
            <w:gridSpan w:val="29"/>
            <w:shd w:val="clear" w:color="auto" w:fill="99CCFF"/>
          </w:tcPr>
          <w:p w14:paraId="0F46D287" w14:textId="77777777" w:rsidR="001A7CE0" w:rsidRPr="00C134CF" w:rsidRDefault="001A7CE0" w:rsidP="00147A2A">
            <w:pPr>
              <w:widowControl/>
              <w:numPr>
                <w:ilvl w:val="0"/>
                <w:numId w:val="1"/>
              </w:numPr>
              <w:autoSpaceDE/>
              <w:autoSpaceDN/>
              <w:adjustRightInd/>
              <w:spacing w:before="60" w:after="60" w:line="240" w:lineRule="auto"/>
              <w:ind w:left="318" w:hanging="284"/>
              <w:jc w:val="both"/>
              <w:rPr>
                <w:rFonts w:cs="Times New Roman"/>
                <w:b/>
                <w:color w:val="000000"/>
                <w:spacing w:val="-2"/>
                <w:sz w:val="22"/>
                <w:szCs w:val="22"/>
              </w:rPr>
            </w:pPr>
            <w:r w:rsidRPr="00C134CF">
              <w:rPr>
                <w:rFonts w:cs="Times New Roman"/>
                <w:b/>
                <w:color w:val="000000"/>
                <w:spacing w:val="-2"/>
                <w:sz w:val="22"/>
                <w:szCs w:val="22"/>
              </w:rPr>
              <w:t xml:space="preserve">Załączniki </w:t>
            </w:r>
            <w:r w:rsidRPr="00C134CF">
              <w:rPr>
                <w:rFonts w:cs="Times New Roman"/>
                <w:b/>
                <w:spacing w:val="-2"/>
                <w:sz w:val="22"/>
                <w:szCs w:val="22"/>
              </w:rPr>
              <w:t>(istotne dokumenty źródłowe, badania, analizy itp.</w:t>
            </w:r>
            <w:r w:rsidRPr="00C134CF">
              <w:rPr>
                <w:rFonts w:cs="Times New Roman"/>
                <w:b/>
                <w:color w:val="000000"/>
                <w:spacing w:val="-2"/>
                <w:sz w:val="22"/>
                <w:szCs w:val="22"/>
              </w:rPr>
              <w:t xml:space="preserve">) </w:t>
            </w:r>
          </w:p>
        </w:tc>
      </w:tr>
      <w:tr w:rsidR="001A7CE0" w:rsidRPr="00C134CF" w14:paraId="4B159879" w14:textId="77777777" w:rsidTr="00E07408">
        <w:trPr>
          <w:gridAfter w:val="1"/>
          <w:wAfter w:w="10" w:type="dxa"/>
          <w:trHeight w:val="142"/>
          <w:jc w:val="center"/>
        </w:trPr>
        <w:tc>
          <w:tcPr>
            <w:tcW w:w="10937" w:type="dxa"/>
            <w:gridSpan w:val="29"/>
            <w:shd w:val="clear" w:color="auto" w:fill="FFFFFF"/>
          </w:tcPr>
          <w:p w14:paraId="4F74B376" w14:textId="77777777" w:rsidR="001A7CE0" w:rsidRPr="00C134CF" w:rsidRDefault="001A7CE0" w:rsidP="00E07408">
            <w:pPr>
              <w:spacing w:line="240" w:lineRule="auto"/>
              <w:jc w:val="both"/>
              <w:rPr>
                <w:rFonts w:cs="Times New Roman"/>
                <w:color w:val="000000"/>
                <w:spacing w:val="-2"/>
                <w:sz w:val="22"/>
                <w:szCs w:val="22"/>
              </w:rPr>
            </w:pPr>
            <w:r w:rsidRPr="00C134CF">
              <w:rPr>
                <w:rFonts w:cs="Times New Roman"/>
                <w:color w:val="000000"/>
                <w:spacing w:val="-2"/>
                <w:sz w:val="22"/>
                <w:szCs w:val="22"/>
              </w:rPr>
              <w:t>Brak.</w:t>
            </w:r>
          </w:p>
        </w:tc>
      </w:tr>
    </w:tbl>
    <w:p w14:paraId="1687354C" w14:textId="77777777" w:rsidR="00261A16" w:rsidRPr="00C134CF" w:rsidRDefault="00261A16" w:rsidP="00737F6A">
      <w:pPr>
        <w:rPr>
          <w:rFonts w:cs="Times New Roman"/>
          <w:sz w:val="22"/>
          <w:szCs w:val="22"/>
        </w:rPr>
      </w:pPr>
    </w:p>
    <w:sectPr w:rsidR="00261A16" w:rsidRPr="00C134CF" w:rsidSect="001A7F15">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92BC2" w14:textId="77777777" w:rsidR="008B2490" w:rsidRDefault="008B2490">
      <w:r>
        <w:separator/>
      </w:r>
    </w:p>
  </w:endnote>
  <w:endnote w:type="continuationSeparator" w:id="0">
    <w:p w14:paraId="7CD92FA4" w14:textId="77777777" w:rsidR="008B2490" w:rsidRDefault="008B2490">
      <w:r>
        <w:continuationSeparator/>
      </w:r>
    </w:p>
  </w:endnote>
  <w:endnote w:type="continuationNotice" w:id="1">
    <w:p w14:paraId="7A1E60EF" w14:textId="77777777" w:rsidR="008B2490" w:rsidRDefault="008B24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E711B" w14:textId="77777777" w:rsidR="008B2490" w:rsidRDefault="008B2490">
      <w:r>
        <w:separator/>
      </w:r>
    </w:p>
  </w:footnote>
  <w:footnote w:type="continuationSeparator" w:id="0">
    <w:p w14:paraId="5D1EE06E" w14:textId="77777777" w:rsidR="008B2490" w:rsidRDefault="008B2490">
      <w:r>
        <w:continuationSeparator/>
      </w:r>
    </w:p>
  </w:footnote>
  <w:footnote w:type="continuationNotice" w:id="1">
    <w:p w14:paraId="58AD6408" w14:textId="77777777" w:rsidR="008B2490" w:rsidRDefault="008B2490">
      <w:pPr>
        <w:spacing w:line="240" w:lineRule="auto"/>
      </w:pPr>
    </w:p>
  </w:footnote>
  <w:footnote w:id="2">
    <w:p w14:paraId="6C35519E" w14:textId="77777777" w:rsidR="00C676D4" w:rsidRDefault="00C676D4" w:rsidP="00E41C07">
      <w:pPr>
        <w:pStyle w:val="ODNONIKtreodnonika"/>
      </w:pPr>
      <w:r w:rsidRPr="00C06BAE">
        <w:rPr>
          <w:rStyle w:val="IGindeksgrny"/>
        </w:rPr>
        <w:footnoteRef/>
      </w:r>
      <w:r w:rsidRPr="00C06BAE">
        <w:rPr>
          <w:rStyle w:val="IGindeksgrny"/>
        </w:rPr>
        <w:t>)</w:t>
      </w:r>
      <w:r>
        <w:t xml:space="preserve"> </w:t>
      </w:r>
      <w:r>
        <w:tab/>
      </w:r>
      <w:r w:rsidRPr="00D63C5A">
        <w:t>Minister Cyfryzacji kieruje działem administracji rządowej – informatyzacja, na podstawie § 1 ust. 2 rozporządzenia Prezesa R</w:t>
      </w:r>
      <w:r>
        <w:t>ady Ministrów z dnia 18 listopada 2019</w:t>
      </w:r>
      <w:r w:rsidRPr="00D63C5A">
        <w:t xml:space="preserve"> r. w sprawie szczegółowego zakresu działania Mini</w:t>
      </w:r>
      <w:r>
        <w:t>stra Cyfryzacji (Dz. U. poz. 2270</w:t>
      </w:r>
      <w:r w:rsidRPr="00D63C5A">
        <w:t>).</w:t>
      </w:r>
    </w:p>
  </w:footnote>
  <w:footnote w:id="3">
    <w:p w14:paraId="54891D86" w14:textId="77777777" w:rsidR="00C676D4" w:rsidRDefault="00C676D4" w:rsidP="00E41C07">
      <w:pPr>
        <w:pStyle w:val="ODNONIKtreodnonika"/>
      </w:pPr>
      <w:r w:rsidRPr="00C06BAE">
        <w:rPr>
          <w:rStyle w:val="IGindeksgrny"/>
        </w:rPr>
        <w:footnoteRef/>
      </w:r>
      <w:r w:rsidRPr="00C06BAE">
        <w:rPr>
          <w:rStyle w:val="IGindeksgrny"/>
        </w:rPr>
        <w:t xml:space="preserve">) </w:t>
      </w:r>
      <w:r>
        <w:tab/>
      </w:r>
      <w:r w:rsidRPr="00B54595">
        <w:t>Zmiany wymienionego rozporządzenia zostały ogłoszone w Dz. Urz. UE L 329 z 15.12.2015, str. 28, Dz. Urz. UE L 149 z 07.06.2016, str. 10, Dz. Urz. UE L 156 z 20.06.2017, str. 1 oraz Dz. Urz. UE L 236 z 14.09.2017, str. 28.</w:t>
      </w:r>
    </w:p>
  </w:footnote>
  <w:footnote w:id="4">
    <w:p w14:paraId="2B3E72BA" w14:textId="77777777" w:rsidR="00C676D4" w:rsidRPr="000E1E82" w:rsidRDefault="00C676D4" w:rsidP="001A7CE0">
      <w:pPr>
        <w:pStyle w:val="Tekstprzypisudolnego"/>
        <w:spacing w:line="240" w:lineRule="auto"/>
        <w:jc w:val="both"/>
        <w:rPr>
          <w:rFonts w:ascii="Times New Roman" w:hAnsi="Times New Roman"/>
          <w:sz w:val="16"/>
        </w:rPr>
      </w:pPr>
      <w:r w:rsidRPr="000E1E82">
        <w:rPr>
          <w:rStyle w:val="Odwoanieprzypisudolnego"/>
          <w:rFonts w:ascii="Times New Roman" w:hAnsi="Times New Roman"/>
          <w:sz w:val="16"/>
        </w:rPr>
        <w:footnoteRef/>
      </w:r>
      <w:r w:rsidRPr="000E1E82">
        <w:rPr>
          <w:rFonts w:ascii="Times New Roman" w:hAnsi="Times New Roman"/>
          <w:sz w:val="16"/>
          <w:szCs w:val="16"/>
          <w:vertAlign w:val="superscript"/>
        </w:rPr>
        <w:t>)</w:t>
      </w:r>
      <w:r w:rsidRPr="000E1E82">
        <w:rPr>
          <w:rFonts w:ascii="Times New Roman" w:hAnsi="Times New Roman"/>
          <w:sz w:val="16"/>
        </w:rPr>
        <w:t xml:space="preserve"> Komunikat Komisji do Parlamentu Europejskiego, Rady, Europejskiego Komitetu Ekonomiczno-Społecznego i Komitetu Regionów, COM(2016)587</w:t>
      </w:r>
    </w:p>
  </w:footnote>
  <w:footnote w:id="5">
    <w:p w14:paraId="15C40345" w14:textId="77777777" w:rsidR="00C676D4" w:rsidRPr="000E1E82" w:rsidRDefault="00C676D4" w:rsidP="001A7CE0">
      <w:pPr>
        <w:pStyle w:val="Tekstprzypisudolnego"/>
        <w:spacing w:line="240" w:lineRule="auto"/>
        <w:jc w:val="both"/>
        <w:rPr>
          <w:rFonts w:ascii="Times New Roman" w:hAnsi="Times New Roman"/>
          <w:sz w:val="16"/>
        </w:rPr>
      </w:pPr>
      <w:r w:rsidRPr="000E1E82">
        <w:rPr>
          <w:rStyle w:val="Odwoanieprzypisudolnego"/>
          <w:rFonts w:ascii="Times New Roman" w:hAnsi="Times New Roman"/>
          <w:sz w:val="16"/>
        </w:rPr>
        <w:footnoteRef/>
      </w:r>
      <w:r w:rsidRPr="000E1E82">
        <w:rPr>
          <w:rFonts w:ascii="Times New Roman" w:hAnsi="Times New Roman"/>
          <w:sz w:val="16"/>
          <w:szCs w:val="16"/>
          <w:vertAlign w:val="superscript"/>
        </w:rPr>
        <w:t>)</w:t>
      </w:r>
      <w:r w:rsidRPr="000E1E82">
        <w:rPr>
          <w:rFonts w:ascii="Times New Roman" w:hAnsi="Times New Roman"/>
          <w:sz w:val="16"/>
        </w:rPr>
        <w:t xml:space="preserve"> Różnice w szacunkach – w szczególności przedziały kosztów – wynikają z przyjęcia 3 różnych scenariuszy samodzielnego, komercyjnego potencjału inwestycyjnego operatorów do roku 2025 (scenariusz bazowy – zakładający utrzymanie istniejącego potencjału, scenariusz optymistyczny – zakładający wzrost możliwości inwestycyjnych oraz scenariusz pesymistyczny – zakładający spadek tych możliwości) oraz z odrębnego traktowania inwestycji w sieci przewodowe i sieci bezprzewodowe, które umożliwią świadczenie usług określonych w celach NPS.</w:t>
      </w:r>
    </w:p>
  </w:footnote>
  <w:footnote w:id="6">
    <w:p w14:paraId="1BBE1C4D" w14:textId="77777777" w:rsidR="00C676D4" w:rsidRDefault="00C676D4" w:rsidP="001A7CE0">
      <w:pPr>
        <w:pStyle w:val="Tekstprzypisudolnego"/>
        <w:spacing w:line="240" w:lineRule="auto"/>
        <w:jc w:val="both"/>
      </w:pPr>
      <w:r w:rsidRPr="004D02B6">
        <w:rPr>
          <w:rStyle w:val="Odwoanieprzypisudolnego"/>
          <w:rFonts w:cs="Calibri"/>
          <w:sz w:val="16"/>
          <w:szCs w:val="16"/>
        </w:rPr>
        <w:footnoteRef/>
      </w:r>
      <w:r w:rsidRPr="004D02B6">
        <w:rPr>
          <w:rFonts w:cs="Calibri"/>
          <w:sz w:val="16"/>
          <w:szCs w:val="16"/>
          <w:vertAlign w:val="superscript"/>
        </w:rPr>
        <w:t>)</w:t>
      </w:r>
      <w:r w:rsidRPr="008A6FE8">
        <w:rPr>
          <w:rFonts w:cs="Calibri"/>
          <w:sz w:val="16"/>
          <w:szCs w:val="16"/>
        </w:rPr>
        <w:t xml:space="preserve"> Założono 3 modele budowy sieci 5G – kontynuację rynkowego modelu rozwoju sieci mobilnych w oparciu o samodzielne inwestycje w odrębne sieci przez 4 największych operatorów sieci mobilnych, współpracę tych operatorów w celu budowy sieci współdzielonej oraz zaangażowanie podmiotu publicznego w przejęcie części zobowiązań inwestycyjnych niezbędnych do zapewnienia sieci 5G w zakresie realizującym cele NPS.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19EC1" w14:textId="77777777" w:rsidR="00C676D4" w:rsidRPr="00B371CC" w:rsidRDefault="00C676D4" w:rsidP="00B371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9DD"/>
    <w:multiLevelType w:val="hybridMultilevel"/>
    <w:tmpl w:val="6128CF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B3154E"/>
    <w:multiLevelType w:val="hybridMultilevel"/>
    <w:tmpl w:val="E2D238FC"/>
    <w:lvl w:ilvl="0" w:tplc="C9DCA914">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6B51C59"/>
    <w:multiLevelType w:val="hybridMultilevel"/>
    <w:tmpl w:val="31AA9E36"/>
    <w:lvl w:ilvl="0" w:tplc="09205B5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3412D7"/>
    <w:multiLevelType w:val="hybridMultilevel"/>
    <w:tmpl w:val="9D7E8D56"/>
    <w:lvl w:ilvl="0" w:tplc="8842BE10">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6EB6AA5"/>
    <w:multiLevelType w:val="hybridMultilevel"/>
    <w:tmpl w:val="8D2080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833405E"/>
    <w:multiLevelType w:val="hybridMultilevel"/>
    <w:tmpl w:val="2B3E61D6"/>
    <w:lvl w:ilvl="0" w:tplc="09205B5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07"/>
    <w:rsid w:val="000012DA"/>
    <w:rsid w:val="0000246E"/>
    <w:rsid w:val="00003862"/>
    <w:rsid w:val="00012A35"/>
    <w:rsid w:val="00016099"/>
    <w:rsid w:val="00017DC2"/>
    <w:rsid w:val="00020AEC"/>
    <w:rsid w:val="00021522"/>
    <w:rsid w:val="00023471"/>
    <w:rsid w:val="00023F13"/>
    <w:rsid w:val="00030634"/>
    <w:rsid w:val="000319C1"/>
    <w:rsid w:val="00031A8B"/>
    <w:rsid w:val="00031BCA"/>
    <w:rsid w:val="000330FA"/>
    <w:rsid w:val="0003362F"/>
    <w:rsid w:val="00036B63"/>
    <w:rsid w:val="00037CE8"/>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2092"/>
    <w:rsid w:val="000736CD"/>
    <w:rsid w:val="0007533B"/>
    <w:rsid w:val="0007545D"/>
    <w:rsid w:val="000760BF"/>
    <w:rsid w:val="0007613E"/>
    <w:rsid w:val="00076BFC"/>
    <w:rsid w:val="000814A7"/>
    <w:rsid w:val="0008557B"/>
    <w:rsid w:val="00085CE7"/>
    <w:rsid w:val="000906EE"/>
    <w:rsid w:val="00090CCB"/>
    <w:rsid w:val="00091BA2"/>
    <w:rsid w:val="000944EF"/>
    <w:rsid w:val="0009732D"/>
    <w:rsid w:val="000973F0"/>
    <w:rsid w:val="00097AD4"/>
    <w:rsid w:val="000A1296"/>
    <w:rsid w:val="000A1C27"/>
    <w:rsid w:val="000A1DAD"/>
    <w:rsid w:val="000A2649"/>
    <w:rsid w:val="000A323B"/>
    <w:rsid w:val="000B2562"/>
    <w:rsid w:val="000B298D"/>
    <w:rsid w:val="000B5B2D"/>
    <w:rsid w:val="000B5DCE"/>
    <w:rsid w:val="000C04CB"/>
    <w:rsid w:val="000C05BA"/>
    <w:rsid w:val="000C0E8F"/>
    <w:rsid w:val="000C1724"/>
    <w:rsid w:val="000C4BC4"/>
    <w:rsid w:val="000D0110"/>
    <w:rsid w:val="000D2468"/>
    <w:rsid w:val="000D318A"/>
    <w:rsid w:val="000D39AE"/>
    <w:rsid w:val="000D6173"/>
    <w:rsid w:val="000D6F83"/>
    <w:rsid w:val="000D7907"/>
    <w:rsid w:val="000E1237"/>
    <w:rsid w:val="000E25CC"/>
    <w:rsid w:val="000E2C9E"/>
    <w:rsid w:val="000E3694"/>
    <w:rsid w:val="000E490F"/>
    <w:rsid w:val="000E6241"/>
    <w:rsid w:val="000E6AF2"/>
    <w:rsid w:val="000F2BE3"/>
    <w:rsid w:val="000F3D0D"/>
    <w:rsid w:val="000F6ED4"/>
    <w:rsid w:val="000F7A6E"/>
    <w:rsid w:val="00100363"/>
    <w:rsid w:val="001042BA"/>
    <w:rsid w:val="00106D03"/>
    <w:rsid w:val="00106F74"/>
    <w:rsid w:val="00110465"/>
    <w:rsid w:val="00110628"/>
    <w:rsid w:val="00110F5A"/>
    <w:rsid w:val="0011245A"/>
    <w:rsid w:val="0011493E"/>
    <w:rsid w:val="00115B72"/>
    <w:rsid w:val="001209EC"/>
    <w:rsid w:val="00120A9E"/>
    <w:rsid w:val="00125A9C"/>
    <w:rsid w:val="001270A2"/>
    <w:rsid w:val="00131237"/>
    <w:rsid w:val="001329AC"/>
    <w:rsid w:val="00134CA0"/>
    <w:rsid w:val="00136738"/>
    <w:rsid w:val="001375EF"/>
    <w:rsid w:val="0014026F"/>
    <w:rsid w:val="00142755"/>
    <w:rsid w:val="00147A2A"/>
    <w:rsid w:val="00147A47"/>
    <w:rsid w:val="00147AA1"/>
    <w:rsid w:val="001520CF"/>
    <w:rsid w:val="0015667C"/>
    <w:rsid w:val="00157110"/>
    <w:rsid w:val="0015742A"/>
    <w:rsid w:val="00157DA1"/>
    <w:rsid w:val="00161212"/>
    <w:rsid w:val="00163147"/>
    <w:rsid w:val="00163A71"/>
    <w:rsid w:val="00164C57"/>
    <w:rsid w:val="00164C9D"/>
    <w:rsid w:val="00172F7A"/>
    <w:rsid w:val="00173150"/>
    <w:rsid w:val="001732C5"/>
    <w:rsid w:val="00173390"/>
    <w:rsid w:val="001736F0"/>
    <w:rsid w:val="00173BB3"/>
    <w:rsid w:val="001740D0"/>
    <w:rsid w:val="00174F2C"/>
    <w:rsid w:val="001769DB"/>
    <w:rsid w:val="001801AA"/>
    <w:rsid w:val="00180F2A"/>
    <w:rsid w:val="00181F01"/>
    <w:rsid w:val="00184B91"/>
    <w:rsid w:val="00184D4A"/>
    <w:rsid w:val="00186EC1"/>
    <w:rsid w:val="00191E1F"/>
    <w:rsid w:val="001922EF"/>
    <w:rsid w:val="0019473B"/>
    <w:rsid w:val="001952B1"/>
    <w:rsid w:val="00196E39"/>
    <w:rsid w:val="00197649"/>
    <w:rsid w:val="001A01FB"/>
    <w:rsid w:val="001A10E9"/>
    <w:rsid w:val="001A183D"/>
    <w:rsid w:val="001A2B65"/>
    <w:rsid w:val="001A3CD3"/>
    <w:rsid w:val="001A5BEF"/>
    <w:rsid w:val="001A7CE0"/>
    <w:rsid w:val="001A7F15"/>
    <w:rsid w:val="001B342E"/>
    <w:rsid w:val="001C1832"/>
    <w:rsid w:val="001C188C"/>
    <w:rsid w:val="001D1783"/>
    <w:rsid w:val="001D4600"/>
    <w:rsid w:val="001D53CD"/>
    <w:rsid w:val="001D55A3"/>
    <w:rsid w:val="001D5AF5"/>
    <w:rsid w:val="001E1E73"/>
    <w:rsid w:val="001E4E0C"/>
    <w:rsid w:val="001E526D"/>
    <w:rsid w:val="001E5655"/>
    <w:rsid w:val="001F1832"/>
    <w:rsid w:val="001F220F"/>
    <w:rsid w:val="001F25B3"/>
    <w:rsid w:val="001F3A65"/>
    <w:rsid w:val="001F6616"/>
    <w:rsid w:val="00202BD4"/>
    <w:rsid w:val="00204A97"/>
    <w:rsid w:val="00206542"/>
    <w:rsid w:val="002114EF"/>
    <w:rsid w:val="00211720"/>
    <w:rsid w:val="00214A16"/>
    <w:rsid w:val="002166AD"/>
    <w:rsid w:val="00217871"/>
    <w:rsid w:val="00221ED8"/>
    <w:rsid w:val="002231EA"/>
    <w:rsid w:val="00223FDF"/>
    <w:rsid w:val="002279C0"/>
    <w:rsid w:val="00227CA2"/>
    <w:rsid w:val="002329E3"/>
    <w:rsid w:val="00232D04"/>
    <w:rsid w:val="0023727E"/>
    <w:rsid w:val="00242081"/>
    <w:rsid w:val="00243777"/>
    <w:rsid w:val="0024382C"/>
    <w:rsid w:val="002441CD"/>
    <w:rsid w:val="00246CC0"/>
    <w:rsid w:val="002501A3"/>
    <w:rsid w:val="0025166C"/>
    <w:rsid w:val="002555D4"/>
    <w:rsid w:val="00261A16"/>
    <w:rsid w:val="00262E49"/>
    <w:rsid w:val="00263522"/>
    <w:rsid w:val="00264EC6"/>
    <w:rsid w:val="0026571C"/>
    <w:rsid w:val="00265CEE"/>
    <w:rsid w:val="00270A6F"/>
    <w:rsid w:val="00271013"/>
    <w:rsid w:val="00273FE4"/>
    <w:rsid w:val="002765B4"/>
    <w:rsid w:val="00276A94"/>
    <w:rsid w:val="00276F2E"/>
    <w:rsid w:val="0029405D"/>
    <w:rsid w:val="00294FA6"/>
    <w:rsid w:val="00295A6F"/>
    <w:rsid w:val="002A20C4"/>
    <w:rsid w:val="002A570F"/>
    <w:rsid w:val="002A7292"/>
    <w:rsid w:val="002A7358"/>
    <w:rsid w:val="002A7902"/>
    <w:rsid w:val="002B0F6B"/>
    <w:rsid w:val="002B23B8"/>
    <w:rsid w:val="002B4429"/>
    <w:rsid w:val="002B55B5"/>
    <w:rsid w:val="002B597A"/>
    <w:rsid w:val="002B68A6"/>
    <w:rsid w:val="002B7FAF"/>
    <w:rsid w:val="002C7D20"/>
    <w:rsid w:val="002D0C4F"/>
    <w:rsid w:val="002D0CCB"/>
    <w:rsid w:val="002D1364"/>
    <w:rsid w:val="002D4D30"/>
    <w:rsid w:val="002D5000"/>
    <w:rsid w:val="002D598D"/>
    <w:rsid w:val="002D7188"/>
    <w:rsid w:val="002E1DE3"/>
    <w:rsid w:val="002E2AB6"/>
    <w:rsid w:val="002E3F34"/>
    <w:rsid w:val="002E5F79"/>
    <w:rsid w:val="002E64FA"/>
    <w:rsid w:val="002F0A00"/>
    <w:rsid w:val="002F0CFA"/>
    <w:rsid w:val="002F0EE4"/>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89F"/>
    <w:rsid w:val="003458F3"/>
    <w:rsid w:val="00345B9C"/>
    <w:rsid w:val="00352DAE"/>
    <w:rsid w:val="00354EB9"/>
    <w:rsid w:val="003602AE"/>
    <w:rsid w:val="00360929"/>
    <w:rsid w:val="00362E73"/>
    <w:rsid w:val="003647D5"/>
    <w:rsid w:val="00365B43"/>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D67B8"/>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26547"/>
    <w:rsid w:val="00432819"/>
    <w:rsid w:val="00432B76"/>
    <w:rsid w:val="00434D01"/>
    <w:rsid w:val="00435D26"/>
    <w:rsid w:val="00440C99"/>
    <w:rsid w:val="0044175C"/>
    <w:rsid w:val="00445F4D"/>
    <w:rsid w:val="004504C0"/>
    <w:rsid w:val="004520C5"/>
    <w:rsid w:val="004550FB"/>
    <w:rsid w:val="004564B6"/>
    <w:rsid w:val="0046111A"/>
    <w:rsid w:val="00462946"/>
    <w:rsid w:val="00463A6A"/>
    <w:rsid w:val="00463F43"/>
    <w:rsid w:val="00464B94"/>
    <w:rsid w:val="004653A8"/>
    <w:rsid w:val="00465A0B"/>
    <w:rsid w:val="0047077C"/>
    <w:rsid w:val="00470B05"/>
    <w:rsid w:val="0047207C"/>
    <w:rsid w:val="00472CD6"/>
    <w:rsid w:val="00474E3C"/>
    <w:rsid w:val="00477124"/>
    <w:rsid w:val="00480A58"/>
    <w:rsid w:val="00482151"/>
    <w:rsid w:val="00485FAD"/>
    <w:rsid w:val="00487AED"/>
    <w:rsid w:val="00490486"/>
    <w:rsid w:val="00491EDF"/>
    <w:rsid w:val="00492A3F"/>
    <w:rsid w:val="00494F62"/>
    <w:rsid w:val="004A2001"/>
    <w:rsid w:val="004A3590"/>
    <w:rsid w:val="004B00A7"/>
    <w:rsid w:val="004B25E2"/>
    <w:rsid w:val="004B34D7"/>
    <w:rsid w:val="004B5037"/>
    <w:rsid w:val="004B5B2F"/>
    <w:rsid w:val="004B626A"/>
    <w:rsid w:val="004B660E"/>
    <w:rsid w:val="004C05BD"/>
    <w:rsid w:val="004C05CB"/>
    <w:rsid w:val="004C2698"/>
    <w:rsid w:val="004C3B06"/>
    <w:rsid w:val="004C3F97"/>
    <w:rsid w:val="004C7EE7"/>
    <w:rsid w:val="004D02B6"/>
    <w:rsid w:val="004D2DEE"/>
    <w:rsid w:val="004D2E1F"/>
    <w:rsid w:val="004D7FD9"/>
    <w:rsid w:val="004E1324"/>
    <w:rsid w:val="004E136D"/>
    <w:rsid w:val="004E19A5"/>
    <w:rsid w:val="004E34AA"/>
    <w:rsid w:val="004E37E5"/>
    <w:rsid w:val="004E3FDB"/>
    <w:rsid w:val="004F1F4A"/>
    <w:rsid w:val="004F207A"/>
    <w:rsid w:val="004F296D"/>
    <w:rsid w:val="004F508B"/>
    <w:rsid w:val="004F695F"/>
    <w:rsid w:val="004F6CA4"/>
    <w:rsid w:val="004F7AA0"/>
    <w:rsid w:val="00500752"/>
    <w:rsid w:val="00501A50"/>
    <w:rsid w:val="0050222D"/>
    <w:rsid w:val="00503AF3"/>
    <w:rsid w:val="00505768"/>
    <w:rsid w:val="0050696D"/>
    <w:rsid w:val="0051094B"/>
    <w:rsid w:val="005110D7"/>
    <w:rsid w:val="00511D99"/>
    <w:rsid w:val="005128D3"/>
    <w:rsid w:val="00514213"/>
    <w:rsid w:val="005147E8"/>
    <w:rsid w:val="005158F2"/>
    <w:rsid w:val="00526DFC"/>
    <w:rsid w:val="00526F43"/>
    <w:rsid w:val="00527651"/>
    <w:rsid w:val="005363AB"/>
    <w:rsid w:val="005416F7"/>
    <w:rsid w:val="00542108"/>
    <w:rsid w:val="00544EF4"/>
    <w:rsid w:val="00545E53"/>
    <w:rsid w:val="0054697A"/>
    <w:rsid w:val="005479D9"/>
    <w:rsid w:val="0055286C"/>
    <w:rsid w:val="0055556A"/>
    <w:rsid w:val="005572BD"/>
    <w:rsid w:val="00557A12"/>
    <w:rsid w:val="00560AC7"/>
    <w:rsid w:val="00560F80"/>
    <w:rsid w:val="00561AFB"/>
    <w:rsid w:val="00561FA8"/>
    <w:rsid w:val="00562C28"/>
    <w:rsid w:val="005635ED"/>
    <w:rsid w:val="00565253"/>
    <w:rsid w:val="00570191"/>
    <w:rsid w:val="00570570"/>
    <w:rsid w:val="00571AAD"/>
    <w:rsid w:val="00572512"/>
    <w:rsid w:val="00573A38"/>
    <w:rsid w:val="00573EE6"/>
    <w:rsid w:val="00574316"/>
    <w:rsid w:val="0057547F"/>
    <w:rsid w:val="005754EE"/>
    <w:rsid w:val="0057617E"/>
    <w:rsid w:val="00576497"/>
    <w:rsid w:val="005835E7"/>
    <w:rsid w:val="0058397F"/>
    <w:rsid w:val="00583BF8"/>
    <w:rsid w:val="00585F33"/>
    <w:rsid w:val="00591124"/>
    <w:rsid w:val="0059133A"/>
    <w:rsid w:val="00597024"/>
    <w:rsid w:val="005A0274"/>
    <w:rsid w:val="005A04B8"/>
    <w:rsid w:val="005A095C"/>
    <w:rsid w:val="005A27B2"/>
    <w:rsid w:val="005A6054"/>
    <w:rsid w:val="005A669D"/>
    <w:rsid w:val="005A75D8"/>
    <w:rsid w:val="005B713E"/>
    <w:rsid w:val="005C03B6"/>
    <w:rsid w:val="005C348E"/>
    <w:rsid w:val="005C68E1"/>
    <w:rsid w:val="005D3763"/>
    <w:rsid w:val="005D55E1"/>
    <w:rsid w:val="005E19F7"/>
    <w:rsid w:val="005E4035"/>
    <w:rsid w:val="005E4F04"/>
    <w:rsid w:val="005E62C2"/>
    <w:rsid w:val="005E6C71"/>
    <w:rsid w:val="005F0963"/>
    <w:rsid w:val="005F2824"/>
    <w:rsid w:val="005F2EBA"/>
    <w:rsid w:val="005F35ED"/>
    <w:rsid w:val="005F52C5"/>
    <w:rsid w:val="005F7812"/>
    <w:rsid w:val="005F7A88"/>
    <w:rsid w:val="00602C10"/>
    <w:rsid w:val="00603A1A"/>
    <w:rsid w:val="006046D5"/>
    <w:rsid w:val="00607A93"/>
    <w:rsid w:val="00610C08"/>
    <w:rsid w:val="00611F74"/>
    <w:rsid w:val="006120FA"/>
    <w:rsid w:val="00615772"/>
    <w:rsid w:val="00615848"/>
    <w:rsid w:val="00621256"/>
    <w:rsid w:val="00621FCC"/>
    <w:rsid w:val="00622E4B"/>
    <w:rsid w:val="006333DA"/>
    <w:rsid w:val="006345CA"/>
    <w:rsid w:val="00635134"/>
    <w:rsid w:val="006356E2"/>
    <w:rsid w:val="00642A65"/>
    <w:rsid w:val="00645DCE"/>
    <w:rsid w:val="006465AC"/>
    <w:rsid w:val="006465BF"/>
    <w:rsid w:val="00653B22"/>
    <w:rsid w:val="00655C70"/>
    <w:rsid w:val="00657BF4"/>
    <w:rsid w:val="006603FB"/>
    <w:rsid w:val="006608DF"/>
    <w:rsid w:val="006615D6"/>
    <w:rsid w:val="00661795"/>
    <w:rsid w:val="006623AC"/>
    <w:rsid w:val="006678AF"/>
    <w:rsid w:val="006701EF"/>
    <w:rsid w:val="006705CB"/>
    <w:rsid w:val="00673BA5"/>
    <w:rsid w:val="00674004"/>
    <w:rsid w:val="00680058"/>
    <w:rsid w:val="00681D2E"/>
    <w:rsid w:val="00681F9F"/>
    <w:rsid w:val="006840EA"/>
    <w:rsid w:val="006844E2"/>
    <w:rsid w:val="00685267"/>
    <w:rsid w:val="006872AE"/>
    <w:rsid w:val="00690082"/>
    <w:rsid w:val="00690252"/>
    <w:rsid w:val="006946BB"/>
    <w:rsid w:val="006969FA"/>
    <w:rsid w:val="00697758"/>
    <w:rsid w:val="006A09D4"/>
    <w:rsid w:val="006A27DD"/>
    <w:rsid w:val="006A35D5"/>
    <w:rsid w:val="006A748A"/>
    <w:rsid w:val="006B77EC"/>
    <w:rsid w:val="006C419E"/>
    <w:rsid w:val="006C4A31"/>
    <w:rsid w:val="006C5AC2"/>
    <w:rsid w:val="006C6AFB"/>
    <w:rsid w:val="006D2735"/>
    <w:rsid w:val="006D45B2"/>
    <w:rsid w:val="006D7A87"/>
    <w:rsid w:val="006E0FCC"/>
    <w:rsid w:val="006E1E96"/>
    <w:rsid w:val="006E5E21"/>
    <w:rsid w:val="006F2648"/>
    <w:rsid w:val="006F2F10"/>
    <w:rsid w:val="006F482B"/>
    <w:rsid w:val="006F6311"/>
    <w:rsid w:val="00701952"/>
    <w:rsid w:val="00702556"/>
    <w:rsid w:val="0070277E"/>
    <w:rsid w:val="00704156"/>
    <w:rsid w:val="007069FC"/>
    <w:rsid w:val="00706A76"/>
    <w:rsid w:val="00711221"/>
    <w:rsid w:val="00712675"/>
    <w:rsid w:val="00713808"/>
    <w:rsid w:val="007151B6"/>
    <w:rsid w:val="0071520D"/>
    <w:rsid w:val="00715EDB"/>
    <w:rsid w:val="007160D5"/>
    <w:rsid w:val="007163FB"/>
    <w:rsid w:val="007177AC"/>
    <w:rsid w:val="00717C2E"/>
    <w:rsid w:val="007204FA"/>
    <w:rsid w:val="007213B3"/>
    <w:rsid w:val="0072457F"/>
    <w:rsid w:val="00725406"/>
    <w:rsid w:val="0072621B"/>
    <w:rsid w:val="00730555"/>
    <w:rsid w:val="007312CC"/>
    <w:rsid w:val="007315B6"/>
    <w:rsid w:val="007354F9"/>
    <w:rsid w:val="00736A64"/>
    <w:rsid w:val="00737F6A"/>
    <w:rsid w:val="00740C54"/>
    <w:rsid w:val="007410B6"/>
    <w:rsid w:val="00744C6F"/>
    <w:rsid w:val="007457F6"/>
    <w:rsid w:val="00745ABB"/>
    <w:rsid w:val="00746E38"/>
    <w:rsid w:val="00747CD5"/>
    <w:rsid w:val="00753B51"/>
    <w:rsid w:val="007559FE"/>
    <w:rsid w:val="00756629"/>
    <w:rsid w:val="007575D2"/>
    <w:rsid w:val="00757B4F"/>
    <w:rsid w:val="00757B6A"/>
    <w:rsid w:val="007610E0"/>
    <w:rsid w:val="007621AA"/>
    <w:rsid w:val="0076260A"/>
    <w:rsid w:val="00764A67"/>
    <w:rsid w:val="00770F6B"/>
    <w:rsid w:val="00771883"/>
    <w:rsid w:val="00776DC2"/>
    <w:rsid w:val="00777E81"/>
    <w:rsid w:val="00780122"/>
    <w:rsid w:val="0078214B"/>
    <w:rsid w:val="0078498A"/>
    <w:rsid w:val="007878FE"/>
    <w:rsid w:val="00787CC1"/>
    <w:rsid w:val="00792207"/>
    <w:rsid w:val="00792B64"/>
    <w:rsid w:val="00792E29"/>
    <w:rsid w:val="0079379A"/>
    <w:rsid w:val="00794953"/>
    <w:rsid w:val="007A1F2F"/>
    <w:rsid w:val="007A2A5C"/>
    <w:rsid w:val="007A5150"/>
    <w:rsid w:val="007A5373"/>
    <w:rsid w:val="007A789F"/>
    <w:rsid w:val="007B4D76"/>
    <w:rsid w:val="007B75BC"/>
    <w:rsid w:val="007C0BD6"/>
    <w:rsid w:val="007C2DAE"/>
    <w:rsid w:val="007C3806"/>
    <w:rsid w:val="007C5BB7"/>
    <w:rsid w:val="007C6FA1"/>
    <w:rsid w:val="007D07D5"/>
    <w:rsid w:val="007D1C64"/>
    <w:rsid w:val="007D32DD"/>
    <w:rsid w:val="007D6DCE"/>
    <w:rsid w:val="007D72C4"/>
    <w:rsid w:val="007E2CFE"/>
    <w:rsid w:val="007E4A29"/>
    <w:rsid w:val="007E511D"/>
    <w:rsid w:val="007E59C9"/>
    <w:rsid w:val="007F0072"/>
    <w:rsid w:val="007F2EB6"/>
    <w:rsid w:val="007F4CA1"/>
    <w:rsid w:val="007F54C3"/>
    <w:rsid w:val="00802949"/>
    <w:rsid w:val="0080301E"/>
    <w:rsid w:val="0080365F"/>
    <w:rsid w:val="00803826"/>
    <w:rsid w:val="008122A5"/>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5128"/>
    <w:rsid w:val="008460B6"/>
    <w:rsid w:val="008506D7"/>
    <w:rsid w:val="00850C9D"/>
    <w:rsid w:val="00852B59"/>
    <w:rsid w:val="0085349E"/>
    <w:rsid w:val="00855709"/>
    <w:rsid w:val="00855919"/>
    <w:rsid w:val="00856272"/>
    <w:rsid w:val="008563FF"/>
    <w:rsid w:val="0086018B"/>
    <w:rsid w:val="00860625"/>
    <w:rsid w:val="008611DD"/>
    <w:rsid w:val="008620DE"/>
    <w:rsid w:val="00866867"/>
    <w:rsid w:val="00872257"/>
    <w:rsid w:val="008753E6"/>
    <w:rsid w:val="0087661B"/>
    <w:rsid w:val="0087738C"/>
    <w:rsid w:val="00877920"/>
    <w:rsid w:val="008802AF"/>
    <w:rsid w:val="00881926"/>
    <w:rsid w:val="0088318F"/>
    <w:rsid w:val="0088331D"/>
    <w:rsid w:val="008852B0"/>
    <w:rsid w:val="00885AE7"/>
    <w:rsid w:val="00886B60"/>
    <w:rsid w:val="00887889"/>
    <w:rsid w:val="008920FF"/>
    <w:rsid w:val="008926E8"/>
    <w:rsid w:val="00894F19"/>
    <w:rsid w:val="00895445"/>
    <w:rsid w:val="00896A10"/>
    <w:rsid w:val="008971B5"/>
    <w:rsid w:val="008A36B2"/>
    <w:rsid w:val="008A5D26"/>
    <w:rsid w:val="008A6B13"/>
    <w:rsid w:val="008A6ECB"/>
    <w:rsid w:val="008B0BF9"/>
    <w:rsid w:val="008B2490"/>
    <w:rsid w:val="008B2866"/>
    <w:rsid w:val="008B3859"/>
    <w:rsid w:val="008B436D"/>
    <w:rsid w:val="008B4E49"/>
    <w:rsid w:val="008B7712"/>
    <w:rsid w:val="008B7B26"/>
    <w:rsid w:val="008C3524"/>
    <w:rsid w:val="008C4061"/>
    <w:rsid w:val="008C4229"/>
    <w:rsid w:val="008C5BE0"/>
    <w:rsid w:val="008C7233"/>
    <w:rsid w:val="008D2434"/>
    <w:rsid w:val="008D444D"/>
    <w:rsid w:val="008D4D9E"/>
    <w:rsid w:val="008E171D"/>
    <w:rsid w:val="008E2785"/>
    <w:rsid w:val="008E78A3"/>
    <w:rsid w:val="008F0654"/>
    <w:rsid w:val="008F06CB"/>
    <w:rsid w:val="008F0AC0"/>
    <w:rsid w:val="008F2E83"/>
    <w:rsid w:val="008F612A"/>
    <w:rsid w:val="0090293D"/>
    <w:rsid w:val="009034DE"/>
    <w:rsid w:val="00904823"/>
    <w:rsid w:val="00905396"/>
    <w:rsid w:val="0090605D"/>
    <w:rsid w:val="00906419"/>
    <w:rsid w:val="009102F4"/>
    <w:rsid w:val="00912889"/>
    <w:rsid w:val="00913A42"/>
    <w:rsid w:val="00914167"/>
    <w:rsid w:val="009143DB"/>
    <w:rsid w:val="009145A4"/>
    <w:rsid w:val="00915065"/>
    <w:rsid w:val="00916B8C"/>
    <w:rsid w:val="00917CE5"/>
    <w:rsid w:val="009217C0"/>
    <w:rsid w:val="00925241"/>
    <w:rsid w:val="00925CEC"/>
    <w:rsid w:val="00926A3F"/>
    <w:rsid w:val="0092794E"/>
    <w:rsid w:val="00927D4B"/>
    <w:rsid w:val="00930D30"/>
    <w:rsid w:val="009332A2"/>
    <w:rsid w:val="00937598"/>
    <w:rsid w:val="0093790B"/>
    <w:rsid w:val="00942BA5"/>
    <w:rsid w:val="00943751"/>
    <w:rsid w:val="00946DD0"/>
    <w:rsid w:val="009509E6"/>
    <w:rsid w:val="00952018"/>
    <w:rsid w:val="00952800"/>
    <w:rsid w:val="0095300D"/>
    <w:rsid w:val="00956812"/>
    <w:rsid w:val="0095719A"/>
    <w:rsid w:val="0096041D"/>
    <w:rsid w:val="009623E9"/>
    <w:rsid w:val="009630DC"/>
    <w:rsid w:val="00963EEB"/>
    <w:rsid w:val="009648BC"/>
    <w:rsid w:val="00964C2F"/>
    <w:rsid w:val="00965EDB"/>
    <w:rsid w:val="00965F88"/>
    <w:rsid w:val="0096681C"/>
    <w:rsid w:val="00966F46"/>
    <w:rsid w:val="00982815"/>
    <w:rsid w:val="00984E03"/>
    <w:rsid w:val="00987E85"/>
    <w:rsid w:val="00991E72"/>
    <w:rsid w:val="009920C8"/>
    <w:rsid w:val="00997431"/>
    <w:rsid w:val="009A0D12"/>
    <w:rsid w:val="009A1987"/>
    <w:rsid w:val="009A2BEE"/>
    <w:rsid w:val="009A4EC0"/>
    <w:rsid w:val="009A5289"/>
    <w:rsid w:val="009A7A53"/>
    <w:rsid w:val="009B0402"/>
    <w:rsid w:val="009B0B75"/>
    <w:rsid w:val="009B16DF"/>
    <w:rsid w:val="009B4CB2"/>
    <w:rsid w:val="009B6701"/>
    <w:rsid w:val="009B6EF7"/>
    <w:rsid w:val="009B7000"/>
    <w:rsid w:val="009B739C"/>
    <w:rsid w:val="009C04EC"/>
    <w:rsid w:val="009C328C"/>
    <w:rsid w:val="009C4444"/>
    <w:rsid w:val="009C47D5"/>
    <w:rsid w:val="009C4E9C"/>
    <w:rsid w:val="009C5DCE"/>
    <w:rsid w:val="009C79AD"/>
    <w:rsid w:val="009C7CA6"/>
    <w:rsid w:val="009D3316"/>
    <w:rsid w:val="009D3324"/>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5ED6"/>
    <w:rsid w:val="00A26A90"/>
    <w:rsid w:val="00A26B27"/>
    <w:rsid w:val="00A30E4F"/>
    <w:rsid w:val="00A32253"/>
    <w:rsid w:val="00A3310E"/>
    <w:rsid w:val="00A333A0"/>
    <w:rsid w:val="00A37E70"/>
    <w:rsid w:val="00A43695"/>
    <w:rsid w:val="00A437E1"/>
    <w:rsid w:val="00A4685E"/>
    <w:rsid w:val="00A4743D"/>
    <w:rsid w:val="00A50CD4"/>
    <w:rsid w:val="00A51191"/>
    <w:rsid w:val="00A56D62"/>
    <w:rsid w:val="00A56F07"/>
    <w:rsid w:val="00A5762C"/>
    <w:rsid w:val="00A600FC"/>
    <w:rsid w:val="00A60BCA"/>
    <w:rsid w:val="00A638DA"/>
    <w:rsid w:val="00A65B41"/>
    <w:rsid w:val="00A65E00"/>
    <w:rsid w:val="00A66A78"/>
    <w:rsid w:val="00A718C5"/>
    <w:rsid w:val="00A7436E"/>
    <w:rsid w:val="00A74E96"/>
    <w:rsid w:val="00A75A8E"/>
    <w:rsid w:val="00A824DD"/>
    <w:rsid w:val="00A82F26"/>
    <w:rsid w:val="00A83132"/>
    <w:rsid w:val="00A83676"/>
    <w:rsid w:val="00A83B7B"/>
    <w:rsid w:val="00A84274"/>
    <w:rsid w:val="00A850F3"/>
    <w:rsid w:val="00A864E3"/>
    <w:rsid w:val="00A94574"/>
    <w:rsid w:val="00A95936"/>
    <w:rsid w:val="00A96265"/>
    <w:rsid w:val="00A96CA4"/>
    <w:rsid w:val="00A97084"/>
    <w:rsid w:val="00AA1C2C"/>
    <w:rsid w:val="00AA3253"/>
    <w:rsid w:val="00AA35F6"/>
    <w:rsid w:val="00AA667C"/>
    <w:rsid w:val="00AA6E91"/>
    <w:rsid w:val="00AA7439"/>
    <w:rsid w:val="00AB047E"/>
    <w:rsid w:val="00AB0B0A"/>
    <w:rsid w:val="00AB0BB7"/>
    <w:rsid w:val="00AB22C6"/>
    <w:rsid w:val="00AB2AD0"/>
    <w:rsid w:val="00AB67FC"/>
    <w:rsid w:val="00AC00F2"/>
    <w:rsid w:val="00AC0B45"/>
    <w:rsid w:val="00AC31B5"/>
    <w:rsid w:val="00AC4EA1"/>
    <w:rsid w:val="00AC5381"/>
    <w:rsid w:val="00AC5920"/>
    <w:rsid w:val="00AC5B6A"/>
    <w:rsid w:val="00AD0E65"/>
    <w:rsid w:val="00AD2BF2"/>
    <w:rsid w:val="00AD4E90"/>
    <w:rsid w:val="00AD5422"/>
    <w:rsid w:val="00AE2F1E"/>
    <w:rsid w:val="00AE3275"/>
    <w:rsid w:val="00AE4179"/>
    <w:rsid w:val="00AE4425"/>
    <w:rsid w:val="00AE4FBE"/>
    <w:rsid w:val="00AE650F"/>
    <w:rsid w:val="00AE6555"/>
    <w:rsid w:val="00AE7D16"/>
    <w:rsid w:val="00AF4250"/>
    <w:rsid w:val="00AF4CAA"/>
    <w:rsid w:val="00AF571A"/>
    <w:rsid w:val="00AF60A0"/>
    <w:rsid w:val="00AF67FC"/>
    <w:rsid w:val="00AF7DF5"/>
    <w:rsid w:val="00B006E5"/>
    <w:rsid w:val="00B0176B"/>
    <w:rsid w:val="00B024C2"/>
    <w:rsid w:val="00B036D7"/>
    <w:rsid w:val="00B07700"/>
    <w:rsid w:val="00B13921"/>
    <w:rsid w:val="00B13C33"/>
    <w:rsid w:val="00B1528C"/>
    <w:rsid w:val="00B16ACD"/>
    <w:rsid w:val="00B21487"/>
    <w:rsid w:val="00B232D1"/>
    <w:rsid w:val="00B23484"/>
    <w:rsid w:val="00B2403E"/>
    <w:rsid w:val="00B24DB5"/>
    <w:rsid w:val="00B27599"/>
    <w:rsid w:val="00B31543"/>
    <w:rsid w:val="00B31F9E"/>
    <w:rsid w:val="00B3268F"/>
    <w:rsid w:val="00B32C2C"/>
    <w:rsid w:val="00B33A1A"/>
    <w:rsid w:val="00B33E6C"/>
    <w:rsid w:val="00B371CC"/>
    <w:rsid w:val="00B41CD9"/>
    <w:rsid w:val="00B427E6"/>
    <w:rsid w:val="00B428A6"/>
    <w:rsid w:val="00B43E1F"/>
    <w:rsid w:val="00B45FBC"/>
    <w:rsid w:val="00B51A7D"/>
    <w:rsid w:val="00B534D9"/>
    <w:rsid w:val="00B535C2"/>
    <w:rsid w:val="00B55544"/>
    <w:rsid w:val="00B56F5A"/>
    <w:rsid w:val="00B642FC"/>
    <w:rsid w:val="00B64D26"/>
    <w:rsid w:val="00B64FBB"/>
    <w:rsid w:val="00B67214"/>
    <w:rsid w:val="00B70E22"/>
    <w:rsid w:val="00B774CB"/>
    <w:rsid w:val="00B80402"/>
    <w:rsid w:val="00B80B9A"/>
    <w:rsid w:val="00B830B7"/>
    <w:rsid w:val="00B848EA"/>
    <w:rsid w:val="00B84B2B"/>
    <w:rsid w:val="00B84E03"/>
    <w:rsid w:val="00B90500"/>
    <w:rsid w:val="00B9176C"/>
    <w:rsid w:val="00B935A4"/>
    <w:rsid w:val="00BA561A"/>
    <w:rsid w:val="00BB0DC6"/>
    <w:rsid w:val="00BB15E4"/>
    <w:rsid w:val="00BB1E19"/>
    <w:rsid w:val="00BB21D1"/>
    <w:rsid w:val="00BB32F2"/>
    <w:rsid w:val="00BB4338"/>
    <w:rsid w:val="00BB6C0E"/>
    <w:rsid w:val="00BB7753"/>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0E46"/>
    <w:rsid w:val="00C02764"/>
    <w:rsid w:val="00C04CEF"/>
    <w:rsid w:val="00C0662F"/>
    <w:rsid w:val="00C11943"/>
    <w:rsid w:val="00C12E96"/>
    <w:rsid w:val="00C134CF"/>
    <w:rsid w:val="00C14763"/>
    <w:rsid w:val="00C15008"/>
    <w:rsid w:val="00C15AFA"/>
    <w:rsid w:val="00C16141"/>
    <w:rsid w:val="00C2363F"/>
    <w:rsid w:val="00C236C8"/>
    <w:rsid w:val="00C260B1"/>
    <w:rsid w:val="00C26E56"/>
    <w:rsid w:val="00C27A47"/>
    <w:rsid w:val="00C3001F"/>
    <w:rsid w:val="00C31406"/>
    <w:rsid w:val="00C37194"/>
    <w:rsid w:val="00C40637"/>
    <w:rsid w:val="00C40F6C"/>
    <w:rsid w:val="00C4389E"/>
    <w:rsid w:val="00C43D0F"/>
    <w:rsid w:val="00C44426"/>
    <w:rsid w:val="00C445F3"/>
    <w:rsid w:val="00C451F4"/>
    <w:rsid w:val="00C45EB1"/>
    <w:rsid w:val="00C54A3A"/>
    <w:rsid w:val="00C55566"/>
    <w:rsid w:val="00C56448"/>
    <w:rsid w:val="00C56D19"/>
    <w:rsid w:val="00C6331B"/>
    <w:rsid w:val="00C667BE"/>
    <w:rsid w:val="00C6766B"/>
    <w:rsid w:val="00C676D4"/>
    <w:rsid w:val="00C72223"/>
    <w:rsid w:val="00C76417"/>
    <w:rsid w:val="00C7726F"/>
    <w:rsid w:val="00C77F5C"/>
    <w:rsid w:val="00C823DA"/>
    <w:rsid w:val="00C8259F"/>
    <w:rsid w:val="00C82746"/>
    <w:rsid w:val="00C8312F"/>
    <w:rsid w:val="00C84C47"/>
    <w:rsid w:val="00C858A4"/>
    <w:rsid w:val="00C86AFA"/>
    <w:rsid w:val="00CA1FC4"/>
    <w:rsid w:val="00CA2F49"/>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D74F2"/>
    <w:rsid w:val="00CE31A6"/>
    <w:rsid w:val="00CF09AA"/>
    <w:rsid w:val="00CF4813"/>
    <w:rsid w:val="00CF5233"/>
    <w:rsid w:val="00CF7D31"/>
    <w:rsid w:val="00D029B8"/>
    <w:rsid w:val="00D02F60"/>
    <w:rsid w:val="00D0464E"/>
    <w:rsid w:val="00D04A96"/>
    <w:rsid w:val="00D07A7B"/>
    <w:rsid w:val="00D10E06"/>
    <w:rsid w:val="00D13C42"/>
    <w:rsid w:val="00D15197"/>
    <w:rsid w:val="00D16820"/>
    <w:rsid w:val="00D169C8"/>
    <w:rsid w:val="00D1793F"/>
    <w:rsid w:val="00D22AF5"/>
    <w:rsid w:val="00D235EA"/>
    <w:rsid w:val="00D247A9"/>
    <w:rsid w:val="00D26576"/>
    <w:rsid w:val="00D32721"/>
    <w:rsid w:val="00D328DC"/>
    <w:rsid w:val="00D33387"/>
    <w:rsid w:val="00D402FB"/>
    <w:rsid w:val="00D411C6"/>
    <w:rsid w:val="00D47D7A"/>
    <w:rsid w:val="00D50ABD"/>
    <w:rsid w:val="00D53BD4"/>
    <w:rsid w:val="00D5424A"/>
    <w:rsid w:val="00D55290"/>
    <w:rsid w:val="00D57791"/>
    <w:rsid w:val="00D6046A"/>
    <w:rsid w:val="00D6120C"/>
    <w:rsid w:val="00D62870"/>
    <w:rsid w:val="00D655D9"/>
    <w:rsid w:val="00D65872"/>
    <w:rsid w:val="00D6749C"/>
    <w:rsid w:val="00D676F3"/>
    <w:rsid w:val="00D70EF5"/>
    <w:rsid w:val="00D71024"/>
    <w:rsid w:val="00D71A25"/>
    <w:rsid w:val="00D71FCF"/>
    <w:rsid w:val="00D72A54"/>
    <w:rsid w:val="00D72CC1"/>
    <w:rsid w:val="00D73E75"/>
    <w:rsid w:val="00D76EC9"/>
    <w:rsid w:val="00D80E7D"/>
    <w:rsid w:val="00D81397"/>
    <w:rsid w:val="00D82B14"/>
    <w:rsid w:val="00D848B9"/>
    <w:rsid w:val="00D90E69"/>
    <w:rsid w:val="00D91368"/>
    <w:rsid w:val="00D93106"/>
    <w:rsid w:val="00D933E9"/>
    <w:rsid w:val="00D9505D"/>
    <w:rsid w:val="00D953D0"/>
    <w:rsid w:val="00D959F5"/>
    <w:rsid w:val="00D96884"/>
    <w:rsid w:val="00DA3B3C"/>
    <w:rsid w:val="00DA3FDD"/>
    <w:rsid w:val="00DA7017"/>
    <w:rsid w:val="00DA7028"/>
    <w:rsid w:val="00DB1AD2"/>
    <w:rsid w:val="00DB2B58"/>
    <w:rsid w:val="00DB5206"/>
    <w:rsid w:val="00DB6276"/>
    <w:rsid w:val="00DB63F5"/>
    <w:rsid w:val="00DC1C6B"/>
    <w:rsid w:val="00DC2C2E"/>
    <w:rsid w:val="00DC4AF0"/>
    <w:rsid w:val="00DC52EC"/>
    <w:rsid w:val="00DC7886"/>
    <w:rsid w:val="00DD0CF2"/>
    <w:rsid w:val="00DE1554"/>
    <w:rsid w:val="00DE2901"/>
    <w:rsid w:val="00DE54B1"/>
    <w:rsid w:val="00DE590F"/>
    <w:rsid w:val="00DE7DC1"/>
    <w:rsid w:val="00DF328D"/>
    <w:rsid w:val="00DF3F7E"/>
    <w:rsid w:val="00DF7648"/>
    <w:rsid w:val="00E00E29"/>
    <w:rsid w:val="00E01CC8"/>
    <w:rsid w:val="00E02BAB"/>
    <w:rsid w:val="00E04CEB"/>
    <w:rsid w:val="00E04EF4"/>
    <w:rsid w:val="00E060BC"/>
    <w:rsid w:val="00E07408"/>
    <w:rsid w:val="00E11420"/>
    <w:rsid w:val="00E132FB"/>
    <w:rsid w:val="00E170B7"/>
    <w:rsid w:val="00E177DD"/>
    <w:rsid w:val="00E20900"/>
    <w:rsid w:val="00E20C7F"/>
    <w:rsid w:val="00E2181C"/>
    <w:rsid w:val="00E2396E"/>
    <w:rsid w:val="00E24728"/>
    <w:rsid w:val="00E26F7F"/>
    <w:rsid w:val="00E276AC"/>
    <w:rsid w:val="00E31CD9"/>
    <w:rsid w:val="00E34A35"/>
    <w:rsid w:val="00E36D7F"/>
    <w:rsid w:val="00E37C2F"/>
    <w:rsid w:val="00E41C07"/>
    <w:rsid w:val="00E41C28"/>
    <w:rsid w:val="00E46308"/>
    <w:rsid w:val="00E503B7"/>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4E9C"/>
    <w:rsid w:val="00E75DDA"/>
    <w:rsid w:val="00E773E8"/>
    <w:rsid w:val="00E77F3B"/>
    <w:rsid w:val="00E83ADD"/>
    <w:rsid w:val="00E84F38"/>
    <w:rsid w:val="00E8561A"/>
    <w:rsid w:val="00E85623"/>
    <w:rsid w:val="00E87441"/>
    <w:rsid w:val="00E91FAE"/>
    <w:rsid w:val="00E96E3F"/>
    <w:rsid w:val="00EA270C"/>
    <w:rsid w:val="00EA4974"/>
    <w:rsid w:val="00EA532E"/>
    <w:rsid w:val="00EB06D9"/>
    <w:rsid w:val="00EB192B"/>
    <w:rsid w:val="00EB19ED"/>
    <w:rsid w:val="00EB1CAB"/>
    <w:rsid w:val="00EC0F5A"/>
    <w:rsid w:val="00EC0FA0"/>
    <w:rsid w:val="00EC4265"/>
    <w:rsid w:val="00EC4CEB"/>
    <w:rsid w:val="00EC659E"/>
    <w:rsid w:val="00EC7BAF"/>
    <w:rsid w:val="00ED2072"/>
    <w:rsid w:val="00ED2AE0"/>
    <w:rsid w:val="00ED5553"/>
    <w:rsid w:val="00ED5E36"/>
    <w:rsid w:val="00ED6961"/>
    <w:rsid w:val="00EE081C"/>
    <w:rsid w:val="00EF0B96"/>
    <w:rsid w:val="00EF1AAD"/>
    <w:rsid w:val="00EF3486"/>
    <w:rsid w:val="00EF47AF"/>
    <w:rsid w:val="00EF53B6"/>
    <w:rsid w:val="00F00B73"/>
    <w:rsid w:val="00F0776A"/>
    <w:rsid w:val="00F115CA"/>
    <w:rsid w:val="00F139F3"/>
    <w:rsid w:val="00F14817"/>
    <w:rsid w:val="00F14EBA"/>
    <w:rsid w:val="00F1510F"/>
    <w:rsid w:val="00F1533A"/>
    <w:rsid w:val="00F15E5A"/>
    <w:rsid w:val="00F17F0A"/>
    <w:rsid w:val="00F2668F"/>
    <w:rsid w:val="00F2742F"/>
    <w:rsid w:val="00F2753B"/>
    <w:rsid w:val="00F33F8B"/>
    <w:rsid w:val="00F340B2"/>
    <w:rsid w:val="00F37FE9"/>
    <w:rsid w:val="00F42C51"/>
    <w:rsid w:val="00F43390"/>
    <w:rsid w:val="00F43724"/>
    <w:rsid w:val="00F443B2"/>
    <w:rsid w:val="00F458D8"/>
    <w:rsid w:val="00F50237"/>
    <w:rsid w:val="00F53596"/>
    <w:rsid w:val="00F538A6"/>
    <w:rsid w:val="00F55BA8"/>
    <w:rsid w:val="00F55DB1"/>
    <w:rsid w:val="00F56ACA"/>
    <w:rsid w:val="00F600FE"/>
    <w:rsid w:val="00F603E2"/>
    <w:rsid w:val="00F62E4D"/>
    <w:rsid w:val="00F66B34"/>
    <w:rsid w:val="00F675B9"/>
    <w:rsid w:val="00F67B08"/>
    <w:rsid w:val="00F711C9"/>
    <w:rsid w:val="00F71C4B"/>
    <w:rsid w:val="00F72118"/>
    <w:rsid w:val="00F74A36"/>
    <w:rsid w:val="00F74C59"/>
    <w:rsid w:val="00F75A1D"/>
    <w:rsid w:val="00F75C3A"/>
    <w:rsid w:val="00F82E30"/>
    <w:rsid w:val="00F831CB"/>
    <w:rsid w:val="00F848A3"/>
    <w:rsid w:val="00F84ACF"/>
    <w:rsid w:val="00F85742"/>
    <w:rsid w:val="00F85BF8"/>
    <w:rsid w:val="00F85CCF"/>
    <w:rsid w:val="00F871CE"/>
    <w:rsid w:val="00F8723A"/>
    <w:rsid w:val="00F87802"/>
    <w:rsid w:val="00F92C0A"/>
    <w:rsid w:val="00F9415B"/>
    <w:rsid w:val="00F967D1"/>
    <w:rsid w:val="00FA13C2"/>
    <w:rsid w:val="00FA7F91"/>
    <w:rsid w:val="00FB0DD5"/>
    <w:rsid w:val="00FB121C"/>
    <w:rsid w:val="00FB1CDD"/>
    <w:rsid w:val="00FB1FBF"/>
    <w:rsid w:val="00FB2C2F"/>
    <w:rsid w:val="00FB305C"/>
    <w:rsid w:val="00FC2E3D"/>
    <w:rsid w:val="00FC3BDE"/>
    <w:rsid w:val="00FD1DBE"/>
    <w:rsid w:val="00FD1E19"/>
    <w:rsid w:val="00FD25A7"/>
    <w:rsid w:val="00FD27B6"/>
    <w:rsid w:val="00FD3689"/>
    <w:rsid w:val="00FD42A3"/>
    <w:rsid w:val="00FD594E"/>
    <w:rsid w:val="00FD7468"/>
    <w:rsid w:val="00FD7CE0"/>
    <w:rsid w:val="00FE0B3B"/>
    <w:rsid w:val="00FE1BE2"/>
    <w:rsid w:val="00FE730A"/>
    <w:rsid w:val="00FF1BBC"/>
    <w:rsid w:val="00FF1DD7"/>
    <w:rsid w:val="00FF3A9F"/>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B8D1F"/>
  <w15:docId w15:val="{F3D9C529-FD2E-44B0-8473-709B6A7A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numbe,n"/>
    <w:link w:val="stylishCar"/>
    <w:qFormat/>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aliases w:val="Podrozdział,Podrozdział Znak,Podrozdział Znak Znak,Tekst przypisu,tekst przypisu,tekst przypisu1,tekst przypisu2,tekst przypisu3,tekst przypisu4,tekst przypisu5,tekst przypisu11,tekst przypisu21,tekst przypisu31,tekst przypisu41"/>
    <w:basedOn w:val="Normalny"/>
    <w:link w:val="TekstprzypisudolnegoZnak"/>
    <w:uiPriority w:val="99"/>
    <w:qFormat/>
    <w:locked/>
    <w:rsid w:val="00295A6F"/>
    <w:rPr>
      <w:rFonts w:ascii="Times" w:eastAsia="Times New Roman" w:hAnsi="Times" w:cs="Times New Roman"/>
      <w:szCs w:val="24"/>
    </w:rPr>
  </w:style>
  <w:style w:type="character" w:customStyle="1" w:styleId="TekstprzypisudolnegoZnak">
    <w:name w:val="Tekst przypisu dolnego Znak"/>
    <w:aliases w:val="Podrozdział Znak1,Podrozdział Znak Znak1,Podrozdział Znak Znak Znak,Tekst przypisu Znak,tekst przypisu Znak,tekst przypisu1 Znak,tekst przypisu2 Znak,tekst przypisu3 Znak,tekst przypisu4 Znak,tekst przypisu5 Znak"/>
    <w:basedOn w:val="Domylnaczcionkaakapitu"/>
    <w:link w:val="Tekstprzypisudolnego"/>
    <w:uiPriority w:val="99"/>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1A7CE0"/>
    <w:pPr>
      <w:widowControl/>
      <w:autoSpaceDE/>
      <w:autoSpaceDN/>
      <w:adjustRightInd/>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ny"/>
    <w:link w:val="Odwoanieprzypisudolnego"/>
    <w:rsid w:val="001A7CE0"/>
    <w:pPr>
      <w:widowControl/>
      <w:autoSpaceDE/>
      <w:autoSpaceDN/>
      <w:adjustRightInd/>
      <w:spacing w:after="160" w:line="240" w:lineRule="exact"/>
    </w:pPr>
    <w:rPr>
      <w:rFonts w:ascii="Times" w:eastAsia="Times New Roman" w:hAnsi="Times" w:cs="Times New Roman"/>
      <w:szCs w:val="24"/>
      <w:vertAlign w:val="superscript"/>
    </w:rPr>
  </w:style>
  <w:style w:type="paragraph" w:styleId="Tekstprzypisukocowego">
    <w:name w:val="endnote text"/>
    <w:basedOn w:val="Normalny"/>
    <w:link w:val="TekstprzypisukocowegoZnak"/>
    <w:uiPriority w:val="99"/>
    <w:semiHidden/>
    <w:unhideWhenUsed/>
    <w:rsid w:val="007559FE"/>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7559FE"/>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7559FE"/>
    <w:rPr>
      <w:vertAlign w:val="superscript"/>
    </w:rPr>
  </w:style>
  <w:style w:type="paragraph" w:styleId="Poprawka">
    <w:name w:val="Revision"/>
    <w:hidden/>
    <w:uiPriority w:val="99"/>
    <w:semiHidden/>
    <w:rsid w:val="00C15008"/>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4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p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90C1A5-CBA7-4112-AA6F-08681851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16</Pages>
  <Words>5458</Words>
  <Characters>32748</Characters>
  <Application>Microsoft Office Word</Application>
  <DocSecurity>0</DocSecurity>
  <Lines>272</Lines>
  <Paragraphs>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38130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Dobrowolski Tomasz</dc:creator>
  <cp:lastModifiedBy>Gapska-Szczygieł Małgorzata</cp:lastModifiedBy>
  <cp:revision>2</cp:revision>
  <cp:lastPrinted>2012-04-23T06:39:00Z</cp:lastPrinted>
  <dcterms:created xsi:type="dcterms:W3CDTF">2020-09-14T11:00:00Z</dcterms:created>
  <dcterms:modified xsi:type="dcterms:W3CDTF">2020-09-14T11:00:00Z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