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5" w:rsidRPr="004A33A8" w:rsidRDefault="007F3085" w:rsidP="007F3085">
      <w:pPr>
        <w:pStyle w:val="OZNRODZAKTUtznustawalubrozporzdzenieiorganwydajcy"/>
      </w:pPr>
      <w:bookmarkStart w:id="0" w:name="_GoBack"/>
      <w:bookmarkEnd w:id="0"/>
      <w:r w:rsidRPr="004A33A8">
        <w:t>Uzasadnienie</w:t>
      </w:r>
    </w:p>
    <w:p w:rsidR="007F3085" w:rsidRPr="004A33A8" w:rsidRDefault="007F3085" w:rsidP="007F3085">
      <w:pPr>
        <w:pStyle w:val="Tekstpodstawowy"/>
      </w:pPr>
      <w:r w:rsidRPr="004A33A8">
        <w:t xml:space="preserve">Projektowane rozporządzenie realizuje upoważnienie określone w art. 10 ust. 7 </w:t>
      </w:r>
      <w:r w:rsidRPr="00C87D2F">
        <w:t xml:space="preserve">ustawy z dnia </w:t>
      </w:r>
      <w:r w:rsidRPr="00C87D2F">
        <w:br/>
        <w:t>2 października 2003 r.</w:t>
      </w:r>
      <w:r w:rsidRPr="00BD68B5">
        <w:rPr>
          <w:i/>
        </w:rPr>
        <w:t xml:space="preserve"> o zmianie ustawy o specjalnych strefach ekonomicznych i niektórych ustaw</w:t>
      </w:r>
      <w:r w:rsidRPr="004A33A8">
        <w:t xml:space="preserve"> (Dz. U. poz. 1840, z późn. zm.)</w:t>
      </w:r>
      <w:r w:rsidR="00A91022">
        <w:t>, zwanej dalej „</w:t>
      </w:r>
      <w:r w:rsidR="00A91022" w:rsidRPr="00BD68B5">
        <w:rPr>
          <w:i/>
        </w:rPr>
        <w:t>ustawą zmieniającą ustawę o sse</w:t>
      </w:r>
      <w:r w:rsidR="00A91022">
        <w:t>”</w:t>
      </w:r>
      <w:r w:rsidRPr="004A33A8">
        <w:t xml:space="preserve">. </w:t>
      </w:r>
      <w:r>
        <w:t>C</w:t>
      </w:r>
      <w:r w:rsidRPr="004A33A8">
        <w:t xml:space="preserve">elem rozporządzenia jest zapewnienie gminom możliwości uzyskania </w:t>
      </w:r>
      <w:r w:rsidR="00DF0618">
        <w:t xml:space="preserve">części </w:t>
      </w:r>
      <w:r w:rsidRPr="004A33A8">
        <w:t xml:space="preserve">rekompensującej subwencji </w:t>
      </w:r>
      <w:r w:rsidR="00DF0618">
        <w:t xml:space="preserve">ogólnej </w:t>
      </w:r>
      <w:r w:rsidRPr="004A33A8">
        <w:t xml:space="preserve">poprzez wskazanie gmin uprawnionych do rekompensaty w trybie art. 10 ustawy </w:t>
      </w:r>
      <w:r w:rsidR="00A91022">
        <w:t>zmieniającej ustawę o sse</w:t>
      </w:r>
      <w:r w:rsidRPr="004A33A8">
        <w:t>.</w:t>
      </w:r>
    </w:p>
    <w:p w:rsidR="007F3085" w:rsidRDefault="007F3085" w:rsidP="007F3085">
      <w:pPr>
        <w:pStyle w:val="Tekstpodstawowy"/>
      </w:pPr>
    </w:p>
    <w:p w:rsidR="00D941C0" w:rsidRDefault="007F3085" w:rsidP="007F3085">
      <w:pPr>
        <w:pStyle w:val="Tekstpodstawowy"/>
      </w:pPr>
      <w:r w:rsidRPr="004A33A8">
        <w:t xml:space="preserve">Zgodnie z treścią art. 10 ust. 5 </w:t>
      </w:r>
      <w:r w:rsidR="00935E05">
        <w:t xml:space="preserve">ustawy </w:t>
      </w:r>
      <w:r w:rsidR="00935E05" w:rsidRPr="00573B59">
        <w:t>z dnia 2 października 2003 r.</w:t>
      </w:r>
      <w:r w:rsidR="00935E05" w:rsidRPr="00BD68B5">
        <w:rPr>
          <w:i/>
        </w:rPr>
        <w:t xml:space="preserve"> o zmianie ustawy </w:t>
      </w:r>
      <w:r w:rsidR="00F93719">
        <w:rPr>
          <w:i/>
        </w:rPr>
        <w:br/>
      </w:r>
      <w:r w:rsidR="00935E05" w:rsidRPr="00BD68B5">
        <w:rPr>
          <w:i/>
        </w:rPr>
        <w:t>o specjalnych strefach ekonomicznych i niektórych ustaw</w:t>
      </w:r>
      <w:r w:rsidR="00935E05" w:rsidRPr="004A33A8">
        <w:t xml:space="preserve"> (Dz. U. poz. 1840, z późn. zm.)</w:t>
      </w:r>
      <w:r w:rsidR="00935E05">
        <w:t xml:space="preserve"> </w:t>
      </w:r>
      <w:r w:rsidRPr="004A33A8">
        <w:t xml:space="preserve">gmina, która w danym roku podatkowym nie uzyskała dochodów </w:t>
      </w:r>
      <w:r w:rsidR="003B6B26" w:rsidRPr="004A33A8">
        <w:t xml:space="preserve">z podatku od nieruchomości </w:t>
      </w:r>
      <w:r w:rsidRPr="004A33A8">
        <w:t xml:space="preserve">na skutek zwolnienia przedsiębiorców, o których mowa w art. 10 ust. 1 tej ustawy, otrzymuje w następnym roku z budżetu państwa część rekompensującą subwencji ogólnej na wyrównanie ubytku dochodów wynikającego ze zwolnienia w wysokości tego zwolnienia. Przedsiębiorcy, których dotyczy obligatoryjne zwolnienie </w:t>
      </w:r>
      <w:r w:rsidR="003B6B26">
        <w:t>na mocy</w:t>
      </w:r>
      <w:r w:rsidRPr="004A33A8">
        <w:t xml:space="preserve"> art. 10 ust. 1</w:t>
      </w:r>
      <w:r w:rsidR="00A91022">
        <w:t xml:space="preserve"> </w:t>
      </w:r>
      <w:r w:rsidR="00A91022" w:rsidRPr="00BD68B5">
        <w:rPr>
          <w:i/>
        </w:rPr>
        <w:t>ustawy zmieniającej ustawę o sse</w:t>
      </w:r>
      <w:r>
        <w:t>,</w:t>
      </w:r>
      <w:r w:rsidRPr="004A33A8">
        <w:t xml:space="preserve"> to duzi przedsiębiorcy działający w specjalnych strefach ekonomicznych na podstawie zezwolenia wydanego do końca 2000 r. i zmienionego w trybie art. 6 </w:t>
      </w:r>
      <w:r w:rsidR="00A91022">
        <w:t>tej</w:t>
      </w:r>
      <w:r w:rsidRPr="004A33A8">
        <w:t xml:space="preserve"> ustawy. </w:t>
      </w:r>
      <w:r w:rsidR="00D941C0">
        <w:t>Zwolnien</w:t>
      </w:r>
      <w:r w:rsidR="00BA19D4">
        <w:t>i</w:t>
      </w:r>
      <w:r w:rsidR="00E549D5">
        <w:t>a</w:t>
      </w:r>
      <w:r w:rsidR="00D941C0">
        <w:t xml:space="preserve"> t</w:t>
      </w:r>
      <w:r w:rsidR="00E549D5">
        <w:t>e</w:t>
      </w:r>
      <w:r w:rsidR="00D941C0">
        <w:t xml:space="preserve"> obowiązuj</w:t>
      </w:r>
      <w:r w:rsidR="00E549D5">
        <w:t>ą</w:t>
      </w:r>
      <w:r w:rsidR="00D941C0">
        <w:t xml:space="preserve"> w okresie ważności zezwolenia i </w:t>
      </w:r>
      <w:r w:rsidR="00D941C0" w:rsidRPr="004A33A8">
        <w:t>dotycz</w:t>
      </w:r>
      <w:r w:rsidR="00E549D5">
        <w:t>ą</w:t>
      </w:r>
      <w:r w:rsidR="00D941C0" w:rsidRPr="004A33A8">
        <w:t xml:space="preserve"> budynków i budowli oddanych do eksploatacji do końca 1999 r. oraz gruntów nabytych do końca listopada 2000 r. Wielkość zwolnienia określa się w</w:t>
      </w:r>
      <w:r w:rsidR="00D941C0">
        <w:t>edług</w:t>
      </w:r>
      <w:r w:rsidR="00D941C0" w:rsidRPr="004A33A8">
        <w:t xml:space="preserve"> stawek obowiązujących </w:t>
      </w:r>
      <w:r w:rsidR="00EC6872">
        <w:br/>
      </w:r>
      <w:r w:rsidR="00D941C0" w:rsidRPr="004A33A8">
        <w:t>w roku 2000.</w:t>
      </w:r>
    </w:p>
    <w:p w:rsidR="00CA0DFD" w:rsidRDefault="00D941C0" w:rsidP="007F3085">
      <w:pPr>
        <w:pStyle w:val="Tekstpodstawowy"/>
      </w:pPr>
      <w:r w:rsidRPr="004A33A8">
        <w:t xml:space="preserve">Zgodnie z art. 10 </w:t>
      </w:r>
      <w:r>
        <w:t xml:space="preserve">ust. </w:t>
      </w:r>
      <w:r w:rsidR="00CA0DFD">
        <w:t>7</w:t>
      </w:r>
      <w:r>
        <w:t xml:space="preserve"> </w:t>
      </w:r>
      <w:r w:rsidRPr="00BD68B5">
        <w:rPr>
          <w:i/>
        </w:rPr>
        <w:t>ustawy zmieniającej ustawę o sse</w:t>
      </w:r>
      <w:r>
        <w:t xml:space="preserve"> </w:t>
      </w:r>
      <w:r w:rsidR="00CA0DFD">
        <w:t>l</w:t>
      </w:r>
      <w:r>
        <w:t>ist</w:t>
      </w:r>
      <w:r w:rsidR="00CA0DFD">
        <w:t>a</w:t>
      </w:r>
      <w:r>
        <w:t xml:space="preserve"> gmin, którym </w:t>
      </w:r>
      <w:r w:rsidR="00CA0DFD">
        <w:t xml:space="preserve">przysługuje rekompensata ubytku dochodów na skutek ww. zwolnienia, </w:t>
      </w:r>
      <w:r w:rsidR="00CA0DFD" w:rsidRPr="004A33A8">
        <w:t>jest ustalana corocznie w drodze rozporządzenia ministra właściwego do spraw gospodarki</w:t>
      </w:r>
      <w:r w:rsidR="003E587C">
        <w:t>.</w:t>
      </w:r>
    </w:p>
    <w:p w:rsidR="007F3085" w:rsidRPr="004A33A8" w:rsidRDefault="007F3085" w:rsidP="007F3085">
      <w:pPr>
        <w:pStyle w:val="Tekstpodstawowy"/>
      </w:pPr>
      <w:r w:rsidRPr="004A33A8">
        <w:t xml:space="preserve">W </w:t>
      </w:r>
      <w:r w:rsidR="00EC5D14">
        <w:t>2020</w:t>
      </w:r>
      <w:r w:rsidR="00CA0DFD">
        <w:t xml:space="preserve"> r. niezbę</w:t>
      </w:r>
      <w:r w:rsidRPr="004A33A8">
        <w:t xml:space="preserve">dne jest </w:t>
      </w:r>
      <w:r w:rsidR="00CA0DFD">
        <w:t xml:space="preserve">więc </w:t>
      </w:r>
      <w:r w:rsidRPr="004A33A8">
        <w:t xml:space="preserve">wydanie przez Ministra </w:t>
      </w:r>
      <w:r w:rsidR="003E587C">
        <w:t>Rozwoju</w:t>
      </w:r>
      <w:r w:rsidR="00CA0DFD">
        <w:t xml:space="preserve"> roz</w:t>
      </w:r>
      <w:r w:rsidRPr="004A33A8">
        <w:t xml:space="preserve">porządzenia określającego wykaz gmin, którym przysługuje część rekompensująca subwencji ogólnej za rok </w:t>
      </w:r>
      <w:r w:rsidR="00CA0DFD">
        <w:t>201</w:t>
      </w:r>
      <w:r w:rsidR="00EC5D14">
        <w:t>9</w:t>
      </w:r>
      <w:r w:rsidRPr="004A33A8">
        <w:t>.</w:t>
      </w:r>
    </w:p>
    <w:p w:rsidR="00D67059" w:rsidRDefault="00CA0DFD" w:rsidP="007F3085">
      <w:pPr>
        <w:pStyle w:val="Tekstpodstawowy"/>
      </w:pPr>
      <w:r>
        <w:t xml:space="preserve">W projektowanym rozporządzeniu wykaz gmin uprawnionych do części rekompensującej subwencji ogólnej obejmuje </w:t>
      </w:r>
      <w:r w:rsidR="00EC5D14" w:rsidRPr="00E019D9">
        <w:t>3</w:t>
      </w:r>
      <w:r w:rsidR="007F3085" w:rsidRPr="00E019D9">
        <w:t xml:space="preserve"> gmin</w:t>
      </w:r>
      <w:r w:rsidRPr="00E019D9">
        <w:t>y</w:t>
      </w:r>
      <w:r w:rsidR="00364F6D" w:rsidRPr="00E019D9">
        <w:t xml:space="preserve"> miejskie</w:t>
      </w:r>
      <w:r w:rsidRPr="00E019D9">
        <w:t>,</w:t>
      </w:r>
      <w:r>
        <w:t xml:space="preserve"> tj. </w:t>
      </w:r>
      <w:r w:rsidR="00EC5D14">
        <w:t xml:space="preserve">Gliwice, </w:t>
      </w:r>
      <w:r w:rsidR="00364F6D">
        <w:t>Legnicę i Wałbrzych.</w:t>
      </w:r>
      <w:r w:rsidR="007F3085" w:rsidRPr="004A33A8">
        <w:t xml:space="preserve"> </w:t>
      </w:r>
      <w:r w:rsidR="00EC5D14">
        <w:br/>
      </w:r>
      <w:r w:rsidR="00364F6D">
        <w:t xml:space="preserve">W </w:t>
      </w:r>
      <w:r w:rsidR="00EC5D14">
        <w:t xml:space="preserve">porównaniu z wykazem gmin uprawnionych do rekompensaty za 2018 r. (stanowiącym załącznik do </w:t>
      </w:r>
      <w:r w:rsidR="00EC5D14" w:rsidRPr="00C87D2F">
        <w:t>rozporządzenia Ministra Rozwoju z dnia 20 listopada 2019 r.</w:t>
      </w:r>
      <w:r w:rsidR="00EC5D14" w:rsidRPr="00EC5D14">
        <w:rPr>
          <w:i/>
        </w:rPr>
        <w:t xml:space="preserve"> w sprawie wykazu gmin, którym przysługuje część rekompensująca subwencji ogólnej za rok 2018</w:t>
      </w:r>
      <w:r w:rsidR="00EC5D14">
        <w:t xml:space="preserve"> (Dz. U. </w:t>
      </w:r>
      <w:r w:rsidR="00EC6872">
        <w:br/>
      </w:r>
      <w:r w:rsidR="00EC5D14">
        <w:t>poz. 2298)) lista uprawnionych gmin rozszerzyła się o miasto Gliwice. Wynika to</w:t>
      </w:r>
      <w:r w:rsidR="000B5C41">
        <w:t xml:space="preserve"> </w:t>
      </w:r>
      <w:r w:rsidR="00EC6872">
        <w:br/>
      </w:r>
      <w:r w:rsidR="000B5C41">
        <w:t xml:space="preserve">z odzyskania przez dużego przedsiębiorcę </w:t>
      </w:r>
      <w:r w:rsidR="007E0967">
        <w:t xml:space="preserve">działającego w Gliwicach </w:t>
      </w:r>
      <w:r w:rsidR="000B5C41">
        <w:t>prawa do przedmiotowego zwolnienia z podatku od nieruchomości po</w:t>
      </w:r>
      <w:r w:rsidR="00EC5D14">
        <w:t xml:space="preserve"> wyroku Naczelnego Sądu Administracyjnego z dnia 6 lutego 2019 r. sygn. akt II GSK1646/18</w:t>
      </w:r>
      <w:r w:rsidR="007E0967">
        <w:t>. Z</w:t>
      </w:r>
      <w:r w:rsidR="00EC5D14">
        <w:t xml:space="preserve">godnie z </w:t>
      </w:r>
      <w:r w:rsidR="007E0967">
        <w:t>przywołanym wyrokiem</w:t>
      </w:r>
      <w:r w:rsidR="00EC5D14">
        <w:t xml:space="preserve"> wniosek </w:t>
      </w:r>
      <w:r w:rsidR="000B5C41">
        <w:t>tego</w:t>
      </w:r>
      <w:r w:rsidR="00EC5D14">
        <w:t xml:space="preserve"> przedsiębiorcy zmierzający do wydłużenia okresu ważności zezwolenia </w:t>
      </w:r>
      <w:r w:rsidR="00D67059">
        <w:t xml:space="preserve">nr 1 z dnia </w:t>
      </w:r>
      <w:r w:rsidR="00AE1B90">
        <w:t xml:space="preserve">27 września </w:t>
      </w:r>
      <w:r w:rsidR="00D67059">
        <w:t>1996 r.</w:t>
      </w:r>
      <w:r w:rsidR="00EC5D14">
        <w:t xml:space="preserve"> został pozytywnie rozpatrzony na skutek tzw. fikcji pozytywnego rozstrzygnięcia z mocy obowiązującego wówczas art. 11 ust. 9 </w:t>
      </w:r>
      <w:r w:rsidR="00EC5D14" w:rsidRPr="00C87D2F">
        <w:t xml:space="preserve">ustawy </w:t>
      </w:r>
      <w:r w:rsidR="00EC6872">
        <w:br/>
      </w:r>
      <w:r w:rsidR="00EC5D14" w:rsidRPr="00C87D2F">
        <w:t xml:space="preserve">z dnia 2 lipca 2004 r. </w:t>
      </w:r>
      <w:r w:rsidR="00EC5D14" w:rsidRPr="00EC5D14">
        <w:rPr>
          <w:i/>
        </w:rPr>
        <w:t>o swobodzie działalności gospodarczej</w:t>
      </w:r>
      <w:r w:rsidR="00EC5D14">
        <w:t xml:space="preserve"> (Dz. U. </w:t>
      </w:r>
      <w:r w:rsidR="007E0967">
        <w:t xml:space="preserve">z 2017 r. </w:t>
      </w:r>
      <w:r w:rsidR="00EC5D14">
        <w:t xml:space="preserve">poz. </w:t>
      </w:r>
      <w:r w:rsidR="007E0967">
        <w:t xml:space="preserve">460). </w:t>
      </w:r>
      <w:r w:rsidR="00EC6872">
        <w:br/>
      </w:r>
      <w:r w:rsidR="00D67059">
        <w:t xml:space="preserve">W świetle tego wyroku przedsiębiorca ten posiada ważne zezwolenie i co za tym idzie prawo do zwolnienia z podatku od nieruchomości, wynikającego z art. 10 ust. 1 </w:t>
      </w:r>
      <w:r w:rsidR="00D67059" w:rsidRPr="00BD68B5">
        <w:rPr>
          <w:i/>
        </w:rPr>
        <w:t>ustawy zmieniającej ustawę o sse</w:t>
      </w:r>
      <w:r w:rsidR="00D67059">
        <w:rPr>
          <w:i/>
        </w:rPr>
        <w:t>.</w:t>
      </w:r>
      <w:r w:rsidR="00D67059">
        <w:t xml:space="preserve"> Miastu Gliwice przysługuje natomiast rekompensata ubytku dochodów wynikająca z tego zwolnienia podatkowego.</w:t>
      </w:r>
    </w:p>
    <w:p w:rsidR="00B769AC" w:rsidRDefault="00364F6D" w:rsidP="007F3085">
      <w:pPr>
        <w:pStyle w:val="Tekstpodstawowy"/>
      </w:pPr>
      <w:r>
        <w:t>Z uwagi na powyższe subwencja za 201</w:t>
      </w:r>
      <w:r w:rsidR="00EC5D14">
        <w:t>9</w:t>
      </w:r>
      <w:r>
        <w:t xml:space="preserve"> r. </w:t>
      </w:r>
      <w:r w:rsidR="00B52D6A">
        <w:t>będzie</w:t>
      </w:r>
      <w:r>
        <w:t xml:space="preserve"> </w:t>
      </w:r>
      <w:r w:rsidR="00EC5D14">
        <w:t xml:space="preserve">większa </w:t>
      </w:r>
      <w:r>
        <w:t xml:space="preserve">niż </w:t>
      </w:r>
      <w:r w:rsidR="00B32367">
        <w:t xml:space="preserve">za </w:t>
      </w:r>
      <w:r w:rsidR="00EC5D14">
        <w:t>2018</w:t>
      </w:r>
      <w:r w:rsidR="003E587C">
        <w:t xml:space="preserve"> r.</w:t>
      </w:r>
    </w:p>
    <w:p w:rsidR="00E16097" w:rsidRDefault="00E16097" w:rsidP="007F3085">
      <w:pPr>
        <w:pStyle w:val="Tekstpodstawowy"/>
      </w:pPr>
    </w:p>
    <w:p w:rsidR="00961687" w:rsidRDefault="007F3085" w:rsidP="007F3085">
      <w:pPr>
        <w:pStyle w:val="Tekstpodstawowy"/>
      </w:pPr>
      <w:r w:rsidRPr="004A33A8">
        <w:t xml:space="preserve">Zgodnie z przepisami </w:t>
      </w:r>
      <w:r w:rsidRPr="00C87D2F">
        <w:t>ustawy z dnia 7 lipca 2005 r.</w:t>
      </w:r>
      <w:r w:rsidRPr="00B10A4A">
        <w:rPr>
          <w:i/>
        </w:rPr>
        <w:t xml:space="preserve"> o działalności lobbingowej w procesie stanowienia prawa</w:t>
      </w:r>
      <w:r w:rsidRPr="004A33A8">
        <w:t xml:space="preserve"> (Dz. U. </w:t>
      </w:r>
      <w:r w:rsidR="002C2B0E">
        <w:t xml:space="preserve">z 2017 r. </w:t>
      </w:r>
      <w:r w:rsidRPr="004A33A8">
        <w:t xml:space="preserve">poz. </w:t>
      </w:r>
      <w:r w:rsidR="002C2B0E">
        <w:t>248</w:t>
      </w:r>
      <w:r w:rsidRPr="004A33A8">
        <w:t xml:space="preserve">) oraz na podstawie § 52 </w:t>
      </w:r>
      <w:r w:rsidRPr="00B10A4A">
        <w:rPr>
          <w:i/>
        </w:rPr>
        <w:t xml:space="preserve">uchwały </w:t>
      </w:r>
      <w:r w:rsidR="00961687" w:rsidRPr="00B10A4A">
        <w:rPr>
          <w:i/>
        </w:rPr>
        <w:t>n</w:t>
      </w:r>
      <w:r w:rsidRPr="00B10A4A">
        <w:rPr>
          <w:i/>
        </w:rPr>
        <w:t>r 190 Rady Ministrów z dnia 29 października 2013 r. – Regulamin pracy Rady Ministrów</w:t>
      </w:r>
      <w:r w:rsidRPr="004A33A8">
        <w:t xml:space="preserve"> (M. P. </w:t>
      </w:r>
      <w:r w:rsidR="006C3F7D">
        <w:br/>
      </w:r>
      <w:r w:rsidR="00961687">
        <w:t xml:space="preserve">z 2016 r. </w:t>
      </w:r>
      <w:r w:rsidRPr="004A33A8">
        <w:t xml:space="preserve">poz. </w:t>
      </w:r>
      <w:r w:rsidR="00961687">
        <w:t>1006, z późn. zm</w:t>
      </w:r>
      <w:r w:rsidR="00633442">
        <w:t>.</w:t>
      </w:r>
      <w:r w:rsidRPr="004A33A8">
        <w:t xml:space="preserve">) tekst projektu </w:t>
      </w:r>
      <w:r w:rsidR="00B52D6A">
        <w:t>zosta</w:t>
      </w:r>
      <w:r w:rsidR="000B5C41">
        <w:t>nie</w:t>
      </w:r>
      <w:r w:rsidR="00B52D6A">
        <w:t xml:space="preserve"> opublikowa</w:t>
      </w:r>
      <w:r w:rsidRPr="004A33A8">
        <w:t>n</w:t>
      </w:r>
      <w:r w:rsidR="00B52D6A">
        <w:t>y</w:t>
      </w:r>
      <w:r w:rsidRPr="004A33A8">
        <w:t xml:space="preserve"> w Biuletynie </w:t>
      </w:r>
      <w:r w:rsidRPr="004A33A8">
        <w:lastRenderedPageBreak/>
        <w:t xml:space="preserve">Informacji Publicznej na stronie </w:t>
      </w:r>
      <w:r>
        <w:t>podmiotowej</w:t>
      </w:r>
      <w:r w:rsidRPr="004A33A8">
        <w:t xml:space="preserve"> Rządowego Centrum Legislacji</w:t>
      </w:r>
      <w:r w:rsidR="00961687">
        <w:t xml:space="preserve"> w </w:t>
      </w:r>
      <w:r w:rsidR="00B52D6A">
        <w:t>serwisie</w:t>
      </w:r>
      <w:r w:rsidR="00961687">
        <w:t xml:space="preserve"> Rządowy Proces Legislacyjny</w:t>
      </w:r>
      <w:r w:rsidR="00F914E5">
        <w:t>.</w:t>
      </w:r>
    </w:p>
    <w:p w:rsidR="00961687" w:rsidRPr="004A33A8" w:rsidRDefault="00D941C0" w:rsidP="00961687">
      <w:pPr>
        <w:pStyle w:val="Tekstpodstawowy"/>
      </w:pPr>
      <w:r w:rsidRPr="004A33A8">
        <w:t>Projekt rozporządzenia równocześnie z przekazaniem do uzgodnień zosta</w:t>
      </w:r>
      <w:r w:rsidR="00F914E5">
        <w:t>nie</w:t>
      </w:r>
      <w:r w:rsidRPr="004A33A8">
        <w:t xml:space="preserve"> przesłany do rozpatrzenia przez Komisję Wspólną Rządu i Samorządu Terytorialnego.</w:t>
      </w:r>
    </w:p>
    <w:p w:rsidR="007F3085" w:rsidRDefault="007F3085" w:rsidP="007F3085">
      <w:pPr>
        <w:pStyle w:val="Tekstpodstawowy"/>
      </w:pPr>
    </w:p>
    <w:p w:rsidR="00961687" w:rsidRPr="00D941C0" w:rsidRDefault="00961687" w:rsidP="00961687">
      <w:pPr>
        <w:pStyle w:val="Tekstpodstawowy"/>
        <w:rPr>
          <w:szCs w:val="24"/>
        </w:rPr>
      </w:pPr>
      <w:r w:rsidRPr="00AD36A4">
        <w:t>Projekt</w:t>
      </w:r>
      <w:r w:rsidR="00B10A4A">
        <w:t>owane rozporz</w:t>
      </w:r>
      <w:r>
        <w:t>ądzeni</w:t>
      </w:r>
      <w:r w:rsidR="00B10A4A">
        <w:t>e</w:t>
      </w:r>
      <w:r>
        <w:t xml:space="preserve"> </w:t>
      </w:r>
      <w:r w:rsidRPr="00AD36A4">
        <w:t xml:space="preserve">nie wymaga przeprowadzenia strategicznej oceny oddziaływania na środowisko, o której mowa w </w:t>
      </w:r>
      <w:r w:rsidRPr="00C87D2F">
        <w:t>ustawie z dnia 3 października 2008 r.</w:t>
      </w:r>
      <w:r w:rsidRPr="00B10A4A">
        <w:rPr>
          <w:i/>
        </w:rPr>
        <w:t xml:space="preserve"> </w:t>
      </w:r>
      <w:r w:rsidR="00F93719">
        <w:rPr>
          <w:i/>
        </w:rPr>
        <w:br/>
      </w:r>
      <w:r w:rsidRPr="00B10A4A">
        <w:rPr>
          <w:i/>
        </w:rPr>
        <w:t xml:space="preserve">o udostępnianiu informacji o środowisku i jego ochronie, </w:t>
      </w:r>
      <w:r w:rsidRPr="00B10A4A">
        <w:rPr>
          <w:i/>
          <w:szCs w:val="24"/>
        </w:rPr>
        <w:t>udziale społeczeństwa w ochronie środowiska oraz o ocenach oddziaływania na środowisko</w:t>
      </w:r>
      <w:r w:rsidRPr="00D941C0">
        <w:rPr>
          <w:szCs w:val="24"/>
        </w:rPr>
        <w:t xml:space="preserve"> (Dz. U. </w:t>
      </w:r>
      <w:r w:rsidR="00D941C0" w:rsidRPr="00D941C0">
        <w:rPr>
          <w:szCs w:val="24"/>
        </w:rPr>
        <w:t>z 2018 r. poz. 2081, z późn. zm.</w:t>
      </w:r>
      <w:r w:rsidRPr="00D941C0">
        <w:rPr>
          <w:szCs w:val="24"/>
        </w:rPr>
        <w:t>).</w:t>
      </w:r>
    </w:p>
    <w:p w:rsidR="00961687" w:rsidRPr="00D941C0" w:rsidRDefault="00961687" w:rsidP="00961687">
      <w:pPr>
        <w:pStyle w:val="Tekstpodstawowy"/>
        <w:rPr>
          <w:szCs w:val="24"/>
        </w:rPr>
      </w:pPr>
    </w:p>
    <w:p w:rsidR="00872470" w:rsidRDefault="00961687" w:rsidP="00961687">
      <w:pPr>
        <w:pStyle w:val="Tekstpodstawowy"/>
      </w:pPr>
      <w:r>
        <w:t>Pr</w:t>
      </w:r>
      <w:r w:rsidR="00B10A4A">
        <w:t>zedmiotowy pr</w:t>
      </w:r>
      <w:r>
        <w:t>ojekt</w:t>
      </w:r>
      <w:r w:rsidRPr="005161DF">
        <w:t xml:space="preserve"> nie zawiera przepisów technicznych i nie podlega notyfikacji, o której mowa w </w:t>
      </w:r>
      <w:r w:rsidRPr="00C87D2F">
        <w:t>rozporządzeniu Rady Ministrów z dnia 23 grudnia 2002 r.</w:t>
      </w:r>
      <w:r w:rsidRPr="00B10A4A">
        <w:rPr>
          <w:i/>
        </w:rPr>
        <w:t xml:space="preserve"> w sprawie </w:t>
      </w:r>
      <w:r w:rsidR="002C2B0E" w:rsidRPr="00B10A4A">
        <w:rPr>
          <w:i/>
        </w:rPr>
        <w:t>sposob</w:t>
      </w:r>
      <w:r w:rsidR="005460E9" w:rsidRPr="00B10A4A">
        <w:rPr>
          <w:i/>
        </w:rPr>
        <w:t>u</w:t>
      </w:r>
      <w:r w:rsidR="002C2B0E" w:rsidRPr="00B10A4A">
        <w:rPr>
          <w:i/>
        </w:rPr>
        <w:t xml:space="preserve"> </w:t>
      </w:r>
      <w:r w:rsidRPr="00B10A4A">
        <w:rPr>
          <w:i/>
        </w:rPr>
        <w:t>funkcjonowania krajowego systemu notyfikacji norm i aktów prawnych</w:t>
      </w:r>
      <w:r w:rsidRPr="005161DF">
        <w:t xml:space="preserve"> (Dz. U. poz. 2039</w:t>
      </w:r>
      <w:r>
        <w:t xml:space="preserve">, </w:t>
      </w:r>
      <w:r w:rsidR="00B10A4A">
        <w:br/>
      </w:r>
      <w:r>
        <w:t>z późn. zm.).</w:t>
      </w:r>
      <w:r w:rsidR="00872470">
        <w:t xml:space="preserve"> Projekt nie podlega również notyfikacji usługowej. o której mowa w art. 15 </w:t>
      </w:r>
      <w:r w:rsidR="00EC6872">
        <w:br/>
      </w:r>
      <w:r w:rsidR="00872470">
        <w:t xml:space="preserve">ust. 7 i art. 39 ust. 5 </w:t>
      </w:r>
      <w:r w:rsidR="00872470" w:rsidRPr="00872470">
        <w:rPr>
          <w:i/>
        </w:rPr>
        <w:t xml:space="preserve">dyrektywy 2006/123/WE Parlamentu Europejskiego i </w:t>
      </w:r>
      <w:r w:rsidR="00F93719">
        <w:rPr>
          <w:i/>
        </w:rPr>
        <w:t>R</w:t>
      </w:r>
      <w:r w:rsidR="00872470" w:rsidRPr="00872470">
        <w:rPr>
          <w:i/>
        </w:rPr>
        <w:t>ady z dnia 12 grudnia 2006 r. dotyczącej usług na rynku wewnętrznym</w:t>
      </w:r>
      <w:r w:rsidR="00872470">
        <w:t xml:space="preserve"> (Dz. Urz. UE L 376 z 27.12.2006, str. 36). </w:t>
      </w:r>
    </w:p>
    <w:p w:rsidR="00872470" w:rsidRDefault="00872470" w:rsidP="00961687">
      <w:pPr>
        <w:pStyle w:val="Tekstpodstawowy"/>
      </w:pPr>
    </w:p>
    <w:p w:rsidR="00961687" w:rsidRPr="005161DF" w:rsidRDefault="00872470" w:rsidP="00961687">
      <w:pPr>
        <w:pStyle w:val="Tekstpodstawowy"/>
      </w:pPr>
      <w:r>
        <w:t xml:space="preserve">Projekt rozporządzenia nie stanowi programu pomocowego w rozumieniu art. 2 pkt 7 ustawy z dnia 30 kwietnia 2004 r. </w:t>
      </w:r>
      <w:r w:rsidRPr="00C87D2F">
        <w:rPr>
          <w:i/>
        </w:rPr>
        <w:t>o postepowaniu w sprawach dotyczących pomocy publicznej</w:t>
      </w:r>
      <w:r>
        <w:t xml:space="preserve"> (Dz. U. z 2020 r. poz. 708), więc nie podlega notyfikacji Komisji Europejskiej, o której m</w:t>
      </w:r>
      <w:r w:rsidR="0054111E">
        <w:t xml:space="preserve">owa </w:t>
      </w:r>
      <w:r w:rsidR="00EC6872">
        <w:br/>
      </w:r>
      <w:r w:rsidR="0054111E">
        <w:t>w art. 2 pkt 15 ww. ustawy.</w:t>
      </w:r>
    </w:p>
    <w:p w:rsidR="00961687" w:rsidRPr="00DB0AD1" w:rsidRDefault="00961687" w:rsidP="00961687">
      <w:pPr>
        <w:pStyle w:val="Tekstpodstawowy"/>
        <w:rPr>
          <w:rFonts w:eastAsia="Arial Unicode MS"/>
        </w:rPr>
      </w:pPr>
    </w:p>
    <w:p w:rsidR="00961687" w:rsidRPr="0020715D" w:rsidRDefault="00961687" w:rsidP="00961687">
      <w:pPr>
        <w:pStyle w:val="Tekstpodstawowy"/>
      </w:pPr>
      <w:r>
        <w:t>Projekt rozporządzeni</w:t>
      </w:r>
      <w:r w:rsidR="004D2DEE">
        <w:t>a</w:t>
      </w:r>
      <w:r w:rsidRPr="008431F3">
        <w:t xml:space="preserve"> nie zawiera</w:t>
      </w:r>
      <w:r w:rsidRPr="0020715D">
        <w:t xml:space="preserve"> regulacji podlegających opinii, powiadomieniu, konsultacjom albo uzgodnieniom z organami i instytucjami Unii Europejskiej, w tym </w:t>
      </w:r>
      <w:r w:rsidR="004D2DEE">
        <w:br/>
      </w:r>
      <w:r w:rsidRPr="0020715D">
        <w:t>z Europejskim Bankiem Centralnym.</w:t>
      </w:r>
    </w:p>
    <w:p w:rsidR="00961687" w:rsidRPr="00DB0AD1" w:rsidRDefault="00961687" w:rsidP="00961687">
      <w:pPr>
        <w:pStyle w:val="Tekstpodstawowy"/>
        <w:rPr>
          <w:rFonts w:eastAsia="Arial Unicode MS"/>
        </w:rPr>
      </w:pPr>
    </w:p>
    <w:p w:rsidR="00961687" w:rsidRDefault="00961687" w:rsidP="00961687">
      <w:pPr>
        <w:pStyle w:val="Tekstpodstawowy"/>
      </w:pPr>
      <w:r w:rsidRPr="00ED6454">
        <w:t xml:space="preserve">Z uwagi na to, że projekt rozporządzenia nie zawiera przepisów określających warunki wykonywania działalności gospodarczej, nie podlega regulacji określonej </w:t>
      </w:r>
      <w:r w:rsidRPr="00B10A4A">
        <w:rPr>
          <w:i/>
        </w:rPr>
        <w:t>uchwałą nr 20 Rady Ministrów z dnia 18 lutego 2014 r. w sprawie zaleceń ujednolicenia terminów wejścia w życie niektórych aktów normatywnych</w:t>
      </w:r>
      <w:r w:rsidRPr="00ED6454">
        <w:t xml:space="preserve"> (M. P. poz. 205).</w:t>
      </w:r>
    </w:p>
    <w:p w:rsidR="00FE0454" w:rsidRDefault="00FE0454" w:rsidP="00961687">
      <w:pPr>
        <w:pStyle w:val="Tekstpodstawowy"/>
      </w:pPr>
    </w:p>
    <w:p w:rsidR="00C6246E" w:rsidRDefault="00C6246E" w:rsidP="00961687">
      <w:pPr>
        <w:pStyle w:val="Tekstpodstawowy"/>
        <w:rPr>
          <w:rFonts w:eastAsia="Arial Unicode MS"/>
          <w:b/>
        </w:rPr>
      </w:pPr>
    </w:p>
    <w:p w:rsidR="00961687" w:rsidRPr="00DB0AD1" w:rsidRDefault="008001C4" w:rsidP="00961687">
      <w:pPr>
        <w:pStyle w:val="Tekstpodstawowy"/>
        <w:rPr>
          <w:rFonts w:eastAsia="Arial Unicode MS"/>
          <w:b/>
        </w:rPr>
      </w:pPr>
      <w:r>
        <w:rPr>
          <w:rFonts w:eastAsia="Arial Unicode MS"/>
          <w:b/>
        </w:rPr>
        <w:t>Wstępna o</w:t>
      </w:r>
      <w:r w:rsidR="00961687" w:rsidRPr="00DB0AD1">
        <w:rPr>
          <w:rFonts w:eastAsia="Arial Unicode MS"/>
          <w:b/>
        </w:rPr>
        <w:t>pinia o zgodności z prawem Unii Europejskiej</w:t>
      </w:r>
    </w:p>
    <w:p w:rsidR="007F3085" w:rsidRPr="004A33A8" w:rsidRDefault="007F3085" w:rsidP="007F3085">
      <w:r w:rsidRPr="004A33A8">
        <w:t>Projektowane rozporządzenie jest zgo</w:t>
      </w:r>
      <w:r w:rsidR="00F914E5">
        <w:t>dne z prawem Unii Europejskiej.</w:t>
      </w:r>
    </w:p>
    <w:p w:rsidR="007F3085" w:rsidRDefault="007F3085" w:rsidP="007F3085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Cs w:val="24"/>
        </w:rPr>
      </w:pPr>
      <w:r>
        <w:br w:type="page"/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230"/>
        <w:gridCol w:w="194"/>
        <w:gridCol w:w="359"/>
        <w:gridCol w:w="131"/>
        <w:gridCol w:w="532"/>
        <w:gridCol w:w="112"/>
        <w:gridCol w:w="283"/>
        <w:gridCol w:w="494"/>
        <w:gridCol w:w="357"/>
        <w:gridCol w:w="138"/>
        <w:gridCol w:w="107"/>
        <w:gridCol w:w="388"/>
        <w:gridCol w:w="28"/>
        <w:gridCol w:w="467"/>
        <w:gridCol w:w="148"/>
        <w:gridCol w:w="47"/>
        <w:gridCol w:w="299"/>
        <w:gridCol w:w="362"/>
        <w:gridCol w:w="133"/>
        <w:gridCol w:w="158"/>
        <w:gridCol w:w="337"/>
        <w:gridCol w:w="34"/>
        <w:gridCol w:w="461"/>
        <w:gridCol w:w="11"/>
        <w:gridCol w:w="189"/>
        <w:gridCol w:w="295"/>
        <w:gridCol w:w="367"/>
        <w:gridCol w:w="142"/>
        <w:gridCol w:w="991"/>
      </w:tblGrid>
      <w:tr w:rsidR="0055372C" w:rsidRPr="005161DF" w:rsidTr="00037A99">
        <w:trPr>
          <w:trHeight w:val="4252"/>
        </w:trPr>
        <w:tc>
          <w:tcPr>
            <w:tcW w:w="5813" w:type="dxa"/>
            <w:gridSpan w:val="16"/>
          </w:tcPr>
          <w:p w:rsidR="0055372C" w:rsidRPr="0092186D" w:rsidRDefault="0055372C" w:rsidP="00037A99">
            <w:pPr>
              <w:spacing w:before="60" w:line="240" w:lineRule="auto"/>
              <w:rPr>
                <w:rStyle w:val="Ppogrubienie"/>
              </w:rPr>
            </w:pPr>
            <w:r w:rsidRPr="0092186D">
              <w:rPr>
                <w:rStyle w:val="Ppogrubienie"/>
              </w:rPr>
              <w:lastRenderedPageBreak/>
              <w:t>Nazwa projektu</w:t>
            </w:r>
          </w:p>
          <w:p w:rsidR="0055372C" w:rsidRPr="004A33A8" w:rsidRDefault="0055372C" w:rsidP="00037A99">
            <w:pPr>
              <w:pStyle w:val="Tekstpodstawowy"/>
              <w:jc w:val="left"/>
            </w:pPr>
            <w:r>
              <w:t>P</w:t>
            </w:r>
            <w:r w:rsidRPr="004A33A8">
              <w:t xml:space="preserve">rojekt rozporządzenia Ministra </w:t>
            </w:r>
            <w:r>
              <w:t xml:space="preserve">Rozwoju </w:t>
            </w:r>
            <w:r w:rsidRPr="004A33A8">
              <w:t>w sprawie wykazu gmin, którym przysługuje część rekompensująca subwencji ogólnej za rok 201</w:t>
            </w:r>
            <w:r>
              <w:t>9</w:t>
            </w:r>
          </w:p>
          <w:p w:rsidR="0055372C" w:rsidRPr="00D47E5E" w:rsidRDefault="0055372C" w:rsidP="00037A99">
            <w:pPr>
              <w:spacing w:before="120" w:line="240" w:lineRule="auto"/>
              <w:rPr>
                <w:rStyle w:val="Ppogrubienie"/>
              </w:rPr>
            </w:pPr>
            <w:r w:rsidRPr="00D47E5E">
              <w:rPr>
                <w:rStyle w:val="Ppogrubienie"/>
              </w:rPr>
              <w:t xml:space="preserve">Ministerstwo </w:t>
            </w:r>
            <w:r>
              <w:rPr>
                <w:rStyle w:val="Ppogrubienie"/>
              </w:rPr>
              <w:t>Rozwoju</w:t>
            </w:r>
          </w:p>
          <w:p w:rsidR="0055372C" w:rsidRPr="00D47E5E" w:rsidRDefault="0055372C" w:rsidP="00037A99">
            <w:pPr>
              <w:pStyle w:val="Tekstpodstawowy"/>
              <w:spacing w:before="120"/>
              <w:rPr>
                <w:rStyle w:val="Ppogrubienie"/>
              </w:rPr>
            </w:pPr>
            <w:r w:rsidRPr="00D47E5E">
              <w:rPr>
                <w:rStyle w:val="Ppogrubienie"/>
              </w:rPr>
              <w:t>Osoba odpowiedzialna za projekt w randze Ministra, Sekretarza Stanu lub Podsekretarza Stanu</w:t>
            </w:r>
          </w:p>
          <w:p w:rsidR="0055372C" w:rsidRPr="004A33A8" w:rsidRDefault="0055372C" w:rsidP="00037A99">
            <w:pPr>
              <w:spacing w:line="240" w:lineRule="auto"/>
            </w:pPr>
            <w:r>
              <w:t>Olga Semeniuk, Podsekretarz Stanu w Ministerstwie Rozwoju</w:t>
            </w:r>
          </w:p>
          <w:p w:rsidR="0055372C" w:rsidRDefault="0055372C" w:rsidP="00037A99">
            <w:pPr>
              <w:pStyle w:val="Tekstpodstawowy"/>
              <w:spacing w:before="120"/>
              <w:rPr>
                <w:rStyle w:val="Ppogrubienie"/>
              </w:rPr>
            </w:pPr>
            <w:r w:rsidRPr="00D47E5E">
              <w:rPr>
                <w:rStyle w:val="Ppogrubienie"/>
              </w:rPr>
              <w:t>Kontakt do opiekuna merytorycznego projektu</w:t>
            </w:r>
          </w:p>
          <w:p w:rsidR="0055372C" w:rsidRDefault="0055372C" w:rsidP="00037A99">
            <w:pPr>
              <w:pStyle w:val="Tekstpodstawowy"/>
            </w:pPr>
            <w:r>
              <w:t>Łukasz Gałczyński</w:t>
            </w:r>
            <w:r w:rsidRPr="00A54BC4">
              <w:t>,</w:t>
            </w:r>
          </w:p>
          <w:p w:rsidR="0055372C" w:rsidRPr="00122017" w:rsidRDefault="0055372C" w:rsidP="00037A99">
            <w:pPr>
              <w:pStyle w:val="Tekstpodstawowy"/>
            </w:pPr>
            <w:r w:rsidRPr="00A54BC4">
              <w:t xml:space="preserve">Zastępca Dyrektora Departamentu </w:t>
            </w:r>
            <w:r>
              <w:t>Rozwoju Inwestycji</w:t>
            </w:r>
          </w:p>
          <w:p w:rsidR="0055372C" w:rsidRDefault="0055372C" w:rsidP="00037A99">
            <w:pPr>
              <w:pStyle w:val="Tekstpodstawowy"/>
            </w:pPr>
            <w:r>
              <w:t xml:space="preserve">tel.: </w:t>
            </w:r>
            <w:r w:rsidRPr="0015548F">
              <w:t xml:space="preserve">22 </w:t>
            </w:r>
            <w:r>
              <w:t>2</w:t>
            </w:r>
            <w:r w:rsidRPr="0015548F">
              <w:t>6</w:t>
            </w:r>
            <w:r>
              <w:t>2</w:t>
            </w:r>
            <w:r w:rsidRPr="0015548F">
              <w:t>-</w:t>
            </w:r>
            <w:r>
              <w:t>93</w:t>
            </w:r>
            <w:r w:rsidRPr="0015548F">
              <w:t>-</w:t>
            </w:r>
            <w:r>
              <w:t>67</w:t>
            </w:r>
          </w:p>
          <w:p w:rsidR="0055372C" w:rsidRPr="004A33A8" w:rsidRDefault="0055372C" w:rsidP="0055372C">
            <w:pPr>
              <w:pStyle w:val="Tekstpodstawowy"/>
              <w:spacing w:after="60"/>
            </w:pPr>
            <w:r>
              <w:t>e-mail: lukasz.galczynski@mr.gov.pl</w:t>
            </w:r>
          </w:p>
        </w:tc>
        <w:tc>
          <w:tcPr>
            <w:tcW w:w="3826" w:type="dxa"/>
            <w:gridSpan w:val="14"/>
            <w:shd w:val="clear" w:color="auto" w:fill="FFFFFF"/>
          </w:tcPr>
          <w:p w:rsidR="0055372C" w:rsidRPr="004A33A8" w:rsidRDefault="0055372C" w:rsidP="00037A99">
            <w:pPr>
              <w:spacing w:before="60" w:line="240" w:lineRule="auto"/>
            </w:pPr>
            <w:r w:rsidRPr="00D47E5E">
              <w:rPr>
                <w:rStyle w:val="Ppogrubienie"/>
              </w:rPr>
              <w:t>Data sporządzenia</w:t>
            </w:r>
            <w:r>
              <w:rPr>
                <w:rStyle w:val="Ppogrubienie"/>
              </w:rPr>
              <w:t>:</w:t>
            </w:r>
            <w:r w:rsidRPr="004A33A8">
              <w:br/>
            </w:r>
            <w:r>
              <w:t>17 września 2020 r.</w:t>
            </w:r>
          </w:p>
          <w:p w:rsidR="0055372C" w:rsidRPr="004A33A8" w:rsidRDefault="0055372C" w:rsidP="00037A99"/>
          <w:p w:rsidR="0055372C" w:rsidRPr="00961687" w:rsidRDefault="0055372C" w:rsidP="00037A99">
            <w:pPr>
              <w:pStyle w:val="ODNONIKtreodnonika"/>
              <w:ind w:left="0" w:firstLine="0"/>
              <w:jc w:val="left"/>
              <w:rPr>
                <w:sz w:val="24"/>
              </w:rPr>
            </w:pPr>
            <w:r w:rsidRPr="00961687">
              <w:rPr>
                <w:rStyle w:val="Ppogrubienie"/>
                <w:sz w:val="24"/>
              </w:rPr>
              <w:t>Źródło:</w:t>
            </w:r>
            <w:r w:rsidRPr="00961687">
              <w:rPr>
                <w:sz w:val="24"/>
              </w:rPr>
              <w:t xml:space="preserve"> art. 10 ust. 7 ustawy z dnia </w:t>
            </w:r>
            <w:r>
              <w:rPr>
                <w:sz w:val="24"/>
              </w:rPr>
              <w:br/>
            </w:r>
            <w:r w:rsidRPr="00961687">
              <w:rPr>
                <w:sz w:val="24"/>
              </w:rPr>
              <w:t>2 października 2003 r. o zmianie ustawy o specjalnych strefach ekonomicznych i niektórych ustaw (Dz. U. poz. 1840, z późn. zm.)</w:t>
            </w:r>
          </w:p>
          <w:p w:rsidR="0055372C" w:rsidRPr="004A33A8" w:rsidRDefault="0055372C" w:rsidP="00037A99"/>
          <w:p w:rsidR="0055372C" w:rsidRPr="004A33A8" w:rsidRDefault="0055372C" w:rsidP="00037A99">
            <w:r w:rsidRPr="004A33A8">
              <w:t>Nr w wykazie prac</w:t>
            </w:r>
            <w:r>
              <w:t>: 77</w:t>
            </w:r>
          </w:p>
        </w:tc>
      </w:tr>
      <w:tr w:rsidR="0055372C" w:rsidRPr="005161DF" w:rsidTr="00037A99">
        <w:trPr>
          <w:trHeight w:val="486"/>
        </w:trPr>
        <w:tc>
          <w:tcPr>
            <w:tcW w:w="9639" w:type="dxa"/>
            <w:gridSpan w:val="30"/>
            <w:shd w:val="clear" w:color="auto" w:fill="99CCFF"/>
          </w:tcPr>
          <w:p w:rsidR="0055372C" w:rsidRPr="004A33A8" w:rsidRDefault="0055372C" w:rsidP="00037A99">
            <w:pPr>
              <w:pStyle w:val="TYTUAKTUprzedmiotregulacjiustawylubrozporzdzenia"/>
              <w:spacing w:after="0" w:line="240" w:lineRule="auto"/>
            </w:pPr>
            <w:r w:rsidRPr="00534E16">
              <w:rPr>
                <w:color w:val="FFFFFF" w:themeColor="background1"/>
              </w:rPr>
              <w:t>OCENA SKUTKÓW REGULACJI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417293" w:rsidRDefault="0055372C" w:rsidP="00037A99">
            <w:pPr>
              <w:tabs>
                <w:tab w:val="left" w:pos="318"/>
              </w:tabs>
              <w:spacing w:line="240" w:lineRule="auto"/>
              <w:rPr>
                <w:rStyle w:val="Ppogrubienie"/>
                <w:rFonts w:ascii="Times" w:hAnsi="Times"/>
                <w:b w:val="0"/>
                <w:bCs/>
                <w:szCs w:val="24"/>
              </w:rPr>
            </w:pPr>
            <w:r>
              <w:rPr>
                <w:rStyle w:val="Ppogrubienie"/>
              </w:rPr>
              <w:t>1.</w:t>
            </w:r>
            <w:r>
              <w:rPr>
                <w:rStyle w:val="Ppogrubienie"/>
              </w:rPr>
              <w:tab/>
            </w:r>
            <w:r w:rsidRPr="00417293">
              <w:rPr>
                <w:rStyle w:val="Ppogrubienie"/>
              </w:rPr>
              <w:t>Jaki problem jest rozwiązywany?</w:t>
            </w:r>
          </w:p>
        </w:tc>
      </w:tr>
      <w:tr w:rsidR="0055372C" w:rsidRPr="005161DF" w:rsidTr="00037A99">
        <w:trPr>
          <w:trHeight w:val="1191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Default="0055372C" w:rsidP="00037A99">
            <w:pPr>
              <w:pStyle w:val="Tekstpodstawowy"/>
              <w:spacing w:before="60" w:after="60"/>
            </w:pPr>
            <w:r>
              <w:t xml:space="preserve">Przepis art. </w:t>
            </w:r>
            <w:r w:rsidRPr="004A33A8">
              <w:t xml:space="preserve">10 ust. 5 </w:t>
            </w:r>
            <w:r>
              <w:t xml:space="preserve">ustawy </w:t>
            </w:r>
            <w:r w:rsidRPr="00F93719">
              <w:t>z dnia 2 października 2003 r.</w:t>
            </w:r>
            <w:r w:rsidRPr="00BD68B5">
              <w:rPr>
                <w:i/>
              </w:rPr>
              <w:t xml:space="preserve"> o zmianie ustawy o specjalnych strefach ekonomicznych i niektórych ustaw</w:t>
            </w:r>
            <w:r w:rsidRPr="004A33A8">
              <w:t xml:space="preserve"> (Dz. U. poz. 1840, z późn. zm.)</w:t>
            </w:r>
            <w:r>
              <w:t xml:space="preserve"> wprowadził rozwiązanie mające na celu zrekompensowanie gminom ubytku dochodów </w:t>
            </w:r>
            <w:r w:rsidRPr="004A33A8">
              <w:t>z podatku od nieruchomości na skutek zwolnienia przedsiębiorców</w:t>
            </w:r>
            <w:r>
              <w:t xml:space="preserve"> ustanowionego na mocy art. </w:t>
            </w:r>
            <w:r w:rsidRPr="004A33A8">
              <w:t>10 ust. 1 tej ustawy</w:t>
            </w:r>
            <w:r>
              <w:t>.</w:t>
            </w:r>
          </w:p>
          <w:p w:rsidR="0055372C" w:rsidRPr="004A33A8" w:rsidRDefault="0055372C" w:rsidP="00037A99">
            <w:pPr>
              <w:pStyle w:val="Tekstpodstawowy"/>
              <w:spacing w:before="60" w:after="60"/>
            </w:pPr>
            <w:r>
              <w:t xml:space="preserve">Zgodnie z art. 10 ust. 7 tej ustawy minister właściwy do spraw gospodarki określa corocznie, </w:t>
            </w:r>
            <w:r>
              <w:br/>
              <w:t xml:space="preserve">w drodze rozporządzenia, wykaz gmin, którym przysługuje część rekompensująca subwencji ogólnej za rok poprzedni. Ustalenie gmin, którym przysługuje rekompensata ubytku dochodów </w:t>
            </w:r>
            <w:r>
              <w:br/>
              <w:t>z 2019 r. powinno nastąpić w 2020 r.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417293" w:rsidRDefault="0055372C" w:rsidP="00037A99">
            <w:pPr>
              <w:tabs>
                <w:tab w:val="left" w:pos="318"/>
              </w:tabs>
              <w:spacing w:line="240" w:lineRule="auto"/>
              <w:jc w:val="both"/>
              <w:rPr>
                <w:rStyle w:val="Ppogrubienie"/>
                <w:rFonts w:cs="Times New Roman"/>
                <w:lang w:eastAsia="ar-SA"/>
              </w:rPr>
            </w:pPr>
            <w:r>
              <w:rPr>
                <w:rStyle w:val="Ppogrubienie"/>
              </w:rPr>
              <w:t>2.</w:t>
            </w:r>
            <w:r>
              <w:rPr>
                <w:rStyle w:val="Ppogrubienie"/>
              </w:rPr>
              <w:tab/>
            </w:r>
            <w:r w:rsidRPr="00417293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auto"/>
            <w:vAlign w:val="center"/>
          </w:tcPr>
          <w:p w:rsidR="0055372C" w:rsidRDefault="0055372C" w:rsidP="00037A99">
            <w:pPr>
              <w:pStyle w:val="Tekstpodstawowy"/>
              <w:spacing w:before="60" w:after="60"/>
            </w:pPr>
            <w:r>
              <w:t>Rekomendowanym rozwiązaniem jest wskazanie</w:t>
            </w:r>
            <w:r w:rsidRPr="004A33A8">
              <w:t xml:space="preserve">, w drodze rozporządzenia Ministra </w:t>
            </w:r>
            <w:r>
              <w:t>Rozwoju</w:t>
            </w:r>
            <w:r w:rsidRPr="004A33A8">
              <w:t xml:space="preserve">, gmin, którym przysługuje </w:t>
            </w:r>
            <w:r>
              <w:t xml:space="preserve">część </w:t>
            </w:r>
            <w:r w:rsidRPr="004A33A8">
              <w:t>rekompensująca subwencj</w:t>
            </w:r>
            <w:r>
              <w:t>i</w:t>
            </w:r>
            <w:r w:rsidRPr="004A33A8">
              <w:t xml:space="preserve"> </w:t>
            </w:r>
            <w:r>
              <w:t xml:space="preserve">ogólnej </w:t>
            </w:r>
            <w:r w:rsidRPr="004A33A8">
              <w:t>za 201</w:t>
            </w:r>
            <w:r>
              <w:t>9</w:t>
            </w:r>
            <w:r w:rsidRPr="004A33A8">
              <w:t xml:space="preserve"> r.</w:t>
            </w:r>
          </w:p>
          <w:p w:rsidR="0055372C" w:rsidRDefault="0055372C" w:rsidP="00037A99">
            <w:pPr>
              <w:pStyle w:val="Tekstpodstawowy"/>
              <w:spacing w:before="60" w:after="60"/>
            </w:pPr>
            <w:r>
              <w:t>W projektowanym rozporządzeniu wykaz gmin uprawnionych do części rekompensującej subwencji ogólnej obejmuje 3 gminy miejskie, tj. Gliwice, Legnicę i Wałbrzych. W porównaniu z listą gmin uprawnionych do rekompensaty za 2018 r. wykaz z projektowanego rozporządzenia jest rozszerzony o miasto Gliwice.</w:t>
            </w:r>
          </w:p>
          <w:p w:rsidR="0055372C" w:rsidRPr="004A33A8" w:rsidRDefault="0055372C" w:rsidP="00037A99">
            <w:pPr>
              <w:pStyle w:val="Tekstpodstawowy"/>
              <w:spacing w:before="60" w:after="60"/>
            </w:pPr>
            <w:r>
              <w:t>Z uwagi na powyższe subwencja za 2019 r. będzie większa niż za 2018 r.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037285" w:rsidRDefault="0055372C" w:rsidP="00037A99">
            <w:pPr>
              <w:pStyle w:val="Tekstpodstawowy"/>
              <w:tabs>
                <w:tab w:val="left" w:pos="318"/>
              </w:tabs>
              <w:rPr>
                <w:rStyle w:val="Ppogrubienie"/>
              </w:rPr>
            </w:pPr>
            <w:r>
              <w:rPr>
                <w:rStyle w:val="Ppogrubienie"/>
              </w:rPr>
              <w:t>3.</w:t>
            </w:r>
            <w:r>
              <w:rPr>
                <w:rStyle w:val="Ppogrubienie"/>
              </w:rPr>
              <w:tab/>
            </w:r>
            <w:r w:rsidRPr="00037285">
              <w:rPr>
                <w:rStyle w:val="Ppogrubienie"/>
              </w:rPr>
              <w:t>Jak problem został rozwiązany w innych krajach, w szczególności krajach członkowskich OECD/UE?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auto"/>
            <w:vAlign w:val="center"/>
          </w:tcPr>
          <w:p w:rsidR="0055372C" w:rsidRPr="004A33A8" w:rsidRDefault="0055372C" w:rsidP="00037A99">
            <w:pPr>
              <w:pStyle w:val="Tekstpodstawowy"/>
              <w:spacing w:before="60" w:after="60"/>
            </w:pPr>
            <w:r w:rsidRPr="004A33A8">
              <w:t>Nie są znane analogiczne rozwiązania w innych krajach OECD/UE</w:t>
            </w:r>
            <w:r>
              <w:t>.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1961D1" w:rsidRDefault="0055372C" w:rsidP="00037A99">
            <w:pPr>
              <w:tabs>
                <w:tab w:val="left" w:pos="318"/>
              </w:tabs>
              <w:spacing w:line="240" w:lineRule="auto"/>
              <w:rPr>
                <w:rStyle w:val="Ppogrubienie"/>
                <w:rFonts w:cs="Times New Roman"/>
                <w:lang w:eastAsia="ar-SA"/>
              </w:rPr>
            </w:pPr>
            <w:r>
              <w:rPr>
                <w:rStyle w:val="Ppogrubienie"/>
              </w:rPr>
              <w:t>4.</w:t>
            </w:r>
            <w:r>
              <w:rPr>
                <w:rStyle w:val="Ppogrubienie"/>
              </w:rPr>
              <w:tab/>
            </w:r>
            <w:r w:rsidRPr="001961D1">
              <w:rPr>
                <w:rStyle w:val="Ppogrubienie"/>
              </w:rPr>
              <w:t>Podmioty, na które oddziałuje projekt</w:t>
            </w:r>
          </w:p>
        </w:tc>
      </w:tr>
      <w:tr w:rsidR="0055372C" w:rsidRPr="005161DF" w:rsidTr="00037A99">
        <w:trPr>
          <w:trHeight w:val="363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55372C" w:rsidRPr="004A33A8" w:rsidRDefault="0055372C" w:rsidP="00037A99">
            <w:pPr>
              <w:spacing w:line="240" w:lineRule="auto"/>
              <w:jc w:val="center"/>
            </w:pPr>
            <w:r w:rsidRPr="004A33A8">
              <w:t>Grupa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5372C" w:rsidRPr="004A33A8" w:rsidRDefault="0055372C" w:rsidP="00037A99">
            <w:pPr>
              <w:spacing w:line="240" w:lineRule="auto"/>
              <w:jc w:val="center"/>
            </w:pPr>
            <w:r w:rsidRPr="004A33A8">
              <w:t>Wielkość</w:t>
            </w:r>
          </w:p>
        </w:tc>
        <w:tc>
          <w:tcPr>
            <w:tcW w:w="4252" w:type="dxa"/>
            <w:gridSpan w:val="18"/>
            <w:shd w:val="clear" w:color="auto" w:fill="auto"/>
            <w:vAlign w:val="center"/>
          </w:tcPr>
          <w:p w:rsidR="0055372C" w:rsidRPr="004A33A8" w:rsidRDefault="0055372C" w:rsidP="00037A99">
            <w:pPr>
              <w:spacing w:line="240" w:lineRule="auto"/>
              <w:jc w:val="center"/>
            </w:pPr>
            <w:r w:rsidRPr="004A33A8">
              <w:t>Źródło danych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5372C" w:rsidRPr="004A33A8" w:rsidRDefault="0055372C" w:rsidP="00037A99">
            <w:pPr>
              <w:spacing w:line="240" w:lineRule="auto"/>
              <w:jc w:val="center"/>
            </w:pPr>
            <w:r w:rsidRPr="004A33A8">
              <w:t>Oddziaływanie</w:t>
            </w:r>
          </w:p>
        </w:tc>
      </w:tr>
      <w:tr w:rsidR="0055372C" w:rsidRPr="005161DF" w:rsidTr="00037A99">
        <w:trPr>
          <w:trHeight w:val="142"/>
        </w:trPr>
        <w:tc>
          <w:tcPr>
            <w:tcW w:w="2269" w:type="dxa"/>
            <w:gridSpan w:val="3"/>
            <w:shd w:val="clear" w:color="auto" w:fill="auto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>
              <w:t>G</w:t>
            </w:r>
            <w:r w:rsidRPr="004A33A8">
              <w:t xml:space="preserve">miny uprawnione do </w:t>
            </w:r>
            <w:r>
              <w:t xml:space="preserve">rekompensaty </w:t>
            </w:r>
            <w:r>
              <w:br/>
            </w:r>
            <w:r w:rsidRPr="004A33A8">
              <w:t>z</w:t>
            </w:r>
            <w:r>
              <w:t xml:space="preserve"> </w:t>
            </w:r>
            <w:r w:rsidRPr="004A33A8">
              <w:t>tytułu utraty</w:t>
            </w:r>
            <w:r>
              <w:t xml:space="preserve"> </w:t>
            </w:r>
            <w:r w:rsidRPr="004A33A8">
              <w:t>wpływów</w:t>
            </w:r>
            <w:r>
              <w:t xml:space="preserve"> z </w:t>
            </w:r>
            <w:r w:rsidRPr="004A33A8">
              <w:t xml:space="preserve">podatku </w:t>
            </w:r>
            <w:r w:rsidRPr="004A33A8">
              <w:lastRenderedPageBreak/>
              <w:t>od nieruchomości</w:t>
            </w:r>
            <w: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5372C" w:rsidRPr="00BF7114" w:rsidRDefault="0055372C" w:rsidP="00037A99">
            <w:pPr>
              <w:pStyle w:val="Tekstpodstawowy"/>
              <w:spacing w:before="60" w:after="60"/>
            </w:pPr>
            <w:r>
              <w:lastRenderedPageBreak/>
              <w:t>3</w:t>
            </w:r>
            <w:r w:rsidRPr="00D337A8">
              <w:t xml:space="preserve"> gmin</w:t>
            </w:r>
            <w:r>
              <w:t>y.</w:t>
            </w:r>
          </w:p>
        </w:tc>
        <w:tc>
          <w:tcPr>
            <w:tcW w:w="4252" w:type="dxa"/>
            <w:gridSpan w:val="18"/>
            <w:shd w:val="clear" w:color="auto" w:fill="auto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>
              <w:t>Informacje spółek zarządzających strefami o gminach uprawnionych do rekompensaty i p</w:t>
            </w:r>
            <w:r w:rsidRPr="004A33A8">
              <w:t>rzedsiębiorc</w:t>
            </w:r>
            <w:r>
              <w:t>ach</w:t>
            </w:r>
            <w:r w:rsidRPr="004A33A8">
              <w:t xml:space="preserve"> korzystający</w:t>
            </w:r>
            <w:r>
              <w:t>ch</w:t>
            </w:r>
            <w:r w:rsidRPr="004A33A8">
              <w:t xml:space="preserve"> z </w:t>
            </w:r>
            <w:r>
              <w:t xml:space="preserve">przedmiotowego </w:t>
            </w:r>
            <w:r w:rsidRPr="004A33A8">
              <w:t>zwolnienia z podatku od nieruchomości</w:t>
            </w:r>
            <w:r>
              <w:t xml:space="preserve"> </w:t>
            </w:r>
            <w:r>
              <w:lastRenderedPageBreak/>
              <w:t xml:space="preserve">oraz dane Ministerstwa Finansów </w:t>
            </w:r>
            <w:r>
              <w:br/>
              <w:t xml:space="preserve">o złożonych przez gminy informacjach </w:t>
            </w:r>
            <w:r>
              <w:br/>
              <w:t>o przewidywanych w 2019 r. ubytkach dochodów wynikających z tego zwolnienia.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 w:rsidRPr="004A33A8">
              <w:lastRenderedPageBreak/>
              <w:t xml:space="preserve">Wyrównanie gminom utraconych dochodów </w:t>
            </w:r>
            <w:r>
              <w:t xml:space="preserve">ze </w:t>
            </w:r>
            <w:r w:rsidRPr="004A33A8">
              <w:t>środk</w:t>
            </w:r>
            <w:r>
              <w:t xml:space="preserve">ów budżetu </w:t>
            </w:r>
            <w:r>
              <w:lastRenderedPageBreak/>
              <w:t>państwa.</w:t>
            </w:r>
          </w:p>
        </w:tc>
      </w:tr>
      <w:tr w:rsidR="0055372C" w:rsidRPr="005161DF" w:rsidTr="00037A99">
        <w:trPr>
          <w:trHeight w:val="142"/>
        </w:trPr>
        <w:tc>
          <w:tcPr>
            <w:tcW w:w="2269" w:type="dxa"/>
            <w:gridSpan w:val="3"/>
            <w:shd w:val="clear" w:color="auto" w:fill="auto"/>
          </w:tcPr>
          <w:p w:rsidR="0055372C" w:rsidRDefault="0055372C" w:rsidP="00037A99">
            <w:pPr>
              <w:pStyle w:val="Tekstpodstawowy"/>
              <w:spacing w:before="60" w:after="60"/>
              <w:jc w:val="left"/>
            </w:pPr>
            <w:r>
              <w:lastRenderedPageBreak/>
              <w:t>Minister właściwy do spraw finansów publicznych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5372C" w:rsidRDefault="0055372C" w:rsidP="00037A99">
            <w:pPr>
              <w:pStyle w:val="Tekstpodstawowy"/>
              <w:spacing w:before="60" w:after="60"/>
              <w:jc w:val="center"/>
            </w:pPr>
            <w:r>
              <w:t>1</w:t>
            </w:r>
          </w:p>
        </w:tc>
        <w:tc>
          <w:tcPr>
            <w:tcW w:w="4252" w:type="dxa"/>
            <w:gridSpan w:val="18"/>
            <w:shd w:val="clear" w:color="auto" w:fill="auto"/>
          </w:tcPr>
          <w:p w:rsidR="0055372C" w:rsidRDefault="0055372C" w:rsidP="00037A99">
            <w:pPr>
              <w:pStyle w:val="Tekstpodstawowy"/>
              <w:spacing w:before="60" w:after="60"/>
              <w:jc w:val="left"/>
            </w:pPr>
            <w:r>
              <w:t xml:space="preserve">Art. 10 ust. 9 ustawy </w:t>
            </w:r>
            <w:r w:rsidRPr="00F93719">
              <w:t>z dnia 2 października 2003 r.</w:t>
            </w:r>
            <w:r w:rsidRPr="00BD68B5">
              <w:rPr>
                <w:i/>
              </w:rPr>
              <w:t xml:space="preserve"> o zmianie ustawy o specjalnych strefach ekonomicznych i niektórych ustaw</w:t>
            </w:r>
            <w:r w:rsidRPr="004A33A8">
              <w:t xml:space="preserve"> </w:t>
            </w:r>
            <w:r>
              <w:t>.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>
              <w:t xml:space="preserve">Wskazanie gmin, którym przysługuje wypłacana przez ministra część rekompensująca subwencji ogólnej 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1961D1" w:rsidRDefault="0055372C" w:rsidP="00037A99">
            <w:pPr>
              <w:tabs>
                <w:tab w:val="left" w:pos="318"/>
              </w:tabs>
              <w:spacing w:line="240" w:lineRule="auto"/>
              <w:rPr>
                <w:rStyle w:val="Ppogrubienie"/>
                <w:rFonts w:cs="Times New Roman"/>
                <w:lang w:eastAsia="ar-SA"/>
              </w:rPr>
            </w:pPr>
            <w:r>
              <w:rPr>
                <w:rStyle w:val="Ppogrubienie"/>
              </w:rPr>
              <w:t>5.</w:t>
            </w:r>
            <w:r>
              <w:rPr>
                <w:rStyle w:val="Ppogrubienie"/>
              </w:rPr>
              <w:tab/>
            </w:r>
            <w:r w:rsidRPr="001961D1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55372C" w:rsidRPr="005161DF" w:rsidTr="00037A99">
        <w:trPr>
          <w:trHeight w:val="1020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C96E03" w:rsidRDefault="0055372C" w:rsidP="00037A99">
            <w:pPr>
              <w:pStyle w:val="Tekstpodstawowy"/>
              <w:spacing w:before="60"/>
            </w:pPr>
            <w:r w:rsidRPr="00C96E03">
              <w:t>Przed opracowaniem projektu przeprowadzono konsultacje ze spółkami zarządzającymi specjalnymi strefami ekonomicznymi</w:t>
            </w:r>
            <w:r>
              <w:t xml:space="preserve"> i Ministerstwem Finansów, do którego spływają informacje gmin o przewidywanych w 2019 r. ubytkach dochodów z tytułu przedmiotowego zwolnienia </w:t>
            </w:r>
            <w:r>
              <w:br/>
              <w:t>z podatku od nieruchomości.</w:t>
            </w:r>
          </w:p>
          <w:p w:rsidR="0055372C" w:rsidRDefault="0055372C" w:rsidP="00037A99">
            <w:pPr>
              <w:pStyle w:val="Tekstpodstawowy"/>
              <w:spacing w:before="60" w:after="60"/>
            </w:pPr>
            <w:r>
              <w:t>W ramach konsultacji</w:t>
            </w:r>
            <w:r w:rsidRPr="00547BD4">
              <w:t xml:space="preserve"> </w:t>
            </w:r>
            <w:r>
              <w:t>p</w:t>
            </w:r>
            <w:r w:rsidRPr="00547BD4">
              <w:t>rojekt rozporządzenia zosta</w:t>
            </w:r>
            <w:r>
              <w:t xml:space="preserve">nie </w:t>
            </w:r>
            <w:r w:rsidRPr="00547BD4">
              <w:t xml:space="preserve">zamieszczony na BIP Rządowego Centrum Legislacji w zakładce Rządowy </w:t>
            </w:r>
            <w:r w:rsidRPr="00943441">
              <w:t>Proces Legislacyjny.</w:t>
            </w:r>
            <w:r>
              <w:t xml:space="preserve"> Konsultacje będą trwały 14 dni </w:t>
            </w:r>
            <w:r>
              <w:br/>
              <w:t>i rozpoczną się w drugiej połowie września 2020 r.</w:t>
            </w:r>
          </w:p>
          <w:p w:rsidR="0055372C" w:rsidRDefault="0055372C" w:rsidP="00037A99">
            <w:pPr>
              <w:pStyle w:val="Tekstpodstawowy"/>
              <w:spacing w:before="60" w:after="60"/>
            </w:pPr>
            <w:r>
              <w:t xml:space="preserve">W ramach konsultacji projekt zostanie przekazany do opinii Prezesa Urzędu Ochrony Konkurencji i Konsumentów i Prezesa Prokuratorii Generalnej Rzeczpospolitej Polskiej oraz do rozpatrzenia przez Komisję Wspólną Rządu i Samorządu </w:t>
            </w:r>
            <w:r w:rsidRPr="004A33A8">
              <w:t>Terytorialnego</w:t>
            </w:r>
            <w:r>
              <w:t>.</w:t>
            </w:r>
          </w:p>
          <w:p w:rsidR="0055372C" w:rsidRPr="00C96E03" w:rsidRDefault="0055372C" w:rsidP="00037A99">
            <w:pPr>
              <w:pStyle w:val="Tekstpodstawowy"/>
              <w:spacing w:before="60" w:after="60"/>
            </w:pPr>
            <w:r>
              <w:t>Z uwagi na techniczny charakter rozporządzenia i fakt, że przed opracowaniem projektu przeprowadzono już konsultacje z zarządzającymi strefami, nie przewiduje się przekazywania projektu bezpośrednio do partnerów i organizacji społecznych.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C63449" w:rsidRDefault="0055372C" w:rsidP="00037A99">
            <w:pPr>
              <w:tabs>
                <w:tab w:val="left" w:pos="318"/>
              </w:tabs>
              <w:spacing w:line="276" w:lineRule="auto"/>
              <w:rPr>
                <w:rStyle w:val="Ppogrubienie"/>
                <w:rFonts w:cs="Times New Roman"/>
                <w:lang w:eastAsia="ar-SA"/>
              </w:rPr>
            </w:pPr>
            <w:r>
              <w:rPr>
                <w:rStyle w:val="Ppogrubienie"/>
              </w:rPr>
              <w:t>6.</w:t>
            </w:r>
            <w:r>
              <w:rPr>
                <w:rStyle w:val="Ppogrubienie"/>
              </w:rPr>
              <w:tab/>
            </w:r>
            <w:r w:rsidRPr="00C63449">
              <w:rPr>
                <w:rStyle w:val="Ppogrubienie"/>
              </w:rPr>
              <w:t>Wpływ na sektor finansów publicznych</w:t>
            </w:r>
          </w:p>
        </w:tc>
      </w:tr>
      <w:tr w:rsidR="0055372C" w:rsidRPr="005161DF" w:rsidTr="00037A99">
        <w:trPr>
          <w:trHeight w:val="502"/>
        </w:trPr>
        <w:tc>
          <w:tcPr>
            <w:tcW w:w="2759" w:type="dxa"/>
            <w:gridSpan w:val="5"/>
            <w:vMerge w:val="restart"/>
            <w:shd w:val="clear" w:color="auto" w:fill="FFFFFF"/>
          </w:tcPr>
          <w:p w:rsidR="0055372C" w:rsidRPr="00B32816" w:rsidRDefault="0055372C" w:rsidP="00037A99">
            <w:pPr>
              <w:pStyle w:val="ODNONIKtreodnonika"/>
              <w:spacing w:before="60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 xml:space="preserve">(ceny stałe z </w:t>
            </w:r>
            <w:r>
              <w:rPr>
                <w:rFonts w:cs="Times New Roman"/>
                <w:sz w:val="24"/>
                <w:szCs w:val="24"/>
              </w:rPr>
              <w:t>2020</w:t>
            </w:r>
            <w:r w:rsidRPr="00B32816">
              <w:rPr>
                <w:rFonts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6880" w:type="dxa"/>
            <w:gridSpan w:val="25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left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55372C" w:rsidRPr="005161DF" w:rsidTr="00037A99">
        <w:trPr>
          <w:trHeight w:val="142"/>
        </w:trPr>
        <w:tc>
          <w:tcPr>
            <w:tcW w:w="2759" w:type="dxa"/>
            <w:gridSpan w:val="5"/>
            <w:vMerge/>
            <w:shd w:val="clear" w:color="auto" w:fill="FFFFFF"/>
          </w:tcPr>
          <w:p w:rsidR="0055372C" w:rsidRPr="00B32816" w:rsidRDefault="0055372C" w:rsidP="00037A99">
            <w:pPr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Łącznie (0-10)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b/>
                <w:sz w:val="24"/>
                <w:szCs w:val="24"/>
              </w:rPr>
            </w:pPr>
            <w:r w:rsidRPr="008600E4">
              <w:rPr>
                <w:rFonts w:cs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3,335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budżet państwa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JST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pozostałe jednostki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b/>
                <w:sz w:val="24"/>
                <w:szCs w:val="24"/>
              </w:rPr>
            </w:pPr>
            <w:r w:rsidRPr="008600E4">
              <w:rPr>
                <w:rFonts w:cs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3,335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budżet państwa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JST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pozostałe jednostki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b/>
                <w:sz w:val="24"/>
                <w:szCs w:val="24"/>
              </w:rPr>
            </w:pPr>
            <w:r w:rsidRPr="008600E4">
              <w:rPr>
                <w:rFonts w:cs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Style w:val="Ppogrubienie"/>
                <w:rFonts w:cs="Times New Roman"/>
                <w:sz w:val="24"/>
                <w:szCs w:val="24"/>
              </w:rPr>
            </w:pPr>
            <w:r w:rsidRPr="00E019D9">
              <w:rPr>
                <w:rStyle w:val="Ppogrubienie"/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8600E4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budżet państwa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-3,335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-3,335</w:t>
            </w:r>
          </w:p>
        </w:tc>
      </w:tr>
      <w:tr w:rsidR="0055372C" w:rsidRPr="005161DF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8600E4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8600E4">
              <w:rPr>
                <w:rFonts w:cs="Times New Roman"/>
                <w:sz w:val="24"/>
                <w:szCs w:val="24"/>
              </w:rPr>
              <w:t>JST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3,335</w:t>
            </w:r>
          </w:p>
        </w:tc>
      </w:tr>
      <w:tr w:rsidR="0055372C" w:rsidRPr="005161DF" w:rsidTr="00037A99">
        <w:trPr>
          <w:trHeight w:val="357"/>
        </w:trPr>
        <w:tc>
          <w:tcPr>
            <w:tcW w:w="2759" w:type="dxa"/>
            <w:gridSpan w:val="5"/>
            <w:shd w:val="clear" w:color="auto" w:fill="FFFFFF"/>
            <w:vAlign w:val="center"/>
          </w:tcPr>
          <w:p w:rsidR="0055372C" w:rsidRPr="00B32816" w:rsidRDefault="0055372C" w:rsidP="00037A99">
            <w:pPr>
              <w:pStyle w:val="ODNONIKtreodnonika"/>
              <w:rPr>
                <w:rFonts w:cs="Times New Roman"/>
                <w:sz w:val="24"/>
                <w:szCs w:val="24"/>
              </w:rPr>
            </w:pPr>
            <w:r w:rsidRPr="00B32816">
              <w:rPr>
                <w:rFonts w:cs="Times New Roman"/>
                <w:sz w:val="24"/>
                <w:szCs w:val="24"/>
              </w:rPr>
              <w:t>pozostałe jednostki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5372C" w:rsidRPr="00E019D9" w:rsidRDefault="0055372C" w:rsidP="00037A99">
            <w:pPr>
              <w:pStyle w:val="ODNONIKtreodnonika"/>
              <w:jc w:val="center"/>
              <w:rPr>
                <w:rFonts w:cs="Times New Roman"/>
                <w:sz w:val="24"/>
                <w:szCs w:val="24"/>
              </w:rPr>
            </w:pPr>
            <w:r w:rsidRPr="00E019D9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55372C" w:rsidRPr="005161DF" w:rsidTr="00037A99">
        <w:trPr>
          <w:trHeight w:val="397"/>
        </w:trPr>
        <w:tc>
          <w:tcPr>
            <w:tcW w:w="2628" w:type="dxa"/>
            <w:gridSpan w:val="4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 w:rsidRPr="004A33A8">
              <w:lastRenderedPageBreak/>
              <w:t>Źródła finansowania</w:t>
            </w:r>
          </w:p>
        </w:tc>
        <w:tc>
          <w:tcPr>
            <w:tcW w:w="7011" w:type="dxa"/>
            <w:gridSpan w:val="26"/>
            <w:shd w:val="clear" w:color="auto" w:fill="FFFFFF"/>
            <w:vAlign w:val="center"/>
          </w:tcPr>
          <w:p w:rsidR="0055372C" w:rsidRPr="004A33A8" w:rsidRDefault="0055372C" w:rsidP="00037A99">
            <w:pPr>
              <w:pStyle w:val="Tekstpodstawowy"/>
              <w:spacing w:before="60" w:after="60"/>
            </w:pPr>
            <w:r>
              <w:t>B</w:t>
            </w:r>
            <w:r w:rsidRPr="004A33A8">
              <w:t>udżet państwa</w:t>
            </w:r>
            <w:r>
              <w:t xml:space="preserve"> – </w:t>
            </w:r>
            <w:r w:rsidRPr="00E51312">
              <w:t xml:space="preserve">zgodnie z art. 10 ust. 9 </w:t>
            </w:r>
            <w:r w:rsidRPr="009109A6">
              <w:t>ustawy zmieniającej ustawę o sse</w:t>
            </w:r>
            <w:r>
              <w:t xml:space="preserve"> </w:t>
            </w:r>
            <w:r w:rsidRPr="00E51312">
              <w:t>kwoty części rekompensującej subwencji ogólnej są finansowane z budżetu ministra właściwego do spraw finansów publicznych.</w:t>
            </w:r>
          </w:p>
        </w:tc>
      </w:tr>
      <w:tr w:rsidR="0055372C" w:rsidRPr="005161DF" w:rsidTr="00037A99">
        <w:trPr>
          <w:trHeight w:val="794"/>
        </w:trPr>
        <w:tc>
          <w:tcPr>
            <w:tcW w:w="2628" w:type="dxa"/>
            <w:gridSpan w:val="4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 w:rsidRPr="004A33A8">
              <w:t>Dodatkowe</w:t>
            </w:r>
            <w:r>
              <w:t xml:space="preserve"> </w:t>
            </w:r>
            <w:r w:rsidRPr="004A33A8">
              <w:t>informacje,</w:t>
            </w:r>
            <w:r>
              <w:t xml:space="preserve"> </w:t>
            </w:r>
            <w:r w:rsidRPr="004A33A8">
              <w:t>w</w:t>
            </w:r>
            <w:r>
              <w:t xml:space="preserve"> </w:t>
            </w:r>
            <w:r w:rsidRPr="004A33A8">
              <w:t>tym</w:t>
            </w:r>
            <w:r>
              <w:t xml:space="preserve"> </w:t>
            </w:r>
            <w:r w:rsidRPr="004A33A8">
              <w:t>wskazanie</w:t>
            </w:r>
            <w:r>
              <w:t xml:space="preserve"> </w:t>
            </w:r>
            <w:r w:rsidRPr="004A33A8">
              <w:t>źródeł danych i przyjętych</w:t>
            </w:r>
            <w:r>
              <w:t xml:space="preserve"> </w:t>
            </w:r>
            <w:r w:rsidRPr="004A33A8">
              <w:t>do</w:t>
            </w:r>
            <w:r>
              <w:t xml:space="preserve"> </w:t>
            </w:r>
            <w:r w:rsidRPr="004A33A8">
              <w:t>obliczeń założeń</w:t>
            </w:r>
          </w:p>
        </w:tc>
        <w:tc>
          <w:tcPr>
            <w:tcW w:w="7011" w:type="dxa"/>
            <w:gridSpan w:val="26"/>
            <w:shd w:val="clear" w:color="auto" w:fill="FFFFFF"/>
          </w:tcPr>
          <w:p w:rsidR="0055372C" w:rsidRPr="008600E4" w:rsidRDefault="0055372C" w:rsidP="00037A99">
            <w:pPr>
              <w:pStyle w:val="Tekstpodstawowy"/>
              <w:spacing w:before="60" w:after="60"/>
            </w:pPr>
            <w:r w:rsidRPr="008600E4">
              <w:t>Prognozowana kwota rekompensaty w</w:t>
            </w:r>
            <w:r>
              <w:t>ypłacanej w 2020</w:t>
            </w:r>
            <w:r w:rsidRPr="008600E4">
              <w:t xml:space="preserve"> r. wynika </w:t>
            </w:r>
            <w:r>
              <w:br/>
            </w:r>
            <w:r w:rsidRPr="008600E4">
              <w:t xml:space="preserve">z </w:t>
            </w:r>
            <w:r>
              <w:t xml:space="preserve">informacji o przewidywanym ubytku dochodów z tytułu podatku od nieruchomości przekazanych </w:t>
            </w:r>
            <w:r w:rsidRPr="008600E4">
              <w:t>do Ministerstwa Finansów</w:t>
            </w:r>
            <w:r>
              <w:t xml:space="preserve"> przez</w:t>
            </w:r>
            <w:r w:rsidRPr="008600E4">
              <w:t xml:space="preserve"> gmin</w:t>
            </w:r>
            <w:r>
              <w:t>y</w:t>
            </w:r>
            <w:r w:rsidRPr="008600E4">
              <w:t xml:space="preserve"> </w:t>
            </w:r>
            <w:r>
              <w:t>uprawnione do otrzymania c</w:t>
            </w:r>
            <w:r w:rsidRPr="008600E4">
              <w:t>zęś</w:t>
            </w:r>
            <w:r>
              <w:t>ci</w:t>
            </w:r>
            <w:r w:rsidRPr="008600E4">
              <w:t xml:space="preserve"> rekompensują</w:t>
            </w:r>
            <w:r>
              <w:t>cej subwencji ogólnej za rok 2019</w:t>
            </w:r>
            <w:r w:rsidRPr="008600E4">
              <w:t>.</w:t>
            </w:r>
          </w:p>
          <w:p w:rsidR="0055372C" w:rsidRPr="008600E4" w:rsidRDefault="0055372C" w:rsidP="00037A99">
            <w:pPr>
              <w:pStyle w:val="Tekstpodstawowy"/>
              <w:spacing w:before="60" w:after="60"/>
            </w:pPr>
            <w:r w:rsidRPr="008600E4">
              <w:t xml:space="preserve">W związku z tym, że jest to regulacja skierowana do ściśle zdefiniowanych gmin, generująca </w:t>
            </w:r>
            <w:r>
              <w:t xml:space="preserve">stosunkowo </w:t>
            </w:r>
            <w:r w:rsidRPr="008600E4">
              <w:t>niewielkie koszty, jej wpływ na sektor finansów publicznych ogranicza się do okresu, na który jest ustalana lista, tj. do jednego roku.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2F5C48" w:rsidRDefault="0055372C" w:rsidP="00037A99">
            <w:pPr>
              <w:pStyle w:val="Tekstpodstawowy"/>
              <w:ind w:left="318" w:hanging="318"/>
              <w:rPr>
                <w:rStyle w:val="Ppogrubienie"/>
              </w:rPr>
            </w:pPr>
            <w:r>
              <w:rPr>
                <w:rStyle w:val="Ppogrubienie"/>
              </w:rPr>
              <w:t>7.</w:t>
            </w:r>
            <w:r>
              <w:rPr>
                <w:rStyle w:val="Ppogrubienie"/>
              </w:rPr>
              <w:tab/>
            </w:r>
            <w:r w:rsidRPr="002F5C48">
              <w:rPr>
                <w:rStyle w:val="Ppogrubienie"/>
              </w:rPr>
              <w:t>Wpływ na konkurencyjność gospodarki i przedsiębiorczość, w tym funkcjonowanie przedsiębiorców oraz na rodzinę, obywateli i gospodarstwa domowe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Skutki</w:t>
            </w:r>
          </w:p>
        </w:tc>
      </w:tr>
      <w:tr w:rsidR="0055372C" w:rsidRPr="005161DF" w:rsidTr="00037A99">
        <w:trPr>
          <w:trHeight w:val="142"/>
        </w:trPr>
        <w:tc>
          <w:tcPr>
            <w:tcW w:w="4537" w:type="dxa"/>
            <w:gridSpan w:val="10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Czas w latach od wejścia w życie zmian</w:t>
            </w:r>
          </w:p>
        </w:tc>
        <w:tc>
          <w:tcPr>
            <w:tcW w:w="661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ind w:left="0" w:firstLine="0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Łącznie</w:t>
            </w:r>
            <w:r w:rsidRPr="00921A23" w:rsidDel="0073273A">
              <w:rPr>
                <w:sz w:val="24"/>
                <w:szCs w:val="24"/>
              </w:rPr>
              <w:t xml:space="preserve"> </w:t>
            </w:r>
            <w:r w:rsidRPr="00921A23">
              <w:rPr>
                <w:sz w:val="24"/>
                <w:szCs w:val="24"/>
              </w:rPr>
              <w:t>(0-10)</w:t>
            </w:r>
          </w:p>
        </w:tc>
      </w:tr>
      <w:tr w:rsidR="0055372C" w:rsidRPr="005161DF" w:rsidTr="00037A99">
        <w:trPr>
          <w:trHeight w:val="455"/>
        </w:trPr>
        <w:tc>
          <w:tcPr>
            <w:tcW w:w="1845" w:type="dxa"/>
            <w:vMerge w:val="restart"/>
            <w:shd w:val="clear" w:color="auto" w:fill="FFFFFF"/>
          </w:tcPr>
          <w:p w:rsidR="0055372C" w:rsidRPr="00921A23" w:rsidRDefault="0055372C" w:rsidP="00037A99">
            <w:pPr>
              <w:pStyle w:val="Tekstpodstawowy"/>
              <w:spacing w:before="60"/>
              <w:jc w:val="left"/>
              <w:rPr>
                <w:szCs w:val="24"/>
              </w:rPr>
            </w:pPr>
            <w:r w:rsidRPr="00921A23">
              <w:rPr>
                <w:szCs w:val="24"/>
              </w:rPr>
              <w:t>W ujęciu pieniężn</w:t>
            </w:r>
            <w:r>
              <w:rPr>
                <w:szCs w:val="24"/>
              </w:rPr>
              <w:t xml:space="preserve">ym </w:t>
            </w:r>
            <w:r>
              <w:rPr>
                <w:szCs w:val="24"/>
              </w:rPr>
              <w:br/>
              <w:t>(w mln zł, ceny stałe z 2020</w:t>
            </w:r>
            <w:r w:rsidRPr="00921A23">
              <w:rPr>
                <w:szCs w:val="24"/>
              </w:rPr>
              <w:t xml:space="preserve"> r.)</w:t>
            </w:r>
          </w:p>
        </w:tc>
        <w:tc>
          <w:tcPr>
            <w:tcW w:w="2692" w:type="dxa"/>
            <w:gridSpan w:val="9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Tekstpodstawowy"/>
              <w:jc w:val="left"/>
              <w:rPr>
                <w:szCs w:val="24"/>
              </w:rPr>
            </w:pPr>
            <w:r w:rsidRPr="00921A23">
              <w:rPr>
                <w:szCs w:val="24"/>
              </w:rPr>
              <w:t>duże przedsiębiorstwa</w:t>
            </w:r>
          </w:p>
        </w:tc>
        <w:tc>
          <w:tcPr>
            <w:tcW w:w="661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</w:tr>
      <w:tr w:rsidR="0055372C" w:rsidRPr="005161DF" w:rsidTr="00037A99">
        <w:trPr>
          <w:trHeight w:val="142"/>
        </w:trPr>
        <w:tc>
          <w:tcPr>
            <w:tcW w:w="1845" w:type="dxa"/>
            <w:vMerge/>
            <w:shd w:val="clear" w:color="auto" w:fill="FFFFFF"/>
          </w:tcPr>
          <w:p w:rsidR="0055372C" w:rsidRPr="00921A23" w:rsidRDefault="0055372C" w:rsidP="00037A99">
            <w:pPr>
              <w:rPr>
                <w:szCs w:val="24"/>
              </w:rPr>
            </w:pPr>
          </w:p>
        </w:tc>
        <w:tc>
          <w:tcPr>
            <w:tcW w:w="2692" w:type="dxa"/>
            <w:gridSpan w:val="9"/>
            <w:shd w:val="clear" w:color="auto" w:fill="FFFFFF"/>
          </w:tcPr>
          <w:p w:rsidR="0055372C" w:rsidRPr="00921A23" w:rsidRDefault="0055372C" w:rsidP="00037A99">
            <w:pPr>
              <w:pStyle w:val="Tekstpodstawowy"/>
              <w:jc w:val="left"/>
              <w:rPr>
                <w:szCs w:val="24"/>
              </w:rPr>
            </w:pPr>
            <w:r w:rsidRPr="00921A23">
              <w:rPr>
                <w:szCs w:val="24"/>
              </w:rPr>
              <w:t>sektor mikro-, małych</w:t>
            </w:r>
            <w:r>
              <w:rPr>
                <w:szCs w:val="24"/>
              </w:rPr>
              <w:t xml:space="preserve"> </w:t>
            </w:r>
            <w:r w:rsidRPr="00921A23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921A23">
              <w:rPr>
                <w:szCs w:val="24"/>
              </w:rPr>
              <w:t>średnich przedsiębiorstw</w:t>
            </w:r>
          </w:p>
        </w:tc>
        <w:tc>
          <w:tcPr>
            <w:tcW w:w="661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</w:tr>
      <w:tr w:rsidR="0055372C" w:rsidRPr="005161DF" w:rsidTr="00037A99">
        <w:trPr>
          <w:trHeight w:val="126"/>
        </w:trPr>
        <w:tc>
          <w:tcPr>
            <w:tcW w:w="1845" w:type="dxa"/>
            <w:vMerge/>
            <w:shd w:val="clear" w:color="auto" w:fill="FFFFFF"/>
          </w:tcPr>
          <w:p w:rsidR="0055372C" w:rsidRPr="00921A23" w:rsidRDefault="0055372C" w:rsidP="00037A99">
            <w:pPr>
              <w:rPr>
                <w:szCs w:val="24"/>
              </w:rPr>
            </w:pPr>
          </w:p>
        </w:tc>
        <w:tc>
          <w:tcPr>
            <w:tcW w:w="2692" w:type="dxa"/>
            <w:gridSpan w:val="9"/>
            <w:shd w:val="clear" w:color="auto" w:fill="FFFFFF"/>
          </w:tcPr>
          <w:p w:rsidR="0055372C" w:rsidRPr="00921A23" w:rsidRDefault="0055372C" w:rsidP="00037A99">
            <w:pPr>
              <w:pStyle w:val="Tekstpodstawowy"/>
              <w:jc w:val="left"/>
              <w:rPr>
                <w:szCs w:val="24"/>
              </w:rPr>
            </w:pPr>
            <w:r w:rsidRPr="00921A23">
              <w:rPr>
                <w:szCs w:val="24"/>
              </w:rPr>
              <w:t>rodzina,</w:t>
            </w:r>
            <w:r>
              <w:rPr>
                <w:szCs w:val="24"/>
              </w:rPr>
              <w:t xml:space="preserve"> </w:t>
            </w:r>
            <w:r w:rsidRPr="00921A23">
              <w:rPr>
                <w:szCs w:val="24"/>
              </w:rPr>
              <w:t>obywatele</w:t>
            </w:r>
            <w:r>
              <w:rPr>
                <w:szCs w:val="24"/>
              </w:rPr>
              <w:t xml:space="preserve"> </w:t>
            </w:r>
            <w:r w:rsidRPr="00921A23">
              <w:rPr>
                <w:szCs w:val="24"/>
              </w:rPr>
              <w:t>oraz</w:t>
            </w:r>
            <w:r>
              <w:rPr>
                <w:szCs w:val="24"/>
              </w:rPr>
              <w:t xml:space="preserve"> </w:t>
            </w:r>
            <w:r w:rsidRPr="00921A23">
              <w:rPr>
                <w:szCs w:val="24"/>
              </w:rPr>
              <w:t>gospodarstwa domowe</w:t>
            </w:r>
          </w:p>
        </w:tc>
        <w:tc>
          <w:tcPr>
            <w:tcW w:w="661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3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55372C" w:rsidRPr="00921A23" w:rsidRDefault="0055372C" w:rsidP="00037A99">
            <w:pPr>
              <w:pStyle w:val="ODNONIKtreodnonika"/>
              <w:jc w:val="center"/>
              <w:rPr>
                <w:sz w:val="24"/>
                <w:szCs w:val="24"/>
              </w:rPr>
            </w:pPr>
            <w:r w:rsidRPr="00921A23">
              <w:rPr>
                <w:sz w:val="24"/>
                <w:szCs w:val="24"/>
              </w:rPr>
              <w:t>0</w:t>
            </w:r>
          </w:p>
        </w:tc>
      </w:tr>
      <w:tr w:rsidR="0055372C" w:rsidRPr="005161DF" w:rsidTr="00037A99">
        <w:trPr>
          <w:trHeight w:val="425"/>
        </w:trPr>
        <w:tc>
          <w:tcPr>
            <w:tcW w:w="1845" w:type="dxa"/>
            <w:vMerge w:val="restart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/>
            </w:pPr>
            <w:r w:rsidRPr="004A33A8">
              <w:t>W</w:t>
            </w:r>
            <w:r>
              <w:t> </w:t>
            </w:r>
            <w:r w:rsidRPr="004A33A8">
              <w:t>ujęciu niepieniężnym</w:t>
            </w:r>
          </w:p>
        </w:tc>
        <w:tc>
          <w:tcPr>
            <w:tcW w:w="2692" w:type="dxa"/>
            <w:gridSpan w:val="9"/>
            <w:shd w:val="clear" w:color="auto" w:fill="FFFFFF"/>
            <w:vAlign w:val="center"/>
          </w:tcPr>
          <w:p w:rsidR="0055372C" w:rsidRPr="004A33A8" w:rsidRDefault="0055372C" w:rsidP="00037A99">
            <w:pPr>
              <w:pStyle w:val="Tekstpodstawowy"/>
              <w:jc w:val="left"/>
            </w:pPr>
            <w:r w:rsidRPr="004A33A8">
              <w:t>duże przedsiębiorstwa</w:t>
            </w:r>
          </w:p>
        </w:tc>
        <w:tc>
          <w:tcPr>
            <w:tcW w:w="5102" w:type="dxa"/>
            <w:gridSpan w:val="20"/>
            <w:vMerge w:val="restart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</w:pPr>
            <w:r w:rsidRPr="004A33A8">
              <w:t>Niniejszy akt ma charakter czysto techniczny</w:t>
            </w:r>
            <w:r>
              <w:t xml:space="preserve"> i nie ma wpływu na konkurencyjność gospodarki, przedsiębiorczość, rodzinę, obywateli, w tym osoby niepełnosprawne i starsze oraz na gospodarstwa domowe</w:t>
            </w:r>
            <w:r w:rsidRPr="004A33A8">
              <w:t>. Realizuje ustawowe upoważnienie do corocznego określenia listy gmin uprawnionych do subwencji rekompensującej uszczerbek dochodów tych gmin.</w:t>
            </w:r>
          </w:p>
        </w:tc>
      </w:tr>
      <w:tr w:rsidR="0055372C" w:rsidRPr="005161DF" w:rsidTr="00037A99">
        <w:trPr>
          <w:trHeight w:val="142"/>
        </w:trPr>
        <w:tc>
          <w:tcPr>
            <w:tcW w:w="1845" w:type="dxa"/>
            <w:vMerge/>
            <w:shd w:val="clear" w:color="auto" w:fill="FFFFFF"/>
          </w:tcPr>
          <w:p w:rsidR="0055372C" w:rsidRPr="004A33A8" w:rsidRDefault="0055372C" w:rsidP="00037A99"/>
        </w:tc>
        <w:tc>
          <w:tcPr>
            <w:tcW w:w="2692" w:type="dxa"/>
            <w:gridSpan w:val="9"/>
            <w:shd w:val="clear" w:color="auto" w:fill="FFFFFF"/>
          </w:tcPr>
          <w:p w:rsidR="0055372C" w:rsidRPr="004A33A8" w:rsidRDefault="0055372C" w:rsidP="00037A99">
            <w:pPr>
              <w:pStyle w:val="Tekstpodstawowy"/>
              <w:jc w:val="left"/>
            </w:pPr>
            <w:r w:rsidRPr="004A33A8">
              <w:t>sektor</w:t>
            </w:r>
            <w:r>
              <w:t xml:space="preserve"> </w:t>
            </w:r>
            <w:r w:rsidRPr="004A33A8">
              <w:t>mikro- małych i średnich przedsiębiorstw</w:t>
            </w:r>
          </w:p>
        </w:tc>
        <w:tc>
          <w:tcPr>
            <w:tcW w:w="5102" w:type="dxa"/>
            <w:gridSpan w:val="20"/>
            <w:vMerge/>
            <w:shd w:val="clear" w:color="auto" w:fill="FFFFFF"/>
          </w:tcPr>
          <w:p w:rsidR="0055372C" w:rsidRPr="004A33A8" w:rsidRDefault="0055372C" w:rsidP="00037A99"/>
        </w:tc>
      </w:tr>
      <w:tr w:rsidR="0055372C" w:rsidRPr="005161DF" w:rsidTr="00037A99">
        <w:trPr>
          <w:trHeight w:val="596"/>
        </w:trPr>
        <w:tc>
          <w:tcPr>
            <w:tcW w:w="1845" w:type="dxa"/>
            <w:vMerge/>
            <w:shd w:val="clear" w:color="auto" w:fill="FFFFFF"/>
          </w:tcPr>
          <w:p w:rsidR="0055372C" w:rsidRPr="004A33A8" w:rsidRDefault="0055372C" w:rsidP="00037A99"/>
        </w:tc>
        <w:tc>
          <w:tcPr>
            <w:tcW w:w="2692" w:type="dxa"/>
            <w:gridSpan w:val="9"/>
            <w:shd w:val="clear" w:color="auto" w:fill="FFFFFF"/>
          </w:tcPr>
          <w:p w:rsidR="0055372C" w:rsidRPr="004A33A8" w:rsidRDefault="0055372C" w:rsidP="00037A99">
            <w:pPr>
              <w:pStyle w:val="Tekstpodstawowy"/>
              <w:jc w:val="left"/>
            </w:pPr>
            <w:r w:rsidRPr="004A33A8">
              <w:t>rodzina,</w:t>
            </w:r>
            <w:r>
              <w:t xml:space="preserve"> </w:t>
            </w:r>
            <w:r w:rsidRPr="004A33A8">
              <w:t>obywatele</w:t>
            </w:r>
            <w:r>
              <w:t xml:space="preserve"> </w:t>
            </w:r>
            <w:r w:rsidRPr="004A33A8">
              <w:t>oraz gospodarstwa domowe</w:t>
            </w:r>
          </w:p>
        </w:tc>
        <w:tc>
          <w:tcPr>
            <w:tcW w:w="5102" w:type="dxa"/>
            <w:gridSpan w:val="20"/>
            <w:vMerge/>
            <w:shd w:val="clear" w:color="auto" w:fill="FFFFFF"/>
          </w:tcPr>
          <w:p w:rsidR="0055372C" w:rsidRPr="004A33A8" w:rsidRDefault="0055372C" w:rsidP="00037A99"/>
        </w:tc>
      </w:tr>
      <w:tr w:rsidR="0055372C" w:rsidRPr="005161DF" w:rsidTr="00037A99">
        <w:trPr>
          <w:trHeight w:val="20"/>
        </w:trPr>
        <w:tc>
          <w:tcPr>
            <w:tcW w:w="3686" w:type="dxa"/>
            <w:gridSpan w:val="8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>
              <w:t>Niemierzalne</w:t>
            </w:r>
          </w:p>
        </w:tc>
        <w:tc>
          <w:tcPr>
            <w:tcW w:w="5953" w:type="dxa"/>
            <w:gridSpan w:val="22"/>
            <w:shd w:val="clear" w:color="auto" w:fill="FFFFFF"/>
          </w:tcPr>
          <w:p w:rsidR="0055372C" w:rsidRDefault="0055372C" w:rsidP="00037A99">
            <w:pPr>
              <w:pStyle w:val="Tekstpodstawowywcity2"/>
              <w:spacing w:before="60" w:after="60" w:line="240" w:lineRule="auto"/>
              <w:ind w:left="0"/>
              <w:jc w:val="both"/>
            </w:pPr>
            <w:r>
              <w:t>Niniejszy akt nie ma wpływu na konkurencyjność gospodarki, przedsiębiorczość, rodzinę, obywateli, w tym osoby niepełnosprawne i starsze, a także na gospodarstwa domowe</w:t>
            </w:r>
            <w:r w:rsidRPr="004A33A8">
              <w:t>.</w:t>
            </w:r>
          </w:p>
        </w:tc>
      </w:tr>
      <w:tr w:rsidR="0055372C" w:rsidRPr="005161DF" w:rsidTr="00037A99">
        <w:trPr>
          <w:trHeight w:val="907"/>
        </w:trPr>
        <w:tc>
          <w:tcPr>
            <w:tcW w:w="3686" w:type="dxa"/>
            <w:gridSpan w:val="8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 w:rsidRPr="004A33A8">
              <w:t>Dodatkowe informacje, w tym wskazanie źródeł danych i przyjętych do obliczeń założeń</w:t>
            </w:r>
          </w:p>
        </w:tc>
        <w:tc>
          <w:tcPr>
            <w:tcW w:w="5953" w:type="dxa"/>
            <w:gridSpan w:val="22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  <w:jc w:val="left"/>
            </w:pPr>
            <w:r>
              <w:t>N</w:t>
            </w:r>
            <w:r w:rsidRPr="004A33A8">
              <w:t>ie dotyczy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2F5C48" w:rsidRDefault="0055372C" w:rsidP="00037A99">
            <w:pPr>
              <w:spacing w:line="240" w:lineRule="auto"/>
              <w:ind w:left="318" w:hanging="318"/>
              <w:jc w:val="both"/>
              <w:rPr>
                <w:rStyle w:val="Ppogrubienie"/>
                <w:rFonts w:cs="Times New Roman"/>
                <w:szCs w:val="24"/>
              </w:rPr>
            </w:pPr>
            <w:r>
              <w:rPr>
                <w:rStyle w:val="Ppogrubienie"/>
              </w:rPr>
              <w:t>8.</w:t>
            </w:r>
            <w:r>
              <w:rPr>
                <w:rStyle w:val="Ppogrubienie"/>
              </w:rPr>
              <w:tab/>
            </w:r>
            <w:r w:rsidRPr="002F5C48">
              <w:rPr>
                <w:rStyle w:val="Ppogrubienie"/>
              </w:rPr>
              <w:t xml:space="preserve">Zmiana obciążeń regulacyjnych (w tym obowiązków informacyjnych) wynikających </w:t>
            </w:r>
            <w:r>
              <w:rPr>
                <w:rStyle w:val="Ppogrubienie"/>
              </w:rPr>
              <w:br/>
            </w:r>
            <w:r w:rsidRPr="002F5C48">
              <w:rPr>
                <w:rStyle w:val="Ppogrubienie"/>
              </w:rPr>
              <w:t>z projektu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4A33A8" w:rsidRDefault="0055372C" w:rsidP="00037A99">
            <w:pPr>
              <w:spacing w:line="240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nie dotyczy</w:t>
            </w:r>
          </w:p>
        </w:tc>
      </w:tr>
      <w:tr w:rsidR="0055372C" w:rsidRPr="005161DF" w:rsidTr="00037A99">
        <w:trPr>
          <w:trHeight w:val="964"/>
        </w:trPr>
        <w:tc>
          <w:tcPr>
            <w:tcW w:w="4782" w:type="dxa"/>
            <w:gridSpan w:val="12"/>
            <w:shd w:val="clear" w:color="auto" w:fill="FFFFFF"/>
          </w:tcPr>
          <w:p w:rsidR="0055372C" w:rsidRPr="004A33A8" w:rsidRDefault="0055372C" w:rsidP="00037A99">
            <w:pPr>
              <w:pStyle w:val="Tekstpodstawowy"/>
            </w:pPr>
            <w:r w:rsidRPr="004A33A8">
              <w:t>Wprowadzane są obciążenia poza bezwzględnie wymaganymi przez UE (szczegóły w odwróconej tabeli zgodności).</w:t>
            </w:r>
          </w:p>
        </w:tc>
        <w:tc>
          <w:tcPr>
            <w:tcW w:w="4857" w:type="dxa"/>
            <w:gridSpan w:val="18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tak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nie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nie dotyczy</w:t>
            </w:r>
          </w:p>
        </w:tc>
      </w:tr>
      <w:tr w:rsidR="0055372C" w:rsidRPr="005161DF" w:rsidTr="00037A99">
        <w:trPr>
          <w:trHeight w:val="1318"/>
        </w:trPr>
        <w:tc>
          <w:tcPr>
            <w:tcW w:w="4782" w:type="dxa"/>
            <w:gridSpan w:val="12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zmniejszenie liczby dokumentów 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zmniejszenie liczby procedur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skrócenie czasu na załatwienie sprawy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inne: </w:t>
            </w:r>
            <w:r w:rsidRPr="004A33A8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33A8">
              <w:instrText xml:space="preserve"> FORMTEXT </w:instrText>
            </w:r>
            <w:r w:rsidRPr="004A33A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3A8">
              <w:fldChar w:fldCharType="end"/>
            </w:r>
          </w:p>
        </w:tc>
        <w:tc>
          <w:tcPr>
            <w:tcW w:w="4857" w:type="dxa"/>
            <w:gridSpan w:val="18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zwiększenie liczby dokumentów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zwiększenie liczby procedur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wydłużenie czasu na załatwienie sprawy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inne: </w:t>
            </w:r>
            <w:r w:rsidRPr="004A33A8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33A8">
              <w:instrText xml:space="preserve"> FORMTEXT </w:instrText>
            </w:r>
            <w:r w:rsidRPr="004A33A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3A8">
              <w:fldChar w:fldCharType="end"/>
            </w:r>
          </w:p>
        </w:tc>
      </w:tr>
      <w:tr w:rsidR="0055372C" w:rsidRPr="005161DF" w:rsidTr="00037A99">
        <w:trPr>
          <w:trHeight w:val="870"/>
        </w:trPr>
        <w:tc>
          <w:tcPr>
            <w:tcW w:w="4782" w:type="dxa"/>
            <w:gridSpan w:val="12"/>
            <w:shd w:val="clear" w:color="auto" w:fill="FFFFFF"/>
          </w:tcPr>
          <w:p w:rsidR="0055372C" w:rsidRPr="004A33A8" w:rsidRDefault="0055372C" w:rsidP="00037A99">
            <w:pPr>
              <w:pStyle w:val="Tekstpodstawowy"/>
            </w:pPr>
            <w:r w:rsidRPr="004A33A8">
              <w:t>Wprowadzane obciążenia są przystosowane do ich elektronizacji.</w:t>
            </w:r>
          </w:p>
        </w:tc>
        <w:tc>
          <w:tcPr>
            <w:tcW w:w="4857" w:type="dxa"/>
            <w:gridSpan w:val="18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tak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nie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nie dotyczy</w:t>
            </w:r>
          </w:p>
        </w:tc>
      </w:tr>
      <w:tr w:rsidR="0055372C" w:rsidRPr="005161DF" w:rsidTr="00037A99">
        <w:trPr>
          <w:trHeight w:val="360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4A33A8" w:rsidRDefault="0055372C" w:rsidP="00037A99">
            <w:pPr>
              <w:spacing w:line="240" w:lineRule="auto"/>
            </w:pPr>
            <w:r w:rsidRPr="004A33A8">
              <w:t>Komentarz:</w:t>
            </w:r>
          </w:p>
        </w:tc>
      </w:tr>
      <w:tr w:rsidR="0055372C" w:rsidRPr="005161DF" w:rsidTr="00037A99">
        <w:trPr>
          <w:trHeight w:val="142"/>
        </w:trPr>
        <w:tc>
          <w:tcPr>
            <w:tcW w:w="9639" w:type="dxa"/>
            <w:gridSpan w:val="30"/>
            <w:shd w:val="clear" w:color="auto" w:fill="99CCFF"/>
          </w:tcPr>
          <w:p w:rsidR="0055372C" w:rsidRPr="00786A00" w:rsidRDefault="0055372C" w:rsidP="00037A99">
            <w:pPr>
              <w:spacing w:line="276" w:lineRule="auto"/>
              <w:ind w:left="318" w:hanging="318"/>
              <w:rPr>
                <w:rStyle w:val="Ppogrubienie"/>
              </w:rPr>
            </w:pPr>
            <w:r w:rsidRPr="00786A00">
              <w:rPr>
                <w:rStyle w:val="Ppogrubienie"/>
              </w:rPr>
              <w:t>9.</w:t>
            </w:r>
            <w:r>
              <w:rPr>
                <w:rStyle w:val="Ppogrubienie"/>
              </w:rPr>
              <w:tab/>
            </w:r>
            <w:r w:rsidRPr="00786A00">
              <w:rPr>
                <w:rStyle w:val="Ppogrubienie"/>
              </w:rPr>
              <w:t>Wpływ na rynek pracy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auto"/>
            <w:vAlign w:val="center"/>
          </w:tcPr>
          <w:p w:rsidR="0055372C" w:rsidRPr="004A33A8" w:rsidRDefault="0055372C" w:rsidP="00037A99">
            <w:pPr>
              <w:pStyle w:val="Tekstpodstawowy"/>
              <w:jc w:val="left"/>
            </w:pPr>
            <w:r w:rsidRPr="004A33A8">
              <w:t>Niniejsza regulacja nie ma wpływu na rynek pracy.</w:t>
            </w:r>
          </w:p>
        </w:tc>
      </w:tr>
      <w:tr w:rsidR="0055372C" w:rsidRPr="005161DF" w:rsidTr="00037A99">
        <w:trPr>
          <w:trHeight w:val="142"/>
        </w:trPr>
        <w:tc>
          <w:tcPr>
            <w:tcW w:w="9639" w:type="dxa"/>
            <w:gridSpan w:val="30"/>
            <w:shd w:val="clear" w:color="auto" w:fill="99CCFF"/>
          </w:tcPr>
          <w:p w:rsidR="0055372C" w:rsidRPr="00786A00" w:rsidRDefault="0055372C" w:rsidP="00037A99">
            <w:pPr>
              <w:spacing w:line="276" w:lineRule="auto"/>
              <w:ind w:left="460" w:hanging="460"/>
              <w:rPr>
                <w:rStyle w:val="Ppogrubienie"/>
                <w:rFonts w:cs="Times New Roman"/>
                <w:lang w:eastAsia="ar-SA"/>
              </w:rPr>
            </w:pPr>
            <w:r w:rsidRPr="00786A00">
              <w:rPr>
                <w:rStyle w:val="Ppogrubienie"/>
              </w:rPr>
              <w:t>10.</w:t>
            </w:r>
            <w:r>
              <w:rPr>
                <w:rStyle w:val="Ppogrubienie"/>
              </w:rPr>
              <w:tab/>
            </w:r>
            <w:r w:rsidRPr="00786A00">
              <w:rPr>
                <w:rStyle w:val="Ppogrubienie"/>
              </w:rPr>
              <w:t>Wpływ na pozostałe obszary</w:t>
            </w:r>
          </w:p>
        </w:tc>
      </w:tr>
      <w:tr w:rsidR="0055372C" w:rsidRPr="005161DF" w:rsidTr="00037A99">
        <w:trPr>
          <w:trHeight w:val="921"/>
        </w:trPr>
        <w:tc>
          <w:tcPr>
            <w:tcW w:w="3291" w:type="dxa"/>
            <w:gridSpan w:val="6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środowisko naturalne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sytuacja i rozwój regionalny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inne: </w:t>
            </w:r>
            <w:r w:rsidRPr="004A33A8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33A8">
              <w:instrText xml:space="preserve"> FORMTEXT </w:instrText>
            </w:r>
            <w:r w:rsidRPr="004A33A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3A8">
              <w:fldChar w:fldCharType="end"/>
            </w:r>
          </w:p>
        </w:tc>
        <w:tc>
          <w:tcPr>
            <w:tcW w:w="3521" w:type="dxa"/>
            <w:gridSpan w:val="15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demografia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mienie państwowe</w:t>
            </w:r>
          </w:p>
        </w:tc>
        <w:tc>
          <w:tcPr>
            <w:tcW w:w="2827" w:type="dxa"/>
            <w:gridSpan w:val="9"/>
            <w:shd w:val="clear" w:color="auto" w:fill="FFFFFF"/>
          </w:tcPr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informatyzacja</w:t>
            </w:r>
          </w:p>
          <w:p w:rsidR="0055372C" w:rsidRPr="004A33A8" w:rsidRDefault="0055372C" w:rsidP="00037A99">
            <w:pPr>
              <w:spacing w:line="276" w:lineRule="auto"/>
            </w:pPr>
            <w:r w:rsidRPr="004A33A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A8">
              <w:instrText xml:space="preserve"> FORMCHECKBOX </w:instrText>
            </w:r>
            <w:r w:rsidR="007A4BA7">
              <w:fldChar w:fldCharType="separate"/>
            </w:r>
            <w:r w:rsidRPr="004A33A8">
              <w:fldChar w:fldCharType="end"/>
            </w:r>
            <w:r w:rsidRPr="004A33A8">
              <w:t xml:space="preserve"> zdrowie</w:t>
            </w:r>
          </w:p>
        </w:tc>
      </w:tr>
      <w:tr w:rsidR="0055372C" w:rsidRPr="005161DF" w:rsidTr="00037A99">
        <w:trPr>
          <w:trHeight w:val="416"/>
        </w:trPr>
        <w:tc>
          <w:tcPr>
            <w:tcW w:w="2075" w:type="dxa"/>
            <w:gridSpan w:val="2"/>
            <w:shd w:val="clear" w:color="auto" w:fill="FFFFFF"/>
          </w:tcPr>
          <w:p w:rsidR="0055372C" w:rsidRPr="004A33A8" w:rsidRDefault="0055372C" w:rsidP="00037A99">
            <w:pPr>
              <w:spacing w:before="60" w:after="60" w:line="240" w:lineRule="auto"/>
            </w:pPr>
            <w:r w:rsidRPr="004A33A8">
              <w:t>Omówienie wpływu</w:t>
            </w:r>
          </w:p>
        </w:tc>
        <w:tc>
          <w:tcPr>
            <w:tcW w:w="7564" w:type="dxa"/>
            <w:gridSpan w:val="28"/>
            <w:shd w:val="clear" w:color="auto" w:fill="FFFFFF"/>
            <w:vAlign w:val="center"/>
          </w:tcPr>
          <w:p w:rsidR="0055372C" w:rsidRPr="004A33A8" w:rsidRDefault="0055372C" w:rsidP="00037A99">
            <w:pPr>
              <w:pStyle w:val="Tekstpodstawowy"/>
              <w:spacing w:before="60" w:after="60"/>
            </w:pPr>
            <w:r>
              <w:t>R</w:t>
            </w:r>
            <w:r w:rsidRPr="004A33A8">
              <w:t>ekompensata ubytku dochodów gmin sprawia, że nałożony ustawowo obowiązek zwolnienia z podatku od nieruchomości określonej grupy przedsiębiorców nie wpływa niekorzystnie na sytuację finansową tych gmin, a tym samym na rozwój regionalny.</w:t>
            </w:r>
          </w:p>
        </w:tc>
      </w:tr>
      <w:tr w:rsidR="0055372C" w:rsidRPr="005161DF" w:rsidTr="00037A99">
        <w:trPr>
          <w:trHeight w:val="142"/>
        </w:trPr>
        <w:tc>
          <w:tcPr>
            <w:tcW w:w="9639" w:type="dxa"/>
            <w:gridSpan w:val="30"/>
            <w:shd w:val="clear" w:color="auto" w:fill="99CCFF"/>
          </w:tcPr>
          <w:p w:rsidR="0055372C" w:rsidRPr="00786A00" w:rsidRDefault="0055372C" w:rsidP="00037A99">
            <w:pPr>
              <w:spacing w:line="276" w:lineRule="auto"/>
              <w:ind w:left="460" w:hanging="460"/>
              <w:rPr>
                <w:rStyle w:val="Ppogrubienie"/>
                <w:rFonts w:cs="Times New Roman"/>
                <w:lang w:eastAsia="ar-SA"/>
              </w:rPr>
            </w:pPr>
            <w:r w:rsidRPr="00786A00">
              <w:rPr>
                <w:rStyle w:val="Ppogrubienie"/>
              </w:rPr>
              <w:t>11.</w:t>
            </w:r>
            <w:r>
              <w:rPr>
                <w:rStyle w:val="Ppogrubienie"/>
              </w:rPr>
              <w:tab/>
            </w:r>
            <w:r w:rsidRPr="00786A00">
              <w:rPr>
                <w:rStyle w:val="Ppogrubienie"/>
              </w:rPr>
              <w:t>Planowane wykonanie przepisów aktu prawnego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4A33A8" w:rsidRDefault="0055372C" w:rsidP="00037A99">
            <w:pPr>
              <w:spacing w:before="60" w:after="60" w:line="240" w:lineRule="auto"/>
            </w:pPr>
            <w:r>
              <w:t>Listopad 2020 r.</w:t>
            </w:r>
          </w:p>
        </w:tc>
      </w:tr>
      <w:tr w:rsidR="0055372C" w:rsidRPr="005161DF" w:rsidTr="00037A99">
        <w:trPr>
          <w:trHeight w:val="624"/>
        </w:trPr>
        <w:tc>
          <w:tcPr>
            <w:tcW w:w="9639" w:type="dxa"/>
            <w:gridSpan w:val="30"/>
            <w:shd w:val="clear" w:color="auto" w:fill="99CCFF"/>
            <w:vAlign w:val="center"/>
          </w:tcPr>
          <w:p w:rsidR="0055372C" w:rsidRPr="00786A00" w:rsidRDefault="0055372C" w:rsidP="00037A99">
            <w:pPr>
              <w:pStyle w:val="Tekstpodstawowy"/>
              <w:ind w:left="460" w:hanging="460"/>
              <w:rPr>
                <w:rStyle w:val="Ppogrubienie"/>
                <w:rFonts w:eastAsiaTheme="minorEastAsia" w:cs="Arial"/>
                <w:lang w:eastAsia="pl-PL"/>
              </w:rPr>
            </w:pPr>
            <w:r w:rsidRPr="00786A00">
              <w:rPr>
                <w:rStyle w:val="Ppogrubienie"/>
              </w:rPr>
              <w:t>12.</w:t>
            </w:r>
            <w:r>
              <w:rPr>
                <w:rStyle w:val="Ppogrubienie"/>
              </w:rPr>
              <w:tab/>
            </w:r>
            <w:r w:rsidRPr="00786A00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55372C" w:rsidRPr="005161DF" w:rsidTr="00037A99">
        <w:trPr>
          <w:trHeight w:val="142"/>
        </w:trPr>
        <w:tc>
          <w:tcPr>
            <w:tcW w:w="9639" w:type="dxa"/>
            <w:gridSpan w:val="30"/>
            <w:shd w:val="clear" w:color="auto" w:fill="FFFFFF"/>
          </w:tcPr>
          <w:p w:rsidR="0055372C" w:rsidRPr="004A33A8" w:rsidRDefault="0055372C" w:rsidP="00037A99">
            <w:pPr>
              <w:pStyle w:val="Tekstpodstawowy"/>
              <w:spacing w:before="60" w:after="60"/>
            </w:pPr>
            <w:r w:rsidRPr="004A33A8">
              <w:t xml:space="preserve">Z uwagi na to, że </w:t>
            </w:r>
            <w:r>
              <w:t xml:space="preserve">projektowany </w:t>
            </w:r>
            <w:r w:rsidRPr="004A33A8">
              <w:t>akt normatywny ma charakter czysto techniczny nie ma zastosowania ewaluacja.</w:t>
            </w:r>
          </w:p>
        </w:tc>
      </w:tr>
      <w:tr w:rsidR="0055372C" w:rsidRPr="005161DF" w:rsidTr="00037A99">
        <w:trPr>
          <w:trHeight w:val="142"/>
        </w:trPr>
        <w:tc>
          <w:tcPr>
            <w:tcW w:w="9639" w:type="dxa"/>
            <w:gridSpan w:val="30"/>
            <w:shd w:val="clear" w:color="auto" w:fill="99CCFF"/>
          </w:tcPr>
          <w:p w:rsidR="0055372C" w:rsidRPr="00786A00" w:rsidRDefault="0055372C" w:rsidP="00037A99">
            <w:pPr>
              <w:spacing w:line="276" w:lineRule="auto"/>
              <w:ind w:left="460" w:hanging="460"/>
              <w:rPr>
                <w:rStyle w:val="Ppogrubienie"/>
                <w:rFonts w:cs="Times New Roman"/>
                <w:lang w:eastAsia="ar-SA"/>
              </w:rPr>
            </w:pPr>
            <w:r w:rsidRPr="00786A00">
              <w:rPr>
                <w:rStyle w:val="Ppogrubienie"/>
              </w:rPr>
              <w:t>13.</w:t>
            </w:r>
            <w:r>
              <w:rPr>
                <w:rStyle w:val="Ppogrubienie"/>
              </w:rPr>
              <w:tab/>
            </w:r>
            <w:r w:rsidRPr="00786A00">
              <w:rPr>
                <w:rStyle w:val="Ppogrubienie"/>
              </w:rPr>
              <w:t>Załączniki (istotne dokumenty źródłowe, badania, analizy itp.)</w:t>
            </w:r>
          </w:p>
        </w:tc>
      </w:tr>
      <w:tr w:rsidR="0055372C" w:rsidRPr="005161DF" w:rsidTr="00037A99">
        <w:trPr>
          <w:trHeight w:val="363"/>
        </w:trPr>
        <w:tc>
          <w:tcPr>
            <w:tcW w:w="9639" w:type="dxa"/>
            <w:gridSpan w:val="30"/>
            <w:shd w:val="clear" w:color="auto" w:fill="FFFFFF"/>
            <w:vAlign w:val="center"/>
          </w:tcPr>
          <w:p w:rsidR="0055372C" w:rsidRPr="004A33A8" w:rsidRDefault="0055372C" w:rsidP="00037A99">
            <w:pPr>
              <w:spacing w:before="60" w:after="60" w:line="240" w:lineRule="auto"/>
            </w:pPr>
            <w:r w:rsidRPr="004A33A8">
              <w:t>Brak</w:t>
            </w:r>
            <w:r>
              <w:t>.</w:t>
            </w:r>
          </w:p>
        </w:tc>
      </w:tr>
    </w:tbl>
    <w:p w:rsidR="00754C59" w:rsidRDefault="00754C59"/>
    <w:sectPr w:rsidR="0075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5"/>
    <w:rsid w:val="000518F7"/>
    <w:rsid w:val="000B5C41"/>
    <w:rsid w:val="00171C78"/>
    <w:rsid w:val="00195E1C"/>
    <w:rsid w:val="001C431F"/>
    <w:rsid w:val="001D7924"/>
    <w:rsid w:val="001E4AB7"/>
    <w:rsid w:val="0023413F"/>
    <w:rsid w:val="002737A2"/>
    <w:rsid w:val="002A3DBF"/>
    <w:rsid w:val="002B57A7"/>
    <w:rsid w:val="002C2B0E"/>
    <w:rsid w:val="002E0DEE"/>
    <w:rsid w:val="003007C1"/>
    <w:rsid w:val="00316E52"/>
    <w:rsid w:val="00364F6D"/>
    <w:rsid w:val="003B440A"/>
    <w:rsid w:val="003B6B26"/>
    <w:rsid w:val="003E587C"/>
    <w:rsid w:val="004974B0"/>
    <w:rsid w:val="004C471D"/>
    <w:rsid w:val="004D2DEE"/>
    <w:rsid w:val="005220C4"/>
    <w:rsid w:val="00534E16"/>
    <w:rsid w:val="00540C22"/>
    <w:rsid w:val="0054111E"/>
    <w:rsid w:val="005460E9"/>
    <w:rsid w:val="00547BD4"/>
    <w:rsid w:val="0055372C"/>
    <w:rsid w:val="005D41F4"/>
    <w:rsid w:val="005E4039"/>
    <w:rsid w:val="00604AC1"/>
    <w:rsid w:val="006153FE"/>
    <w:rsid w:val="006236F4"/>
    <w:rsid w:val="00633442"/>
    <w:rsid w:val="00634251"/>
    <w:rsid w:val="006343A5"/>
    <w:rsid w:val="0066400E"/>
    <w:rsid w:val="006A208D"/>
    <w:rsid w:val="006B172D"/>
    <w:rsid w:val="006B3C40"/>
    <w:rsid w:val="006C3F7D"/>
    <w:rsid w:val="006F7873"/>
    <w:rsid w:val="00741562"/>
    <w:rsid w:val="00743B19"/>
    <w:rsid w:val="00754C59"/>
    <w:rsid w:val="00762902"/>
    <w:rsid w:val="00767A88"/>
    <w:rsid w:val="00776203"/>
    <w:rsid w:val="007A4BA7"/>
    <w:rsid w:val="007A72C0"/>
    <w:rsid w:val="007E0967"/>
    <w:rsid w:val="007F3085"/>
    <w:rsid w:val="008001C4"/>
    <w:rsid w:val="0084088D"/>
    <w:rsid w:val="008600E4"/>
    <w:rsid w:val="00872470"/>
    <w:rsid w:val="00887C7C"/>
    <w:rsid w:val="00897661"/>
    <w:rsid w:val="008A63F0"/>
    <w:rsid w:val="008C4D22"/>
    <w:rsid w:val="008D4D25"/>
    <w:rsid w:val="009109A6"/>
    <w:rsid w:val="00921A23"/>
    <w:rsid w:val="00935E05"/>
    <w:rsid w:val="00943441"/>
    <w:rsid w:val="00961687"/>
    <w:rsid w:val="00966744"/>
    <w:rsid w:val="009707FD"/>
    <w:rsid w:val="009878E0"/>
    <w:rsid w:val="00990E7E"/>
    <w:rsid w:val="009A19BF"/>
    <w:rsid w:val="009E0AD9"/>
    <w:rsid w:val="009E7A4F"/>
    <w:rsid w:val="00A00352"/>
    <w:rsid w:val="00A15348"/>
    <w:rsid w:val="00A55C04"/>
    <w:rsid w:val="00A610E9"/>
    <w:rsid w:val="00A91022"/>
    <w:rsid w:val="00AD2FC9"/>
    <w:rsid w:val="00AD54FD"/>
    <w:rsid w:val="00AE1B90"/>
    <w:rsid w:val="00AE652D"/>
    <w:rsid w:val="00AF580B"/>
    <w:rsid w:val="00B0439B"/>
    <w:rsid w:val="00B05B1F"/>
    <w:rsid w:val="00B10A4A"/>
    <w:rsid w:val="00B32367"/>
    <w:rsid w:val="00B32816"/>
    <w:rsid w:val="00B46C51"/>
    <w:rsid w:val="00B52D6A"/>
    <w:rsid w:val="00B769AC"/>
    <w:rsid w:val="00BA19D4"/>
    <w:rsid w:val="00BD68B5"/>
    <w:rsid w:val="00BE0B9B"/>
    <w:rsid w:val="00BF7114"/>
    <w:rsid w:val="00C0104F"/>
    <w:rsid w:val="00C14F1C"/>
    <w:rsid w:val="00C61DCA"/>
    <w:rsid w:val="00C6246E"/>
    <w:rsid w:val="00C87D2F"/>
    <w:rsid w:val="00C96E03"/>
    <w:rsid w:val="00CA0DFD"/>
    <w:rsid w:val="00CB4EBC"/>
    <w:rsid w:val="00CC0152"/>
    <w:rsid w:val="00CE1CF7"/>
    <w:rsid w:val="00D02BF0"/>
    <w:rsid w:val="00D05B61"/>
    <w:rsid w:val="00D337A8"/>
    <w:rsid w:val="00D67059"/>
    <w:rsid w:val="00D7121D"/>
    <w:rsid w:val="00D941C0"/>
    <w:rsid w:val="00DA07DF"/>
    <w:rsid w:val="00DC7DE3"/>
    <w:rsid w:val="00DF0618"/>
    <w:rsid w:val="00DF1BB4"/>
    <w:rsid w:val="00E019D9"/>
    <w:rsid w:val="00E07EA0"/>
    <w:rsid w:val="00E16097"/>
    <w:rsid w:val="00E51312"/>
    <w:rsid w:val="00E549D5"/>
    <w:rsid w:val="00E77E62"/>
    <w:rsid w:val="00EA3033"/>
    <w:rsid w:val="00EC5D14"/>
    <w:rsid w:val="00EC6872"/>
    <w:rsid w:val="00F11B7E"/>
    <w:rsid w:val="00F448CD"/>
    <w:rsid w:val="00F57E8A"/>
    <w:rsid w:val="00F914E5"/>
    <w:rsid w:val="00F9226C"/>
    <w:rsid w:val="00F93719"/>
    <w:rsid w:val="00FE0454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8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F308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7F308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7F308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F3085"/>
    <w:rPr>
      <w:b/>
    </w:rPr>
  </w:style>
  <w:style w:type="paragraph" w:styleId="Tekstpodstawowy">
    <w:name w:val="Body Text"/>
    <w:basedOn w:val="Normalny"/>
    <w:link w:val="TekstpodstawowyZnak"/>
    <w:rsid w:val="007F3085"/>
    <w:pPr>
      <w:widowControl/>
      <w:suppressAutoHyphens/>
      <w:autoSpaceDE/>
      <w:autoSpaceDN/>
      <w:adjustRightInd/>
      <w:spacing w:line="240" w:lineRule="auto"/>
      <w:jc w:val="both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30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F3085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3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8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link w:val="CZWSPPKTczwsplnapunktwZnak"/>
    <w:uiPriority w:val="16"/>
    <w:qFormat/>
    <w:rsid w:val="00961687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CZWSPPKTczwsplnapunktwZnak">
    <w:name w:val="CZ_WSP_PKT – część wspólna punktów Znak"/>
    <w:basedOn w:val="Domylnaczcionkaakapitu"/>
    <w:link w:val="CZWSPPKTczwsplnapunktw"/>
    <w:uiPriority w:val="16"/>
    <w:rsid w:val="00961687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E0454"/>
    <w:pPr>
      <w:widowControl/>
      <w:suppressAutoHyphens/>
      <w:ind w:firstLine="510"/>
      <w:jc w:val="both"/>
    </w:pPr>
    <w:rPr>
      <w:rFonts w:ascii="Times" w:eastAsia="Times New Roman" w:hAnsi="Times"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36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367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367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8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F308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7F308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7F308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F3085"/>
    <w:rPr>
      <w:b/>
    </w:rPr>
  </w:style>
  <w:style w:type="paragraph" w:styleId="Tekstpodstawowy">
    <w:name w:val="Body Text"/>
    <w:basedOn w:val="Normalny"/>
    <w:link w:val="TekstpodstawowyZnak"/>
    <w:rsid w:val="007F3085"/>
    <w:pPr>
      <w:widowControl/>
      <w:suppressAutoHyphens/>
      <w:autoSpaceDE/>
      <w:autoSpaceDN/>
      <w:adjustRightInd/>
      <w:spacing w:line="240" w:lineRule="auto"/>
      <w:jc w:val="both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30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F3085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3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8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link w:val="CZWSPPKTczwsplnapunktwZnak"/>
    <w:uiPriority w:val="16"/>
    <w:qFormat/>
    <w:rsid w:val="00961687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CZWSPPKTczwsplnapunktwZnak">
    <w:name w:val="CZ_WSP_PKT – część wspólna punktów Znak"/>
    <w:basedOn w:val="Domylnaczcionkaakapitu"/>
    <w:link w:val="CZWSPPKTczwsplnapunktw"/>
    <w:uiPriority w:val="16"/>
    <w:rsid w:val="00961687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E0454"/>
    <w:pPr>
      <w:widowControl/>
      <w:suppressAutoHyphens/>
      <w:ind w:firstLine="510"/>
      <w:jc w:val="both"/>
    </w:pPr>
    <w:rPr>
      <w:rFonts w:ascii="Times" w:eastAsia="Times New Roman" w:hAnsi="Times"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36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367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367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F19-FC83-4C1C-8212-6EC55FD3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Przygoda</dc:creator>
  <cp:lastModifiedBy>Joanna Klimczak</cp:lastModifiedBy>
  <cp:revision>2</cp:revision>
  <cp:lastPrinted>2020-06-29T05:34:00Z</cp:lastPrinted>
  <dcterms:created xsi:type="dcterms:W3CDTF">2020-09-25T11:22:00Z</dcterms:created>
  <dcterms:modified xsi:type="dcterms:W3CDTF">2020-09-25T11:22:00Z</dcterms:modified>
</cp:coreProperties>
</file>