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39" w:rsidRPr="00752739" w:rsidRDefault="00752739" w:rsidP="00752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bookmarkStart w:id="0" w:name="_GoBack"/>
      <w:bookmarkEnd w:id="0"/>
      <w:r w:rsidRPr="0075273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UZASADNIENIE</w:t>
      </w:r>
      <w:r w:rsidRPr="00752739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</w:t>
      </w:r>
    </w:p>
    <w:p w:rsidR="00752739" w:rsidRPr="00752739" w:rsidRDefault="00752739" w:rsidP="00752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</w:p>
    <w:p w:rsidR="00752739" w:rsidRPr="00752739" w:rsidRDefault="00752739" w:rsidP="00752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rozporządzenia jest realizacją delegacji ustawowej zawartej w art. 56 ust. 1 oraz art. 104 </w:t>
      </w:r>
      <w:r w:rsidRPr="00752739">
        <w:rPr>
          <w:rFonts w:ascii="Times New Roman" w:eastAsia="Calibri" w:hAnsi="Times New Roman" w:cs="Times New Roman"/>
          <w:sz w:val="24"/>
          <w:szCs w:val="24"/>
        </w:rPr>
        <w:t xml:space="preserve">ustawy z dnia 14 grudnia 2018 r. </w:t>
      </w:r>
      <w:r w:rsidRPr="00752739">
        <w:rPr>
          <w:rFonts w:ascii="Times New Roman" w:eastAsia="Calibri" w:hAnsi="Times New Roman" w:cs="Times New Roman"/>
          <w:i/>
          <w:sz w:val="24"/>
          <w:szCs w:val="24"/>
        </w:rPr>
        <w:t xml:space="preserve">o promowaniu energii elektrycznej z wysokosprawnej kogeneracji </w:t>
      </w:r>
      <w:r w:rsidRPr="00752739">
        <w:rPr>
          <w:rFonts w:ascii="Times New Roman" w:eastAsia="Calibri" w:hAnsi="Times New Roman" w:cs="Times New Roman"/>
          <w:sz w:val="24"/>
          <w:szCs w:val="24"/>
        </w:rPr>
        <w:t>(Dz.U. z 20</w:t>
      </w:r>
      <w:r w:rsidR="006F7030">
        <w:rPr>
          <w:rFonts w:ascii="Times New Roman" w:eastAsia="Calibri" w:hAnsi="Times New Roman" w:cs="Times New Roman"/>
          <w:sz w:val="24"/>
          <w:szCs w:val="24"/>
        </w:rPr>
        <w:t>20</w:t>
      </w:r>
      <w:r w:rsidRPr="0075273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F7030">
        <w:rPr>
          <w:rFonts w:ascii="Times New Roman" w:eastAsia="Calibri" w:hAnsi="Times New Roman" w:cs="Times New Roman"/>
          <w:sz w:val="24"/>
          <w:szCs w:val="24"/>
        </w:rPr>
        <w:t>250, z późn. zm.</w:t>
      </w:r>
      <w:r w:rsidRPr="00752739">
        <w:rPr>
          <w:rFonts w:ascii="Times New Roman" w:eastAsia="Calibri" w:hAnsi="Times New Roman" w:cs="Times New Roman"/>
          <w:sz w:val="24"/>
          <w:szCs w:val="24"/>
        </w:rPr>
        <w:t>), zwanej dalej „ustawą”,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nakłada na ministra właściwego do spraw energii obowiązek określenia, w drodze rozporządzenia, maksymalnej ilości i wartości energii elektrycznej z wysokosprawnej kogeneracji objętej wsparciem, </w:t>
      </w:r>
      <w:r w:rsidRPr="00752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również w odniesieniu do </w:t>
      </w:r>
      <w:r w:rsidRPr="0075273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jednostek kogeneracji zlokalizowanych poza terytorium Rzeczypospolitej Polskiej. Dodatkowo, w projekcie rozporządzenia określone zostają</w:t>
      </w:r>
      <w:r w:rsidRPr="00752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jednostkowe wysokości premii gwarantowanej (w tym również dla małych jednostek kogeneracji) i maksymalnej wysokości premii kogeneracyjnej indywidualnej.</w:t>
      </w:r>
    </w:p>
    <w:p w:rsidR="00752739" w:rsidRPr="00752739" w:rsidRDefault="00752739" w:rsidP="00752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§ 1 - 12 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rozporządzenia określono dla 2021 r.: </w:t>
      </w:r>
    </w:p>
    <w:p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energii elektrycznej z wysokosprawnej kogeneracji, której sprzedaż może zostać objęta premią kogeneracyjną,</w:t>
      </w:r>
    </w:p>
    <w:p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wartość premii kogeneracyjnej, ze wskazaniem, przewidzianej w jej łącznej kwocie, maksymalnej wartości premii kogeneracyjnej przeznaczonej dla wytwórców energii elektrycznej z wysokosprawnej kogeneracji w jednostkach kogeneracji zlokalizowanych poza terytorium Rzeczypospolitej Polskiej,</w:t>
      </w:r>
    </w:p>
    <w:p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moc zainstalowaną elektryczną nowych małych jednostek kogeneracji lub znacznie zmodernizowanych małych jednostek kogeneracji, dla których wytwórca może uzyskać premię gwarantowaną,</w:t>
      </w:r>
    </w:p>
    <w:p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energii elektrycznej z wysokosprawnej kogeneracji, której sprzedaż może zostać objęta premią kogeneracyjną indywidualną,</w:t>
      </w:r>
    </w:p>
    <w:p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maksymalną wartość premii kogeneracyjnej indywidualnej, </w:t>
      </w:r>
    </w:p>
    <w:p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maksymalną wysokość premii kogeneracyjnej indywidualnej przewidzianą także dla   wytwórców energii elektrycznej z wysokosprawnej kogeneracji w jednostkach kogeneracji zlokalizowanych poza terytorium Rzeczypospolitej Polskiej, </w:t>
      </w:r>
    </w:p>
    <w:p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jednostkową wysokość premii gwarantowanej dla:</w:t>
      </w:r>
    </w:p>
    <w:p w:rsidR="00752739" w:rsidRPr="00752739" w:rsidRDefault="00752739" w:rsidP="005C1D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istniejących jednostek kogeneracji o mocy zainstalowanej elektrycznej nie mniejszej niż 1 MW i mniejszej niż 50 MW, </w:t>
      </w:r>
    </w:p>
    <w:p w:rsidR="00752739" w:rsidRPr="00752739" w:rsidRDefault="00752739" w:rsidP="005C1D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zmodernizowanych jednostek kogeneracji o mocy zainstalowanej elektrycznej nie mniejszej niż 1 MW i mniejszej niż 50 MW, </w:t>
      </w:r>
    </w:p>
    <w:p w:rsidR="00752739" w:rsidRPr="00752739" w:rsidRDefault="00752739" w:rsidP="005C1D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oraz zmodernizowanych małych jednostki kogeneracji,</w:t>
      </w:r>
    </w:p>
    <w:p w:rsidR="00752739" w:rsidRPr="00752739" w:rsidRDefault="00752739" w:rsidP="005C1D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znacznie zmodernizowanych małych jednostki kogeneracji,</w:t>
      </w:r>
    </w:p>
    <w:p w:rsidR="00752739" w:rsidRPr="00752739" w:rsidRDefault="00752739" w:rsidP="005C1D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 małych jednostki kogeneracji,</w:t>
      </w:r>
    </w:p>
    <w:p w:rsidR="00752739" w:rsidRPr="00752739" w:rsidRDefault="00483B37" w:rsidP="0075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52739"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na wykorzystane paliwo (paliwa gazowe, paliwa stałe, biomasa oraz pozostałe paliwa. </w:t>
      </w:r>
    </w:p>
    <w:p w:rsidR="00752739" w:rsidRPr="00752739" w:rsidRDefault="00752739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§ 13 niniejszego projektu określono, że rozporządzenie wchodzi w życie po upływie 14 dni od dnia ogłoszenia. </w:t>
      </w:r>
    </w:p>
    <w:p w:rsidR="00752739" w:rsidRPr="00752739" w:rsidRDefault="00752739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przedmiotowej regulacji z chwilą przekazania do uzgodnień międzyresortowych zostanie udostępniony w Biuletynie Informacji Publicznej na stronie podmiotowej Rządowego Centrum Legislacji, w serwisie Rządowy Proces Legislacyjny, zgodnie z ustawą z dnia 7 lipca 2005 o działalności lobbingowej w procesie stosowania prawa (Dz. U. z 2017 r. poz. 248) oraz § 52 ust. 1 uchwały nr 190 Rady Ministrów z dnia 29 października 2013 r. – Regulamin pracy Rady Ministrów(M.P. z 2016 r. poz. 1006 i 1204, z 2018 r. poz. 114 i 278 oraz z 2019 r. poz. 137).</w:t>
      </w:r>
    </w:p>
    <w:p w:rsidR="00752739" w:rsidRPr="00752739" w:rsidRDefault="00752739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rozporządzenia jest zgodny z przepisami Unii Europejskiej.</w:t>
      </w:r>
    </w:p>
    <w:p w:rsidR="00752739" w:rsidRDefault="00752739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rozporządzenia nie podlega procedurze notyfikacji w rozumieniu przepisów rozporządzenia Rady Ministrów z dnia 23 grudnia 2002 r. w sprawie sposobu funkcjonowania krajowego systemu notyfikacji norm i aktów prawnych (Dz. U. poz. 2039 oraz z 2004 r.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poz. 597).</w:t>
      </w:r>
    </w:p>
    <w:p w:rsidR="00541B85" w:rsidRDefault="00541B85" w:rsidP="00541B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41B8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Projektowane rozporządzanie nie będzie miało wpływu na </w:t>
      </w:r>
      <w:proofErr w:type="spellStart"/>
      <w:r w:rsidRPr="00541B85">
        <w:rPr>
          <w:rFonts w:ascii="Times New Roman" w:eastAsia="Times New Roman" w:hAnsi="Times New Roman" w:cs="Arial"/>
          <w:sz w:val="24"/>
          <w:szCs w:val="20"/>
          <w:lang w:eastAsia="pl-PL"/>
        </w:rPr>
        <w:t>mikroprzedsiębiorców</w:t>
      </w:r>
      <w:proofErr w:type="spellEnd"/>
      <w:r w:rsidRPr="00541B8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małych i średnich przedsiębiorców. </w:t>
      </w:r>
    </w:p>
    <w:p w:rsidR="00777372" w:rsidRDefault="00752739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nie wymaga przedstawienia organom i instytucjom Unii Europejskiej, w tym Europejskiemu Bankowi Centralnemu, w celu uzyskania opinii, dokonania powiadomienia, konsultacji albo uzgodnienia.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cr/>
      </w:r>
    </w:p>
    <w:p w:rsidR="00541B85" w:rsidRDefault="00541B85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41B85" w:rsidSect="00D3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71E"/>
    <w:multiLevelType w:val="hybridMultilevel"/>
    <w:tmpl w:val="4CF6F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D5C"/>
    <w:multiLevelType w:val="hybridMultilevel"/>
    <w:tmpl w:val="ED568508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D0F44B6"/>
    <w:multiLevelType w:val="hybridMultilevel"/>
    <w:tmpl w:val="9BE8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6076"/>
    <w:multiLevelType w:val="hybridMultilevel"/>
    <w:tmpl w:val="C7A6C966"/>
    <w:lvl w:ilvl="0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4F"/>
    <w:rsid w:val="00036D53"/>
    <w:rsid w:val="00042386"/>
    <w:rsid w:val="00352210"/>
    <w:rsid w:val="00483B37"/>
    <w:rsid w:val="00541B85"/>
    <w:rsid w:val="005C1D5F"/>
    <w:rsid w:val="005C394F"/>
    <w:rsid w:val="006F7030"/>
    <w:rsid w:val="00752739"/>
    <w:rsid w:val="00777372"/>
    <w:rsid w:val="00D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C1E5-36B7-4A06-AA1F-D8D75814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 Radoslaw</dc:creator>
  <cp:keywords/>
  <dc:description/>
  <cp:lastModifiedBy>Banaszak Wojciech</cp:lastModifiedBy>
  <cp:revision>2</cp:revision>
  <dcterms:created xsi:type="dcterms:W3CDTF">2020-09-14T10:04:00Z</dcterms:created>
  <dcterms:modified xsi:type="dcterms:W3CDTF">2020-09-14T10:04:00Z</dcterms:modified>
</cp:coreProperties>
</file>