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63" w:rsidRPr="00914563" w:rsidRDefault="00914563" w:rsidP="00914563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14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14563" w:rsidRPr="00914563" w:rsidRDefault="00914563" w:rsidP="00A02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wykonuje upoważnienie zawarte w art. 33 ust. 2 ustawy dnia 24 sierpnia 1991 r. o ochronie przeciwpożarowej (Dz. U. z </w:t>
      </w:r>
      <w:r w:rsidR="00EB723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7233">
        <w:rPr>
          <w:rFonts w:ascii="Times New Roman" w:eastAsia="Times New Roman" w:hAnsi="Times New Roman" w:cs="Times New Roman"/>
          <w:sz w:val="24"/>
          <w:szCs w:val="24"/>
          <w:lang w:eastAsia="pl-PL"/>
        </w:rPr>
        <w:t>961</w:t>
      </w:r>
      <w:r w:rsidR="0096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„ustawą o ochronie przeciwpożarowej”. Na tej podstawie minister właściwy do spraw wewnętrznych corocznie określa wysokość środków finansowych z budżetu państwa oraz ich podział między jednostki ochrony przeciwpożarowej włączone do krajowego systemu ratowniczo-gaśniczego.</w:t>
      </w:r>
    </w:p>
    <w:p w:rsidR="00914563" w:rsidRPr="00914563" w:rsidRDefault="00914563" w:rsidP="00A02A4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budżetowej na rok </w:t>
      </w:r>
      <w:r w:rsidR="00FD77C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FD77C3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E7B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D77C3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(Dz. U. poz. </w:t>
      </w:r>
      <w:r w:rsidR="00052E7B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="00480651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A02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– 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wewnętrzne, dziale 754 – Bezpieczeństwo publiczne i ochrona przeciwpożarowa, rozdziale 75409 – Komenda Główna Państwowej Straży Pożarnej, </w:t>
      </w:r>
      <w:r w:rsidR="00966D18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jednostek ochrony przeciwpożarowej włączonych do krajowego systemu ratowniczo-gaśniczego przewidziano kwotę 7</w:t>
      </w:r>
      <w:r w:rsidR="0096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3 000 000 zł, z czego: w grupie 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i</w:t>
      </w:r>
      <w:r w:rsidR="004806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subwencje” – </w:t>
      </w:r>
      <w:r w:rsidR="00FD77C3">
        <w:rPr>
          <w:rFonts w:ascii="Times New Roman" w:eastAsia="Times New Roman" w:hAnsi="Times New Roman" w:cs="Times New Roman"/>
          <w:sz w:val="24"/>
          <w:szCs w:val="24"/>
          <w:lang w:eastAsia="pl-PL"/>
        </w:rPr>
        <w:t>26 195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zł, w grupie „wydatki majątkowe” – </w:t>
      </w:r>
      <w:r w:rsidR="00FD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46 805 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zł. </w:t>
      </w:r>
    </w:p>
    <w:p w:rsidR="00914563" w:rsidRDefault="00914563" w:rsidP="00A02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 rezerwy 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celowej  w poz. </w:t>
      </w:r>
      <w:r w:rsidR="00052E7B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„Uzupełnienie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wydatków, o których mowa w art. 7 ustawy z dnia 25 maja 2001 r. o przebudowie i modernizacji technicznej oraz finansowaniu Sił Zbrojnych RP, z przeznaczeniem na realizację przedsięwzięć: sprzęt transportowy, uzbrojenia i techniki specjalnej, informatyki i łączności oraz wyposażenie osobiste i ochronne funkcjonariuszy, w ramach Programu modernizacji Policji, Straży Granicznej, Państwowej Straży Pożarnej i </w:t>
      </w:r>
      <w:r w:rsidR="00BF0BD5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Ochrony Państwa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2017 – 2020” zostały uruchomione środki w wysokości </w:t>
      </w:r>
      <w:r w:rsidR="00FD77C3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13 790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zł, z czego: w grupie „dotacje i</w:t>
      </w:r>
      <w:r w:rsidR="00480651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subwencje” –</w:t>
      </w:r>
      <w:r w:rsidR="00FD77C3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4 720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zł, w grupie „wydatki majątkowe” – </w:t>
      </w:r>
      <w:r w:rsidR="00CD58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8D9">
        <w:rPr>
          <w:rFonts w:ascii="Times New Roman" w:eastAsia="Times New Roman" w:hAnsi="Times New Roman" w:cs="Times New Roman"/>
          <w:sz w:val="24"/>
          <w:szCs w:val="24"/>
          <w:lang w:eastAsia="pl-PL"/>
        </w:rPr>
        <w:t>070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</w:t>
      </w:r>
      <w:r w:rsidR="00CD5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2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80651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de</w:t>
      </w:r>
      <w:r w:rsidR="00FD77C3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cyzją Ministra Finansów</w:t>
      </w:r>
      <w:r w:rsidR="00831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FD77C3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D8E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 r. znak: MF/FS7.4143.3.42.2020.MF.602</w:t>
      </w:r>
      <w:r w:rsidR="00CD58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70D8E"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0D8E" w:rsidRPr="00914563" w:rsidRDefault="00C70D8E" w:rsidP="00A02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rezerwy celowej w poz. 4 pn. „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i usuwanie skutków klęsk żywiołowych, w tym 40</w:t>
      </w:r>
      <w:r w:rsidR="00A02A43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000 000</w:t>
      </w:r>
      <w:r w:rsidRPr="00C7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dofinansowanie zakupu pojazdów ratowniczo-gaśniczych dla jednostek ochotniczych straży pożarnych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zostały uruchomione środki </w:t>
      </w:r>
      <w:r w:rsidR="00E35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40 000 000 zł, w grupie </w:t>
      </w:r>
      <w:r w:rsidR="00953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„wydatki majątkowe” – 40 000 000 zł </w:t>
      </w:r>
      <w:r w:rsidR="00953BE6" w:rsidRPr="00953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</w:t>
      </w:r>
      <w:r w:rsidR="00E35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3BE6" w:rsidRPr="00953BE6">
        <w:rPr>
          <w:rFonts w:ascii="Times New Roman" w:eastAsia="Times New Roman" w:hAnsi="Times New Roman" w:cs="Times New Roman"/>
          <w:sz w:val="24"/>
          <w:szCs w:val="24"/>
          <w:lang w:eastAsia="pl-PL"/>
        </w:rPr>
        <w:t>z decyzją Ministra Finansów 24 kwietnia 2020 r. znak: MF/FG6.4143.3.45.2020.MF.1115</w:t>
      </w:r>
      <w:r w:rsidR="003C0E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53BE6" w:rsidRPr="00953B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016" w:rsidRDefault="00831016" w:rsidP="00A02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Ministra Spraw Wewnętrznych i Administracji z dnia 23 czerwca 2020 r. znak:</w:t>
      </w:r>
      <w:r w:rsidR="00EB7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42.3122.2.152.2020.ZW został zwiększony plan wydatków </w:t>
      </w:r>
      <w:r w:rsidRPr="00831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42 – </w:t>
      </w:r>
      <w:r w:rsid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wewnętrzne, dziale 754 – Bezpieczeństwo publiczne i ochrona przeciwpożarowa,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1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75409 – Komenda Główna Państwowej Straży Pożarnej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działań ratowniczo-gaśniczych w ramach dotacji OSP w wysokości 6 400 000 zł w grupie </w:t>
      </w:r>
      <w:r w:rsidR="003D25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„dotacje i subwencje”. Następnie decyzją Ministra Spraw Wewnętrznych i Administracji </w:t>
      </w:r>
      <w:r w:rsid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13 lipca 2020 r. znak: 42.3122.2.185.2020.ZW została dokonana zmiana w planie wydatków środków w wysokości 6 400 000 zł z grupy „</w:t>
      </w:r>
      <w:r w:rsidR="00D80997" w:rsidRP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i subwencje</w:t>
      </w:r>
      <w:r w:rsid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CD5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0997">
        <w:rPr>
          <w:rFonts w:ascii="Times New Roman" w:eastAsia="Times New Roman" w:hAnsi="Times New Roman" w:cs="Times New Roman"/>
          <w:sz w:val="24"/>
          <w:szCs w:val="24"/>
          <w:lang w:eastAsia="pl-PL"/>
        </w:rPr>
        <w:t>na „wydatki majątkowe” z przeznaczeniem na dofinansowanie zakupu 16 średnich samochodów ratowniczo-gaśniczych dla jednostek ochotniczych straży pożarnych.</w:t>
      </w:r>
    </w:p>
    <w:p w:rsidR="00BD6EEE" w:rsidRDefault="003C0E2F" w:rsidP="00A02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ogólnej rezerwy budżetowej zostały uruchomione środki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12 400 000 zł, w grupie „wydatki majątkowe”  (zgodnie z d</w:t>
      </w:r>
      <w:r w:rsidR="00EB7233">
        <w:rPr>
          <w:rFonts w:ascii="Times New Roman" w:eastAsia="Times New Roman" w:hAnsi="Times New Roman" w:cs="Times New Roman"/>
          <w:sz w:val="24"/>
          <w:szCs w:val="24"/>
          <w:lang w:eastAsia="pl-PL"/>
        </w:rPr>
        <w:t>ecyzją Ministra Finansów z dnia 28 sierpnia 2020 r. znak: MF/FG6.4143.3.174.2020.MF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.3523). </w:t>
      </w:r>
    </w:p>
    <w:p w:rsidR="00914563" w:rsidRPr="00914563" w:rsidRDefault="00914563" w:rsidP="00A02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rozdziale środków uwzględniono: liczbę jednostek ochrony przeciwpożarowej włączonych do krajowego systemu ratowniczo-gaśniczego według stanu na 31</w:t>
      </w:r>
      <w:r w:rsidR="00CD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D77C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B3C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liczbę powiatów, </w:t>
      </w:r>
      <w:r w:rsidR="0048065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480651"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wyjazdów do pożarów i </w:t>
      </w:r>
      <w:r w:rsidR="009F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="003B3C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miejscowych zagrożeń  w 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77C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B17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także liczbę ludności w poszczególnych województwach.  </w:t>
      </w:r>
    </w:p>
    <w:p w:rsidR="00914563" w:rsidRPr="00914563" w:rsidRDefault="00914563" w:rsidP="00A02A43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ochronie przeciwpożarowej w art. 33 ust. 1 nakłada na budżet państwa obowiązek uczestniczenia w kosztach funkcjonowania jednostek, o których mowa </w:t>
      </w:r>
      <w:r w:rsidR="00E35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15 pkt 2 – 6 i 8 ustawy o ochronie przeciwpożarowej, jeżeli jednostki te działają w ramach krajowego systemu ratowniczo-gaśniczego. </w:t>
      </w:r>
    </w:p>
    <w:p w:rsidR="00914563" w:rsidRPr="00914563" w:rsidRDefault="00914563" w:rsidP="00A02A43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63">
        <w:rPr>
          <w:rFonts w:ascii="Times New Roman" w:eastAsia="Calibri" w:hAnsi="Times New Roman" w:cs="Times New Roman"/>
          <w:sz w:val="24"/>
          <w:szCs w:val="24"/>
        </w:rPr>
        <w:tab/>
      </w:r>
      <w:r w:rsidRPr="00953BE6">
        <w:rPr>
          <w:rFonts w:ascii="Times New Roman" w:eastAsia="Calibri" w:hAnsi="Times New Roman" w:cs="Times New Roman"/>
          <w:sz w:val="24"/>
          <w:szCs w:val="24"/>
        </w:rPr>
        <w:t>Jednostki OSP włączone do krajowego systemu ratowniczo-gaśniczego, w 201</w:t>
      </w:r>
      <w:r w:rsidR="00D24327" w:rsidRPr="00953BE6">
        <w:rPr>
          <w:rFonts w:ascii="Times New Roman" w:eastAsia="Calibri" w:hAnsi="Times New Roman" w:cs="Times New Roman"/>
          <w:sz w:val="24"/>
          <w:szCs w:val="24"/>
        </w:rPr>
        <w:t>9</w:t>
      </w:r>
      <w:r w:rsidRPr="00953BE6">
        <w:rPr>
          <w:rFonts w:ascii="Times New Roman" w:eastAsia="Calibri" w:hAnsi="Times New Roman" w:cs="Times New Roman"/>
          <w:sz w:val="24"/>
          <w:szCs w:val="24"/>
        </w:rPr>
        <w:t xml:space="preserve"> roku brały udział łącznie w </w:t>
      </w:r>
      <w:r w:rsidR="0022334A" w:rsidRPr="00953BE6">
        <w:rPr>
          <w:rFonts w:ascii="Times New Roman" w:eastAsia="Calibri" w:hAnsi="Times New Roman" w:cs="Times New Roman"/>
          <w:sz w:val="24"/>
          <w:szCs w:val="24"/>
        </w:rPr>
        <w:t>257 508</w:t>
      </w:r>
      <w:r w:rsidRPr="00953BE6">
        <w:rPr>
          <w:rFonts w:ascii="Times New Roman" w:eastAsia="Calibri" w:hAnsi="Times New Roman" w:cs="Times New Roman"/>
          <w:sz w:val="24"/>
          <w:szCs w:val="24"/>
        </w:rPr>
        <w:t xml:space="preserve"> działaniach związanych z pożar</w:t>
      </w:r>
      <w:r w:rsidR="0022334A" w:rsidRPr="00953BE6">
        <w:rPr>
          <w:rFonts w:ascii="Times New Roman" w:eastAsia="Calibri" w:hAnsi="Times New Roman" w:cs="Times New Roman"/>
          <w:sz w:val="24"/>
          <w:szCs w:val="24"/>
        </w:rPr>
        <w:t xml:space="preserve">ami i </w:t>
      </w:r>
      <w:r w:rsidR="008A795C" w:rsidRPr="00953BE6">
        <w:rPr>
          <w:rFonts w:ascii="Times New Roman" w:eastAsia="Calibri" w:hAnsi="Times New Roman" w:cs="Times New Roman"/>
          <w:sz w:val="24"/>
          <w:szCs w:val="24"/>
        </w:rPr>
        <w:t xml:space="preserve">innymi </w:t>
      </w:r>
      <w:r w:rsidR="0022334A" w:rsidRPr="00953BE6">
        <w:rPr>
          <w:rFonts w:ascii="Times New Roman" w:eastAsia="Calibri" w:hAnsi="Times New Roman" w:cs="Times New Roman"/>
          <w:sz w:val="24"/>
          <w:szCs w:val="24"/>
        </w:rPr>
        <w:t>miejscowymi zagrożeniami</w:t>
      </w:r>
      <w:r w:rsidRPr="00953BE6">
        <w:rPr>
          <w:rFonts w:ascii="Times New Roman" w:eastAsia="Calibri" w:hAnsi="Times New Roman" w:cs="Times New Roman"/>
          <w:sz w:val="24"/>
          <w:szCs w:val="24"/>
        </w:rPr>
        <w:t>. Zakładowe straże pożarne (</w:t>
      </w:r>
      <w:r w:rsidR="00D24327" w:rsidRPr="00953BE6">
        <w:rPr>
          <w:rFonts w:ascii="Times New Roman" w:eastAsia="Calibri" w:hAnsi="Times New Roman" w:cs="Times New Roman"/>
          <w:sz w:val="24"/>
          <w:szCs w:val="24"/>
        </w:rPr>
        <w:t>7</w:t>
      </w:r>
      <w:r w:rsidRPr="00953BE6">
        <w:rPr>
          <w:rFonts w:ascii="Times New Roman" w:eastAsia="Calibri" w:hAnsi="Times New Roman" w:cs="Times New Roman"/>
          <w:sz w:val="24"/>
          <w:szCs w:val="24"/>
        </w:rPr>
        <w:t xml:space="preserve"> jednostek), włączone do krajowego systemu ratowniczo-gaśniczego, w 201</w:t>
      </w:r>
      <w:r w:rsidR="00D24327" w:rsidRPr="00953BE6">
        <w:rPr>
          <w:rFonts w:ascii="Times New Roman" w:eastAsia="Calibri" w:hAnsi="Times New Roman" w:cs="Times New Roman"/>
          <w:sz w:val="24"/>
          <w:szCs w:val="24"/>
        </w:rPr>
        <w:t>9</w:t>
      </w:r>
      <w:r w:rsidRPr="00953BE6">
        <w:rPr>
          <w:rFonts w:ascii="Times New Roman" w:eastAsia="Calibri" w:hAnsi="Times New Roman" w:cs="Times New Roman"/>
          <w:sz w:val="24"/>
          <w:szCs w:val="24"/>
        </w:rPr>
        <w:t xml:space="preserve"> roku w ramach porozumień </w:t>
      </w:r>
      <w:proofErr w:type="spellStart"/>
      <w:r w:rsidRPr="00953BE6">
        <w:rPr>
          <w:rFonts w:ascii="Times New Roman" w:eastAsia="Calibri" w:hAnsi="Times New Roman" w:cs="Times New Roman"/>
          <w:sz w:val="24"/>
          <w:szCs w:val="24"/>
        </w:rPr>
        <w:t>ksr</w:t>
      </w:r>
      <w:r w:rsidR="00D24327" w:rsidRPr="00953BE6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D24327" w:rsidRPr="00953BE6">
        <w:rPr>
          <w:rFonts w:ascii="Times New Roman" w:eastAsia="Calibri" w:hAnsi="Times New Roman" w:cs="Times New Roman"/>
          <w:sz w:val="24"/>
          <w:szCs w:val="24"/>
        </w:rPr>
        <w:t xml:space="preserve"> brały udział łącznie </w:t>
      </w:r>
      <w:r w:rsidR="00CD58D9">
        <w:rPr>
          <w:rFonts w:ascii="Times New Roman" w:eastAsia="Calibri" w:hAnsi="Times New Roman" w:cs="Times New Roman"/>
          <w:sz w:val="24"/>
          <w:szCs w:val="24"/>
        </w:rPr>
        <w:br/>
      </w:r>
      <w:r w:rsidR="00D24327" w:rsidRPr="00953BE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2334A" w:rsidRPr="00953BE6">
        <w:rPr>
          <w:rFonts w:ascii="Times New Roman" w:eastAsia="Calibri" w:hAnsi="Times New Roman" w:cs="Times New Roman"/>
          <w:sz w:val="24"/>
          <w:szCs w:val="24"/>
        </w:rPr>
        <w:t>481</w:t>
      </w:r>
      <w:r w:rsidRPr="00953BE6">
        <w:rPr>
          <w:rFonts w:ascii="Times New Roman" w:eastAsia="Calibri" w:hAnsi="Times New Roman" w:cs="Times New Roman"/>
          <w:sz w:val="24"/>
          <w:szCs w:val="24"/>
        </w:rPr>
        <w:t xml:space="preserve"> działaniach ratowniczych.</w:t>
      </w:r>
    </w:p>
    <w:p w:rsidR="00A81239" w:rsidRDefault="009E60CF" w:rsidP="00A02A43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0CF">
        <w:rPr>
          <w:rFonts w:ascii="Times New Roman" w:eastAsia="Calibri" w:hAnsi="Times New Roman" w:cs="Times New Roman"/>
          <w:sz w:val="24"/>
          <w:szCs w:val="24"/>
        </w:rPr>
        <w:t>Projekt nie dotyczy majątkowych praw i obowiązków przedsiębiorców lub praw i</w:t>
      </w:r>
      <w:r w:rsidR="00966D18">
        <w:rPr>
          <w:rFonts w:ascii="Times New Roman" w:eastAsia="Calibri" w:hAnsi="Times New Roman" w:cs="Times New Roman"/>
          <w:sz w:val="24"/>
          <w:szCs w:val="24"/>
        </w:rPr>
        <w:t> </w:t>
      </w: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obowiązków przedsiębiorców wobec organów administracji publicznej i nie wpływa </w:t>
      </w:r>
      <w:r w:rsidR="00CD58D9">
        <w:rPr>
          <w:rFonts w:ascii="Times New Roman" w:eastAsia="Calibri" w:hAnsi="Times New Roman" w:cs="Times New Roman"/>
          <w:sz w:val="24"/>
          <w:szCs w:val="24"/>
        </w:rPr>
        <w:br/>
      </w:r>
      <w:r w:rsidR="00E85099">
        <w:rPr>
          <w:rFonts w:ascii="Times New Roman" w:eastAsia="Calibri" w:hAnsi="Times New Roman" w:cs="Times New Roman"/>
          <w:sz w:val="24"/>
          <w:szCs w:val="24"/>
        </w:rPr>
        <w:t xml:space="preserve">na działalność </w:t>
      </w:r>
      <w:proofErr w:type="spellStart"/>
      <w:r w:rsidR="00E85099">
        <w:rPr>
          <w:rFonts w:ascii="Times New Roman" w:eastAsia="Calibri" w:hAnsi="Times New Roman" w:cs="Times New Roman"/>
          <w:sz w:val="24"/>
          <w:szCs w:val="24"/>
        </w:rPr>
        <w:t>mikro</w:t>
      </w:r>
      <w:r w:rsidRPr="009E60CF">
        <w:rPr>
          <w:rFonts w:ascii="Times New Roman" w:eastAsia="Calibri" w:hAnsi="Times New Roman" w:cs="Times New Roman"/>
          <w:sz w:val="24"/>
          <w:szCs w:val="24"/>
        </w:rPr>
        <w:t>przedsiębiorców</w:t>
      </w:r>
      <w:proofErr w:type="spellEnd"/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 oraz małych i średnich przedsiębiorców.</w:t>
      </w:r>
      <w:r w:rsidR="00966D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B04" w:rsidRPr="009E60CF" w:rsidRDefault="00E35B04" w:rsidP="00E35B04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0CF">
        <w:rPr>
          <w:rFonts w:ascii="Times New Roman" w:eastAsia="Calibri" w:hAnsi="Times New Roman" w:cs="Times New Roman"/>
          <w:sz w:val="24"/>
          <w:szCs w:val="24"/>
        </w:rPr>
        <w:t>Przedmiotowy projekt rozporządzenia nie był przedstawiany instytucjom i organom Unii Europejskiej, w tym Europejskiemu Bankowi Centralnemu, celem uzyskania opinii, dokonania konsultacji albo uzgodnienia, ponieważ przepisy przedmiotowego projektu rozporządzenia pozostają poza zakresem prawa Unii Europejskiej.</w:t>
      </w:r>
    </w:p>
    <w:p w:rsidR="009E60CF" w:rsidRPr="009E60CF" w:rsidRDefault="009E60CF" w:rsidP="00A02A43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Jednocześnie należy wskazać, że nie ma możliwości podjęcia alternatywnych </w:t>
      </w:r>
      <w:r w:rsidR="00E35B04">
        <w:rPr>
          <w:rFonts w:ascii="Times New Roman" w:eastAsia="Calibri" w:hAnsi="Times New Roman" w:cs="Times New Roman"/>
          <w:sz w:val="24"/>
          <w:szCs w:val="24"/>
        </w:rPr>
        <w:br/>
      </w: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w stosunku </w:t>
      </w:r>
      <w:r w:rsidR="00966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0CF">
        <w:rPr>
          <w:rFonts w:ascii="Times New Roman" w:eastAsia="Calibri" w:hAnsi="Times New Roman" w:cs="Times New Roman"/>
          <w:sz w:val="24"/>
          <w:szCs w:val="24"/>
        </w:rPr>
        <w:t>do interwencji legislacyjnej środków umożliwiających osiągnięcie zamierzonego celu.</w:t>
      </w:r>
      <w:r w:rsidR="00966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Zgodnie z § 4 rozporządzenia Rady Ministrów z dnia 23 grudnia 2002 r. w sprawie sposobu funkcjonowania krajowego systemu notyfikacji norm i aktów prawnych </w:t>
      </w:r>
      <w:r w:rsidR="00966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B04">
        <w:rPr>
          <w:rFonts w:ascii="Times New Roman" w:eastAsia="Calibri" w:hAnsi="Times New Roman" w:cs="Times New Roman"/>
          <w:sz w:val="24"/>
          <w:szCs w:val="24"/>
        </w:rPr>
        <w:t xml:space="preserve">(Dz. U. poz. 2039, z </w:t>
      </w:r>
      <w:proofErr w:type="spellStart"/>
      <w:r w:rsidR="00E35B0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E35B04">
        <w:rPr>
          <w:rFonts w:ascii="Times New Roman" w:eastAsia="Calibri" w:hAnsi="Times New Roman" w:cs="Times New Roman"/>
          <w:sz w:val="24"/>
          <w:szCs w:val="24"/>
        </w:rPr>
        <w:t>. zm.)</w:t>
      </w: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 projektowane rozporządzenie nie podlega notyfikacji Komisji Europejskiej, ponieważ nie zawiera przepisów technicznych.</w:t>
      </w:r>
    </w:p>
    <w:p w:rsidR="006372D4" w:rsidRDefault="009E60CF" w:rsidP="00A02A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Projekt rozporządzenia został </w:t>
      </w:r>
      <w:r w:rsidR="00A81239">
        <w:rPr>
          <w:rFonts w:ascii="Times New Roman" w:eastAsia="Calibri" w:hAnsi="Times New Roman" w:cs="Times New Roman"/>
          <w:sz w:val="24"/>
          <w:szCs w:val="24"/>
        </w:rPr>
        <w:t>zamieszczony</w:t>
      </w: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 w Biuletynie Informacji Publicznej </w:t>
      </w:r>
      <w:r w:rsidR="00CD58D9">
        <w:rPr>
          <w:rFonts w:ascii="Times New Roman" w:eastAsia="Calibri" w:hAnsi="Times New Roman" w:cs="Times New Roman"/>
          <w:sz w:val="24"/>
          <w:szCs w:val="24"/>
        </w:rPr>
        <w:br/>
      </w:r>
      <w:r w:rsidRPr="009E60CF">
        <w:rPr>
          <w:rFonts w:ascii="Times New Roman" w:eastAsia="Calibri" w:hAnsi="Times New Roman" w:cs="Times New Roman"/>
          <w:sz w:val="24"/>
          <w:szCs w:val="24"/>
        </w:rPr>
        <w:t xml:space="preserve">na stronie podmiotowej Rządowego Centrum Legislacji w serwisie Rządowy Proces Legislacyjny zgodnie z art. 5 ustawy z dnia 7 lipca 2005 r. o działalności lobbingowej </w:t>
      </w:r>
      <w:r w:rsidR="00966D18">
        <w:rPr>
          <w:rFonts w:ascii="Times New Roman" w:eastAsia="Calibri" w:hAnsi="Times New Roman" w:cs="Times New Roman"/>
          <w:sz w:val="24"/>
          <w:szCs w:val="24"/>
        </w:rPr>
        <w:t>w </w:t>
      </w:r>
      <w:r w:rsidRPr="009E60CF">
        <w:rPr>
          <w:rFonts w:ascii="Times New Roman" w:eastAsia="Calibri" w:hAnsi="Times New Roman" w:cs="Times New Roman"/>
          <w:sz w:val="24"/>
          <w:szCs w:val="24"/>
        </w:rPr>
        <w:t>procesie stanowienia prawa (Dz. U. z 2017 r. poz. 248) oraz § 52 ust. 1 uchwały nr 190 Rady Ministrów z</w:t>
      </w:r>
      <w:r w:rsidR="00B114EB">
        <w:rPr>
          <w:rFonts w:ascii="Times New Roman" w:eastAsia="Calibri" w:hAnsi="Times New Roman" w:cs="Times New Roman"/>
          <w:sz w:val="24"/>
          <w:szCs w:val="24"/>
        </w:rPr>
        <w:t xml:space="preserve"> dnia 29 października 2013 r. – </w:t>
      </w:r>
      <w:r w:rsidR="00A81239">
        <w:rPr>
          <w:rFonts w:ascii="Times New Roman" w:eastAsia="Calibri" w:hAnsi="Times New Roman" w:cs="Times New Roman"/>
          <w:sz w:val="24"/>
          <w:szCs w:val="24"/>
        </w:rPr>
        <w:t xml:space="preserve">Regulamin pracy Rady Ministrów </w:t>
      </w:r>
      <w:r w:rsidR="00E35B04">
        <w:rPr>
          <w:rFonts w:ascii="Times New Roman" w:eastAsia="Calibri" w:hAnsi="Times New Roman" w:cs="Times New Roman"/>
          <w:sz w:val="24"/>
          <w:szCs w:val="24"/>
        </w:rPr>
        <w:br/>
      </w:r>
      <w:r w:rsidR="00A81239">
        <w:rPr>
          <w:rFonts w:ascii="Times New Roman" w:eastAsia="Calibri" w:hAnsi="Times New Roman" w:cs="Times New Roman"/>
          <w:sz w:val="24"/>
          <w:szCs w:val="24"/>
        </w:rPr>
        <w:t xml:space="preserve">(M.P. z 2016 r. poz. 1006, z </w:t>
      </w:r>
      <w:proofErr w:type="spellStart"/>
      <w:r w:rsidR="00A8123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81239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A81239" w:rsidRDefault="00A81239" w:rsidP="00A02A43">
      <w:pPr>
        <w:spacing w:after="0" w:line="288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Projekt nie podlega dokonaniu oceny OSR przez koordynatora OSR w trybie § 32 uchwały nr 190 Rady Ministrów z dnia 29 października 2013 r. – Regulamin pracy Rady Ministrów.</w:t>
      </w:r>
    </w:p>
    <w:p w:rsidR="00A81239" w:rsidRPr="00B114EB" w:rsidRDefault="00A81239" w:rsidP="00A02A43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81239" w:rsidRPr="00B1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3"/>
    <w:rsid w:val="00052E7B"/>
    <w:rsid w:val="0022334A"/>
    <w:rsid w:val="002E1065"/>
    <w:rsid w:val="003405BF"/>
    <w:rsid w:val="003557F7"/>
    <w:rsid w:val="003B3C3A"/>
    <w:rsid w:val="003C0E2F"/>
    <w:rsid w:val="003D2590"/>
    <w:rsid w:val="00450DC2"/>
    <w:rsid w:val="00466FEA"/>
    <w:rsid w:val="00480651"/>
    <w:rsid w:val="005011F7"/>
    <w:rsid w:val="00583569"/>
    <w:rsid w:val="006372D4"/>
    <w:rsid w:val="0066354C"/>
    <w:rsid w:val="00703FBE"/>
    <w:rsid w:val="007A715E"/>
    <w:rsid w:val="00800914"/>
    <w:rsid w:val="00831016"/>
    <w:rsid w:val="00871876"/>
    <w:rsid w:val="008A795C"/>
    <w:rsid w:val="00914563"/>
    <w:rsid w:val="00953BE6"/>
    <w:rsid w:val="00966D18"/>
    <w:rsid w:val="009E60CF"/>
    <w:rsid w:val="009F21C2"/>
    <w:rsid w:val="00A02A43"/>
    <w:rsid w:val="00A81239"/>
    <w:rsid w:val="00AB30F8"/>
    <w:rsid w:val="00B114EB"/>
    <w:rsid w:val="00BB17DD"/>
    <w:rsid w:val="00BD6EEE"/>
    <w:rsid w:val="00BF0BD5"/>
    <w:rsid w:val="00C04E7F"/>
    <w:rsid w:val="00C70D8E"/>
    <w:rsid w:val="00CD58D9"/>
    <w:rsid w:val="00D24327"/>
    <w:rsid w:val="00D5262A"/>
    <w:rsid w:val="00D565D1"/>
    <w:rsid w:val="00D80997"/>
    <w:rsid w:val="00E35B04"/>
    <w:rsid w:val="00E748E3"/>
    <w:rsid w:val="00E85099"/>
    <w:rsid w:val="00EB1768"/>
    <w:rsid w:val="00EB7233"/>
    <w:rsid w:val="00F16D8D"/>
    <w:rsid w:val="00FD77C3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9D1-A86C-40B9-BE5B-34C6672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Ćmiel Joanna</cp:lastModifiedBy>
  <cp:revision>2</cp:revision>
  <cp:lastPrinted>2020-09-01T09:32:00Z</cp:lastPrinted>
  <dcterms:created xsi:type="dcterms:W3CDTF">2020-09-11T12:43:00Z</dcterms:created>
  <dcterms:modified xsi:type="dcterms:W3CDTF">2020-09-11T12:43:00Z</dcterms:modified>
</cp:coreProperties>
</file>