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721F" w14:textId="77777777" w:rsidR="00FC78AA" w:rsidRPr="00067116" w:rsidRDefault="00FC78AA" w:rsidP="00FC78AA">
      <w:pPr>
        <w:pStyle w:val="Tytu"/>
        <w:spacing w:afterLines="0" w:after="0" w:line="480" w:lineRule="auto"/>
        <w:rPr>
          <w:rFonts w:ascii="Times New Roman" w:hAnsi="Times New Roman" w:cs="Times New Roman"/>
          <w:sz w:val="24"/>
          <w:szCs w:val="24"/>
        </w:rPr>
      </w:pPr>
      <w:bookmarkStart w:id="0" w:name="_GoBack"/>
      <w:bookmarkEnd w:id="0"/>
      <w:r w:rsidRPr="00067116">
        <w:rPr>
          <w:rFonts w:ascii="Times New Roman" w:hAnsi="Times New Roman" w:cs="Times New Roman"/>
          <w:sz w:val="24"/>
          <w:szCs w:val="24"/>
        </w:rPr>
        <w:t>UZASADNIENIE</w:t>
      </w:r>
    </w:p>
    <w:p w14:paraId="33F2C476" w14:textId="77777777" w:rsidR="00FC78AA" w:rsidRDefault="00FC78AA" w:rsidP="00FC78AA">
      <w:pPr>
        <w:spacing w:line="360" w:lineRule="auto"/>
        <w:jc w:val="both"/>
        <w:rPr>
          <w:rFonts w:eastAsiaTheme="minorHAnsi"/>
          <w:bCs/>
          <w:lang w:eastAsia="en-US"/>
        </w:rPr>
      </w:pPr>
      <w:r>
        <w:rPr>
          <w:rFonts w:eastAsiaTheme="minorHAnsi"/>
          <w:bCs/>
          <w:lang w:eastAsia="en-US"/>
        </w:rPr>
        <w:t xml:space="preserve">Projektowana ustawa dokonuje wdrożenia </w:t>
      </w:r>
      <w:r w:rsidRPr="0044778B">
        <w:rPr>
          <w:rFonts w:eastAsiaTheme="minorHAnsi"/>
          <w:bCs/>
          <w:lang w:eastAsia="en-US"/>
        </w:rPr>
        <w:t xml:space="preserve">do polskiego systemu prawnego dyrektywy Parlamentu Europejskiego i Rady (UE) 2019/1160 z dnia 20 czerwca 2019 r. </w:t>
      </w:r>
      <w:r w:rsidRPr="0044778B">
        <w:rPr>
          <w:rFonts w:eastAsiaTheme="minorHAnsi"/>
          <w:bCs/>
          <w:i/>
          <w:lang w:eastAsia="en-US"/>
        </w:rPr>
        <w:t>zmieniającej dyrektywy 2009/65/WE i 2011/61/UE w odniesieniu do transgranicznej dystrybucji prowadzonej przez przedsiębiorstwa zbiorowego inwestowania</w:t>
      </w:r>
      <w:r>
        <w:rPr>
          <w:rFonts w:eastAsiaTheme="minorHAnsi"/>
          <w:bCs/>
          <w:lang w:eastAsia="en-US"/>
        </w:rPr>
        <w:t xml:space="preserve"> (Dz. Urz. UE L 188 z 12.7.2019, str. </w:t>
      </w:r>
      <w:r w:rsidRPr="0044778B">
        <w:rPr>
          <w:rFonts w:eastAsiaTheme="minorHAnsi"/>
          <w:bCs/>
          <w:lang w:eastAsia="en-US"/>
        </w:rPr>
        <w:t>106)</w:t>
      </w:r>
      <w:r>
        <w:rPr>
          <w:rFonts w:eastAsiaTheme="minorHAnsi"/>
          <w:bCs/>
          <w:lang w:eastAsia="en-US"/>
        </w:rPr>
        <w:t xml:space="preserve"> </w:t>
      </w:r>
      <w:r w:rsidRPr="0044778B">
        <w:rPr>
          <w:rFonts w:eastAsiaTheme="minorHAnsi"/>
          <w:bCs/>
          <w:lang w:eastAsia="en-US"/>
        </w:rPr>
        <w:t xml:space="preserve">(dalej: </w:t>
      </w:r>
      <w:r>
        <w:rPr>
          <w:rFonts w:eastAsiaTheme="minorHAnsi"/>
          <w:bCs/>
          <w:lang w:eastAsia="en-US"/>
        </w:rPr>
        <w:t>„dyrektywa 2019/1160”</w:t>
      </w:r>
      <w:r w:rsidRPr="0044778B">
        <w:rPr>
          <w:rFonts w:eastAsiaTheme="minorHAnsi"/>
          <w:bCs/>
          <w:lang w:eastAsia="en-US"/>
        </w:rPr>
        <w:t>)</w:t>
      </w:r>
      <w:r>
        <w:rPr>
          <w:rFonts w:eastAsiaTheme="minorHAnsi"/>
          <w:bCs/>
          <w:lang w:eastAsia="en-US"/>
        </w:rPr>
        <w:t xml:space="preserve"> oraz służy stosowaniu uzupełniającego ww. dyrektywę rozporządzenia </w:t>
      </w:r>
      <w:r w:rsidRPr="0044778B">
        <w:rPr>
          <w:rFonts w:eastAsiaTheme="minorHAnsi"/>
          <w:bCs/>
          <w:lang w:eastAsia="en-US"/>
        </w:rPr>
        <w:t xml:space="preserve">Parlamentu Europejskiego </w:t>
      </w:r>
      <w:r>
        <w:rPr>
          <w:rFonts w:eastAsiaTheme="minorHAnsi"/>
          <w:bCs/>
          <w:lang w:eastAsia="en-US"/>
        </w:rPr>
        <w:br/>
      </w:r>
      <w:r w:rsidRPr="0044778B">
        <w:rPr>
          <w:rFonts w:eastAsiaTheme="minorHAnsi"/>
          <w:bCs/>
          <w:lang w:eastAsia="en-US"/>
        </w:rPr>
        <w:t xml:space="preserve">i Rady (UE) 2019/1156 z dnia 20 czerwca 2019 r. </w:t>
      </w:r>
      <w:r w:rsidRPr="0044778B">
        <w:rPr>
          <w:rFonts w:eastAsiaTheme="minorHAnsi"/>
          <w:bCs/>
          <w:i/>
          <w:lang w:eastAsia="en-US"/>
        </w:rPr>
        <w:t xml:space="preserve">w sprawie ułatwienia transgranicznej dystrybucji przedsiębiorstw zbiorowego inwestowania oraz zmiany rozporządzeń (UE) nr 345/2013, </w:t>
      </w:r>
      <w:r>
        <w:rPr>
          <w:rFonts w:eastAsiaTheme="minorHAnsi"/>
          <w:bCs/>
          <w:i/>
          <w:lang w:eastAsia="en-US"/>
        </w:rPr>
        <w:br/>
      </w:r>
      <w:r w:rsidRPr="0044778B">
        <w:rPr>
          <w:rFonts w:eastAsiaTheme="minorHAnsi"/>
          <w:bCs/>
          <w:i/>
          <w:lang w:eastAsia="en-US"/>
        </w:rPr>
        <w:t>(UE) nr 346/2013 i (UE) nr 1286/2014</w:t>
      </w:r>
      <w:r w:rsidRPr="0044778B">
        <w:rPr>
          <w:rFonts w:eastAsiaTheme="minorHAnsi"/>
          <w:bCs/>
          <w:lang w:eastAsia="en-US"/>
        </w:rPr>
        <w:t xml:space="preserve"> (Dz.</w:t>
      </w:r>
      <w:r>
        <w:rPr>
          <w:rFonts w:eastAsiaTheme="minorHAnsi"/>
          <w:bCs/>
          <w:lang w:eastAsia="en-US"/>
        </w:rPr>
        <w:t xml:space="preserve"> </w:t>
      </w:r>
      <w:r w:rsidRPr="0044778B">
        <w:rPr>
          <w:rFonts w:eastAsiaTheme="minorHAnsi"/>
          <w:bCs/>
          <w:lang w:eastAsia="en-US"/>
        </w:rPr>
        <w:t>U</w:t>
      </w:r>
      <w:r>
        <w:rPr>
          <w:rFonts w:eastAsiaTheme="minorHAnsi"/>
          <w:bCs/>
          <w:lang w:eastAsia="en-US"/>
        </w:rPr>
        <w:t>rz</w:t>
      </w:r>
      <w:r w:rsidRPr="0044778B">
        <w:rPr>
          <w:rFonts w:eastAsiaTheme="minorHAnsi"/>
          <w:bCs/>
          <w:lang w:eastAsia="en-US"/>
        </w:rPr>
        <w:t>.</w:t>
      </w:r>
      <w:r>
        <w:rPr>
          <w:rFonts w:eastAsiaTheme="minorHAnsi"/>
          <w:bCs/>
          <w:lang w:eastAsia="en-US"/>
        </w:rPr>
        <w:t xml:space="preserve"> UE</w:t>
      </w:r>
      <w:r w:rsidRPr="0044778B">
        <w:rPr>
          <w:rFonts w:eastAsiaTheme="minorHAnsi"/>
          <w:bCs/>
          <w:lang w:eastAsia="en-US"/>
        </w:rPr>
        <w:t xml:space="preserve"> L 188 z 12.7.2019, str. 55)</w:t>
      </w:r>
      <w:r>
        <w:rPr>
          <w:rFonts w:eastAsiaTheme="minorHAnsi"/>
          <w:bCs/>
          <w:lang w:eastAsia="en-US"/>
        </w:rPr>
        <w:br/>
      </w:r>
      <w:r w:rsidRPr="0044778B">
        <w:rPr>
          <w:rFonts w:eastAsiaTheme="minorHAnsi"/>
          <w:bCs/>
          <w:lang w:eastAsia="en-US"/>
        </w:rPr>
        <w:t xml:space="preserve">(dalej: </w:t>
      </w:r>
      <w:r>
        <w:rPr>
          <w:rFonts w:eastAsiaTheme="minorHAnsi"/>
          <w:bCs/>
          <w:lang w:eastAsia="en-US"/>
        </w:rPr>
        <w:t>„</w:t>
      </w:r>
      <w:r w:rsidRPr="00FC5F9B">
        <w:rPr>
          <w:rFonts w:eastAsiaTheme="minorHAnsi"/>
          <w:bCs/>
          <w:lang w:eastAsia="en-US"/>
        </w:rPr>
        <w:t>rozporządzenie</w:t>
      </w:r>
      <w:r>
        <w:rPr>
          <w:rFonts w:eastAsiaTheme="minorHAnsi"/>
          <w:bCs/>
          <w:lang w:eastAsia="en-US"/>
        </w:rPr>
        <w:t xml:space="preserve"> </w:t>
      </w:r>
      <w:r w:rsidRPr="00FC5F9B">
        <w:rPr>
          <w:rFonts w:eastAsiaTheme="minorHAnsi"/>
          <w:bCs/>
          <w:lang w:eastAsia="en-US"/>
        </w:rPr>
        <w:t>2019/1156</w:t>
      </w:r>
      <w:r>
        <w:rPr>
          <w:rFonts w:eastAsiaTheme="minorHAnsi"/>
          <w:bCs/>
          <w:lang w:eastAsia="en-US"/>
        </w:rPr>
        <w:t>”</w:t>
      </w:r>
      <w:r w:rsidRPr="0044778B">
        <w:rPr>
          <w:rFonts w:eastAsiaTheme="minorHAnsi"/>
          <w:bCs/>
          <w:lang w:eastAsia="en-US"/>
        </w:rPr>
        <w:t>)</w:t>
      </w:r>
      <w:r>
        <w:rPr>
          <w:rFonts w:eastAsiaTheme="minorHAnsi"/>
          <w:bCs/>
          <w:lang w:eastAsia="en-US"/>
        </w:rPr>
        <w:t>.</w:t>
      </w:r>
    </w:p>
    <w:p w14:paraId="0367BB5D" w14:textId="2FBEE3F5" w:rsidR="00FC78AA" w:rsidRDefault="00FC78AA" w:rsidP="00FC78AA">
      <w:pPr>
        <w:spacing w:line="360" w:lineRule="auto"/>
        <w:jc w:val="both"/>
        <w:rPr>
          <w:rFonts w:eastAsiaTheme="minorHAnsi"/>
          <w:bCs/>
          <w:lang w:eastAsia="en-US"/>
        </w:rPr>
      </w:pPr>
      <w:r w:rsidRPr="001E09F7">
        <w:rPr>
          <w:rFonts w:eastAsiaTheme="minorHAnsi"/>
          <w:bCs/>
          <w:lang w:eastAsia="en-US"/>
        </w:rPr>
        <w:t>Termin transpozycji dyrektywy</w:t>
      </w:r>
      <w:r>
        <w:rPr>
          <w:rFonts w:eastAsiaTheme="minorHAnsi"/>
          <w:bCs/>
          <w:lang w:eastAsia="en-US"/>
        </w:rPr>
        <w:t xml:space="preserve"> 2019/1160</w:t>
      </w:r>
      <w:r w:rsidRPr="001E09F7">
        <w:rPr>
          <w:rFonts w:eastAsiaTheme="minorHAnsi"/>
          <w:bCs/>
          <w:lang w:eastAsia="en-US"/>
        </w:rPr>
        <w:t xml:space="preserve"> upływa </w:t>
      </w:r>
      <w:r>
        <w:rPr>
          <w:rFonts w:eastAsiaTheme="minorHAnsi"/>
          <w:bCs/>
          <w:lang w:eastAsia="en-US"/>
        </w:rPr>
        <w:t>z dniem</w:t>
      </w:r>
      <w:r w:rsidRPr="001E09F7">
        <w:rPr>
          <w:rFonts w:eastAsiaTheme="minorHAnsi"/>
          <w:bCs/>
          <w:lang w:eastAsia="en-US"/>
        </w:rPr>
        <w:t xml:space="preserve"> 2</w:t>
      </w:r>
      <w:r>
        <w:rPr>
          <w:rFonts w:eastAsiaTheme="minorHAnsi"/>
          <w:bCs/>
          <w:lang w:eastAsia="en-US"/>
        </w:rPr>
        <w:t xml:space="preserve"> sierpnia 2021 r.</w:t>
      </w:r>
      <w:r w:rsidRPr="001E09F7">
        <w:rPr>
          <w:rFonts w:eastAsiaTheme="minorHAnsi"/>
          <w:bCs/>
          <w:lang w:eastAsia="en-US"/>
        </w:rPr>
        <w:t xml:space="preserve"> </w:t>
      </w:r>
      <w:r>
        <w:rPr>
          <w:rFonts w:eastAsiaTheme="minorHAnsi"/>
          <w:bCs/>
          <w:lang w:eastAsia="en-US"/>
        </w:rPr>
        <w:t>R</w:t>
      </w:r>
      <w:r w:rsidRPr="001E09F7">
        <w:rPr>
          <w:rFonts w:eastAsiaTheme="minorHAnsi"/>
          <w:bCs/>
          <w:lang w:eastAsia="en-US"/>
        </w:rPr>
        <w:t>ozporządzenie</w:t>
      </w:r>
      <w:r>
        <w:rPr>
          <w:rFonts w:eastAsiaTheme="minorHAnsi"/>
          <w:bCs/>
          <w:lang w:eastAsia="en-US"/>
        </w:rPr>
        <w:t xml:space="preserve"> 2019/1156</w:t>
      </w:r>
      <w:r w:rsidRPr="001E09F7">
        <w:rPr>
          <w:rFonts w:eastAsiaTheme="minorHAnsi"/>
          <w:bCs/>
          <w:lang w:eastAsia="en-US"/>
        </w:rPr>
        <w:t xml:space="preserve"> </w:t>
      </w:r>
      <w:r>
        <w:rPr>
          <w:rFonts w:eastAsiaTheme="minorHAnsi"/>
          <w:bCs/>
          <w:lang w:eastAsia="en-US"/>
        </w:rPr>
        <w:t>stosuje się</w:t>
      </w:r>
      <w:r w:rsidRPr="001E09F7">
        <w:rPr>
          <w:rFonts w:eastAsiaTheme="minorHAnsi"/>
          <w:bCs/>
          <w:lang w:eastAsia="en-US"/>
        </w:rPr>
        <w:t xml:space="preserve"> </w:t>
      </w:r>
      <w:r w:rsidRPr="00F066EC">
        <w:rPr>
          <w:rFonts w:eastAsiaTheme="minorHAnsi"/>
          <w:bCs/>
          <w:lang w:eastAsia="en-US"/>
        </w:rPr>
        <w:t xml:space="preserve">natomiast </w:t>
      </w:r>
      <w:r w:rsidRPr="001E09F7">
        <w:rPr>
          <w:rFonts w:eastAsiaTheme="minorHAnsi"/>
          <w:bCs/>
          <w:lang w:eastAsia="en-US"/>
        </w:rPr>
        <w:t>od dnia 1 sierpnia 2019 r.</w:t>
      </w:r>
      <w:r>
        <w:rPr>
          <w:rFonts w:eastAsiaTheme="minorHAnsi"/>
          <w:bCs/>
          <w:lang w:eastAsia="en-US"/>
        </w:rPr>
        <w:t xml:space="preserve">, z wyjątkiem </w:t>
      </w:r>
      <w:r w:rsidRPr="001E09F7">
        <w:rPr>
          <w:rFonts w:eastAsiaTheme="minorHAnsi"/>
          <w:bCs/>
          <w:lang w:eastAsia="en-US"/>
        </w:rPr>
        <w:t xml:space="preserve">art. 4 ust. 1–5, art. </w:t>
      </w:r>
      <w:r>
        <w:rPr>
          <w:rFonts w:eastAsiaTheme="minorHAnsi"/>
          <w:bCs/>
          <w:lang w:eastAsia="en-US"/>
        </w:rPr>
        <w:t xml:space="preserve">5 ust. 1 </w:t>
      </w:r>
      <w:r>
        <w:rPr>
          <w:rFonts w:eastAsiaTheme="minorHAnsi"/>
          <w:bCs/>
          <w:lang w:eastAsia="en-US"/>
        </w:rPr>
        <w:br/>
        <w:t xml:space="preserve">i 2, art. 15 oraz art. 16, które </w:t>
      </w:r>
      <w:r w:rsidRPr="001E09F7">
        <w:rPr>
          <w:rFonts w:eastAsiaTheme="minorHAnsi"/>
          <w:bCs/>
          <w:lang w:eastAsia="en-US"/>
        </w:rPr>
        <w:t>stosuje się od dnia 2 sierpnia 2021 r.</w:t>
      </w:r>
      <w:r w:rsidRPr="00237254">
        <w:rPr>
          <w:rFonts w:eastAsiaTheme="minorHAnsi"/>
          <w:bCs/>
          <w:lang w:eastAsia="en-US"/>
        </w:rPr>
        <w:t xml:space="preserve"> </w:t>
      </w:r>
      <w:r>
        <w:rPr>
          <w:rFonts w:eastAsiaTheme="minorHAnsi"/>
          <w:bCs/>
          <w:lang w:eastAsia="en-US"/>
        </w:rPr>
        <w:t xml:space="preserve">Zgodnie z motywem 13 dyrektywy, </w:t>
      </w:r>
      <w:r w:rsidR="00564680">
        <w:rPr>
          <w:rFonts w:eastAsiaTheme="minorHAnsi"/>
          <w:bCs/>
          <w:lang w:eastAsia="en-US"/>
        </w:rPr>
        <w:t>w celu</w:t>
      </w:r>
      <w:r>
        <w:rPr>
          <w:rFonts w:eastAsiaTheme="minorHAnsi"/>
          <w:bCs/>
          <w:lang w:eastAsia="en-US"/>
        </w:rPr>
        <w:t xml:space="preserve"> zapewnienia</w:t>
      </w:r>
      <w:r w:rsidRPr="00237254">
        <w:rPr>
          <w:rFonts w:eastAsiaTheme="minorHAnsi"/>
          <w:bCs/>
          <w:lang w:eastAsia="en-US"/>
        </w:rPr>
        <w:t xml:space="preserve"> pewnoś</w:t>
      </w:r>
      <w:r>
        <w:rPr>
          <w:rFonts w:eastAsiaTheme="minorHAnsi"/>
          <w:bCs/>
          <w:lang w:eastAsia="en-US"/>
        </w:rPr>
        <w:t>ci</w:t>
      </w:r>
      <w:r w:rsidRPr="00237254">
        <w:rPr>
          <w:rFonts w:eastAsiaTheme="minorHAnsi"/>
          <w:bCs/>
          <w:lang w:eastAsia="en-US"/>
        </w:rPr>
        <w:t xml:space="preserve"> prawa daty rozpoczęcia stosowania krajowych przepisów wdrażających dyrektywę oraz </w:t>
      </w:r>
      <w:r>
        <w:rPr>
          <w:rFonts w:eastAsiaTheme="minorHAnsi"/>
          <w:bCs/>
          <w:lang w:eastAsia="en-US"/>
        </w:rPr>
        <w:t xml:space="preserve">służących stosowaniu </w:t>
      </w:r>
      <w:r w:rsidRPr="00237254">
        <w:rPr>
          <w:rFonts w:eastAsiaTheme="minorHAnsi"/>
          <w:bCs/>
          <w:lang w:eastAsia="en-US"/>
        </w:rPr>
        <w:t>rozporządzeni</w:t>
      </w:r>
      <w:r>
        <w:rPr>
          <w:rFonts w:eastAsiaTheme="minorHAnsi"/>
          <w:bCs/>
          <w:lang w:eastAsia="en-US"/>
        </w:rPr>
        <w:t>a</w:t>
      </w:r>
      <w:r w:rsidRPr="00237254">
        <w:rPr>
          <w:rFonts w:eastAsiaTheme="minorHAnsi"/>
          <w:bCs/>
          <w:lang w:eastAsia="en-US"/>
        </w:rPr>
        <w:t xml:space="preserve"> </w:t>
      </w:r>
      <w:r>
        <w:rPr>
          <w:rFonts w:eastAsiaTheme="minorHAnsi"/>
          <w:bCs/>
          <w:lang w:eastAsia="en-US"/>
        </w:rPr>
        <w:t>powinny zostać ze sobą zsynchronizowane.</w:t>
      </w:r>
    </w:p>
    <w:p w14:paraId="3D8B7FC1" w14:textId="77777777" w:rsidR="00FC78AA" w:rsidRDefault="00FC78AA" w:rsidP="00FC78AA">
      <w:pPr>
        <w:spacing w:line="360" w:lineRule="auto"/>
        <w:jc w:val="both"/>
        <w:rPr>
          <w:rFonts w:eastAsiaTheme="minorHAnsi"/>
          <w:bCs/>
          <w:lang w:eastAsia="en-US"/>
        </w:rPr>
      </w:pPr>
      <w:r>
        <w:rPr>
          <w:rFonts w:eastAsiaTheme="minorHAnsi"/>
          <w:bCs/>
          <w:lang w:eastAsia="en-US"/>
        </w:rPr>
        <w:t xml:space="preserve">Kwestie objęte zakresem przedmiotowym dyrektywy </w:t>
      </w:r>
      <w:r w:rsidRPr="00F066EC">
        <w:rPr>
          <w:rFonts w:eastAsiaTheme="minorHAnsi"/>
          <w:bCs/>
          <w:lang w:eastAsia="en-US"/>
        </w:rPr>
        <w:t xml:space="preserve">2019/1160 </w:t>
      </w:r>
      <w:r>
        <w:rPr>
          <w:rFonts w:eastAsiaTheme="minorHAnsi"/>
          <w:bCs/>
          <w:lang w:eastAsia="en-US"/>
        </w:rPr>
        <w:t>oraz rozporządzenia</w:t>
      </w:r>
      <w:r w:rsidRPr="001E09F7">
        <w:rPr>
          <w:rFonts w:eastAsiaTheme="minorHAnsi"/>
          <w:bCs/>
          <w:lang w:eastAsia="en-US"/>
        </w:rPr>
        <w:t xml:space="preserve"> </w:t>
      </w:r>
      <w:r w:rsidRPr="00F066EC">
        <w:rPr>
          <w:rFonts w:eastAsiaTheme="minorHAnsi"/>
          <w:bCs/>
          <w:lang w:eastAsia="en-US"/>
        </w:rPr>
        <w:t xml:space="preserve">2019/1156 </w:t>
      </w:r>
      <w:r w:rsidRPr="001E09F7">
        <w:rPr>
          <w:rFonts w:eastAsiaTheme="minorHAnsi"/>
          <w:bCs/>
          <w:lang w:eastAsia="en-US"/>
        </w:rPr>
        <w:t xml:space="preserve">są w prawie krajowym </w:t>
      </w:r>
      <w:r>
        <w:rPr>
          <w:rFonts w:eastAsiaTheme="minorHAnsi"/>
          <w:bCs/>
          <w:lang w:eastAsia="en-US"/>
        </w:rPr>
        <w:t>uregulowane</w:t>
      </w:r>
      <w:r w:rsidRPr="001E09F7">
        <w:rPr>
          <w:rFonts w:eastAsiaTheme="minorHAnsi"/>
          <w:bCs/>
          <w:lang w:eastAsia="en-US"/>
        </w:rPr>
        <w:t xml:space="preserve"> ustaw</w:t>
      </w:r>
      <w:r>
        <w:rPr>
          <w:rFonts w:eastAsiaTheme="minorHAnsi"/>
          <w:bCs/>
          <w:lang w:eastAsia="en-US"/>
        </w:rPr>
        <w:t>ą</w:t>
      </w:r>
      <w:r w:rsidRPr="001E09F7">
        <w:rPr>
          <w:rFonts w:eastAsiaTheme="minorHAnsi"/>
          <w:bCs/>
          <w:lang w:eastAsia="en-US"/>
        </w:rPr>
        <w:t xml:space="preserve"> z dnia 27 maja 2004 r. </w:t>
      </w:r>
      <w:r w:rsidRPr="001E09F7">
        <w:rPr>
          <w:rFonts w:eastAsiaTheme="minorHAnsi"/>
          <w:bCs/>
          <w:i/>
          <w:lang w:eastAsia="en-US"/>
        </w:rPr>
        <w:t xml:space="preserve">o funduszach inwestycyjnych </w:t>
      </w:r>
      <w:r>
        <w:rPr>
          <w:rFonts w:eastAsiaTheme="minorHAnsi"/>
          <w:bCs/>
          <w:i/>
          <w:lang w:eastAsia="en-US"/>
        </w:rPr>
        <w:br/>
      </w:r>
      <w:r w:rsidRPr="001E09F7">
        <w:rPr>
          <w:rFonts w:eastAsiaTheme="minorHAnsi"/>
          <w:bCs/>
          <w:i/>
          <w:lang w:eastAsia="en-US"/>
        </w:rPr>
        <w:t>i zarządzaniu alternatywnymi funduszami inwestycyjnymi</w:t>
      </w:r>
      <w:r>
        <w:rPr>
          <w:rFonts w:eastAsiaTheme="minorHAnsi"/>
          <w:bCs/>
          <w:lang w:eastAsia="en-US"/>
        </w:rPr>
        <w:t xml:space="preserve"> (Dz. U. z 2020</w:t>
      </w:r>
      <w:r w:rsidRPr="001E09F7">
        <w:rPr>
          <w:rFonts w:eastAsiaTheme="minorHAnsi"/>
          <w:bCs/>
          <w:lang w:eastAsia="en-US"/>
        </w:rPr>
        <w:t xml:space="preserve"> r. poz. </w:t>
      </w:r>
      <w:r>
        <w:rPr>
          <w:rFonts w:eastAsiaTheme="minorHAnsi"/>
          <w:bCs/>
          <w:lang w:eastAsia="en-US"/>
        </w:rPr>
        <w:t>95</w:t>
      </w:r>
      <w:r w:rsidRPr="001E09F7">
        <w:rPr>
          <w:rFonts w:eastAsiaTheme="minorHAnsi"/>
          <w:bCs/>
          <w:lang w:eastAsia="en-US"/>
        </w:rPr>
        <w:t>, z</w:t>
      </w:r>
      <w:r>
        <w:rPr>
          <w:rFonts w:eastAsiaTheme="minorHAnsi"/>
          <w:bCs/>
          <w:lang w:eastAsia="en-US"/>
        </w:rPr>
        <w:t xml:space="preserve"> późn.</w:t>
      </w:r>
      <w:r w:rsidRPr="001E09F7">
        <w:rPr>
          <w:rFonts w:eastAsiaTheme="minorHAnsi"/>
          <w:bCs/>
          <w:lang w:eastAsia="en-US"/>
        </w:rPr>
        <w:t xml:space="preserve"> zm.)</w:t>
      </w:r>
      <w:r>
        <w:rPr>
          <w:rFonts w:eastAsiaTheme="minorHAnsi"/>
          <w:bCs/>
          <w:lang w:eastAsia="en-US"/>
        </w:rPr>
        <w:t xml:space="preserve"> (dalej: „ustawa o funduszach”)</w:t>
      </w:r>
      <w:r w:rsidRPr="001E09F7">
        <w:rPr>
          <w:rFonts w:eastAsiaTheme="minorHAnsi"/>
          <w:bCs/>
          <w:lang w:eastAsia="en-US"/>
        </w:rPr>
        <w:t xml:space="preserve">. </w:t>
      </w:r>
      <w:r>
        <w:rPr>
          <w:rFonts w:eastAsiaTheme="minorHAnsi"/>
          <w:bCs/>
          <w:lang w:eastAsia="en-US"/>
        </w:rPr>
        <w:t>Projekt dokonuje nowelizacji ustawy w taki sposób, aby odzwierciedlała</w:t>
      </w:r>
      <w:r w:rsidRPr="001E09F7">
        <w:rPr>
          <w:rFonts w:eastAsiaTheme="minorHAnsi"/>
          <w:bCs/>
          <w:lang w:eastAsia="en-US"/>
        </w:rPr>
        <w:t xml:space="preserve"> </w:t>
      </w:r>
      <w:r>
        <w:rPr>
          <w:rFonts w:eastAsiaTheme="minorHAnsi"/>
          <w:bCs/>
          <w:lang w:eastAsia="en-US"/>
        </w:rPr>
        <w:t xml:space="preserve">ona </w:t>
      </w:r>
      <w:r w:rsidRPr="001E09F7">
        <w:rPr>
          <w:rFonts w:eastAsiaTheme="minorHAnsi"/>
          <w:bCs/>
          <w:lang w:eastAsia="en-US"/>
        </w:rPr>
        <w:t>stan prawa un</w:t>
      </w:r>
      <w:r>
        <w:rPr>
          <w:rFonts w:eastAsiaTheme="minorHAnsi"/>
          <w:bCs/>
          <w:lang w:eastAsia="en-US"/>
        </w:rPr>
        <w:t xml:space="preserve">ijnego w przedmiotowym zakresie. </w:t>
      </w:r>
    </w:p>
    <w:p w14:paraId="2BB0E5F5" w14:textId="77777777" w:rsidR="00FC78AA" w:rsidRDefault="00FC78AA" w:rsidP="00FC78AA">
      <w:pPr>
        <w:spacing w:line="360" w:lineRule="auto"/>
        <w:jc w:val="both"/>
        <w:rPr>
          <w:rFonts w:eastAsiaTheme="minorHAnsi"/>
          <w:bCs/>
          <w:lang w:eastAsia="en-US"/>
        </w:rPr>
      </w:pPr>
      <w:r>
        <w:rPr>
          <w:rFonts w:eastAsiaTheme="minorHAnsi"/>
          <w:bCs/>
          <w:lang w:eastAsia="en-US"/>
        </w:rPr>
        <w:t xml:space="preserve">Rozporządzenie </w:t>
      </w:r>
      <w:r w:rsidRPr="007C3E84">
        <w:rPr>
          <w:rFonts w:eastAsiaTheme="minorHAnsi"/>
          <w:bCs/>
          <w:lang w:eastAsia="en-US"/>
        </w:rPr>
        <w:t>2019/1156</w:t>
      </w:r>
      <w:r>
        <w:rPr>
          <w:rFonts w:eastAsiaTheme="minorHAnsi"/>
          <w:bCs/>
          <w:lang w:eastAsia="en-US"/>
        </w:rPr>
        <w:t xml:space="preserve"> </w:t>
      </w:r>
      <w:r w:rsidRPr="007C3E84">
        <w:rPr>
          <w:rFonts w:eastAsiaTheme="minorHAnsi"/>
          <w:bCs/>
          <w:lang w:eastAsia="en-US"/>
        </w:rPr>
        <w:t>ustanawia jednolite przepisy dotyczące</w:t>
      </w:r>
      <w:r w:rsidRPr="00AE7489">
        <w:t xml:space="preserve"> </w:t>
      </w:r>
      <w:r w:rsidRPr="00AE7489">
        <w:rPr>
          <w:rFonts w:eastAsiaTheme="minorHAnsi"/>
          <w:bCs/>
          <w:lang w:eastAsia="en-US"/>
        </w:rPr>
        <w:t>informacji reklamowych kierowanych do inwestorów</w:t>
      </w:r>
      <w:r>
        <w:rPr>
          <w:rFonts w:eastAsiaTheme="minorHAnsi"/>
          <w:bCs/>
          <w:lang w:eastAsia="en-US"/>
        </w:rPr>
        <w:t>,</w:t>
      </w:r>
      <w:r w:rsidRPr="007C3E84">
        <w:rPr>
          <w:rFonts w:eastAsiaTheme="minorHAnsi"/>
          <w:bCs/>
          <w:lang w:eastAsia="en-US"/>
        </w:rPr>
        <w:t xml:space="preserve"> </w:t>
      </w:r>
      <w:r w:rsidRPr="00F452BB">
        <w:rPr>
          <w:rFonts w:eastAsiaTheme="minorHAnsi"/>
          <w:bCs/>
          <w:lang w:eastAsia="en-US"/>
        </w:rPr>
        <w:t>wspólnych zasad dotyczących opłat i prowizji nakładanych na zarządzających przedsiębiorstwami zbiorowego inwestowania w związku z ich działalnością transgraniczną</w:t>
      </w:r>
      <w:r>
        <w:rPr>
          <w:rFonts w:eastAsiaTheme="minorHAnsi"/>
          <w:bCs/>
          <w:lang w:eastAsia="en-US"/>
        </w:rPr>
        <w:t>, jak również</w:t>
      </w:r>
      <w:r w:rsidRPr="00F066EC">
        <w:t xml:space="preserve"> </w:t>
      </w:r>
      <w:r>
        <w:rPr>
          <w:rFonts w:eastAsiaTheme="minorHAnsi"/>
          <w:bCs/>
          <w:lang w:eastAsia="en-US"/>
        </w:rPr>
        <w:t>udostępniania na stro</w:t>
      </w:r>
      <w:r w:rsidRPr="00F066EC">
        <w:rPr>
          <w:rFonts w:eastAsiaTheme="minorHAnsi"/>
          <w:bCs/>
          <w:lang w:eastAsia="en-US"/>
        </w:rPr>
        <w:t>nie internetowej</w:t>
      </w:r>
      <w:r w:rsidRPr="00F452BB">
        <w:rPr>
          <w:rFonts w:eastAsiaTheme="minorHAnsi"/>
          <w:bCs/>
          <w:lang w:eastAsia="en-US"/>
        </w:rPr>
        <w:t xml:space="preserve"> </w:t>
      </w:r>
      <w:r>
        <w:rPr>
          <w:rFonts w:eastAsiaTheme="minorHAnsi"/>
          <w:bCs/>
          <w:lang w:eastAsia="en-US"/>
        </w:rPr>
        <w:t xml:space="preserve">informacji na temat </w:t>
      </w:r>
      <w:r w:rsidRPr="007C3E84">
        <w:rPr>
          <w:rFonts w:eastAsiaTheme="minorHAnsi"/>
          <w:bCs/>
          <w:lang w:eastAsia="en-US"/>
        </w:rPr>
        <w:t>przepisów krajowych dotyczących wymogów w zakresie wprowadzania do obrotu przedsiębiorstw zbiorowego inwestowania</w:t>
      </w:r>
      <w:r>
        <w:rPr>
          <w:rFonts w:eastAsiaTheme="minorHAnsi"/>
          <w:bCs/>
          <w:lang w:eastAsia="en-US"/>
        </w:rPr>
        <w:t xml:space="preserve"> oraz nakładanych opłat i prowizji</w:t>
      </w:r>
      <w:r w:rsidRPr="007C3E84">
        <w:rPr>
          <w:rFonts w:eastAsiaTheme="minorHAnsi"/>
          <w:bCs/>
          <w:lang w:eastAsia="en-US"/>
        </w:rPr>
        <w:t>. Przewiduje ono również ustanowienie centralnej bazy danych dotyczących transgranicznego wprowadzania do obrotu przedsiębiorstw zbiorowego inwestowania</w:t>
      </w:r>
      <w:r>
        <w:rPr>
          <w:rFonts w:eastAsiaTheme="minorHAnsi"/>
          <w:bCs/>
          <w:lang w:eastAsia="en-US"/>
        </w:rPr>
        <w:t xml:space="preserve"> oraz wprowadza procedurę weryfikacji </w:t>
      </w:r>
      <w:r>
        <w:rPr>
          <w:rFonts w:eastAsiaTheme="minorHAnsi"/>
          <w:bCs/>
          <w:i/>
          <w:lang w:eastAsia="en-US"/>
        </w:rPr>
        <w:t>ex ante</w:t>
      </w:r>
      <w:r>
        <w:rPr>
          <w:rFonts w:eastAsiaTheme="minorHAnsi"/>
          <w:bCs/>
          <w:lang w:eastAsia="en-US"/>
        </w:rPr>
        <w:t xml:space="preserve"> informacji reklamowych przez krajowe organy nadzoru. </w:t>
      </w:r>
    </w:p>
    <w:p w14:paraId="3C72AF7C" w14:textId="0BBA43BD" w:rsidR="00FC78AA" w:rsidRPr="0001083C" w:rsidRDefault="00FC78AA" w:rsidP="00FC78AA">
      <w:pPr>
        <w:spacing w:line="360" w:lineRule="auto"/>
        <w:jc w:val="both"/>
        <w:rPr>
          <w:rFonts w:eastAsiaTheme="minorHAnsi"/>
          <w:bCs/>
          <w:highlight w:val="yellow"/>
          <w:lang w:eastAsia="en-US"/>
        </w:rPr>
      </w:pPr>
      <w:r w:rsidRPr="00874B81">
        <w:rPr>
          <w:rFonts w:eastAsiaTheme="minorHAnsi"/>
          <w:bCs/>
          <w:lang w:eastAsia="en-US"/>
        </w:rPr>
        <w:t xml:space="preserve">Rozbieżne podejścia regulacyjne i nadzorcze dotyczące transgranicznej dystrybucji różnych rodzajów funduszy inwestycyjnych </w:t>
      </w:r>
      <w:r>
        <w:rPr>
          <w:rFonts w:eastAsiaTheme="minorHAnsi"/>
          <w:bCs/>
          <w:lang w:eastAsia="en-US"/>
        </w:rPr>
        <w:t xml:space="preserve">prowadzą </w:t>
      </w:r>
      <w:r w:rsidRPr="00874B81">
        <w:rPr>
          <w:rFonts w:eastAsiaTheme="minorHAnsi"/>
          <w:bCs/>
          <w:lang w:eastAsia="en-US"/>
        </w:rPr>
        <w:t xml:space="preserve">do powstawania barier dla transgranicznego wprowadzania </w:t>
      </w:r>
      <w:r w:rsidRPr="00874B81">
        <w:rPr>
          <w:rFonts w:eastAsiaTheme="minorHAnsi"/>
          <w:bCs/>
          <w:lang w:eastAsia="en-US"/>
        </w:rPr>
        <w:lastRenderedPageBreak/>
        <w:t>funduszy do obrotu</w:t>
      </w:r>
      <w:r>
        <w:rPr>
          <w:rFonts w:eastAsiaTheme="minorHAnsi"/>
          <w:bCs/>
          <w:lang w:eastAsia="en-US"/>
        </w:rPr>
        <w:t>, a w konsekwencji</w:t>
      </w:r>
      <w:r w:rsidRPr="00FD2D03">
        <w:rPr>
          <w:rFonts w:eastAsiaTheme="minorHAnsi"/>
          <w:bCs/>
          <w:lang w:eastAsia="en-US"/>
        </w:rPr>
        <w:t xml:space="preserve"> fragmentacj</w:t>
      </w:r>
      <w:r>
        <w:rPr>
          <w:rFonts w:eastAsiaTheme="minorHAnsi"/>
          <w:bCs/>
          <w:lang w:eastAsia="en-US"/>
        </w:rPr>
        <w:t>i</w:t>
      </w:r>
      <w:r w:rsidRPr="00FD2D03">
        <w:rPr>
          <w:rFonts w:eastAsiaTheme="minorHAnsi"/>
          <w:bCs/>
          <w:lang w:eastAsia="en-US"/>
        </w:rPr>
        <w:t xml:space="preserve"> rynku</w:t>
      </w:r>
      <w:r w:rsidRPr="00874B81">
        <w:rPr>
          <w:rFonts w:eastAsiaTheme="minorHAnsi"/>
          <w:bCs/>
          <w:lang w:eastAsia="en-US"/>
        </w:rPr>
        <w:t xml:space="preserve">. Przykładem obszaru uregulowanego </w:t>
      </w:r>
      <w:r>
        <w:rPr>
          <w:rFonts w:eastAsiaTheme="minorHAnsi"/>
          <w:bCs/>
          <w:lang w:eastAsia="en-US"/>
        </w:rPr>
        <w:br/>
        <w:t xml:space="preserve">w różny sposób </w:t>
      </w:r>
      <w:r w:rsidRPr="00874B81">
        <w:rPr>
          <w:rFonts w:eastAsiaTheme="minorHAnsi"/>
          <w:bCs/>
          <w:lang w:eastAsia="en-US"/>
        </w:rPr>
        <w:t xml:space="preserve">dla różnych rodzajów funduszy były jak do tej pory wymogi w zakresie informacji reklamowych </w:t>
      </w:r>
      <w:r>
        <w:rPr>
          <w:rFonts w:eastAsiaTheme="minorHAnsi"/>
          <w:bCs/>
          <w:lang w:eastAsia="en-US"/>
        </w:rPr>
        <w:t>publikowanych</w:t>
      </w:r>
      <w:r w:rsidRPr="00874B81">
        <w:rPr>
          <w:rFonts w:eastAsiaTheme="minorHAnsi"/>
          <w:bCs/>
          <w:lang w:eastAsia="en-US"/>
        </w:rPr>
        <w:t xml:space="preserve"> przez fundusze. W celu zapewnienia ochrony inwestorów </w:t>
      </w:r>
      <w:r>
        <w:rPr>
          <w:rFonts w:eastAsiaTheme="minorHAnsi"/>
          <w:bCs/>
          <w:lang w:eastAsia="en-US"/>
        </w:rPr>
        <w:br/>
      </w:r>
      <w:r w:rsidRPr="00874B81">
        <w:rPr>
          <w:rFonts w:eastAsiaTheme="minorHAnsi"/>
          <w:bCs/>
          <w:lang w:eastAsia="en-US"/>
        </w:rPr>
        <w:t xml:space="preserve">i zagwarantowania </w:t>
      </w:r>
      <w:r>
        <w:rPr>
          <w:rFonts w:eastAsiaTheme="minorHAnsi"/>
          <w:bCs/>
          <w:lang w:eastAsia="en-US"/>
        </w:rPr>
        <w:t>takich samych</w:t>
      </w:r>
      <w:r w:rsidRPr="00874B81">
        <w:rPr>
          <w:rFonts w:eastAsiaTheme="minorHAnsi"/>
          <w:bCs/>
          <w:lang w:eastAsia="en-US"/>
        </w:rPr>
        <w:t xml:space="preserve"> warunków działania </w:t>
      </w:r>
      <w:r w:rsidRPr="0001083C">
        <w:rPr>
          <w:rFonts w:eastAsiaTheme="minorHAnsi"/>
          <w:bCs/>
          <w:lang w:eastAsia="en-US"/>
        </w:rPr>
        <w:t>dla alternatywnych funduszy inwestycyjnych (dalej: „AFI”) oraz przedsiębiorstw zbiorowego inwestowania w zbywalne papiery wartościowe (dalej: „UCITS”) rozporządzenie 2019/1156 zrywa z tym podejściem, wprowadzając jednolite uregulowania dotyczące obydwu ww. gatunków funduszy inwestycyjnych.</w:t>
      </w:r>
      <w:r w:rsidRPr="0001083C">
        <w:t xml:space="preserve"> </w:t>
      </w:r>
      <w:r w:rsidRPr="0001083C">
        <w:rPr>
          <w:rFonts w:eastAsiaTheme="minorHAnsi"/>
          <w:bCs/>
          <w:lang w:eastAsia="en-US"/>
        </w:rPr>
        <w:t>W rozporządzeniu wprowadza się wspólne dla UCITS oraz zarządzających alternatywnymi</w:t>
      </w:r>
      <w:r>
        <w:rPr>
          <w:rFonts w:eastAsiaTheme="minorHAnsi"/>
          <w:bCs/>
          <w:lang w:eastAsia="en-US"/>
        </w:rPr>
        <w:t xml:space="preserve"> funduszami inwestycyjnymi (dalej: „ZAFI”)</w:t>
      </w:r>
      <w:r w:rsidRPr="00286BD3">
        <w:rPr>
          <w:rFonts w:eastAsiaTheme="minorHAnsi"/>
          <w:bCs/>
          <w:lang w:eastAsia="en-US"/>
        </w:rPr>
        <w:t xml:space="preserve"> przepisy dotyczące informacji reklamowych, co ma na celu zapewnienie wysok</w:t>
      </w:r>
      <w:r>
        <w:rPr>
          <w:rFonts w:eastAsiaTheme="minorHAnsi"/>
          <w:bCs/>
          <w:lang w:eastAsia="en-US"/>
        </w:rPr>
        <w:t>iego poziomu ochrony inwestorów</w:t>
      </w:r>
      <w:r w:rsidRPr="00286BD3">
        <w:rPr>
          <w:rFonts w:eastAsiaTheme="minorHAnsi"/>
          <w:bCs/>
          <w:lang w:eastAsia="en-US"/>
        </w:rPr>
        <w:t xml:space="preserve"> </w:t>
      </w:r>
      <w:r>
        <w:rPr>
          <w:rFonts w:eastAsiaTheme="minorHAnsi"/>
          <w:bCs/>
          <w:lang w:eastAsia="en-US"/>
        </w:rPr>
        <w:t>zarówno detalicznych, jak i profesjonalnych</w:t>
      </w:r>
      <w:r w:rsidRPr="00286BD3">
        <w:rPr>
          <w:rFonts w:eastAsiaTheme="minorHAnsi"/>
          <w:bCs/>
          <w:lang w:eastAsia="en-US"/>
        </w:rPr>
        <w:t xml:space="preserve">. </w:t>
      </w:r>
    </w:p>
    <w:p w14:paraId="16C30CD4" w14:textId="77777777" w:rsidR="00FC78AA" w:rsidRPr="00874B81" w:rsidRDefault="00FC78AA" w:rsidP="00FC78AA">
      <w:pPr>
        <w:spacing w:line="360" w:lineRule="auto"/>
        <w:jc w:val="both"/>
        <w:rPr>
          <w:rFonts w:eastAsiaTheme="minorHAnsi"/>
          <w:bCs/>
          <w:lang w:eastAsia="en-US"/>
        </w:rPr>
      </w:pPr>
      <w:r w:rsidRPr="00874B81">
        <w:rPr>
          <w:rFonts w:eastAsiaTheme="minorHAnsi"/>
          <w:bCs/>
          <w:lang w:eastAsia="en-US"/>
        </w:rPr>
        <w:t xml:space="preserve">Zgodnie z rozporządzeniem </w:t>
      </w:r>
      <w:r w:rsidRPr="00321815">
        <w:rPr>
          <w:rFonts w:eastAsiaTheme="minorHAnsi"/>
          <w:bCs/>
          <w:lang w:eastAsia="en-US"/>
        </w:rPr>
        <w:t xml:space="preserve">2019/1156 </w:t>
      </w:r>
      <w:r w:rsidRPr="00874B81">
        <w:rPr>
          <w:rFonts w:eastAsiaTheme="minorHAnsi"/>
          <w:bCs/>
          <w:lang w:eastAsia="en-US"/>
        </w:rPr>
        <w:t xml:space="preserve">informacje </w:t>
      </w:r>
      <w:r>
        <w:rPr>
          <w:rFonts w:eastAsiaTheme="minorHAnsi"/>
          <w:bCs/>
          <w:lang w:eastAsia="en-US"/>
        </w:rPr>
        <w:t xml:space="preserve">o charakterze reklamowym </w:t>
      </w:r>
      <w:r w:rsidRPr="00874B81">
        <w:rPr>
          <w:rFonts w:eastAsiaTheme="minorHAnsi"/>
          <w:bCs/>
          <w:lang w:eastAsia="en-US"/>
        </w:rPr>
        <w:t>powinny być rozpoznawalne jako takie oraz opisywać ryzyka i zyski związane z zakupem jednostek uczestnictwa lub udziałów w funduszu</w:t>
      </w:r>
      <w:r>
        <w:rPr>
          <w:rFonts w:eastAsiaTheme="minorHAnsi"/>
          <w:bCs/>
          <w:lang w:eastAsia="en-US"/>
        </w:rPr>
        <w:t xml:space="preserve"> inwestycyjnym</w:t>
      </w:r>
      <w:r w:rsidRPr="00874B81">
        <w:rPr>
          <w:rFonts w:eastAsiaTheme="minorHAnsi"/>
          <w:bCs/>
          <w:lang w:eastAsia="en-US"/>
        </w:rPr>
        <w:t xml:space="preserve">. </w:t>
      </w:r>
      <w:r>
        <w:rPr>
          <w:rFonts w:eastAsiaTheme="minorHAnsi"/>
          <w:bCs/>
          <w:lang w:eastAsia="en-US"/>
        </w:rPr>
        <w:t>W</w:t>
      </w:r>
      <w:r w:rsidRPr="00874B81">
        <w:rPr>
          <w:rFonts w:eastAsiaTheme="minorHAnsi"/>
          <w:bCs/>
          <w:lang w:eastAsia="en-US"/>
        </w:rPr>
        <w:t xml:space="preserve">szystkie </w:t>
      </w:r>
      <w:r>
        <w:rPr>
          <w:rFonts w:eastAsiaTheme="minorHAnsi"/>
          <w:bCs/>
          <w:lang w:eastAsia="en-US"/>
        </w:rPr>
        <w:t>treści</w:t>
      </w:r>
      <w:r w:rsidRPr="00874B81">
        <w:rPr>
          <w:rFonts w:eastAsiaTheme="minorHAnsi"/>
          <w:bCs/>
          <w:lang w:eastAsia="en-US"/>
        </w:rPr>
        <w:t xml:space="preserve"> zawarte w kierowanych do inwestorów informacjach reklamowych powinny być przedstawiane w sposób rzetelny, przejrzysty </w:t>
      </w:r>
      <w:r>
        <w:rPr>
          <w:rFonts w:eastAsiaTheme="minorHAnsi"/>
          <w:bCs/>
          <w:lang w:eastAsia="en-US"/>
        </w:rPr>
        <w:br/>
      </w:r>
      <w:r w:rsidRPr="00874B81">
        <w:rPr>
          <w:rFonts w:eastAsiaTheme="minorHAnsi"/>
          <w:bCs/>
          <w:lang w:eastAsia="en-US"/>
        </w:rPr>
        <w:t>i niewprowadzający w błąd. Inform</w:t>
      </w:r>
      <w:r>
        <w:rPr>
          <w:rFonts w:eastAsiaTheme="minorHAnsi"/>
          <w:bCs/>
          <w:lang w:eastAsia="en-US"/>
        </w:rPr>
        <w:t>acje reklamowe powinny nadto określać</w:t>
      </w:r>
      <w:r w:rsidRPr="00874B81">
        <w:rPr>
          <w:rFonts w:eastAsiaTheme="minorHAnsi"/>
          <w:bCs/>
          <w:lang w:eastAsia="en-US"/>
        </w:rPr>
        <w:t xml:space="preserve"> gdzie, jak i w jakim języku inwestorzy mogą uzyskać skrócone informacje na temat przysługujących im praw</w:t>
      </w:r>
      <w:r>
        <w:rPr>
          <w:rFonts w:eastAsiaTheme="minorHAnsi"/>
          <w:bCs/>
          <w:lang w:eastAsia="en-US"/>
        </w:rPr>
        <w:t xml:space="preserve"> oraz</w:t>
      </w:r>
      <w:r w:rsidRPr="00874B81">
        <w:rPr>
          <w:rFonts w:eastAsiaTheme="minorHAnsi"/>
          <w:bCs/>
          <w:lang w:eastAsia="en-US"/>
        </w:rPr>
        <w:t xml:space="preserve"> wyraźnie wskazywać, że zarządzający funduszem ma prawo wycofać się z uzgodnień dotyczących wprowadzania do obrotu. </w:t>
      </w:r>
    </w:p>
    <w:p w14:paraId="53CFE041" w14:textId="77777777" w:rsidR="00FC78AA" w:rsidRPr="00262580" w:rsidRDefault="00FC78AA" w:rsidP="00FC78AA">
      <w:pPr>
        <w:spacing w:line="360" w:lineRule="auto"/>
        <w:jc w:val="both"/>
        <w:rPr>
          <w:rFonts w:eastAsiaTheme="minorHAnsi"/>
          <w:bCs/>
          <w:lang w:eastAsia="en-US"/>
        </w:rPr>
      </w:pPr>
      <w:r w:rsidRPr="00874B81">
        <w:rPr>
          <w:rFonts w:eastAsiaTheme="minorHAnsi"/>
          <w:bCs/>
          <w:lang w:eastAsia="en-US"/>
        </w:rPr>
        <w:t>Aby zapewnić większą przejrzystość i wzmocnić ochronę inwestorów oraz ułatwić dostęp do informacji na temat przepisów</w:t>
      </w:r>
      <w:r w:rsidRPr="00874B81">
        <w:t xml:space="preserve"> </w:t>
      </w:r>
      <w:r w:rsidRPr="00874B81">
        <w:rPr>
          <w:rFonts w:eastAsiaTheme="minorHAnsi"/>
          <w:bCs/>
          <w:lang w:eastAsia="en-US"/>
        </w:rPr>
        <w:t xml:space="preserve">krajowych mających zastosowanie do informacji reklamowych, rozporządzenie nakłada na właściwe organy krajowe obowiązek </w:t>
      </w:r>
      <w:r>
        <w:rPr>
          <w:rFonts w:eastAsiaTheme="minorHAnsi"/>
          <w:bCs/>
          <w:lang w:eastAsia="en-US"/>
        </w:rPr>
        <w:t>udostępniania</w:t>
      </w:r>
      <w:r w:rsidRPr="00874B81">
        <w:rPr>
          <w:rFonts w:eastAsiaTheme="minorHAnsi"/>
          <w:bCs/>
          <w:lang w:eastAsia="en-US"/>
        </w:rPr>
        <w:t xml:space="preserve"> treści tych przepisów na stronach internetowych tych organów wraz z nieoficjalnymi streszczeniami. Z tych samych powodów Europejski Urząd Nadzoru Giełd i Papierów Wartościowych (ESMA) został obowiązany do utworzenia centralnej bazy danych zawierającej streszczenia aktów krajowych dotyczących</w:t>
      </w:r>
      <w:r w:rsidRPr="00874B81">
        <w:t xml:space="preserve"> </w:t>
      </w:r>
      <w:r w:rsidRPr="00874B81">
        <w:rPr>
          <w:rFonts w:eastAsiaTheme="minorHAnsi"/>
          <w:bCs/>
          <w:lang w:eastAsia="en-US"/>
        </w:rPr>
        <w:t xml:space="preserve">wymogów </w:t>
      </w:r>
      <w:r>
        <w:rPr>
          <w:rFonts w:eastAsiaTheme="minorHAnsi"/>
          <w:bCs/>
          <w:lang w:eastAsia="en-US"/>
        </w:rPr>
        <w:t>w zakresie</w:t>
      </w:r>
      <w:r w:rsidRPr="00874B81">
        <w:rPr>
          <w:rFonts w:eastAsiaTheme="minorHAnsi"/>
          <w:bCs/>
          <w:lang w:eastAsia="en-US"/>
        </w:rPr>
        <w:t xml:space="preserve"> informacji reklamowych oraz linki do informacji </w:t>
      </w:r>
      <w:r>
        <w:rPr>
          <w:rFonts w:eastAsiaTheme="minorHAnsi"/>
          <w:bCs/>
          <w:lang w:eastAsia="en-US"/>
        </w:rPr>
        <w:t>udostępnianych</w:t>
      </w:r>
      <w:r w:rsidRPr="00874B81">
        <w:rPr>
          <w:rFonts w:eastAsiaTheme="minorHAnsi"/>
          <w:bCs/>
          <w:lang w:eastAsia="en-US"/>
        </w:rPr>
        <w:t xml:space="preserve"> na stronach internetowych właściwych organów.</w:t>
      </w:r>
    </w:p>
    <w:p w14:paraId="68DB0324" w14:textId="77777777" w:rsidR="00FC78AA" w:rsidRPr="0001083C" w:rsidRDefault="00FC78AA" w:rsidP="00FC78AA">
      <w:pPr>
        <w:spacing w:line="360" w:lineRule="auto"/>
        <w:jc w:val="both"/>
        <w:rPr>
          <w:rFonts w:eastAsiaTheme="minorHAnsi"/>
          <w:bCs/>
          <w:highlight w:val="yellow"/>
          <w:lang w:eastAsia="en-US"/>
        </w:rPr>
      </w:pPr>
      <w:r w:rsidRPr="00262580">
        <w:rPr>
          <w:rFonts w:eastAsiaTheme="minorHAnsi"/>
          <w:bCs/>
          <w:lang w:eastAsia="en-US"/>
        </w:rPr>
        <w:t xml:space="preserve">Rozporządzenie </w:t>
      </w:r>
      <w:r w:rsidRPr="00F352CC">
        <w:rPr>
          <w:rFonts w:eastAsiaTheme="minorHAnsi"/>
          <w:bCs/>
          <w:lang w:eastAsia="en-US"/>
        </w:rPr>
        <w:t xml:space="preserve">2019/1156 </w:t>
      </w:r>
      <w:r w:rsidRPr="00262580">
        <w:rPr>
          <w:rFonts w:eastAsiaTheme="minorHAnsi"/>
          <w:bCs/>
          <w:lang w:eastAsia="en-US"/>
        </w:rPr>
        <w:t xml:space="preserve">przyznaje </w:t>
      </w:r>
      <w:r>
        <w:rPr>
          <w:rFonts w:eastAsiaTheme="minorHAnsi"/>
          <w:bCs/>
          <w:lang w:eastAsia="en-US"/>
        </w:rPr>
        <w:t xml:space="preserve">również </w:t>
      </w:r>
      <w:r w:rsidRPr="00262580">
        <w:rPr>
          <w:rFonts w:eastAsiaTheme="minorHAnsi"/>
          <w:bCs/>
          <w:lang w:eastAsia="en-US"/>
        </w:rPr>
        <w:t>właściwym organom krajowym kompetencj</w:t>
      </w:r>
      <w:r>
        <w:rPr>
          <w:rFonts w:eastAsiaTheme="minorHAnsi"/>
          <w:bCs/>
          <w:lang w:eastAsia="en-US"/>
        </w:rPr>
        <w:t>e</w:t>
      </w:r>
      <w:r w:rsidRPr="00262580">
        <w:rPr>
          <w:rFonts w:eastAsiaTheme="minorHAnsi"/>
          <w:bCs/>
          <w:lang w:eastAsia="en-US"/>
        </w:rPr>
        <w:t xml:space="preserve"> do żądania uprzedniego przekazania im informacji reklamowych w celu przeprowadzenia weryfikacji </w:t>
      </w:r>
      <w:r>
        <w:rPr>
          <w:rFonts w:eastAsiaTheme="minorHAnsi"/>
          <w:bCs/>
          <w:lang w:eastAsia="en-US"/>
        </w:rPr>
        <w:br/>
      </w:r>
      <w:r w:rsidRPr="00262580">
        <w:rPr>
          <w:rFonts w:eastAsiaTheme="minorHAnsi"/>
          <w:bCs/>
          <w:i/>
          <w:lang w:eastAsia="en-US"/>
        </w:rPr>
        <w:t>ex ante</w:t>
      </w:r>
      <w:r w:rsidRPr="00262580">
        <w:rPr>
          <w:rFonts w:eastAsiaTheme="minorHAnsi"/>
          <w:bCs/>
          <w:lang w:eastAsia="en-US"/>
        </w:rPr>
        <w:t xml:space="preserve"> zgodności tych informacji z wymogami prawa. Chodzi </w:t>
      </w:r>
      <w:r>
        <w:rPr>
          <w:rFonts w:eastAsiaTheme="minorHAnsi"/>
          <w:bCs/>
          <w:lang w:eastAsia="en-US"/>
        </w:rPr>
        <w:t>tutaj przykładowo</w:t>
      </w:r>
      <w:r w:rsidRPr="00262580">
        <w:rPr>
          <w:rFonts w:eastAsiaTheme="minorHAnsi"/>
          <w:bCs/>
          <w:lang w:eastAsia="en-US"/>
        </w:rPr>
        <w:t xml:space="preserve"> o weryfikację, czy informacje reklamowe są rozpoznawalne jako takie, czy opisują one ryzyka i zyski związane </w:t>
      </w:r>
      <w:r>
        <w:rPr>
          <w:rFonts w:eastAsiaTheme="minorHAnsi"/>
          <w:bCs/>
          <w:lang w:eastAsia="en-US"/>
        </w:rPr>
        <w:br/>
      </w:r>
      <w:r w:rsidRPr="00262580">
        <w:rPr>
          <w:rFonts w:eastAsiaTheme="minorHAnsi"/>
          <w:bCs/>
          <w:lang w:eastAsia="en-US"/>
        </w:rPr>
        <w:t>z zakupem jednostek uczestnictwa lub udziałów funduszu inwestycyjnego</w:t>
      </w:r>
      <w:r>
        <w:rPr>
          <w:rFonts w:eastAsiaTheme="minorHAnsi"/>
          <w:bCs/>
          <w:lang w:eastAsia="en-US"/>
        </w:rPr>
        <w:t>,</w:t>
      </w:r>
      <w:r w:rsidRPr="00262580">
        <w:rPr>
          <w:rFonts w:eastAsiaTheme="minorHAnsi"/>
          <w:bCs/>
          <w:lang w:eastAsia="en-US"/>
        </w:rPr>
        <w:t xml:space="preserve"> a także czy informacje </w:t>
      </w:r>
      <w:r w:rsidRPr="00262580">
        <w:rPr>
          <w:rFonts w:eastAsiaTheme="minorHAnsi"/>
          <w:bCs/>
          <w:lang w:eastAsia="en-US"/>
        </w:rPr>
        <w:lastRenderedPageBreak/>
        <w:t xml:space="preserve">zawarte w materiałach reklamowych są przedstawione w sposób rzetelny, przejrzysty </w:t>
      </w:r>
      <w:r>
        <w:rPr>
          <w:rFonts w:eastAsiaTheme="minorHAnsi"/>
          <w:bCs/>
          <w:lang w:eastAsia="en-US"/>
        </w:rPr>
        <w:br/>
      </w:r>
      <w:r w:rsidRPr="00262580">
        <w:rPr>
          <w:rFonts w:eastAsiaTheme="minorHAnsi"/>
          <w:bCs/>
          <w:lang w:eastAsia="en-US"/>
        </w:rPr>
        <w:t>i niewprowadzający w błąd.</w:t>
      </w:r>
      <w:r>
        <w:rPr>
          <w:rFonts w:eastAsiaTheme="minorHAnsi"/>
          <w:bCs/>
          <w:lang w:eastAsia="en-US"/>
        </w:rPr>
        <w:t xml:space="preserve"> Procedura ta znajduje zastosowanie względem zarządzających UCITS oraz tych </w:t>
      </w:r>
      <w:r w:rsidRPr="0001083C">
        <w:rPr>
          <w:rFonts w:eastAsiaTheme="minorHAnsi"/>
          <w:bCs/>
          <w:lang w:eastAsia="en-US"/>
        </w:rPr>
        <w:t xml:space="preserve">zarządzających AFI (w tym zarządzających europejskimi funduszami </w:t>
      </w:r>
      <w:r w:rsidRPr="0001083C">
        <w:rPr>
          <w:rFonts w:eastAsiaTheme="minorHAnsi"/>
          <w:bCs/>
          <w:i/>
          <w:lang w:eastAsia="en-US"/>
        </w:rPr>
        <w:t>venture capital</w:t>
      </w:r>
      <w:r w:rsidRPr="0001083C">
        <w:rPr>
          <w:rFonts w:eastAsiaTheme="minorHAnsi"/>
          <w:bCs/>
          <w:lang w:eastAsia="en-US"/>
        </w:rPr>
        <w:t xml:space="preserve"> (EuVECA) oraz europejskimi</w:t>
      </w:r>
      <w:r>
        <w:rPr>
          <w:rFonts w:eastAsiaTheme="minorHAnsi"/>
          <w:bCs/>
          <w:lang w:eastAsia="en-US"/>
        </w:rPr>
        <w:t xml:space="preserve"> funduszami</w:t>
      </w:r>
      <w:r w:rsidRPr="00EC38C7">
        <w:rPr>
          <w:rFonts w:eastAsiaTheme="minorHAnsi"/>
          <w:bCs/>
          <w:lang w:eastAsia="en-US"/>
        </w:rPr>
        <w:t xml:space="preserve"> na rzecz przedsiębiorczości społecznej</w:t>
      </w:r>
      <w:r>
        <w:rPr>
          <w:rFonts w:eastAsiaTheme="minorHAnsi"/>
          <w:bCs/>
          <w:lang w:eastAsia="en-US"/>
        </w:rPr>
        <w:t xml:space="preserve"> (EuSEF)), którzy wprowadzają do obrotu jednostki uczestnictwa lub udziały zarządzanych przez siebie AFI wśród inwestorów detalicznych. Przyznanie</w:t>
      </w:r>
      <w:r w:rsidRPr="00262580">
        <w:rPr>
          <w:rFonts w:eastAsiaTheme="minorHAnsi"/>
          <w:bCs/>
          <w:lang w:eastAsia="en-US"/>
        </w:rPr>
        <w:t xml:space="preserve"> uprawnienia do żądania uprzedniego przekazania informacji nie uniemożliwia właściwym organom weryfikacji informacji reklamowych </w:t>
      </w:r>
      <w:r w:rsidRPr="00262580">
        <w:rPr>
          <w:rFonts w:eastAsiaTheme="minorHAnsi"/>
          <w:bCs/>
          <w:i/>
          <w:lang w:eastAsia="en-US"/>
        </w:rPr>
        <w:t>ex post</w:t>
      </w:r>
      <w:r w:rsidRPr="00262580">
        <w:rPr>
          <w:rFonts w:eastAsiaTheme="minorHAnsi"/>
          <w:bCs/>
          <w:lang w:eastAsia="en-US"/>
        </w:rPr>
        <w:t>.</w:t>
      </w:r>
    </w:p>
    <w:p w14:paraId="35145AA3" w14:textId="77777777" w:rsidR="00FC78AA" w:rsidRDefault="00FC78AA" w:rsidP="00FC78AA">
      <w:pPr>
        <w:spacing w:line="360" w:lineRule="auto"/>
        <w:jc w:val="both"/>
        <w:rPr>
          <w:rFonts w:eastAsiaTheme="minorHAnsi"/>
          <w:bCs/>
          <w:lang w:eastAsia="en-US"/>
        </w:rPr>
      </w:pPr>
      <w:r w:rsidRPr="00286BD3">
        <w:rPr>
          <w:rFonts w:eastAsiaTheme="minorHAnsi"/>
          <w:bCs/>
          <w:lang w:eastAsia="en-US"/>
        </w:rPr>
        <w:t>Dyrektywa 2019/1160 uzupełnia rozporządzenie 2019/1156</w:t>
      </w:r>
      <w:r>
        <w:rPr>
          <w:rFonts w:eastAsiaTheme="minorHAnsi"/>
          <w:bCs/>
          <w:lang w:eastAsia="en-US"/>
        </w:rPr>
        <w:t xml:space="preserve"> przez nowelizację odpowiednich przepisów dyrektywy </w:t>
      </w:r>
      <w:r w:rsidRPr="002F2A16">
        <w:rPr>
          <w:rFonts w:eastAsiaTheme="minorHAnsi"/>
          <w:bCs/>
          <w:lang w:eastAsia="en-US"/>
        </w:rPr>
        <w:t xml:space="preserve">Parlamentu Europejskiego i Rady 2009/65/WE z dnia 13 lipca 2009 r. </w:t>
      </w:r>
      <w:r>
        <w:rPr>
          <w:rFonts w:eastAsiaTheme="minorHAnsi"/>
          <w:bCs/>
          <w:lang w:eastAsia="en-US"/>
        </w:rPr>
        <w:br/>
      </w:r>
      <w:r w:rsidRPr="002F2A16">
        <w:rPr>
          <w:rFonts w:eastAsiaTheme="minorHAnsi"/>
          <w:bCs/>
          <w:i/>
          <w:lang w:eastAsia="en-US"/>
        </w:rPr>
        <w:t>w sprawie koordynacji przepisów ustawowych, wykonawczych i administracyjnych odnoszących się do przedsiębiorstw zbiorowego inwestowania w zbywalne papiery wartościowe</w:t>
      </w:r>
      <w:r>
        <w:rPr>
          <w:rFonts w:eastAsiaTheme="minorHAnsi"/>
          <w:bCs/>
          <w:i/>
          <w:lang w:eastAsia="en-US"/>
        </w:rPr>
        <w:t xml:space="preserve"> (UCITS) </w:t>
      </w:r>
      <w:r>
        <w:rPr>
          <w:rFonts w:eastAsiaTheme="minorHAnsi"/>
          <w:bCs/>
          <w:lang w:eastAsia="en-US"/>
        </w:rPr>
        <w:t>(</w:t>
      </w:r>
      <w:r w:rsidRPr="002F2A16">
        <w:rPr>
          <w:rFonts w:eastAsiaTheme="minorHAnsi"/>
          <w:bCs/>
          <w:lang w:eastAsia="en-US"/>
        </w:rPr>
        <w:t>Dz.</w:t>
      </w:r>
      <w:r>
        <w:rPr>
          <w:rFonts w:eastAsiaTheme="minorHAnsi"/>
          <w:bCs/>
          <w:lang w:eastAsia="en-US"/>
        </w:rPr>
        <w:t xml:space="preserve"> </w:t>
      </w:r>
      <w:r w:rsidRPr="002F2A16">
        <w:rPr>
          <w:rFonts w:eastAsiaTheme="minorHAnsi"/>
          <w:bCs/>
          <w:lang w:eastAsia="en-US"/>
        </w:rPr>
        <w:t>U</w:t>
      </w:r>
      <w:r>
        <w:rPr>
          <w:rFonts w:eastAsiaTheme="minorHAnsi"/>
          <w:bCs/>
          <w:lang w:eastAsia="en-US"/>
        </w:rPr>
        <w:t>rz</w:t>
      </w:r>
      <w:r w:rsidRPr="002F2A16">
        <w:rPr>
          <w:rFonts w:eastAsiaTheme="minorHAnsi"/>
          <w:bCs/>
          <w:lang w:eastAsia="en-US"/>
        </w:rPr>
        <w:t>.</w:t>
      </w:r>
      <w:r>
        <w:rPr>
          <w:rFonts w:eastAsiaTheme="minorHAnsi"/>
          <w:bCs/>
          <w:lang w:eastAsia="en-US"/>
        </w:rPr>
        <w:t xml:space="preserve"> UE</w:t>
      </w:r>
      <w:r w:rsidRPr="002F2A16">
        <w:rPr>
          <w:rFonts w:eastAsiaTheme="minorHAnsi"/>
          <w:bCs/>
          <w:lang w:eastAsia="en-US"/>
        </w:rPr>
        <w:t xml:space="preserve"> L 302 z 17.11.2009, str. 32</w:t>
      </w:r>
      <w:r>
        <w:rPr>
          <w:rFonts w:eastAsiaTheme="minorHAnsi"/>
          <w:bCs/>
          <w:lang w:eastAsia="en-US"/>
        </w:rPr>
        <w:t xml:space="preserve">, z późn. zm.) </w:t>
      </w:r>
      <w:r w:rsidRPr="002F2A16">
        <w:rPr>
          <w:rFonts w:eastAsiaTheme="minorHAnsi"/>
          <w:bCs/>
          <w:lang w:eastAsia="en-US"/>
        </w:rPr>
        <w:t>(</w:t>
      </w:r>
      <w:r>
        <w:rPr>
          <w:rFonts w:eastAsiaTheme="minorHAnsi"/>
          <w:bCs/>
          <w:lang w:eastAsia="en-US"/>
        </w:rPr>
        <w:t xml:space="preserve">dalej: „dyrektywa </w:t>
      </w:r>
      <w:r w:rsidRPr="002F2A16">
        <w:rPr>
          <w:rFonts w:eastAsiaTheme="minorHAnsi"/>
          <w:bCs/>
          <w:lang w:eastAsia="en-US"/>
        </w:rPr>
        <w:t>UCITS</w:t>
      </w:r>
      <w:r>
        <w:rPr>
          <w:rFonts w:eastAsiaTheme="minorHAnsi"/>
          <w:bCs/>
          <w:lang w:eastAsia="en-US"/>
        </w:rPr>
        <w:t>”)</w:t>
      </w:r>
      <w:r w:rsidRPr="002F2A16">
        <w:rPr>
          <w:rFonts w:eastAsiaTheme="minorHAnsi"/>
          <w:bCs/>
          <w:lang w:eastAsia="en-US"/>
        </w:rPr>
        <w:t xml:space="preserve"> </w:t>
      </w:r>
      <w:r>
        <w:rPr>
          <w:rFonts w:eastAsiaTheme="minorHAnsi"/>
          <w:bCs/>
          <w:lang w:eastAsia="en-US"/>
        </w:rPr>
        <w:t>oraz dyrektywy</w:t>
      </w:r>
      <w:r w:rsidRPr="002F2A16">
        <w:rPr>
          <w:rFonts w:eastAsiaTheme="minorHAnsi"/>
          <w:bCs/>
          <w:lang w:eastAsia="en-US"/>
        </w:rPr>
        <w:t xml:space="preserve"> Parlamentu Europejskiego i Rady 2011/61/UE z dnia 8 czerwca 2011 r. </w:t>
      </w:r>
      <w:r w:rsidRPr="003B74B0">
        <w:rPr>
          <w:rFonts w:eastAsiaTheme="minorHAnsi"/>
          <w:bCs/>
          <w:i/>
          <w:lang w:eastAsia="en-US"/>
        </w:rPr>
        <w:t xml:space="preserve">w sprawie zarządzających alternatywnymi funduszami inwestycyjnymi i zmiany dyrektyw 2003/41/WE i 2009/65/WE oraz rozporządzeń (WE) </w:t>
      </w:r>
      <w:r>
        <w:rPr>
          <w:rFonts w:eastAsiaTheme="minorHAnsi"/>
          <w:bCs/>
          <w:i/>
          <w:lang w:eastAsia="en-US"/>
        </w:rPr>
        <w:br/>
      </w:r>
      <w:r w:rsidRPr="003B74B0">
        <w:rPr>
          <w:rFonts w:eastAsiaTheme="minorHAnsi"/>
          <w:bCs/>
          <w:i/>
          <w:lang w:eastAsia="en-US"/>
        </w:rPr>
        <w:t>nr 1060/2009 i (UE) nr 1095/2010</w:t>
      </w:r>
      <w:r>
        <w:rPr>
          <w:rFonts w:eastAsiaTheme="minorHAnsi"/>
          <w:bCs/>
          <w:lang w:eastAsia="en-US"/>
        </w:rPr>
        <w:t xml:space="preserve"> (</w:t>
      </w:r>
      <w:r w:rsidRPr="003B74B0">
        <w:rPr>
          <w:rFonts w:eastAsiaTheme="minorHAnsi"/>
          <w:bCs/>
          <w:lang w:eastAsia="en-US"/>
        </w:rPr>
        <w:t>Dz.</w:t>
      </w:r>
      <w:r>
        <w:rPr>
          <w:rFonts w:eastAsiaTheme="minorHAnsi"/>
          <w:bCs/>
          <w:lang w:eastAsia="en-US"/>
        </w:rPr>
        <w:t xml:space="preserve"> </w:t>
      </w:r>
      <w:r w:rsidRPr="003B74B0">
        <w:rPr>
          <w:rFonts w:eastAsiaTheme="minorHAnsi"/>
          <w:bCs/>
          <w:lang w:eastAsia="en-US"/>
        </w:rPr>
        <w:t>U</w:t>
      </w:r>
      <w:r>
        <w:rPr>
          <w:rFonts w:eastAsiaTheme="minorHAnsi"/>
          <w:bCs/>
          <w:lang w:eastAsia="en-US"/>
        </w:rPr>
        <w:t>rz</w:t>
      </w:r>
      <w:r w:rsidRPr="003B74B0">
        <w:rPr>
          <w:rFonts w:eastAsiaTheme="minorHAnsi"/>
          <w:bCs/>
          <w:lang w:eastAsia="en-US"/>
        </w:rPr>
        <w:t>.</w:t>
      </w:r>
      <w:r>
        <w:rPr>
          <w:rFonts w:eastAsiaTheme="minorHAnsi"/>
          <w:bCs/>
          <w:lang w:eastAsia="en-US"/>
        </w:rPr>
        <w:t xml:space="preserve"> UE</w:t>
      </w:r>
      <w:r w:rsidRPr="003B74B0">
        <w:rPr>
          <w:rFonts w:eastAsiaTheme="minorHAnsi"/>
          <w:bCs/>
          <w:lang w:eastAsia="en-US"/>
        </w:rPr>
        <w:t xml:space="preserve"> L 174 z 1.7.2011, str. 1</w:t>
      </w:r>
      <w:r>
        <w:rPr>
          <w:rFonts w:eastAsiaTheme="minorHAnsi"/>
          <w:bCs/>
          <w:lang w:eastAsia="en-US"/>
        </w:rPr>
        <w:t>, z późn. zm.)(dalej: „dyrektywa ZAFI”)</w:t>
      </w:r>
      <w:r w:rsidRPr="00286BD3">
        <w:rPr>
          <w:rFonts w:eastAsiaTheme="minorHAnsi"/>
          <w:bCs/>
          <w:lang w:eastAsia="en-US"/>
        </w:rPr>
        <w:t>.</w:t>
      </w:r>
      <w:r>
        <w:rPr>
          <w:rFonts w:eastAsiaTheme="minorHAnsi"/>
          <w:bCs/>
          <w:lang w:eastAsia="en-US"/>
        </w:rPr>
        <w:t xml:space="preserve"> </w:t>
      </w:r>
    </w:p>
    <w:p w14:paraId="03C5611C" w14:textId="023E7090" w:rsidR="00564680" w:rsidRPr="0001083C" w:rsidRDefault="00FC78AA" w:rsidP="00564680">
      <w:pPr>
        <w:spacing w:line="360" w:lineRule="auto"/>
        <w:jc w:val="both"/>
        <w:rPr>
          <w:rFonts w:eastAsiaTheme="minorHAnsi"/>
          <w:bCs/>
          <w:highlight w:val="yellow"/>
          <w:lang w:eastAsia="en-US"/>
        </w:rPr>
      </w:pPr>
      <w:r>
        <w:rPr>
          <w:rFonts w:eastAsiaTheme="minorHAnsi"/>
          <w:bCs/>
          <w:lang w:eastAsia="en-US"/>
        </w:rPr>
        <w:t xml:space="preserve">Dyrektywa 2019/1160 uchyla te przepisy dyrektywy UCITS, które stały się zbyteczne w związku </w:t>
      </w:r>
      <w:r>
        <w:rPr>
          <w:rFonts w:eastAsiaTheme="minorHAnsi"/>
          <w:bCs/>
          <w:lang w:eastAsia="en-US"/>
        </w:rPr>
        <w:br/>
        <w:t>z wejściem w życie rozporządzenia 2019/1156.</w:t>
      </w:r>
      <w:r w:rsidR="00564680" w:rsidRPr="00286BD3">
        <w:rPr>
          <w:rFonts w:eastAsiaTheme="minorHAnsi"/>
          <w:bCs/>
          <w:lang w:eastAsia="en-US"/>
        </w:rPr>
        <w:t xml:space="preserve"> W konsekwencji zaistniała </w:t>
      </w:r>
      <w:r w:rsidR="00564680">
        <w:rPr>
          <w:rFonts w:eastAsiaTheme="minorHAnsi"/>
          <w:bCs/>
          <w:lang w:eastAsia="en-US"/>
        </w:rPr>
        <w:t xml:space="preserve">też </w:t>
      </w:r>
      <w:r w:rsidR="00564680" w:rsidRPr="00286BD3">
        <w:rPr>
          <w:rFonts w:eastAsiaTheme="minorHAnsi"/>
          <w:bCs/>
          <w:lang w:eastAsia="en-US"/>
        </w:rPr>
        <w:t xml:space="preserve">potrzeba uchylenia implementujących te przepisy </w:t>
      </w:r>
      <w:r w:rsidR="00564680">
        <w:rPr>
          <w:rFonts w:eastAsiaTheme="minorHAnsi"/>
          <w:bCs/>
          <w:lang w:eastAsia="en-US"/>
        </w:rPr>
        <w:t>fragmentów</w:t>
      </w:r>
      <w:r w:rsidR="00564680" w:rsidRPr="00286BD3">
        <w:rPr>
          <w:rFonts w:eastAsiaTheme="minorHAnsi"/>
          <w:bCs/>
          <w:lang w:eastAsia="en-US"/>
        </w:rPr>
        <w:t xml:space="preserve"> ustawy o funduszach.</w:t>
      </w:r>
    </w:p>
    <w:p w14:paraId="68E601E5" w14:textId="77777777" w:rsidR="00FC78AA" w:rsidRDefault="00FC78AA" w:rsidP="00FC78AA">
      <w:pPr>
        <w:spacing w:line="360" w:lineRule="auto"/>
        <w:jc w:val="both"/>
        <w:rPr>
          <w:rFonts w:eastAsiaTheme="minorHAnsi"/>
          <w:bCs/>
          <w:lang w:eastAsia="en-US"/>
        </w:rPr>
      </w:pPr>
      <w:r>
        <w:rPr>
          <w:rFonts w:eastAsiaTheme="minorHAnsi"/>
          <w:bCs/>
          <w:lang w:eastAsia="en-US"/>
        </w:rPr>
        <w:t>Nadto, poza ujednoliceniem i rozwinięciem przepisów dotyczących skutków zmian w danych podlegających zgłoszeniu organom nadzorczym przed podjęciem działalności transgranicznej, dyrektywa wprowadza</w:t>
      </w:r>
      <w:r w:rsidRPr="009B7FB5">
        <w:rPr>
          <w:rFonts w:eastAsiaTheme="minorHAnsi"/>
          <w:bCs/>
          <w:lang w:eastAsia="en-US"/>
        </w:rPr>
        <w:t xml:space="preserve"> przepisy uaktualniające i precyzujące wymogi w zakresie zapewniania rozwiązań n</w:t>
      </w:r>
      <w:r>
        <w:rPr>
          <w:rFonts w:eastAsiaTheme="minorHAnsi"/>
          <w:bCs/>
          <w:lang w:eastAsia="en-US"/>
        </w:rPr>
        <w:t>a rzecz inwestorów detalicznych.</w:t>
      </w:r>
      <w:r w:rsidRPr="009B7FB5">
        <w:rPr>
          <w:rFonts w:eastAsiaTheme="minorHAnsi"/>
          <w:bCs/>
          <w:lang w:eastAsia="en-US"/>
        </w:rPr>
        <w:t xml:space="preserve"> </w:t>
      </w:r>
      <w:r>
        <w:rPr>
          <w:rFonts w:eastAsiaTheme="minorHAnsi"/>
          <w:bCs/>
          <w:lang w:eastAsia="en-US"/>
        </w:rPr>
        <w:t>Wprowadza także regułę, iż</w:t>
      </w:r>
      <w:r w:rsidRPr="009B7FB5">
        <w:rPr>
          <w:rFonts w:eastAsiaTheme="minorHAnsi"/>
          <w:bCs/>
          <w:lang w:eastAsia="en-US"/>
        </w:rPr>
        <w:t xml:space="preserve"> </w:t>
      </w:r>
      <w:r>
        <w:rPr>
          <w:rFonts w:eastAsiaTheme="minorHAnsi"/>
          <w:bCs/>
          <w:lang w:eastAsia="en-US"/>
        </w:rPr>
        <w:t>państwa członkowskie nie mogą</w:t>
      </w:r>
      <w:r w:rsidRPr="009B7FB5">
        <w:rPr>
          <w:rFonts w:eastAsiaTheme="minorHAnsi"/>
          <w:bCs/>
          <w:lang w:eastAsia="en-US"/>
        </w:rPr>
        <w:t xml:space="preserve"> wymagać fizycznej obecności </w:t>
      </w:r>
      <w:r>
        <w:rPr>
          <w:rFonts w:eastAsiaTheme="minorHAnsi"/>
          <w:bCs/>
          <w:lang w:eastAsia="en-US"/>
        </w:rPr>
        <w:t xml:space="preserve">w danym państwie do celów wypełniania obowiązków informacyjnych względem inwestorów. </w:t>
      </w:r>
      <w:r w:rsidRPr="008E1E17">
        <w:rPr>
          <w:rFonts w:eastAsiaTheme="minorHAnsi"/>
          <w:bCs/>
          <w:lang w:eastAsia="en-US"/>
        </w:rPr>
        <w:t xml:space="preserve">W celu zapewnienia spójnego traktowania inwestorów detalicznych </w:t>
      </w:r>
      <w:r>
        <w:rPr>
          <w:rFonts w:eastAsiaTheme="minorHAnsi"/>
          <w:bCs/>
          <w:lang w:eastAsia="en-US"/>
        </w:rPr>
        <w:t>dyrektywa rozszerza</w:t>
      </w:r>
      <w:r w:rsidRPr="008E1E17">
        <w:rPr>
          <w:rFonts w:eastAsiaTheme="minorHAnsi"/>
          <w:bCs/>
          <w:lang w:eastAsia="en-US"/>
        </w:rPr>
        <w:t xml:space="preserve"> wymogi dotyczące rozwiązań </w:t>
      </w:r>
      <w:r>
        <w:rPr>
          <w:rFonts w:eastAsiaTheme="minorHAnsi"/>
          <w:bCs/>
          <w:lang w:eastAsia="en-US"/>
        </w:rPr>
        <w:t>na ZAFI</w:t>
      </w:r>
      <w:r w:rsidRPr="008E1E17">
        <w:rPr>
          <w:rFonts w:eastAsiaTheme="minorHAnsi"/>
          <w:bCs/>
          <w:lang w:eastAsia="en-US"/>
        </w:rPr>
        <w:t xml:space="preserve"> </w:t>
      </w:r>
      <w:r>
        <w:rPr>
          <w:rFonts w:eastAsiaTheme="minorHAnsi"/>
          <w:bCs/>
          <w:lang w:eastAsia="en-US"/>
        </w:rPr>
        <w:br/>
        <w:t>w przypadkach, gdy ci dokonują wprowadzania do</w:t>
      </w:r>
      <w:r w:rsidRPr="008E1E17">
        <w:rPr>
          <w:rFonts w:eastAsiaTheme="minorHAnsi"/>
          <w:bCs/>
          <w:lang w:eastAsia="en-US"/>
        </w:rPr>
        <w:t xml:space="preserve"> obrotu jednostek uczestnictwa lub udziałów alternatywnych funduszy inwestycyjnych (AFI) wśród inwestorów detalicznych na</w:t>
      </w:r>
      <w:r>
        <w:rPr>
          <w:rFonts w:eastAsiaTheme="minorHAnsi"/>
          <w:bCs/>
          <w:lang w:eastAsia="en-US"/>
        </w:rPr>
        <w:t xml:space="preserve"> terytorium danego państwa.</w:t>
      </w:r>
      <w:r w:rsidRPr="00415BC1">
        <w:t xml:space="preserve"> </w:t>
      </w:r>
      <w:r w:rsidRPr="00415BC1">
        <w:rPr>
          <w:rFonts w:eastAsiaTheme="minorHAnsi"/>
          <w:bCs/>
          <w:lang w:eastAsia="en-US"/>
        </w:rPr>
        <w:t>Nadrzędnym celem regulacji pozostaje</w:t>
      </w:r>
      <w:r>
        <w:rPr>
          <w:rFonts w:eastAsiaTheme="minorHAnsi"/>
          <w:bCs/>
          <w:lang w:eastAsia="en-US"/>
        </w:rPr>
        <w:t xml:space="preserve"> zapewnienie</w:t>
      </w:r>
      <w:r w:rsidRPr="00415BC1">
        <w:rPr>
          <w:rFonts w:eastAsiaTheme="minorHAnsi"/>
          <w:bCs/>
          <w:lang w:eastAsia="en-US"/>
        </w:rPr>
        <w:t>, by inwestorzy mieli dostęp do informacji, do których są uprawnieni.</w:t>
      </w:r>
    </w:p>
    <w:p w14:paraId="5AE3907F" w14:textId="77777777" w:rsidR="00FC78AA" w:rsidRDefault="00FC78AA" w:rsidP="00FC78AA">
      <w:pPr>
        <w:spacing w:line="360" w:lineRule="auto"/>
        <w:jc w:val="both"/>
        <w:rPr>
          <w:rFonts w:eastAsiaTheme="minorHAnsi"/>
          <w:bCs/>
          <w:lang w:eastAsia="en-US"/>
        </w:rPr>
      </w:pPr>
      <w:r>
        <w:rPr>
          <w:rFonts w:eastAsiaTheme="minorHAnsi"/>
          <w:bCs/>
          <w:lang w:eastAsia="en-US"/>
        </w:rPr>
        <w:lastRenderedPageBreak/>
        <w:t>Dotychczas b</w:t>
      </w:r>
      <w:r w:rsidRPr="008E1E17">
        <w:rPr>
          <w:rFonts w:eastAsiaTheme="minorHAnsi"/>
          <w:bCs/>
          <w:lang w:eastAsia="en-US"/>
        </w:rPr>
        <w:t xml:space="preserve">rak </w:t>
      </w:r>
      <w:r>
        <w:rPr>
          <w:rFonts w:eastAsiaTheme="minorHAnsi"/>
          <w:bCs/>
          <w:lang w:eastAsia="en-US"/>
        </w:rPr>
        <w:t>było zharmonizowanych</w:t>
      </w:r>
      <w:r w:rsidRPr="008E1E17">
        <w:rPr>
          <w:rFonts w:eastAsiaTheme="minorHAnsi"/>
          <w:bCs/>
          <w:lang w:eastAsia="en-US"/>
        </w:rPr>
        <w:t xml:space="preserve"> </w:t>
      </w:r>
      <w:r>
        <w:rPr>
          <w:rFonts w:eastAsiaTheme="minorHAnsi"/>
          <w:bCs/>
          <w:lang w:eastAsia="en-US"/>
        </w:rPr>
        <w:t>przepisów</w:t>
      </w:r>
      <w:r w:rsidRPr="008E1E17">
        <w:rPr>
          <w:rFonts w:eastAsiaTheme="minorHAnsi"/>
          <w:bCs/>
          <w:lang w:eastAsia="en-US"/>
        </w:rPr>
        <w:t xml:space="preserve"> regulujących zaprzestanie wprowadzania do obrotu jednostek uczestnictwa</w:t>
      </w:r>
      <w:r>
        <w:rPr>
          <w:rFonts w:eastAsiaTheme="minorHAnsi"/>
          <w:bCs/>
          <w:lang w:eastAsia="en-US"/>
        </w:rPr>
        <w:t xml:space="preserve"> lub</w:t>
      </w:r>
      <w:r w:rsidRPr="008E1E17">
        <w:rPr>
          <w:rFonts w:eastAsiaTheme="minorHAnsi"/>
          <w:bCs/>
          <w:lang w:eastAsia="en-US"/>
        </w:rPr>
        <w:t xml:space="preserve"> udziałów UCITS lub AFI w </w:t>
      </w:r>
      <w:r>
        <w:rPr>
          <w:rFonts w:eastAsiaTheme="minorHAnsi"/>
          <w:bCs/>
          <w:lang w:eastAsia="en-US"/>
        </w:rPr>
        <w:t>określonym państwie członkowskim,</w:t>
      </w:r>
      <w:r w:rsidRPr="008E1E17">
        <w:rPr>
          <w:rFonts w:eastAsiaTheme="minorHAnsi"/>
          <w:bCs/>
          <w:lang w:eastAsia="en-US"/>
        </w:rPr>
        <w:t xml:space="preserve"> </w:t>
      </w:r>
      <w:r>
        <w:rPr>
          <w:rFonts w:eastAsiaTheme="minorHAnsi"/>
          <w:bCs/>
          <w:lang w:eastAsia="en-US"/>
        </w:rPr>
        <w:t>co skutkowało</w:t>
      </w:r>
      <w:r w:rsidRPr="008E1E17">
        <w:rPr>
          <w:rFonts w:eastAsiaTheme="minorHAnsi"/>
          <w:bCs/>
          <w:lang w:eastAsia="en-US"/>
        </w:rPr>
        <w:t xml:space="preserve"> niepewności</w:t>
      </w:r>
      <w:r>
        <w:rPr>
          <w:rFonts w:eastAsiaTheme="minorHAnsi"/>
          <w:bCs/>
          <w:lang w:eastAsia="en-US"/>
        </w:rPr>
        <w:t>ą gospodarczą</w:t>
      </w:r>
      <w:r w:rsidRPr="008E1E17">
        <w:rPr>
          <w:rFonts w:eastAsiaTheme="minorHAnsi"/>
          <w:bCs/>
          <w:lang w:eastAsia="en-US"/>
        </w:rPr>
        <w:t xml:space="preserve"> i</w:t>
      </w:r>
      <w:r>
        <w:rPr>
          <w:rFonts w:eastAsiaTheme="minorHAnsi"/>
          <w:bCs/>
          <w:lang w:eastAsia="en-US"/>
        </w:rPr>
        <w:t xml:space="preserve"> prawną</w:t>
      </w:r>
      <w:r w:rsidRPr="008E1E17">
        <w:rPr>
          <w:rFonts w:eastAsiaTheme="minorHAnsi"/>
          <w:bCs/>
          <w:lang w:eastAsia="en-US"/>
        </w:rPr>
        <w:t xml:space="preserve"> dla zarządzających funduszami. </w:t>
      </w:r>
      <w:r>
        <w:rPr>
          <w:rFonts w:eastAsiaTheme="minorHAnsi"/>
          <w:bCs/>
          <w:lang w:eastAsia="en-US"/>
        </w:rPr>
        <w:t xml:space="preserve">Aby temu zaradzić, dyrektywa </w:t>
      </w:r>
      <w:r w:rsidRPr="001773F8">
        <w:rPr>
          <w:rFonts w:eastAsiaTheme="minorHAnsi"/>
          <w:bCs/>
          <w:lang w:eastAsia="en-US"/>
        </w:rPr>
        <w:t xml:space="preserve">2019/1160 </w:t>
      </w:r>
      <w:r>
        <w:rPr>
          <w:rFonts w:eastAsiaTheme="minorHAnsi"/>
          <w:bCs/>
          <w:lang w:eastAsia="en-US"/>
        </w:rPr>
        <w:t>dokonuje nowelizacji</w:t>
      </w:r>
      <w:r w:rsidRPr="008E1E17">
        <w:rPr>
          <w:rFonts w:eastAsiaTheme="minorHAnsi"/>
          <w:bCs/>
          <w:lang w:eastAsia="en-US"/>
        </w:rPr>
        <w:t xml:space="preserve"> dyrektyw</w:t>
      </w:r>
      <w:r>
        <w:rPr>
          <w:rFonts w:eastAsiaTheme="minorHAnsi"/>
          <w:bCs/>
          <w:lang w:eastAsia="en-US"/>
        </w:rPr>
        <w:t>y</w:t>
      </w:r>
      <w:r w:rsidRPr="008E1E17">
        <w:rPr>
          <w:rFonts w:eastAsiaTheme="minorHAnsi"/>
          <w:bCs/>
          <w:lang w:eastAsia="en-US"/>
        </w:rPr>
        <w:t xml:space="preserve"> </w:t>
      </w:r>
      <w:r>
        <w:rPr>
          <w:rFonts w:eastAsiaTheme="minorHAnsi"/>
          <w:bCs/>
          <w:lang w:eastAsia="en-US"/>
        </w:rPr>
        <w:t>UCITS</w:t>
      </w:r>
      <w:r w:rsidRPr="008E1E17">
        <w:rPr>
          <w:rFonts w:eastAsiaTheme="minorHAnsi"/>
          <w:bCs/>
          <w:lang w:eastAsia="en-US"/>
        </w:rPr>
        <w:t xml:space="preserve"> </w:t>
      </w:r>
      <w:r>
        <w:rPr>
          <w:rFonts w:eastAsiaTheme="minorHAnsi"/>
          <w:bCs/>
          <w:lang w:eastAsia="en-US"/>
        </w:rPr>
        <w:t xml:space="preserve">oraz dyrektywy ZAFI. Dyrektywa </w:t>
      </w:r>
      <w:r w:rsidRPr="001773F8">
        <w:rPr>
          <w:rFonts w:eastAsiaTheme="minorHAnsi"/>
          <w:bCs/>
          <w:lang w:eastAsia="en-US"/>
        </w:rPr>
        <w:t xml:space="preserve">2019/1160 </w:t>
      </w:r>
      <w:r>
        <w:rPr>
          <w:rFonts w:eastAsiaTheme="minorHAnsi"/>
          <w:bCs/>
          <w:lang w:eastAsia="en-US"/>
        </w:rPr>
        <w:t xml:space="preserve">wprowadza przepisy </w:t>
      </w:r>
      <w:r w:rsidRPr="001773F8">
        <w:rPr>
          <w:rFonts w:eastAsiaTheme="minorHAnsi"/>
          <w:bCs/>
          <w:lang w:eastAsia="en-US"/>
        </w:rPr>
        <w:t xml:space="preserve">w ww. </w:t>
      </w:r>
      <w:r>
        <w:rPr>
          <w:rFonts w:eastAsiaTheme="minorHAnsi"/>
          <w:bCs/>
          <w:lang w:eastAsia="en-US"/>
        </w:rPr>
        <w:t xml:space="preserve">dwóch </w:t>
      </w:r>
      <w:r w:rsidRPr="001773F8">
        <w:rPr>
          <w:rFonts w:eastAsiaTheme="minorHAnsi"/>
          <w:bCs/>
          <w:lang w:eastAsia="en-US"/>
        </w:rPr>
        <w:t xml:space="preserve">dyrektywach </w:t>
      </w:r>
      <w:r>
        <w:rPr>
          <w:rFonts w:eastAsiaTheme="minorHAnsi"/>
          <w:bCs/>
          <w:lang w:eastAsia="en-US"/>
        </w:rPr>
        <w:t>określające</w:t>
      </w:r>
      <w:r w:rsidRPr="008E1E17">
        <w:rPr>
          <w:rFonts w:eastAsiaTheme="minorHAnsi"/>
          <w:bCs/>
          <w:lang w:eastAsia="en-US"/>
        </w:rPr>
        <w:t xml:space="preserve"> warunki, na jakich może nastąpić wycofanie powiadomienia o uzgodnieniach dotyczących wprowadzania do obrotu</w:t>
      </w:r>
      <w:r>
        <w:rPr>
          <w:rFonts w:eastAsiaTheme="minorHAnsi"/>
          <w:bCs/>
          <w:lang w:eastAsia="en-US"/>
        </w:rPr>
        <w:t xml:space="preserve"> w danym państwie</w:t>
      </w:r>
      <w:r w:rsidRPr="008E1E17">
        <w:rPr>
          <w:rFonts w:eastAsiaTheme="minorHAnsi"/>
          <w:bCs/>
          <w:lang w:eastAsia="en-US"/>
        </w:rPr>
        <w:t xml:space="preserve"> w odniesieniu do niektórych lub wszystkich jednostek uczestnictwa lub udziałów. Warunki te powinny zapewniać równowagę między, z jednej strony, zdolnością przedsiębiorstw zbiorowego inwestowania lub ich zarządzających do wycofania się z uzgodnień dotyczących wprowadzania do obrotu ich udziałów lub jednostek uczestnictwa w sytuacji, gdy us</w:t>
      </w:r>
      <w:r>
        <w:rPr>
          <w:rFonts w:eastAsiaTheme="minorHAnsi"/>
          <w:bCs/>
          <w:lang w:eastAsia="en-US"/>
        </w:rPr>
        <w:t>tanowione warunki są spełnione, a</w:t>
      </w:r>
      <w:r w:rsidRPr="008E1E17">
        <w:rPr>
          <w:rFonts w:eastAsiaTheme="minorHAnsi"/>
          <w:bCs/>
          <w:lang w:eastAsia="en-US"/>
        </w:rPr>
        <w:t xml:space="preserve"> z drugie</w:t>
      </w:r>
      <w:r>
        <w:rPr>
          <w:rFonts w:eastAsiaTheme="minorHAnsi"/>
          <w:bCs/>
          <w:lang w:eastAsia="en-US"/>
        </w:rPr>
        <w:t xml:space="preserve">j strony, interesami inwestorów. Dyrektywa </w:t>
      </w:r>
      <w:r w:rsidRPr="00FA1A66">
        <w:rPr>
          <w:rFonts w:eastAsiaTheme="minorHAnsi"/>
          <w:bCs/>
          <w:lang w:eastAsia="en-US"/>
        </w:rPr>
        <w:t xml:space="preserve">2019/1160 </w:t>
      </w:r>
      <w:r>
        <w:rPr>
          <w:rFonts w:eastAsiaTheme="minorHAnsi"/>
          <w:bCs/>
          <w:lang w:eastAsia="en-US"/>
        </w:rPr>
        <w:t>przyjmuje założenie, iż m</w:t>
      </w:r>
      <w:r w:rsidRPr="008E1E17">
        <w:rPr>
          <w:rFonts w:eastAsiaTheme="minorHAnsi"/>
          <w:bCs/>
          <w:lang w:eastAsia="en-US"/>
        </w:rPr>
        <w:t xml:space="preserve">ożliwość zaprzestania wprowadzania do obrotu UCITS lub AFI w danym państwie członkowskim nie </w:t>
      </w:r>
      <w:r>
        <w:rPr>
          <w:rFonts w:eastAsiaTheme="minorHAnsi"/>
          <w:bCs/>
          <w:lang w:eastAsia="en-US"/>
        </w:rPr>
        <w:t>może</w:t>
      </w:r>
      <w:r w:rsidRPr="008E1E17">
        <w:rPr>
          <w:rFonts w:eastAsiaTheme="minorHAnsi"/>
          <w:bCs/>
          <w:lang w:eastAsia="en-US"/>
        </w:rPr>
        <w:t xml:space="preserve"> ograniczać zabezpieczeń, jakimi </w:t>
      </w:r>
      <w:r>
        <w:rPr>
          <w:rFonts w:eastAsiaTheme="minorHAnsi"/>
          <w:bCs/>
          <w:lang w:eastAsia="en-US"/>
        </w:rPr>
        <w:t xml:space="preserve">inwestorzy </w:t>
      </w:r>
      <w:r w:rsidRPr="008E1E17">
        <w:rPr>
          <w:rFonts w:eastAsiaTheme="minorHAnsi"/>
          <w:bCs/>
          <w:lang w:eastAsia="en-US"/>
        </w:rPr>
        <w:t>są objęci na mocy dyrektyw</w:t>
      </w:r>
      <w:r>
        <w:rPr>
          <w:rFonts w:eastAsiaTheme="minorHAnsi"/>
          <w:bCs/>
          <w:lang w:eastAsia="en-US"/>
        </w:rPr>
        <w:t>y</w:t>
      </w:r>
      <w:r w:rsidRPr="008E1E17">
        <w:rPr>
          <w:rFonts w:eastAsiaTheme="minorHAnsi"/>
          <w:bCs/>
          <w:lang w:eastAsia="en-US"/>
        </w:rPr>
        <w:t xml:space="preserve"> </w:t>
      </w:r>
      <w:r>
        <w:rPr>
          <w:rFonts w:eastAsiaTheme="minorHAnsi"/>
          <w:bCs/>
          <w:lang w:eastAsia="en-US"/>
        </w:rPr>
        <w:t>UCITS</w:t>
      </w:r>
      <w:r w:rsidRPr="008E1E17">
        <w:rPr>
          <w:rFonts w:eastAsiaTheme="minorHAnsi"/>
          <w:bCs/>
          <w:lang w:eastAsia="en-US"/>
        </w:rPr>
        <w:t xml:space="preserve"> </w:t>
      </w:r>
      <w:r>
        <w:rPr>
          <w:rFonts w:eastAsiaTheme="minorHAnsi"/>
          <w:bCs/>
          <w:lang w:eastAsia="en-US"/>
        </w:rPr>
        <w:t>oraz</w:t>
      </w:r>
      <w:r w:rsidRPr="008E1E17">
        <w:rPr>
          <w:rFonts w:eastAsiaTheme="minorHAnsi"/>
          <w:bCs/>
          <w:lang w:eastAsia="en-US"/>
        </w:rPr>
        <w:t xml:space="preserve"> </w:t>
      </w:r>
      <w:r w:rsidRPr="00AB7B61">
        <w:rPr>
          <w:rFonts w:eastAsiaTheme="minorHAnsi"/>
          <w:bCs/>
          <w:lang w:eastAsia="en-US"/>
        </w:rPr>
        <w:t xml:space="preserve">dyrektywy </w:t>
      </w:r>
      <w:r>
        <w:rPr>
          <w:rFonts w:eastAsiaTheme="minorHAnsi"/>
          <w:bCs/>
          <w:lang w:eastAsia="en-US"/>
        </w:rPr>
        <w:t>ZAFI</w:t>
      </w:r>
      <w:r w:rsidRPr="008E1E17">
        <w:rPr>
          <w:rFonts w:eastAsiaTheme="minorHAnsi"/>
          <w:bCs/>
          <w:lang w:eastAsia="en-US"/>
        </w:rPr>
        <w:t xml:space="preserve">, w szczególności </w:t>
      </w:r>
      <w:r>
        <w:rPr>
          <w:rFonts w:eastAsiaTheme="minorHAnsi"/>
          <w:bCs/>
          <w:lang w:eastAsia="en-US"/>
        </w:rPr>
        <w:t xml:space="preserve">w zakresie </w:t>
      </w:r>
      <w:r w:rsidRPr="008E1E17">
        <w:rPr>
          <w:rFonts w:eastAsiaTheme="minorHAnsi"/>
          <w:bCs/>
          <w:lang w:eastAsia="en-US"/>
        </w:rPr>
        <w:t>praw</w:t>
      </w:r>
      <w:r>
        <w:rPr>
          <w:rFonts w:eastAsiaTheme="minorHAnsi"/>
          <w:bCs/>
          <w:lang w:eastAsia="en-US"/>
        </w:rPr>
        <w:t>a</w:t>
      </w:r>
      <w:r w:rsidRPr="008E1E17">
        <w:rPr>
          <w:rFonts w:eastAsiaTheme="minorHAnsi"/>
          <w:bCs/>
          <w:lang w:eastAsia="en-US"/>
        </w:rPr>
        <w:t xml:space="preserve"> </w:t>
      </w:r>
      <w:r>
        <w:rPr>
          <w:rFonts w:eastAsiaTheme="minorHAnsi"/>
          <w:bCs/>
          <w:lang w:eastAsia="en-US"/>
        </w:rPr>
        <w:t xml:space="preserve">dostępu do </w:t>
      </w:r>
      <w:r w:rsidRPr="008E1E17">
        <w:rPr>
          <w:rFonts w:eastAsiaTheme="minorHAnsi"/>
          <w:bCs/>
          <w:lang w:eastAsia="en-US"/>
        </w:rPr>
        <w:t>informacji na temat dalszej działalności tych funduszy.</w:t>
      </w:r>
    </w:p>
    <w:p w14:paraId="672B3DF6" w14:textId="77777777" w:rsidR="00FC78AA" w:rsidRDefault="00FC78AA" w:rsidP="00FC78AA">
      <w:pPr>
        <w:spacing w:line="360" w:lineRule="auto"/>
        <w:jc w:val="both"/>
        <w:rPr>
          <w:rFonts w:eastAsiaTheme="minorHAnsi"/>
          <w:bCs/>
          <w:lang w:eastAsia="en-US"/>
        </w:rPr>
      </w:pPr>
      <w:r>
        <w:rPr>
          <w:rFonts w:eastAsiaTheme="minorHAnsi"/>
          <w:bCs/>
          <w:lang w:eastAsia="en-US"/>
        </w:rPr>
        <w:t xml:space="preserve">W dotychczasowym stanie prawnym uwidaczniał się brak jednolitych regulacji w zakresie czynności </w:t>
      </w:r>
      <w:r w:rsidRPr="00C55E2E">
        <w:rPr>
          <w:rFonts w:eastAsiaTheme="minorHAnsi"/>
          <w:bCs/>
          <w:lang w:eastAsia="en-US"/>
        </w:rPr>
        <w:t>poprzedzających wprowadzanie do obrotu</w:t>
      </w:r>
      <w:r>
        <w:rPr>
          <w:rFonts w:eastAsiaTheme="minorHAnsi"/>
          <w:bCs/>
          <w:lang w:eastAsia="en-US"/>
        </w:rPr>
        <w:t xml:space="preserve"> jednostek uczestnictwa lub udziałów funduszu w danym państwie członkowskim. W efekcie </w:t>
      </w:r>
      <w:r w:rsidRPr="00C55E2E">
        <w:rPr>
          <w:rFonts w:eastAsiaTheme="minorHAnsi"/>
          <w:bCs/>
          <w:lang w:eastAsia="en-US"/>
        </w:rPr>
        <w:t xml:space="preserve">ZAFI zamierzający sprawdzić zainteresowanie inwestorów daną koncepcją bądź strategią inwestycyjną nieraz </w:t>
      </w:r>
      <w:r>
        <w:rPr>
          <w:rFonts w:eastAsiaTheme="minorHAnsi"/>
          <w:bCs/>
          <w:lang w:eastAsia="en-US"/>
        </w:rPr>
        <w:t>doświadczali</w:t>
      </w:r>
      <w:r w:rsidRPr="00C55E2E">
        <w:rPr>
          <w:rFonts w:eastAsiaTheme="minorHAnsi"/>
          <w:bCs/>
          <w:lang w:eastAsia="en-US"/>
        </w:rPr>
        <w:t xml:space="preserve"> rozbieżnego traktowania czynności poprzedzających wprowadzanie do obrotu w systemach prawnych</w:t>
      </w:r>
      <w:r>
        <w:rPr>
          <w:rFonts w:eastAsiaTheme="minorHAnsi"/>
          <w:bCs/>
          <w:lang w:eastAsia="en-US"/>
        </w:rPr>
        <w:t xml:space="preserve"> różnych państw</w:t>
      </w:r>
      <w:r w:rsidRPr="00C55E2E">
        <w:rPr>
          <w:rFonts w:eastAsiaTheme="minorHAnsi"/>
          <w:bCs/>
          <w:lang w:eastAsia="en-US"/>
        </w:rPr>
        <w:t>.</w:t>
      </w:r>
      <w:r>
        <w:rPr>
          <w:rFonts w:eastAsiaTheme="minorHAnsi"/>
          <w:bCs/>
          <w:lang w:eastAsia="en-US"/>
        </w:rPr>
        <w:t xml:space="preserve"> D</w:t>
      </w:r>
      <w:r w:rsidRPr="00C55E2E">
        <w:rPr>
          <w:rFonts w:eastAsiaTheme="minorHAnsi"/>
          <w:bCs/>
          <w:lang w:eastAsia="en-US"/>
        </w:rPr>
        <w:t xml:space="preserve">efinicja czynności poprzedzających wprowadzanie do obrotu oraz warunki, na jakich są one dozwolone, znacznie </w:t>
      </w:r>
      <w:r>
        <w:rPr>
          <w:rFonts w:eastAsiaTheme="minorHAnsi"/>
          <w:bCs/>
          <w:lang w:eastAsia="en-US"/>
        </w:rPr>
        <w:t>różniły się</w:t>
      </w:r>
      <w:r w:rsidRPr="00C55E2E">
        <w:rPr>
          <w:rFonts w:eastAsiaTheme="minorHAnsi"/>
          <w:bCs/>
          <w:lang w:eastAsia="en-US"/>
        </w:rPr>
        <w:t xml:space="preserve"> w poszczególnych państwach członkowskich, </w:t>
      </w:r>
      <w:r>
        <w:rPr>
          <w:rFonts w:eastAsiaTheme="minorHAnsi"/>
          <w:bCs/>
          <w:lang w:eastAsia="en-US"/>
        </w:rPr>
        <w:t>zaś</w:t>
      </w:r>
      <w:r w:rsidRPr="00C55E2E">
        <w:rPr>
          <w:rFonts w:eastAsiaTheme="minorHAnsi"/>
          <w:bCs/>
          <w:lang w:eastAsia="en-US"/>
        </w:rPr>
        <w:t xml:space="preserve"> w innych państwach członkowskich pojęcie czynności poprzedzających wprowadzanie do obrotu</w:t>
      </w:r>
      <w:r w:rsidRPr="00C55E2E">
        <w:t xml:space="preserve"> </w:t>
      </w:r>
      <w:r w:rsidRPr="00C55E2E">
        <w:rPr>
          <w:rFonts w:eastAsiaTheme="minorHAnsi"/>
          <w:bCs/>
          <w:lang w:eastAsia="en-US"/>
        </w:rPr>
        <w:t xml:space="preserve">w ogóle nie </w:t>
      </w:r>
      <w:r>
        <w:rPr>
          <w:rFonts w:eastAsiaTheme="minorHAnsi"/>
          <w:bCs/>
          <w:lang w:eastAsia="en-US"/>
        </w:rPr>
        <w:t>istniało</w:t>
      </w:r>
      <w:r w:rsidRPr="00C55E2E">
        <w:rPr>
          <w:rFonts w:eastAsiaTheme="minorHAnsi"/>
          <w:bCs/>
          <w:lang w:eastAsia="en-US"/>
        </w:rPr>
        <w:t>.</w:t>
      </w:r>
      <w:r>
        <w:rPr>
          <w:rFonts w:eastAsiaTheme="minorHAnsi"/>
          <w:bCs/>
          <w:lang w:eastAsia="en-US"/>
        </w:rPr>
        <w:t xml:space="preserve"> </w:t>
      </w:r>
      <w:r>
        <w:rPr>
          <w:rFonts w:eastAsiaTheme="minorHAnsi"/>
          <w:bCs/>
          <w:lang w:eastAsia="en-US"/>
        </w:rPr>
        <w:br/>
      </w:r>
      <w:r w:rsidRPr="00C55E2E">
        <w:rPr>
          <w:rFonts w:eastAsiaTheme="minorHAnsi"/>
          <w:bCs/>
          <w:lang w:eastAsia="en-US"/>
        </w:rPr>
        <w:t xml:space="preserve">W celu usunięcia tych rozbieżności </w:t>
      </w:r>
      <w:r>
        <w:rPr>
          <w:rFonts w:eastAsiaTheme="minorHAnsi"/>
          <w:bCs/>
          <w:lang w:eastAsia="en-US"/>
        </w:rPr>
        <w:t xml:space="preserve">dyrektywa </w:t>
      </w:r>
      <w:r w:rsidRPr="00FA1A66">
        <w:rPr>
          <w:rFonts w:eastAsiaTheme="minorHAnsi"/>
          <w:bCs/>
          <w:lang w:eastAsia="en-US"/>
        </w:rPr>
        <w:t xml:space="preserve">2019/1160 </w:t>
      </w:r>
      <w:r>
        <w:rPr>
          <w:rFonts w:eastAsiaTheme="minorHAnsi"/>
          <w:bCs/>
          <w:lang w:eastAsia="en-US"/>
        </w:rPr>
        <w:t>ustanawia</w:t>
      </w:r>
      <w:r w:rsidRPr="00C55E2E">
        <w:rPr>
          <w:rFonts w:eastAsiaTheme="minorHAnsi"/>
          <w:bCs/>
          <w:lang w:eastAsia="en-US"/>
        </w:rPr>
        <w:t xml:space="preserve"> ujednoliconą definicję czynności poprzedzających wprowadzanie do obrotu </w:t>
      </w:r>
      <w:r>
        <w:rPr>
          <w:rFonts w:eastAsiaTheme="minorHAnsi"/>
          <w:bCs/>
          <w:lang w:eastAsia="en-US"/>
        </w:rPr>
        <w:t>oraz określa</w:t>
      </w:r>
      <w:r w:rsidRPr="00C55E2E">
        <w:rPr>
          <w:rFonts w:eastAsiaTheme="minorHAnsi"/>
          <w:bCs/>
          <w:lang w:eastAsia="en-US"/>
        </w:rPr>
        <w:t xml:space="preserve"> warunki, na jakich ZAFI z UE mogą podejmować </w:t>
      </w:r>
      <w:r>
        <w:rPr>
          <w:rFonts w:eastAsiaTheme="minorHAnsi"/>
          <w:bCs/>
          <w:lang w:eastAsia="en-US"/>
        </w:rPr>
        <w:t>te czynności</w:t>
      </w:r>
      <w:r w:rsidRPr="00C55E2E">
        <w:rPr>
          <w:rFonts w:eastAsiaTheme="minorHAnsi"/>
          <w:bCs/>
          <w:lang w:eastAsia="en-US"/>
        </w:rPr>
        <w:t>.</w:t>
      </w:r>
      <w:r>
        <w:rPr>
          <w:rFonts w:eastAsiaTheme="minorHAnsi"/>
          <w:bCs/>
          <w:lang w:eastAsia="en-US"/>
        </w:rPr>
        <w:t xml:space="preserve"> </w:t>
      </w:r>
      <w:r w:rsidRPr="00C55E2E">
        <w:rPr>
          <w:rFonts w:eastAsiaTheme="minorHAnsi"/>
          <w:bCs/>
          <w:lang w:eastAsia="en-US"/>
        </w:rPr>
        <w:t>Aby czynności poprzedzające wprowadzanie do obrotu zostały</w:t>
      </w:r>
      <w:r w:rsidRPr="00B12688">
        <w:t xml:space="preserve"> </w:t>
      </w:r>
      <w:r w:rsidRPr="00B12688">
        <w:rPr>
          <w:rFonts w:eastAsiaTheme="minorHAnsi"/>
          <w:bCs/>
          <w:lang w:eastAsia="en-US"/>
        </w:rPr>
        <w:t>za takie</w:t>
      </w:r>
      <w:r w:rsidRPr="00C55E2E">
        <w:rPr>
          <w:rFonts w:eastAsiaTheme="minorHAnsi"/>
          <w:bCs/>
          <w:lang w:eastAsia="en-US"/>
        </w:rPr>
        <w:t xml:space="preserve"> uznane, </w:t>
      </w:r>
      <w:r>
        <w:rPr>
          <w:rFonts w:eastAsiaTheme="minorHAnsi"/>
          <w:bCs/>
          <w:lang w:eastAsia="en-US"/>
        </w:rPr>
        <w:t>muszą</w:t>
      </w:r>
      <w:r w:rsidRPr="00C55E2E">
        <w:rPr>
          <w:rFonts w:eastAsiaTheme="minorHAnsi"/>
          <w:bCs/>
          <w:lang w:eastAsia="en-US"/>
        </w:rPr>
        <w:t xml:space="preserve"> być </w:t>
      </w:r>
      <w:r>
        <w:rPr>
          <w:rFonts w:eastAsiaTheme="minorHAnsi"/>
          <w:bCs/>
          <w:lang w:eastAsia="en-US"/>
        </w:rPr>
        <w:t xml:space="preserve">one </w:t>
      </w:r>
      <w:r w:rsidRPr="00C55E2E">
        <w:rPr>
          <w:rFonts w:eastAsiaTheme="minorHAnsi"/>
          <w:bCs/>
          <w:lang w:eastAsia="en-US"/>
        </w:rPr>
        <w:t>skierowane do potencjalnych inwestorów profesjonalnych i dotyczyć koncepcji bądź strategii inwestycyjnej</w:t>
      </w:r>
      <w:r>
        <w:rPr>
          <w:rFonts w:eastAsiaTheme="minorHAnsi"/>
          <w:bCs/>
          <w:lang w:eastAsia="en-US"/>
        </w:rPr>
        <w:t>.</w:t>
      </w:r>
      <w:r w:rsidRPr="00C55E2E">
        <w:rPr>
          <w:rFonts w:eastAsiaTheme="minorHAnsi"/>
          <w:bCs/>
          <w:lang w:eastAsia="en-US"/>
        </w:rPr>
        <w:t xml:space="preserve"> </w:t>
      </w:r>
      <w:r>
        <w:rPr>
          <w:rFonts w:eastAsiaTheme="minorHAnsi"/>
          <w:bCs/>
          <w:lang w:eastAsia="en-US"/>
        </w:rPr>
        <w:t xml:space="preserve">Mogą być one dokonywane </w:t>
      </w:r>
      <w:r w:rsidRPr="00C55E2E">
        <w:rPr>
          <w:rFonts w:eastAsiaTheme="minorHAnsi"/>
          <w:bCs/>
          <w:lang w:eastAsia="en-US"/>
        </w:rPr>
        <w:t xml:space="preserve">w celu sprawdzenia ich zainteresowania AFI lub subfunduszem, który nie został jeszcze ustanowiony lub który został </w:t>
      </w:r>
      <w:r>
        <w:rPr>
          <w:rFonts w:eastAsiaTheme="minorHAnsi"/>
          <w:bCs/>
          <w:lang w:eastAsia="en-US"/>
        </w:rPr>
        <w:t xml:space="preserve">już </w:t>
      </w:r>
      <w:r w:rsidRPr="00C55E2E">
        <w:rPr>
          <w:rFonts w:eastAsiaTheme="minorHAnsi"/>
          <w:bCs/>
          <w:lang w:eastAsia="en-US"/>
        </w:rPr>
        <w:t xml:space="preserve">ustanowiony, ale nie został jeszcze zgłoszony do celów </w:t>
      </w:r>
      <w:r>
        <w:rPr>
          <w:rFonts w:eastAsiaTheme="minorHAnsi"/>
          <w:bCs/>
          <w:lang w:eastAsia="en-US"/>
        </w:rPr>
        <w:t xml:space="preserve">transgranicznego </w:t>
      </w:r>
      <w:r w:rsidRPr="00C55E2E">
        <w:rPr>
          <w:rFonts w:eastAsiaTheme="minorHAnsi"/>
          <w:bCs/>
          <w:lang w:eastAsia="en-US"/>
        </w:rPr>
        <w:t>wprowadzania do obrotu zgodnie z dyrektywą</w:t>
      </w:r>
      <w:r>
        <w:rPr>
          <w:rFonts w:eastAsiaTheme="minorHAnsi"/>
          <w:bCs/>
          <w:lang w:eastAsia="en-US"/>
        </w:rPr>
        <w:t xml:space="preserve"> ZAFI</w:t>
      </w:r>
      <w:r w:rsidRPr="00C55E2E">
        <w:rPr>
          <w:rFonts w:eastAsiaTheme="minorHAnsi"/>
          <w:bCs/>
          <w:lang w:eastAsia="en-US"/>
        </w:rPr>
        <w:t xml:space="preserve">. </w:t>
      </w:r>
      <w:r>
        <w:rPr>
          <w:rFonts w:eastAsiaTheme="minorHAnsi"/>
          <w:bCs/>
          <w:lang w:eastAsia="en-US"/>
        </w:rPr>
        <w:t>N</w:t>
      </w:r>
      <w:r w:rsidRPr="00C55E2E">
        <w:rPr>
          <w:rFonts w:eastAsiaTheme="minorHAnsi"/>
          <w:bCs/>
          <w:lang w:eastAsia="en-US"/>
        </w:rPr>
        <w:t xml:space="preserve">a etapie czynności poprzedzających wprowadzanie do obrotu </w:t>
      </w:r>
      <w:r w:rsidRPr="00C55E2E">
        <w:rPr>
          <w:rFonts w:eastAsiaTheme="minorHAnsi"/>
          <w:bCs/>
          <w:lang w:eastAsia="en-US"/>
        </w:rPr>
        <w:lastRenderedPageBreak/>
        <w:t>inwestorzy nie powinni mieć możliwości dokonywania subskrypcji jednostek uczestnictwa ani udziałów AFI</w:t>
      </w:r>
      <w:r>
        <w:rPr>
          <w:rFonts w:eastAsiaTheme="minorHAnsi"/>
          <w:bCs/>
          <w:lang w:eastAsia="en-US"/>
        </w:rPr>
        <w:t>. N</w:t>
      </w:r>
      <w:r w:rsidRPr="00C55E2E">
        <w:rPr>
          <w:rFonts w:eastAsiaTheme="minorHAnsi"/>
          <w:bCs/>
          <w:lang w:eastAsia="en-US"/>
        </w:rPr>
        <w:t>ie zezwala</w:t>
      </w:r>
      <w:r>
        <w:rPr>
          <w:rFonts w:eastAsiaTheme="minorHAnsi"/>
          <w:bCs/>
          <w:lang w:eastAsia="en-US"/>
        </w:rPr>
        <w:t xml:space="preserve"> się</w:t>
      </w:r>
      <w:r w:rsidRPr="00C55E2E">
        <w:rPr>
          <w:rFonts w:eastAsiaTheme="minorHAnsi"/>
          <w:bCs/>
          <w:lang w:eastAsia="en-US"/>
        </w:rPr>
        <w:t xml:space="preserve"> </w:t>
      </w:r>
      <w:r>
        <w:rPr>
          <w:rFonts w:eastAsiaTheme="minorHAnsi"/>
          <w:bCs/>
          <w:lang w:eastAsia="en-US"/>
        </w:rPr>
        <w:t xml:space="preserve">także </w:t>
      </w:r>
      <w:r w:rsidRPr="00C55E2E">
        <w:rPr>
          <w:rFonts w:eastAsiaTheme="minorHAnsi"/>
          <w:bCs/>
          <w:lang w:eastAsia="en-US"/>
        </w:rPr>
        <w:t xml:space="preserve">na dystrybucję formularzy subskrypcji lub podobnych dokumentów wśród </w:t>
      </w:r>
      <w:r>
        <w:rPr>
          <w:rFonts w:eastAsiaTheme="minorHAnsi"/>
          <w:bCs/>
          <w:lang w:eastAsia="en-US"/>
        </w:rPr>
        <w:t>potencjalnych inwestorów</w:t>
      </w:r>
      <w:r w:rsidRPr="00C55E2E">
        <w:rPr>
          <w:rFonts w:eastAsiaTheme="minorHAnsi"/>
          <w:bCs/>
          <w:lang w:eastAsia="en-US"/>
        </w:rPr>
        <w:t xml:space="preserve"> ani w postaci wstępnej, ani w postaci ostatecznej. ZAFI z UE </w:t>
      </w:r>
      <w:r>
        <w:rPr>
          <w:rFonts w:eastAsiaTheme="minorHAnsi"/>
          <w:bCs/>
          <w:lang w:eastAsia="en-US"/>
        </w:rPr>
        <w:t>mają obowiązek</w:t>
      </w:r>
      <w:r w:rsidRPr="00C55E2E">
        <w:rPr>
          <w:rFonts w:eastAsiaTheme="minorHAnsi"/>
          <w:bCs/>
          <w:lang w:eastAsia="en-US"/>
        </w:rPr>
        <w:t xml:space="preserve"> zapewnić, aby </w:t>
      </w:r>
      <w:r w:rsidRPr="00DC7900">
        <w:rPr>
          <w:rFonts w:eastAsiaTheme="minorHAnsi"/>
          <w:bCs/>
          <w:lang w:eastAsia="en-US"/>
        </w:rPr>
        <w:t xml:space="preserve">w ramach czynności poprzedzających wprowadzanie do obrotu </w:t>
      </w:r>
      <w:r w:rsidRPr="00C55E2E">
        <w:rPr>
          <w:rFonts w:eastAsiaTheme="minorHAnsi"/>
          <w:bCs/>
          <w:lang w:eastAsia="en-US"/>
        </w:rPr>
        <w:t xml:space="preserve">inwestorzy nie nabywali jednostek uczestnictwa ani udziałów w AFI oraz aby inwestorzy, </w:t>
      </w:r>
      <w:r>
        <w:rPr>
          <w:rFonts w:eastAsiaTheme="minorHAnsi"/>
          <w:bCs/>
          <w:lang w:eastAsia="en-US"/>
        </w:rPr>
        <w:br/>
      </w:r>
      <w:r w:rsidRPr="00C55E2E">
        <w:rPr>
          <w:rFonts w:eastAsiaTheme="minorHAnsi"/>
          <w:bCs/>
          <w:lang w:eastAsia="en-US"/>
        </w:rPr>
        <w:t>z którymi nawiązano kontakt w ramach czynności poprzedzających wprowadzanie do obrotu, mogli nabywać jednostki uczestnictwa lub udziały w tym AFI wyłącznie poprzez wp</w:t>
      </w:r>
      <w:r>
        <w:rPr>
          <w:rFonts w:eastAsiaTheme="minorHAnsi"/>
          <w:bCs/>
          <w:lang w:eastAsia="en-US"/>
        </w:rPr>
        <w:t>rowadzanie do obrotu dozwolone</w:t>
      </w:r>
      <w:r w:rsidRPr="00C55E2E">
        <w:rPr>
          <w:rFonts w:eastAsiaTheme="minorHAnsi"/>
          <w:bCs/>
          <w:lang w:eastAsia="en-US"/>
        </w:rPr>
        <w:t xml:space="preserve"> dyrektywą </w:t>
      </w:r>
      <w:r>
        <w:rPr>
          <w:rFonts w:eastAsiaTheme="minorHAnsi"/>
          <w:bCs/>
          <w:lang w:eastAsia="en-US"/>
        </w:rPr>
        <w:t>ZAFI</w:t>
      </w:r>
      <w:r w:rsidRPr="00C55E2E">
        <w:rPr>
          <w:rFonts w:eastAsiaTheme="minorHAnsi"/>
          <w:bCs/>
          <w:lang w:eastAsia="en-US"/>
        </w:rPr>
        <w:t xml:space="preserve">. Każdą subskrypcję jednostek uczestnictwa lub udziałów w AFI, </w:t>
      </w:r>
      <w:r>
        <w:rPr>
          <w:rFonts w:eastAsiaTheme="minorHAnsi"/>
          <w:bCs/>
          <w:lang w:eastAsia="en-US"/>
        </w:rPr>
        <w:br/>
      </w:r>
      <w:r w:rsidRPr="00C55E2E">
        <w:rPr>
          <w:rFonts w:eastAsiaTheme="minorHAnsi"/>
          <w:bCs/>
          <w:lang w:eastAsia="en-US"/>
        </w:rPr>
        <w:t>o którym mowa w informacjach przekazanych w kontekście czynności poprzedzających wprowadzanie do obrotu, lub AFI ustanowionym w wyniku czynności poprzedzających wprowadzanie do obrotu</w:t>
      </w:r>
      <w:r>
        <w:rPr>
          <w:rFonts w:eastAsiaTheme="minorHAnsi"/>
          <w:bCs/>
          <w:lang w:eastAsia="en-US"/>
        </w:rPr>
        <w:t>,</w:t>
      </w:r>
      <w:r w:rsidRPr="00C55E2E">
        <w:rPr>
          <w:rFonts w:eastAsiaTheme="minorHAnsi"/>
          <w:bCs/>
          <w:lang w:eastAsia="en-US"/>
        </w:rPr>
        <w:t xml:space="preserve"> dokonywaną przez inwestorów profesjonalnych w terminie 18 miesięcy od rozpoczęcia przez ZAFI z UE czynności poprzedzających wprowadzanie do obrotu, należy uznać za wynik wprowadzania do obrotu i powinna ona podlegać mającym zastosowanie procedurom powiadamiania, o któr</w:t>
      </w:r>
      <w:r>
        <w:rPr>
          <w:rFonts w:eastAsiaTheme="minorHAnsi"/>
          <w:bCs/>
          <w:lang w:eastAsia="en-US"/>
        </w:rPr>
        <w:t>ych mowa w dyrektywie ZAFI.</w:t>
      </w:r>
    </w:p>
    <w:p w14:paraId="00F500CE" w14:textId="77777777" w:rsidR="00FC78AA" w:rsidRPr="007719FF" w:rsidRDefault="00FC78AA" w:rsidP="00FC78AA">
      <w:pPr>
        <w:spacing w:line="360" w:lineRule="auto"/>
        <w:jc w:val="both"/>
        <w:rPr>
          <w:rFonts w:eastAsiaTheme="minorHAnsi"/>
          <w:bCs/>
          <w:lang w:eastAsia="en-US"/>
        </w:rPr>
      </w:pPr>
      <w:r>
        <w:rPr>
          <w:rFonts w:eastAsiaTheme="minorHAnsi"/>
          <w:bCs/>
          <w:lang w:eastAsia="en-US"/>
        </w:rPr>
        <w:t xml:space="preserve">Przepis </w:t>
      </w:r>
      <w:r>
        <w:rPr>
          <w:rFonts w:eastAsiaTheme="minorHAnsi"/>
          <w:b/>
          <w:bCs/>
          <w:lang w:eastAsia="en-US"/>
        </w:rPr>
        <w:t xml:space="preserve">art. 1 pkt 1 projektu </w:t>
      </w:r>
      <w:r>
        <w:rPr>
          <w:rFonts w:eastAsiaTheme="minorHAnsi"/>
          <w:bCs/>
          <w:lang w:eastAsia="en-US"/>
        </w:rPr>
        <w:t xml:space="preserve">dodaje do słowniczka ustawowego (art. 2 ustawy o funduszach) dwa akty prawne – rozporządzenie </w:t>
      </w:r>
      <w:r w:rsidRPr="007719FF">
        <w:rPr>
          <w:rFonts w:eastAsiaTheme="minorHAnsi"/>
          <w:bCs/>
          <w:lang w:eastAsia="en-US"/>
        </w:rPr>
        <w:t xml:space="preserve">Parlamentu Europejskiego i Rady (UE) 2015/760 z dnia 29 kwietnia 2015 r. </w:t>
      </w:r>
      <w:r w:rsidRPr="0001083C">
        <w:rPr>
          <w:rFonts w:eastAsiaTheme="minorHAnsi"/>
          <w:bCs/>
          <w:i/>
          <w:lang w:eastAsia="en-US"/>
        </w:rPr>
        <w:t>w sprawie europejskich długoterminowych funduszy inwestycyjnych</w:t>
      </w:r>
      <w:r w:rsidRPr="007719FF">
        <w:rPr>
          <w:rFonts w:eastAsiaTheme="minorHAnsi"/>
          <w:bCs/>
          <w:lang w:eastAsia="en-US"/>
        </w:rPr>
        <w:t xml:space="preserve"> (Dz. Urz. UE L 123 </w:t>
      </w:r>
      <w:r>
        <w:rPr>
          <w:rFonts w:eastAsiaTheme="minorHAnsi"/>
          <w:bCs/>
          <w:lang w:eastAsia="en-US"/>
        </w:rPr>
        <w:br/>
      </w:r>
      <w:r w:rsidRPr="007719FF">
        <w:rPr>
          <w:rFonts w:eastAsiaTheme="minorHAnsi"/>
          <w:bCs/>
          <w:lang w:eastAsia="en-US"/>
        </w:rPr>
        <w:t>z 19.05.2015, str. 98)</w:t>
      </w:r>
      <w:r>
        <w:rPr>
          <w:rFonts w:eastAsiaTheme="minorHAnsi"/>
          <w:bCs/>
          <w:lang w:eastAsia="en-US"/>
        </w:rPr>
        <w:t xml:space="preserve"> oraz rozporządzenie </w:t>
      </w:r>
      <w:r w:rsidRPr="007719FF">
        <w:rPr>
          <w:rFonts w:eastAsiaTheme="minorHAnsi"/>
          <w:bCs/>
          <w:lang w:eastAsia="en-US"/>
        </w:rPr>
        <w:t>2019/1156</w:t>
      </w:r>
      <w:r>
        <w:rPr>
          <w:rFonts w:eastAsiaTheme="minorHAnsi"/>
          <w:bCs/>
          <w:lang w:eastAsia="en-US"/>
        </w:rPr>
        <w:t xml:space="preserve"> (odpowiednio art. 2 pkt 2i oraz art. 2 pkt 2j ustawy o funduszach).</w:t>
      </w:r>
    </w:p>
    <w:p w14:paraId="522C8AAB" w14:textId="77777777" w:rsidR="00FC78AA" w:rsidRPr="00C35784" w:rsidRDefault="00FC78AA" w:rsidP="00FC78AA">
      <w:pPr>
        <w:spacing w:line="360" w:lineRule="auto"/>
        <w:jc w:val="both"/>
        <w:rPr>
          <w:rFonts w:eastAsiaTheme="minorHAnsi"/>
          <w:bCs/>
          <w:lang w:eastAsia="en-US"/>
        </w:rPr>
      </w:pPr>
      <w:r w:rsidRPr="00825DA5">
        <w:rPr>
          <w:rFonts w:eastAsiaTheme="minorHAnsi"/>
          <w:bCs/>
          <w:lang w:eastAsia="en-US"/>
        </w:rPr>
        <w:t xml:space="preserve">Przepis </w:t>
      </w:r>
      <w:r w:rsidRPr="00825DA5">
        <w:rPr>
          <w:rFonts w:eastAsiaTheme="minorHAnsi"/>
          <w:b/>
          <w:bCs/>
          <w:lang w:eastAsia="en-US"/>
        </w:rPr>
        <w:t xml:space="preserve">art. 1 pkt </w:t>
      </w:r>
      <w:r>
        <w:rPr>
          <w:rFonts w:eastAsiaTheme="minorHAnsi"/>
          <w:b/>
          <w:bCs/>
          <w:lang w:eastAsia="en-US"/>
        </w:rPr>
        <w:t>2</w:t>
      </w:r>
      <w:r w:rsidRPr="00825DA5">
        <w:rPr>
          <w:rFonts w:eastAsiaTheme="minorHAnsi"/>
          <w:b/>
          <w:bCs/>
          <w:lang w:eastAsia="en-US"/>
        </w:rPr>
        <w:t xml:space="preserve"> projektu</w:t>
      </w:r>
      <w:r>
        <w:rPr>
          <w:rFonts w:eastAsiaTheme="minorHAnsi"/>
          <w:bCs/>
          <w:lang w:eastAsia="en-US"/>
        </w:rPr>
        <w:t xml:space="preserve"> dokonuje nowelizacji art. 229 ustawy o funduszach, będącej wynikiem zmian, jakie w zakresie informacji reklamowych publikowanych przez </w:t>
      </w:r>
      <w:r w:rsidRPr="00825DA5">
        <w:rPr>
          <w:rFonts w:eastAsiaTheme="minorHAnsi"/>
          <w:bCs/>
          <w:lang w:eastAsia="en-US"/>
        </w:rPr>
        <w:t xml:space="preserve">towarzystwa funduszy inwestycyjnych </w:t>
      </w:r>
      <w:r>
        <w:rPr>
          <w:rFonts w:eastAsiaTheme="minorHAnsi"/>
          <w:bCs/>
          <w:lang w:eastAsia="en-US"/>
        </w:rPr>
        <w:t>zostały wprowadzone</w:t>
      </w:r>
      <w:r w:rsidRPr="00825DA5">
        <w:rPr>
          <w:rFonts w:eastAsiaTheme="minorHAnsi"/>
          <w:bCs/>
          <w:lang w:eastAsia="en-US"/>
        </w:rPr>
        <w:t xml:space="preserve"> </w:t>
      </w:r>
      <w:r w:rsidRPr="000F49B6">
        <w:rPr>
          <w:rFonts w:eastAsiaTheme="minorHAnsi"/>
          <w:bCs/>
          <w:lang w:eastAsia="en-US"/>
        </w:rPr>
        <w:t>rozporządzenie</w:t>
      </w:r>
      <w:r>
        <w:rPr>
          <w:rFonts w:eastAsiaTheme="minorHAnsi"/>
          <w:bCs/>
          <w:lang w:eastAsia="en-US"/>
        </w:rPr>
        <w:t>m</w:t>
      </w:r>
      <w:r w:rsidRPr="000F49B6">
        <w:rPr>
          <w:rFonts w:eastAsiaTheme="minorHAnsi"/>
          <w:bCs/>
          <w:lang w:eastAsia="en-US"/>
        </w:rPr>
        <w:t xml:space="preserve"> 2019/1156 </w:t>
      </w:r>
      <w:r w:rsidRPr="00825DA5">
        <w:rPr>
          <w:rFonts w:eastAsiaTheme="minorHAnsi"/>
          <w:bCs/>
          <w:lang w:eastAsia="en-US"/>
        </w:rPr>
        <w:t xml:space="preserve">oraz </w:t>
      </w:r>
      <w:r>
        <w:rPr>
          <w:rFonts w:eastAsiaTheme="minorHAnsi"/>
          <w:bCs/>
          <w:lang w:eastAsia="en-US"/>
        </w:rPr>
        <w:t>dyrektywą</w:t>
      </w:r>
      <w:r w:rsidRPr="000F49B6">
        <w:rPr>
          <w:rFonts w:eastAsiaTheme="minorHAnsi"/>
          <w:bCs/>
          <w:lang w:eastAsia="en-US"/>
        </w:rPr>
        <w:t xml:space="preserve"> 2019/1160</w:t>
      </w:r>
      <w:r w:rsidRPr="00825DA5">
        <w:rPr>
          <w:rFonts w:eastAsiaTheme="minorHAnsi"/>
          <w:bCs/>
          <w:lang w:eastAsia="en-US"/>
        </w:rPr>
        <w:t xml:space="preserve">. </w:t>
      </w:r>
      <w:r>
        <w:rPr>
          <w:rFonts w:eastAsiaTheme="minorHAnsi"/>
          <w:bCs/>
          <w:lang w:eastAsia="en-US"/>
        </w:rPr>
        <w:br/>
      </w:r>
      <w:r w:rsidRPr="00825DA5">
        <w:rPr>
          <w:rFonts w:eastAsiaTheme="minorHAnsi"/>
          <w:bCs/>
          <w:lang w:eastAsia="en-US"/>
        </w:rPr>
        <w:t xml:space="preserve">W art. 4 </w:t>
      </w:r>
      <w:r w:rsidRPr="00C35784">
        <w:rPr>
          <w:rFonts w:eastAsiaTheme="minorHAnsi"/>
          <w:bCs/>
          <w:lang w:eastAsia="en-US"/>
        </w:rPr>
        <w:t xml:space="preserve">rozporządzenia 2019/1156 </w:t>
      </w:r>
      <w:r w:rsidRPr="00825DA5">
        <w:rPr>
          <w:rFonts w:eastAsiaTheme="minorHAnsi"/>
          <w:bCs/>
          <w:lang w:eastAsia="en-US"/>
        </w:rPr>
        <w:t>zawarte zostały</w:t>
      </w:r>
      <w:r w:rsidRPr="00C35784">
        <w:rPr>
          <w:rFonts w:eastAsiaTheme="minorHAnsi"/>
          <w:bCs/>
          <w:lang w:eastAsia="en-US"/>
        </w:rPr>
        <w:t xml:space="preserve"> ujednolicone regulacje w zakresie wymogów dotyczących informacji reklamowych dla UCITS oraz ZAFI. W efekcie zbędny stał się</w:t>
      </w:r>
      <w:r w:rsidRPr="00825DA5">
        <w:rPr>
          <w:rFonts w:eastAsiaTheme="minorHAnsi"/>
          <w:bCs/>
          <w:lang w:eastAsia="en-US"/>
        </w:rPr>
        <w:t>,</w:t>
      </w:r>
      <w:r w:rsidRPr="00C35784">
        <w:rPr>
          <w:rFonts w:eastAsiaTheme="minorHAnsi"/>
          <w:bCs/>
          <w:lang w:eastAsia="en-US"/>
        </w:rPr>
        <w:t xml:space="preserve"> dotychczas regulujący </w:t>
      </w:r>
      <w:r w:rsidRPr="00825DA5">
        <w:rPr>
          <w:rFonts w:eastAsiaTheme="minorHAnsi"/>
          <w:bCs/>
          <w:lang w:eastAsia="en-US"/>
        </w:rPr>
        <w:t>w zakresie UCITS</w:t>
      </w:r>
      <w:r w:rsidRPr="00C35784">
        <w:rPr>
          <w:rFonts w:eastAsiaTheme="minorHAnsi"/>
          <w:bCs/>
          <w:lang w:eastAsia="en-US"/>
        </w:rPr>
        <w:t xml:space="preserve"> wymogi dotyczące informacji reklamowych</w:t>
      </w:r>
      <w:r w:rsidRPr="00825DA5">
        <w:rPr>
          <w:rFonts w:eastAsiaTheme="minorHAnsi"/>
          <w:bCs/>
          <w:lang w:eastAsia="en-US"/>
        </w:rPr>
        <w:t>,</w:t>
      </w:r>
      <w:r w:rsidRPr="00C35784">
        <w:rPr>
          <w:rFonts w:eastAsiaTheme="minorHAnsi"/>
          <w:bCs/>
          <w:lang w:eastAsia="en-US"/>
        </w:rPr>
        <w:t xml:space="preserve"> </w:t>
      </w:r>
      <w:r w:rsidRPr="00825DA5">
        <w:rPr>
          <w:rFonts w:eastAsiaTheme="minorHAnsi"/>
          <w:bCs/>
          <w:lang w:eastAsia="en-US"/>
        </w:rPr>
        <w:t>art. 77 dyrektywy UCITS</w:t>
      </w:r>
      <w:r w:rsidRPr="00C35784">
        <w:rPr>
          <w:rFonts w:eastAsiaTheme="minorHAnsi"/>
          <w:bCs/>
          <w:lang w:eastAsia="en-US"/>
        </w:rPr>
        <w:t xml:space="preserve"> </w:t>
      </w:r>
      <w:r w:rsidRPr="00825DA5">
        <w:rPr>
          <w:rFonts w:eastAsiaTheme="minorHAnsi"/>
          <w:bCs/>
          <w:lang w:eastAsia="en-US"/>
        </w:rPr>
        <w:t>i</w:t>
      </w:r>
      <w:r w:rsidRPr="00C35784">
        <w:rPr>
          <w:rFonts w:eastAsiaTheme="minorHAnsi"/>
          <w:bCs/>
          <w:lang w:eastAsia="en-US"/>
        </w:rPr>
        <w:t xml:space="preserve"> został z tego względu uchylony przepisem art. 1 pkt 2 dyrektywy 2019/1160. Jednocześnie utrzymano w mocy pozostałe przepisy tejże dyrektywy odnoszące się do informacji reklamowych (np. art. 70 ust. 2 i 3 </w:t>
      </w:r>
      <w:r>
        <w:rPr>
          <w:rFonts w:eastAsiaTheme="minorHAnsi"/>
          <w:bCs/>
          <w:lang w:eastAsia="en-US"/>
        </w:rPr>
        <w:t xml:space="preserve">dyrektywy </w:t>
      </w:r>
      <w:r w:rsidRPr="00C35784">
        <w:rPr>
          <w:rFonts w:eastAsiaTheme="minorHAnsi"/>
          <w:bCs/>
          <w:lang w:eastAsia="en-US"/>
        </w:rPr>
        <w:t>UCITS).</w:t>
      </w:r>
    </w:p>
    <w:p w14:paraId="11D0A5EE" w14:textId="77777777" w:rsidR="00FC78AA" w:rsidRDefault="00FC78AA" w:rsidP="00FC78AA">
      <w:pPr>
        <w:spacing w:line="360" w:lineRule="auto"/>
        <w:jc w:val="both"/>
        <w:rPr>
          <w:rFonts w:eastAsiaTheme="minorHAnsi"/>
          <w:bCs/>
          <w:lang w:eastAsia="en-US"/>
        </w:rPr>
      </w:pPr>
      <w:r>
        <w:rPr>
          <w:rFonts w:eastAsiaTheme="minorHAnsi"/>
          <w:bCs/>
          <w:lang w:eastAsia="en-US"/>
        </w:rPr>
        <w:t>W celu</w:t>
      </w:r>
      <w:r w:rsidRPr="00C35784">
        <w:rPr>
          <w:rFonts w:eastAsiaTheme="minorHAnsi"/>
          <w:bCs/>
          <w:lang w:eastAsia="en-US"/>
        </w:rPr>
        <w:t xml:space="preserve"> uwzględnienia wyżej opisanych zmian </w:t>
      </w:r>
      <w:r w:rsidRPr="00825DA5">
        <w:rPr>
          <w:rFonts w:eastAsiaTheme="minorHAnsi"/>
          <w:bCs/>
          <w:lang w:eastAsia="en-US"/>
        </w:rPr>
        <w:t xml:space="preserve">konieczna była nowelizacja art. 229 ustawy </w:t>
      </w:r>
      <w:r>
        <w:rPr>
          <w:rFonts w:eastAsiaTheme="minorHAnsi"/>
          <w:bCs/>
          <w:lang w:eastAsia="en-US"/>
        </w:rPr>
        <w:br/>
      </w:r>
      <w:r w:rsidRPr="00825DA5">
        <w:rPr>
          <w:rFonts w:eastAsiaTheme="minorHAnsi"/>
          <w:bCs/>
          <w:lang w:eastAsia="en-US"/>
        </w:rPr>
        <w:t xml:space="preserve">o funduszach. </w:t>
      </w:r>
      <w:r w:rsidRPr="00C35784">
        <w:rPr>
          <w:rFonts w:eastAsiaTheme="minorHAnsi"/>
          <w:bCs/>
          <w:lang w:eastAsia="en-US"/>
        </w:rPr>
        <w:t xml:space="preserve">W nowym brzmieniu </w:t>
      </w:r>
      <w:r w:rsidRPr="00825DA5">
        <w:rPr>
          <w:rFonts w:eastAsiaTheme="minorHAnsi"/>
          <w:bCs/>
          <w:lang w:eastAsia="en-US"/>
        </w:rPr>
        <w:t>art.</w:t>
      </w:r>
      <w:r w:rsidRPr="00C35784">
        <w:rPr>
          <w:rFonts w:eastAsiaTheme="minorHAnsi"/>
          <w:bCs/>
          <w:lang w:eastAsia="en-US"/>
        </w:rPr>
        <w:t xml:space="preserve"> 229 ust. 1 ustawy o funduszach w zakresie informacji reklamowych będzie miał zastosowanie jedynie </w:t>
      </w:r>
      <w:r>
        <w:rPr>
          <w:rFonts w:eastAsiaTheme="minorHAnsi"/>
          <w:bCs/>
          <w:lang w:eastAsia="en-US"/>
        </w:rPr>
        <w:t>do zbiorczych portfeli</w:t>
      </w:r>
      <w:r w:rsidRPr="00C35784">
        <w:rPr>
          <w:rFonts w:eastAsiaTheme="minorHAnsi"/>
          <w:bCs/>
          <w:lang w:eastAsia="en-US"/>
        </w:rPr>
        <w:t xml:space="preserve"> papierów wartościowych, a nie</w:t>
      </w:r>
      <w:r w:rsidRPr="00825DA5">
        <w:rPr>
          <w:rFonts w:eastAsiaTheme="minorHAnsi"/>
          <w:bCs/>
          <w:lang w:eastAsia="en-US"/>
        </w:rPr>
        <w:t xml:space="preserve"> </w:t>
      </w:r>
      <w:r w:rsidRPr="00825DA5">
        <w:rPr>
          <w:rFonts w:eastAsiaTheme="minorHAnsi"/>
          <w:bCs/>
          <w:lang w:eastAsia="en-US"/>
        </w:rPr>
        <w:lastRenderedPageBreak/>
        <w:t>–</w:t>
      </w:r>
      <w:r w:rsidRPr="00C35784">
        <w:rPr>
          <w:rFonts w:eastAsiaTheme="minorHAnsi"/>
          <w:bCs/>
          <w:lang w:eastAsia="en-US"/>
        </w:rPr>
        <w:t xml:space="preserve"> jak dotychczas – również do fundusz</w:t>
      </w:r>
      <w:r w:rsidRPr="00825DA5">
        <w:rPr>
          <w:rFonts w:eastAsiaTheme="minorHAnsi"/>
          <w:bCs/>
          <w:lang w:eastAsia="en-US"/>
        </w:rPr>
        <w:t>y inwestycyjnych</w:t>
      </w:r>
      <w:r w:rsidRPr="00C35784">
        <w:rPr>
          <w:rFonts w:eastAsiaTheme="minorHAnsi"/>
          <w:bCs/>
          <w:lang w:eastAsia="en-US"/>
        </w:rPr>
        <w:t xml:space="preserve">. </w:t>
      </w:r>
      <w:r w:rsidRPr="00825DA5">
        <w:rPr>
          <w:rFonts w:eastAsiaTheme="minorHAnsi"/>
          <w:bCs/>
          <w:lang w:eastAsia="en-US"/>
        </w:rPr>
        <w:t>Jest to konsekwencją faktu</w:t>
      </w:r>
      <w:r w:rsidRPr="00C35784">
        <w:rPr>
          <w:rFonts w:eastAsiaTheme="minorHAnsi"/>
          <w:bCs/>
          <w:lang w:eastAsia="en-US"/>
        </w:rPr>
        <w:t xml:space="preserve">, że kwestie związane z publikowanymi przez towarzystwo informacjami reklamowymi dotyczącymi funduszu inwestycyjnego zostały uregulowane </w:t>
      </w:r>
      <w:r w:rsidRPr="00825DA5">
        <w:rPr>
          <w:rFonts w:eastAsiaTheme="minorHAnsi"/>
          <w:bCs/>
          <w:lang w:eastAsia="en-US"/>
        </w:rPr>
        <w:t>w</w:t>
      </w:r>
      <w:r w:rsidRPr="00C35784">
        <w:rPr>
          <w:rFonts w:eastAsiaTheme="minorHAnsi"/>
          <w:bCs/>
          <w:lang w:eastAsia="en-US"/>
        </w:rPr>
        <w:t xml:space="preserve"> art. 4 rozporządzenia 2019/1156. Przepisy rozporządzenia nie obejmują</w:t>
      </w:r>
      <w:r w:rsidRPr="00825DA5">
        <w:rPr>
          <w:rFonts w:eastAsiaTheme="minorHAnsi"/>
          <w:bCs/>
          <w:lang w:eastAsia="en-US"/>
        </w:rPr>
        <w:t xml:space="preserve"> natomiast zbiorczych portfeli</w:t>
      </w:r>
      <w:r w:rsidRPr="00C35784">
        <w:rPr>
          <w:rFonts w:eastAsiaTheme="minorHAnsi"/>
          <w:bCs/>
          <w:lang w:eastAsia="en-US"/>
        </w:rPr>
        <w:t xml:space="preserve"> papierów wartościowych, stąd potrzeba objęcia </w:t>
      </w:r>
      <w:r w:rsidRPr="00825DA5">
        <w:rPr>
          <w:rFonts w:eastAsiaTheme="minorHAnsi"/>
          <w:bCs/>
          <w:lang w:eastAsia="en-US"/>
        </w:rPr>
        <w:t xml:space="preserve">ich </w:t>
      </w:r>
      <w:r w:rsidRPr="00C35784">
        <w:rPr>
          <w:rFonts w:eastAsiaTheme="minorHAnsi"/>
          <w:bCs/>
          <w:lang w:eastAsia="en-US"/>
        </w:rPr>
        <w:t>regulacją krajową także w zakresie informacji reklamowych</w:t>
      </w:r>
      <w:r>
        <w:rPr>
          <w:rFonts w:eastAsiaTheme="minorHAnsi"/>
          <w:bCs/>
          <w:lang w:eastAsia="en-US"/>
        </w:rPr>
        <w:t>.</w:t>
      </w:r>
    </w:p>
    <w:p w14:paraId="0C7A584E" w14:textId="77777777" w:rsidR="00FC78AA" w:rsidRDefault="00FC78AA" w:rsidP="00FC78AA">
      <w:pPr>
        <w:spacing w:line="360" w:lineRule="auto"/>
        <w:jc w:val="both"/>
        <w:rPr>
          <w:rFonts w:eastAsiaTheme="minorHAnsi"/>
          <w:bCs/>
          <w:lang w:eastAsia="en-US"/>
        </w:rPr>
      </w:pPr>
      <w:r>
        <w:rPr>
          <w:rFonts w:eastAsiaTheme="minorHAnsi"/>
          <w:bCs/>
          <w:lang w:eastAsia="en-US"/>
        </w:rPr>
        <w:t>Art.</w:t>
      </w:r>
      <w:r w:rsidRPr="00C35784">
        <w:rPr>
          <w:rFonts w:eastAsiaTheme="minorHAnsi"/>
          <w:bCs/>
          <w:lang w:eastAsia="en-US"/>
        </w:rPr>
        <w:t xml:space="preserve"> 229 ust. 2 ustawy o funduszach stał się w dotychczasowej formie w dużej mierze zbyteczny ze względu na to, iż kwestie, których dotyczył, zostały uregulowane w nowo wprowadzonym art. 4 rozporządzenia</w:t>
      </w:r>
      <w:r>
        <w:rPr>
          <w:rFonts w:eastAsiaTheme="minorHAnsi"/>
          <w:bCs/>
          <w:lang w:eastAsia="en-US"/>
        </w:rPr>
        <w:t xml:space="preserve"> </w:t>
      </w:r>
      <w:r w:rsidRPr="00C35784">
        <w:rPr>
          <w:rFonts w:eastAsiaTheme="minorHAnsi"/>
          <w:bCs/>
          <w:lang w:eastAsia="en-US"/>
        </w:rPr>
        <w:t xml:space="preserve">2019/1156. Ponieważ jednak przepisy rozporządzenia nie odnoszą się do memorandum informacyjnego oraz warunków emisji, aby uniknąć powstania luki w prawie, </w:t>
      </w:r>
      <w:r>
        <w:rPr>
          <w:rFonts w:eastAsiaTheme="minorHAnsi"/>
          <w:bCs/>
          <w:lang w:eastAsia="en-US"/>
        </w:rPr>
        <w:t>w </w:t>
      </w:r>
      <w:r w:rsidRPr="00C35784">
        <w:rPr>
          <w:rFonts w:eastAsiaTheme="minorHAnsi"/>
          <w:bCs/>
          <w:lang w:eastAsia="en-US"/>
        </w:rPr>
        <w:t xml:space="preserve">nowym brzmieniu art. 229 ust. 2 ustawy o funduszach wprowadzono odesłanie do art. 4 ust. </w:t>
      </w:r>
      <w:r>
        <w:rPr>
          <w:rFonts w:eastAsiaTheme="minorHAnsi"/>
          <w:bCs/>
          <w:lang w:eastAsia="en-US"/>
        </w:rPr>
        <w:t>2</w:t>
      </w:r>
      <w:r w:rsidRPr="00C35784">
        <w:rPr>
          <w:rFonts w:eastAsiaTheme="minorHAnsi"/>
          <w:bCs/>
          <w:lang w:eastAsia="en-US"/>
        </w:rPr>
        <w:t xml:space="preserve"> rozporządzenia</w:t>
      </w:r>
      <w:r>
        <w:rPr>
          <w:rFonts w:eastAsiaTheme="minorHAnsi"/>
          <w:bCs/>
          <w:lang w:eastAsia="en-US"/>
        </w:rPr>
        <w:t xml:space="preserve"> </w:t>
      </w:r>
      <w:r w:rsidRPr="00C35784">
        <w:rPr>
          <w:rFonts w:eastAsiaTheme="minorHAnsi"/>
          <w:bCs/>
          <w:lang w:eastAsia="en-US"/>
        </w:rPr>
        <w:t>2019/1156.</w:t>
      </w:r>
    </w:p>
    <w:p w14:paraId="4C9A6EB1" w14:textId="77777777" w:rsidR="00FC78AA" w:rsidRPr="0032692E" w:rsidRDefault="00FC78AA" w:rsidP="00FC78AA">
      <w:pPr>
        <w:spacing w:line="360" w:lineRule="auto"/>
        <w:jc w:val="both"/>
        <w:rPr>
          <w:rFonts w:eastAsiaTheme="minorHAnsi"/>
          <w:bCs/>
          <w:lang w:eastAsia="en-US"/>
        </w:rPr>
      </w:pPr>
      <w:r w:rsidRPr="00C35784">
        <w:rPr>
          <w:rFonts w:eastAsiaTheme="minorHAnsi"/>
          <w:bCs/>
          <w:lang w:eastAsia="en-US"/>
        </w:rPr>
        <w:t xml:space="preserve">Wskutek ograniczenia zakresu stosowania art. 229 ust. 1 ustawy o ofercie przez wykreślenie wzmianki o informacjach reklamowych w odniesieniu do </w:t>
      </w:r>
      <w:r w:rsidRPr="0001083C">
        <w:rPr>
          <w:rFonts w:eastAsiaTheme="minorHAnsi"/>
          <w:bCs/>
          <w:lang w:eastAsia="en-US"/>
        </w:rPr>
        <w:t>funduszy inwestycyjnych, pojawiła się potrzeba dodania takiej wzmianki do art. 229 ust. 3-5 tejże ustawy. Przepisy art. 229</w:t>
      </w:r>
      <w:r w:rsidRPr="00C35784">
        <w:rPr>
          <w:rFonts w:eastAsiaTheme="minorHAnsi"/>
          <w:bCs/>
          <w:lang w:eastAsia="en-US"/>
        </w:rPr>
        <w:t xml:space="preserve"> ust. 3-4a ustawy o funduszach dokonują implementacji dotyczących informacji reklamowych przepisów dyrektywy UCITS, które pozostały w mocy mimo rozpoczęcia stosowania art. 4 rozporządzenia 2019/1156. </w:t>
      </w:r>
      <w:r w:rsidRPr="0032692E">
        <w:rPr>
          <w:rFonts w:eastAsiaTheme="minorHAnsi"/>
          <w:bCs/>
          <w:lang w:eastAsia="en-US"/>
        </w:rPr>
        <w:t>Ust</w:t>
      </w:r>
      <w:r>
        <w:rPr>
          <w:rFonts w:eastAsiaTheme="minorHAnsi"/>
          <w:bCs/>
          <w:lang w:eastAsia="en-US"/>
        </w:rPr>
        <w:t>. </w:t>
      </w:r>
      <w:r w:rsidRPr="0032692E">
        <w:rPr>
          <w:rFonts w:eastAsiaTheme="minorHAnsi"/>
          <w:bCs/>
          <w:lang w:eastAsia="en-US"/>
        </w:rPr>
        <w:t xml:space="preserve">3 oraz 4 służą implementacji odpowiednio art. 70 ust. 3 i 2 dyrektywy UCITS, które swym zakresem obejmują także informacje reklamowe. Analogiczna sytuacja zachodzi w przypadku ust. 4a implementującego przepis art. 63 ust. 1 pkt a oraz ust. 4 dyrektywy UCITS. </w:t>
      </w:r>
      <w:r>
        <w:rPr>
          <w:rFonts w:eastAsiaTheme="minorHAnsi"/>
          <w:bCs/>
          <w:lang w:eastAsia="en-US"/>
        </w:rPr>
        <w:t xml:space="preserve">Art. </w:t>
      </w:r>
      <w:r w:rsidRPr="0032692E">
        <w:rPr>
          <w:rFonts w:eastAsiaTheme="minorHAnsi"/>
          <w:bCs/>
          <w:lang w:eastAsia="en-US"/>
        </w:rPr>
        <w:t xml:space="preserve">229 ust. 5 ustawy </w:t>
      </w:r>
      <w:r>
        <w:rPr>
          <w:rFonts w:eastAsiaTheme="minorHAnsi"/>
          <w:bCs/>
          <w:lang w:eastAsia="en-US"/>
        </w:rPr>
        <w:br/>
      </w:r>
      <w:r w:rsidRPr="0032692E">
        <w:rPr>
          <w:rFonts w:eastAsiaTheme="minorHAnsi"/>
          <w:bCs/>
          <w:lang w:eastAsia="en-US"/>
        </w:rPr>
        <w:t>o funduszach</w:t>
      </w:r>
      <w:r w:rsidRPr="00825DA5">
        <w:rPr>
          <w:rFonts w:eastAsiaTheme="minorHAnsi"/>
          <w:bCs/>
          <w:lang w:eastAsia="en-US"/>
        </w:rPr>
        <w:t xml:space="preserve"> </w:t>
      </w:r>
      <w:r w:rsidRPr="0032692E">
        <w:rPr>
          <w:rFonts w:eastAsiaTheme="minorHAnsi"/>
          <w:bCs/>
          <w:lang w:eastAsia="en-US"/>
        </w:rPr>
        <w:t>to z kolei przepis upoważniający KNF do zastosowania sankcji w przypadku, gdy publikowane informacje wprowadzają lub mogą wprowadzić w błąd. Wszystkie ww. przepisy –</w:t>
      </w:r>
      <w:r w:rsidRPr="00825DA5">
        <w:rPr>
          <w:rFonts w:eastAsiaTheme="minorHAnsi"/>
          <w:bCs/>
          <w:lang w:eastAsia="en-US"/>
        </w:rPr>
        <w:t xml:space="preserve"> </w:t>
      </w:r>
      <w:r>
        <w:rPr>
          <w:rFonts w:eastAsiaTheme="minorHAnsi"/>
          <w:bCs/>
          <w:lang w:eastAsia="en-US"/>
        </w:rPr>
        <w:br/>
      </w:r>
      <w:r w:rsidRPr="0032692E">
        <w:rPr>
          <w:rFonts w:eastAsiaTheme="minorHAnsi"/>
          <w:bCs/>
          <w:lang w:eastAsia="en-US"/>
        </w:rPr>
        <w:t>art. 229 ust. 3-5 ustawy o funduszach –</w:t>
      </w:r>
      <w:r w:rsidRPr="00825DA5">
        <w:rPr>
          <w:rFonts w:eastAsiaTheme="minorHAnsi"/>
          <w:bCs/>
          <w:lang w:eastAsia="en-US"/>
        </w:rPr>
        <w:t xml:space="preserve"> </w:t>
      </w:r>
      <w:r w:rsidRPr="0032692E">
        <w:rPr>
          <w:rFonts w:eastAsiaTheme="minorHAnsi"/>
          <w:bCs/>
          <w:lang w:eastAsia="en-US"/>
        </w:rPr>
        <w:t xml:space="preserve">w dotychczasowym brzmieniu </w:t>
      </w:r>
      <w:r w:rsidRPr="00825DA5">
        <w:rPr>
          <w:rFonts w:eastAsiaTheme="minorHAnsi"/>
          <w:bCs/>
          <w:lang w:eastAsia="en-US"/>
        </w:rPr>
        <w:t>zawierały odesłanie</w:t>
      </w:r>
      <w:r w:rsidRPr="0032692E">
        <w:rPr>
          <w:rFonts w:eastAsiaTheme="minorHAnsi"/>
          <w:bCs/>
          <w:lang w:eastAsia="en-US"/>
        </w:rPr>
        <w:t xml:space="preserve"> do art. 229 ust. 1 ustawy o funduszach. W związku jednak </w:t>
      </w:r>
      <w:r w:rsidRPr="00825DA5">
        <w:rPr>
          <w:rFonts w:eastAsiaTheme="minorHAnsi"/>
          <w:bCs/>
          <w:lang w:eastAsia="en-US"/>
        </w:rPr>
        <w:t>ze spowodowaną uchyleniem art. 77 dyrektywy UCITS</w:t>
      </w:r>
      <w:r w:rsidRPr="0032692E">
        <w:rPr>
          <w:rFonts w:eastAsiaTheme="minorHAnsi"/>
          <w:bCs/>
          <w:lang w:eastAsia="en-US"/>
        </w:rPr>
        <w:t xml:space="preserve"> nowelizacją tego </w:t>
      </w:r>
      <w:r>
        <w:rPr>
          <w:rFonts w:eastAsiaTheme="minorHAnsi"/>
          <w:bCs/>
          <w:lang w:eastAsia="en-US"/>
        </w:rPr>
        <w:t>przepisu</w:t>
      </w:r>
      <w:r w:rsidRPr="0032692E">
        <w:rPr>
          <w:rFonts w:eastAsiaTheme="minorHAnsi"/>
          <w:bCs/>
          <w:lang w:eastAsia="en-US"/>
        </w:rPr>
        <w:t xml:space="preserve"> muszą zostać uzupełnione o wzmiankę o informacjach reklamowych.</w:t>
      </w:r>
    </w:p>
    <w:p w14:paraId="5B956BA5" w14:textId="77777777" w:rsidR="00FC78AA" w:rsidRDefault="00FC78AA" w:rsidP="00FC78AA">
      <w:pPr>
        <w:spacing w:line="360" w:lineRule="auto"/>
        <w:jc w:val="both"/>
        <w:rPr>
          <w:rFonts w:eastAsiaTheme="minorHAnsi"/>
          <w:bCs/>
          <w:lang w:eastAsia="en-US"/>
        </w:rPr>
      </w:pPr>
      <w:r w:rsidRPr="0032692E">
        <w:rPr>
          <w:rFonts w:eastAsiaTheme="minorHAnsi"/>
          <w:bCs/>
          <w:lang w:eastAsia="en-US"/>
        </w:rPr>
        <w:t xml:space="preserve">Z podobną sytuacją mamy do czynienia w przypadku art. 229 ust. 7 ustawy o funduszach nowelizowanego </w:t>
      </w:r>
      <w:r w:rsidRPr="00825DA5">
        <w:rPr>
          <w:rFonts w:eastAsiaTheme="minorHAnsi"/>
          <w:b/>
          <w:bCs/>
          <w:lang w:eastAsia="en-US"/>
        </w:rPr>
        <w:t>art. 1 pkt 1 lit. b projektu</w:t>
      </w:r>
      <w:r w:rsidRPr="0032692E">
        <w:rPr>
          <w:rFonts w:eastAsiaTheme="minorHAnsi"/>
          <w:bCs/>
          <w:lang w:eastAsia="en-US"/>
        </w:rPr>
        <w:t xml:space="preserve">. Ponieważ wskutek nowelizacji </w:t>
      </w:r>
      <w:r>
        <w:rPr>
          <w:rFonts w:eastAsiaTheme="minorHAnsi"/>
          <w:bCs/>
          <w:lang w:eastAsia="en-US"/>
        </w:rPr>
        <w:t>przepis art. 229 ust. 1 ustawy o funduszach nie obejmuje już swym zakresem stosowania i</w:t>
      </w:r>
      <w:r w:rsidRPr="00E828A4">
        <w:rPr>
          <w:rFonts w:eastAsiaTheme="minorHAnsi"/>
          <w:bCs/>
          <w:lang w:eastAsia="en-US"/>
        </w:rPr>
        <w:t>nformacj</w:t>
      </w:r>
      <w:r>
        <w:rPr>
          <w:rFonts w:eastAsiaTheme="minorHAnsi"/>
          <w:bCs/>
          <w:lang w:eastAsia="en-US"/>
        </w:rPr>
        <w:t>i reklamowych dotyczących</w:t>
      </w:r>
      <w:r w:rsidRPr="00E828A4">
        <w:rPr>
          <w:rFonts w:eastAsiaTheme="minorHAnsi"/>
          <w:bCs/>
          <w:lang w:eastAsia="en-US"/>
        </w:rPr>
        <w:t xml:space="preserve"> funduszu inwestycyjnego</w:t>
      </w:r>
      <w:r>
        <w:rPr>
          <w:rFonts w:eastAsiaTheme="minorHAnsi"/>
          <w:bCs/>
          <w:lang w:eastAsia="en-US"/>
        </w:rPr>
        <w:t>, w art. 229 ust. 7 wyrazy „w tym reklamowych” zostają zastąpione wyrazami „</w:t>
      </w:r>
      <w:r w:rsidRPr="00F36267">
        <w:rPr>
          <w:rFonts w:eastAsiaTheme="minorHAnsi"/>
          <w:bCs/>
          <w:lang w:eastAsia="en-US"/>
        </w:rPr>
        <w:t xml:space="preserve">oraz </w:t>
      </w:r>
      <w:r>
        <w:rPr>
          <w:rFonts w:eastAsiaTheme="minorHAnsi"/>
          <w:bCs/>
          <w:lang w:eastAsia="en-US"/>
        </w:rPr>
        <w:t>informacje</w:t>
      </w:r>
      <w:r w:rsidRPr="00F36267">
        <w:rPr>
          <w:rFonts w:eastAsiaTheme="minorHAnsi"/>
          <w:bCs/>
          <w:lang w:eastAsia="en-US"/>
        </w:rPr>
        <w:t xml:space="preserve"> </w:t>
      </w:r>
      <w:r>
        <w:rPr>
          <w:rFonts w:eastAsiaTheme="minorHAnsi"/>
          <w:bCs/>
          <w:lang w:eastAsia="en-US"/>
        </w:rPr>
        <w:t>reklamowe”. Ponadto dokonuje się przeredagowania przepisu celem uczynienia go bardziej klarownym.</w:t>
      </w:r>
    </w:p>
    <w:p w14:paraId="0E4F6FA3" w14:textId="77777777" w:rsidR="00FC78AA" w:rsidRPr="00EA7120" w:rsidRDefault="00FC78AA" w:rsidP="00FC78AA">
      <w:pPr>
        <w:spacing w:line="360" w:lineRule="auto"/>
        <w:jc w:val="both"/>
        <w:rPr>
          <w:rFonts w:eastAsiaTheme="minorHAnsi"/>
          <w:bCs/>
          <w:u w:val="single"/>
          <w:lang w:eastAsia="en-US"/>
        </w:rPr>
      </w:pPr>
      <w:r w:rsidRPr="00825DA5">
        <w:rPr>
          <w:rFonts w:eastAsiaTheme="minorHAnsi"/>
          <w:bCs/>
          <w:lang w:eastAsia="en-US"/>
        </w:rPr>
        <w:lastRenderedPageBreak/>
        <w:t>Przepisy</w:t>
      </w:r>
      <w:r w:rsidRPr="00EA7120">
        <w:rPr>
          <w:rFonts w:eastAsiaTheme="minorHAnsi"/>
          <w:b/>
          <w:bCs/>
          <w:lang w:eastAsia="en-US"/>
        </w:rPr>
        <w:t xml:space="preserve"> art. 1 pkt </w:t>
      </w:r>
      <w:r>
        <w:rPr>
          <w:rFonts w:eastAsiaTheme="minorHAnsi"/>
          <w:b/>
          <w:bCs/>
          <w:lang w:eastAsia="en-US"/>
        </w:rPr>
        <w:t>3</w:t>
      </w:r>
      <w:r w:rsidRPr="00EA7120">
        <w:rPr>
          <w:rFonts w:eastAsiaTheme="minorHAnsi"/>
          <w:b/>
          <w:bCs/>
          <w:lang w:eastAsia="en-US"/>
        </w:rPr>
        <w:t xml:space="preserve"> lit a i c projektu</w:t>
      </w:r>
      <w:r w:rsidRPr="00EA7120">
        <w:rPr>
          <w:rFonts w:eastAsiaTheme="minorHAnsi"/>
          <w:bCs/>
          <w:lang w:eastAsia="en-US"/>
        </w:rPr>
        <w:t xml:space="preserve"> dokonują implementacji art. 93 ust. 1 akapit 3 </w:t>
      </w:r>
      <w:r w:rsidRPr="001773F8">
        <w:rPr>
          <w:rFonts w:eastAsiaTheme="minorHAnsi"/>
          <w:bCs/>
          <w:lang w:eastAsia="en-US"/>
        </w:rPr>
        <w:t xml:space="preserve">dyrektywy </w:t>
      </w:r>
      <w:r w:rsidRPr="00EA7120">
        <w:rPr>
          <w:rFonts w:eastAsiaTheme="minorHAnsi"/>
          <w:bCs/>
          <w:lang w:eastAsia="en-US"/>
        </w:rPr>
        <w:t xml:space="preserve">UCITS w brzmieniu nadanym przez art 1 pkt 5 lit. a dyrektywy 2019/1160. Chodzi tutaj </w:t>
      </w:r>
      <w:r>
        <w:rPr>
          <w:rFonts w:eastAsiaTheme="minorHAnsi"/>
          <w:bCs/>
          <w:lang w:eastAsia="en-US"/>
        </w:rPr>
        <w:br/>
      </w:r>
      <w:r w:rsidRPr="00EA7120">
        <w:rPr>
          <w:rFonts w:eastAsiaTheme="minorHAnsi"/>
          <w:bCs/>
          <w:lang w:eastAsia="en-US"/>
        </w:rPr>
        <w:t xml:space="preserve">o uzupełnienie wykazu danych, jakie musi spełniać zawiadomienie o zamiarze zbywania tytułów uczestnictwa funduszu zagranicznego na terytorium Rzeczypospolitej Polskiej, które </w:t>
      </w:r>
      <w:r w:rsidRPr="00825DA5">
        <w:rPr>
          <w:rFonts w:eastAsiaTheme="minorHAnsi"/>
          <w:bCs/>
          <w:lang w:eastAsia="en-US"/>
        </w:rPr>
        <w:t xml:space="preserve">Komisja Nadzoru Finansowego </w:t>
      </w:r>
      <w:r w:rsidRPr="00EA7120">
        <w:rPr>
          <w:rFonts w:eastAsiaTheme="minorHAnsi"/>
          <w:bCs/>
          <w:lang w:eastAsia="en-US"/>
        </w:rPr>
        <w:t xml:space="preserve">otrzymuje od właściwego organu państwa macierzystego funduszu zagranicznego. Zgodnie z nowo dodanym </w:t>
      </w:r>
      <w:r>
        <w:rPr>
          <w:rFonts w:eastAsiaTheme="minorHAnsi"/>
          <w:bCs/>
          <w:lang w:eastAsia="en-US"/>
        </w:rPr>
        <w:t>art.</w:t>
      </w:r>
      <w:r w:rsidRPr="00EA7120">
        <w:rPr>
          <w:rFonts w:eastAsiaTheme="minorHAnsi"/>
          <w:bCs/>
          <w:lang w:eastAsia="en-US"/>
        </w:rPr>
        <w:t xml:space="preserve"> 93 ust. 1 </w:t>
      </w:r>
      <w:r>
        <w:rPr>
          <w:rFonts w:eastAsiaTheme="minorHAnsi"/>
          <w:bCs/>
          <w:lang w:eastAsia="en-US"/>
        </w:rPr>
        <w:t xml:space="preserve">akapit 3 </w:t>
      </w:r>
      <w:r w:rsidRPr="001773F8">
        <w:rPr>
          <w:rFonts w:eastAsiaTheme="minorHAnsi"/>
          <w:bCs/>
          <w:lang w:eastAsia="en-US"/>
        </w:rPr>
        <w:t xml:space="preserve">dyrektywy </w:t>
      </w:r>
      <w:r w:rsidRPr="00EA7120">
        <w:rPr>
          <w:rFonts w:eastAsiaTheme="minorHAnsi"/>
          <w:bCs/>
          <w:lang w:eastAsia="en-US"/>
        </w:rPr>
        <w:t xml:space="preserve">UCITS zawiadomienie takie musi zawierać szczegółowe informacje niezbędne do wystawienia faktury lub przekazania przez właściwe organy przyjmującego państwa członkowskiego należnych opłat urzędowych lub prowizji oraz informacje na temat rozwiązań technicznych i organizacyjnych, do których ustanowienia fundusz jest zobowiązany na mocy art. 92 ust. 1 </w:t>
      </w:r>
      <w:r w:rsidRPr="001773F8">
        <w:rPr>
          <w:rFonts w:eastAsiaTheme="minorHAnsi"/>
          <w:bCs/>
          <w:lang w:eastAsia="en-US"/>
        </w:rPr>
        <w:t xml:space="preserve">dyrektywy </w:t>
      </w:r>
      <w:r w:rsidRPr="00EA7120">
        <w:rPr>
          <w:rFonts w:eastAsiaTheme="minorHAnsi"/>
          <w:bCs/>
          <w:lang w:eastAsia="en-US"/>
        </w:rPr>
        <w:t>UCITS.</w:t>
      </w:r>
    </w:p>
    <w:p w14:paraId="187A79C3" w14:textId="77777777" w:rsidR="00FC78AA" w:rsidRPr="0001083C" w:rsidRDefault="00FC78AA" w:rsidP="00FC78AA">
      <w:pPr>
        <w:spacing w:line="360" w:lineRule="auto"/>
        <w:jc w:val="both"/>
        <w:rPr>
          <w:rFonts w:eastAsiaTheme="minorHAnsi"/>
          <w:bCs/>
          <w:lang w:eastAsia="en-US"/>
        </w:rPr>
      </w:pPr>
      <w:r>
        <w:rPr>
          <w:rFonts w:eastAsiaTheme="minorHAnsi"/>
          <w:bCs/>
          <w:lang w:eastAsia="en-US"/>
        </w:rPr>
        <w:t xml:space="preserve">Przepis </w:t>
      </w:r>
      <w:r w:rsidRPr="00825DA5">
        <w:rPr>
          <w:rFonts w:eastAsiaTheme="minorHAnsi"/>
          <w:b/>
          <w:bCs/>
          <w:lang w:eastAsia="en-US"/>
        </w:rPr>
        <w:t xml:space="preserve">art. 1 pkt </w:t>
      </w:r>
      <w:r>
        <w:rPr>
          <w:rFonts w:eastAsiaTheme="minorHAnsi"/>
          <w:b/>
          <w:bCs/>
          <w:lang w:eastAsia="en-US"/>
        </w:rPr>
        <w:t>3</w:t>
      </w:r>
      <w:r w:rsidRPr="00825DA5">
        <w:rPr>
          <w:rFonts w:eastAsiaTheme="minorHAnsi"/>
          <w:b/>
          <w:bCs/>
          <w:lang w:eastAsia="en-US"/>
        </w:rPr>
        <w:t xml:space="preserve"> lit. a projektu</w:t>
      </w:r>
      <w:r>
        <w:rPr>
          <w:rFonts w:eastAsiaTheme="minorHAnsi"/>
          <w:bCs/>
          <w:lang w:eastAsia="en-US"/>
        </w:rPr>
        <w:t xml:space="preserve"> dodaje nowy art. 253 ust. 3 pkt 1a ustawy o funduszach. Ma on na celu implementację art. 93 ust. 1 akapit 3 </w:t>
      </w:r>
      <w:r>
        <w:rPr>
          <w:rFonts w:eastAsiaTheme="minorHAnsi"/>
          <w:bCs/>
          <w:i/>
          <w:lang w:eastAsia="en-US"/>
        </w:rPr>
        <w:t xml:space="preserve">in fine </w:t>
      </w:r>
      <w:r w:rsidRPr="0001083C">
        <w:rPr>
          <w:rFonts w:eastAsiaTheme="minorHAnsi"/>
          <w:bCs/>
          <w:lang w:eastAsia="en-US"/>
        </w:rPr>
        <w:t xml:space="preserve">dyrektywy </w:t>
      </w:r>
      <w:r>
        <w:rPr>
          <w:rFonts w:eastAsiaTheme="minorHAnsi"/>
          <w:bCs/>
          <w:lang w:eastAsia="en-US"/>
        </w:rPr>
        <w:t>UCITS, zgodnie z którym powiadomienie o zamiarze wprowadze</w:t>
      </w:r>
      <w:r w:rsidRPr="004C1AA0">
        <w:rPr>
          <w:rFonts w:eastAsiaTheme="minorHAnsi"/>
          <w:bCs/>
          <w:lang w:eastAsia="en-US"/>
        </w:rPr>
        <w:t>n</w:t>
      </w:r>
      <w:r>
        <w:rPr>
          <w:rFonts w:eastAsiaTheme="minorHAnsi"/>
          <w:bCs/>
          <w:lang w:eastAsia="en-US"/>
        </w:rPr>
        <w:t>ia przez UCITS</w:t>
      </w:r>
      <w:r w:rsidRPr="004C1AA0">
        <w:rPr>
          <w:rFonts w:eastAsiaTheme="minorHAnsi"/>
          <w:bCs/>
          <w:lang w:eastAsia="en-US"/>
        </w:rPr>
        <w:t xml:space="preserve"> do obrotu swoich jednostek uczestnictwa w państwie członkowskim innym niż jego macierzyste państwo członkowskie</w:t>
      </w:r>
      <w:r>
        <w:rPr>
          <w:rFonts w:eastAsiaTheme="minorHAnsi"/>
          <w:bCs/>
          <w:lang w:eastAsia="en-US"/>
        </w:rPr>
        <w:t xml:space="preserve"> powinno zawierać „</w:t>
      </w:r>
      <w:r w:rsidRPr="004C1AA0">
        <w:rPr>
          <w:rFonts w:eastAsiaTheme="minorHAnsi"/>
          <w:bCs/>
          <w:lang w:eastAsia="en-US"/>
        </w:rPr>
        <w:t>informacje na temat rozwiązań dotyczących wykonywania zadań, o których mowa w art. 92 ust. 1</w:t>
      </w:r>
      <w:r>
        <w:rPr>
          <w:rFonts w:eastAsiaTheme="minorHAnsi"/>
          <w:bCs/>
          <w:lang w:eastAsia="en-US"/>
        </w:rPr>
        <w:t xml:space="preserve"> [</w:t>
      </w:r>
      <w:r w:rsidRPr="001773F8">
        <w:rPr>
          <w:rFonts w:eastAsiaTheme="minorHAnsi"/>
          <w:bCs/>
          <w:lang w:eastAsia="en-US"/>
        </w:rPr>
        <w:t xml:space="preserve">dyrektywy </w:t>
      </w:r>
      <w:r w:rsidRPr="00051DAD">
        <w:rPr>
          <w:rFonts w:eastAsiaTheme="minorHAnsi"/>
          <w:bCs/>
          <w:lang w:eastAsia="en-US"/>
        </w:rPr>
        <w:t>UCITS]”. Implementacji</w:t>
      </w:r>
      <w:r w:rsidRPr="002778A6">
        <w:rPr>
          <w:rFonts w:eastAsiaTheme="minorHAnsi"/>
          <w:bCs/>
          <w:lang w:eastAsia="en-US"/>
        </w:rPr>
        <w:t xml:space="preserve"> pozostałej części art. 93 ust. 1 akapit 3 </w:t>
      </w:r>
      <w:r w:rsidRPr="0001083C">
        <w:rPr>
          <w:rFonts w:eastAsiaTheme="minorHAnsi"/>
          <w:bCs/>
          <w:lang w:eastAsia="en-US"/>
        </w:rPr>
        <w:t xml:space="preserve">dyrektywy UCITS służy przepis </w:t>
      </w:r>
      <w:r>
        <w:rPr>
          <w:rFonts w:eastAsiaTheme="minorHAnsi"/>
          <w:bCs/>
          <w:lang w:eastAsia="en-US"/>
        </w:rPr>
        <w:br/>
      </w:r>
      <w:r w:rsidRPr="0001083C">
        <w:rPr>
          <w:rFonts w:eastAsiaTheme="minorHAnsi"/>
          <w:bCs/>
          <w:lang w:eastAsia="en-US"/>
        </w:rPr>
        <w:t xml:space="preserve">art. 253 ust. 3 pkt 5 ustawy o funduszach, dodawany przy pomocy </w:t>
      </w:r>
      <w:r w:rsidRPr="0001083C">
        <w:rPr>
          <w:rFonts w:eastAsiaTheme="minorHAnsi"/>
          <w:b/>
          <w:bCs/>
          <w:lang w:eastAsia="en-US"/>
        </w:rPr>
        <w:t>art. 1 pkt 3 lit. c projektu</w:t>
      </w:r>
      <w:r w:rsidRPr="0001083C">
        <w:rPr>
          <w:rFonts w:eastAsiaTheme="minorHAnsi"/>
          <w:bCs/>
          <w:lang w:eastAsia="en-US"/>
        </w:rPr>
        <w:t>.</w:t>
      </w:r>
    </w:p>
    <w:p w14:paraId="2D9DF480" w14:textId="77777777" w:rsidR="00FC78AA" w:rsidRPr="00DA4DD7" w:rsidRDefault="00FC78AA" w:rsidP="00FC78AA">
      <w:pPr>
        <w:spacing w:line="360" w:lineRule="auto"/>
        <w:jc w:val="both"/>
        <w:rPr>
          <w:rFonts w:eastAsiaTheme="minorHAnsi"/>
          <w:bCs/>
          <w:lang w:eastAsia="en-US"/>
        </w:rPr>
      </w:pPr>
      <w:r w:rsidRPr="0001083C">
        <w:rPr>
          <w:rFonts w:eastAsiaTheme="minorHAnsi"/>
          <w:bCs/>
          <w:lang w:eastAsia="en-US"/>
        </w:rPr>
        <w:t xml:space="preserve">Przepis </w:t>
      </w:r>
      <w:r w:rsidRPr="0001083C">
        <w:rPr>
          <w:rFonts w:eastAsiaTheme="minorHAnsi"/>
          <w:b/>
          <w:bCs/>
          <w:lang w:eastAsia="en-US"/>
        </w:rPr>
        <w:t>art. 1 pkt 3 lit. b</w:t>
      </w:r>
      <w:r w:rsidRPr="0001083C">
        <w:rPr>
          <w:rFonts w:eastAsiaTheme="minorHAnsi"/>
          <w:bCs/>
          <w:lang w:eastAsia="en-US"/>
        </w:rPr>
        <w:t xml:space="preserve"> </w:t>
      </w:r>
      <w:r w:rsidRPr="0001083C">
        <w:rPr>
          <w:rFonts w:eastAsiaTheme="minorHAnsi"/>
          <w:b/>
          <w:bCs/>
          <w:lang w:eastAsia="en-US"/>
        </w:rPr>
        <w:t>projektu</w:t>
      </w:r>
      <w:r w:rsidRPr="0001083C">
        <w:rPr>
          <w:rFonts w:eastAsiaTheme="minorHAnsi"/>
          <w:bCs/>
          <w:lang w:eastAsia="en-US"/>
        </w:rPr>
        <w:t xml:space="preserve"> wprowadza w art. 253 ust. 3 pkt 2 i 3 ustawy o</w:t>
      </w:r>
      <w:r>
        <w:rPr>
          <w:rFonts w:eastAsiaTheme="minorHAnsi"/>
          <w:bCs/>
          <w:lang w:eastAsia="en-US"/>
        </w:rPr>
        <w:t xml:space="preserve"> funduszach</w:t>
      </w:r>
      <w:r w:rsidRPr="00DA4DD7">
        <w:rPr>
          <w:rFonts w:eastAsiaTheme="minorHAnsi"/>
          <w:bCs/>
          <w:lang w:eastAsia="en-US"/>
        </w:rPr>
        <w:t xml:space="preserve"> zmiany wynikowe związane z implementacją znowelizowanego art. 92 ust. 2 </w:t>
      </w:r>
      <w:r w:rsidRPr="00E36C1A">
        <w:rPr>
          <w:rFonts w:eastAsiaTheme="minorHAnsi"/>
          <w:bCs/>
          <w:lang w:eastAsia="en-US"/>
        </w:rPr>
        <w:t xml:space="preserve">dyrektywy </w:t>
      </w:r>
      <w:r w:rsidRPr="00DA4DD7">
        <w:rPr>
          <w:rFonts w:eastAsiaTheme="minorHAnsi"/>
          <w:bCs/>
          <w:lang w:eastAsia="en-US"/>
        </w:rPr>
        <w:t>UCITS</w:t>
      </w:r>
      <w:r>
        <w:rPr>
          <w:rFonts w:eastAsiaTheme="minorHAnsi"/>
          <w:bCs/>
          <w:lang w:eastAsia="en-US"/>
        </w:rPr>
        <w:t>. Przepis ten</w:t>
      </w:r>
      <w:r w:rsidRPr="00DA4DD7">
        <w:rPr>
          <w:rFonts w:eastAsiaTheme="minorHAnsi"/>
          <w:bCs/>
          <w:lang w:eastAsia="en-US"/>
        </w:rPr>
        <w:t xml:space="preserve"> wskazuje, </w:t>
      </w:r>
      <w:r>
        <w:rPr>
          <w:rFonts w:eastAsiaTheme="minorHAnsi"/>
          <w:bCs/>
          <w:lang w:eastAsia="en-US"/>
        </w:rPr>
        <w:t>iż</w:t>
      </w:r>
      <w:r w:rsidRPr="00DA4DD7">
        <w:rPr>
          <w:rFonts w:eastAsiaTheme="minorHAnsi"/>
          <w:bCs/>
          <w:lang w:eastAsia="en-US"/>
        </w:rPr>
        <w:t xml:space="preserve"> państwa członkowskie nie wymagają od funduszu zagranicznego fizycznej obecności na ich terytorium ani wyznaczenia podmiotu trzeciego w celu wypełnienia obowiązków, o których mowa w art. 92 ust. 1 </w:t>
      </w:r>
      <w:r w:rsidRPr="00E36C1A">
        <w:rPr>
          <w:rFonts w:eastAsiaTheme="minorHAnsi"/>
          <w:bCs/>
          <w:lang w:eastAsia="en-US"/>
        </w:rPr>
        <w:t xml:space="preserve">dyrektywy </w:t>
      </w:r>
      <w:r w:rsidRPr="00DA4DD7">
        <w:rPr>
          <w:rFonts w:eastAsiaTheme="minorHAnsi"/>
          <w:bCs/>
          <w:lang w:eastAsia="en-US"/>
        </w:rPr>
        <w:t xml:space="preserve">UCITS. </w:t>
      </w:r>
      <w:r>
        <w:rPr>
          <w:rFonts w:eastAsiaTheme="minorHAnsi"/>
          <w:bCs/>
          <w:lang w:eastAsia="en-US"/>
        </w:rPr>
        <w:t>W konsekwencji projektowana ustawa</w:t>
      </w:r>
      <w:r w:rsidRPr="00DA4DD7">
        <w:rPr>
          <w:rFonts w:eastAsiaTheme="minorHAnsi"/>
          <w:bCs/>
          <w:lang w:eastAsia="en-US"/>
        </w:rPr>
        <w:t xml:space="preserve"> </w:t>
      </w:r>
      <w:r>
        <w:rPr>
          <w:rFonts w:eastAsiaTheme="minorHAnsi"/>
          <w:bCs/>
          <w:lang w:eastAsia="en-US"/>
        </w:rPr>
        <w:t>znosi</w:t>
      </w:r>
      <w:r w:rsidRPr="00DA4DD7">
        <w:rPr>
          <w:rFonts w:eastAsiaTheme="minorHAnsi"/>
          <w:bCs/>
          <w:lang w:eastAsia="en-US"/>
        </w:rPr>
        <w:t xml:space="preserve"> obowiązkowość ustanowienia przedstawiciela funduszu zagranicznego oraz agenta </w:t>
      </w:r>
      <w:r>
        <w:rPr>
          <w:rFonts w:eastAsiaTheme="minorHAnsi"/>
          <w:bCs/>
          <w:lang w:eastAsia="en-US"/>
        </w:rPr>
        <w:t xml:space="preserve">płatności, jednocześnie w zgodzie z nowym brzmieniem art. 92 ust. 3 akapit 1 lit. b </w:t>
      </w:r>
      <w:r w:rsidRPr="00E36C1A">
        <w:rPr>
          <w:rFonts w:eastAsiaTheme="minorHAnsi"/>
          <w:bCs/>
          <w:lang w:eastAsia="en-US"/>
        </w:rPr>
        <w:t xml:space="preserve">dyrektywy </w:t>
      </w:r>
      <w:r>
        <w:rPr>
          <w:rFonts w:eastAsiaTheme="minorHAnsi"/>
          <w:bCs/>
          <w:lang w:eastAsia="en-US"/>
        </w:rPr>
        <w:t>UCITS pozostawiając taką możliwość, co wymaga uwzględnienia w art. 253 ust. 3 pkt 2 i 3 ustawy o funduszach.</w:t>
      </w:r>
    </w:p>
    <w:p w14:paraId="1FB990FE" w14:textId="77777777" w:rsidR="00FC78AA" w:rsidRDefault="00FC78AA" w:rsidP="00FC78AA">
      <w:pPr>
        <w:spacing w:line="360" w:lineRule="auto"/>
        <w:jc w:val="both"/>
        <w:rPr>
          <w:rFonts w:eastAsiaTheme="minorHAnsi"/>
          <w:bCs/>
          <w:lang w:eastAsia="en-US"/>
        </w:rPr>
      </w:pPr>
      <w:r>
        <w:rPr>
          <w:rFonts w:eastAsiaTheme="minorHAnsi"/>
          <w:bCs/>
          <w:lang w:eastAsia="en-US"/>
        </w:rPr>
        <w:t xml:space="preserve">Z podobną sytuacją mamy do czynienia w przypadku </w:t>
      </w:r>
      <w:r w:rsidRPr="00825DA5">
        <w:rPr>
          <w:rFonts w:eastAsiaTheme="minorHAnsi"/>
          <w:b/>
          <w:bCs/>
          <w:lang w:eastAsia="en-US"/>
        </w:rPr>
        <w:t xml:space="preserve">art. 1 pkt </w:t>
      </w:r>
      <w:r>
        <w:rPr>
          <w:rFonts w:eastAsiaTheme="minorHAnsi"/>
          <w:b/>
          <w:bCs/>
          <w:lang w:eastAsia="en-US"/>
        </w:rPr>
        <w:t>4</w:t>
      </w:r>
      <w:r w:rsidRPr="00825DA5">
        <w:rPr>
          <w:rFonts w:eastAsiaTheme="minorHAnsi"/>
          <w:b/>
          <w:bCs/>
          <w:lang w:eastAsia="en-US"/>
        </w:rPr>
        <w:t xml:space="preserve"> lit. a projektu</w:t>
      </w:r>
      <w:r>
        <w:rPr>
          <w:rFonts w:eastAsiaTheme="minorHAnsi"/>
          <w:bCs/>
          <w:lang w:eastAsia="en-US"/>
        </w:rPr>
        <w:t xml:space="preserve">, który dokonuje nowelizacji art. 254 ust. 1a ustawy o funduszach. W tym wypadku również chodzi o zmianę mającą na celu uwzględnienie zniesienia obowiązkowości ustanawiania przez fundusz zagraniczny </w:t>
      </w:r>
      <w:r w:rsidRPr="00267516">
        <w:rPr>
          <w:rFonts w:eastAsiaTheme="minorHAnsi"/>
          <w:bCs/>
          <w:lang w:eastAsia="en-US"/>
        </w:rPr>
        <w:t xml:space="preserve">przedstawiciela </w:t>
      </w:r>
      <w:r>
        <w:rPr>
          <w:rFonts w:eastAsiaTheme="minorHAnsi"/>
          <w:bCs/>
          <w:lang w:eastAsia="en-US"/>
        </w:rPr>
        <w:t>lub</w:t>
      </w:r>
      <w:r w:rsidRPr="00267516">
        <w:rPr>
          <w:rFonts w:eastAsiaTheme="minorHAnsi"/>
          <w:bCs/>
          <w:lang w:eastAsia="en-US"/>
        </w:rPr>
        <w:t xml:space="preserve"> agenta płatności</w:t>
      </w:r>
      <w:r>
        <w:rPr>
          <w:rFonts w:eastAsiaTheme="minorHAnsi"/>
          <w:bCs/>
          <w:lang w:eastAsia="en-US"/>
        </w:rPr>
        <w:t>. Ponadto – w celu zwiększenia czytelności – dokonuje się przeredagowania polegającego na podzieleniu przepisu na punkty.</w:t>
      </w:r>
    </w:p>
    <w:p w14:paraId="2CFC267C" w14:textId="77777777" w:rsidR="00FC78AA" w:rsidRDefault="00FC78AA" w:rsidP="00FC78AA">
      <w:pPr>
        <w:spacing w:line="360" w:lineRule="auto"/>
        <w:jc w:val="both"/>
        <w:rPr>
          <w:rFonts w:eastAsiaTheme="minorHAnsi"/>
          <w:bCs/>
          <w:lang w:eastAsia="en-US"/>
        </w:rPr>
      </w:pPr>
      <w:r>
        <w:rPr>
          <w:rFonts w:eastAsiaTheme="minorHAnsi"/>
          <w:bCs/>
          <w:lang w:eastAsia="en-US"/>
        </w:rPr>
        <w:lastRenderedPageBreak/>
        <w:t xml:space="preserve">Przepis </w:t>
      </w:r>
      <w:r w:rsidRPr="00825DA5">
        <w:rPr>
          <w:rFonts w:eastAsiaTheme="minorHAnsi"/>
          <w:b/>
          <w:bCs/>
          <w:lang w:eastAsia="en-US"/>
        </w:rPr>
        <w:t xml:space="preserve">art. 1 pkt </w:t>
      </w:r>
      <w:r>
        <w:rPr>
          <w:rFonts w:eastAsiaTheme="minorHAnsi"/>
          <w:b/>
          <w:bCs/>
          <w:lang w:eastAsia="en-US"/>
        </w:rPr>
        <w:t>4</w:t>
      </w:r>
      <w:r w:rsidRPr="00825DA5">
        <w:rPr>
          <w:rFonts w:eastAsiaTheme="minorHAnsi"/>
          <w:b/>
          <w:bCs/>
          <w:lang w:eastAsia="en-US"/>
        </w:rPr>
        <w:t xml:space="preserve"> lit. b projektu</w:t>
      </w:r>
      <w:r>
        <w:rPr>
          <w:rFonts w:eastAsiaTheme="minorHAnsi"/>
          <w:bCs/>
          <w:lang w:eastAsia="en-US"/>
        </w:rPr>
        <w:t xml:space="preserve"> to z kolei następna nowelizacja, będąca skutkiem uchylenia </w:t>
      </w:r>
      <w:r>
        <w:rPr>
          <w:rFonts w:eastAsiaTheme="minorHAnsi"/>
          <w:bCs/>
          <w:lang w:eastAsia="en-US"/>
        </w:rPr>
        <w:br/>
        <w:t xml:space="preserve">art. 77 </w:t>
      </w:r>
      <w:r w:rsidRPr="00E36C1A">
        <w:rPr>
          <w:rFonts w:eastAsiaTheme="minorHAnsi"/>
          <w:bCs/>
          <w:lang w:eastAsia="en-US"/>
        </w:rPr>
        <w:t xml:space="preserve">dyrektywy </w:t>
      </w:r>
      <w:r>
        <w:rPr>
          <w:rFonts w:eastAsiaTheme="minorHAnsi"/>
          <w:bCs/>
          <w:lang w:eastAsia="en-US"/>
        </w:rPr>
        <w:t xml:space="preserve">UCITS przez dyrektywę </w:t>
      </w:r>
      <w:r w:rsidRPr="00267516">
        <w:rPr>
          <w:rFonts w:eastAsiaTheme="minorHAnsi"/>
          <w:bCs/>
          <w:lang w:eastAsia="en-US"/>
        </w:rPr>
        <w:t>2019/1160</w:t>
      </w:r>
      <w:r>
        <w:rPr>
          <w:rFonts w:eastAsiaTheme="minorHAnsi"/>
          <w:bCs/>
          <w:lang w:eastAsia="en-US"/>
        </w:rPr>
        <w:t>. Wskutek wspomnianej zmiany koniecznym stało się usunięcie wzmianki o informacjach reklamowych z art. 254 ust. 3 ustawy o funduszach.</w:t>
      </w:r>
    </w:p>
    <w:p w14:paraId="605D1E17" w14:textId="77777777" w:rsidR="00FC78AA" w:rsidRDefault="00FC78AA" w:rsidP="00FC78AA">
      <w:pPr>
        <w:spacing w:line="360" w:lineRule="auto"/>
        <w:jc w:val="both"/>
        <w:rPr>
          <w:rFonts w:eastAsiaTheme="minorHAnsi"/>
          <w:bCs/>
          <w:lang w:eastAsia="en-US"/>
        </w:rPr>
      </w:pPr>
      <w:r w:rsidRPr="005F3906">
        <w:rPr>
          <w:rFonts w:eastAsiaTheme="minorHAnsi"/>
          <w:b/>
          <w:bCs/>
          <w:lang w:eastAsia="en-US"/>
        </w:rPr>
        <w:t xml:space="preserve">Art. 1 pkt </w:t>
      </w:r>
      <w:r>
        <w:rPr>
          <w:rFonts w:eastAsiaTheme="minorHAnsi"/>
          <w:b/>
          <w:bCs/>
          <w:lang w:eastAsia="en-US"/>
        </w:rPr>
        <w:t>5</w:t>
      </w:r>
      <w:r w:rsidRPr="005F3906">
        <w:rPr>
          <w:rFonts w:eastAsiaTheme="minorHAnsi"/>
          <w:b/>
          <w:bCs/>
          <w:lang w:eastAsia="en-US"/>
        </w:rPr>
        <w:t xml:space="preserve"> projektu</w:t>
      </w:r>
      <w:r w:rsidRPr="005F3906">
        <w:rPr>
          <w:rFonts w:eastAsiaTheme="minorHAnsi"/>
          <w:bCs/>
          <w:lang w:eastAsia="en-US"/>
        </w:rPr>
        <w:t xml:space="preserve"> ma na celu wdrożenie art. 92</w:t>
      </w:r>
      <w:r>
        <w:rPr>
          <w:rFonts w:eastAsiaTheme="minorHAnsi"/>
          <w:bCs/>
          <w:lang w:eastAsia="en-US"/>
        </w:rPr>
        <w:t xml:space="preserve"> </w:t>
      </w:r>
      <w:r w:rsidRPr="00E36C1A">
        <w:rPr>
          <w:rFonts w:eastAsiaTheme="minorHAnsi"/>
          <w:bCs/>
          <w:lang w:eastAsia="en-US"/>
        </w:rPr>
        <w:t xml:space="preserve">dyrektywy </w:t>
      </w:r>
      <w:r w:rsidRPr="005F3906">
        <w:rPr>
          <w:rFonts w:eastAsiaTheme="minorHAnsi"/>
          <w:bCs/>
          <w:lang w:eastAsia="en-US"/>
        </w:rPr>
        <w:t xml:space="preserve">UCITS w nowym brzmieniu. Zgodnie z art. 97 ust. 3 </w:t>
      </w:r>
      <w:r w:rsidRPr="005F3906">
        <w:rPr>
          <w:rFonts w:eastAsiaTheme="minorHAnsi"/>
          <w:bCs/>
          <w:i/>
          <w:lang w:eastAsia="en-US"/>
        </w:rPr>
        <w:t>in fine</w:t>
      </w:r>
      <w:r w:rsidRPr="005F3906">
        <w:rPr>
          <w:rFonts w:eastAsiaTheme="minorHAnsi"/>
          <w:bCs/>
          <w:lang w:eastAsia="en-US"/>
        </w:rPr>
        <w:t xml:space="preserve"> dyrektywy UCITS właściwe do nadzorowania</w:t>
      </w:r>
      <w:r w:rsidRPr="005F3906">
        <w:t xml:space="preserve"> </w:t>
      </w:r>
      <w:r w:rsidRPr="005F3906">
        <w:rPr>
          <w:rFonts w:eastAsiaTheme="minorHAnsi"/>
          <w:bCs/>
          <w:lang w:eastAsia="en-US"/>
        </w:rPr>
        <w:t xml:space="preserve">zgodności z wymogami określonym w art. 92 </w:t>
      </w:r>
      <w:r w:rsidRPr="00E36C1A">
        <w:rPr>
          <w:rFonts w:eastAsiaTheme="minorHAnsi"/>
          <w:bCs/>
          <w:lang w:eastAsia="en-US"/>
        </w:rPr>
        <w:t xml:space="preserve">dyrektywy </w:t>
      </w:r>
      <w:r w:rsidRPr="005F3906">
        <w:rPr>
          <w:rFonts w:eastAsiaTheme="minorHAnsi"/>
          <w:bCs/>
          <w:lang w:eastAsia="en-US"/>
        </w:rPr>
        <w:t xml:space="preserve">UCITS są organy państwa członkowskiego goszczącego UCITS. </w:t>
      </w:r>
      <w:r>
        <w:rPr>
          <w:rFonts w:eastAsiaTheme="minorHAnsi"/>
          <w:bCs/>
          <w:lang w:eastAsia="en-US"/>
        </w:rPr>
        <w:br/>
      </w:r>
      <w:r w:rsidRPr="00825DA5">
        <w:rPr>
          <w:rFonts w:eastAsiaTheme="minorHAnsi"/>
          <w:bCs/>
          <w:lang w:eastAsia="en-US"/>
        </w:rPr>
        <w:t xml:space="preserve">Z tego względu przepisy implementujące art. 92 </w:t>
      </w:r>
      <w:r w:rsidRPr="00E36C1A">
        <w:rPr>
          <w:rFonts w:eastAsiaTheme="minorHAnsi"/>
          <w:bCs/>
          <w:lang w:eastAsia="en-US"/>
        </w:rPr>
        <w:t xml:space="preserve">dyrektywy </w:t>
      </w:r>
      <w:r w:rsidRPr="00825DA5">
        <w:rPr>
          <w:rFonts w:eastAsiaTheme="minorHAnsi"/>
          <w:bCs/>
          <w:lang w:eastAsia="en-US"/>
        </w:rPr>
        <w:t>UCITS skierowane są do funduszy zagranicznych.</w:t>
      </w:r>
      <w:r w:rsidRPr="005F3906">
        <w:rPr>
          <w:rFonts w:eastAsiaTheme="minorHAnsi"/>
          <w:bCs/>
          <w:lang w:eastAsia="en-US"/>
        </w:rPr>
        <w:t xml:space="preserve"> </w:t>
      </w:r>
    </w:p>
    <w:p w14:paraId="6F583749" w14:textId="77777777" w:rsidR="00FC78AA" w:rsidRPr="00B50CEF" w:rsidRDefault="00FC78AA" w:rsidP="00FC78AA">
      <w:pPr>
        <w:spacing w:line="360" w:lineRule="auto"/>
        <w:jc w:val="both"/>
        <w:rPr>
          <w:rFonts w:eastAsiaTheme="minorHAnsi"/>
          <w:bCs/>
          <w:lang w:eastAsia="en-US"/>
        </w:rPr>
      </w:pPr>
      <w:r w:rsidRPr="00B50CEF">
        <w:rPr>
          <w:rFonts w:eastAsiaTheme="minorHAnsi"/>
          <w:bCs/>
          <w:lang w:eastAsia="en-US"/>
        </w:rPr>
        <w:t>Doda</w:t>
      </w:r>
      <w:r w:rsidRPr="00825DA5">
        <w:rPr>
          <w:rFonts w:eastAsiaTheme="minorHAnsi"/>
          <w:bCs/>
          <w:lang w:eastAsia="en-US"/>
        </w:rPr>
        <w:t>wa</w:t>
      </w:r>
      <w:r w:rsidRPr="00B50CEF">
        <w:rPr>
          <w:rFonts w:eastAsiaTheme="minorHAnsi"/>
          <w:bCs/>
          <w:lang w:eastAsia="en-US"/>
        </w:rPr>
        <w:t xml:space="preserve">ne w art. 256 ust. 1 pkt 1 </w:t>
      </w:r>
      <w:r w:rsidRPr="00B50CEF">
        <w:rPr>
          <w:rFonts w:eastAsiaTheme="minorHAnsi"/>
          <w:bCs/>
          <w:i/>
          <w:lang w:eastAsia="en-US"/>
        </w:rPr>
        <w:t>in fine</w:t>
      </w:r>
      <w:r w:rsidRPr="00B50CEF">
        <w:rPr>
          <w:rFonts w:eastAsiaTheme="minorHAnsi"/>
          <w:bCs/>
          <w:lang w:eastAsia="en-US"/>
        </w:rPr>
        <w:t xml:space="preserve"> </w:t>
      </w:r>
      <w:r>
        <w:rPr>
          <w:rFonts w:eastAsiaTheme="minorHAnsi"/>
          <w:bCs/>
          <w:lang w:eastAsia="en-US"/>
        </w:rPr>
        <w:t xml:space="preserve">ustawy o funduszach </w:t>
      </w:r>
      <w:r w:rsidRPr="00B50CEF">
        <w:rPr>
          <w:rFonts w:eastAsiaTheme="minorHAnsi"/>
          <w:bCs/>
          <w:lang w:eastAsia="en-US"/>
        </w:rPr>
        <w:t xml:space="preserve">wyrażenie ma na celu zapewnienie pełnej implementacji art. 92 ust. 1 lit a </w:t>
      </w:r>
      <w:r w:rsidRPr="00E36C1A">
        <w:rPr>
          <w:rFonts w:eastAsiaTheme="minorHAnsi"/>
          <w:bCs/>
          <w:lang w:eastAsia="en-US"/>
        </w:rPr>
        <w:t xml:space="preserve">dyrektywy </w:t>
      </w:r>
      <w:r w:rsidRPr="00B50CEF">
        <w:rPr>
          <w:rFonts w:eastAsiaTheme="minorHAnsi"/>
          <w:bCs/>
          <w:lang w:eastAsia="en-US"/>
        </w:rPr>
        <w:t xml:space="preserve">UCITS w nowym brzmieniu, </w:t>
      </w:r>
      <w:r>
        <w:rPr>
          <w:rFonts w:eastAsiaTheme="minorHAnsi"/>
          <w:bCs/>
          <w:lang w:eastAsia="en-US"/>
        </w:rPr>
        <w:t>zgodnie z którym</w:t>
      </w:r>
      <w:r w:rsidRPr="00B50CEF">
        <w:rPr>
          <w:rFonts w:eastAsiaTheme="minorHAnsi"/>
          <w:bCs/>
          <w:lang w:eastAsia="en-US"/>
        </w:rPr>
        <w:t xml:space="preserve"> poza przetwarzaniem zleceń związanych z nabywaniem i odkupywaniem tytułów uczestnictwa fundusz zagraniczny ma również obowiązek zapewnić dokonywanie innych płatności na rzecz posiadaczy jednostek uczestnictwa. Może to dotyczyć np. dochodów wypłacanych przez fundusz</w:t>
      </w:r>
      <w:r w:rsidRPr="00B50CEF">
        <w:t xml:space="preserve"> </w:t>
      </w:r>
      <w:r w:rsidRPr="00B50CEF">
        <w:rPr>
          <w:rFonts w:eastAsiaTheme="minorHAnsi"/>
          <w:bCs/>
          <w:lang w:eastAsia="en-US"/>
        </w:rPr>
        <w:t>zagraniczny jego uczestnikom.</w:t>
      </w:r>
      <w:r w:rsidRPr="00825DA5">
        <w:rPr>
          <w:rFonts w:eastAsiaTheme="minorHAnsi"/>
          <w:bCs/>
          <w:lang w:eastAsia="en-US"/>
        </w:rPr>
        <w:t xml:space="preserve"> Przepisy art.</w:t>
      </w:r>
      <w:r w:rsidRPr="00B50CEF">
        <w:rPr>
          <w:rFonts w:eastAsiaTheme="minorHAnsi"/>
          <w:bCs/>
          <w:lang w:eastAsia="en-US"/>
        </w:rPr>
        <w:t xml:space="preserve"> 256 ust. 1 pkt 2-6 ustawy o funduszach </w:t>
      </w:r>
      <w:r w:rsidRPr="00825DA5">
        <w:rPr>
          <w:rFonts w:eastAsiaTheme="minorHAnsi"/>
          <w:bCs/>
          <w:lang w:eastAsia="en-US"/>
        </w:rPr>
        <w:t>służą</w:t>
      </w:r>
      <w:r w:rsidRPr="00B50CEF">
        <w:rPr>
          <w:rFonts w:eastAsiaTheme="minorHAnsi"/>
          <w:bCs/>
          <w:lang w:eastAsia="en-US"/>
        </w:rPr>
        <w:t xml:space="preserve"> </w:t>
      </w:r>
      <w:r w:rsidRPr="00825DA5">
        <w:rPr>
          <w:rFonts w:eastAsiaTheme="minorHAnsi"/>
          <w:bCs/>
          <w:lang w:eastAsia="en-US"/>
        </w:rPr>
        <w:t>z kolei implementacji</w:t>
      </w:r>
      <w:r w:rsidRPr="00B50CEF">
        <w:rPr>
          <w:rFonts w:eastAsiaTheme="minorHAnsi"/>
          <w:bCs/>
          <w:lang w:eastAsia="en-US"/>
        </w:rPr>
        <w:t xml:space="preserve"> art. 92 ust. 1 lit. b-f </w:t>
      </w:r>
      <w:r w:rsidRPr="00E36C1A">
        <w:rPr>
          <w:rFonts w:eastAsiaTheme="minorHAnsi"/>
          <w:bCs/>
          <w:lang w:eastAsia="en-US"/>
        </w:rPr>
        <w:t xml:space="preserve">dyrektywy </w:t>
      </w:r>
      <w:r w:rsidRPr="00B50CEF">
        <w:rPr>
          <w:rFonts w:eastAsiaTheme="minorHAnsi"/>
          <w:bCs/>
          <w:lang w:eastAsia="en-US"/>
        </w:rPr>
        <w:t>UCITS.</w:t>
      </w:r>
    </w:p>
    <w:p w14:paraId="264DF10B" w14:textId="77777777" w:rsidR="00FC78AA" w:rsidRPr="00B50CEF" w:rsidRDefault="00FC78AA" w:rsidP="00FC78AA">
      <w:pPr>
        <w:spacing w:line="360" w:lineRule="auto"/>
        <w:jc w:val="both"/>
        <w:rPr>
          <w:rFonts w:eastAsiaTheme="minorHAnsi"/>
          <w:bCs/>
          <w:lang w:eastAsia="en-US"/>
        </w:rPr>
      </w:pPr>
      <w:r>
        <w:rPr>
          <w:rFonts w:eastAsiaTheme="minorHAnsi"/>
          <w:bCs/>
          <w:lang w:eastAsia="en-US"/>
        </w:rPr>
        <w:t>A</w:t>
      </w:r>
      <w:r w:rsidRPr="00B50CEF">
        <w:rPr>
          <w:rFonts w:eastAsiaTheme="minorHAnsi"/>
          <w:bCs/>
          <w:lang w:eastAsia="en-US"/>
        </w:rPr>
        <w:t xml:space="preserve">rt. 256 </w:t>
      </w:r>
      <w:r>
        <w:rPr>
          <w:rFonts w:eastAsiaTheme="minorHAnsi"/>
          <w:bCs/>
          <w:lang w:eastAsia="en-US"/>
        </w:rPr>
        <w:t xml:space="preserve">ust. 1a </w:t>
      </w:r>
      <w:r w:rsidRPr="00B50CEF">
        <w:rPr>
          <w:rFonts w:eastAsiaTheme="minorHAnsi"/>
          <w:bCs/>
          <w:lang w:eastAsia="en-US"/>
        </w:rPr>
        <w:t xml:space="preserve">ustawy o funduszach </w:t>
      </w:r>
      <w:r>
        <w:rPr>
          <w:rFonts w:eastAsiaTheme="minorHAnsi"/>
          <w:bCs/>
          <w:lang w:eastAsia="en-US"/>
        </w:rPr>
        <w:t>podzielono</w:t>
      </w:r>
      <w:r w:rsidRPr="00B50CEF">
        <w:rPr>
          <w:rFonts w:eastAsiaTheme="minorHAnsi"/>
          <w:bCs/>
          <w:lang w:eastAsia="en-US"/>
        </w:rPr>
        <w:t xml:space="preserve"> na cztery punkty. Dotychczasowa jego treść </w:t>
      </w:r>
      <w:r>
        <w:rPr>
          <w:rFonts w:eastAsiaTheme="minorHAnsi"/>
          <w:bCs/>
          <w:lang w:eastAsia="en-US"/>
        </w:rPr>
        <w:t>została</w:t>
      </w:r>
      <w:r w:rsidRPr="00825DA5">
        <w:rPr>
          <w:rFonts w:eastAsiaTheme="minorHAnsi"/>
          <w:bCs/>
          <w:lang w:eastAsia="en-US"/>
        </w:rPr>
        <w:t xml:space="preserve"> umieszczona w punktach 1 i 4</w:t>
      </w:r>
      <w:r w:rsidRPr="00B50CEF">
        <w:rPr>
          <w:rFonts w:eastAsiaTheme="minorHAnsi"/>
          <w:bCs/>
          <w:lang w:eastAsia="en-US"/>
        </w:rPr>
        <w:t xml:space="preserve">. Natomiast do punktów 2 i 3 ww. ustępu </w:t>
      </w:r>
      <w:r>
        <w:rPr>
          <w:rFonts w:eastAsiaTheme="minorHAnsi"/>
          <w:bCs/>
          <w:lang w:eastAsia="en-US"/>
        </w:rPr>
        <w:t>przeniesiono dotychczasową</w:t>
      </w:r>
      <w:r w:rsidRPr="00B50CEF">
        <w:rPr>
          <w:rFonts w:eastAsiaTheme="minorHAnsi"/>
          <w:bCs/>
          <w:lang w:eastAsia="en-US"/>
        </w:rPr>
        <w:t xml:space="preserve"> treść art. 256 ust. 4 i 5 ustawy o funduszach.</w:t>
      </w:r>
    </w:p>
    <w:p w14:paraId="172500D9" w14:textId="77777777" w:rsidR="00FC78AA" w:rsidRPr="005C728B" w:rsidRDefault="00FC78AA" w:rsidP="00FC78AA">
      <w:pPr>
        <w:spacing w:line="360" w:lineRule="auto"/>
        <w:jc w:val="both"/>
        <w:rPr>
          <w:rFonts w:eastAsiaTheme="minorHAnsi"/>
          <w:bCs/>
          <w:lang w:eastAsia="en-US"/>
        </w:rPr>
      </w:pPr>
      <w:r w:rsidRPr="005C728B">
        <w:rPr>
          <w:rFonts w:eastAsiaTheme="minorHAnsi"/>
          <w:bCs/>
          <w:lang w:eastAsia="en-US"/>
        </w:rPr>
        <w:t xml:space="preserve">Nowelizacja art. 256 </w:t>
      </w:r>
      <w:r>
        <w:rPr>
          <w:rFonts w:eastAsiaTheme="minorHAnsi"/>
          <w:bCs/>
          <w:lang w:eastAsia="en-US"/>
        </w:rPr>
        <w:t xml:space="preserve">ust. 1e </w:t>
      </w:r>
      <w:r w:rsidRPr="005C728B">
        <w:rPr>
          <w:rFonts w:eastAsiaTheme="minorHAnsi"/>
          <w:bCs/>
          <w:lang w:eastAsia="en-US"/>
        </w:rPr>
        <w:t xml:space="preserve">ustawy o funduszach częściowo ma charakter wynikowy </w:t>
      </w:r>
      <w:r>
        <w:rPr>
          <w:rFonts w:eastAsiaTheme="minorHAnsi"/>
          <w:bCs/>
          <w:lang w:eastAsia="en-US"/>
        </w:rPr>
        <w:t>i stanowi konsekwencję</w:t>
      </w:r>
      <w:r w:rsidRPr="005C728B">
        <w:rPr>
          <w:rFonts w:eastAsiaTheme="minorHAnsi"/>
          <w:bCs/>
          <w:lang w:eastAsia="en-US"/>
        </w:rPr>
        <w:t xml:space="preserve"> </w:t>
      </w:r>
      <w:r>
        <w:rPr>
          <w:rFonts w:eastAsiaTheme="minorHAnsi"/>
          <w:bCs/>
          <w:lang w:eastAsia="en-US"/>
        </w:rPr>
        <w:t>dodania</w:t>
      </w:r>
      <w:r w:rsidRPr="005C728B">
        <w:rPr>
          <w:rFonts w:eastAsiaTheme="minorHAnsi"/>
          <w:bCs/>
          <w:lang w:eastAsia="en-US"/>
        </w:rPr>
        <w:t xml:space="preserve"> art. 253 ust. 3 pkt 1a ustawy o funduszach. Wprowadzenie terminu miesiąca przed wprowadzeniem zmiany na poinformowanie KNF o zmianie przez fundusz zagraniczny jest natomiast skutkiem wprowadzenia takiego terminu w znowelizowanym brzmieniu art. 93 ust. 8 </w:t>
      </w:r>
      <w:r>
        <w:rPr>
          <w:rFonts w:eastAsiaTheme="minorHAnsi"/>
          <w:bCs/>
          <w:lang w:eastAsia="en-US"/>
        </w:rPr>
        <w:br/>
      </w:r>
      <w:r w:rsidRPr="005C728B">
        <w:rPr>
          <w:rFonts w:eastAsiaTheme="minorHAnsi"/>
          <w:bCs/>
          <w:lang w:eastAsia="en-US"/>
        </w:rPr>
        <w:t>akapit</w:t>
      </w:r>
      <w:r>
        <w:rPr>
          <w:rFonts w:eastAsiaTheme="minorHAnsi"/>
          <w:bCs/>
          <w:lang w:eastAsia="en-US"/>
        </w:rPr>
        <w:t xml:space="preserve"> </w:t>
      </w:r>
      <w:r w:rsidRPr="005C728B">
        <w:rPr>
          <w:rFonts w:eastAsiaTheme="minorHAnsi"/>
          <w:bCs/>
          <w:lang w:eastAsia="en-US"/>
        </w:rPr>
        <w:t xml:space="preserve">1 </w:t>
      </w:r>
      <w:r w:rsidRPr="00AB7B61">
        <w:rPr>
          <w:rFonts w:eastAsiaTheme="minorHAnsi"/>
          <w:bCs/>
          <w:lang w:eastAsia="en-US"/>
        </w:rPr>
        <w:t xml:space="preserve">dyrektywy </w:t>
      </w:r>
      <w:r w:rsidRPr="005C728B">
        <w:rPr>
          <w:rFonts w:eastAsiaTheme="minorHAnsi"/>
          <w:bCs/>
          <w:lang w:eastAsia="en-US"/>
        </w:rPr>
        <w:t>UCITS.</w:t>
      </w:r>
    </w:p>
    <w:p w14:paraId="019E541C" w14:textId="77777777" w:rsidR="00FC78AA" w:rsidRPr="00DF5333" w:rsidRDefault="00FC78AA" w:rsidP="00FC78AA">
      <w:pPr>
        <w:spacing w:line="360" w:lineRule="auto"/>
        <w:jc w:val="both"/>
        <w:rPr>
          <w:rFonts w:eastAsiaTheme="minorHAnsi"/>
          <w:bCs/>
          <w:lang w:eastAsia="en-US"/>
        </w:rPr>
      </w:pPr>
      <w:r w:rsidRPr="005C728B">
        <w:rPr>
          <w:rFonts w:eastAsiaTheme="minorHAnsi"/>
          <w:bCs/>
          <w:lang w:eastAsia="en-US"/>
        </w:rPr>
        <w:t xml:space="preserve">Nowelizacja art. 256 ust. 1f ustawy o funduszach </w:t>
      </w:r>
      <w:r>
        <w:rPr>
          <w:rFonts w:eastAsiaTheme="minorHAnsi"/>
          <w:bCs/>
          <w:lang w:eastAsia="en-US"/>
        </w:rPr>
        <w:t>oraz dodanie ust. 1h</w:t>
      </w:r>
      <w:r w:rsidRPr="005C728B">
        <w:rPr>
          <w:rFonts w:eastAsiaTheme="minorHAnsi"/>
          <w:bCs/>
          <w:lang w:eastAsia="en-US"/>
        </w:rPr>
        <w:t xml:space="preserve"> do ww. przepisu ma </w:t>
      </w:r>
      <w:r>
        <w:rPr>
          <w:rFonts w:eastAsiaTheme="minorHAnsi"/>
          <w:bCs/>
          <w:lang w:eastAsia="en-US"/>
        </w:rPr>
        <w:t xml:space="preserve">z kolei </w:t>
      </w:r>
      <w:r w:rsidRPr="005C728B">
        <w:rPr>
          <w:rFonts w:eastAsiaTheme="minorHAnsi"/>
          <w:bCs/>
          <w:lang w:eastAsia="en-US"/>
        </w:rPr>
        <w:t xml:space="preserve">na celu wdrożenie art. 92 ust. 3 </w:t>
      </w:r>
      <w:r w:rsidRPr="00AB7B61">
        <w:rPr>
          <w:rFonts w:eastAsiaTheme="minorHAnsi"/>
          <w:bCs/>
          <w:lang w:eastAsia="en-US"/>
        </w:rPr>
        <w:t xml:space="preserve">dyrektywy </w:t>
      </w:r>
      <w:r w:rsidRPr="005C728B">
        <w:rPr>
          <w:rFonts w:eastAsiaTheme="minorHAnsi"/>
          <w:bCs/>
          <w:lang w:eastAsia="en-US"/>
        </w:rPr>
        <w:t xml:space="preserve">UCITS. Zgodnie z tym przepisem UCITS może wykonywać obowiązki, o których mowa w art. 92 ust. 1 bezpośrednio lub przez podlegającego nadzorowi właściwych organów pośrednika. Jednocześnie należy mieć na uwadze, iż zgodnie z nowo wprowadzonym art. 92 ust. 2 dyrektywy UCITS ustanowienie pośrednika nie może stanowić wymogu stawianego funduszowi zagranicznemu przez państwo członkowskie. Z powyższego względu zmian o charakterze </w:t>
      </w:r>
      <w:r w:rsidRPr="002C1B6E">
        <w:rPr>
          <w:rFonts w:eastAsiaTheme="minorHAnsi"/>
          <w:bCs/>
          <w:lang w:eastAsia="en-US"/>
        </w:rPr>
        <w:t xml:space="preserve">dostosowawczym wymagają przepisy art. 256 ust. 2 i 3 ustawy o funduszach. Przepis art. 256 ust. 3a uchyla się, co jest konsekwencją uregulowania kwestii związanych z zaprzestaniem </w:t>
      </w:r>
      <w:r w:rsidRPr="002C1B6E">
        <w:rPr>
          <w:rFonts w:eastAsiaTheme="minorHAnsi"/>
          <w:bCs/>
          <w:lang w:eastAsia="en-US"/>
        </w:rPr>
        <w:lastRenderedPageBreak/>
        <w:t xml:space="preserve">zbywania funduszu zagranicznego na terytorium Rzeczypospolitej Polskiej w nowo dodawanym </w:t>
      </w:r>
      <w:r>
        <w:rPr>
          <w:rFonts w:eastAsiaTheme="minorHAnsi"/>
          <w:bCs/>
          <w:lang w:eastAsia="en-US"/>
        </w:rPr>
        <w:br/>
      </w:r>
      <w:r w:rsidRPr="002C1B6E">
        <w:rPr>
          <w:rFonts w:eastAsiaTheme="minorHAnsi"/>
          <w:bCs/>
          <w:lang w:eastAsia="en-US"/>
        </w:rPr>
        <w:t>art. 258a ustawy o funduszach.</w:t>
      </w:r>
    </w:p>
    <w:p w14:paraId="320D7064" w14:textId="77777777" w:rsidR="00FC78AA" w:rsidRDefault="00FC78AA" w:rsidP="00FC78AA">
      <w:pPr>
        <w:spacing w:line="360" w:lineRule="auto"/>
        <w:jc w:val="both"/>
        <w:rPr>
          <w:rFonts w:eastAsiaTheme="minorHAnsi"/>
          <w:bCs/>
          <w:lang w:eastAsia="en-US"/>
        </w:rPr>
      </w:pPr>
      <w:r w:rsidRPr="007C72C0">
        <w:rPr>
          <w:rFonts w:eastAsiaTheme="minorHAnsi"/>
          <w:b/>
          <w:bCs/>
          <w:lang w:eastAsia="en-US"/>
        </w:rPr>
        <w:t xml:space="preserve">Art. 1 pkt </w:t>
      </w:r>
      <w:r>
        <w:rPr>
          <w:rFonts w:eastAsiaTheme="minorHAnsi"/>
          <w:b/>
          <w:bCs/>
          <w:lang w:eastAsia="en-US"/>
        </w:rPr>
        <w:t>6</w:t>
      </w:r>
      <w:r w:rsidRPr="007C72C0">
        <w:rPr>
          <w:rFonts w:eastAsiaTheme="minorHAnsi"/>
          <w:b/>
          <w:bCs/>
          <w:lang w:eastAsia="en-US"/>
        </w:rPr>
        <w:t xml:space="preserve"> projektu</w:t>
      </w:r>
      <w:r w:rsidRPr="007C72C0">
        <w:rPr>
          <w:rFonts w:eastAsiaTheme="minorHAnsi"/>
          <w:bCs/>
          <w:lang w:eastAsia="en-US"/>
        </w:rPr>
        <w:t xml:space="preserve"> dokonuje nowelizacji art. 257 ust. 1 ustawy o funduszach będącej skutkiem</w:t>
      </w:r>
      <w:r w:rsidRPr="00825DA5">
        <w:rPr>
          <w:rFonts w:eastAsiaTheme="minorHAnsi"/>
          <w:bCs/>
          <w:lang w:eastAsia="en-US"/>
        </w:rPr>
        <w:t>, wspominanego już,</w:t>
      </w:r>
      <w:r w:rsidRPr="007C72C0">
        <w:rPr>
          <w:rFonts w:eastAsiaTheme="minorHAnsi"/>
          <w:bCs/>
          <w:lang w:eastAsia="en-US"/>
        </w:rPr>
        <w:t xml:space="preserve"> wejścia w życie nowego brzmienia art. 92 ust. 2 dyrektywy UCITS. Zgodnie </w:t>
      </w:r>
      <w:r>
        <w:rPr>
          <w:rFonts w:eastAsiaTheme="minorHAnsi"/>
          <w:bCs/>
          <w:lang w:eastAsia="en-US"/>
        </w:rPr>
        <w:br/>
      </w:r>
      <w:r w:rsidRPr="007C72C0">
        <w:rPr>
          <w:rFonts w:eastAsiaTheme="minorHAnsi"/>
          <w:bCs/>
          <w:lang w:eastAsia="en-US"/>
        </w:rPr>
        <w:t xml:space="preserve">z </w:t>
      </w:r>
      <w:r>
        <w:rPr>
          <w:rFonts w:eastAsiaTheme="minorHAnsi"/>
          <w:bCs/>
          <w:lang w:eastAsia="en-US"/>
        </w:rPr>
        <w:t>obecnym</w:t>
      </w:r>
      <w:r w:rsidRPr="007C72C0">
        <w:rPr>
          <w:rFonts w:eastAsiaTheme="minorHAnsi"/>
          <w:bCs/>
          <w:lang w:eastAsia="en-US"/>
        </w:rPr>
        <w:t xml:space="preserve"> brzmieniem tego przepisu państwa członkowskie nie wymagają od UCITS fizycznej obecności w przyjmującym państwie członkowskim ani wyznaczenia strony trzeciej do celów określonych w art. 92</w:t>
      </w:r>
      <w:r>
        <w:rPr>
          <w:rFonts w:eastAsiaTheme="minorHAnsi"/>
          <w:bCs/>
          <w:lang w:eastAsia="en-US"/>
        </w:rPr>
        <w:t xml:space="preserve"> ust. 1</w:t>
      </w:r>
      <w:r w:rsidRPr="007C72C0">
        <w:rPr>
          <w:rFonts w:eastAsiaTheme="minorHAnsi"/>
          <w:bCs/>
          <w:lang w:eastAsia="en-US"/>
        </w:rPr>
        <w:t xml:space="preserve"> </w:t>
      </w:r>
      <w:r w:rsidRPr="00AB7B61">
        <w:rPr>
          <w:rFonts w:eastAsiaTheme="minorHAnsi"/>
          <w:bCs/>
          <w:lang w:eastAsia="en-US"/>
        </w:rPr>
        <w:t xml:space="preserve">dyrektywy </w:t>
      </w:r>
      <w:r w:rsidRPr="007C72C0">
        <w:rPr>
          <w:rFonts w:eastAsiaTheme="minorHAnsi"/>
          <w:bCs/>
          <w:lang w:eastAsia="en-US"/>
        </w:rPr>
        <w:t xml:space="preserve">UCITS. W związku z </w:t>
      </w:r>
      <w:r w:rsidRPr="00825DA5">
        <w:rPr>
          <w:rFonts w:eastAsiaTheme="minorHAnsi"/>
          <w:bCs/>
          <w:lang w:eastAsia="en-US"/>
        </w:rPr>
        <w:t>powyższym</w:t>
      </w:r>
      <w:r w:rsidRPr="007C72C0">
        <w:rPr>
          <w:rFonts w:eastAsiaTheme="minorHAnsi"/>
          <w:bCs/>
          <w:lang w:eastAsia="en-US"/>
        </w:rPr>
        <w:t xml:space="preserve"> </w:t>
      </w:r>
      <w:r w:rsidRPr="00825DA5">
        <w:rPr>
          <w:rFonts w:eastAsiaTheme="minorHAnsi"/>
          <w:bCs/>
          <w:lang w:eastAsia="en-US"/>
        </w:rPr>
        <w:t>projektowana ustawa</w:t>
      </w:r>
      <w:r w:rsidRPr="007C72C0">
        <w:rPr>
          <w:rFonts w:eastAsiaTheme="minorHAnsi"/>
          <w:bCs/>
          <w:lang w:eastAsia="en-US"/>
        </w:rPr>
        <w:t xml:space="preserve"> dokonuje zniesienia obowiązkowości ustanawiania agenta płatności na terytorium Rzeczypospolitej Polskiej przez fundusz zagraniczny, pozostawiając jednocześnie możliwość ustanowienia takiego agenta, jeśli fundusz uzna to za właściwe.</w:t>
      </w:r>
    </w:p>
    <w:p w14:paraId="489D8B57" w14:textId="77777777" w:rsidR="00FC78AA" w:rsidRDefault="00FC78AA" w:rsidP="00FC78AA">
      <w:pPr>
        <w:spacing w:line="360" w:lineRule="auto"/>
        <w:jc w:val="both"/>
        <w:rPr>
          <w:rFonts w:eastAsiaTheme="minorHAnsi"/>
          <w:bCs/>
          <w:lang w:eastAsia="en-US"/>
        </w:rPr>
      </w:pPr>
      <w:r w:rsidRPr="00292FC6">
        <w:rPr>
          <w:rFonts w:eastAsiaTheme="minorHAnsi"/>
          <w:bCs/>
          <w:lang w:eastAsia="en-US"/>
        </w:rPr>
        <w:t>Dodawany</w:t>
      </w:r>
      <w:r w:rsidRPr="00825DA5">
        <w:rPr>
          <w:rFonts w:eastAsiaTheme="minorHAnsi"/>
          <w:bCs/>
          <w:lang w:eastAsia="en-US"/>
        </w:rPr>
        <w:t xml:space="preserve"> </w:t>
      </w:r>
      <w:r w:rsidRPr="0001083C">
        <w:rPr>
          <w:rFonts w:eastAsiaTheme="minorHAnsi"/>
          <w:b/>
          <w:bCs/>
          <w:lang w:eastAsia="en-US"/>
        </w:rPr>
        <w:t>a</w:t>
      </w:r>
      <w:r>
        <w:rPr>
          <w:rFonts w:eastAsiaTheme="minorHAnsi"/>
          <w:b/>
          <w:bCs/>
          <w:lang w:eastAsia="en-US"/>
        </w:rPr>
        <w:t>rt.</w:t>
      </w:r>
      <w:r w:rsidRPr="00825DA5">
        <w:rPr>
          <w:rFonts w:eastAsiaTheme="minorHAnsi"/>
          <w:b/>
          <w:bCs/>
          <w:lang w:eastAsia="en-US"/>
        </w:rPr>
        <w:t xml:space="preserve"> 1 pkt </w:t>
      </w:r>
      <w:r>
        <w:rPr>
          <w:rFonts w:eastAsiaTheme="minorHAnsi"/>
          <w:b/>
          <w:bCs/>
          <w:lang w:eastAsia="en-US"/>
        </w:rPr>
        <w:t>7</w:t>
      </w:r>
      <w:r w:rsidRPr="00292FC6">
        <w:rPr>
          <w:rFonts w:eastAsiaTheme="minorHAnsi"/>
          <w:bCs/>
          <w:lang w:eastAsia="en-US"/>
        </w:rPr>
        <w:t xml:space="preserve"> </w:t>
      </w:r>
      <w:r w:rsidRPr="00825DA5">
        <w:rPr>
          <w:rFonts w:eastAsiaTheme="minorHAnsi"/>
          <w:b/>
          <w:bCs/>
          <w:lang w:eastAsia="en-US"/>
        </w:rPr>
        <w:t>projektu</w:t>
      </w:r>
      <w:r w:rsidRPr="00292FC6">
        <w:rPr>
          <w:rFonts w:eastAsiaTheme="minorHAnsi"/>
          <w:bCs/>
          <w:lang w:eastAsia="en-US"/>
        </w:rPr>
        <w:t xml:space="preserve"> nowy przepis art. 258a ustawy o funduszach stanowi wdrożenie, </w:t>
      </w:r>
      <w:r>
        <w:rPr>
          <w:rFonts w:eastAsiaTheme="minorHAnsi"/>
          <w:bCs/>
          <w:lang w:eastAsia="en-US"/>
        </w:rPr>
        <w:t>w </w:t>
      </w:r>
      <w:r w:rsidRPr="00292FC6">
        <w:rPr>
          <w:rFonts w:eastAsiaTheme="minorHAnsi"/>
          <w:bCs/>
          <w:lang w:eastAsia="en-US"/>
        </w:rPr>
        <w:t xml:space="preserve">odniesieniu do funduszy zagranicznych, </w:t>
      </w:r>
      <w:r w:rsidRPr="00825DA5">
        <w:rPr>
          <w:rFonts w:eastAsiaTheme="minorHAnsi"/>
          <w:bCs/>
          <w:lang w:eastAsia="en-US"/>
        </w:rPr>
        <w:t xml:space="preserve">dodanego dyrektywą </w:t>
      </w:r>
      <w:r w:rsidRPr="00292FC6">
        <w:rPr>
          <w:rFonts w:eastAsiaTheme="minorHAnsi"/>
          <w:bCs/>
          <w:lang w:eastAsia="en-US"/>
        </w:rPr>
        <w:t xml:space="preserve">2019/1160 </w:t>
      </w:r>
      <w:r>
        <w:rPr>
          <w:rFonts w:eastAsiaTheme="minorHAnsi"/>
          <w:bCs/>
          <w:lang w:eastAsia="en-US"/>
        </w:rPr>
        <w:t xml:space="preserve">przepisu </w:t>
      </w:r>
      <w:r>
        <w:rPr>
          <w:rFonts w:eastAsiaTheme="minorHAnsi"/>
          <w:bCs/>
          <w:lang w:eastAsia="en-US"/>
        </w:rPr>
        <w:br/>
      </w:r>
      <w:r w:rsidRPr="00292FC6">
        <w:rPr>
          <w:rFonts w:eastAsiaTheme="minorHAnsi"/>
          <w:bCs/>
          <w:lang w:eastAsia="en-US"/>
        </w:rPr>
        <w:t xml:space="preserve">art. 93a </w:t>
      </w:r>
      <w:r w:rsidRPr="00AB7B61">
        <w:rPr>
          <w:rFonts w:eastAsiaTheme="minorHAnsi"/>
          <w:bCs/>
          <w:lang w:eastAsia="en-US"/>
        </w:rPr>
        <w:t xml:space="preserve">dyrektywy </w:t>
      </w:r>
      <w:r w:rsidRPr="00292FC6">
        <w:rPr>
          <w:rFonts w:eastAsiaTheme="minorHAnsi"/>
          <w:bCs/>
          <w:lang w:eastAsia="en-US"/>
        </w:rPr>
        <w:t>UCITS</w:t>
      </w:r>
      <w:r w:rsidRPr="00825DA5">
        <w:rPr>
          <w:rFonts w:eastAsiaTheme="minorHAnsi"/>
          <w:bCs/>
          <w:lang w:eastAsia="en-US"/>
        </w:rPr>
        <w:t>,</w:t>
      </w:r>
      <w:r w:rsidRPr="00292FC6">
        <w:rPr>
          <w:rFonts w:eastAsiaTheme="minorHAnsi"/>
          <w:bCs/>
          <w:lang w:eastAsia="en-US"/>
        </w:rPr>
        <w:t xml:space="preserve"> </w:t>
      </w:r>
      <w:r>
        <w:rPr>
          <w:rFonts w:eastAsiaTheme="minorHAnsi"/>
          <w:bCs/>
          <w:lang w:eastAsia="en-US"/>
        </w:rPr>
        <w:t>który dotyczy</w:t>
      </w:r>
      <w:r w:rsidRPr="00825DA5">
        <w:rPr>
          <w:rFonts w:eastAsiaTheme="minorHAnsi"/>
          <w:bCs/>
          <w:lang w:eastAsia="en-US"/>
        </w:rPr>
        <w:t xml:space="preserve"> sytuacji zaprzestania</w:t>
      </w:r>
      <w:r w:rsidRPr="00292FC6">
        <w:rPr>
          <w:rFonts w:eastAsiaTheme="minorHAnsi"/>
          <w:bCs/>
          <w:lang w:eastAsia="en-US"/>
        </w:rPr>
        <w:t xml:space="preserve"> przez fundusz transgranicznego wprowadzania jednostek uczestnictwa do obrotu. Wskutek uregulowania </w:t>
      </w:r>
      <w:r w:rsidRPr="00825DA5">
        <w:rPr>
          <w:rFonts w:eastAsiaTheme="minorHAnsi"/>
          <w:bCs/>
          <w:lang w:eastAsia="en-US"/>
        </w:rPr>
        <w:t>wspomnianej</w:t>
      </w:r>
      <w:r w:rsidRPr="00292FC6">
        <w:rPr>
          <w:rFonts w:eastAsiaTheme="minorHAnsi"/>
          <w:bCs/>
          <w:lang w:eastAsia="en-US"/>
        </w:rPr>
        <w:t xml:space="preserve"> kwestii ww. projektowanym </w:t>
      </w:r>
      <w:r w:rsidRPr="00825DA5">
        <w:rPr>
          <w:rFonts w:eastAsiaTheme="minorHAnsi"/>
          <w:bCs/>
          <w:lang w:eastAsia="en-US"/>
        </w:rPr>
        <w:t>art. 258</w:t>
      </w:r>
      <w:r w:rsidRPr="00292FC6">
        <w:rPr>
          <w:rFonts w:eastAsiaTheme="minorHAnsi"/>
          <w:bCs/>
          <w:lang w:eastAsia="en-US"/>
        </w:rPr>
        <w:t xml:space="preserve">a, </w:t>
      </w:r>
      <w:r w:rsidRPr="00825DA5">
        <w:rPr>
          <w:rFonts w:eastAsiaTheme="minorHAnsi"/>
          <w:bCs/>
          <w:lang w:eastAsia="en-US"/>
        </w:rPr>
        <w:t xml:space="preserve">zbyteczny staje się dotychczas jej </w:t>
      </w:r>
      <w:r>
        <w:rPr>
          <w:rFonts w:eastAsiaTheme="minorHAnsi"/>
          <w:bCs/>
          <w:lang w:eastAsia="en-US"/>
        </w:rPr>
        <w:t>dotyczący</w:t>
      </w:r>
      <w:r w:rsidRPr="00825DA5">
        <w:rPr>
          <w:rFonts w:eastAsiaTheme="minorHAnsi"/>
          <w:bCs/>
          <w:lang w:eastAsia="en-US"/>
        </w:rPr>
        <w:t xml:space="preserve"> </w:t>
      </w:r>
      <w:r w:rsidRPr="00292FC6">
        <w:rPr>
          <w:rFonts w:eastAsiaTheme="minorHAnsi"/>
          <w:bCs/>
          <w:lang w:eastAsia="en-US"/>
        </w:rPr>
        <w:t xml:space="preserve">art. 256 ust. 3a ustawy </w:t>
      </w:r>
      <w:r>
        <w:rPr>
          <w:rFonts w:eastAsiaTheme="minorHAnsi"/>
          <w:bCs/>
          <w:lang w:eastAsia="en-US"/>
        </w:rPr>
        <w:br/>
      </w:r>
      <w:r w:rsidRPr="00292FC6">
        <w:rPr>
          <w:rFonts w:eastAsiaTheme="minorHAnsi"/>
          <w:bCs/>
          <w:lang w:eastAsia="en-US"/>
        </w:rPr>
        <w:t>o funduszach</w:t>
      </w:r>
      <w:r w:rsidRPr="00825DA5">
        <w:rPr>
          <w:rFonts w:eastAsiaTheme="minorHAnsi"/>
          <w:bCs/>
          <w:lang w:eastAsia="en-US"/>
        </w:rPr>
        <w:t xml:space="preserve">. Z powyższego względu projektowana ustawa – jak zostało już opisane wyżej – dokonuje jego uchylenia przepisem </w:t>
      </w:r>
      <w:r w:rsidRPr="00292FC6">
        <w:rPr>
          <w:rFonts w:eastAsiaTheme="minorHAnsi"/>
          <w:bCs/>
          <w:lang w:eastAsia="en-US"/>
        </w:rPr>
        <w:t xml:space="preserve">art. 1 pkt </w:t>
      </w:r>
      <w:r>
        <w:rPr>
          <w:rFonts w:eastAsiaTheme="minorHAnsi"/>
          <w:bCs/>
          <w:lang w:eastAsia="en-US"/>
        </w:rPr>
        <w:t>5</w:t>
      </w:r>
      <w:r w:rsidRPr="00292FC6">
        <w:rPr>
          <w:rFonts w:eastAsiaTheme="minorHAnsi"/>
          <w:bCs/>
          <w:lang w:eastAsia="en-US"/>
        </w:rPr>
        <w:t xml:space="preserve"> lit. f projektu.</w:t>
      </w:r>
      <w:r>
        <w:rPr>
          <w:rFonts w:eastAsiaTheme="minorHAnsi"/>
          <w:bCs/>
          <w:lang w:eastAsia="en-US"/>
        </w:rPr>
        <w:t xml:space="preserve"> Przepis art. 93a </w:t>
      </w:r>
      <w:r w:rsidRPr="00AB7B61">
        <w:rPr>
          <w:rFonts w:eastAsiaTheme="minorHAnsi"/>
          <w:bCs/>
          <w:lang w:eastAsia="en-US"/>
        </w:rPr>
        <w:t xml:space="preserve">dyrektywy </w:t>
      </w:r>
      <w:r>
        <w:rPr>
          <w:rFonts w:eastAsiaTheme="minorHAnsi"/>
          <w:bCs/>
          <w:lang w:eastAsia="en-US"/>
        </w:rPr>
        <w:t>UCITS</w:t>
      </w:r>
      <w:r w:rsidRPr="004200BE">
        <w:rPr>
          <w:rFonts w:eastAsiaTheme="minorHAnsi"/>
          <w:bCs/>
          <w:lang w:eastAsia="en-US"/>
        </w:rPr>
        <w:t xml:space="preserve"> nie wskazuje wprost dnia, z którym staje się skuteczna notyfikacja o zaprzestaniu zbywania tytułów uczestnictwa. Należy jednak przyjąć, że skoro fundusz zagraniczny może rozpocząć zbywanie tytułów uczestnictwa na terytorium RP z dniem uzyskania przez fundusz zagraniczny od właściwego organu jego państwa macierzystego informacji o przekazaniu </w:t>
      </w:r>
      <w:r>
        <w:rPr>
          <w:rFonts w:eastAsiaTheme="minorHAnsi"/>
          <w:bCs/>
          <w:lang w:eastAsia="en-US"/>
        </w:rPr>
        <w:t>KNF</w:t>
      </w:r>
      <w:r w:rsidRPr="004200BE">
        <w:rPr>
          <w:rFonts w:eastAsiaTheme="minorHAnsi"/>
          <w:bCs/>
          <w:lang w:eastAsia="en-US"/>
        </w:rPr>
        <w:t xml:space="preserve"> zawiadomienia o rozpoczęciu zbywania tytułów uczestnictwa na terytorium RP</w:t>
      </w:r>
      <w:r>
        <w:rPr>
          <w:rFonts w:eastAsiaTheme="minorHAnsi"/>
          <w:bCs/>
          <w:lang w:eastAsia="en-US"/>
        </w:rPr>
        <w:t>,</w:t>
      </w:r>
      <w:r w:rsidRPr="004200BE">
        <w:rPr>
          <w:rFonts w:eastAsiaTheme="minorHAnsi"/>
          <w:bCs/>
          <w:lang w:eastAsia="en-US"/>
        </w:rPr>
        <w:t xml:space="preserve"> to na analogicznych zasadach powinien </w:t>
      </w:r>
      <w:r>
        <w:rPr>
          <w:rFonts w:eastAsiaTheme="minorHAnsi"/>
          <w:bCs/>
          <w:lang w:eastAsia="en-US"/>
        </w:rPr>
        <w:t xml:space="preserve">funkcjonować </w:t>
      </w:r>
      <w:r w:rsidRPr="004200BE">
        <w:rPr>
          <w:rFonts w:eastAsiaTheme="minorHAnsi"/>
          <w:bCs/>
          <w:lang w:eastAsia="en-US"/>
        </w:rPr>
        <w:t xml:space="preserve">termin zaprzestania zbywania tytułów uczestnictwa na terytorium RP. </w:t>
      </w:r>
      <w:r>
        <w:rPr>
          <w:rFonts w:eastAsiaTheme="minorHAnsi"/>
          <w:bCs/>
          <w:lang w:eastAsia="en-US"/>
        </w:rPr>
        <w:t xml:space="preserve">Wdrożenia </w:t>
      </w:r>
      <w:r>
        <w:rPr>
          <w:rFonts w:eastAsiaTheme="minorHAnsi"/>
          <w:bCs/>
          <w:lang w:eastAsia="en-US"/>
        </w:rPr>
        <w:br/>
        <w:t xml:space="preserve">art. 93a </w:t>
      </w:r>
      <w:r w:rsidRPr="00AB7B61">
        <w:rPr>
          <w:rFonts w:eastAsiaTheme="minorHAnsi"/>
          <w:bCs/>
          <w:lang w:eastAsia="en-US"/>
        </w:rPr>
        <w:t xml:space="preserve">dyrektywy </w:t>
      </w:r>
      <w:r>
        <w:rPr>
          <w:rFonts w:eastAsiaTheme="minorHAnsi"/>
          <w:bCs/>
          <w:lang w:eastAsia="en-US"/>
        </w:rPr>
        <w:t>UCITS w odniesieniu do krajowych funduszy inwestycyjnych otwartych dokonuje art. 1 pkt 9 projektu.</w:t>
      </w:r>
    </w:p>
    <w:p w14:paraId="5EF753DF" w14:textId="77777777" w:rsidR="00FC78AA" w:rsidRDefault="00FC78AA" w:rsidP="00FC78AA">
      <w:pPr>
        <w:spacing w:line="360" w:lineRule="auto"/>
        <w:jc w:val="both"/>
        <w:rPr>
          <w:rFonts w:eastAsiaTheme="minorHAnsi"/>
          <w:bCs/>
          <w:u w:val="single"/>
          <w:lang w:eastAsia="en-US"/>
        </w:rPr>
      </w:pPr>
      <w:r w:rsidRPr="00825DA5">
        <w:rPr>
          <w:rFonts w:eastAsiaTheme="minorHAnsi"/>
          <w:b/>
          <w:bCs/>
          <w:lang w:eastAsia="en-US"/>
        </w:rPr>
        <w:t xml:space="preserve">Art. 1 pkt </w:t>
      </w:r>
      <w:r>
        <w:rPr>
          <w:rFonts w:eastAsiaTheme="minorHAnsi"/>
          <w:b/>
          <w:bCs/>
          <w:lang w:eastAsia="en-US"/>
        </w:rPr>
        <w:t>8</w:t>
      </w:r>
      <w:r w:rsidRPr="00825DA5">
        <w:rPr>
          <w:rFonts w:eastAsiaTheme="minorHAnsi"/>
          <w:b/>
          <w:bCs/>
          <w:lang w:eastAsia="en-US"/>
        </w:rPr>
        <w:t xml:space="preserve"> projektu</w:t>
      </w:r>
      <w:r w:rsidRPr="00825DA5">
        <w:rPr>
          <w:rFonts w:eastAsiaTheme="minorHAnsi"/>
          <w:bCs/>
          <w:lang w:eastAsia="en-US"/>
        </w:rPr>
        <w:t xml:space="preserve"> dokonuje implementacji art. 93 ust. 8 </w:t>
      </w:r>
      <w:r w:rsidRPr="00AB7B61">
        <w:rPr>
          <w:rFonts w:eastAsiaTheme="minorHAnsi"/>
          <w:bCs/>
          <w:lang w:eastAsia="en-US"/>
        </w:rPr>
        <w:t xml:space="preserve">dyrektywy </w:t>
      </w:r>
      <w:r w:rsidRPr="00825DA5">
        <w:rPr>
          <w:rFonts w:eastAsiaTheme="minorHAnsi"/>
          <w:bCs/>
          <w:lang w:eastAsia="en-US"/>
        </w:rPr>
        <w:t>UCITS w nowym, poszerzonym brzmieniu, nadanym temu przepisowi przez dyrektywę</w:t>
      </w:r>
      <w:r>
        <w:rPr>
          <w:rFonts w:eastAsiaTheme="minorHAnsi"/>
          <w:bCs/>
          <w:lang w:eastAsia="en-US"/>
        </w:rPr>
        <w:t xml:space="preserve"> 2019/1160.</w:t>
      </w:r>
      <w:r w:rsidRPr="00825DA5">
        <w:rPr>
          <w:rFonts w:eastAsiaTheme="minorHAnsi"/>
          <w:bCs/>
          <w:lang w:eastAsia="en-US"/>
        </w:rPr>
        <w:t xml:space="preserve"> Służy temu nowelizacja </w:t>
      </w:r>
      <w:r w:rsidRPr="0092785D">
        <w:rPr>
          <w:rFonts w:eastAsiaTheme="minorHAnsi"/>
          <w:bCs/>
          <w:lang w:eastAsia="en-US"/>
        </w:rPr>
        <w:t xml:space="preserve">art. 261 ustawy o funduszach, polegająca na zmianie </w:t>
      </w:r>
      <w:r w:rsidRPr="00825DA5">
        <w:rPr>
          <w:rFonts w:eastAsiaTheme="minorHAnsi"/>
          <w:bCs/>
          <w:lang w:eastAsia="en-US"/>
        </w:rPr>
        <w:t>ust.</w:t>
      </w:r>
      <w:r w:rsidRPr="0092785D">
        <w:t xml:space="preserve"> 10 </w:t>
      </w:r>
      <w:r w:rsidRPr="00825DA5">
        <w:t xml:space="preserve">tegoż przepisu </w:t>
      </w:r>
      <w:r w:rsidRPr="00825DA5">
        <w:rPr>
          <w:rFonts w:eastAsiaTheme="minorHAnsi"/>
          <w:bCs/>
          <w:lang w:eastAsia="en-US"/>
        </w:rPr>
        <w:t>oraz dodaniu w nim</w:t>
      </w:r>
      <w:r>
        <w:rPr>
          <w:rFonts w:eastAsiaTheme="minorHAnsi"/>
          <w:bCs/>
          <w:lang w:eastAsia="en-US"/>
        </w:rPr>
        <w:t xml:space="preserve"> dwóch nowych ust. </w:t>
      </w:r>
      <w:r w:rsidRPr="00825DA5">
        <w:rPr>
          <w:rFonts w:eastAsiaTheme="minorHAnsi"/>
          <w:bCs/>
          <w:lang w:eastAsia="en-US"/>
        </w:rPr>
        <w:t>10a i 10b</w:t>
      </w:r>
      <w:r w:rsidRPr="0092785D">
        <w:rPr>
          <w:rFonts w:eastAsiaTheme="minorHAnsi"/>
          <w:bCs/>
          <w:lang w:eastAsia="en-US"/>
        </w:rPr>
        <w:t xml:space="preserve">. </w:t>
      </w:r>
      <w:r w:rsidRPr="00D14565">
        <w:rPr>
          <w:rFonts w:eastAsiaTheme="minorHAnsi"/>
          <w:bCs/>
          <w:lang w:eastAsia="en-US"/>
        </w:rPr>
        <w:t xml:space="preserve">Art. 93 ust. 8 </w:t>
      </w:r>
      <w:r w:rsidRPr="00AB7B61">
        <w:rPr>
          <w:rFonts w:eastAsiaTheme="minorHAnsi"/>
          <w:bCs/>
          <w:lang w:eastAsia="en-US"/>
        </w:rPr>
        <w:t xml:space="preserve">dyrektywy </w:t>
      </w:r>
      <w:r w:rsidRPr="00825DA5">
        <w:rPr>
          <w:rFonts w:eastAsiaTheme="minorHAnsi"/>
          <w:bCs/>
          <w:lang w:eastAsia="en-US"/>
        </w:rPr>
        <w:t xml:space="preserve">UCITS </w:t>
      </w:r>
      <w:r w:rsidRPr="00D14565">
        <w:rPr>
          <w:rFonts w:eastAsiaTheme="minorHAnsi"/>
          <w:bCs/>
          <w:lang w:eastAsia="en-US"/>
        </w:rPr>
        <w:t>dotyczy zmiany danych zawartych w powiadomieniu, o którym mowa w ust. 1 tego artykułu oraz konsekwencji sytuacji, gdy w wyniku zmiany tych</w:t>
      </w:r>
      <w:r w:rsidRPr="00825DA5">
        <w:rPr>
          <w:rFonts w:eastAsiaTheme="minorHAnsi"/>
          <w:bCs/>
          <w:lang w:eastAsia="en-US"/>
        </w:rPr>
        <w:t>że</w:t>
      </w:r>
      <w:r w:rsidRPr="00D14565">
        <w:rPr>
          <w:rFonts w:eastAsiaTheme="minorHAnsi"/>
          <w:bCs/>
          <w:lang w:eastAsia="en-US"/>
        </w:rPr>
        <w:t xml:space="preserve"> danych fundusz przestał spełniać wymogi dyrektywy UCITS. </w:t>
      </w:r>
      <w:r w:rsidRPr="00AC7173">
        <w:rPr>
          <w:rFonts w:eastAsiaTheme="minorHAnsi"/>
          <w:bCs/>
          <w:lang w:eastAsia="en-US"/>
        </w:rPr>
        <w:t xml:space="preserve">W art. 261 </w:t>
      </w:r>
      <w:r w:rsidRPr="00AC7173">
        <w:rPr>
          <w:rFonts w:eastAsiaTheme="minorHAnsi"/>
          <w:bCs/>
          <w:lang w:eastAsia="en-US"/>
        </w:rPr>
        <w:lastRenderedPageBreak/>
        <w:t xml:space="preserve">ust. 10 ustawy o funduszach </w:t>
      </w:r>
      <w:r>
        <w:rPr>
          <w:rFonts w:eastAsiaTheme="minorHAnsi"/>
          <w:bCs/>
          <w:lang w:eastAsia="en-US"/>
        </w:rPr>
        <w:t xml:space="preserve">rozszerza się </w:t>
      </w:r>
      <w:r w:rsidRPr="00AC7173">
        <w:rPr>
          <w:rFonts w:eastAsiaTheme="minorHAnsi"/>
          <w:bCs/>
          <w:lang w:eastAsia="en-US"/>
        </w:rPr>
        <w:t>obowiązek informacyjny</w:t>
      </w:r>
      <w:r>
        <w:rPr>
          <w:rFonts w:eastAsiaTheme="minorHAnsi"/>
          <w:bCs/>
          <w:lang w:eastAsia="en-US"/>
        </w:rPr>
        <w:t xml:space="preserve"> </w:t>
      </w:r>
      <w:r w:rsidRPr="00AC7173">
        <w:rPr>
          <w:rFonts w:eastAsiaTheme="minorHAnsi"/>
          <w:bCs/>
          <w:lang w:eastAsia="en-US"/>
        </w:rPr>
        <w:t>ciążący na funduszu</w:t>
      </w:r>
      <w:r>
        <w:rPr>
          <w:rFonts w:eastAsiaTheme="minorHAnsi"/>
          <w:bCs/>
          <w:lang w:eastAsia="en-US"/>
        </w:rPr>
        <w:t xml:space="preserve">. Zgodnie </w:t>
      </w:r>
      <w:r>
        <w:rPr>
          <w:rFonts w:eastAsiaTheme="minorHAnsi"/>
          <w:bCs/>
          <w:lang w:eastAsia="en-US"/>
        </w:rPr>
        <w:br/>
        <w:t>z nowym brzmieniem przepisu zmiana, której dotyczy obowiązek informacyjny, obejmuje również zmianę</w:t>
      </w:r>
      <w:r w:rsidRPr="007936D9">
        <w:rPr>
          <w:rFonts w:eastAsiaTheme="minorHAnsi"/>
          <w:bCs/>
          <w:lang w:eastAsia="en-US"/>
        </w:rPr>
        <w:t xml:space="preserve"> kategorii jednostek uczestnictwa funduszu zbywanych na terytorium państwa goszczącego</w:t>
      </w:r>
      <w:r>
        <w:rPr>
          <w:rFonts w:eastAsiaTheme="minorHAnsi"/>
          <w:bCs/>
          <w:lang w:eastAsia="en-US"/>
        </w:rPr>
        <w:t>.</w:t>
      </w:r>
      <w:r w:rsidRPr="007936D9">
        <w:rPr>
          <w:rFonts w:eastAsiaTheme="minorHAnsi"/>
          <w:bCs/>
          <w:lang w:eastAsia="en-US"/>
        </w:rPr>
        <w:t xml:space="preserve"> </w:t>
      </w:r>
      <w:r>
        <w:rPr>
          <w:rFonts w:eastAsiaTheme="minorHAnsi"/>
          <w:bCs/>
          <w:lang w:eastAsia="en-US"/>
        </w:rPr>
        <w:t>Ponadto dotychczas fundusz był zobowiązany do poinformowania jedynie</w:t>
      </w:r>
      <w:r w:rsidRPr="00AC7173">
        <w:rPr>
          <w:rFonts w:eastAsiaTheme="minorHAnsi"/>
          <w:bCs/>
          <w:lang w:eastAsia="en-US"/>
        </w:rPr>
        <w:t xml:space="preserve"> właściwego organu państwa goszczącego, </w:t>
      </w:r>
      <w:r>
        <w:rPr>
          <w:rFonts w:eastAsiaTheme="minorHAnsi"/>
          <w:bCs/>
          <w:lang w:eastAsia="en-US"/>
        </w:rPr>
        <w:t>natomiast zgodnie z nowym brzmieniem przepisu poinformowana musi zostać także Komisja Nadzoru Finansowego.</w:t>
      </w:r>
      <w:r w:rsidRPr="00AC7173">
        <w:rPr>
          <w:rFonts w:eastAsiaTheme="minorHAnsi"/>
          <w:bCs/>
          <w:lang w:eastAsia="en-US"/>
        </w:rPr>
        <w:t xml:space="preserve"> </w:t>
      </w:r>
      <w:r>
        <w:rPr>
          <w:rFonts w:eastAsiaTheme="minorHAnsi"/>
          <w:bCs/>
          <w:lang w:eastAsia="en-US"/>
        </w:rPr>
        <w:t>Wreszcie</w:t>
      </w:r>
      <w:r w:rsidRPr="00AC7173">
        <w:rPr>
          <w:rFonts w:eastAsiaTheme="minorHAnsi"/>
          <w:bCs/>
          <w:lang w:eastAsia="en-US"/>
        </w:rPr>
        <w:t xml:space="preserve"> zostaje dookreślony termin, w jakim informacja ma zostać przekazana. </w:t>
      </w:r>
      <w:r w:rsidRPr="00825DA5">
        <w:rPr>
          <w:rFonts w:eastAsiaTheme="minorHAnsi"/>
          <w:bCs/>
          <w:lang w:eastAsia="en-US"/>
        </w:rPr>
        <w:t>Zgodnie z projektowanym nowym brzmieniem przepisu p</w:t>
      </w:r>
      <w:r w:rsidRPr="00AC7173">
        <w:rPr>
          <w:rFonts w:eastAsiaTheme="minorHAnsi"/>
          <w:bCs/>
          <w:lang w:eastAsia="en-US"/>
        </w:rPr>
        <w:t xml:space="preserve">rzekazanie </w:t>
      </w:r>
      <w:r w:rsidRPr="00825DA5">
        <w:rPr>
          <w:rFonts w:eastAsiaTheme="minorHAnsi"/>
          <w:bCs/>
          <w:lang w:eastAsia="en-US"/>
        </w:rPr>
        <w:t>musi</w:t>
      </w:r>
      <w:r w:rsidRPr="00AC7173">
        <w:rPr>
          <w:rFonts w:eastAsiaTheme="minorHAnsi"/>
          <w:bCs/>
          <w:lang w:eastAsia="en-US"/>
        </w:rPr>
        <w:t xml:space="preserve"> nastąpić co najmniej na miesiąc przed wprowadzeniem zmian. </w:t>
      </w:r>
      <w:r w:rsidRPr="000C31D4">
        <w:rPr>
          <w:rFonts w:eastAsiaTheme="minorHAnsi"/>
          <w:bCs/>
          <w:lang w:eastAsia="en-US"/>
        </w:rPr>
        <w:t xml:space="preserve">Nowo dodawane </w:t>
      </w:r>
      <w:r w:rsidRPr="00825DA5">
        <w:rPr>
          <w:rFonts w:eastAsiaTheme="minorHAnsi"/>
          <w:bCs/>
          <w:lang w:eastAsia="en-US"/>
        </w:rPr>
        <w:t>art.</w:t>
      </w:r>
      <w:r w:rsidRPr="000C31D4">
        <w:rPr>
          <w:rFonts w:eastAsiaTheme="minorHAnsi"/>
          <w:bCs/>
          <w:lang w:eastAsia="en-US"/>
        </w:rPr>
        <w:t xml:space="preserve"> 261 </w:t>
      </w:r>
      <w:r>
        <w:rPr>
          <w:rFonts w:eastAsiaTheme="minorHAnsi"/>
          <w:bCs/>
          <w:lang w:eastAsia="en-US"/>
        </w:rPr>
        <w:t xml:space="preserve">ust. 10a i 10b </w:t>
      </w:r>
      <w:r w:rsidRPr="000C31D4">
        <w:rPr>
          <w:rFonts w:eastAsiaTheme="minorHAnsi"/>
          <w:bCs/>
          <w:lang w:eastAsia="en-US"/>
        </w:rPr>
        <w:t>ustawy o funduszach służą implementacji odpowiednio art. 93 ust. 8</w:t>
      </w:r>
      <w:r>
        <w:rPr>
          <w:rFonts w:eastAsiaTheme="minorHAnsi"/>
          <w:bCs/>
          <w:lang w:eastAsia="en-US"/>
        </w:rPr>
        <w:t xml:space="preserve"> akapit 2</w:t>
      </w:r>
      <w:r w:rsidRPr="00825DA5">
        <w:rPr>
          <w:rFonts w:eastAsiaTheme="minorHAnsi"/>
          <w:bCs/>
          <w:lang w:eastAsia="en-US"/>
        </w:rPr>
        <w:t xml:space="preserve"> </w:t>
      </w:r>
      <w:r>
        <w:rPr>
          <w:rFonts w:eastAsiaTheme="minorHAnsi"/>
          <w:bCs/>
          <w:lang w:eastAsia="en-US"/>
        </w:rPr>
        <w:t xml:space="preserve">dyrektywy UCITS oraz art. 93 ust. 8 akapit 3 </w:t>
      </w:r>
      <w:r w:rsidRPr="00AB7B61">
        <w:rPr>
          <w:rFonts w:eastAsiaTheme="minorHAnsi"/>
          <w:bCs/>
          <w:lang w:eastAsia="en-US"/>
        </w:rPr>
        <w:t xml:space="preserve">dyrektywy </w:t>
      </w:r>
      <w:r w:rsidRPr="00825DA5">
        <w:rPr>
          <w:rFonts w:eastAsiaTheme="minorHAnsi"/>
          <w:bCs/>
          <w:lang w:eastAsia="en-US"/>
        </w:rPr>
        <w:t>UCITS</w:t>
      </w:r>
      <w:r w:rsidRPr="000C31D4">
        <w:rPr>
          <w:rFonts w:eastAsiaTheme="minorHAnsi"/>
          <w:bCs/>
          <w:lang w:eastAsia="en-US"/>
        </w:rPr>
        <w:t>. Przepisy te dotyczą sytuacji, gdy w wyniku wprowadzenia zmiany działalność funduszu nie jest już zgodna z przepisami prawa lub zmiany wprowadzono bez wymaganego zawiadomienia.</w:t>
      </w:r>
      <w:r>
        <w:rPr>
          <w:rFonts w:eastAsiaTheme="minorHAnsi"/>
          <w:bCs/>
          <w:lang w:eastAsia="en-US"/>
        </w:rPr>
        <w:t xml:space="preserve"> </w:t>
      </w:r>
      <w:r w:rsidRPr="00E420EB">
        <w:rPr>
          <w:rFonts w:eastAsiaTheme="minorHAnsi"/>
          <w:bCs/>
          <w:lang w:eastAsia="en-US"/>
        </w:rPr>
        <w:t xml:space="preserve">Odpowiednikiem przepisu art. 93 ust. 8 </w:t>
      </w:r>
      <w:r w:rsidRPr="00AB7B61">
        <w:rPr>
          <w:rFonts w:eastAsiaTheme="minorHAnsi"/>
          <w:bCs/>
          <w:lang w:eastAsia="en-US"/>
        </w:rPr>
        <w:t xml:space="preserve">dyrektywy </w:t>
      </w:r>
      <w:r w:rsidRPr="00E420EB">
        <w:rPr>
          <w:rFonts w:eastAsiaTheme="minorHAnsi"/>
          <w:bCs/>
          <w:lang w:eastAsia="en-US"/>
        </w:rPr>
        <w:t xml:space="preserve">UCITS jest art. 32 ust. 7 </w:t>
      </w:r>
      <w:r w:rsidRPr="00AB7B61">
        <w:rPr>
          <w:rFonts w:eastAsiaTheme="minorHAnsi"/>
          <w:bCs/>
          <w:lang w:eastAsia="en-US"/>
        </w:rPr>
        <w:t xml:space="preserve">dyrektywy </w:t>
      </w:r>
      <w:r w:rsidRPr="00E420EB">
        <w:rPr>
          <w:rFonts w:eastAsiaTheme="minorHAnsi"/>
          <w:bCs/>
          <w:lang w:eastAsia="en-US"/>
        </w:rPr>
        <w:t>ZAFI.</w:t>
      </w:r>
    </w:p>
    <w:p w14:paraId="51596A47" w14:textId="77777777" w:rsidR="00FC78AA" w:rsidRDefault="00FC78AA" w:rsidP="00FC78AA">
      <w:pPr>
        <w:spacing w:line="360" w:lineRule="auto"/>
        <w:jc w:val="both"/>
        <w:rPr>
          <w:rFonts w:eastAsiaTheme="minorHAnsi"/>
          <w:bCs/>
          <w:lang w:eastAsia="en-US"/>
        </w:rPr>
      </w:pPr>
      <w:r w:rsidRPr="00E420EB">
        <w:rPr>
          <w:rFonts w:eastAsiaTheme="minorHAnsi"/>
          <w:b/>
          <w:bCs/>
          <w:lang w:eastAsia="en-US"/>
        </w:rPr>
        <w:t xml:space="preserve">Art. 1 pkt </w:t>
      </w:r>
      <w:r>
        <w:rPr>
          <w:rFonts w:eastAsiaTheme="minorHAnsi"/>
          <w:b/>
          <w:bCs/>
          <w:lang w:eastAsia="en-US"/>
        </w:rPr>
        <w:t>9</w:t>
      </w:r>
      <w:r w:rsidRPr="00E420EB">
        <w:rPr>
          <w:rFonts w:eastAsiaTheme="minorHAnsi"/>
          <w:b/>
          <w:bCs/>
          <w:lang w:eastAsia="en-US"/>
        </w:rPr>
        <w:t xml:space="preserve"> projektu</w:t>
      </w:r>
      <w:r w:rsidRPr="00E420EB">
        <w:rPr>
          <w:rFonts w:eastAsiaTheme="minorHAnsi"/>
          <w:bCs/>
          <w:lang w:eastAsia="en-US"/>
        </w:rPr>
        <w:t xml:space="preserve"> dokonuje implementacji art. 93a </w:t>
      </w:r>
      <w:r w:rsidRPr="00AB7B61">
        <w:rPr>
          <w:rFonts w:eastAsiaTheme="minorHAnsi"/>
          <w:bCs/>
          <w:lang w:eastAsia="en-US"/>
        </w:rPr>
        <w:t xml:space="preserve">dyrektywy </w:t>
      </w:r>
      <w:r w:rsidRPr="00E420EB">
        <w:rPr>
          <w:rFonts w:eastAsiaTheme="minorHAnsi"/>
          <w:bCs/>
          <w:lang w:eastAsia="en-US"/>
        </w:rPr>
        <w:t>UCITS</w:t>
      </w:r>
      <w:r>
        <w:rPr>
          <w:rFonts w:eastAsiaTheme="minorHAnsi"/>
          <w:bCs/>
          <w:lang w:eastAsia="en-US"/>
        </w:rPr>
        <w:t xml:space="preserve"> w odniesieniu do funduszy krajowych</w:t>
      </w:r>
      <w:r w:rsidRPr="0001083C">
        <w:rPr>
          <w:rFonts w:eastAsiaTheme="minorHAnsi"/>
          <w:bCs/>
          <w:lang w:eastAsia="en-US"/>
        </w:rPr>
        <w:t xml:space="preserve"> </w:t>
      </w:r>
      <w:r w:rsidRPr="00E420EB">
        <w:rPr>
          <w:rFonts w:eastAsiaTheme="minorHAnsi"/>
          <w:bCs/>
          <w:lang w:eastAsia="en-US"/>
        </w:rPr>
        <w:t xml:space="preserve">przez dodanie w ustawie o funduszach nowych </w:t>
      </w:r>
      <w:r>
        <w:rPr>
          <w:rFonts w:eastAsiaTheme="minorHAnsi"/>
          <w:bCs/>
          <w:lang w:eastAsia="en-US"/>
        </w:rPr>
        <w:t>art.</w:t>
      </w:r>
      <w:r w:rsidRPr="00E420EB">
        <w:rPr>
          <w:rFonts w:eastAsiaTheme="minorHAnsi"/>
          <w:bCs/>
          <w:lang w:eastAsia="en-US"/>
        </w:rPr>
        <w:t xml:space="preserve"> 261d-261f</w:t>
      </w:r>
      <w:r w:rsidRPr="00000E63">
        <w:rPr>
          <w:rFonts w:eastAsiaTheme="minorHAnsi"/>
          <w:bCs/>
          <w:lang w:eastAsia="en-US"/>
        </w:rPr>
        <w:t xml:space="preserve">. Wprowadzony dyrektywą 2019/1160 </w:t>
      </w:r>
      <w:r>
        <w:rPr>
          <w:rFonts w:eastAsiaTheme="minorHAnsi"/>
          <w:bCs/>
          <w:lang w:eastAsia="en-US"/>
        </w:rPr>
        <w:t>art.</w:t>
      </w:r>
      <w:r w:rsidRPr="00000E63">
        <w:rPr>
          <w:rFonts w:eastAsiaTheme="minorHAnsi"/>
          <w:bCs/>
          <w:lang w:eastAsia="en-US"/>
        </w:rPr>
        <w:t xml:space="preserve"> 93a </w:t>
      </w:r>
      <w:r w:rsidRPr="00AB7B61">
        <w:rPr>
          <w:rFonts w:eastAsiaTheme="minorHAnsi"/>
          <w:bCs/>
          <w:lang w:eastAsia="en-US"/>
        </w:rPr>
        <w:t xml:space="preserve">dyrektywy </w:t>
      </w:r>
      <w:r w:rsidRPr="00000E63">
        <w:rPr>
          <w:rFonts w:eastAsiaTheme="minorHAnsi"/>
          <w:bCs/>
          <w:lang w:eastAsia="en-US"/>
        </w:rPr>
        <w:t>UCITS reguluje wycofanie przez fundusz powiadomienia o zamiarze wprowadzania jednostek uczestnictwa do obrotu na terenie innego niż macierzyste państwa członkowskiego. W implementującym art. 93a ust.</w:t>
      </w:r>
      <w:r w:rsidRPr="00825DA5">
        <w:rPr>
          <w:rFonts w:eastAsiaTheme="minorHAnsi"/>
          <w:bCs/>
          <w:lang w:eastAsia="en-US"/>
        </w:rPr>
        <w:t xml:space="preserve"> </w:t>
      </w:r>
      <w:r w:rsidRPr="00000E63">
        <w:rPr>
          <w:rFonts w:eastAsiaTheme="minorHAnsi"/>
          <w:bCs/>
          <w:lang w:eastAsia="en-US"/>
        </w:rPr>
        <w:t xml:space="preserve">4 </w:t>
      </w:r>
      <w:r w:rsidRPr="00AB7B61">
        <w:rPr>
          <w:rFonts w:eastAsiaTheme="minorHAnsi"/>
          <w:bCs/>
          <w:lang w:eastAsia="en-US"/>
        </w:rPr>
        <w:t xml:space="preserve">dyrektywy </w:t>
      </w:r>
      <w:r w:rsidRPr="00000E63">
        <w:rPr>
          <w:rFonts w:eastAsiaTheme="minorHAnsi"/>
          <w:bCs/>
          <w:lang w:eastAsia="en-US"/>
        </w:rPr>
        <w:t xml:space="preserve">UCITS projektowanym </w:t>
      </w:r>
      <w:r>
        <w:rPr>
          <w:rFonts w:eastAsiaTheme="minorHAnsi"/>
          <w:bCs/>
          <w:lang w:eastAsia="en-US"/>
        </w:rPr>
        <w:t>art.</w:t>
      </w:r>
      <w:r w:rsidRPr="00000E63">
        <w:rPr>
          <w:rFonts w:eastAsiaTheme="minorHAnsi"/>
          <w:bCs/>
          <w:lang w:eastAsia="en-US"/>
        </w:rPr>
        <w:t xml:space="preserve"> 261f </w:t>
      </w:r>
      <w:r>
        <w:rPr>
          <w:rFonts w:eastAsiaTheme="minorHAnsi"/>
          <w:bCs/>
          <w:lang w:eastAsia="en-US"/>
        </w:rPr>
        <w:br/>
      </w:r>
      <w:r w:rsidRPr="00000E63">
        <w:rPr>
          <w:rFonts w:eastAsiaTheme="minorHAnsi"/>
          <w:bCs/>
          <w:lang w:eastAsia="en-US"/>
        </w:rPr>
        <w:t xml:space="preserve">ust. 1 i 2 nie wyrażono wprost obowiązku przekazywania przez fundusz KNF informacji po zaprzestaniu przez ten fundusz zbywania jednostek uczestnictwa na terytorium goszczącego państwa członkowskiego, gdyż obowiązek ten wynika już z obowiązujących przepisów. Także bowiem po zaprzestaniu transgranicznego prowadzania do obrotu, UCITS pozostaje pod nadzorem swego państwa macierzystego, w tym wypadku Polski. W odniesieniu do funduszy zagranicznych art. 93a </w:t>
      </w:r>
      <w:r w:rsidRPr="00AB7B61">
        <w:rPr>
          <w:rFonts w:eastAsiaTheme="minorHAnsi"/>
          <w:bCs/>
          <w:lang w:eastAsia="en-US"/>
        </w:rPr>
        <w:t xml:space="preserve">dyrektywy </w:t>
      </w:r>
      <w:r w:rsidRPr="00000E63">
        <w:rPr>
          <w:rFonts w:eastAsiaTheme="minorHAnsi"/>
          <w:bCs/>
          <w:lang w:eastAsia="en-US"/>
        </w:rPr>
        <w:t xml:space="preserve">UCITS jest implementowany </w:t>
      </w:r>
      <w:r>
        <w:rPr>
          <w:rFonts w:eastAsiaTheme="minorHAnsi"/>
          <w:bCs/>
          <w:lang w:eastAsia="en-US"/>
        </w:rPr>
        <w:t>przepisem art.</w:t>
      </w:r>
      <w:r w:rsidRPr="00000E63">
        <w:rPr>
          <w:rFonts w:eastAsiaTheme="minorHAnsi"/>
          <w:bCs/>
          <w:lang w:eastAsia="en-US"/>
        </w:rPr>
        <w:t xml:space="preserve"> 1 pkt </w:t>
      </w:r>
      <w:r>
        <w:rPr>
          <w:rFonts w:eastAsiaTheme="minorHAnsi"/>
          <w:bCs/>
          <w:lang w:eastAsia="en-US"/>
        </w:rPr>
        <w:t>7</w:t>
      </w:r>
      <w:r w:rsidRPr="00000E63">
        <w:rPr>
          <w:rFonts w:eastAsiaTheme="minorHAnsi"/>
          <w:bCs/>
          <w:lang w:eastAsia="en-US"/>
        </w:rPr>
        <w:t xml:space="preserve"> projektu.</w:t>
      </w:r>
    </w:p>
    <w:p w14:paraId="6E4EFE95" w14:textId="77777777" w:rsidR="00FC78AA" w:rsidRDefault="00FC78AA" w:rsidP="00FC78AA">
      <w:pPr>
        <w:spacing w:line="360" w:lineRule="auto"/>
        <w:jc w:val="both"/>
        <w:rPr>
          <w:rFonts w:eastAsiaTheme="minorHAnsi"/>
          <w:bCs/>
          <w:lang w:eastAsia="en-US"/>
        </w:rPr>
      </w:pPr>
      <w:r w:rsidRPr="00825DA5">
        <w:rPr>
          <w:rFonts w:eastAsiaTheme="minorHAnsi"/>
          <w:b/>
          <w:bCs/>
          <w:lang w:eastAsia="en-US"/>
        </w:rPr>
        <w:t xml:space="preserve">Art. 1 pkt </w:t>
      </w:r>
      <w:r>
        <w:rPr>
          <w:rFonts w:eastAsiaTheme="minorHAnsi"/>
          <w:b/>
          <w:bCs/>
          <w:lang w:eastAsia="en-US"/>
        </w:rPr>
        <w:t>10</w:t>
      </w:r>
      <w:r w:rsidRPr="00825DA5">
        <w:rPr>
          <w:rFonts w:eastAsiaTheme="minorHAnsi"/>
          <w:b/>
          <w:bCs/>
          <w:lang w:eastAsia="en-US"/>
        </w:rPr>
        <w:t xml:space="preserve"> projektu</w:t>
      </w:r>
      <w:r>
        <w:rPr>
          <w:rFonts w:eastAsiaTheme="minorHAnsi"/>
          <w:bCs/>
          <w:lang w:eastAsia="en-US"/>
        </w:rPr>
        <w:t xml:space="preserve"> stanowi kolejną zmianę wynikową związaną</w:t>
      </w:r>
      <w:r w:rsidRPr="00000E63">
        <w:rPr>
          <w:rFonts w:eastAsiaTheme="minorHAnsi"/>
          <w:bCs/>
          <w:lang w:eastAsia="en-US"/>
        </w:rPr>
        <w:t xml:space="preserve"> z implementacją znowelizowanego art. 92 </w:t>
      </w:r>
      <w:r>
        <w:rPr>
          <w:rFonts w:eastAsiaTheme="minorHAnsi"/>
          <w:bCs/>
          <w:lang w:eastAsia="en-US"/>
        </w:rPr>
        <w:t xml:space="preserve">ust. 2 </w:t>
      </w:r>
      <w:r w:rsidRPr="00000E63">
        <w:rPr>
          <w:rFonts w:eastAsiaTheme="minorHAnsi"/>
          <w:bCs/>
          <w:lang w:eastAsia="en-US"/>
        </w:rPr>
        <w:t>dyrektywy UCITS, który wskazuje, że państwa członkowskie nie wymagają od fundusz</w:t>
      </w:r>
      <w:r>
        <w:rPr>
          <w:rFonts w:eastAsiaTheme="minorHAnsi"/>
          <w:bCs/>
          <w:lang w:eastAsia="en-US"/>
        </w:rPr>
        <w:t>u</w:t>
      </w:r>
      <w:r w:rsidRPr="00000E63">
        <w:rPr>
          <w:rFonts w:eastAsiaTheme="minorHAnsi"/>
          <w:bCs/>
          <w:lang w:eastAsia="en-US"/>
        </w:rPr>
        <w:t xml:space="preserve"> za</w:t>
      </w:r>
      <w:r>
        <w:rPr>
          <w:rFonts w:eastAsiaTheme="minorHAnsi"/>
          <w:bCs/>
          <w:lang w:eastAsia="en-US"/>
        </w:rPr>
        <w:t>granicznego fizycznej obecności</w:t>
      </w:r>
      <w:r w:rsidRPr="00000E63">
        <w:rPr>
          <w:rFonts w:eastAsiaTheme="minorHAnsi"/>
          <w:bCs/>
          <w:lang w:eastAsia="en-US"/>
        </w:rPr>
        <w:t xml:space="preserve"> </w:t>
      </w:r>
      <w:r>
        <w:rPr>
          <w:rFonts w:eastAsiaTheme="minorHAnsi"/>
          <w:bCs/>
          <w:lang w:eastAsia="en-US"/>
        </w:rPr>
        <w:t>ani</w:t>
      </w:r>
      <w:r w:rsidRPr="00000E63">
        <w:rPr>
          <w:rFonts w:eastAsiaTheme="minorHAnsi"/>
          <w:bCs/>
          <w:lang w:eastAsia="en-US"/>
        </w:rPr>
        <w:t xml:space="preserve"> ustanowienia przedstawiciela funduszu zagranicznego </w:t>
      </w:r>
      <w:r>
        <w:rPr>
          <w:rFonts w:eastAsiaTheme="minorHAnsi"/>
          <w:bCs/>
          <w:lang w:eastAsia="en-US"/>
        </w:rPr>
        <w:t>lub</w:t>
      </w:r>
      <w:r w:rsidRPr="00000E63">
        <w:rPr>
          <w:rFonts w:eastAsiaTheme="minorHAnsi"/>
          <w:bCs/>
          <w:lang w:eastAsia="en-US"/>
        </w:rPr>
        <w:t xml:space="preserve"> agenta płatności</w:t>
      </w:r>
      <w:r w:rsidRPr="00CA2BE8">
        <w:t xml:space="preserve"> </w:t>
      </w:r>
      <w:r w:rsidRPr="00CA2BE8">
        <w:rPr>
          <w:rFonts w:eastAsiaTheme="minorHAnsi"/>
          <w:bCs/>
          <w:lang w:eastAsia="en-US"/>
        </w:rPr>
        <w:t>w przyjmującym państwie członkowskim</w:t>
      </w:r>
      <w:r w:rsidRPr="00000E63">
        <w:rPr>
          <w:rFonts w:eastAsiaTheme="minorHAnsi"/>
          <w:bCs/>
          <w:lang w:eastAsia="en-US"/>
        </w:rPr>
        <w:t>.</w:t>
      </w:r>
      <w:r>
        <w:rPr>
          <w:rFonts w:eastAsiaTheme="minorHAnsi"/>
          <w:bCs/>
          <w:lang w:eastAsia="en-US"/>
        </w:rPr>
        <w:t xml:space="preserve"> Przepisy art. 263 ust. 2 pkt 2 i 3 zostają tak zmodyfikowane, by uwzględniały dobrowolność ustanowienia przedstawiciela lub agenta płatności.</w:t>
      </w:r>
    </w:p>
    <w:p w14:paraId="67897D55" w14:textId="77777777" w:rsidR="00FC78AA" w:rsidRDefault="00FC78AA" w:rsidP="00FC78AA">
      <w:pPr>
        <w:spacing w:line="360" w:lineRule="auto"/>
        <w:jc w:val="both"/>
        <w:rPr>
          <w:rFonts w:eastAsiaTheme="minorHAnsi"/>
          <w:bCs/>
          <w:lang w:eastAsia="en-US"/>
        </w:rPr>
      </w:pPr>
      <w:r w:rsidRPr="00825DA5">
        <w:rPr>
          <w:rFonts w:eastAsiaTheme="minorHAnsi"/>
          <w:b/>
          <w:bCs/>
          <w:lang w:eastAsia="en-US"/>
        </w:rPr>
        <w:lastRenderedPageBreak/>
        <w:t xml:space="preserve">Art. 1 pkt </w:t>
      </w:r>
      <w:r>
        <w:rPr>
          <w:rFonts w:eastAsiaTheme="minorHAnsi"/>
          <w:b/>
          <w:bCs/>
          <w:lang w:eastAsia="en-US"/>
        </w:rPr>
        <w:t>11</w:t>
      </w:r>
      <w:r w:rsidRPr="00825DA5">
        <w:rPr>
          <w:rFonts w:eastAsiaTheme="minorHAnsi"/>
          <w:b/>
          <w:bCs/>
          <w:lang w:eastAsia="en-US"/>
        </w:rPr>
        <w:t xml:space="preserve"> projektu</w:t>
      </w:r>
      <w:r>
        <w:rPr>
          <w:rFonts w:eastAsiaTheme="minorHAnsi"/>
          <w:bCs/>
          <w:lang w:eastAsia="en-US"/>
        </w:rPr>
        <w:t xml:space="preserve"> dokonuje implementacji dodanego dyrektywą 2019/1160 art. 43a </w:t>
      </w:r>
      <w:r w:rsidRPr="00AB7B61">
        <w:rPr>
          <w:rFonts w:eastAsiaTheme="minorHAnsi"/>
          <w:bCs/>
          <w:lang w:eastAsia="en-US"/>
        </w:rPr>
        <w:t xml:space="preserve">dyrektywy </w:t>
      </w:r>
      <w:r>
        <w:rPr>
          <w:rFonts w:eastAsiaTheme="minorHAnsi"/>
          <w:bCs/>
          <w:lang w:eastAsia="en-US"/>
        </w:rPr>
        <w:t xml:space="preserve">ZAFI, który rozszerza obowiązek </w:t>
      </w:r>
      <w:r w:rsidRPr="00B44247">
        <w:rPr>
          <w:rFonts w:eastAsiaTheme="minorHAnsi"/>
          <w:bCs/>
          <w:lang w:eastAsia="en-US"/>
        </w:rPr>
        <w:t xml:space="preserve">ustanowienia odpowiednich rozwiązań technicznych </w:t>
      </w:r>
      <w:r>
        <w:rPr>
          <w:rFonts w:eastAsiaTheme="minorHAnsi"/>
          <w:bCs/>
          <w:lang w:eastAsia="en-US"/>
        </w:rPr>
        <w:br/>
        <w:t>i organizacyjnych na ZAFI wprowadzających</w:t>
      </w:r>
      <w:r w:rsidRPr="00B44247">
        <w:rPr>
          <w:rFonts w:eastAsiaTheme="minorHAnsi"/>
          <w:bCs/>
          <w:lang w:eastAsia="en-US"/>
        </w:rPr>
        <w:t xml:space="preserve"> do obrotu jednostki uczestnictwa lub udziały </w:t>
      </w:r>
      <w:r w:rsidRPr="00825DA5">
        <w:rPr>
          <w:rFonts w:eastAsiaTheme="minorHAnsi"/>
          <w:bCs/>
          <w:lang w:eastAsia="en-US"/>
        </w:rPr>
        <w:t>AFI</w:t>
      </w:r>
      <w:r w:rsidRPr="00B44247">
        <w:rPr>
          <w:rFonts w:eastAsiaTheme="minorHAnsi"/>
          <w:bCs/>
          <w:lang w:eastAsia="en-US"/>
        </w:rPr>
        <w:t xml:space="preserve"> wśród inwestorów detalicznych</w:t>
      </w:r>
      <w:r>
        <w:rPr>
          <w:rFonts w:eastAsiaTheme="minorHAnsi"/>
          <w:bCs/>
          <w:lang w:eastAsia="en-US"/>
        </w:rPr>
        <w:t xml:space="preserve">. Zmiana polega na dodaniu nowych ust. 2a-2c w art. 263a ustawy </w:t>
      </w:r>
      <w:r>
        <w:rPr>
          <w:rFonts w:eastAsiaTheme="minorHAnsi"/>
          <w:bCs/>
          <w:lang w:eastAsia="en-US"/>
        </w:rPr>
        <w:br/>
        <w:t>o funduszach.</w:t>
      </w:r>
    </w:p>
    <w:p w14:paraId="209A129A" w14:textId="77777777" w:rsidR="00FC78AA" w:rsidRDefault="00FC78AA" w:rsidP="00FC78AA">
      <w:pPr>
        <w:spacing w:line="360" w:lineRule="auto"/>
        <w:jc w:val="both"/>
        <w:rPr>
          <w:rFonts w:eastAsiaTheme="minorHAnsi"/>
          <w:bCs/>
          <w:lang w:eastAsia="en-US"/>
        </w:rPr>
      </w:pPr>
      <w:r w:rsidRPr="006F7153">
        <w:rPr>
          <w:rFonts w:eastAsiaTheme="minorHAnsi"/>
          <w:b/>
          <w:bCs/>
          <w:lang w:eastAsia="en-US"/>
        </w:rPr>
        <w:t xml:space="preserve">Art. 1 pkt </w:t>
      </w:r>
      <w:r>
        <w:rPr>
          <w:rFonts w:eastAsiaTheme="minorHAnsi"/>
          <w:b/>
          <w:bCs/>
          <w:lang w:eastAsia="en-US"/>
        </w:rPr>
        <w:t>12</w:t>
      </w:r>
      <w:r w:rsidRPr="006F7153">
        <w:rPr>
          <w:rFonts w:eastAsiaTheme="minorHAnsi"/>
          <w:b/>
          <w:bCs/>
          <w:lang w:eastAsia="en-US"/>
        </w:rPr>
        <w:t xml:space="preserve"> projektu</w:t>
      </w:r>
      <w:r>
        <w:rPr>
          <w:rFonts w:eastAsiaTheme="minorHAnsi"/>
          <w:bCs/>
          <w:lang w:eastAsia="en-US"/>
        </w:rPr>
        <w:t xml:space="preserve"> dokonuje implementacji pkt i oraz j załącznika IV do dyrektywy ZAFI poprzez uzupełnienie zawartego w art. 263b </w:t>
      </w:r>
      <w:r w:rsidRPr="006F7153">
        <w:rPr>
          <w:rFonts w:eastAsiaTheme="minorHAnsi"/>
          <w:bCs/>
          <w:lang w:eastAsia="en-US"/>
        </w:rPr>
        <w:t>ust. 2</w:t>
      </w:r>
      <w:r>
        <w:rPr>
          <w:rFonts w:eastAsiaTheme="minorHAnsi"/>
          <w:bCs/>
          <w:lang w:eastAsia="en-US"/>
        </w:rPr>
        <w:t xml:space="preserve"> ustawy o funduszach wykazu danych, jakie musi zawierać </w:t>
      </w:r>
      <w:r w:rsidRPr="006F7153">
        <w:rPr>
          <w:rFonts w:eastAsiaTheme="minorHAnsi"/>
          <w:bCs/>
          <w:lang w:eastAsia="en-US"/>
        </w:rPr>
        <w:t>zawiadomienie o zamiarze wprowadzenia unijnego AFI do obrotu na terytorium Rzeczypospolitej Polskiej</w:t>
      </w:r>
      <w:r>
        <w:rPr>
          <w:rFonts w:eastAsiaTheme="minorHAnsi"/>
          <w:bCs/>
          <w:lang w:eastAsia="en-US"/>
        </w:rPr>
        <w:t>. Zawiadomienie takie KNF musi otrzymać</w:t>
      </w:r>
      <w:r w:rsidRPr="006F7153">
        <w:t xml:space="preserve"> </w:t>
      </w:r>
      <w:r w:rsidRPr="006F7153">
        <w:rPr>
          <w:rFonts w:eastAsiaTheme="minorHAnsi"/>
          <w:bCs/>
          <w:lang w:eastAsia="en-US"/>
        </w:rPr>
        <w:t>od właściwego organu nadzoru państwa macierzystego zarządzającego z UE</w:t>
      </w:r>
      <w:r>
        <w:rPr>
          <w:rFonts w:eastAsiaTheme="minorHAnsi"/>
          <w:bCs/>
          <w:lang w:eastAsia="en-US"/>
        </w:rPr>
        <w:t xml:space="preserve">, aby ten mógł </w:t>
      </w:r>
      <w:r w:rsidRPr="006F7153">
        <w:rPr>
          <w:rFonts w:eastAsiaTheme="minorHAnsi"/>
          <w:bCs/>
          <w:lang w:eastAsia="en-US"/>
        </w:rPr>
        <w:t>wprowadzać unijny AFI, którym zarządza, do obrotu na terytorium Rzeczypospolitej Polskiej</w:t>
      </w:r>
      <w:r>
        <w:rPr>
          <w:rFonts w:eastAsiaTheme="minorHAnsi"/>
          <w:bCs/>
          <w:lang w:eastAsia="en-US"/>
        </w:rPr>
        <w:t>.</w:t>
      </w:r>
    </w:p>
    <w:p w14:paraId="51C866ED" w14:textId="30710008" w:rsidR="00FC78AA" w:rsidRDefault="00FC78AA" w:rsidP="00FC78AA">
      <w:pPr>
        <w:spacing w:line="360" w:lineRule="auto"/>
        <w:jc w:val="both"/>
        <w:rPr>
          <w:rFonts w:eastAsiaTheme="minorHAnsi"/>
          <w:bCs/>
          <w:lang w:eastAsia="en-US"/>
        </w:rPr>
      </w:pPr>
      <w:r w:rsidRPr="006F7153">
        <w:rPr>
          <w:rFonts w:eastAsiaTheme="minorHAnsi"/>
          <w:b/>
          <w:bCs/>
          <w:lang w:eastAsia="en-US"/>
        </w:rPr>
        <w:t xml:space="preserve">Art. 1 pkt </w:t>
      </w:r>
      <w:r>
        <w:rPr>
          <w:rFonts w:eastAsiaTheme="minorHAnsi"/>
          <w:b/>
          <w:bCs/>
          <w:lang w:eastAsia="en-US"/>
        </w:rPr>
        <w:t>13</w:t>
      </w:r>
      <w:r w:rsidRPr="006F7153">
        <w:rPr>
          <w:rFonts w:eastAsiaTheme="minorHAnsi"/>
          <w:b/>
          <w:bCs/>
          <w:lang w:eastAsia="en-US"/>
        </w:rPr>
        <w:t xml:space="preserve"> projektu</w:t>
      </w:r>
      <w:r>
        <w:rPr>
          <w:rFonts w:eastAsiaTheme="minorHAnsi"/>
          <w:bCs/>
          <w:lang w:eastAsia="en-US"/>
        </w:rPr>
        <w:t xml:space="preserve"> służy wdrożeniu art. 32a </w:t>
      </w:r>
      <w:r w:rsidRPr="00AB7B61">
        <w:rPr>
          <w:rFonts w:eastAsiaTheme="minorHAnsi"/>
          <w:bCs/>
          <w:lang w:eastAsia="en-US"/>
        </w:rPr>
        <w:t xml:space="preserve">dyrektywy </w:t>
      </w:r>
      <w:r>
        <w:rPr>
          <w:rFonts w:eastAsiaTheme="minorHAnsi"/>
          <w:bCs/>
          <w:lang w:eastAsia="en-US"/>
        </w:rPr>
        <w:t xml:space="preserve">ZAFI przez dodanie art. 263ba </w:t>
      </w:r>
      <w:r>
        <w:rPr>
          <w:rFonts w:eastAsiaTheme="minorHAnsi"/>
          <w:bCs/>
          <w:lang w:eastAsia="en-US"/>
        </w:rPr>
        <w:br/>
        <w:t>w ustawie o funduszach.</w:t>
      </w:r>
      <w:r w:rsidRPr="00805BCD">
        <w:t xml:space="preserve"> </w:t>
      </w:r>
      <w:r>
        <w:t>Implementowany przepis został wprowadzony w celu uregulowania sytuacji, gdy ZAFI decyduje się na wy</w:t>
      </w:r>
      <w:r w:rsidRPr="00805BCD">
        <w:rPr>
          <w:rFonts w:eastAsiaTheme="minorHAnsi"/>
          <w:bCs/>
          <w:lang w:eastAsia="en-US"/>
        </w:rPr>
        <w:t>cofanie powiadomienia o uzgodnieniach dotyczących wprowadzania do obrotu jednostek uczestnictwa lub udziałów niektórych lub wszystkich AFI z UE w państwach członkowskich innych niż macie</w:t>
      </w:r>
      <w:r>
        <w:rPr>
          <w:rFonts w:eastAsiaTheme="minorHAnsi"/>
          <w:bCs/>
          <w:lang w:eastAsia="en-US"/>
        </w:rPr>
        <w:t>rzyste państwo członkowskie ZAFI. Projektowany art. 263ba ustawy o funduszach dokonuje implementacji w odniesieniu do zarządzającego</w:t>
      </w:r>
      <w:r w:rsidRPr="00805BCD">
        <w:rPr>
          <w:rFonts w:eastAsiaTheme="minorHAnsi"/>
          <w:bCs/>
          <w:lang w:eastAsia="en-US"/>
        </w:rPr>
        <w:t xml:space="preserve"> z UE, który zamierza zaprzestać wprowadzania unijnego AFI, którym zarządza</w:t>
      </w:r>
      <w:r>
        <w:rPr>
          <w:rFonts w:eastAsiaTheme="minorHAnsi"/>
          <w:bCs/>
          <w:lang w:eastAsia="en-US"/>
        </w:rPr>
        <w:t>,</w:t>
      </w:r>
      <w:r w:rsidRPr="00805BCD">
        <w:rPr>
          <w:rFonts w:eastAsiaTheme="minorHAnsi"/>
          <w:bCs/>
          <w:lang w:eastAsia="en-US"/>
        </w:rPr>
        <w:t xml:space="preserve"> do obrotu na terytorium Rzeczypospolitej</w:t>
      </w:r>
      <w:r>
        <w:rPr>
          <w:rFonts w:eastAsiaTheme="minorHAnsi"/>
          <w:bCs/>
          <w:lang w:eastAsia="en-US"/>
        </w:rPr>
        <w:t xml:space="preserve"> Polskiej. W zakresie ZAFI krajowych wdrożenie jest dokonywane przepisami art. 1 pkt 16 i 19 projektowanej ustawy.</w:t>
      </w:r>
    </w:p>
    <w:p w14:paraId="102168CB" w14:textId="77777777" w:rsidR="00FC78AA" w:rsidRDefault="00FC78AA" w:rsidP="00FC78AA">
      <w:pPr>
        <w:spacing w:line="360" w:lineRule="auto"/>
        <w:jc w:val="both"/>
        <w:rPr>
          <w:rFonts w:eastAsiaTheme="minorHAnsi"/>
          <w:bCs/>
          <w:lang w:eastAsia="en-US"/>
        </w:rPr>
      </w:pPr>
      <w:r w:rsidRPr="00825DA5">
        <w:rPr>
          <w:rFonts w:eastAsiaTheme="minorHAnsi"/>
          <w:b/>
          <w:bCs/>
          <w:lang w:eastAsia="en-US"/>
        </w:rPr>
        <w:t xml:space="preserve">Art. 1 pkt </w:t>
      </w:r>
      <w:r>
        <w:rPr>
          <w:rFonts w:eastAsiaTheme="minorHAnsi"/>
          <w:b/>
          <w:bCs/>
          <w:lang w:eastAsia="en-US"/>
        </w:rPr>
        <w:t>14 projektu</w:t>
      </w:r>
      <w:r>
        <w:rPr>
          <w:rFonts w:eastAsiaTheme="minorHAnsi"/>
          <w:bCs/>
          <w:lang w:eastAsia="en-US"/>
        </w:rPr>
        <w:t xml:space="preserve"> to kolejny przepis mający na celu implementację </w:t>
      </w:r>
      <w:r w:rsidRPr="00273B62">
        <w:rPr>
          <w:rFonts w:eastAsiaTheme="minorHAnsi"/>
          <w:bCs/>
          <w:lang w:eastAsia="en-US"/>
        </w:rPr>
        <w:t xml:space="preserve">pkt i oraz j </w:t>
      </w:r>
      <w:r>
        <w:rPr>
          <w:rFonts w:eastAsiaTheme="minorHAnsi"/>
          <w:bCs/>
          <w:lang w:eastAsia="en-US"/>
        </w:rPr>
        <w:t>z</w:t>
      </w:r>
      <w:r w:rsidRPr="00273B62">
        <w:rPr>
          <w:rFonts w:eastAsiaTheme="minorHAnsi"/>
          <w:bCs/>
          <w:lang w:eastAsia="en-US"/>
        </w:rPr>
        <w:t>ałącznika IV do dyrektywy ZAFI</w:t>
      </w:r>
      <w:r>
        <w:rPr>
          <w:rFonts w:eastAsiaTheme="minorHAnsi"/>
          <w:bCs/>
          <w:lang w:eastAsia="en-US"/>
        </w:rPr>
        <w:t xml:space="preserve">. Ma on zastosowanie do sytuacji, gdy </w:t>
      </w:r>
      <w:r w:rsidRPr="00273B62">
        <w:rPr>
          <w:rFonts w:eastAsiaTheme="minorHAnsi"/>
          <w:bCs/>
          <w:lang w:eastAsia="en-US"/>
        </w:rPr>
        <w:t>towarzystwo albo zarządzający ASI zamierzają wprowadzać unijny AFI, którym zarządzają, do obrotu na terytorium Rzeczypospolitej Polskiej</w:t>
      </w:r>
      <w:r>
        <w:rPr>
          <w:rFonts w:eastAsiaTheme="minorHAnsi"/>
          <w:bCs/>
          <w:lang w:eastAsia="en-US"/>
        </w:rPr>
        <w:t>.</w:t>
      </w:r>
      <w:r w:rsidRPr="00273B62">
        <w:rPr>
          <w:rFonts w:eastAsiaTheme="minorHAnsi"/>
          <w:bCs/>
          <w:lang w:eastAsia="en-US"/>
        </w:rPr>
        <w:t xml:space="preserve"> </w:t>
      </w:r>
      <w:r>
        <w:rPr>
          <w:rFonts w:eastAsiaTheme="minorHAnsi"/>
          <w:bCs/>
          <w:lang w:eastAsia="en-US"/>
        </w:rPr>
        <w:t>Uzupełnia on katalog z art. 263c ust. 2 przez dodanie nowych punktów 7 oraz 8.</w:t>
      </w:r>
    </w:p>
    <w:p w14:paraId="6CBDED4A" w14:textId="77777777" w:rsidR="00FC78AA" w:rsidRDefault="00FC78AA" w:rsidP="00FC78AA">
      <w:pPr>
        <w:spacing w:line="360" w:lineRule="auto"/>
        <w:jc w:val="both"/>
        <w:rPr>
          <w:rFonts w:eastAsiaTheme="minorHAnsi"/>
          <w:bCs/>
          <w:lang w:eastAsia="en-US"/>
        </w:rPr>
      </w:pPr>
      <w:r w:rsidRPr="00825DA5">
        <w:rPr>
          <w:rFonts w:eastAsiaTheme="minorHAnsi"/>
          <w:b/>
          <w:bCs/>
          <w:lang w:eastAsia="en-US"/>
        </w:rPr>
        <w:t xml:space="preserve">Art. 1 pkt </w:t>
      </w:r>
      <w:r>
        <w:rPr>
          <w:rFonts w:eastAsiaTheme="minorHAnsi"/>
          <w:b/>
          <w:bCs/>
          <w:lang w:eastAsia="en-US"/>
        </w:rPr>
        <w:t>15</w:t>
      </w:r>
      <w:r w:rsidRPr="00825DA5">
        <w:rPr>
          <w:rFonts w:eastAsiaTheme="minorHAnsi"/>
          <w:b/>
          <w:bCs/>
          <w:lang w:eastAsia="en-US"/>
        </w:rPr>
        <w:t xml:space="preserve"> projektu</w:t>
      </w:r>
      <w:r>
        <w:rPr>
          <w:rFonts w:eastAsiaTheme="minorHAnsi"/>
          <w:bCs/>
          <w:lang w:eastAsia="en-US"/>
        </w:rPr>
        <w:t xml:space="preserve"> nadaje nowe brzmienie art. </w:t>
      </w:r>
      <w:r w:rsidRPr="002904F7">
        <w:rPr>
          <w:rFonts w:eastAsiaTheme="minorHAnsi"/>
          <w:bCs/>
          <w:lang w:eastAsia="en-US"/>
        </w:rPr>
        <w:t>263d ust. 2</w:t>
      </w:r>
      <w:r>
        <w:rPr>
          <w:rFonts w:eastAsiaTheme="minorHAnsi"/>
          <w:bCs/>
          <w:lang w:eastAsia="en-US"/>
        </w:rPr>
        <w:t xml:space="preserve"> ustawy o funduszach.</w:t>
      </w:r>
      <w:r w:rsidRPr="002904F7">
        <w:t xml:space="preserve"> </w:t>
      </w:r>
      <w:r w:rsidRPr="002904F7">
        <w:rPr>
          <w:rFonts w:eastAsiaTheme="minorHAnsi"/>
          <w:bCs/>
          <w:lang w:eastAsia="en-US"/>
        </w:rPr>
        <w:t xml:space="preserve">Zmiana ma na celu implementację znowelizowanego art. 32 ust. 7 akapitu drugiego dyrektywy ZAFI. </w:t>
      </w:r>
      <w:r>
        <w:rPr>
          <w:rFonts w:eastAsiaTheme="minorHAnsi"/>
          <w:bCs/>
          <w:lang w:eastAsia="en-US"/>
        </w:rPr>
        <w:t>W</w:t>
      </w:r>
      <w:r w:rsidRPr="002904F7">
        <w:rPr>
          <w:rFonts w:eastAsiaTheme="minorHAnsi"/>
          <w:bCs/>
          <w:lang w:eastAsia="en-US"/>
        </w:rPr>
        <w:t xml:space="preserve"> przepisie tym odstąpiono od implementacji wprowadzonego w art. 32 ust. 7 obowiązku powiadomienia przez właściwy organ macierzystego państwa członkowskiego ZAFI właściwego organu przyjmującego państwa członkowskiego ZAFI</w:t>
      </w:r>
      <w:r>
        <w:rPr>
          <w:rFonts w:eastAsiaTheme="minorHAnsi"/>
          <w:bCs/>
          <w:lang w:eastAsia="en-US"/>
        </w:rPr>
        <w:t>. W</w:t>
      </w:r>
      <w:r w:rsidRPr="002904F7">
        <w:rPr>
          <w:rFonts w:eastAsiaTheme="minorHAnsi"/>
          <w:bCs/>
          <w:lang w:eastAsia="en-US"/>
        </w:rPr>
        <w:t xml:space="preserve"> przypadku </w:t>
      </w:r>
      <w:r>
        <w:rPr>
          <w:rFonts w:eastAsiaTheme="minorHAnsi"/>
          <w:bCs/>
          <w:lang w:eastAsia="en-US"/>
        </w:rPr>
        <w:t xml:space="preserve">bowiem, </w:t>
      </w:r>
      <w:r w:rsidRPr="002904F7">
        <w:rPr>
          <w:rFonts w:eastAsiaTheme="minorHAnsi"/>
          <w:bCs/>
          <w:lang w:eastAsia="en-US"/>
        </w:rPr>
        <w:t>gdy towarzystwo albo zarządzający ASI wprowad</w:t>
      </w:r>
      <w:r>
        <w:rPr>
          <w:rFonts w:eastAsiaTheme="minorHAnsi"/>
          <w:bCs/>
          <w:lang w:eastAsia="en-US"/>
        </w:rPr>
        <w:t>za unijny AFI, którym zarządza</w:t>
      </w:r>
      <w:r w:rsidRPr="002904F7">
        <w:rPr>
          <w:rFonts w:eastAsiaTheme="minorHAnsi"/>
          <w:bCs/>
          <w:lang w:eastAsia="en-US"/>
        </w:rPr>
        <w:t xml:space="preserve">, do obrotu na terytorium Rzeczypospolitej Polskiej, Komisja </w:t>
      </w:r>
      <w:r w:rsidRPr="002904F7">
        <w:rPr>
          <w:rFonts w:eastAsiaTheme="minorHAnsi"/>
          <w:bCs/>
          <w:lang w:eastAsia="en-US"/>
        </w:rPr>
        <w:lastRenderedPageBreak/>
        <w:t>jest zarówno właściwym organem macierzystego państwa członkowskiego ZAFI</w:t>
      </w:r>
      <w:r>
        <w:rPr>
          <w:rFonts w:eastAsiaTheme="minorHAnsi"/>
          <w:bCs/>
          <w:lang w:eastAsia="en-US"/>
        </w:rPr>
        <w:t>,</w:t>
      </w:r>
      <w:r w:rsidRPr="002904F7">
        <w:rPr>
          <w:rFonts w:eastAsiaTheme="minorHAnsi"/>
          <w:bCs/>
          <w:lang w:eastAsia="en-US"/>
        </w:rPr>
        <w:t xml:space="preserve"> jak i właściwym organem przyjmującego państwa członkowskiego ZAFI.</w:t>
      </w:r>
    </w:p>
    <w:p w14:paraId="4D451CE7" w14:textId="77777777" w:rsidR="00FC78AA" w:rsidRDefault="00FC78AA" w:rsidP="00FC78AA">
      <w:pPr>
        <w:spacing w:line="360" w:lineRule="auto"/>
        <w:jc w:val="both"/>
        <w:rPr>
          <w:rFonts w:eastAsiaTheme="minorHAnsi"/>
          <w:bCs/>
          <w:lang w:eastAsia="en-US"/>
        </w:rPr>
      </w:pPr>
      <w:r w:rsidRPr="00825DA5">
        <w:rPr>
          <w:rFonts w:eastAsiaTheme="minorHAnsi"/>
          <w:b/>
          <w:bCs/>
          <w:lang w:eastAsia="en-US"/>
        </w:rPr>
        <w:t xml:space="preserve">Art. 1 pkt </w:t>
      </w:r>
      <w:r>
        <w:rPr>
          <w:rFonts w:eastAsiaTheme="minorHAnsi"/>
          <w:b/>
          <w:bCs/>
          <w:lang w:eastAsia="en-US"/>
        </w:rPr>
        <w:t>16</w:t>
      </w:r>
      <w:r w:rsidRPr="00825DA5">
        <w:rPr>
          <w:rFonts w:eastAsiaTheme="minorHAnsi"/>
          <w:b/>
          <w:bCs/>
          <w:lang w:eastAsia="en-US"/>
        </w:rPr>
        <w:t xml:space="preserve"> projektu</w:t>
      </w:r>
      <w:r>
        <w:rPr>
          <w:rFonts w:eastAsiaTheme="minorHAnsi"/>
          <w:bCs/>
          <w:lang w:eastAsia="en-US"/>
        </w:rPr>
        <w:t xml:space="preserve"> ma na celu implementację art. 32a </w:t>
      </w:r>
      <w:r w:rsidRPr="00AB7B61">
        <w:rPr>
          <w:rFonts w:eastAsiaTheme="minorHAnsi"/>
          <w:bCs/>
          <w:lang w:eastAsia="en-US"/>
        </w:rPr>
        <w:t xml:space="preserve">dyrektywy </w:t>
      </w:r>
      <w:r>
        <w:rPr>
          <w:rFonts w:eastAsiaTheme="minorHAnsi"/>
          <w:bCs/>
          <w:lang w:eastAsia="en-US"/>
        </w:rPr>
        <w:t>ZAFI, określającego warunki wycofania się ZAFI z wprowadzania AFI do obrotu na terytorium</w:t>
      </w:r>
      <w:r w:rsidRPr="00B91F6D">
        <w:t xml:space="preserve"> </w:t>
      </w:r>
      <w:r>
        <w:t xml:space="preserve">państwa członkowskiego innego </w:t>
      </w:r>
      <w:r w:rsidRPr="00B91F6D">
        <w:rPr>
          <w:rFonts w:eastAsiaTheme="minorHAnsi"/>
          <w:bCs/>
          <w:lang w:eastAsia="en-US"/>
        </w:rPr>
        <w:t>niż macierzyste państwo członkowskie ZAFI</w:t>
      </w:r>
      <w:r>
        <w:rPr>
          <w:rFonts w:eastAsiaTheme="minorHAnsi"/>
          <w:bCs/>
          <w:lang w:eastAsia="en-US"/>
        </w:rPr>
        <w:t>, w zakresie podmiotów krajowych wprowadzających unijny AFI do obrotu na terytorium Rzeczypospolitej Polskiej. Wdrożenie odbywa się przez dodanie w ustawie o funduszach nowego art. 263da.</w:t>
      </w:r>
    </w:p>
    <w:p w14:paraId="6F72AED8" w14:textId="77777777" w:rsidR="00FC78AA" w:rsidRDefault="00FC78AA" w:rsidP="00FC78AA">
      <w:pPr>
        <w:spacing w:line="360" w:lineRule="auto"/>
        <w:jc w:val="both"/>
        <w:rPr>
          <w:rFonts w:eastAsiaTheme="minorHAnsi"/>
          <w:bCs/>
          <w:lang w:eastAsia="en-US"/>
        </w:rPr>
      </w:pPr>
      <w:r w:rsidRPr="00A5748D">
        <w:rPr>
          <w:rFonts w:eastAsiaTheme="minorHAnsi"/>
          <w:b/>
          <w:bCs/>
          <w:lang w:eastAsia="en-US"/>
        </w:rPr>
        <w:t xml:space="preserve">Art. 1 pkt </w:t>
      </w:r>
      <w:r>
        <w:rPr>
          <w:rFonts w:eastAsiaTheme="minorHAnsi"/>
          <w:b/>
          <w:bCs/>
          <w:lang w:eastAsia="en-US"/>
        </w:rPr>
        <w:t>17</w:t>
      </w:r>
      <w:r w:rsidRPr="00A5748D">
        <w:rPr>
          <w:rFonts w:eastAsiaTheme="minorHAnsi"/>
          <w:b/>
          <w:bCs/>
          <w:lang w:eastAsia="en-US"/>
        </w:rPr>
        <w:t xml:space="preserve"> projektu</w:t>
      </w:r>
      <w:r w:rsidRPr="009A1DEE">
        <w:rPr>
          <w:rFonts w:eastAsiaTheme="minorHAnsi"/>
          <w:bCs/>
          <w:lang w:eastAsia="en-US"/>
        </w:rPr>
        <w:t xml:space="preserve">, podobnie jak art. 1 pkt </w:t>
      </w:r>
      <w:r>
        <w:rPr>
          <w:rFonts w:eastAsiaTheme="minorHAnsi"/>
          <w:bCs/>
          <w:lang w:eastAsia="en-US"/>
        </w:rPr>
        <w:t>12 i 14</w:t>
      </w:r>
      <w:r w:rsidRPr="009A1DEE">
        <w:rPr>
          <w:rFonts w:eastAsiaTheme="minorHAnsi"/>
          <w:bCs/>
          <w:lang w:eastAsia="en-US"/>
        </w:rPr>
        <w:t xml:space="preserve"> projektu</w:t>
      </w:r>
      <w:r>
        <w:rPr>
          <w:rFonts w:eastAsiaTheme="minorHAnsi"/>
          <w:b/>
          <w:bCs/>
          <w:lang w:eastAsia="en-US"/>
        </w:rPr>
        <w:t>,</w:t>
      </w:r>
      <w:r>
        <w:rPr>
          <w:rFonts w:eastAsiaTheme="minorHAnsi"/>
          <w:bCs/>
          <w:lang w:eastAsia="en-US"/>
        </w:rPr>
        <w:t xml:space="preserve"> dokonuje implementacji </w:t>
      </w:r>
      <w:r w:rsidRPr="00A5748D">
        <w:rPr>
          <w:rFonts w:eastAsiaTheme="minorHAnsi"/>
          <w:bCs/>
          <w:lang w:eastAsia="en-US"/>
        </w:rPr>
        <w:t xml:space="preserve">pkt i oraz j </w:t>
      </w:r>
      <w:r>
        <w:rPr>
          <w:rFonts w:eastAsiaTheme="minorHAnsi"/>
          <w:bCs/>
          <w:lang w:eastAsia="en-US"/>
        </w:rPr>
        <w:t>z</w:t>
      </w:r>
      <w:r w:rsidRPr="00A5748D">
        <w:rPr>
          <w:rFonts w:eastAsiaTheme="minorHAnsi"/>
          <w:bCs/>
          <w:lang w:eastAsia="en-US"/>
        </w:rPr>
        <w:t>ałącznika IV do dyrektywy ZAFI</w:t>
      </w:r>
      <w:r>
        <w:rPr>
          <w:rFonts w:eastAsiaTheme="minorHAnsi"/>
          <w:bCs/>
          <w:lang w:eastAsia="en-US"/>
        </w:rPr>
        <w:t xml:space="preserve">, tym razem jednak wobec podmiotów krajowych zamierzających wprowadzać AFI na terytorium innego niż Polska państwa członkowskiego. Implementacja przybiera formę nowelizacji art. 263f ust. 2 ustawy o funduszach, który zostaje uzupełniony o dane wymagane punktami i oraz j Załącznika IV do </w:t>
      </w:r>
      <w:r w:rsidRPr="00AB7B61">
        <w:rPr>
          <w:rFonts w:eastAsiaTheme="minorHAnsi"/>
          <w:bCs/>
          <w:lang w:eastAsia="en-US"/>
        </w:rPr>
        <w:t xml:space="preserve">dyrektywy </w:t>
      </w:r>
      <w:r>
        <w:rPr>
          <w:rFonts w:eastAsiaTheme="minorHAnsi"/>
          <w:bCs/>
          <w:lang w:eastAsia="en-US"/>
        </w:rPr>
        <w:t xml:space="preserve">ZAFI (projektowany </w:t>
      </w:r>
      <w:r w:rsidRPr="00B91F6D">
        <w:rPr>
          <w:rFonts w:eastAsiaTheme="minorHAnsi"/>
          <w:bCs/>
          <w:lang w:eastAsia="en-US"/>
        </w:rPr>
        <w:t>art. 263f ust. 2</w:t>
      </w:r>
      <w:r>
        <w:rPr>
          <w:rFonts w:eastAsiaTheme="minorHAnsi"/>
          <w:bCs/>
          <w:lang w:eastAsia="en-US"/>
        </w:rPr>
        <w:t xml:space="preserve"> pkt 9 i 10 ustawy o funduszach).</w:t>
      </w:r>
    </w:p>
    <w:p w14:paraId="1DAA8803" w14:textId="77777777" w:rsidR="00FC78AA" w:rsidRDefault="00FC78AA" w:rsidP="00FC78AA">
      <w:pPr>
        <w:spacing w:line="360" w:lineRule="auto"/>
        <w:jc w:val="both"/>
        <w:rPr>
          <w:rFonts w:eastAsiaTheme="minorHAnsi"/>
          <w:bCs/>
          <w:lang w:eastAsia="en-US"/>
        </w:rPr>
      </w:pPr>
      <w:r w:rsidRPr="009A1DEE">
        <w:rPr>
          <w:rFonts w:eastAsiaTheme="minorHAnsi"/>
          <w:b/>
          <w:bCs/>
          <w:lang w:eastAsia="en-US"/>
        </w:rPr>
        <w:t xml:space="preserve">Art. 1 pkt </w:t>
      </w:r>
      <w:r>
        <w:rPr>
          <w:rFonts w:eastAsiaTheme="minorHAnsi"/>
          <w:b/>
          <w:bCs/>
          <w:lang w:eastAsia="en-US"/>
        </w:rPr>
        <w:t>18</w:t>
      </w:r>
      <w:r w:rsidRPr="009A1DEE">
        <w:rPr>
          <w:rFonts w:eastAsiaTheme="minorHAnsi"/>
          <w:b/>
          <w:bCs/>
          <w:lang w:eastAsia="en-US"/>
        </w:rPr>
        <w:t xml:space="preserve"> projektu</w:t>
      </w:r>
      <w:r>
        <w:rPr>
          <w:rFonts w:eastAsiaTheme="minorHAnsi"/>
          <w:bCs/>
          <w:lang w:eastAsia="en-US"/>
        </w:rPr>
        <w:t xml:space="preserve"> implementuje art. 32 ust. 7 </w:t>
      </w:r>
      <w:r w:rsidRPr="00AB7B61">
        <w:rPr>
          <w:rFonts w:eastAsiaTheme="minorHAnsi"/>
          <w:bCs/>
          <w:lang w:eastAsia="en-US"/>
        </w:rPr>
        <w:t xml:space="preserve">dyrektywy </w:t>
      </w:r>
      <w:r>
        <w:rPr>
          <w:rFonts w:eastAsiaTheme="minorHAnsi"/>
          <w:bCs/>
          <w:lang w:eastAsia="en-US"/>
        </w:rPr>
        <w:t xml:space="preserve">ZAFI. Projektowany przepis dokonuje nowelizacji art. </w:t>
      </w:r>
      <w:r w:rsidRPr="00EB7486">
        <w:rPr>
          <w:rFonts w:eastAsiaTheme="minorHAnsi"/>
          <w:bCs/>
          <w:lang w:eastAsia="en-US"/>
        </w:rPr>
        <w:t xml:space="preserve">263g ust. 3-5 </w:t>
      </w:r>
      <w:r>
        <w:rPr>
          <w:rFonts w:eastAsiaTheme="minorHAnsi"/>
          <w:bCs/>
          <w:lang w:eastAsia="en-US"/>
        </w:rPr>
        <w:t xml:space="preserve">ustawy o funduszach. </w:t>
      </w:r>
      <w:r w:rsidRPr="00656DF7">
        <w:rPr>
          <w:rFonts w:eastAsiaTheme="minorHAnsi"/>
          <w:bCs/>
          <w:lang w:eastAsia="en-US"/>
        </w:rPr>
        <w:t xml:space="preserve">Art. 1 pkt </w:t>
      </w:r>
      <w:r>
        <w:rPr>
          <w:rFonts w:eastAsiaTheme="minorHAnsi"/>
          <w:bCs/>
          <w:lang w:eastAsia="en-US"/>
        </w:rPr>
        <w:t>18</w:t>
      </w:r>
      <w:r w:rsidRPr="00656DF7">
        <w:rPr>
          <w:rFonts w:eastAsiaTheme="minorHAnsi"/>
          <w:bCs/>
          <w:lang w:eastAsia="en-US"/>
        </w:rPr>
        <w:t xml:space="preserve"> </w:t>
      </w:r>
      <w:r>
        <w:rPr>
          <w:rFonts w:eastAsiaTheme="minorHAnsi"/>
          <w:bCs/>
          <w:lang w:eastAsia="en-US"/>
        </w:rPr>
        <w:t xml:space="preserve">lit. a </w:t>
      </w:r>
      <w:r w:rsidRPr="00656DF7">
        <w:rPr>
          <w:rFonts w:eastAsiaTheme="minorHAnsi"/>
          <w:bCs/>
          <w:lang w:eastAsia="en-US"/>
        </w:rPr>
        <w:t xml:space="preserve">projektu </w:t>
      </w:r>
      <w:r>
        <w:rPr>
          <w:rFonts w:eastAsiaTheme="minorHAnsi"/>
          <w:bCs/>
          <w:lang w:eastAsia="en-US"/>
        </w:rPr>
        <w:t>nadaje nowe brzmienie art. 263g ust. 3 ustawy o funduszach, która to zmiana ma na celu</w:t>
      </w:r>
      <w:r w:rsidRPr="00656DF7">
        <w:rPr>
          <w:rFonts w:eastAsiaTheme="minorHAnsi"/>
          <w:bCs/>
          <w:lang w:eastAsia="en-US"/>
        </w:rPr>
        <w:t xml:space="preserve"> implementację znowelizowanego art. 32 ust. 7 akapit </w:t>
      </w:r>
      <w:r>
        <w:rPr>
          <w:rFonts w:eastAsiaTheme="minorHAnsi"/>
          <w:bCs/>
          <w:lang w:eastAsia="en-US"/>
        </w:rPr>
        <w:t>2</w:t>
      </w:r>
      <w:r w:rsidRPr="00656DF7">
        <w:rPr>
          <w:rFonts w:eastAsiaTheme="minorHAnsi"/>
          <w:bCs/>
          <w:lang w:eastAsia="en-US"/>
        </w:rPr>
        <w:t xml:space="preserve"> dyrektywy ZAFI w części wskazującej </w:t>
      </w:r>
      <w:r>
        <w:rPr>
          <w:rFonts w:eastAsiaTheme="minorHAnsi"/>
          <w:bCs/>
          <w:lang w:eastAsia="en-US"/>
        </w:rPr>
        <w:t xml:space="preserve">15-dniowy </w:t>
      </w:r>
      <w:r w:rsidRPr="00656DF7">
        <w:rPr>
          <w:rFonts w:eastAsiaTheme="minorHAnsi"/>
          <w:bCs/>
          <w:lang w:eastAsia="en-US"/>
        </w:rPr>
        <w:t>termin przekazania informacji.</w:t>
      </w:r>
      <w:r>
        <w:rPr>
          <w:rFonts w:eastAsiaTheme="minorHAnsi"/>
          <w:bCs/>
          <w:lang w:eastAsia="en-US"/>
        </w:rPr>
        <w:t xml:space="preserve"> W celu implementacji</w:t>
      </w:r>
      <w:r w:rsidRPr="00656DF7">
        <w:rPr>
          <w:rFonts w:eastAsiaTheme="minorHAnsi"/>
          <w:bCs/>
          <w:lang w:eastAsia="en-US"/>
        </w:rPr>
        <w:t xml:space="preserve"> art. 32 ust. 7 akapit </w:t>
      </w:r>
      <w:r>
        <w:rPr>
          <w:rFonts w:eastAsiaTheme="minorHAnsi"/>
          <w:bCs/>
          <w:lang w:eastAsia="en-US"/>
        </w:rPr>
        <w:t>2</w:t>
      </w:r>
      <w:r w:rsidRPr="00656DF7">
        <w:rPr>
          <w:rFonts w:eastAsiaTheme="minorHAnsi"/>
          <w:bCs/>
          <w:lang w:eastAsia="en-US"/>
        </w:rPr>
        <w:t xml:space="preserve"> dyrektywy ZAFI w części </w:t>
      </w:r>
      <w:r>
        <w:rPr>
          <w:rFonts w:eastAsiaTheme="minorHAnsi"/>
          <w:bCs/>
          <w:lang w:eastAsia="en-US"/>
        </w:rPr>
        <w:t>ustanawiającej</w:t>
      </w:r>
      <w:r w:rsidRPr="00656DF7">
        <w:rPr>
          <w:rFonts w:eastAsiaTheme="minorHAnsi"/>
          <w:bCs/>
          <w:lang w:eastAsia="en-US"/>
        </w:rPr>
        <w:t xml:space="preserve"> obowiązek poinformowania </w:t>
      </w:r>
      <w:r>
        <w:rPr>
          <w:rFonts w:eastAsiaTheme="minorHAnsi"/>
          <w:bCs/>
          <w:lang w:eastAsia="en-US"/>
        </w:rPr>
        <w:t xml:space="preserve">o zmianach w zawiadomieniu </w:t>
      </w:r>
      <w:r w:rsidRPr="00656DF7">
        <w:rPr>
          <w:rFonts w:eastAsiaTheme="minorHAnsi"/>
          <w:bCs/>
          <w:lang w:eastAsia="en-US"/>
        </w:rPr>
        <w:t>również organu nadzoru państwa goszczącego</w:t>
      </w:r>
      <w:r w:rsidRPr="00656DF7">
        <w:t xml:space="preserve"> </w:t>
      </w:r>
      <w:r>
        <w:rPr>
          <w:rFonts w:eastAsiaTheme="minorHAnsi"/>
          <w:bCs/>
          <w:lang w:eastAsia="en-US"/>
        </w:rPr>
        <w:t>a</w:t>
      </w:r>
      <w:r w:rsidRPr="00656DF7">
        <w:rPr>
          <w:rFonts w:eastAsiaTheme="minorHAnsi"/>
          <w:bCs/>
          <w:lang w:eastAsia="en-US"/>
        </w:rPr>
        <w:t xml:space="preserve">rt. 1 pkt </w:t>
      </w:r>
      <w:r>
        <w:rPr>
          <w:rFonts w:eastAsiaTheme="minorHAnsi"/>
          <w:bCs/>
          <w:lang w:eastAsia="en-US"/>
        </w:rPr>
        <w:t>18 lit b</w:t>
      </w:r>
      <w:r w:rsidRPr="00656DF7">
        <w:rPr>
          <w:rFonts w:eastAsiaTheme="minorHAnsi"/>
          <w:bCs/>
          <w:lang w:eastAsia="en-US"/>
        </w:rPr>
        <w:t xml:space="preserve"> projektu</w:t>
      </w:r>
      <w:r>
        <w:rPr>
          <w:rFonts w:eastAsiaTheme="minorHAnsi"/>
          <w:bCs/>
          <w:lang w:eastAsia="en-US"/>
        </w:rPr>
        <w:t xml:space="preserve"> dodaje w art. 263g ustawy o funduszach nowy ust. 3a. Podobny cel przyświeca przepisowi art. 1 pkt 18 lit. c projektu, który odpowiednio rozszerza treść art. 263g ust. 4 ustawy o funduszach. Wreszcie wprowadzana przepisem art. 1 pkt 18 lit. d projektu zmiana </w:t>
      </w:r>
      <w:r>
        <w:rPr>
          <w:rFonts w:eastAsiaTheme="minorHAnsi"/>
          <w:bCs/>
          <w:lang w:eastAsia="en-US"/>
        </w:rPr>
        <w:br/>
        <w:t xml:space="preserve">art. 263g ust. 5 ustawy o funduszach ma </w:t>
      </w:r>
      <w:r w:rsidRPr="00A66806">
        <w:rPr>
          <w:rFonts w:eastAsiaTheme="minorHAnsi"/>
          <w:bCs/>
          <w:lang w:eastAsia="en-US"/>
        </w:rPr>
        <w:t xml:space="preserve">na celu implementację art. 32 ust. 7 akapit </w:t>
      </w:r>
      <w:r>
        <w:rPr>
          <w:rFonts w:eastAsiaTheme="minorHAnsi"/>
          <w:bCs/>
          <w:lang w:eastAsia="en-US"/>
        </w:rPr>
        <w:t>4</w:t>
      </w:r>
      <w:r w:rsidRPr="00A66806">
        <w:rPr>
          <w:rFonts w:eastAsiaTheme="minorHAnsi"/>
          <w:bCs/>
          <w:lang w:eastAsia="en-US"/>
        </w:rPr>
        <w:t xml:space="preserve"> dyrektywy ZAFI w części doprecyzowującej termin przekazania zawiadomienia.</w:t>
      </w:r>
    </w:p>
    <w:p w14:paraId="3230922A" w14:textId="77777777" w:rsidR="00FC78AA" w:rsidRDefault="00FC78AA" w:rsidP="00FC78AA">
      <w:pPr>
        <w:spacing w:line="360" w:lineRule="auto"/>
        <w:jc w:val="both"/>
        <w:rPr>
          <w:rFonts w:eastAsiaTheme="minorHAnsi"/>
          <w:bCs/>
          <w:lang w:eastAsia="en-US"/>
        </w:rPr>
      </w:pPr>
      <w:r w:rsidRPr="00EB7486">
        <w:rPr>
          <w:rFonts w:eastAsiaTheme="minorHAnsi"/>
          <w:b/>
          <w:bCs/>
          <w:lang w:eastAsia="en-US"/>
        </w:rPr>
        <w:t xml:space="preserve">Art. 1 pkt </w:t>
      </w:r>
      <w:r>
        <w:rPr>
          <w:rFonts w:eastAsiaTheme="minorHAnsi"/>
          <w:b/>
          <w:bCs/>
          <w:lang w:eastAsia="en-US"/>
        </w:rPr>
        <w:t>19</w:t>
      </w:r>
      <w:r w:rsidRPr="00EB7486">
        <w:rPr>
          <w:rFonts w:eastAsiaTheme="minorHAnsi"/>
          <w:b/>
          <w:bCs/>
          <w:lang w:eastAsia="en-US"/>
        </w:rPr>
        <w:t xml:space="preserve"> projektu</w:t>
      </w:r>
      <w:r w:rsidRPr="00EB7486">
        <w:rPr>
          <w:rFonts w:eastAsiaTheme="minorHAnsi"/>
          <w:bCs/>
          <w:lang w:eastAsia="en-US"/>
        </w:rPr>
        <w:t xml:space="preserve"> </w:t>
      </w:r>
      <w:r>
        <w:rPr>
          <w:rFonts w:eastAsiaTheme="minorHAnsi"/>
          <w:bCs/>
          <w:lang w:eastAsia="en-US"/>
        </w:rPr>
        <w:t xml:space="preserve">ma na celu implementację art. 32a </w:t>
      </w:r>
      <w:r w:rsidRPr="00303C60">
        <w:rPr>
          <w:rFonts w:eastAsiaTheme="minorHAnsi"/>
          <w:bCs/>
          <w:lang w:eastAsia="en-US"/>
        </w:rPr>
        <w:t xml:space="preserve">dyrektywy </w:t>
      </w:r>
      <w:r>
        <w:rPr>
          <w:rFonts w:eastAsiaTheme="minorHAnsi"/>
          <w:bCs/>
          <w:lang w:eastAsia="en-US"/>
        </w:rPr>
        <w:t xml:space="preserve">ZAFI regulującego zaprzestanie przez ZAFI </w:t>
      </w:r>
      <w:r w:rsidRPr="00EB7486">
        <w:rPr>
          <w:rFonts w:eastAsiaTheme="minorHAnsi"/>
          <w:bCs/>
          <w:lang w:eastAsia="en-US"/>
        </w:rPr>
        <w:t>wprowadzania do obrotu jednostek uczestnictwa lub udziałów niektórych lub wszystkich zarządzanych przez siebie AFI w państwie członkowskim</w:t>
      </w:r>
      <w:r w:rsidRPr="00EB7486">
        <w:t xml:space="preserve"> </w:t>
      </w:r>
      <w:r w:rsidRPr="00EB7486">
        <w:rPr>
          <w:rFonts w:eastAsiaTheme="minorHAnsi"/>
          <w:bCs/>
          <w:lang w:eastAsia="en-US"/>
        </w:rPr>
        <w:t>inny</w:t>
      </w:r>
      <w:r>
        <w:rPr>
          <w:rFonts w:eastAsiaTheme="minorHAnsi"/>
          <w:bCs/>
          <w:lang w:eastAsia="en-US"/>
        </w:rPr>
        <w:t>m</w:t>
      </w:r>
      <w:r w:rsidRPr="00EB7486">
        <w:rPr>
          <w:rFonts w:eastAsiaTheme="minorHAnsi"/>
          <w:bCs/>
          <w:lang w:eastAsia="en-US"/>
        </w:rPr>
        <w:t xml:space="preserve"> niż macierzyste państwo członkowskie ZAFI</w:t>
      </w:r>
      <w:r>
        <w:rPr>
          <w:rFonts w:eastAsiaTheme="minorHAnsi"/>
          <w:bCs/>
          <w:lang w:eastAsia="en-US"/>
        </w:rPr>
        <w:t xml:space="preserve">. Implementacja odbywa się poprzez dodanie w ustawie o funduszach nowego </w:t>
      </w:r>
      <w:r>
        <w:rPr>
          <w:rFonts w:eastAsiaTheme="minorHAnsi"/>
          <w:bCs/>
          <w:lang w:eastAsia="en-US"/>
        </w:rPr>
        <w:br/>
        <w:t xml:space="preserve">art. </w:t>
      </w:r>
      <w:r w:rsidRPr="00EB7486">
        <w:rPr>
          <w:rFonts w:eastAsiaTheme="minorHAnsi"/>
          <w:bCs/>
          <w:lang w:eastAsia="en-US"/>
        </w:rPr>
        <w:t>263ga</w:t>
      </w:r>
      <w:r>
        <w:rPr>
          <w:rFonts w:eastAsiaTheme="minorHAnsi"/>
          <w:bCs/>
          <w:lang w:eastAsia="en-US"/>
        </w:rPr>
        <w:t xml:space="preserve"> i obejmuje swym zakresem ZAFI krajowych wprowadzających do obrotu AFI w innych krajach członkowskich.</w:t>
      </w:r>
    </w:p>
    <w:p w14:paraId="0C641C25" w14:textId="7EFE277D" w:rsidR="00FC78AA" w:rsidRDefault="00FC78AA" w:rsidP="00FC78AA">
      <w:pPr>
        <w:spacing w:line="360" w:lineRule="auto"/>
        <w:jc w:val="both"/>
        <w:rPr>
          <w:rFonts w:eastAsiaTheme="minorHAnsi"/>
          <w:bCs/>
          <w:lang w:eastAsia="en-US"/>
        </w:rPr>
      </w:pPr>
      <w:r w:rsidRPr="00825DA5">
        <w:rPr>
          <w:rFonts w:eastAsiaTheme="minorHAnsi"/>
          <w:b/>
          <w:bCs/>
          <w:lang w:eastAsia="en-US"/>
        </w:rPr>
        <w:lastRenderedPageBreak/>
        <w:t xml:space="preserve">Art. 1 pkt </w:t>
      </w:r>
      <w:r>
        <w:rPr>
          <w:rFonts w:eastAsiaTheme="minorHAnsi"/>
          <w:b/>
          <w:bCs/>
          <w:lang w:eastAsia="en-US"/>
        </w:rPr>
        <w:t>20</w:t>
      </w:r>
      <w:r w:rsidRPr="00825DA5">
        <w:rPr>
          <w:rFonts w:eastAsiaTheme="minorHAnsi"/>
          <w:b/>
          <w:bCs/>
          <w:lang w:eastAsia="en-US"/>
        </w:rPr>
        <w:t xml:space="preserve"> projektu</w:t>
      </w:r>
      <w:r>
        <w:rPr>
          <w:rFonts w:eastAsiaTheme="minorHAnsi"/>
          <w:bCs/>
          <w:lang w:eastAsia="en-US"/>
        </w:rPr>
        <w:t xml:space="preserve"> </w:t>
      </w:r>
      <w:r w:rsidRPr="00347BD7">
        <w:rPr>
          <w:rFonts w:eastAsiaTheme="minorHAnsi"/>
          <w:bCs/>
          <w:lang w:eastAsia="en-US"/>
        </w:rPr>
        <w:t xml:space="preserve">ma na celu </w:t>
      </w:r>
      <w:r w:rsidRPr="0001083C">
        <w:rPr>
          <w:rFonts w:eastAsiaTheme="minorHAnsi"/>
          <w:bCs/>
          <w:lang w:eastAsia="en-US"/>
        </w:rPr>
        <w:t>implementację nowo dodanych przepisów art. 4 ust. 1</w:t>
      </w:r>
      <w:r w:rsidRPr="0001083C">
        <w:t xml:space="preserve"> </w:t>
      </w:r>
      <w:r w:rsidRPr="0001083C">
        <w:rPr>
          <w:rFonts w:eastAsiaTheme="minorHAnsi"/>
          <w:bCs/>
          <w:lang w:eastAsia="en-US"/>
        </w:rPr>
        <w:t>lit. aea dyrektywy ZAFI oraz art. 30a dyrektywy ZAFI. Przepisy te wprowadzają ujednolicone warunki</w:t>
      </w:r>
      <w:r w:rsidRPr="0001083C">
        <w:t xml:space="preserve"> </w:t>
      </w:r>
      <w:r w:rsidRPr="0001083C">
        <w:rPr>
          <w:rFonts w:eastAsiaTheme="minorHAnsi"/>
          <w:bCs/>
          <w:lang w:eastAsia="en-US"/>
        </w:rPr>
        <w:t>dokonywania przez ZAFI z UE czynności poprzedzających</w:t>
      </w:r>
      <w:r w:rsidRPr="0051472B">
        <w:rPr>
          <w:rFonts w:eastAsiaTheme="minorHAnsi"/>
          <w:bCs/>
          <w:lang w:eastAsia="en-US"/>
        </w:rPr>
        <w:t xml:space="preserve"> wprowadzanie do obrotu </w:t>
      </w:r>
      <w:r>
        <w:rPr>
          <w:rFonts w:eastAsiaTheme="minorHAnsi"/>
          <w:bCs/>
          <w:lang w:eastAsia="en-US"/>
        </w:rPr>
        <w:t xml:space="preserve">względem profesjonalnych inwestorów. </w:t>
      </w:r>
      <w:r w:rsidRPr="00347BD7">
        <w:rPr>
          <w:rFonts w:eastAsiaTheme="minorHAnsi"/>
          <w:bCs/>
          <w:lang w:eastAsia="en-US"/>
        </w:rPr>
        <w:t xml:space="preserve">Nowelizacja </w:t>
      </w:r>
      <w:r w:rsidR="00B96F4D">
        <w:rPr>
          <w:rFonts w:eastAsiaTheme="minorHAnsi"/>
          <w:bCs/>
          <w:lang w:eastAsia="en-US"/>
        </w:rPr>
        <w:t>zakłada</w:t>
      </w:r>
      <w:r>
        <w:rPr>
          <w:rFonts w:eastAsiaTheme="minorHAnsi"/>
          <w:bCs/>
          <w:lang w:eastAsia="en-US"/>
        </w:rPr>
        <w:t xml:space="preserve"> dodanie art. 263k-263p</w:t>
      </w:r>
      <w:r w:rsidRPr="00347BD7">
        <w:rPr>
          <w:rFonts w:eastAsiaTheme="minorHAnsi"/>
          <w:bCs/>
          <w:lang w:eastAsia="en-US"/>
        </w:rPr>
        <w:t xml:space="preserve"> w rozdziale 1a działu XII ustawy o funduszach.</w:t>
      </w:r>
      <w:r>
        <w:rPr>
          <w:rFonts w:eastAsiaTheme="minorHAnsi"/>
          <w:bCs/>
          <w:lang w:eastAsia="en-US"/>
        </w:rPr>
        <w:t xml:space="preserve"> </w:t>
      </w:r>
    </w:p>
    <w:p w14:paraId="77986478" w14:textId="77777777" w:rsidR="00FC78AA" w:rsidRPr="00F6781C" w:rsidRDefault="00FC78AA" w:rsidP="00FC78AA">
      <w:pPr>
        <w:spacing w:line="360" w:lineRule="auto"/>
        <w:jc w:val="both"/>
        <w:rPr>
          <w:rFonts w:eastAsiaTheme="minorHAnsi"/>
          <w:bCs/>
          <w:lang w:eastAsia="en-US"/>
        </w:rPr>
      </w:pPr>
      <w:r>
        <w:rPr>
          <w:rFonts w:eastAsiaTheme="minorHAnsi"/>
          <w:bCs/>
          <w:lang w:eastAsia="en-US"/>
        </w:rPr>
        <w:t xml:space="preserve">Projektowane przepisy 263k-263m ustawy o funduszach dotyczą </w:t>
      </w:r>
      <w:r w:rsidRPr="005F4C42">
        <w:rPr>
          <w:rFonts w:eastAsiaTheme="minorHAnsi"/>
          <w:bCs/>
          <w:lang w:eastAsia="en-US"/>
        </w:rPr>
        <w:t>czynności poprzedzając</w:t>
      </w:r>
      <w:r>
        <w:rPr>
          <w:rFonts w:eastAsiaTheme="minorHAnsi"/>
          <w:bCs/>
          <w:lang w:eastAsia="en-US"/>
        </w:rPr>
        <w:t>ych</w:t>
      </w:r>
      <w:r w:rsidRPr="005F4C42">
        <w:rPr>
          <w:rFonts w:eastAsiaTheme="minorHAnsi"/>
          <w:bCs/>
          <w:lang w:eastAsia="en-US"/>
        </w:rPr>
        <w:t xml:space="preserve"> wprowadzenie unijnego AFI do obrotu na terytorium Rzeczypospolitej Polskiej</w:t>
      </w:r>
      <w:r>
        <w:rPr>
          <w:rFonts w:eastAsiaTheme="minorHAnsi"/>
          <w:bCs/>
          <w:lang w:eastAsia="en-US"/>
        </w:rPr>
        <w:t xml:space="preserve">. </w:t>
      </w:r>
      <w:r w:rsidRPr="00F80E53">
        <w:rPr>
          <w:rFonts w:eastAsiaTheme="minorHAnsi"/>
          <w:bCs/>
          <w:lang w:eastAsia="en-US"/>
        </w:rPr>
        <w:t xml:space="preserve">Przepis art. 263k </w:t>
      </w:r>
      <w:r>
        <w:rPr>
          <w:rFonts w:eastAsiaTheme="minorHAnsi"/>
          <w:bCs/>
          <w:lang w:eastAsia="en-US"/>
        </w:rPr>
        <w:br/>
      </w:r>
      <w:r w:rsidRPr="00F80E53">
        <w:rPr>
          <w:rFonts w:eastAsiaTheme="minorHAnsi"/>
          <w:bCs/>
          <w:lang w:eastAsia="en-US"/>
        </w:rPr>
        <w:t xml:space="preserve">ust. 1 dokonuje wdrożenia art. 4 ust. 1 lit. aea </w:t>
      </w:r>
      <w:r w:rsidRPr="00303C60">
        <w:rPr>
          <w:rFonts w:eastAsiaTheme="minorHAnsi"/>
          <w:bCs/>
          <w:lang w:eastAsia="en-US"/>
        </w:rPr>
        <w:t xml:space="preserve">dyrektywy </w:t>
      </w:r>
      <w:r w:rsidRPr="00F80E53">
        <w:rPr>
          <w:rFonts w:eastAsiaTheme="minorHAnsi"/>
          <w:bCs/>
          <w:lang w:eastAsia="en-US"/>
        </w:rPr>
        <w:t xml:space="preserve">ZAFI, dodając definicję czynności poprzedzających wprowadzenie unijnego AFI do obrotu na terytorium Rzeczypospolitej Polskiej. </w:t>
      </w:r>
      <w:r>
        <w:rPr>
          <w:rFonts w:eastAsiaTheme="minorHAnsi"/>
          <w:bCs/>
          <w:lang w:eastAsia="en-US"/>
        </w:rPr>
        <w:br/>
        <w:t>A</w:t>
      </w:r>
      <w:r w:rsidRPr="00F80E53">
        <w:rPr>
          <w:rFonts w:eastAsiaTheme="minorHAnsi"/>
          <w:bCs/>
          <w:lang w:eastAsia="en-US"/>
        </w:rPr>
        <w:t xml:space="preserve">rt. 263k </w:t>
      </w:r>
      <w:r>
        <w:rPr>
          <w:rFonts w:eastAsiaTheme="minorHAnsi"/>
          <w:bCs/>
          <w:lang w:eastAsia="en-US"/>
        </w:rPr>
        <w:t xml:space="preserve">ust. 2 ustawy o funduszach oraz art. 263k ust. 3 </w:t>
      </w:r>
      <w:r w:rsidRPr="00F80E53">
        <w:rPr>
          <w:rFonts w:eastAsiaTheme="minorHAnsi"/>
          <w:bCs/>
          <w:lang w:eastAsia="en-US"/>
        </w:rPr>
        <w:t xml:space="preserve">ustawy o funduszach </w:t>
      </w:r>
      <w:r w:rsidRPr="00825DA5">
        <w:rPr>
          <w:rFonts w:eastAsiaTheme="minorHAnsi"/>
          <w:bCs/>
          <w:lang w:eastAsia="en-US"/>
        </w:rPr>
        <w:t>służ</w:t>
      </w:r>
      <w:r>
        <w:rPr>
          <w:rFonts w:eastAsiaTheme="minorHAnsi"/>
          <w:bCs/>
          <w:lang w:eastAsia="en-US"/>
        </w:rPr>
        <w:t>ą</w:t>
      </w:r>
      <w:r w:rsidRPr="00F80E53">
        <w:rPr>
          <w:rFonts w:eastAsiaTheme="minorHAnsi"/>
          <w:bCs/>
          <w:lang w:eastAsia="en-US"/>
        </w:rPr>
        <w:t xml:space="preserve"> implementacji odpowiednio</w:t>
      </w:r>
      <w:r w:rsidRPr="00825DA5">
        <w:rPr>
          <w:rFonts w:eastAsiaTheme="minorHAnsi"/>
          <w:bCs/>
          <w:lang w:eastAsia="en-US"/>
        </w:rPr>
        <w:t xml:space="preserve"> </w:t>
      </w:r>
      <w:r>
        <w:rPr>
          <w:rFonts w:eastAsiaTheme="minorHAnsi"/>
          <w:bCs/>
          <w:lang w:eastAsia="en-US"/>
        </w:rPr>
        <w:t xml:space="preserve">art. 30a ust. 1 akapit 1 </w:t>
      </w:r>
      <w:r w:rsidRPr="00303C60">
        <w:rPr>
          <w:rFonts w:eastAsiaTheme="minorHAnsi"/>
          <w:bCs/>
          <w:lang w:eastAsia="en-US"/>
        </w:rPr>
        <w:t xml:space="preserve">dyrektywy </w:t>
      </w:r>
      <w:r>
        <w:rPr>
          <w:rFonts w:eastAsiaTheme="minorHAnsi"/>
          <w:bCs/>
          <w:lang w:eastAsia="en-US"/>
        </w:rPr>
        <w:t>ZAFI oraz art. 30a ust. 1 akapit 2 dyrektywy ZAFI.</w:t>
      </w:r>
      <w:r w:rsidRPr="00F80E53">
        <w:rPr>
          <w:rFonts w:eastAsiaTheme="minorHAnsi"/>
          <w:bCs/>
          <w:lang w:eastAsia="en-US"/>
        </w:rPr>
        <w:t xml:space="preserve"> Akapit trzeci tego ustępu nie wymaga implementacji za pomocą dedykowanego mu przepisu, gdyż nakłada na państwo jedynie obowiązek niepodejmowania określonych działań. Art. 263k ust. 4 i 5 </w:t>
      </w:r>
      <w:r>
        <w:rPr>
          <w:rFonts w:eastAsiaTheme="minorHAnsi"/>
          <w:bCs/>
          <w:lang w:eastAsia="en-US"/>
        </w:rPr>
        <w:t xml:space="preserve">ustawy o funduszach </w:t>
      </w:r>
      <w:r w:rsidRPr="00F80E53">
        <w:rPr>
          <w:rFonts w:eastAsiaTheme="minorHAnsi"/>
          <w:bCs/>
          <w:lang w:eastAsia="en-US"/>
        </w:rPr>
        <w:t>stanowią implementację</w:t>
      </w:r>
      <w:r w:rsidRPr="00825DA5">
        <w:rPr>
          <w:rFonts w:eastAsiaTheme="minorHAnsi"/>
          <w:bCs/>
          <w:lang w:eastAsia="en-US"/>
        </w:rPr>
        <w:t xml:space="preserve"> odpowiednio </w:t>
      </w:r>
      <w:r w:rsidRPr="00F80E53">
        <w:rPr>
          <w:rFonts w:eastAsiaTheme="minorHAnsi"/>
          <w:bCs/>
          <w:lang w:eastAsia="en-US"/>
        </w:rPr>
        <w:t xml:space="preserve">art. 30a ust. 3 i 4 </w:t>
      </w:r>
      <w:r w:rsidRPr="00303C60">
        <w:rPr>
          <w:rFonts w:eastAsiaTheme="minorHAnsi"/>
          <w:bCs/>
          <w:lang w:eastAsia="en-US"/>
        </w:rPr>
        <w:t xml:space="preserve">dyrektywy </w:t>
      </w:r>
      <w:r w:rsidRPr="00F80E53">
        <w:rPr>
          <w:rFonts w:eastAsiaTheme="minorHAnsi"/>
          <w:bCs/>
          <w:lang w:eastAsia="en-US"/>
        </w:rPr>
        <w:t>ZAFI.</w:t>
      </w:r>
    </w:p>
    <w:p w14:paraId="2C53562B" w14:textId="77777777" w:rsidR="00FC78AA" w:rsidRDefault="00FC78AA" w:rsidP="00FC78AA">
      <w:pPr>
        <w:spacing w:line="360" w:lineRule="auto"/>
        <w:jc w:val="both"/>
        <w:rPr>
          <w:rFonts w:eastAsiaTheme="minorHAnsi"/>
          <w:bCs/>
          <w:lang w:eastAsia="en-US"/>
        </w:rPr>
      </w:pPr>
      <w:r>
        <w:rPr>
          <w:rFonts w:eastAsiaTheme="minorHAnsi"/>
          <w:bCs/>
          <w:lang w:eastAsia="en-US"/>
        </w:rPr>
        <w:t>Projektowany art. 263l</w:t>
      </w:r>
      <w:r w:rsidRPr="00F80E53">
        <w:rPr>
          <w:rFonts w:eastAsiaTheme="minorHAnsi"/>
          <w:bCs/>
          <w:lang w:eastAsia="en-US"/>
        </w:rPr>
        <w:t xml:space="preserve"> ustawy o funduszach stanowi implementację art. 30a ust. 2 akapit 3 </w:t>
      </w:r>
      <w:r w:rsidRPr="00303C60">
        <w:rPr>
          <w:rFonts w:eastAsiaTheme="minorHAnsi"/>
          <w:bCs/>
          <w:lang w:eastAsia="en-US"/>
        </w:rPr>
        <w:t xml:space="preserve">dyrektywy </w:t>
      </w:r>
      <w:r w:rsidRPr="00F80E53">
        <w:rPr>
          <w:rFonts w:eastAsiaTheme="minorHAnsi"/>
          <w:bCs/>
          <w:lang w:eastAsia="en-US"/>
        </w:rPr>
        <w:t>ZAFI</w:t>
      </w:r>
      <w:r w:rsidRPr="00825DA5">
        <w:rPr>
          <w:rFonts w:eastAsiaTheme="minorHAnsi"/>
          <w:bCs/>
          <w:lang w:eastAsia="en-US"/>
        </w:rPr>
        <w:t>. W</w:t>
      </w:r>
      <w:r w:rsidRPr="00F80E53">
        <w:rPr>
          <w:rFonts w:eastAsiaTheme="minorHAnsi"/>
          <w:bCs/>
          <w:lang w:eastAsia="en-US"/>
        </w:rPr>
        <w:t xml:space="preserve"> przeciwieństwie do projektowanego art. 263k ustawy o funduszach nie będzie on miał zastosowania do zarządzającego z UE, gdyż zgodnie z dyrektywą ZAFI powiadomienia o rozpoczęciu dokonywania czynności poprzedzających wprowadzenie do obrotu dokonuje się za pośrednictwem organu właściwego państwa macierzystego zarządzającego z UE. Kwestia ta podlega więc regulacji w systemie prawnym państwa macierzystego zarządzającego z UE.</w:t>
      </w:r>
      <w:r>
        <w:rPr>
          <w:rFonts w:eastAsiaTheme="minorHAnsi"/>
          <w:bCs/>
          <w:lang w:eastAsia="en-US"/>
        </w:rPr>
        <w:t xml:space="preserve"> </w:t>
      </w:r>
      <w:r w:rsidRPr="00085193">
        <w:rPr>
          <w:rFonts w:eastAsiaTheme="minorHAnsi"/>
          <w:bCs/>
          <w:lang w:eastAsia="en-US"/>
        </w:rPr>
        <w:t xml:space="preserve">Zgodnie z art. 30a ust. 2 akapit trzeci </w:t>
      </w:r>
      <w:r>
        <w:rPr>
          <w:rFonts w:eastAsiaTheme="minorHAnsi"/>
          <w:bCs/>
          <w:i/>
          <w:lang w:eastAsia="en-US"/>
        </w:rPr>
        <w:t xml:space="preserve">in </w:t>
      </w:r>
      <w:r w:rsidRPr="00303C60">
        <w:rPr>
          <w:rFonts w:eastAsiaTheme="minorHAnsi"/>
          <w:bCs/>
          <w:i/>
          <w:lang w:eastAsia="en-US"/>
        </w:rPr>
        <w:t>fine</w:t>
      </w:r>
      <w:r>
        <w:rPr>
          <w:rFonts w:eastAsiaTheme="minorHAnsi"/>
          <w:bCs/>
          <w:lang w:eastAsia="en-US"/>
        </w:rPr>
        <w:t xml:space="preserve"> </w:t>
      </w:r>
      <w:r w:rsidRPr="00303C60">
        <w:rPr>
          <w:rFonts w:eastAsiaTheme="minorHAnsi"/>
          <w:bCs/>
          <w:lang w:eastAsia="en-US"/>
        </w:rPr>
        <w:t xml:space="preserve">dyrektywy </w:t>
      </w:r>
      <w:r w:rsidRPr="00085193">
        <w:rPr>
          <w:rFonts w:eastAsiaTheme="minorHAnsi"/>
          <w:bCs/>
          <w:lang w:eastAsia="en-US"/>
        </w:rPr>
        <w:t xml:space="preserve">ZAFI właściwe organy państwa członkowskiego, w którym dokonywane są czynności poprzedzające wprowadzanie do obrotu, mogą zwrócić się do właściwych organów macierzystego państwa członkowskiego ZAFI z UE o dostarczenie dalszych informacji na temat czynności poprzedzających wprowadzanie do obrotu, które mają lub miały miejsce na jego terytorium. Kwestia ta została uregulowana w projektowanym art. 263l ust. 4 ustawy o funduszach </w:t>
      </w:r>
      <w:r>
        <w:rPr>
          <w:rFonts w:eastAsiaTheme="minorHAnsi"/>
          <w:bCs/>
          <w:lang w:eastAsia="en-US"/>
        </w:rPr>
        <w:br/>
      </w:r>
      <w:r w:rsidRPr="00085193">
        <w:rPr>
          <w:rFonts w:eastAsiaTheme="minorHAnsi"/>
          <w:bCs/>
          <w:lang w:eastAsia="en-US"/>
        </w:rPr>
        <w:t xml:space="preserve">w odniesieniu zarządzającego z UE. </w:t>
      </w:r>
      <w:r w:rsidRPr="00954391">
        <w:rPr>
          <w:rFonts w:eastAsiaTheme="minorHAnsi"/>
          <w:bCs/>
          <w:lang w:eastAsia="en-US"/>
        </w:rPr>
        <w:t xml:space="preserve">Natomiast w przypadku towarzystwa albo zarządzającego ASI, Komisja Nadzoru Finansowego jest zarówno właściwym organem państwa macierzystego, jak </w:t>
      </w:r>
      <w:r>
        <w:rPr>
          <w:rFonts w:eastAsiaTheme="minorHAnsi"/>
          <w:bCs/>
          <w:lang w:eastAsia="en-US"/>
        </w:rPr>
        <w:br/>
      </w:r>
      <w:r w:rsidRPr="00954391">
        <w:rPr>
          <w:rFonts w:eastAsiaTheme="minorHAnsi"/>
          <w:bCs/>
          <w:lang w:eastAsia="en-US"/>
        </w:rPr>
        <w:t>i państwa goszczącego. Z tego względu</w:t>
      </w:r>
      <w:r w:rsidRPr="00825DA5">
        <w:rPr>
          <w:rFonts w:eastAsiaTheme="minorHAnsi"/>
          <w:bCs/>
          <w:lang w:eastAsia="en-US"/>
        </w:rPr>
        <w:t xml:space="preserve"> w projektowanym art. 263l ust. 3 ustawy o funduszach</w:t>
      </w:r>
      <w:r w:rsidRPr="00954391">
        <w:rPr>
          <w:rFonts w:eastAsiaTheme="minorHAnsi"/>
          <w:bCs/>
          <w:lang w:eastAsia="en-US"/>
        </w:rPr>
        <w:t xml:space="preserve"> </w:t>
      </w:r>
      <w:r w:rsidRPr="00825DA5">
        <w:rPr>
          <w:rFonts w:eastAsiaTheme="minorHAnsi"/>
          <w:bCs/>
          <w:lang w:eastAsia="en-US"/>
        </w:rPr>
        <w:t>przyznaje się</w:t>
      </w:r>
      <w:r w:rsidRPr="00954391">
        <w:rPr>
          <w:rFonts w:eastAsiaTheme="minorHAnsi"/>
          <w:bCs/>
          <w:lang w:eastAsia="en-US"/>
        </w:rPr>
        <w:t xml:space="preserve"> KNF uprawnienie do żądania dodatkowych wyjaśnień bezpośrednio od towarzystwa lub zarządzającego ASI.</w:t>
      </w:r>
    </w:p>
    <w:p w14:paraId="141D6BCB" w14:textId="77777777" w:rsidR="00FC78AA" w:rsidRDefault="00FC78AA" w:rsidP="00FC78AA">
      <w:pPr>
        <w:spacing w:line="360" w:lineRule="auto"/>
        <w:jc w:val="both"/>
        <w:rPr>
          <w:rFonts w:eastAsiaTheme="minorHAnsi"/>
          <w:bCs/>
          <w:lang w:eastAsia="en-US"/>
        </w:rPr>
      </w:pPr>
      <w:r w:rsidRPr="008230A1">
        <w:rPr>
          <w:rFonts w:eastAsiaTheme="minorHAnsi"/>
          <w:bCs/>
          <w:lang w:eastAsia="en-US"/>
        </w:rPr>
        <w:lastRenderedPageBreak/>
        <w:t xml:space="preserve">Przepis art. 263m ustawy o funduszach stanowi implementację art. 30a ust. 2 akapit </w:t>
      </w:r>
      <w:r>
        <w:rPr>
          <w:rFonts w:eastAsiaTheme="minorHAnsi"/>
          <w:bCs/>
          <w:lang w:eastAsia="en-US"/>
        </w:rPr>
        <w:t>1</w:t>
      </w:r>
      <w:r w:rsidRPr="008230A1">
        <w:rPr>
          <w:rFonts w:eastAsiaTheme="minorHAnsi"/>
          <w:bCs/>
          <w:lang w:eastAsia="en-US"/>
        </w:rPr>
        <w:t xml:space="preserve"> dyrektywy ZAFI. W przepisie tym zobowiązano ZAFI z UE do zapewnienia, aby inwestorzy nie nabywali praw uczestnictwa AFI w ramach czynności poprzedzających wprowadzenie do obrotu. Jednocześnie przepis ten zobowiązuje zarządzających AFI do zapewnienia, aby inwestorzy, z którymi nawiązano kontakt w ramach czynności poprzedzających wprowadzenie do obrotu, nabywali prawa uczestnictwa w tym AFI wyłącznie w przypadku gdy zarządzający AFI dokona procedury notyfikacji wprowadzania do obrotu ASI w państwie członkowskim. W przepisie tym uregulowano zatem również sytuacje, gdy do nabycia praw uczestnictwa unijnego AFI dochodzi z inicjatywy klienta, </w:t>
      </w:r>
      <w:r>
        <w:rPr>
          <w:rFonts w:eastAsiaTheme="minorHAnsi"/>
          <w:bCs/>
          <w:lang w:eastAsia="en-US"/>
        </w:rPr>
        <w:br/>
      </w:r>
      <w:r w:rsidRPr="008230A1">
        <w:rPr>
          <w:rFonts w:eastAsiaTheme="minorHAnsi"/>
          <w:bCs/>
          <w:lang w:eastAsia="en-US"/>
        </w:rPr>
        <w:t>z wykorz</w:t>
      </w:r>
      <w:r w:rsidRPr="00825DA5">
        <w:rPr>
          <w:rFonts w:eastAsiaTheme="minorHAnsi"/>
          <w:bCs/>
          <w:lang w:eastAsia="en-US"/>
        </w:rPr>
        <w:t>ystaniem rozwiązań technicznych</w:t>
      </w:r>
      <w:r w:rsidRPr="008230A1">
        <w:rPr>
          <w:rFonts w:eastAsiaTheme="minorHAnsi"/>
          <w:bCs/>
          <w:lang w:eastAsia="en-US"/>
        </w:rPr>
        <w:t xml:space="preserve"> udostępnianych przez unijne AFI na terytorium innych państw członkowskich. Mając to na uwadze, podobnie jak w implementowanej dyrektywie, </w:t>
      </w:r>
      <w:r>
        <w:rPr>
          <w:rFonts w:eastAsiaTheme="minorHAnsi"/>
          <w:bCs/>
          <w:lang w:eastAsia="en-US"/>
        </w:rPr>
        <w:br/>
      </w:r>
      <w:r w:rsidRPr="008230A1">
        <w:rPr>
          <w:rFonts w:eastAsiaTheme="minorHAnsi"/>
          <w:bCs/>
          <w:lang w:eastAsia="en-US"/>
        </w:rPr>
        <w:t>w art. 263m rozróżniono te dwie sytuacje.</w:t>
      </w:r>
      <w:r>
        <w:rPr>
          <w:rFonts w:eastAsiaTheme="minorHAnsi"/>
          <w:bCs/>
          <w:lang w:eastAsia="en-US"/>
        </w:rPr>
        <w:t xml:space="preserve"> Projektowany art. 263m ust. 2 ustawy o funduszach służy z kolei implementacji </w:t>
      </w:r>
      <w:r w:rsidRPr="008230A1">
        <w:rPr>
          <w:rFonts w:eastAsiaTheme="minorHAnsi"/>
          <w:bCs/>
          <w:lang w:eastAsia="en-US"/>
        </w:rPr>
        <w:t xml:space="preserve">art. 30a ust. 2 akapit </w:t>
      </w:r>
      <w:r>
        <w:rPr>
          <w:rFonts w:eastAsiaTheme="minorHAnsi"/>
          <w:bCs/>
          <w:lang w:eastAsia="en-US"/>
        </w:rPr>
        <w:t xml:space="preserve">2 </w:t>
      </w:r>
      <w:r w:rsidRPr="00303C60">
        <w:rPr>
          <w:rFonts w:eastAsiaTheme="minorHAnsi"/>
          <w:bCs/>
          <w:lang w:eastAsia="en-US"/>
        </w:rPr>
        <w:t xml:space="preserve">dyrektywy </w:t>
      </w:r>
      <w:r>
        <w:rPr>
          <w:rFonts w:eastAsiaTheme="minorHAnsi"/>
          <w:bCs/>
          <w:lang w:eastAsia="en-US"/>
        </w:rPr>
        <w:t>ZAFI.</w:t>
      </w:r>
    </w:p>
    <w:p w14:paraId="47BCF8C0" w14:textId="77777777" w:rsidR="00FC78AA" w:rsidRDefault="00FC78AA" w:rsidP="00FC78AA">
      <w:pPr>
        <w:spacing w:line="360" w:lineRule="auto"/>
        <w:jc w:val="both"/>
        <w:rPr>
          <w:rFonts w:eastAsiaTheme="minorHAnsi"/>
          <w:bCs/>
          <w:lang w:eastAsia="en-US"/>
        </w:rPr>
      </w:pPr>
      <w:r>
        <w:rPr>
          <w:rFonts w:eastAsiaTheme="minorHAnsi"/>
          <w:bCs/>
          <w:lang w:eastAsia="en-US"/>
        </w:rPr>
        <w:t>Projektowane art. 263n-263p ustawy o funduszach również służą implementacji</w:t>
      </w:r>
      <w:r w:rsidRPr="001B10C0">
        <w:rPr>
          <w:rFonts w:eastAsiaTheme="minorHAnsi"/>
          <w:bCs/>
          <w:lang w:eastAsia="en-US"/>
        </w:rPr>
        <w:t xml:space="preserve"> przepisów art. 4 </w:t>
      </w:r>
      <w:r>
        <w:rPr>
          <w:rFonts w:eastAsiaTheme="minorHAnsi"/>
          <w:bCs/>
          <w:lang w:eastAsia="en-US"/>
        </w:rPr>
        <w:br/>
      </w:r>
      <w:r w:rsidRPr="001B10C0">
        <w:rPr>
          <w:rFonts w:eastAsiaTheme="minorHAnsi"/>
          <w:bCs/>
          <w:lang w:eastAsia="en-US"/>
        </w:rPr>
        <w:t xml:space="preserve">ust. 1 lit. aea oraz art. 30a </w:t>
      </w:r>
      <w:r w:rsidRPr="00303C60">
        <w:rPr>
          <w:rFonts w:eastAsiaTheme="minorHAnsi"/>
          <w:bCs/>
          <w:lang w:eastAsia="en-US"/>
        </w:rPr>
        <w:t xml:space="preserve">dyrektywy </w:t>
      </w:r>
      <w:r w:rsidRPr="001B10C0">
        <w:rPr>
          <w:rFonts w:eastAsiaTheme="minorHAnsi"/>
          <w:bCs/>
          <w:lang w:eastAsia="en-US"/>
        </w:rPr>
        <w:t>ZAFI</w:t>
      </w:r>
      <w:r>
        <w:rPr>
          <w:rFonts w:eastAsiaTheme="minorHAnsi"/>
          <w:bCs/>
          <w:lang w:eastAsia="en-US"/>
        </w:rPr>
        <w:t>, jednak tym razem w odniesieniu do</w:t>
      </w:r>
      <w:r w:rsidRPr="001B10C0">
        <w:t xml:space="preserve"> </w:t>
      </w:r>
      <w:r>
        <w:rPr>
          <w:rFonts w:eastAsiaTheme="minorHAnsi"/>
          <w:bCs/>
          <w:lang w:eastAsia="en-US"/>
        </w:rPr>
        <w:t>czynności poprzedzających</w:t>
      </w:r>
      <w:r w:rsidRPr="001B10C0">
        <w:rPr>
          <w:rFonts w:eastAsiaTheme="minorHAnsi"/>
          <w:bCs/>
          <w:lang w:eastAsia="en-US"/>
        </w:rPr>
        <w:t xml:space="preserve"> wprowadzenie alternatywnych </w:t>
      </w:r>
      <w:r w:rsidRPr="00200912">
        <w:rPr>
          <w:rFonts w:eastAsiaTheme="minorHAnsi"/>
          <w:bCs/>
          <w:lang w:eastAsia="en-US"/>
        </w:rPr>
        <w:t xml:space="preserve">funduszy </w:t>
      </w:r>
      <w:r>
        <w:rPr>
          <w:rFonts w:eastAsiaTheme="minorHAnsi"/>
          <w:bCs/>
          <w:lang w:eastAsia="en-US"/>
        </w:rPr>
        <w:t xml:space="preserve">inwestycyjnych </w:t>
      </w:r>
      <w:r w:rsidRPr="001B10C0">
        <w:rPr>
          <w:rFonts w:eastAsiaTheme="minorHAnsi"/>
          <w:bCs/>
          <w:lang w:eastAsia="en-US"/>
        </w:rPr>
        <w:t>do obrotu na terytorium państwa członkowskiego.</w:t>
      </w:r>
      <w:r>
        <w:rPr>
          <w:rFonts w:eastAsiaTheme="minorHAnsi"/>
          <w:bCs/>
          <w:lang w:eastAsia="en-US"/>
        </w:rPr>
        <w:t xml:space="preserve"> Mają one konstrukcję analogiczną do wyżej opisanych art. </w:t>
      </w:r>
      <w:r w:rsidRPr="008A68C9">
        <w:rPr>
          <w:rFonts w:eastAsiaTheme="minorHAnsi"/>
          <w:bCs/>
          <w:lang w:eastAsia="en-US"/>
        </w:rPr>
        <w:t>263k-263m</w:t>
      </w:r>
      <w:r>
        <w:rPr>
          <w:rFonts w:eastAsiaTheme="minorHAnsi"/>
          <w:bCs/>
          <w:lang w:eastAsia="en-US"/>
        </w:rPr>
        <w:t xml:space="preserve"> ustawy o funduszach.</w:t>
      </w:r>
    </w:p>
    <w:p w14:paraId="379FCBD2" w14:textId="77777777" w:rsidR="00FC78AA" w:rsidRPr="002917CC" w:rsidRDefault="00FC78AA" w:rsidP="00FC78AA">
      <w:pPr>
        <w:spacing w:line="360" w:lineRule="auto"/>
        <w:jc w:val="both"/>
        <w:rPr>
          <w:rFonts w:eastAsiaTheme="minorHAnsi"/>
          <w:bCs/>
          <w:lang w:eastAsia="en-US"/>
        </w:rPr>
      </w:pPr>
      <w:r w:rsidRPr="00825DA5">
        <w:rPr>
          <w:rFonts w:eastAsiaTheme="minorHAnsi"/>
          <w:bCs/>
          <w:lang w:eastAsia="en-US"/>
        </w:rPr>
        <w:t>Przepisy</w:t>
      </w:r>
      <w:r w:rsidRPr="00825DA5">
        <w:rPr>
          <w:rFonts w:eastAsiaTheme="minorHAnsi"/>
          <w:b/>
          <w:bCs/>
          <w:lang w:eastAsia="en-US"/>
        </w:rPr>
        <w:t xml:space="preserve"> a</w:t>
      </w:r>
      <w:r w:rsidRPr="008A3598">
        <w:rPr>
          <w:rFonts w:eastAsiaTheme="minorHAnsi"/>
          <w:b/>
          <w:bCs/>
          <w:lang w:eastAsia="en-US"/>
        </w:rPr>
        <w:t xml:space="preserve">rt. 1 pkt </w:t>
      </w:r>
      <w:r>
        <w:rPr>
          <w:rFonts w:eastAsiaTheme="minorHAnsi"/>
          <w:b/>
          <w:bCs/>
          <w:lang w:eastAsia="en-US"/>
        </w:rPr>
        <w:t>21</w:t>
      </w:r>
      <w:r w:rsidRPr="008A3598">
        <w:rPr>
          <w:rFonts w:eastAsiaTheme="minorHAnsi"/>
          <w:b/>
          <w:bCs/>
          <w:lang w:eastAsia="en-US"/>
        </w:rPr>
        <w:t xml:space="preserve"> lit. a</w:t>
      </w:r>
      <w:r w:rsidRPr="00825DA5">
        <w:rPr>
          <w:rFonts w:eastAsiaTheme="minorHAnsi"/>
          <w:b/>
          <w:bCs/>
          <w:lang w:eastAsia="en-US"/>
        </w:rPr>
        <w:t xml:space="preserve"> i </w:t>
      </w:r>
      <w:r w:rsidRPr="008A3598">
        <w:rPr>
          <w:rFonts w:eastAsiaTheme="minorHAnsi"/>
          <w:b/>
          <w:bCs/>
          <w:lang w:eastAsia="en-US"/>
        </w:rPr>
        <w:t>d projektu</w:t>
      </w:r>
      <w:r w:rsidRPr="008A3598">
        <w:rPr>
          <w:rFonts w:eastAsiaTheme="minorHAnsi"/>
          <w:bCs/>
          <w:lang w:eastAsia="en-US"/>
        </w:rPr>
        <w:t xml:space="preserve"> </w:t>
      </w:r>
      <w:r w:rsidRPr="00825DA5">
        <w:rPr>
          <w:rFonts w:eastAsiaTheme="minorHAnsi"/>
          <w:bCs/>
          <w:lang w:eastAsia="en-US"/>
        </w:rPr>
        <w:t>dokonują implementacji</w:t>
      </w:r>
      <w:r w:rsidRPr="008A3598">
        <w:rPr>
          <w:rFonts w:eastAsiaTheme="minorHAnsi"/>
          <w:bCs/>
          <w:lang w:eastAsia="en-US"/>
        </w:rPr>
        <w:t xml:space="preserve"> </w:t>
      </w:r>
      <w:r w:rsidRPr="00825DA5">
        <w:rPr>
          <w:rFonts w:eastAsiaTheme="minorHAnsi"/>
          <w:bCs/>
          <w:lang w:eastAsia="en-US"/>
        </w:rPr>
        <w:t>dodan</w:t>
      </w:r>
      <w:r>
        <w:rPr>
          <w:rFonts w:eastAsiaTheme="minorHAnsi"/>
          <w:bCs/>
          <w:lang w:eastAsia="en-US"/>
        </w:rPr>
        <w:t>ego</w:t>
      </w:r>
      <w:r w:rsidRPr="00825DA5">
        <w:rPr>
          <w:rFonts w:eastAsiaTheme="minorHAnsi"/>
          <w:bCs/>
          <w:lang w:eastAsia="en-US"/>
        </w:rPr>
        <w:t xml:space="preserve"> dyrektywą </w:t>
      </w:r>
      <w:r w:rsidRPr="008A3598">
        <w:rPr>
          <w:rFonts w:eastAsiaTheme="minorHAnsi"/>
          <w:bCs/>
          <w:lang w:eastAsia="en-US"/>
        </w:rPr>
        <w:t>2019/1160</w:t>
      </w:r>
      <w:r>
        <w:rPr>
          <w:rFonts w:eastAsiaTheme="minorHAnsi"/>
          <w:bCs/>
          <w:lang w:eastAsia="en-US"/>
        </w:rPr>
        <w:t xml:space="preserve"> </w:t>
      </w:r>
      <w:r w:rsidRPr="008A3598">
        <w:rPr>
          <w:rFonts w:eastAsiaTheme="minorHAnsi"/>
          <w:bCs/>
          <w:lang w:eastAsia="en-US"/>
        </w:rPr>
        <w:t>art. 17 ust. 8</w:t>
      </w:r>
      <w:r>
        <w:rPr>
          <w:rFonts w:eastAsiaTheme="minorHAnsi"/>
          <w:bCs/>
          <w:lang w:eastAsia="en-US"/>
        </w:rPr>
        <w:t xml:space="preserve"> akapit 2 i 3</w:t>
      </w:r>
      <w:r w:rsidRPr="008A3598">
        <w:rPr>
          <w:rFonts w:eastAsiaTheme="minorHAnsi"/>
          <w:bCs/>
          <w:lang w:eastAsia="en-US"/>
        </w:rPr>
        <w:t xml:space="preserve"> </w:t>
      </w:r>
      <w:r w:rsidRPr="00AB7B61">
        <w:rPr>
          <w:rFonts w:eastAsiaTheme="minorHAnsi"/>
          <w:bCs/>
          <w:lang w:eastAsia="en-US"/>
        </w:rPr>
        <w:t xml:space="preserve">dyrektywy </w:t>
      </w:r>
      <w:r w:rsidRPr="008A3598">
        <w:rPr>
          <w:rFonts w:eastAsiaTheme="minorHAnsi"/>
          <w:bCs/>
          <w:lang w:eastAsia="en-US"/>
        </w:rPr>
        <w:t xml:space="preserve">UCITS poprzez zmianę </w:t>
      </w:r>
      <w:r w:rsidRPr="00051971">
        <w:rPr>
          <w:rFonts w:eastAsiaTheme="minorHAnsi"/>
          <w:bCs/>
          <w:lang w:eastAsia="en-US"/>
        </w:rPr>
        <w:t xml:space="preserve">art. 264 </w:t>
      </w:r>
      <w:r w:rsidRPr="008A3598">
        <w:rPr>
          <w:rFonts w:eastAsiaTheme="minorHAnsi"/>
          <w:bCs/>
          <w:lang w:eastAsia="en-US"/>
        </w:rPr>
        <w:t>ust. 10</w:t>
      </w:r>
      <w:r>
        <w:rPr>
          <w:rFonts w:eastAsiaTheme="minorHAnsi"/>
          <w:bCs/>
          <w:lang w:eastAsia="en-US"/>
        </w:rPr>
        <w:t xml:space="preserve"> </w:t>
      </w:r>
      <w:r w:rsidRPr="00825DA5">
        <w:rPr>
          <w:rFonts w:eastAsiaTheme="minorHAnsi"/>
          <w:bCs/>
          <w:lang w:eastAsia="en-US"/>
        </w:rPr>
        <w:t>i</w:t>
      </w:r>
      <w:r w:rsidRPr="008A3598">
        <w:rPr>
          <w:rFonts w:eastAsiaTheme="minorHAnsi"/>
          <w:bCs/>
          <w:lang w:eastAsia="en-US"/>
        </w:rPr>
        <w:t xml:space="preserve"> 10a</w:t>
      </w:r>
      <w:r w:rsidRPr="00051971">
        <w:rPr>
          <w:rFonts w:eastAsiaTheme="minorHAnsi"/>
          <w:bCs/>
          <w:lang w:eastAsia="en-US"/>
        </w:rPr>
        <w:t xml:space="preserve"> ustawy o funduszach</w:t>
      </w:r>
      <w:r w:rsidRPr="008A3598">
        <w:rPr>
          <w:rFonts w:eastAsiaTheme="minorHAnsi"/>
          <w:bCs/>
          <w:lang w:eastAsia="en-US"/>
        </w:rPr>
        <w:t xml:space="preserve"> oraz dodanie art. 264 </w:t>
      </w:r>
      <w:r>
        <w:rPr>
          <w:rFonts w:eastAsiaTheme="minorHAnsi"/>
          <w:bCs/>
          <w:lang w:eastAsia="en-US"/>
        </w:rPr>
        <w:t xml:space="preserve">ust. 12 </w:t>
      </w:r>
      <w:r w:rsidRPr="008A3598">
        <w:rPr>
          <w:rFonts w:eastAsiaTheme="minorHAnsi"/>
          <w:bCs/>
          <w:lang w:eastAsia="en-US"/>
        </w:rPr>
        <w:t>ustawy o funduszach.</w:t>
      </w:r>
      <w:r>
        <w:rPr>
          <w:rFonts w:eastAsiaTheme="minorHAnsi"/>
          <w:bCs/>
          <w:lang w:eastAsia="en-US"/>
        </w:rPr>
        <w:t xml:space="preserve"> </w:t>
      </w:r>
      <w:r w:rsidRPr="00825DA5">
        <w:rPr>
          <w:rFonts w:eastAsiaTheme="minorHAnsi"/>
          <w:bCs/>
          <w:lang w:eastAsia="en-US"/>
        </w:rPr>
        <w:t>Nowe brzmienie</w:t>
      </w:r>
      <w:r w:rsidRPr="00F054F5">
        <w:rPr>
          <w:rFonts w:eastAsiaTheme="minorHAnsi"/>
          <w:bCs/>
          <w:lang w:eastAsia="en-US"/>
        </w:rPr>
        <w:t xml:space="preserve"> art. 264 ust. 10</w:t>
      </w:r>
      <w:r>
        <w:rPr>
          <w:rFonts w:eastAsiaTheme="minorHAnsi"/>
          <w:bCs/>
          <w:lang w:eastAsia="en-US"/>
        </w:rPr>
        <w:t xml:space="preserve"> ustawy </w:t>
      </w:r>
      <w:r>
        <w:rPr>
          <w:rFonts w:eastAsiaTheme="minorHAnsi"/>
          <w:bCs/>
          <w:lang w:eastAsia="en-US"/>
        </w:rPr>
        <w:br/>
        <w:t>o funduszach</w:t>
      </w:r>
      <w:r w:rsidRPr="00F054F5">
        <w:rPr>
          <w:rFonts w:eastAsiaTheme="minorHAnsi"/>
          <w:bCs/>
          <w:lang w:eastAsia="en-US"/>
        </w:rPr>
        <w:t xml:space="preserve"> ma na celu implementację art. 17 ust. 8 akapit 2 </w:t>
      </w:r>
      <w:r w:rsidRPr="00AB7B61">
        <w:rPr>
          <w:rFonts w:eastAsiaTheme="minorHAnsi"/>
          <w:bCs/>
          <w:lang w:eastAsia="en-US"/>
        </w:rPr>
        <w:t xml:space="preserve">dyrektywy </w:t>
      </w:r>
      <w:r w:rsidRPr="00F054F5">
        <w:rPr>
          <w:rFonts w:eastAsiaTheme="minorHAnsi"/>
          <w:bCs/>
          <w:lang w:eastAsia="en-US"/>
        </w:rPr>
        <w:t>UCITS. Termin dwutygodniowy zostaje zastąpiony terminem 15 dni roboczych określonym w ww. przepisie dyrektywy. Nadto w przypadku gdy KNF uzna wprowadzenie proponowanej zmiany za niemożliwe zamiast, jak dotychczas, wydawać odmowną decyzję administracyjną, będzie informował</w:t>
      </w:r>
      <w:r>
        <w:rPr>
          <w:rFonts w:eastAsiaTheme="minorHAnsi"/>
          <w:bCs/>
          <w:lang w:eastAsia="en-US"/>
        </w:rPr>
        <w:t>a</w:t>
      </w:r>
      <w:r w:rsidRPr="00F054F5">
        <w:rPr>
          <w:rFonts w:eastAsiaTheme="minorHAnsi"/>
          <w:bCs/>
          <w:lang w:eastAsia="en-US"/>
        </w:rPr>
        <w:t xml:space="preserve"> towarzystwo </w:t>
      </w:r>
      <w:r w:rsidRPr="006A2069">
        <w:rPr>
          <w:rFonts w:eastAsiaTheme="minorHAnsi"/>
          <w:bCs/>
          <w:lang w:eastAsia="en-US"/>
        </w:rPr>
        <w:t xml:space="preserve">oraz właściwe organy państwa goszczącego </w:t>
      </w:r>
      <w:r w:rsidRPr="00F054F5">
        <w:rPr>
          <w:rFonts w:eastAsiaTheme="minorHAnsi"/>
          <w:bCs/>
          <w:lang w:eastAsia="en-US"/>
        </w:rPr>
        <w:t>o tym, że zmiany nie mogą zostać wprowadzone. Zmiana ma na celu ujednolicenie przepisów dotyczących UCITS oraz tych, które dotyczą zarządzania AFI.</w:t>
      </w:r>
      <w:r>
        <w:rPr>
          <w:rFonts w:eastAsiaTheme="minorHAnsi"/>
          <w:bCs/>
          <w:lang w:eastAsia="en-US"/>
        </w:rPr>
        <w:t xml:space="preserve"> </w:t>
      </w:r>
      <w:r w:rsidRPr="002917CC">
        <w:rPr>
          <w:rFonts w:eastAsiaTheme="minorHAnsi"/>
          <w:bCs/>
          <w:lang w:eastAsia="en-US"/>
        </w:rPr>
        <w:t>W ust. 10a usuwa się odesłanie do ust. 10 pkt 2. Zmiana ta jest wynikiem tego, iż w znowelizowanym ust. 10 nie będzie już występowała odmowa przekazania informacji. Zgodnie z jego nową wersją, KNF jedynie informuje towarzystwo. Ponadto dotychczas obowiązujący wymóg informowania przez KNF Europejskiego Urzędu Nadzoru Giełd i Papierów Wartościowych wydaje się nie wynikać z przepisów implementowanej dyrektywy.</w:t>
      </w:r>
    </w:p>
    <w:p w14:paraId="085B0A9D" w14:textId="77777777" w:rsidR="00FC78AA" w:rsidRDefault="00FC78AA" w:rsidP="00FC78AA">
      <w:pPr>
        <w:spacing w:line="360" w:lineRule="auto"/>
        <w:jc w:val="both"/>
        <w:rPr>
          <w:rFonts w:eastAsiaTheme="minorHAnsi"/>
          <w:bCs/>
          <w:lang w:eastAsia="en-US"/>
        </w:rPr>
      </w:pPr>
      <w:r w:rsidRPr="006C2C1D">
        <w:rPr>
          <w:rFonts w:eastAsiaTheme="minorHAnsi"/>
          <w:bCs/>
          <w:lang w:eastAsia="en-US"/>
        </w:rPr>
        <w:lastRenderedPageBreak/>
        <w:t xml:space="preserve">Odpowiednikiem przepisu art. 17 ust. 8 akapity 2 i 3 </w:t>
      </w:r>
      <w:r w:rsidRPr="00AB7B61">
        <w:rPr>
          <w:rFonts w:eastAsiaTheme="minorHAnsi"/>
          <w:bCs/>
          <w:lang w:eastAsia="en-US"/>
        </w:rPr>
        <w:t xml:space="preserve">dyrektywy </w:t>
      </w:r>
      <w:r w:rsidRPr="006C2C1D">
        <w:rPr>
          <w:rFonts w:eastAsiaTheme="minorHAnsi"/>
          <w:bCs/>
          <w:lang w:eastAsia="en-US"/>
        </w:rPr>
        <w:t>UCITS jest art. 33 ust.</w:t>
      </w:r>
      <w:r w:rsidRPr="00825DA5">
        <w:rPr>
          <w:rFonts w:eastAsiaTheme="minorHAnsi"/>
          <w:bCs/>
          <w:lang w:eastAsia="en-US"/>
        </w:rPr>
        <w:t xml:space="preserve"> </w:t>
      </w:r>
      <w:r w:rsidRPr="006C2C1D">
        <w:rPr>
          <w:rFonts w:eastAsiaTheme="minorHAnsi"/>
          <w:bCs/>
          <w:lang w:eastAsia="en-US"/>
        </w:rPr>
        <w:t xml:space="preserve">6 akapit </w:t>
      </w:r>
      <w:r>
        <w:rPr>
          <w:rFonts w:eastAsiaTheme="minorHAnsi"/>
          <w:bCs/>
          <w:lang w:eastAsia="en-US"/>
        </w:rPr>
        <w:t>2</w:t>
      </w:r>
      <w:r w:rsidRPr="006C2C1D">
        <w:rPr>
          <w:rFonts w:eastAsiaTheme="minorHAnsi"/>
          <w:bCs/>
          <w:lang w:eastAsia="en-US"/>
        </w:rPr>
        <w:t xml:space="preserve"> i </w:t>
      </w:r>
      <w:r>
        <w:rPr>
          <w:rFonts w:eastAsiaTheme="minorHAnsi"/>
          <w:bCs/>
          <w:lang w:eastAsia="en-US"/>
        </w:rPr>
        <w:t>3</w:t>
      </w:r>
      <w:r w:rsidRPr="006C2C1D">
        <w:rPr>
          <w:rFonts w:eastAsiaTheme="minorHAnsi"/>
          <w:bCs/>
          <w:lang w:eastAsia="en-US"/>
        </w:rPr>
        <w:t xml:space="preserve"> </w:t>
      </w:r>
      <w:r w:rsidRPr="00303C60">
        <w:rPr>
          <w:rFonts w:eastAsiaTheme="minorHAnsi"/>
          <w:bCs/>
          <w:lang w:eastAsia="en-US"/>
        </w:rPr>
        <w:t xml:space="preserve">dyrektywy </w:t>
      </w:r>
      <w:r w:rsidRPr="006C2C1D">
        <w:rPr>
          <w:rFonts w:eastAsiaTheme="minorHAnsi"/>
          <w:bCs/>
          <w:lang w:eastAsia="en-US"/>
        </w:rPr>
        <w:t>ZAFI w nowym brzmieniu</w:t>
      </w:r>
      <w:r w:rsidRPr="00825DA5">
        <w:rPr>
          <w:rFonts w:eastAsiaTheme="minorHAnsi"/>
          <w:bCs/>
          <w:lang w:eastAsia="en-US"/>
        </w:rPr>
        <w:t xml:space="preserve">, którego implementacji dokonuje </w:t>
      </w:r>
      <w:r w:rsidRPr="00825DA5">
        <w:rPr>
          <w:rFonts w:eastAsiaTheme="minorHAnsi"/>
          <w:b/>
          <w:bCs/>
          <w:lang w:eastAsia="en-US"/>
        </w:rPr>
        <w:t xml:space="preserve">art. 1 pkt </w:t>
      </w:r>
      <w:r>
        <w:rPr>
          <w:rFonts w:eastAsiaTheme="minorHAnsi"/>
          <w:b/>
          <w:bCs/>
          <w:lang w:eastAsia="en-US"/>
        </w:rPr>
        <w:t>21</w:t>
      </w:r>
      <w:r w:rsidRPr="00825DA5">
        <w:rPr>
          <w:rFonts w:eastAsiaTheme="minorHAnsi"/>
          <w:b/>
          <w:bCs/>
          <w:lang w:eastAsia="en-US"/>
        </w:rPr>
        <w:t xml:space="preserve"> lit. b i c projektu</w:t>
      </w:r>
      <w:r w:rsidRPr="006C2C1D">
        <w:rPr>
          <w:rFonts w:eastAsiaTheme="minorHAnsi"/>
          <w:bCs/>
          <w:lang w:eastAsia="en-US"/>
        </w:rPr>
        <w:t xml:space="preserve">. </w:t>
      </w:r>
      <w:r>
        <w:rPr>
          <w:rFonts w:eastAsiaTheme="minorHAnsi"/>
          <w:bCs/>
          <w:lang w:eastAsia="en-US"/>
        </w:rPr>
        <w:t>A</w:t>
      </w:r>
      <w:r w:rsidRPr="00825DA5">
        <w:rPr>
          <w:rFonts w:eastAsiaTheme="minorHAnsi"/>
          <w:bCs/>
          <w:lang w:eastAsia="en-US"/>
        </w:rPr>
        <w:t>rt. 264</w:t>
      </w:r>
      <w:r>
        <w:rPr>
          <w:rFonts w:eastAsiaTheme="minorHAnsi"/>
          <w:bCs/>
          <w:lang w:eastAsia="en-US"/>
        </w:rPr>
        <w:t xml:space="preserve"> ust. 10c</w:t>
      </w:r>
      <w:r w:rsidRPr="00825DA5">
        <w:rPr>
          <w:rFonts w:eastAsiaTheme="minorHAnsi"/>
          <w:bCs/>
          <w:lang w:eastAsia="en-US"/>
        </w:rPr>
        <w:t xml:space="preserve"> ustawy o funduszach nadaje się</w:t>
      </w:r>
      <w:r w:rsidRPr="006C2C1D">
        <w:rPr>
          <w:rFonts w:eastAsiaTheme="minorHAnsi"/>
          <w:bCs/>
          <w:lang w:eastAsia="en-US"/>
        </w:rPr>
        <w:t xml:space="preserve"> </w:t>
      </w:r>
      <w:r w:rsidRPr="00825DA5">
        <w:rPr>
          <w:rFonts w:eastAsiaTheme="minorHAnsi"/>
          <w:bCs/>
          <w:lang w:eastAsia="en-US"/>
        </w:rPr>
        <w:t>formę</w:t>
      </w:r>
      <w:r w:rsidRPr="006C2C1D">
        <w:rPr>
          <w:rFonts w:eastAsiaTheme="minorHAnsi"/>
          <w:bCs/>
          <w:lang w:eastAsia="en-US"/>
        </w:rPr>
        <w:t xml:space="preserve"> a</w:t>
      </w:r>
      <w:r w:rsidRPr="00825DA5">
        <w:rPr>
          <w:rFonts w:eastAsiaTheme="minorHAnsi"/>
          <w:bCs/>
          <w:lang w:eastAsia="en-US"/>
        </w:rPr>
        <w:t>nalogiczną</w:t>
      </w:r>
      <w:r w:rsidRPr="006C2C1D">
        <w:rPr>
          <w:rFonts w:eastAsiaTheme="minorHAnsi"/>
          <w:bCs/>
          <w:lang w:eastAsia="en-US"/>
        </w:rPr>
        <w:t xml:space="preserve"> do ust. 10 </w:t>
      </w:r>
      <w:r w:rsidRPr="00825DA5">
        <w:rPr>
          <w:rFonts w:eastAsiaTheme="minorHAnsi"/>
          <w:bCs/>
          <w:lang w:eastAsia="en-US"/>
        </w:rPr>
        <w:t xml:space="preserve">tego przepisu </w:t>
      </w:r>
      <w:r>
        <w:rPr>
          <w:rFonts w:eastAsiaTheme="minorHAnsi"/>
          <w:bCs/>
          <w:lang w:eastAsia="en-US"/>
        </w:rPr>
        <w:t xml:space="preserve">w celu </w:t>
      </w:r>
      <w:r w:rsidRPr="006C2C1D">
        <w:rPr>
          <w:rFonts w:eastAsiaTheme="minorHAnsi"/>
          <w:bCs/>
          <w:lang w:eastAsia="en-US"/>
        </w:rPr>
        <w:t xml:space="preserve">zwiększenia czytelności przepisów ustawy. W związku z </w:t>
      </w:r>
      <w:r w:rsidRPr="00825DA5">
        <w:rPr>
          <w:rFonts w:eastAsiaTheme="minorHAnsi"/>
          <w:bCs/>
          <w:lang w:eastAsia="en-US"/>
        </w:rPr>
        <w:t>powyższą</w:t>
      </w:r>
      <w:r w:rsidRPr="006C2C1D">
        <w:rPr>
          <w:rFonts w:eastAsiaTheme="minorHAnsi"/>
          <w:bCs/>
          <w:lang w:eastAsia="en-US"/>
        </w:rPr>
        <w:t xml:space="preserve"> zmianą, zbyteczny </w:t>
      </w:r>
      <w:r w:rsidRPr="00825DA5">
        <w:rPr>
          <w:rFonts w:eastAsiaTheme="minorHAnsi"/>
          <w:bCs/>
          <w:lang w:eastAsia="en-US"/>
        </w:rPr>
        <w:t>staje</w:t>
      </w:r>
      <w:r w:rsidRPr="006C2C1D">
        <w:rPr>
          <w:rFonts w:eastAsiaTheme="minorHAnsi"/>
          <w:bCs/>
          <w:lang w:eastAsia="en-US"/>
        </w:rPr>
        <w:t xml:space="preserve"> się ust</w:t>
      </w:r>
      <w:r>
        <w:rPr>
          <w:rFonts w:eastAsiaTheme="minorHAnsi"/>
          <w:bCs/>
          <w:lang w:eastAsia="en-US"/>
        </w:rPr>
        <w:t>.</w:t>
      </w:r>
      <w:r w:rsidRPr="006C2C1D">
        <w:rPr>
          <w:rFonts w:eastAsiaTheme="minorHAnsi"/>
          <w:bCs/>
          <w:lang w:eastAsia="en-US"/>
        </w:rPr>
        <w:t xml:space="preserve"> 10d, który zostaje z tego względu uchylony.</w:t>
      </w:r>
      <w:r>
        <w:rPr>
          <w:rFonts w:eastAsiaTheme="minorHAnsi"/>
          <w:bCs/>
          <w:lang w:eastAsia="en-US"/>
        </w:rPr>
        <w:t xml:space="preserve"> </w:t>
      </w:r>
      <w:r w:rsidRPr="00825DA5">
        <w:rPr>
          <w:rFonts w:eastAsiaTheme="minorHAnsi"/>
          <w:b/>
          <w:bCs/>
          <w:lang w:eastAsia="en-US"/>
        </w:rPr>
        <w:t xml:space="preserve">Art. 1 pkt </w:t>
      </w:r>
      <w:r>
        <w:rPr>
          <w:rFonts w:eastAsiaTheme="minorHAnsi"/>
          <w:b/>
          <w:bCs/>
          <w:lang w:eastAsia="en-US"/>
        </w:rPr>
        <w:t>21</w:t>
      </w:r>
      <w:r w:rsidRPr="00825DA5">
        <w:rPr>
          <w:rFonts w:eastAsiaTheme="minorHAnsi"/>
          <w:b/>
          <w:bCs/>
          <w:lang w:eastAsia="en-US"/>
        </w:rPr>
        <w:t xml:space="preserve"> lit. d projektu</w:t>
      </w:r>
      <w:r w:rsidRPr="00825DA5">
        <w:rPr>
          <w:rFonts w:eastAsiaTheme="minorHAnsi"/>
          <w:bCs/>
          <w:lang w:eastAsia="en-US"/>
        </w:rPr>
        <w:t xml:space="preserve"> dodaje n</w:t>
      </w:r>
      <w:r w:rsidRPr="00091F46">
        <w:rPr>
          <w:rFonts w:eastAsiaTheme="minorHAnsi"/>
          <w:bCs/>
          <w:lang w:eastAsia="en-US"/>
        </w:rPr>
        <w:t xml:space="preserve">owy </w:t>
      </w:r>
      <w:r>
        <w:rPr>
          <w:rFonts w:eastAsiaTheme="minorHAnsi"/>
          <w:bCs/>
          <w:lang w:eastAsia="en-US"/>
        </w:rPr>
        <w:br/>
      </w:r>
      <w:r w:rsidRPr="00091F46">
        <w:rPr>
          <w:rFonts w:eastAsiaTheme="minorHAnsi"/>
          <w:bCs/>
          <w:lang w:eastAsia="en-US"/>
        </w:rPr>
        <w:t>art. 264</w:t>
      </w:r>
      <w:r>
        <w:rPr>
          <w:rFonts w:eastAsiaTheme="minorHAnsi"/>
          <w:bCs/>
          <w:lang w:eastAsia="en-US"/>
        </w:rPr>
        <w:t xml:space="preserve"> ust. 12</w:t>
      </w:r>
      <w:r w:rsidRPr="00091F46">
        <w:rPr>
          <w:rFonts w:eastAsiaTheme="minorHAnsi"/>
          <w:bCs/>
          <w:lang w:eastAsia="en-US"/>
        </w:rPr>
        <w:t xml:space="preserve"> ustawy o funduszach. Ma on na celu </w:t>
      </w:r>
      <w:r w:rsidRPr="00825DA5">
        <w:rPr>
          <w:rFonts w:eastAsiaTheme="minorHAnsi"/>
          <w:bCs/>
          <w:lang w:eastAsia="en-US"/>
        </w:rPr>
        <w:t>implementację</w:t>
      </w:r>
      <w:r w:rsidRPr="00091F46">
        <w:rPr>
          <w:rFonts w:eastAsiaTheme="minorHAnsi"/>
          <w:bCs/>
          <w:lang w:eastAsia="en-US"/>
        </w:rPr>
        <w:t xml:space="preserve"> jednocześnie art. 17 ust. 8 akapit 3 </w:t>
      </w:r>
      <w:r w:rsidRPr="00AB7B61">
        <w:rPr>
          <w:rFonts w:eastAsiaTheme="minorHAnsi"/>
          <w:bCs/>
          <w:lang w:eastAsia="en-US"/>
        </w:rPr>
        <w:t xml:space="preserve">dyrektywy </w:t>
      </w:r>
      <w:r w:rsidRPr="00091F46">
        <w:rPr>
          <w:rFonts w:eastAsiaTheme="minorHAnsi"/>
          <w:bCs/>
          <w:lang w:eastAsia="en-US"/>
        </w:rPr>
        <w:t>UCITS oraz art. 33 ust. 6 akapit 3.</w:t>
      </w:r>
      <w:r>
        <w:rPr>
          <w:rFonts w:eastAsiaTheme="minorHAnsi"/>
          <w:bCs/>
          <w:lang w:eastAsia="en-US"/>
        </w:rPr>
        <w:t xml:space="preserve"> </w:t>
      </w:r>
    </w:p>
    <w:p w14:paraId="27B2DBEA" w14:textId="77777777" w:rsidR="00FC78AA" w:rsidRPr="00825DA5" w:rsidRDefault="00FC78AA" w:rsidP="00FC78AA">
      <w:pPr>
        <w:spacing w:line="360" w:lineRule="auto"/>
        <w:jc w:val="both"/>
        <w:rPr>
          <w:rFonts w:eastAsiaTheme="minorHAnsi"/>
          <w:bCs/>
          <w:highlight w:val="yellow"/>
          <w:lang w:eastAsia="en-US"/>
        </w:rPr>
      </w:pPr>
      <w:r w:rsidRPr="00091F46">
        <w:rPr>
          <w:rFonts w:eastAsiaTheme="minorHAnsi"/>
          <w:bCs/>
          <w:lang w:eastAsia="en-US"/>
        </w:rPr>
        <w:t xml:space="preserve">Przypadki </w:t>
      </w:r>
      <w:r>
        <w:rPr>
          <w:rFonts w:eastAsiaTheme="minorHAnsi"/>
          <w:bCs/>
          <w:lang w:eastAsia="en-US"/>
        </w:rPr>
        <w:t xml:space="preserve">zmian danych przekazanych KNF, </w:t>
      </w:r>
      <w:r w:rsidRPr="00091F46">
        <w:rPr>
          <w:rFonts w:eastAsiaTheme="minorHAnsi"/>
          <w:bCs/>
          <w:lang w:eastAsia="en-US"/>
        </w:rPr>
        <w:t>gdy towarzystwo prowadzi działalność na terytorium państwa członkowskiego w formie innej niż oddział</w:t>
      </w:r>
      <w:r>
        <w:rPr>
          <w:rFonts w:eastAsiaTheme="minorHAnsi"/>
          <w:bCs/>
          <w:lang w:eastAsia="en-US"/>
        </w:rPr>
        <w:t>,</w:t>
      </w:r>
      <w:r w:rsidRPr="00091F46">
        <w:rPr>
          <w:rFonts w:eastAsiaTheme="minorHAnsi"/>
          <w:bCs/>
          <w:lang w:eastAsia="en-US"/>
        </w:rPr>
        <w:t xml:space="preserve"> obejmuje </w:t>
      </w:r>
      <w:r w:rsidRPr="00825DA5">
        <w:rPr>
          <w:rFonts w:eastAsiaTheme="minorHAnsi"/>
          <w:b/>
          <w:bCs/>
          <w:lang w:eastAsia="en-US"/>
        </w:rPr>
        <w:t xml:space="preserve">art. 1 pkt </w:t>
      </w:r>
      <w:r>
        <w:rPr>
          <w:rFonts w:eastAsiaTheme="minorHAnsi"/>
          <w:b/>
          <w:bCs/>
          <w:lang w:eastAsia="en-US"/>
        </w:rPr>
        <w:t>22</w:t>
      </w:r>
      <w:r w:rsidRPr="00825DA5">
        <w:rPr>
          <w:rFonts w:eastAsiaTheme="minorHAnsi"/>
          <w:b/>
          <w:bCs/>
          <w:lang w:eastAsia="en-US"/>
        </w:rPr>
        <w:t xml:space="preserve"> projektu</w:t>
      </w:r>
      <w:r w:rsidRPr="00091F46">
        <w:rPr>
          <w:rFonts w:eastAsiaTheme="minorHAnsi"/>
          <w:bCs/>
          <w:lang w:eastAsia="en-US"/>
        </w:rPr>
        <w:t xml:space="preserve"> zmieniający art. 265</w:t>
      </w:r>
      <w:r>
        <w:rPr>
          <w:rFonts w:eastAsiaTheme="minorHAnsi"/>
          <w:bCs/>
          <w:lang w:eastAsia="en-US"/>
        </w:rPr>
        <w:t xml:space="preserve"> ust. 7b oraz dodający art. 265 ust. 7c</w:t>
      </w:r>
      <w:r w:rsidRPr="00091F46">
        <w:rPr>
          <w:rFonts w:eastAsiaTheme="minorHAnsi"/>
          <w:bCs/>
          <w:lang w:eastAsia="en-US"/>
        </w:rPr>
        <w:t xml:space="preserve"> ustawy o funduszach</w:t>
      </w:r>
      <w:r w:rsidRPr="00722A90">
        <w:rPr>
          <w:rFonts w:eastAsiaTheme="minorHAnsi"/>
          <w:bCs/>
          <w:lang w:eastAsia="en-US"/>
        </w:rPr>
        <w:t xml:space="preserve">. W zakresie ASI wdrożenia art. 33 ust. 6 akapit 2 i </w:t>
      </w:r>
      <w:r>
        <w:rPr>
          <w:rFonts w:eastAsiaTheme="minorHAnsi"/>
          <w:bCs/>
          <w:lang w:eastAsia="en-US"/>
        </w:rPr>
        <w:t>3</w:t>
      </w:r>
      <w:r w:rsidRPr="00722A90">
        <w:rPr>
          <w:rFonts w:eastAsiaTheme="minorHAnsi"/>
          <w:bCs/>
          <w:lang w:eastAsia="en-US"/>
        </w:rPr>
        <w:t xml:space="preserve"> </w:t>
      </w:r>
      <w:r w:rsidRPr="00303C60">
        <w:rPr>
          <w:rFonts w:eastAsiaTheme="minorHAnsi"/>
          <w:bCs/>
          <w:lang w:eastAsia="en-US"/>
        </w:rPr>
        <w:t xml:space="preserve">dyrektywy </w:t>
      </w:r>
      <w:r w:rsidRPr="00722A90">
        <w:rPr>
          <w:rFonts w:eastAsiaTheme="minorHAnsi"/>
          <w:bCs/>
          <w:lang w:eastAsia="en-US"/>
        </w:rPr>
        <w:t xml:space="preserve">ZAFI dokonuje zaś </w:t>
      </w:r>
      <w:r w:rsidRPr="00825DA5">
        <w:rPr>
          <w:rFonts w:eastAsiaTheme="minorHAnsi"/>
          <w:b/>
          <w:bCs/>
          <w:lang w:eastAsia="en-US"/>
        </w:rPr>
        <w:t xml:space="preserve">art. 1 pkt </w:t>
      </w:r>
      <w:r>
        <w:rPr>
          <w:rFonts w:eastAsiaTheme="minorHAnsi"/>
          <w:b/>
          <w:bCs/>
          <w:lang w:eastAsia="en-US"/>
        </w:rPr>
        <w:t>23</w:t>
      </w:r>
      <w:r w:rsidRPr="00825DA5">
        <w:rPr>
          <w:rFonts w:eastAsiaTheme="minorHAnsi"/>
          <w:b/>
          <w:bCs/>
          <w:lang w:eastAsia="en-US"/>
        </w:rPr>
        <w:t xml:space="preserve"> projektu</w:t>
      </w:r>
      <w:r w:rsidRPr="00722A90">
        <w:rPr>
          <w:rFonts w:eastAsiaTheme="minorHAnsi"/>
          <w:bCs/>
          <w:lang w:eastAsia="en-US"/>
        </w:rPr>
        <w:t xml:space="preserve"> modyfikujący </w:t>
      </w:r>
      <w:r>
        <w:rPr>
          <w:rFonts w:eastAsiaTheme="minorHAnsi"/>
          <w:bCs/>
          <w:lang w:eastAsia="en-US"/>
        </w:rPr>
        <w:t xml:space="preserve">art. 269b </w:t>
      </w:r>
      <w:r>
        <w:rPr>
          <w:rFonts w:eastAsiaTheme="minorHAnsi"/>
          <w:bCs/>
          <w:lang w:eastAsia="en-US"/>
        </w:rPr>
        <w:br/>
      </w:r>
      <w:r w:rsidRPr="00722A90">
        <w:rPr>
          <w:rFonts w:eastAsiaTheme="minorHAnsi"/>
          <w:bCs/>
          <w:lang w:eastAsia="en-US"/>
        </w:rPr>
        <w:t xml:space="preserve">ust. 12 oraz dodający art. 269b </w:t>
      </w:r>
      <w:r>
        <w:rPr>
          <w:rFonts w:eastAsiaTheme="minorHAnsi"/>
          <w:bCs/>
          <w:lang w:eastAsia="en-US"/>
        </w:rPr>
        <w:t xml:space="preserve">ust. 12a </w:t>
      </w:r>
      <w:r w:rsidRPr="00722A90">
        <w:rPr>
          <w:rFonts w:eastAsiaTheme="minorHAnsi"/>
          <w:bCs/>
          <w:lang w:eastAsia="en-US"/>
        </w:rPr>
        <w:t>ustawy o funduszach.</w:t>
      </w:r>
    </w:p>
    <w:p w14:paraId="13AB604D" w14:textId="77777777" w:rsidR="00FC78AA" w:rsidRDefault="00FC78AA" w:rsidP="00FC78AA">
      <w:pPr>
        <w:spacing w:line="360" w:lineRule="auto"/>
        <w:jc w:val="both"/>
        <w:rPr>
          <w:rFonts w:eastAsiaTheme="minorHAnsi"/>
          <w:bCs/>
          <w:lang w:eastAsia="en-US"/>
        </w:rPr>
      </w:pPr>
      <w:r w:rsidRPr="00160A30">
        <w:rPr>
          <w:rFonts w:eastAsiaTheme="minorHAnsi"/>
          <w:bCs/>
          <w:lang w:eastAsia="en-US"/>
        </w:rPr>
        <w:t>W art. 286a ustawy o funduszach</w:t>
      </w:r>
      <w:r>
        <w:rPr>
          <w:rFonts w:eastAsiaTheme="minorHAnsi"/>
          <w:bCs/>
          <w:lang w:eastAsia="en-US"/>
        </w:rPr>
        <w:t xml:space="preserve"> przepis </w:t>
      </w:r>
      <w:r w:rsidRPr="0001083C">
        <w:rPr>
          <w:rFonts w:eastAsiaTheme="minorHAnsi"/>
          <w:b/>
          <w:bCs/>
          <w:lang w:eastAsia="en-US"/>
        </w:rPr>
        <w:t>a</w:t>
      </w:r>
      <w:r w:rsidRPr="00B13EF5">
        <w:rPr>
          <w:rFonts w:eastAsiaTheme="minorHAnsi"/>
          <w:b/>
          <w:bCs/>
          <w:lang w:eastAsia="en-US"/>
        </w:rPr>
        <w:t>r</w:t>
      </w:r>
      <w:r>
        <w:rPr>
          <w:rFonts w:eastAsiaTheme="minorHAnsi"/>
          <w:b/>
          <w:bCs/>
          <w:lang w:eastAsia="en-US"/>
        </w:rPr>
        <w:t>t.</w:t>
      </w:r>
      <w:r w:rsidRPr="00160A30">
        <w:rPr>
          <w:rFonts w:eastAsiaTheme="minorHAnsi"/>
          <w:b/>
          <w:bCs/>
          <w:lang w:eastAsia="en-US"/>
        </w:rPr>
        <w:t xml:space="preserve"> 1 pkt </w:t>
      </w:r>
      <w:r>
        <w:rPr>
          <w:rFonts w:eastAsiaTheme="minorHAnsi"/>
          <w:b/>
          <w:bCs/>
          <w:lang w:eastAsia="en-US"/>
        </w:rPr>
        <w:t>24</w:t>
      </w:r>
      <w:r w:rsidRPr="00160A30">
        <w:rPr>
          <w:rFonts w:eastAsiaTheme="minorHAnsi"/>
          <w:b/>
          <w:bCs/>
          <w:lang w:eastAsia="en-US"/>
        </w:rPr>
        <w:t xml:space="preserve"> projektu</w:t>
      </w:r>
      <w:r w:rsidRPr="00160A30">
        <w:rPr>
          <w:rFonts w:eastAsiaTheme="minorHAnsi"/>
          <w:bCs/>
          <w:lang w:eastAsia="en-US"/>
        </w:rPr>
        <w:t xml:space="preserve"> usuwa fragment dotyczący obowiązku zamieszczania przez KNF na jej stronie internetowej informacji na temat przepisów prawa polskiego dotyczących zasad zbywania na terytorium Rzeczypospolitej Polskiej tytułów uczestnictwa funduszy zagranicznych. Powodem zmiany jest uchylenie przepisem art. 1 pkt 3 dyrektywy 2019/1160 przepisu art. 91 ust. 3 dyrektywy UCITS, skutkiem czego implementująca go część przepisu art. 286a ustawy o funduszach stała się zbyteczna. Jednocześnie pozostała część art. 286a zostaje zachowana w mocy, jako implementująca art. 5 ust. 7 dyrektywy UCITS.</w:t>
      </w:r>
    </w:p>
    <w:p w14:paraId="309A179B" w14:textId="77777777" w:rsidR="00FC78AA" w:rsidRDefault="00FC78AA" w:rsidP="00FC78AA">
      <w:pPr>
        <w:spacing w:line="360" w:lineRule="auto"/>
        <w:jc w:val="both"/>
        <w:rPr>
          <w:rFonts w:eastAsiaTheme="minorHAnsi"/>
          <w:bCs/>
          <w:lang w:eastAsia="en-US"/>
        </w:rPr>
      </w:pPr>
      <w:r w:rsidRPr="00097EEC">
        <w:rPr>
          <w:rFonts w:eastAsiaTheme="minorHAnsi"/>
          <w:bCs/>
          <w:lang w:eastAsia="en-US"/>
        </w:rPr>
        <w:t xml:space="preserve">Zgodnie </w:t>
      </w:r>
      <w:r w:rsidRPr="0001083C">
        <w:rPr>
          <w:rFonts w:eastAsiaTheme="minorHAnsi"/>
          <w:bCs/>
          <w:lang w:eastAsia="en-US"/>
        </w:rPr>
        <w:t>z</w:t>
      </w:r>
      <w:r w:rsidRPr="00F73969">
        <w:rPr>
          <w:rFonts w:eastAsiaTheme="minorHAnsi"/>
          <w:b/>
          <w:bCs/>
          <w:lang w:eastAsia="en-US"/>
        </w:rPr>
        <w:t xml:space="preserve"> art. </w:t>
      </w:r>
      <w:r>
        <w:rPr>
          <w:rFonts w:eastAsiaTheme="minorHAnsi"/>
          <w:b/>
          <w:bCs/>
          <w:lang w:eastAsia="en-US"/>
        </w:rPr>
        <w:t>2</w:t>
      </w:r>
      <w:r w:rsidRPr="00F73969">
        <w:rPr>
          <w:rFonts w:eastAsiaTheme="minorHAnsi"/>
          <w:b/>
          <w:bCs/>
          <w:lang w:eastAsia="en-US"/>
        </w:rPr>
        <w:t xml:space="preserve"> projektu</w:t>
      </w:r>
      <w:r>
        <w:rPr>
          <w:rFonts w:eastAsiaTheme="minorHAnsi"/>
          <w:bCs/>
          <w:lang w:eastAsia="en-US"/>
        </w:rPr>
        <w:t xml:space="preserve"> przepisy projektowanej ustawy wchodzą w życie </w:t>
      </w:r>
      <w:r w:rsidRPr="00212134">
        <w:rPr>
          <w:rFonts w:eastAsiaTheme="minorHAnsi"/>
          <w:bCs/>
          <w:lang w:eastAsia="en-US"/>
        </w:rPr>
        <w:t xml:space="preserve">z dniem 2 </w:t>
      </w:r>
      <w:r>
        <w:rPr>
          <w:rFonts w:eastAsiaTheme="minorHAnsi"/>
          <w:bCs/>
          <w:lang w:eastAsia="en-US"/>
        </w:rPr>
        <w:t xml:space="preserve">sierpnia </w:t>
      </w:r>
      <w:r>
        <w:rPr>
          <w:rFonts w:eastAsiaTheme="minorHAnsi"/>
          <w:bCs/>
          <w:lang w:eastAsia="en-US"/>
        </w:rPr>
        <w:br/>
        <w:t>2021 r. Taki jest bowiem termin transpozycji dyrektywy 2019/1160 (art. 3 ust. 1 akapit 2 dyrektywy). Z dniem tym również rozpoczyna się stosowanie przepisów rozporządzenia 2019/1156 w zakresie wymogów dot. informacji reklamowych oraz publikacji</w:t>
      </w:r>
      <w:r w:rsidRPr="00F73969">
        <w:rPr>
          <w:rFonts w:eastAsiaTheme="minorHAnsi"/>
          <w:bCs/>
          <w:lang w:eastAsia="en-US"/>
        </w:rPr>
        <w:t xml:space="preserve"> krajowych przepisów dotyczących wymogów w zakresie wprowadzania do obrotu</w:t>
      </w:r>
      <w:r>
        <w:rPr>
          <w:rFonts w:eastAsiaTheme="minorHAnsi"/>
          <w:bCs/>
          <w:lang w:eastAsia="en-US"/>
        </w:rPr>
        <w:t xml:space="preserve"> (art. 19 akapit 2 </w:t>
      </w:r>
      <w:r>
        <w:rPr>
          <w:rFonts w:eastAsiaTheme="minorHAnsi"/>
          <w:bCs/>
          <w:i/>
          <w:lang w:eastAsia="en-US"/>
        </w:rPr>
        <w:t>in fine</w:t>
      </w:r>
      <w:r>
        <w:rPr>
          <w:rFonts w:eastAsiaTheme="minorHAnsi"/>
          <w:bCs/>
          <w:lang w:eastAsia="en-US"/>
        </w:rPr>
        <w:t xml:space="preserve"> rozporządzenia).</w:t>
      </w:r>
    </w:p>
    <w:p w14:paraId="2288608A" w14:textId="77777777" w:rsidR="00FC78AA" w:rsidRDefault="00FC78AA" w:rsidP="00FC78AA">
      <w:pPr>
        <w:spacing w:line="360" w:lineRule="auto"/>
        <w:jc w:val="both"/>
        <w:rPr>
          <w:rFonts w:eastAsiaTheme="minorHAnsi"/>
          <w:bCs/>
          <w:lang w:eastAsia="en-US"/>
        </w:rPr>
      </w:pPr>
      <w:r>
        <w:rPr>
          <w:rFonts w:eastAsiaTheme="minorHAnsi"/>
          <w:bCs/>
          <w:lang w:eastAsia="en-US"/>
        </w:rPr>
        <w:t>Projekt ustawy jest zgodny z prawem Unii Europejskiej.</w:t>
      </w:r>
      <w:r w:rsidRPr="00DD5DDF">
        <w:rPr>
          <w:rFonts w:eastAsiaTheme="minorHAnsi"/>
          <w:bCs/>
          <w:lang w:eastAsia="en-US"/>
        </w:rPr>
        <w:t xml:space="preserve"> </w:t>
      </w:r>
    </w:p>
    <w:p w14:paraId="64EC4FB1" w14:textId="77777777" w:rsidR="00FC78AA" w:rsidRDefault="00FC78AA" w:rsidP="00FC78AA">
      <w:pPr>
        <w:spacing w:line="360" w:lineRule="auto"/>
        <w:jc w:val="both"/>
        <w:rPr>
          <w:rFonts w:eastAsiaTheme="minorHAnsi"/>
          <w:bCs/>
          <w:lang w:eastAsia="en-US"/>
        </w:rPr>
      </w:pPr>
      <w:r w:rsidRPr="00DD5DDF">
        <w:rPr>
          <w:rFonts w:eastAsiaTheme="minorHAnsi"/>
          <w:bCs/>
          <w:lang w:eastAsia="en-US"/>
        </w:rPr>
        <w:t xml:space="preserve">Projekt nie wymaga </w:t>
      </w:r>
      <w:r w:rsidRPr="003C61F8">
        <w:rPr>
          <w:rFonts w:eastAsiaTheme="minorHAnsi"/>
          <w:bCs/>
          <w:lang w:eastAsia="en-US"/>
        </w:rPr>
        <w:t>przedstawienia właściwym organom i instytucjom Unii Europejskiej, w tym Europejskiemu Bankowi Centralnemu, w celu uzyskania opinii, dokonania powiadomienia, konsultacji albo uzgodnienia</w:t>
      </w:r>
      <w:r>
        <w:rPr>
          <w:rFonts w:eastAsiaTheme="minorHAnsi"/>
          <w:bCs/>
          <w:lang w:eastAsia="en-US"/>
        </w:rPr>
        <w:t xml:space="preserve">. </w:t>
      </w:r>
    </w:p>
    <w:p w14:paraId="58BA3707" w14:textId="77777777" w:rsidR="00FC78AA" w:rsidRPr="00B76378" w:rsidRDefault="00FC78AA" w:rsidP="00FC78AA">
      <w:pPr>
        <w:spacing w:line="360" w:lineRule="auto"/>
        <w:jc w:val="both"/>
        <w:rPr>
          <w:rFonts w:eastAsiaTheme="minorHAnsi"/>
          <w:bCs/>
          <w:lang w:eastAsia="en-US"/>
        </w:rPr>
      </w:pPr>
      <w:r w:rsidRPr="00B76378">
        <w:rPr>
          <w:rFonts w:eastAsiaTheme="minorHAnsi"/>
          <w:bCs/>
          <w:lang w:eastAsia="en-US"/>
        </w:rPr>
        <w:t>Projekt nie wywiera wpływu na działalność mikro-, małych i średnich przedsiębiorców</w:t>
      </w:r>
      <w:r>
        <w:rPr>
          <w:rFonts w:eastAsiaTheme="minorHAnsi"/>
          <w:bCs/>
          <w:lang w:eastAsia="en-US"/>
        </w:rPr>
        <w:t>.</w:t>
      </w:r>
    </w:p>
    <w:p w14:paraId="7ADDFFCD" w14:textId="77777777" w:rsidR="00FC78AA" w:rsidRPr="00B76378" w:rsidRDefault="00FC78AA" w:rsidP="00FC78AA">
      <w:pPr>
        <w:spacing w:line="360" w:lineRule="auto"/>
        <w:jc w:val="both"/>
        <w:rPr>
          <w:rFonts w:eastAsiaTheme="minorHAnsi"/>
          <w:bCs/>
          <w:lang w:eastAsia="en-US"/>
        </w:rPr>
      </w:pPr>
      <w:r w:rsidRPr="00DD5DDF">
        <w:rPr>
          <w:rFonts w:eastAsiaTheme="minorHAnsi"/>
          <w:bCs/>
          <w:lang w:eastAsia="en-US"/>
        </w:rPr>
        <w:t>Projektowan</w:t>
      </w:r>
      <w:r>
        <w:rPr>
          <w:rFonts w:eastAsiaTheme="minorHAnsi"/>
          <w:bCs/>
          <w:lang w:eastAsia="en-US"/>
        </w:rPr>
        <w:t>a</w:t>
      </w:r>
      <w:r w:rsidRPr="00DD5DDF">
        <w:rPr>
          <w:rFonts w:eastAsiaTheme="minorHAnsi"/>
          <w:bCs/>
          <w:lang w:eastAsia="en-US"/>
        </w:rPr>
        <w:t xml:space="preserve"> </w:t>
      </w:r>
      <w:r>
        <w:rPr>
          <w:rFonts w:eastAsiaTheme="minorHAnsi"/>
          <w:bCs/>
          <w:lang w:eastAsia="en-US"/>
        </w:rPr>
        <w:t>ustawa</w:t>
      </w:r>
      <w:r w:rsidRPr="00DD5DDF">
        <w:rPr>
          <w:rFonts w:eastAsiaTheme="minorHAnsi"/>
          <w:bCs/>
          <w:lang w:eastAsia="en-US"/>
        </w:rPr>
        <w:t xml:space="preserve"> </w:t>
      </w:r>
      <w:r>
        <w:rPr>
          <w:rFonts w:eastAsiaTheme="minorHAnsi"/>
          <w:bCs/>
          <w:lang w:eastAsia="en-US"/>
        </w:rPr>
        <w:t xml:space="preserve">nie zawiera przepisów technicznych, zatem </w:t>
      </w:r>
      <w:r w:rsidRPr="00DD5DDF">
        <w:rPr>
          <w:rFonts w:eastAsiaTheme="minorHAnsi"/>
          <w:bCs/>
          <w:lang w:eastAsia="en-US"/>
        </w:rPr>
        <w:t xml:space="preserve">nie podlega procedurze notyfikacji w rozumieniu przepisów rozporządzenia Rady Ministrów z dnia 23 grudnia 2002 r. </w:t>
      </w:r>
      <w:r w:rsidRPr="00DD5DDF">
        <w:rPr>
          <w:rFonts w:eastAsiaTheme="minorHAnsi"/>
          <w:bCs/>
          <w:i/>
          <w:lang w:eastAsia="en-US"/>
        </w:rPr>
        <w:t xml:space="preserve">w sprawie sposobu </w:t>
      </w:r>
      <w:r w:rsidRPr="00DD5DDF">
        <w:rPr>
          <w:rFonts w:eastAsiaTheme="minorHAnsi"/>
          <w:bCs/>
          <w:i/>
          <w:lang w:eastAsia="en-US"/>
        </w:rPr>
        <w:lastRenderedPageBreak/>
        <w:t>funkcjonowania krajowego systemu notyfikacji norm i aktów prawnych</w:t>
      </w:r>
      <w:r w:rsidRPr="00DD5DDF">
        <w:rPr>
          <w:rFonts w:eastAsiaTheme="minorHAnsi"/>
          <w:bCs/>
          <w:lang w:eastAsia="en-US"/>
        </w:rPr>
        <w:t xml:space="preserve"> (Dz. U. poz. 2039, z późn. zm.).</w:t>
      </w:r>
    </w:p>
    <w:p w14:paraId="31AB49C5" w14:textId="1B691682" w:rsidR="00FC78AA" w:rsidRPr="001A1E54" w:rsidRDefault="00FC78AA" w:rsidP="00FC78AA">
      <w:pPr>
        <w:spacing w:line="360" w:lineRule="auto"/>
        <w:jc w:val="both"/>
        <w:rPr>
          <w:rFonts w:eastAsiaTheme="minorHAnsi"/>
          <w:bCs/>
          <w:lang w:eastAsia="en-US"/>
        </w:rPr>
      </w:pPr>
      <w:r w:rsidRPr="00C03A81">
        <w:rPr>
          <w:rFonts w:eastAsiaTheme="minorHAnsi"/>
          <w:bCs/>
          <w:lang w:eastAsia="en-US"/>
        </w:rPr>
        <w:t xml:space="preserve">Stosownie do art. 4 ustawy z dnia 7 </w:t>
      </w:r>
      <w:r w:rsidRPr="001A1E54">
        <w:rPr>
          <w:rFonts w:eastAsiaTheme="minorHAnsi"/>
          <w:bCs/>
          <w:lang w:eastAsia="en-US"/>
        </w:rPr>
        <w:t xml:space="preserve">lipca 2005 r. </w:t>
      </w:r>
      <w:r w:rsidRPr="001A1E54">
        <w:rPr>
          <w:rFonts w:eastAsiaTheme="minorHAnsi"/>
          <w:bCs/>
          <w:i/>
          <w:lang w:eastAsia="en-US"/>
        </w:rPr>
        <w:t>o działalności lobbingowej w procesie stanowienia prawa</w:t>
      </w:r>
      <w:r w:rsidRPr="001A1E54">
        <w:rPr>
          <w:rFonts w:eastAsiaTheme="minorHAnsi"/>
          <w:bCs/>
          <w:lang w:eastAsia="en-US"/>
        </w:rPr>
        <w:t xml:space="preserve"> (Dz. U. z 2017 r. poz. 248) projekt zosta</w:t>
      </w:r>
      <w:r w:rsidR="00B96F4D">
        <w:rPr>
          <w:rFonts w:eastAsiaTheme="minorHAnsi"/>
          <w:bCs/>
          <w:lang w:eastAsia="en-US"/>
        </w:rPr>
        <w:t>ł</w:t>
      </w:r>
      <w:r w:rsidRPr="001A1E54">
        <w:rPr>
          <w:rFonts w:eastAsiaTheme="minorHAnsi"/>
          <w:bCs/>
          <w:lang w:eastAsia="en-US"/>
        </w:rPr>
        <w:t xml:space="preserve"> zamieszczony w wykazie prac legislacyjnych </w:t>
      </w:r>
      <w:r>
        <w:rPr>
          <w:rFonts w:eastAsiaTheme="minorHAnsi"/>
          <w:bCs/>
          <w:lang w:eastAsia="en-US"/>
        </w:rPr>
        <w:br/>
      </w:r>
      <w:r w:rsidRPr="001A1E54">
        <w:rPr>
          <w:rFonts w:eastAsiaTheme="minorHAnsi"/>
          <w:bCs/>
          <w:lang w:eastAsia="en-US"/>
        </w:rPr>
        <w:t>i programowych Rady Ministrów.</w:t>
      </w:r>
    </w:p>
    <w:p w14:paraId="1339CC6E" w14:textId="43722FC9" w:rsidR="00FC78AA" w:rsidRPr="00C95EF8" w:rsidRDefault="00FC78AA" w:rsidP="00FC78AA">
      <w:pPr>
        <w:spacing w:line="360" w:lineRule="auto"/>
        <w:jc w:val="both"/>
        <w:rPr>
          <w:rFonts w:eastAsiaTheme="minorHAnsi"/>
          <w:bCs/>
          <w:lang w:eastAsia="en-US"/>
        </w:rPr>
      </w:pPr>
      <w:r>
        <w:rPr>
          <w:rFonts w:eastAsiaTheme="minorHAnsi"/>
          <w:bCs/>
          <w:lang w:eastAsia="en-US"/>
        </w:rPr>
        <w:t>S</w:t>
      </w:r>
      <w:r w:rsidRPr="001A1E54">
        <w:rPr>
          <w:rFonts w:eastAsiaTheme="minorHAnsi"/>
          <w:bCs/>
          <w:lang w:eastAsia="en-US"/>
        </w:rPr>
        <w:t xml:space="preserve">tosownie do art. 5 tejże ustawy oraz § 52 uchwały nr 190 Rady Ministrów z dnia 29 października 2013 r. – </w:t>
      </w:r>
      <w:r w:rsidRPr="001A1E54">
        <w:rPr>
          <w:rFonts w:eastAsiaTheme="minorHAnsi"/>
          <w:bCs/>
          <w:i/>
          <w:lang w:eastAsia="en-US"/>
        </w:rPr>
        <w:t>Regulamin pracy Rady Ministrów</w:t>
      </w:r>
      <w:r w:rsidRPr="001A1E54">
        <w:rPr>
          <w:rFonts w:eastAsiaTheme="minorHAnsi"/>
          <w:bCs/>
          <w:lang w:eastAsia="en-US"/>
        </w:rPr>
        <w:t xml:space="preserve"> (M.P. z 2016 r. poz. 1006, z późn. zm.), projekt </w:t>
      </w:r>
      <w:r>
        <w:rPr>
          <w:rFonts w:eastAsiaTheme="minorHAnsi"/>
          <w:bCs/>
          <w:lang w:eastAsia="en-US"/>
        </w:rPr>
        <w:t>ustawy</w:t>
      </w:r>
      <w:r w:rsidRPr="001A1E54">
        <w:rPr>
          <w:rFonts w:eastAsiaTheme="minorHAnsi"/>
          <w:bCs/>
          <w:lang w:eastAsia="en-US"/>
        </w:rPr>
        <w:t xml:space="preserve"> zosta</w:t>
      </w:r>
      <w:r w:rsidR="00B96F4D">
        <w:rPr>
          <w:rFonts w:eastAsiaTheme="minorHAnsi"/>
          <w:bCs/>
          <w:lang w:eastAsia="en-US"/>
        </w:rPr>
        <w:t>ł</w:t>
      </w:r>
      <w:r w:rsidRPr="001A1E54">
        <w:rPr>
          <w:rFonts w:eastAsiaTheme="minorHAnsi"/>
          <w:bCs/>
          <w:lang w:eastAsia="en-US"/>
        </w:rPr>
        <w:t xml:space="preserve"> udostępniony w Biuletynie Informacji Publicznej na stronie podmiotowej Rządowego Centrum Legislacji, w serwisie „Rządowy Proces Legislacyjny”.</w:t>
      </w:r>
    </w:p>
    <w:p w14:paraId="44DEB179" w14:textId="56D4CDDC" w:rsidR="00A46B42" w:rsidRPr="00FC78AA" w:rsidRDefault="00A46B42" w:rsidP="00FC78AA">
      <w:pPr>
        <w:rPr>
          <w:rFonts w:eastAsiaTheme="minorHAnsi"/>
        </w:rPr>
      </w:pPr>
    </w:p>
    <w:sectPr w:rsidR="00A46B42" w:rsidRPr="00FC78AA" w:rsidSect="00353606">
      <w:footerReference w:type="default" r:id="rId8"/>
      <w:pgSz w:w="12240" w:h="15840"/>
      <w:pgMar w:top="1418" w:right="1134"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DECE9" w14:textId="77777777" w:rsidR="00EC5D79" w:rsidRDefault="00EC5D79" w:rsidP="008E772C">
      <w:r>
        <w:separator/>
      </w:r>
    </w:p>
  </w:endnote>
  <w:endnote w:type="continuationSeparator" w:id="0">
    <w:p w14:paraId="371FA8B8" w14:textId="77777777" w:rsidR="00EC5D79" w:rsidRDefault="00EC5D79" w:rsidP="008E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89836" w14:textId="77777777" w:rsidR="003C61F8" w:rsidRDefault="003C61F8">
    <w:pPr>
      <w:pStyle w:val="Stopka"/>
      <w:jc w:val="center"/>
    </w:pPr>
    <w:r>
      <w:fldChar w:fldCharType="begin"/>
    </w:r>
    <w:r>
      <w:instrText>PAGE   \* MERGEFORMAT</w:instrText>
    </w:r>
    <w:r>
      <w:fldChar w:fldCharType="separate"/>
    </w:r>
    <w:r w:rsidR="00215C48">
      <w:rPr>
        <w:noProof/>
      </w:rPr>
      <w:t>1</w:t>
    </w:r>
    <w:r>
      <w:fldChar w:fldCharType="end"/>
    </w:r>
  </w:p>
  <w:p w14:paraId="21241CF2" w14:textId="77777777" w:rsidR="003C61F8" w:rsidRDefault="003C61F8">
    <w:pPr>
      <w:pStyle w:val="Stopka"/>
    </w:pPr>
  </w:p>
  <w:p w14:paraId="017734C7" w14:textId="77777777" w:rsidR="003C61F8" w:rsidRDefault="003C61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829F9" w14:textId="77777777" w:rsidR="00EC5D79" w:rsidRDefault="00EC5D79" w:rsidP="008E772C">
      <w:r>
        <w:separator/>
      </w:r>
    </w:p>
  </w:footnote>
  <w:footnote w:type="continuationSeparator" w:id="0">
    <w:p w14:paraId="50B9799C" w14:textId="77777777" w:rsidR="00EC5D79" w:rsidRDefault="00EC5D79" w:rsidP="008E7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C18"/>
    <w:multiLevelType w:val="hybridMultilevel"/>
    <w:tmpl w:val="DBD06E92"/>
    <w:lvl w:ilvl="0" w:tplc="FFDC43A2">
      <w:start w:val="1"/>
      <w:numFmt w:val="lowerLetter"/>
      <w:lvlText w:val="%1)"/>
      <w:lvlJc w:val="left"/>
      <w:pPr>
        <w:ind w:left="652" w:hanging="51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07394B8F"/>
    <w:multiLevelType w:val="hybridMultilevel"/>
    <w:tmpl w:val="B3E0284E"/>
    <w:lvl w:ilvl="0" w:tplc="006A415C">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
    <w:nsid w:val="0D3843F4"/>
    <w:multiLevelType w:val="hybridMultilevel"/>
    <w:tmpl w:val="C6FAED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943C85"/>
    <w:multiLevelType w:val="hybridMultilevel"/>
    <w:tmpl w:val="3A54126C"/>
    <w:lvl w:ilvl="0" w:tplc="7DD275A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C41683"/>
    <w:multiLevelType w:val="hybridMultilevel"/>
    <w:tmpl w:val="A7A29C64"/>
    <w:lvl w:ilvl="0" w:tplc="EF5E96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3C644E"/>
    <w:multiLevelType w:val="hybridMultilevel"/>
    <w:tmpl w:val="08C85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B60303"/>
    <w:multiLevelType w:val="hybridMultilevel"/>
    <w:tmpl w:val="51D25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FC3C34"/>
    <w:multiLevelType w:val="hybridMultilevel"/>
    <w:tmpl w:val="C444EEAC"/>
    <w:lvl w:ilvl="0" w:tplc="788E7E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77298E"/>
    <w:multiLevelType w:val="hybridMultilevel"/>
    <w:tmpl w:val="E1B44A36"/>
    <w:lvl w:ilvl="0" w:tplc="1BAAB5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746526"/>
    <w:multiLevelType w:val="hybridMultilevel"/>
    <w:tmpl w:val="EBA6D3AA"/>
    <w:lvl w:ilvl="0" w:tplc="FFDC43A2">
      <w:start w:val="1"/>
      <w:numFmt w:val="lowerLetter"/>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D412D4"/>
    <w:multiLevelType w:val="hybridMultilevel"/>
    <w:tmpl w:val="A246EF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2C2048"/>
    <w:multiLevelType w:val="hybridMultilevel"/>
    <w:tmpl w:val="5F4A1BB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
    <w:nsid w:val="355C3CBC"/>
    <w:multiLevelType w:val="hybridMultilevel"/>
    <w:tmpl w:val="1A2EB216"/>
    <w:lvl w:ilvl="0" w:tplc="EF5E96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EA04BAD"/>
    <w:multiLevelType w:val="hybridMultilevel"/>
    <w:tmpl w:val="E57A0A24"/>
    <w:lvl w:ilvl="0" w:tplc="417EE77C">
      <w:start w:val="1"/>
      <w:numFmt w:val="bullet"/>
      <w:lvlText w:val=""/>
      <w:lvlJc w:val="left"/>
      <w:pPr>
        <w:ind w:left="2078" w:hanging="360"/>
      </w:pPr>
      <w:rPr>
        <w:rFonts w:ascii="Symbol" w:hAnsi="Symbol" w:hint="default"/>
        <w:color w:val="auto"/>
        <w:sz w:val="16"/>
        <w:szCs w:val="16"/>
      </w:rPr>
    </w:lvl>
    <w:lvl w:ilvl="1" w:tplc="04150003" w:tentative="1">
      <w:start w:val="1"/>
      <w:numFmt w:val="bullet"/>
      <w:lvlText w:val="o"/>
      <w:lvlJc w:val="left"/>
      <w:pPr>
        <w:ind w:left="2798" w:hanging="360"/>
      </w:pPr>
      <w:rPr>
        <w:rFonts w:ascii="Courier New" w:hAnsi="Courier New" w:cs="Courier New" w:hint="default"/>
      </w:rPr>
    </w:lvl>
    <w:lvl w:ilvl="2" w:tplc="04150005" w:tentative="1">
      <w:start w:val="1"/>
      <w:numFmt w:val="bullet"/>
      <w:lvlText w:val=""/>
      <w:lvlJc w:val="left"/>
      <w:pPr>
        <w:ind w:left="3518" w:hanging="360"/>
      </w:pPr>
      <w:rPr>
        <w:rFonts w:ascii="Wingdings" w:hAnsi="Wingdings" w:hint="default"/>
      </w:rPr>
    </w:lvl>
    <w:lvl w:ilvl="3" w:tplc="04150001" w:tentative="1">
      <w:start w:val="1"/>
      <w:numFmt w:val="bullet"/>
      <w:lvlText w:val=""/>
      <w:lvlJc w:val="left"/>
      <w:pPr>
        <w:ind w:left="4238" w:hanging="360"/>
      </w:pPr>
      <w:rPr>
        <w:rFonts w:ascii="Symbol" w:hAnsi="Symbol" w:hint="default"/>
      </w:rPr>
    </w:lvl>
    <w:lvl w:ilvl="4" w:tplc="04150003" w:tentative="1">
      <w:start w:val="1"/>
      <w:numFmt w:val="bullet"/>
      <w:lvlText w:val="o"/>
      <w:lvlJc w:val="left"/>
      <w:pPr>
        <w:ind w:left="4958" w:hanging="360"/>
      </w:pPr>
      <w:rPr>
        <w:rFonts w:ascii="Courier New" w:hAnsi="Courier New" w:cs="Courier New" w:hint="default"/>
      </w:rPr>
    </w:lvl>
    <w:lvl w:ilvl="5" w:tplc="04150005" w:tentative="1">
      <w:start w:val="1"/>
      <w:numFmt w:val="bullet"/>
      <w:lvlText w:val=""/>
      <w:lvlJc w:val="left"/>
      <w:pPr>
        <w:ind w:left="5678" w:hanging="360"/>
      </w:pPr>
      <w:rPr>
        <w:rFonts w:ascii="Wingdings" w:hAnsi="Wingdings" w:hint="default"/>
      </w:rPr>
    </w:lvl>
    <w:lvl w:ilvl="6" w:tplc="04150001" w:tentative="1">
      <w:start w:val="1"/>
      <w:numFmt w:val="bullet"/>
      <w:lvlText w:val=""/>
      <w:lvlJc w:val="left"/>
      <w:pPr>
        <w:ind w:left="6398" w:hanging="360"/>
      </w:pPr>
      <w:rPr>
        <w:rFonts w:ascii="Symbol" w:hAnsi="Symbol" w:hint="default"/>
      </w:rPr>
    </w:lvl>
    <w:lvl w:ilvl="7" w:tplc="04150003" w:tentative="1">
      <w:start w:val="1"/>
      <w:numFmt w:val="bullet"/>
      <w:lvlText w:val="o"/>
      <w:lvlJc w:val="left"/>
      <w:pPr>
        <w:ind w:left="7118" w:hanging="360"/>
      </w:pPr>
      <w:rPr>
        <w:rFonts w:ascii="Courier New" w:hAnsi="Courier New" w:cs="Courier New" w:hint="default"/>
      </w:rPr>
    </w:lvl>
    <w:lvl w:ilvl="8" w:tplc="04150005" w:tentative="1">
      <w:start w:val="1"/>
      <w:numFmt w:val="bullet"/>
      <w:lvlText w:val=""/>
      <w:lvlJc w:val="left"/>
      <w:pPr>
        <w:ind w:left="7838" w:hanging="360"/>
      </w:pPr>
      <w:rPr>
        <w:rFonts w:ascii="Wingdings" w:hAnsi="Wingdings" w:hint="default"/>
      </w:rPr>
    </w:lvl>
  </w:abstractNum>
  <w:abstractNum w:abstractNumId="14">
    <w:nsid w:val="44F10464"/>
    <w:multiLevelType w:val="hybridMultilevel"/>
    <w:tmpl w:val="3F866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547767"/>
    <w:multiLevelType w:val="hybridMultilevel"/>
    <w:tmpl w:val="EB98E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946371D"/>
    <w:multiLevelType w:val="hybridMultilevel"/>
    <w:tmpl w:val="1F208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5918D4"/>
    <w:multiLevelType w:val="hybridMultilevel"/>
    <w:tmpl w:val="8612D5CC"/>
    <w:lvl w:ilvl="0" w:tplc="AE3248C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5315087F"/>
    <w:multiLevelType w:val="hybridMultilevel"/>
    <w:tmpl w:val="2F3C6AB8"/>
    <w:lvl w:ilvl="0" w:tplc="04150001">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19">
    <w:nsid w:val="53BB076B"/>
    <w:multiLevelType w:val="hybridMultilevel"/>
    <w:tmpl w:val="7604E1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647711"/>
    <w:multiLevelType w:val="hybridMultilevel"/>
    <w:tmpl w:val="29C83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D35C60"/>
    <w:multiLevelType w:val="hybridMultilevel"/>
    <w:tmpl w:val="1EC01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D5F613E"/>
    <w:multiLevelType w:val="hybridMultilevel"/>
    <w:tmpl w:val="9094EE3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5D6658DB"/>
    <w:multiLevelType w:val="hybridMultilevel"/>
    <w:tmpl w:val="4366F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721F41"/>
    <w:multiLevelType w:val="hybridMultilevel"/>
    <w:tmpl w:val="80B04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E67579"/>
    <w:multiLevelType w:val="singleLevel"/>
    <w:tmpl w:val="CFAECD68"/>
    <w:lvl w:ilvl="0">
      <w:start w:val="1"/>
      <w:numFmt w:val="upperRoman"/>
      <w:pStyle w:val="Nagwek8"/>
      <w:lvlText w:val="%1."/>
      <w:lvlJc w:val="left"/>
      <w:pPr>
        <w:tabs>
          <w:tab w:val="num" w:pos="720"/>
        </w:tabs>
        <w:ind w:left="360" w:hanging="360"/>
      </w:pPr>
    </w:lvl>
  </w:abstractNum>
  <w:abstractNum w:abstractNumId="26">
    <w:nsid w:val="647B1C15"/>
    <w:multiLevelType w:val="hybridMultilevel"/>
    <w:tmpl w:val="1FF8E93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67A8572D"/>
    <w:multiLevelType w:val="hybridMultilevel"/>
    <w:tmpl w:val="23920EE2"/>
    <w:lvl w:ilvl="0" w:tplc="1BAAB5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DC03D15"/>
    <w:multiLevelType w:val="hybridMultilevel"/>
    <w:tmpl w:val="1B2E0CA8"/>
    <w:lvl w:ilvl="0" w:tplc="417EE77C">
      <w:start w:val="1"/>
      <w:numFmt w:val="bullet"/>
      <w:lvlText w:val=""/>
      <w:lvlJc w:val="left"/>
      <w:pPr>
        <w:ind w:left="1287" w:hanging="360"/>
      </w:pPr>
      <w:rPr>
        <w:rFonts w:ascii="Symbol" w:hAnsi="Symbol" w:hint="default"/>
        <w:color w:val="auto"/>
        <w:sz w:val="16"/>
        <w:szCs w:val="16"/>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nsid w:val="75B03FE3"/>
    <w:multiLevelType w:val="hybridMultilevel"/>
    <w:tmpl w:val="4B4E4E3A"/>
    <w:lvl w:ilvl="0" w:tplc="AE3248CE">
      <w:start w:val="1"/>
      <w:numFmt w:val="lowerLetter"/>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nsid w:val="77606289"/>
    <w:multiLevelType w:val="hybridMultilevel"/>
    <w:tmpl w:val="C6C4DF76"/>
    <w:lvl w:ilvl="0" w:tplc="DA4AE306">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86A5D8B"/>
    <w:multiLevelType w:val="hybridMultilevel"/>
    <w:tmpl w:val="B6C2B584"/>
    <w:lvl w:ilvl="0" w:tplc="1BAAB5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A600551"/>
    <w:multiLevelType w:val="hybridMultilevel"/>
    <w:tmpl w:val="26004B16"/>
    <w:lvl w:ilvl="0" w:tplc="0FB884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ADC0C40"/>
    <w:multiLevelType w:val="hybridMultilevel"/>
    <w:tmpl w:val="3DD6A90A"/>
    <w:lvl w:ilvl="0" w:tplc="7DD275A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0"/>
  </w:num>
  <w:num w:numId="3">
    <w:abstractNumId w:val="33"/>
  </w:num>
  <w:num w:numId="4">
    <w:abstractNumId w:val="3"/>
  </w:num>
  <w:num w:numId="5">
    <w:abstractNumId w:val="10"/>
  </w:num>
  <w:num w:numId="6">
    <w:abstractNumId w:val="4"/>
  </w:num>
  <w:num w:numId="7">
    <w:abstractNumId w:val="12"/>
  </w:num>
  <w:num w:numId="8">
    <w:abstractNumId w:val="32"/>
  </w:num>
  <w:num w:numId="9">
    <w:abstractNumId w:val="26"/>
  </w:num>
  <w:num w:numId="10">
    <w:abstractNumId w:val="28"/>
  </w:num>
  <w:num w:numId="11">
    <w:abstractNumId w:val="13"/>
  </w:num>
  <w:num w:numId="12">
    <w:abstractNumId w:val="22"/>
  </w:num>
  <w:num w:numId="13">
    <w:abstractNumId w:val="1"/>
  </w:num>
  <w:num w:numId="14">
    <w:abstractNumId w:val="11"/>
  </w:num>
  <w:num w:numId="15">
    <w:abstractNumId w:val="17"/>
  </w:num>
  <w:num w:numId="16">
    <w:abstractNumId w:val="29"/>
  </w:num>
  <w:num w:numId="17">
    <w:abstractNumId w:val="6"/>
  </w:num>
  <w:num w:numId="18">
    <w:abstractNumId w:val="14"/>
  </w:num>
  <w:num w:numId="19">
    <w:abstractNumId w:val="9"/>
  </w:num>
  <w:num w:numId="20">
    <w:abstractNumId w:val="0"/>
  </w:num>
  <w:num w:numId="21">
    <w:abstractNumId w:val="19"/>
  </w:num>
  <w:num w:numId="22">
    <w:abstractNumId w:val="23"/>
  </w:num>
  <w:num w:numId="23">
    <w:abstractNumId w:val="5"/>
  </w:num>
  <w:num w:numId="24">
    <w:abstractNumId w:val="24"/>
  </w:num>
  <w:num w:numId="25">
    <w:abstractNumId w:val="2"/>
  </w:num>
  <w:num w:numId="26">
    <w:abstractNumId w:val="15"/>
  </w:num>
  <w:num w:numId="27">
    <w:abstractNumId w:val="16"/>
  </w:num>
  <w:num w:numId="28">
    <w:abstractNumId w:val="21"/>
  </w:num>
  <w:num w:numId="29">
    <w:abstractNumId w:val="20"/>
  </w:num>
  <w:num w:numId="30">
    <w:abstractNumId w:val="8"/>
  </w:num>
  <w:num w:numId="31">
    <w:abstractNumId w:val="31"/>
  </w:num>
  <w:num w:numId="32">
    <w:abstractNumId w:val="27"/>
  </w:num>
  <w:num w:numId="33">
    <w:abstractNumId w:val="7"/>
  </w:num>
  <w:num w:numId="3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BD"/>
    <w:rsid w:val="00000E63"/>
    <w:rsid w:val="000015A0"/>
    <w:rsid w:val="00001C3D"/>
    <w:rsid w:val="00002E97"/>
    <w:rsid w:val="00003116"/>
    <w:rsid w:val="00004414"/>
    <w:rsid w:val="0000446C"/>
    <w:rsid w:val="00005609"/>
    <w:rsid w:val="0000594D"/>
    <w:rsid w:val="00005B78"/>
    <w:rsid w:val="0000624B"/>
    <w:rsid w:val="0001083C"/>
    <w:rsid w:val="0001179A"/>
    <w:rsid w:val="000119A8"/>
    <w:rsid w:val="00013E62"/>
    <w:rsid w:val="0001756C"/>
    <w:rsid w:val="00017742"/>
    <w:rsid w:val="000214F6"/>
    <w:rsid w:val="00021CA0"/>
    <w:rsid w:val="00022054"/>
    <w:rsid w:val="0002264C"/>
    <w:rsid w:val="00023164"/>
    <w:rsid w:val="00023B62"/>
    <w:rsid w:val="000247B0"/>
    <w:rsid w:val="000248D9"/>
    <w:rsid w:val="0002519E"/>
    <w:rsid w:val="000265EE"/>
    <w:rsid w:val="00027148"/>
    <w:rsid w:val="000310FF"/>
    <w:rsid w:val="000349B8"/>
    <w:rsid w:val="000350C2"/>
    <w:rsid w:val="0003729F"/>
    <w:rsid w:val="00037423"/>
    <w:rsid w:val="000413B6"/>
    <w:rsid w:val="00042260"/>
    <w:rsid w:val="000425A0"/>
    <w:rsid w:val="00043FD8"/>
    <w:rsid w:val="0004434E"/>
    <w:rsid w:val="00045D2F"/>
    <w:rsid w:val="000460EB"/>
    <w:rsid w:val="0004693D"/>
    <w:rsid w:val="0004699C"/>
    <w:rsid w:val="00047A66"/>
    <w:rsid w:val="00051886"/>
    <w:rsid w:val="000518A7"/>
    <w:rsid w:val="00051971"/>
    <w:rsid w:val="00051DAD"/>
    <w:rsid w:val="000523D1"/>
    <w:rsid w:val="00052B7F"/>
    <w:rsid w:val="00052CE1"/>
    <w:rsid w:val="00052EBC"/>
    <w:rsid w:val="0005330C"/>
    <w:rsid w:val="000548DD"/>
    <w:rsid w:val="00055880"/>
    <w:rsid w:val="00055D0E"/>
    <w:rsid w:val="0005687C"/>
    <w:rsid w:val="00057545"/>
    <w:rsid w:val="000618B7"/>
    <w:rsid w:val="00062085"/>
    <w:rsid w:val="000621DA"/>
    <w:rsid w:val="00062C7C"/>
    <w:rsid w:val="00063D4F"/>
    <w:rsid w:val="00064F15"/>
    <w:rsid w:val="00065590"/>
    <w:rsid w:val="000665BD"/>
    <w:rsid w:val="00066932"/>
    <w:rsid w:val="00066D34"/>
    <w:rsid w:val="00067116"/>
    <w:rsid w:val="0006727E"/>
    <w:rsid w:val="000678B6"/>
    <w:rsid w:val="000700BD"/>
    <w:rsid w:val="00070FAB"/>
    <w:rsid w:val="000718E6"/>
    <w:rsid w:val="000727EB"/>
    <w:rsid w:val="0007430F"/>
    <w:rsid w:val="00074613"/>
    <w:rsid w:val="00077A49"/>
    <w:rsid w:val="00077AB8"/>
    <w:rsid w:val="000802B9"/>
    <w:rsid w:val="0008081B"/>
    <w:rsid w:val="00080FA0"/>
    <w:rsid w:val="00081548"/>
    <w:rsid w:val="00082D7A"/>
    <w:rsid w:val="000832E8"/>
    <w:rsid w:val="00085193"/>
    <w:rsid w:val="00087236"/>
    <w:rsid w:val="00087541"/>
    <w:rsid w:val="00087893"/>
    <w:rsid w:val="00090837"/>
    <w:rsid w:val="00090B47"/>
    <w:rsid w:val="00090F7B"/>
    <w:rsid w:val="0009104D"/>
    <w:rsid w:val="00091F46"/>
    <w:rsid w:val="0009276E"/>
    <w:rsid w:val="00092A71"/>
    <w:rsid w:val="00092CE1"/>
    <w:rsid w:val="00094C45"/>
    <w:rsid w:val="00096046"/>
    <w:rsid w:val="000960CC"/>
    <w:rsid w:val="000963B1"/>
    <w:rsid w:val="00097EEC"/>
    <w:rsid w:val="000A120E"/>
    <w:rsid w:val="000A1502"/>
    <w:rsid w:val="000A1E49"/>
    <w:rsid w:val="000A39F7"/>
    <w:rsid w:val="000A6A9E"/>
    <w:rsid w:val="000B04E4"/>
    <w:rsid w:val="000B1B91"/>
    <w:rsid w:val="000B1F8B"/>
    <w:rsid w:val="000B3AEF"/>
    <w:rsid w:val="000B5075"/>
    <w:rsid w:val="000B567F"/>
    <w:rsid w:val="000B5BD4"/>
    <w:rsid w:val="000B7A79"/>
    <w:rsid w:val="000C0B9E"/>
    <w:rsid w:val="000C1A40"/>
    <w:rsid w:val="000C2924"/>
    <w:rsid w:val="000C31D4"/>
    <w:rsid w:val="000C4775"/>
    <w:rsid w:val="000C4AE0"/>
    <w:rsid w:val="000C4B27"/>
    <w:rsid w:val="000C4E01"/>
    <w:rsid w:val="000C5089"/>
    <w:rsid w:val="000C5188"/>
    <w:rsid w:val="000C572A"/>
    <w:rsid w:val="000C5A47"/>
    <w:rsid w:val="000C628F"/>
    <w:rsid w:val="000D0D3C"/>
    <w:rsid w:val="000D108D"/>
    <w:rsid w:val="000D2042"/>
    <w:rsid w:val="000D27D7"/>
    <w:rsid w:val="000D2952"/>
    <w:rsid w:val="000D322D"/>
    <w:rsid w:val="000D351F"/>
    <w:rsid w:val="000D355E"/>
    <w:rsid w:val="000D3E97"/>
    <w:rsid w:val="000D5243"/>
    <w:rsid w:val="000D59CA"/>
    <w:rsid w:val="000D5DB1"/>
    <w:rsid w:val="000D7404"/>
    <w:rsid w:val="000E1CC2"/>
    <w:rsid w:val="000E1E13"/>
    <w:rsid w:val="000E1FB8"/>
    <w:rsid w:val="000E232E"/>
    <w:rsid w:val="000E2AB9"/>
    <w:rsid w:val="000E398B"/>
    <w:rsid w:val="000E40D5"/>
    <w:rsid w:val="000E42A1"/>
    <w:rsid w:val="000E5D4E"/>
    <w:rsid w:val="000E61C0"/>
    <w:rsid w:val="000E64D7"/>
    <w:rsid w:val="000E6739"/>
    <w:rsid w:val="000E69B0"/>
    <w:rsid w:val="000E6A7A"/>
    <w:rsid w:val="000F18FF"/>
    <w:rsid w:val="000F2B97"/>
    <w:rsid w:val="000F454F"/>
    <w:rsid w:val="000F49B6"/>
    <w:rsid w:val="000F49FF"/>
    <w:rsid w:val="000F4B7D"/>
    <w:rsid w:val="000F4D6D"/>
    <w:rsid w:val="000F56D9"/>
    <w:rsid w:val="000F5935"/>
    <w:rsid w:val="000F6C2E"/>
    <w:rsid w:val="000F7826"/>
    <w:rsid w:val="00100ACF"/>
    <w:rsid w:val="00101B4F"/>
    <w:rsid w:val="001023DF"/>
    <w:rsid w:val="00104EAF"/>
    <w:rsid w:val="00105474"/>
    <w:rsid w:val="00105E7B"/>
    <w:rsid w:val="0010603F"/>
    <w:rsid w:val="00107071"/>
    <w:rsid w:val="00107729"/>
    <w:rsid w:val="00110F49"/>
    <w:rsid w:val="00112A7F"/>
    <w:rsid w:val="00112D9A"/>
    <w:rsid w:val="00113F28"/>
    <w:rsid w:val="001144AA"/>
    <w:rsid w:val="00115719"/>
    <w:rsid w:val="001174C2"/>
    <w:rsid w:val="00117E8E"/>
    <w:rsid w:val="00117FC7"/>
    <w:rsid w:val="00120742"/>
    <w:rsid w:val="00121A87"/>
    <w:rsid w:val="0012272E"/>
    <w:rsid w:val="00122CFA"/>
    <w:rsid w:val="00122D1B"/>
    <w:rsid w:val="001259BD"/>
    <w:rsid w:val="0012768A"/>
    <w:rsid w:val="00127A04"/>
    <w:rsid w:val="0013068F"/>
    <w:rsid w:val="00131561"/>
    <w:rsid w:val="00132AF7"/>
    <w:rsid w:val="001332E8"/>
    <w:rsid w:val="0013374B"/>
    <w:rsid w:val="00134012"/>
    <w:rsid w:val="001340CD"/>
    <w:rsid w:val="001357C4"/>
    <w:rsid w:val="001363DB"/>
    <w:rsid w:val="00137150"/>
    <w:rsid w:val="00140056"/>
    <w:rsid w:val="00140174"/>
    <w:rsid w:val="00140E09"/>
    <w:rsid w:val="00142228"/>
    <w:rsid w:val="0014297A"/>
    <w:rsid w:val="001435B2"/>
    <w:rsid w:val="001437BD"/>
    <w:rsid w:val="001446BF"/>
    <w:rsid w:val="0014475F"/>
    <w:rsid w:val="00145914"/>
    <w:rsid w:val="001462C3"/>
    <w:rsid w:val="00146A6C"/>
    <w:rsid w:val="00146E79"/>
    <w:rsid w:val="00147D81"/>
    <w:rsid w:val="0015041C"/>
    <w:rsid w:val="0015065D"/>
    <w:rsid w:val="00150B1E"/>
    <w:rsid w:val="00151541"/>
    <w:rsid w:val="0015236A"/>
    <w:rsid w:val="00152FDA"/>
    <w:rsid w:val="00153332"/>
    <w:rsid w:val="0015384B"/>
    <w:rsid w:val="001538C7"/>
    <w:rsid w:val="0015569A"/>
    <w:rsid w:val="00155C58"/>
    <w:rsid w:val="00156CA7"/>
    <w:rsid w:val="00160A30"/>
    <w:rsid w:val="0016224F"/>
    <w:rsid w:val="00162E66"/>
    <w:rsid w:val="00163EB6"/>
    <w:rsid w:val="0016429D"/>
    <w:rsid w:val="00164952"/>
    <w:rsid w:val="00164C72"/>
    <w:rsid w:val="00164F11"/>
    <w:rsid w:val="001652C6"/>
    <w:rsid w:val="001652E9"/>
    <w:rsid w:val="001666F8"/>
    <w:rsid w:val="00167744"/>
    <w:rsid w:val="00167E32"/>
    <w:rsid w:val="001701F3"/>
    <w:rsid w:val="00170263"/>
    <w:rsid w:val="00170870"/>
    <w:rsid w:val="0017093A"/>
    <w:rsid w:val="00173A83"/>
    <w:rsid w:val="00175139"/>
    <w:rsid w:val="001763B0"/>
    <w:rsid w:val="00176EC2"/>
    <w:rsid w:val="001773F8"/>
    <w:rsid w:val="00180D7D"/>
    <w:rsid w:val="00181C32"/>
    <w:rsid w:val="00185BBA"/>
    <w:rsid w:val="00186A3A"/>
    <w:rsid w:val="00187273"/>
    <w:rsid w:val="00187E4F"/>
    <w:rsid w:val="001912EE"/>
    <w:rsid w:val="00192010"/>
    <w:rsid w:val="001929A0"/>
    <w:rsid w:val="00193602"/>
    <w:rsid w:val="00194C53"/>
    <w:rsid w:val="00194E74"/>
    <w:rsid w:val="0019513B"/>
    <w:rsid w:val="0019514F"/>
    <w:rsid w:val="00195A9E"/>
    <w:rsid w:val="00195DB3"/>
    <w:rsid w:val="00195E4D"/>
    <w:rsid w:val="001A035A"/>
    <w:rsid w:val="001A1E54"/>
    <w:rsid w:val="001A1F64"/>
    <w:rsid w:val="001A237D"/>
    <w:rsid w:val="001A277C"/>
    <w:rsid w:val="001A2797"/>
    <w:rsid w:val="001A446D"/>
    <w:rsid w:val="001A51E9"/>
    <w:rsid w:val="001A6E85"/>
    <w:rsid w:val="001A75E3"/>
    <w:rsid w:val="001B04AD"/>
    <w:rsid w:val="001B10C0"/>
    <w:rsid w:val="001B250D"/>
    <w:rsid w:val="001B38B9"/>
    <w:rsid w:val="001B4023"/>
    <w:rsid w:val="001B4B21"/>
    <w:rsid w:val="001B5A62"/>
    <w:rsid w:val="001B75E3"/>
    <w:rsid w:val="001C0737"/>
    <w:rsid w:val="001C230B"/>
    <w:rsid w:val="001C452C"/>
    <w:rsid w:val="001C4D59"/>
    <w:rsid w:val="001C5249"/>
    <w:rsid w:val="001C6893"/>
    <w:rsid w:val="001C6F23"/>
    <w:rsid w:val="001C7F6A"/>
    <w:rsid w:val="001D0130"/>
    <w:rsid w:val="001D04C4"/>
    <w:rsid w:val="001D2A52"/>
    <w:rsid w:val="001D4C4B"/>
    <w:rsid w:val="001D56D4"/>
    <w:rsid w:val="001D6DBB"/>
    <w:rsid w:val="001D6FF5"/>
    <w:rsid w:val="001D7B57"/>
    <w:rsid w:val="001E00FA"/>
    <w:rsid w:val="001E09F7"/>
    <w:rsid w:val="001E1FB1"/>
    <w:rsid w:val="001E2179"/>
    <w:rsid w:val="001E255F"/>
    <w:rsid w:val="001E29FC"/>
    <w:rsid w:val="001E2CEB"/>
    <w:rsid w:val="001E3B58"/>
    <w:rsid w:val="001E4D09"/>
    <w:rsid w:val="001E6268"/>
    <w:rsid w:val="001E62A9"/>
    <w:rsid w:val="001E6973"/>
    <w:rsid w:val="001E6BE1"/>
    <w:rsid w:val="001F0CB5"/>
    <w:rsid w:val="001F170A"/>
    <w:rsid w:val="001F1DD4"/>
    <w:rsid w:val="001F2815"/>
    <w:rsid w:val="001F2BD7"/>
    <w:rsid w:val="001F313A"/>
    <w:rsid w:val="001F45A2"/>
    <w:rsid w:val="001F4958"/>
    <w:rsid w:val="001F51F5"/>
    <w:rsid w:val="001F78AE"/>
    <w:rsid w:val="001F7E88"/>
    <w:rsid w:val="001F7FBA"/>
    <w:rsid w:val="00200912"/>
    <w:rsid w:val="00203431"/>
    <w:rsid w:val="0020375E"/>
    <w:rsid w:val="002037E6"/>
    <w:rsid w:val="0020420E"/>
    <w:rsid w:val="002050DD"/>
    <w:rsid w:val="0020661C"/>
    <w:rsid w:val="00210E93"/>
    <w:rsid w:val="002112AC"/>
    <w:rsid w:val="00212134"/>
    <w:rsid w:val="002122F7"/>
    <w:rsid w:val="00212536"/>
    <w:rsid w:val="002131CE"/>
    <w:rsid w:val="00213237"/>
    <w:rsid w:val="00213767"/>
    <w:rsid w:val="00213F1C"/>
    <w:rsid w:val="00214117"/>
    <w:rsid w:val="00215C48"/>
    <w:rsid w:val="0021703E"/>
    <w:rsid w:val="00217056"/>
    <w:rsid w:val="00217410"/>
    <w:rsid w:val="002176D8"/>
    <w:rsid w:val="00220615"/>
    <w:rsid w:val="00223462"/>
    <w:rsid w:val="002238DA"/>
    <w:rsid w:val="00225E0B"/>
    <w:rsid w:val="002267F0"/>
    <w:rsid w:val="002311C9"/>
    <w:rsid w:val="00232D8D"/>
    <w:rsid w:val="0023357F"/>
    <w:rsid w:val="0023523D"/>
    <w:rsid w:val="002361F4"/>
    <w:rsid w:val="002369B8"/>
    <w:rsid w:val="00237254"/>
    <w:rsid w:val="00237A29"/>
    <w:rsid w:val="002401F4"/>
    <w:rsid w:val="00240F9B"/>
    <w:rsid w:val="002421E5"/>
    <w:rsid w:val="002422A3"/>
    <w:rsid w:val="0024333B"/>
    <w:rsid w:val="002437D2"/>
    <w:rsid w:val="0024490F"/>
    <w:rsid w:val="00244C30"/>
    <w:rsid w:val="0024587D"/>
    <w:rsid w:val="00245ECD"/>
    <w:rsid w:val="00246888"/>
    <w:rsid w:val="00250481"/>
    <w:rsid w:val="00250944"/>
    <w:rsid w:val="00250963"/>
    <w:rsid w:val="002523E2"/>
    <w:rsid w:val="00252EFB"/>
    <w:rsid w:val="002531DD"/>
    <w:rsid w:val="002544E2"/>
    <w:rsid w:val="00255B3F"/>
    <w:rsid w:val="00257A7B"/>
    <w:rsid w:val="00257DC5"/>
    <w:rsid w:val="00260B35"/>
    <w:rsid w:val="002611E4"/>
    <w:rsid w:val="00261F59"/>
    <w:rsid w:val="00262580"/>
    <w:rsid w:val="00262A90"/>
    <w:rsid w:val="0026364B"/>
    <w:rsid w:val="00263B60"/>
    <w:rsid w:val="00263E5D"/>
    <w:rsid w:val="0026639D"/>
    <w:rsid w:val="0026689A"/>
    <w:rsid w:val="00267516"/>
    <w:rsid w:val="00267686"/>
    <w:rsid w:val="00270A66"/>
    <w:rsid w:val="00270DB8"/>
    <w:rsid w:val="00271331"/>
    <w:rsid w:val="00271564"/>
    <w:rsid w:val="002719FC"/>
    <w:rsid w:val="002731F1"/>
    <w:rsid w:val="00273B62"/>
    <w:rsid w:val="00274FC8"/>
    <w:rsid w:val="00274FD0"/>
    <w:rsid w:val="002766A4"/>
    <w:rsid w:val="00276D63"/>
    <w:rsid w:val="002778A6"/>
    <w:rsid w:val="002802BA"/>
    <w:rsid w:val="0028163D"/>
    <w:rsid w:val="0028635A"/>
    <w:rsid w:val="00286BD3"/>
    <w:rsid w:val="00287AAF"/>
    <w:rsid w:val="002904F7"/>
    <w:rsid w:val="00290A89"/>
    <w:rsid w:val="002917CC"/>
    <w:rsid w:val="00291BF0"/>
    <w:rsid w:val="0029248B"/>
    <w:rsid w:val="00292FC6"/>
    <w:rsid w:val="002931F5"/>
    <w:rsid w:val="00293641"/>
    <w:rsid w:val="0029534F"/>
    <w:rsid w:val="00295648"/>
    <w:rsid w:val="00295C2E"/>
    <w:rsid w:val="002A0331"/>
    <w:rsid w:val="002A0C86"/>
    <w:rsid w:val="002A176C"/>
    <w:rsid w:val="002A1FA2"/>
    <w:rsid w:val="002A6909"/>
    <w:rsid w:val="002A7C6F"/>
    <w:rsid w:val="002B0767"/>
    <w:rsid w:val="002B1F36"/>
    <w:rsid w:val="002B2DBB"/>
    <w:rsid w:val="002B31EE"/>
    <w:rsid w:val="002B3B4B"/>
    <w:rsid w:val="002B4B98"/>
    <w:rsid w:val="002B4ECB"/>
    <w:rsid w:val="002B5280"/>
    <w:rsid w:val="002C115A"/>
    <w:rsid w:val="002C1B6E"/>
    <w:rsid w:val="002C2C36"/>
    <w:rsid w:val="002C31D5"/>
    <w:rsid w:val="002C34C3"/>
    <w:rsid w:val="002C52E8"/>
    <w:rsid w:val="002C6909"/>
    <w:rsid w:val="002D103F"/>
    <w:rsid w:val="002D3763"/>
    <w:rsid w:val="002D3C96"/>
    <w:rsid w:val="002D3DBF"/>
    <w:rsid w:val="002D4DFC"/>
    <w:rsid w:val="002D72D7"/>
    <w:rsid w:val="002D75E9"/>
    <w:rsid w:val="002D7775"/>
    <w:rsid w:val="002E2312"/>
    <w:rsid w:val="002E2715"/>
    <w:rsid w:val="002E284B"/>
    <w:rsid w:val="002E34C0"/>
    <w:rsid w:val="002E4417"/>
    <w:rsid w:val="002E4A8F"/>
    <w:rsid w:val="002E537B"/>
    <w:rsid w:val="002E585D"/>
    <w:rsid w:val="002E63A1"/>
    <w:rsid w:val="002E6994"/>
    <w:rsid w:val="002F0D25"/>
    <w:rsid w:val="002F1133"/>
    <w:rsid w:val="002F1C4F"/>
    <w:rsid w:val="002F1D60"/>
    <w:rsid w:val="002F2A16"/>
    <w:rsid w:val="002F3F17"/>
    <w:rsid w:val="002F7657"/>
    <w:rsid w:val="002F7BE2"/>
    <w:rsid w:val="00300649"/>
    <w:rsid w:val="0030064C"/>
    <w:rsid w:val="00300E7E"/>
    <w:rsid w:val="003011FE"/>
    <w:rsid w:val="00303C60"/>
    <w:rsid w:val="003079AD"/>
    <w:rsid w:val="00307C9B"/>
    <w:rsid w:val="003102AF"/>
    <w:rsid w:val="00311131"/>
    <w:rsid w:val="00312088"/>
    <w:rsid w:val="00313486"/>
    <w:rsid w:val="0031433D"/>
    <w:rsid w:val="003144D8"/>
    <w:rsid w:val="00315135"/>
    <w:rsid w:val="003153CF"/>
    <w:rsid w:val="00315D4F"/>
    <w:rsid w:val="0031739E"/>
    <w:rsid w:val="00317D5F"/>
    <w:rsid w:val="00320509"/>
    <w:rsid w:val="00321605"/>
    <w:rsid w:val="00321815"/>
    <w:rsid w:val="00321D9C"/>
    <w:rsid w:val="00322AE3"/>
    <w:rsid w:val="00324C4D"/>
    <w:rsid w:val="00324CD7"/>
    <w:rsid w:val="00324D8B"/>
    <w:rsid w:val="0032579A"/>
    <w:rsid w:val="00325A8B"/>
    <w:rsid w:val="00325FE5"/>
    <w:rsid w:val="0032692E"/>
    <w:rsid w:val="00330E95"/>
    <w:rsid w:val="003310A8"/>
    <w:rsid w:val="00331B3F"/>
    <w:rsid w:val="00331F64"/>
    <w:rsid w:val="00332D44"/>
    <w:rsid w:val="00332E27"/>
    <w:rsid w:val="00332FED"/>
    <w:rsid w:val="00333073"/>
    <w:rsid w:val="003333FE"/>
    <w:rsid w:val="00333916"/>
    <w:rsid w:val="00333C96"/>
    <w:rsid w:val="00334A46"/>
    <w:rsid w:val="00334E48"/>
    <w:rsid w:val="00335031"/>
    <w:rsid w:val="00336BC8"/>
    <w:rsid w:val="00336F75"/>
    <w:rsid w:val="00337C0D"/>
    <w:rsid w:val="003414C9"/>
    <w:rsid w:val="0034177C"/>
    <w:rsid w:val="00341ED7"/>
    <w:rsid w:val="00342701"/>
    <w:rsid w:val="00342EB3"/>
    <w:rsid w:val="00343ABE"/>
    <w:rsid w:val="003462A9"/>
    <w:rsid w:val="0034643A"/>
    <w:rsid w:val="00347BD7"/>
    <w:rsid w:val="003507A9"/>
    <w:rsid w:val="0035117E"/>
    <w:rsid w:val="00352566"/>
    <w:rsid w:val="003533C0"/>
    <w:rsid w:val="00353606"/>
    <w:rsid w:val="003538D8"/>
    <w:rsid w:val="0035453B"/>
    <w:rsid w:val="003552AF"/>
    <w:rsid w:val="00355A03"/>
    <w:rsid w:val="003568A7"/>
    <w:rsid w:val="0036078B"/>
    <w:rsid w:val="00360E93"/>
    <w:rsid w:val="003619C3"/>
    <w:rsid w:val="003628EF"/>
    <w:rsid w:val="00363AC9"/>
    <w:rsid w:val="00364B0E"/>
    <w:rsid w:val="003656BD"/>
    <w:rsid w:val="00365A4A"/>
    <w:rsid w:val="003665EB"/>
    <w:rsid w:val="00367487"/>
    <w:rsid w:val="0037156F"/>
    <w:rsid w:val="00371573"/>
    <w:rsid w:val="003716D5"/>
    <w:rsid w:val="00372411"/>
    <w:rsid w:val="00373046"/>
    <w:rsid w:val="00373C86"/>
    <w:rsid w:val="00376A70"/>
    <w:rsid w:val="00376C19"/>
    <w:rsid w:val="0038049D"/>
    <w:rsid w:val="0038066E"/>
    <w:rsid w:val="00385E1B"/>
    <w:rsid w:val="0038792C"/>
    <w:rsid w:val="00387DA0"/>
    <w:rsid w:val="00387EF8"/>
    <w:rsid w:val="00392492"/>
    <w:rsid w:val="003928D6"/>
    <w:rsid w:val="00393A79"/>
    <w:rsid w:val="00394700"/>
    <w:rsid w:val="00395067"/>
    <w:rsid w:val="00397B74"/>
    <w:rsid w:val="003A057B"/>
    <w:rsid w:val="003A0C05"/>
    <w:rsid w:val="003A0EED"/>
    <w:rsid w:val="003A2251"/>
    <w:rsid w:val="003A250F"/>
    <w:rsid w:val="003A271F"/>
    <w:rsid w:val="003A3DA9"/>
    <w:rsid w:val="003A4E28"/>
    <w:rsid w:val="003A52F3"/>
    <w:rsid w:val="003A7198"/>
    <w:rsid w:val="003A7AA9"/>
    <w:rsid w:val="003A7C98"/>
    <w:rsid w:val="003A7F6B"/>
    <w:rsid w:val="003B0FB3"/>
    <w:rsid w:val="003B1285"/>
    <w:rsid w:val="003B2C6F"/>
    <w:rsid w:val="003B399A"/>
    <w:rsid w:val="003B4837"/>
    <w:rsid w:val="003B57DC"/>
    <w:rsid w:val="003B6DE6"/>
    <w:rsid w:val="003B7196"/>
    <w:rsid w:val="003B74B0"/>
    <w:rsid w:val="003B7DF7"/>
    <w:rsid w:val="003C0B97"/>
    <w:rsid w:val="003C1D42"/>
    <w:rsid w:val="003C21A3"/>
    <w:rsid w:val="003C3E9F"/>
    <w:rsid w:val="003C61F8"/>
    <w:rsid w:val="003C7AA4"/>
    <w:rsid w:val="003D0244"/>
    <w:rsid w:val="003D15DB"/>
    <w:rsid w:val="003D1BD2"/>
    <w:rsid w:val="003D2326"/>
    <w:rsid w:val="003D72EB"/>
    <w:rsid w:val="003D766D"/>
    <w:rsid w:val="003D7A00"/>
    <w:rsid w:val="003E332D"/>
    <w:rsid w:val="003E36E3"/>
    <w:rsid w:val="003E3947"/>
    <w:rsid w:val="003E426B"/>
    <w:rsid w:val="003E47A5"/>
    <w:rsid w:val="003E4D9F"/>
    <w:rsid w:val="003E58C8"/>
    <w:rsid w:val="003E6C50"/>
    <w:rsid w:val="003E782A"/>
    <w:rsid w:val="003E7B85"/>
    <w:rsid w:val="003F0C4C"/>
    <w:rsid w:val="003F0D99"/>
    <w:rsid w:val="003F1F54"/>
    <w:rsid w:val="003F3080"/>
    <w:rsid w:val="003F45DE"/>
    <w:rsid w:val="003F5546"/>
    <w:rsid w:val="003F7BD3"/>
    <w:rsid w:val="00400E60"/>
    <w:rsid w:val="00401E94"/>
    <w:rsid w:val="0040202D"/>
    <w:rsid w:val="00403F3E"/>
    <w:rsid w:val="004071D0"/>
    <w:rsid w:val="0040741A"/>
    <w:rsid w:val="00407BBE"/>
    <w:rsid w:val="00407E52"/>
    <w:rsid w:val="00410082"/>
    <w:rsid w:val="00410622"/>
    <w:rsid w:val="00411173"/>
    <w:rsid w:val="004118C2"/>
    <w:rsid w:val="00411D8B"/>
    <w:rsid w:val="0041273F"/>
    <w:rsid w:val="00412946"/>
    <w:rsid w:val="00412E2A"/>
    <w:rsid w:val="0041411C"/>
    <w:rsid w:val="0041580E"/>
    <w:rsid w:val="00415BC1"/>
    <w:rsid w:val="004165F3"/>
    <w:rsid w:val="004174B7"/>
    <w:rsid w:val="00417B44"/>
    <w:rsid w:val="004200BE"/>
    <w:rsid w:val="00420713"/>
    <w:rsid w:val="00421B2D"/>
    <w:rsid w:val="00422754"/>
    <w:rsid w:val="00424155"/>
    <w:rsid w:val="0042476E"/>
    <w:rsid w:val="004250BF"/>
    <w:rsid w:val="00426492"/>
    <w:rsid w:val="004264CC"/>
    <w:rsid w:val="00427599"/>
    <w:rsid w:val="00430EEC"/>
    <w:rsid w:val="004321E4"/>
    <w:rsid w:val="004348E2"/>
    <w:rsid w:val="00436871"/>
    <w:rsid w:val="00436BE6"/>
    <w:rsid w:val="00437301"/>
    <w:rsid w:val="00441E07"/>
    <w:rsid w:val="004426D0"/>
    <w:rsid w:val="00442AD2"/>
    <w:rsid w:val="0044316D"/>
    <w:rsid w:val="00443308"/>
    <w:rsid w:val="004434A8"/>
    <w:rsid w:val="00444EC2"/>
    <w:rsid w:val="0044778B"/>
    <w:rsid w:val="004477E0"/>
    <w:rsid w:val="004519D7"/>
    <w:rsid w:val="00453488"/>
    <w:rsid w:val="00454690"/>
    <w:rsid w:val="00455DEB"/>
    <w:rsid w:val="00456348"/>
    <w:rsid w:val="00457FF4"/>
    <w:rsid w:val="0046113E"/>
    <w:rsid w:val="00462029"/>
    <w:rsid w:val="00465334"/>
    <w:rsid w:val="00465BEA"/>
    <w:rsid w:val="00467F2A"/>
    <w:rsid w:val="004701C5"/>
    <w:rsid w:val="00470848"/>
    <w:rsid w:val="00472079"/>
    <w:rsid w:val="00474C1B"/>
    <w:rsid w:val="00475EF3"/>
    <w:rsid w:val="004765EC"/>
    <w:rsid w:val="00476A82"/>
    <w:rsid w:val="00480F97"/>
    <w:rsid w:val="00482EE1"/>
    <w:rsid w:val="00486914"/>
    <w:rsid w:val="00487D72"/>
    <w:rsid w:val="00490192"/>
    <w:rsid w:val="00490692"/>
    <w:rsid w:val="00492D92"/>
    <w:rsid w:val="00493643"/>
    <w:rsid w:val="004940AC"/>
    <w:rsid w:val="0049561A"/>
    <w:rsid w:val="004960B3"/>
    <w:rsid w:val="004961AD"/>
    <w:rsid w:val="0049688A"/>
    <w:rsid w:val="004971B0"/>
    <w:rsid w:val="004974D4"/>
    <w:rsid w:val="00497E08"/>
    <w:rsid w:val="004A0394"/>
    <w:rsid w:val="004A04C3"/>
    <w:rsid w:val="004A0F2A"/>
    <w:rsid w:val="004A5E72"/>
    <w:rsid w:val="004B010F"/>
    <w:rsid w:val="004B0955"/>
    <w:rsid w:val="004B0B79"/>
    <w:rsid w:val="004B22AD"/>
    <w:rsid w:val="004B2B63"/>
    <w:rsid w:val="004B336D"/>
    <w:rsid w:val="004B39A7"/>
    <w:rsid w:val="004B4A0B"/>
    <w:rsid w:val="004B50B2"/>
    <w:rsid w:val="004B54A4"/>
    <w:rsid w:val="004B54D5"/>
    <w:rsid w:val="004C0202"/>
    <w:rsid w:val="004C0E16"/>
    <w:rsid w:val="004C1AA0"/>
    <w:rsid w:val="004C392D"/>
    <w:rsid w:val="004C3C25"/>
    <w:rsid w:val="004C692A"/>
    <w:rsid w:val="004C7877"/>
    <w:rsid w:val="004D1A99"/>
    <w:rsid w:val="004D1E15"/>
    <w:rsid w:val="004D2EF5"/>
    <w:rsid w:val="004D47B3"/>
    <w:rsid w:val="004D4BAC"/>
    <w:rsid w:val="004D63E4"/>
    <w:rsid w:val="004D6929"/>
    <w:rsid w:val="004E0E8B"/>
    <w:rsid w:val="004E27C3"/>
    <w:rsid w:val="004E46E2"/>
    <w:rsid w:val="004E4835"/>
    <w:rsid w:val="004E49DD"/>
    <w:rsid w:val="004E65B3"/>
    <w:rsid w:val="004E667A"/>
    <w:rsid w:val="004E6A8C"/>
    <w:rsid w:val="004E6F05"/>
    <w:rsid w:val="004E73DB"/>
    <w:rsid w:val="004F0906"/>
    <w:rsid w:val="004F29D6"/>
    <w:rsid w:val="004F3F11"/>
    <w:rsid w:val="004F3FC5"/>
    <w:rsid w:val="004F4E68"/>
    <w:rsid w:val="004F5162"/>
    <w:rsid w:val="004F5460"/>
    <w:rsid w:val="004F5FED"/>
    <w:rsid w:val="004F6513"/>
    <w:rsid w:val="004F746B"/>
    <w:rsid w:val="004F7D3C"/>
    <w:rsid w:val="00500840"/>
    <w:rsid w:val="005047D9"/>
    <w:rsid w:val="0050560E"/>
    <w:rsid w:val="005057CB"/>
    <w:rsid w:val="0050667D"/>
    <w:rsid w:val="00506799"/>
    <w:rsid w:val="00506CB0"/>
    <w:rsid w:val="00507288"/>
    <w:rsid w:val="00507430"/>
    <w:rsid w:val="005076D1"/>
    <w:rsid w:val="00507C9A"/>
    <w:rsid w:val="00511B6B"/>
    <w:rsid w:val="00511F27"/>
    <w:rsid w:val="0051472B"/>
    <w:rsid w:val="005153DF"/>
    <w:rsid w:val="00515A18"/>
    <w:rsid w:val="00515F12"/>
    <w:rsid w:val="005166D2"/>
    <w:rsid w:val="00516F0E"/>
    <w:rsid w:val="00517563"/>
    <w:rsid w:val="005224AB"/>
    <w:rsid w:val="00522EE1"/>
    <w:rsid w:val="005231DD"/>
    <w:rsid w:val="00523B41"/>
    <w:rsid w:val="00524909"/>
    <w:rsid w:val="00530979"/>
    <w:rsid w:val="00531C6D"/>
    <w:rsid w:val="00532119"/>
    <w:rsid w:val="00533B4D"/>
    <w:rsid w:val="0053655B"/>
    <w:rsid w:val="0053659B"/>
    <w:rsid w:val="0053695B"/>
    <w:rsid w:val="00536CA4"/>
    <w:rsid w:val="00537163"/>
    <w:rsid w:val="005375B8"/>
    <w:rsid w:val="00537CFE"/>
    <w:rsid w:val="00541E32"/>
    <w:rsid w:val="00542342"/>
    <w:rsid w:val="00543B57"/>
    <w:rsid w:val="005446F4"/>
    <w:rsid w:val="00545B6F"/>
    <w:rsid w:val="00547C49"/>
    <w:rsid w:val="00550994"/>
    <w:rsid w:val="005511C1"/>
    <w:rsid w:val="00551FC3"/>
    <w:rsid w:val="005529AE"/>
    <w:rsid w:val="0055338B"/>
    <w:rsid w:val="00553A91"/>
    <w:rsid w:val="00556581"/>
    <w:rsid w:val="00556C7F"/>
    <w:rsid w:val="00557C01"/>
    <w:rsid w:val="00560DA9"/>
    <w:rsid w:val="005610BD"/>
    <w:rsid w:val="005614A3"/>
    <w:rsid w:val="005630A3"/>
    <w:rsid w:val="00564680"/>
    <w:rsid w:val="005647F3"/>
    <w:rsid w:val="00565B69"/>
    <w:rsid w:val="00565C58"/>
    <w:rsid w:val="00565CC4"/>
    <w:rsid w:val="00567527"/>
    <w:rsid w:val="005705B1"/>
    <w:rsid w:val="005711D9"/>
    <w:rsid w:val="00573328"/>
    <w:rsid w:val="00573499"/>
    <w:rsid w:val="00573678"/>
    <w:rsid w:val="00573C90"/>
    <w:rsid w:val="00575478"/>
    <w:rsid w:val="00576942"/>
    <w:rsid w:val="00576F44"/>
    <w:rsid w:val="00577B86"/>
    <w:rsid w:val="00577B90"/>
    <w:rsid w:val="005809DF"/>
    <w:rsid w:val="005811EC"/>
    <w:rsid w:val="0058167D"/>
    <w:rsid w:val="00581C15"/>
    <w:rsid w:val="00582D3E"/>
    <w:rsid w:val="00582DBB"/>
    <w:rsid w:val="00583367"/>
    <w:rsid w:val="00584142"/>
    <w:rsid w:val="005849B0"/>
    <w:rsid w:val="00586036"/>
    <w:rsid w:val="00586538"/>
    <w:rsid w:val="00587146"/>
    <w:rsid w:val="005879A9"/>
    <w:rsid w:val="00590508"/>
    <w:rsid w:val="005905F3"/>
    <w:rsid w:val="00590AA5"/>
    <w:rsid w:val="00590D29"/>
    <w:rsid w:val="00591DA1"/>
    <w:rsid w:val="0059307D"/>
    <w:rsid w:val="00595A84"/>
    <w:rsid w:val="005A212A"/>
    <w:rsid w:val="005A2EEE"/>
    <w:rsid w:val="005A73FC"/>
    <w:rsid w:val="005B162A"/>
    <w:rsid w:val="005B2B2F"/>
    <w:rsid w:val="005B37C7"/>
    <w:rsid w:val="005B3DF2"/>
    <w:rsid w:val="005B7882"/>
    <w:rsid w:val="005B7B78"/>
    <w:rsid w:val="005C115B"/>
    <w:rsid w:val="005C4094"/>
    <w:rsid w:val="005C4E10"/>
    <w:rsid w:val="005C502E"/>
    <w:rsid w:val="005C5172"/>
    <w:rsid w:val="005C6B90"/>
    <w:rsid w:val="005C728B"/>
    <w:rsid w:val="005C79CC"/>
    <w:rsid w:val="005C7C32"/>
    <w:rsid w:val="005D0EBF"/>
    <w:rsid w:val="005D3073"/>
    <w:rsid w:val="005D30C0"/>
    <w:rsid w:val="005D3682"/>
    <w:rsid w:val="005D4664"/>
    <w:rsid w:val="005D5649"/>
    <w:rsid w:val="005D620A"/>
    <w:rsid w:val="005D64D5"/>
    <w:rsid w:val="005D732E"/>
    <w:rsid w:val="005E03CC"/>
    <w:rsid w:val="005E0402"/>
    <w:rsid w:val="005E0728"/>
    <w:rsid w:val="005E1890"/>
    <w:rsid w:val="005E1B3A"/>
    <w:rsid w:val="005E1B8A"/>
    <w:rsid w:val="005E2E19"/>
    <w:rsid w:val="005E2E67"/>
    <w:rsid w:val="005E3BCD"/>
    <w:rsid w:val="005F047D"/>
    <w:rsid w:val="005F1186"/>
    <w:rsid w:val="005F1D46"/>
    <w:rsid w:val="005F246C"/>
    <w:rsid w:val="005F2905"/>
    <w:rsid w:val="005F2A94"/>
    <w:rsid w:val="005F3906"/>
    <w:rsid w:val="005F445A"/>
    <w:rsid w:val="005F47B3"/>
    <w:rsid w:val="005F4C3A"/>
    <w:rsid w:val="005F4C42"/>
    <w:rsid w:val="005F5841"/>
    <w:rsid w:val="005F5CC7"/>
    <w:rsid w:val="00600504"/>
    <w:rsid w:val="00601290"/>
    <w:rsid w:val="00602625"/>
    <w:rsid w:val="00602E92"/>
    <w:rsid w:val="00602FC9"/>
    <w:rsid w:val="00603246"/>
    <w:rsid w:val="0060369F"/>
    <w:rsid w:val="00604E66"/>
    <w:rsid w:val="006068F2"/>
    <w:rsid w:val="00607C05"/>
    <w:rsid w:val="00607FFB"/>
    <w:rsid w:val="00611351"/>
    <w:rsid w:val="00611660"/>
    <w:rsid w:val="00611CC7"/>
    <w:rsid w:val="00612311"/>
    <w:rsid w:val="00612868"/>
    <w:rsid w:val="006155B3"/>
    <w:rsid w:val="006159E5"/>
    <w:rsid w:val="00615E4B"/>
    <w:rsid w:val="006218DA"/>
    <w:rsid w:val="0062341C"/>
    <w:rsid w:val="00624192"/>
    <w:rsid w:val="0062438D"/>
    <w:rsid w:val="00624BFD"/>
    <w:rsid w:val="00625FD7"/>
    <w:rsid w:val="006269D1"/>
    <w:rsid w:val="00627B3F"/>
    <w:rsid w:val="00631A82"/>
    <w:rsid w:val="00632EFE"/>
    <w:rsid w:val="00632F92"/>
    <w:rsid w:val="00634908"/>
    <w:rsid w:val="00634ECB"/>
    <w:rsid w:val="0064063D"/>
    <w:rsid w:val="00642AB4"/>
    <w:rsid w:val="00643922"/>
    <w:rsid w:val="006454BA"/>
    <w:rsid w:val="00645A76"/>
    <w:rsid w:val="00646D78"/>
    <w:rsid w:val="00647303"/>
    <w:rsid w:val="006504A5"/>
    <w:rsid w:val="0065354B"/>
    <w:rsid w:val="00653D6D"/>
    <w:rsid w:val="00653E39"/>
    <w:rsid w:val="00655B62"/>
    <w:rsid w:val="0065673B"/>
    <w:rsid w:val="00656C54"/>
    <w:rsid w:val="00656DF7"/>
    <w:rsid w:val="00657305"/>
    <w:rsid w:val="00660CF3"/>
    <w:rsid w:val="00661608"/>
    <w:rsid w:val="00662A84"/>
    <w:rsid w:val="006635FC"/>
    <w:rsid w:val="00664493"/>
    <w:rsid w:val="00664CF0"/>
    <w:rsid w:val="006650AD"/>
    <w:rsid w:val="0066530B"/>
    <w:rsid w:val="0066575C"/>
    <w:rsid w:val="006666BB"/>
    <w:rsid w:val="00667164"/>
    <w:rsid w:val="00667294"/>
    <w:rsid w:val="00667D12"/>
    <w:rsid w:val="006707DF"/>
    <w:rsid w:val="00671528"/>
    <w:rsid w:val="0067179E"/>
    <w:rsid w:val="006717C8"/>
    <w:rsid w:val="006749AE"/>
    <w:rsid w:val="00676347"/>
    <w:rsid w:val="006774B7"/>
    <w:rsid w:val="00681039"/>
    <w:rsid w:val="0068178F"/>
    <w:rsid w:val="00681FF9"/>
    <w:rsid w:val="00682BC4"/>
    <w:rsid w:val="00683221"/>
    <w:rsid w:val="0068389D"/>
    <w:rsid w:val="00684043"/>
    <w:rsid w:val="0068452C"/>
    <w:rsid w:val="00684F42"/>
    <w:rsid w:val="00685153"/>
    <w:rsid w:val="00685A1E"/>
    <w:rsid w:val="00685B16"/>
    <w:rsid w:val="00686551"/>
    <w:rsid w:val="006913B3"/>
    <w:rsid w:val="00691B6E"/>
    <w:rsid w:val="00692429"/>
    <w:rsid w:val="00693F99"/>
    <w:rsid w:val="00694038"/>
    <w:rsid w:val="0069496A"/>
    <w:rsid w:val="006975DC"/>
    <w:rsid w:val="0069771F"/>
    <w:rsid w:val="0069792C"/>
    <w:rsid w:val="00697E3F"/>
    <w:rsid w:val="006A0316"/>
    <w:rsid w:val="006A0518"/>
    <w:rsid w:val="006A0601"/>
    <w:rsid w:val="006A0BB0"/>
    <w:rsid w:val="006A1AF2"/>
    <w:rsid w:val="006A2069"/>
    <w:rsid w:val="006A2809"/>
    <w:rsid w:val="006A2BAD"/>
    <w:rsid w:val="006A32F2"/>
    <w:rsid w:val="006A5077"/>
    <w:rsid w:val="006A6D7B"/>
    <w:rsid w:val="006A7B2E"/>
    <w:rsid w:val="006B2067"/>
    <w:rsid w:val="006B2EC2"/>
    <w:rsid w:val="006B4432"/>
    <w:rsid w:val="006B4861"/>
    <w:rsid w:val="006B4B38"/>
    <w:rsid w:val="006B52E3"/>
    <w:rsid w:val="006B59BE"/>
    <w:rsid w:val="006B5B8D"/>
    <w:rsid w:val="006B5CE3"/>
    <w:rsid w:val="006B6DDA"/>
    <w:rsid w:val="006B71A9"/>
    <w:rsid w:val="006B72D1"/>
    <w:rsid w:val="006B773E"/>
    <w:rsid w:val="006C1E05"/>
    <w:rsid w:val="006C2622"/>
    <w:rsid w:val="006C2828"/>
    <w:rsid w:val="006C2BE1"/>
    <w:rsid w:val="006C2C1D"/>
    <w:rsid w:val="006C4114"/>
    <w:rsid w:val="006C4869"/>
    <w:rsid w:val="006C538C"/>
    <w:rsid w:val="006C6033"/>
    <w:rsid w:val="006C7312"/>
    <w:rsid w:val="006C7775"/>
    <w:rsid w:val="006C777D"/>
    <w:rsid w:val="006D0F3C"/>
    <w:rsid w:val="006D2210"/>
    <w:rsid w:val="006D2ADA"/>
    <w:rsid w:val="006D37BD"/>
    <w:rsid w:val="006D5434"/>
    <w:rsid w:val="006D6101"/>
    <w:rsid w:val="006E0FF9"/>
    <w:rsid w:val="006E15D0"/>
    <w:rsid w:val="006E31C8"/>
    <w:rsid w:val="006E38E5"/>
    <w:rsid w:val="006E4B1A"/>
    <w:rsid w:val="006E5D9A"/>
    <w:rsid w:val="006E6146"/>
    <w:rsid w:val="006E6B7D"/>
    <w:rsid w:val="006E77AD"/>
    <w:rsid w:val="006F1A1D"/>
    <w:rsid w:val="006F1B64"/>
    <w:rsid w:val="006F1FA9"/>
    <w:rsid w:val="006F253C"/>
    <w:rsid w:val="006F3825"/>
    <w:rsid w:val="006F4DCB"/>
    <w:rsid w:val="006F691E"/>
    <w:rsid w:val="006F6D69"/>
    <w:rsid w:val="006F70F3"/>
    <w:rsid w:val="006F7153"/>
    <w:rsid w:val="007005F0"/>
    <w:rsid w:val="00705DAD"/>
    <w:rsid w:val="00706589"/>
    <w:rsid w:val="00710ED4"/>
    <w:rsid w:val="007118F3"/>
    <w:rsid w:val="00717E48"/>
    <w:rsid w:val="007209F7"/>
    <w:rsid w:val="00721790"/>
    <w:rsid w:val="00722578"/>
    <w:rsid w:val="00722A90"/>
    <w:rsid w:val="00722D12"/>
    <w:rsid w:val="0072334F"/>
    <w:rsid w:val="00723F1A"/>
    <w:rsid w:val="00724DE7"/>
    <w:rsid w:val="007263BD"/>
    <w:rsid w:val="00727901"/>
    <w:rsid w:val="00731DFF"/>
    <w:rsid w:val="007323A0"/>
    <w:rsid w:val="0073330E"/>
    <w:rsid w:val="00733F82"/>
    <w:rsid w:val="0073446B"/>
    <w:rsid w:val="007344A9"/>
    <w:rsid w:val="007347A0"/>
    <w:rsid w:val="00734910"/>
    <w:rsid w:val="00735BD9"/>
    <w:rsid w:val="00735FEC"/>
    <w:rsid w:val="00736356"/>
    <w:rsid w:val="0073708C"/>
    <w:rsid w:val="007371C1"/>
    <w:rsid w:val="00741074"/>
    <w:rsid w:val="007419F0"/>
    <w:rsid w:val="00741A6A"/>
    <w:rsid w:val="00741DED"/>
    <w:rsid w:val="00743567"/>
    <w:rsid w:val="00744901"/>
    <w:rsid w:val="00746C79"/>
    <w:rsid w:val="00747C91"/>
    <w:rsid w:val="0075000D"/>
    <w:rsid w:val="007505BB"/>
    <w:rsid w:val="00750FE7"/>
    <w:rsid w:val="007511ED"/>
    <w:rsid w:val="007518AC"/>
    <w:rsid w:val="007528A2"/>
    <w:rsid w:val="00752EB4"/>
    <w:rsid w:val="007531CF"/>
    <w:rsid w:val="007534A1"/>
    <w:rsid w:val="00754CD4"/>
    <w:rsid w:val="0075676D"/>
    <w:rsid w:val="00756949"/>
    <w:rsid w:val="007570B4"/>
    <w:rsid w:val="0076041C"/>
    <w:rsid w:val="007605E5"/>
    <w:rsid w:val="0076070F"/>
    <w:rsid w:val="0076111F"/>
    <w:rsid w:val="0076159A"/>
    <w:rsid w:val="00761A6C"/>
    <w:rsid w:val="00764E53"/>
    <w:rsid w:val="00764E89"/>
    <w:rsid w:val="00765D01"/>
    <w:rsid w:val="0076610D"/>
    <w:rsid w:val="00766AD7"/>
    <w:rsid w:val="00767EAA"/>
    <w:rsid w:val="007719FF"/>
    <w:rsid w:val="007728C4"/>
    <w:rsid w:val="00772D3C"/>
    <w:rsid w:val="00773D9A"/>
    <w:rsid w:val="00773E63"/>
    <w:rsid w:val="00774468"/>
    <w:rsid w:val="00774FF1"/>
    <w:rsid w:val="00775E0E"/>
    <w:rsid w:val="00776595"/>
    <w:rsid w:val="0077754A"/>
    <w:rsid w:val="0078050C"/>
    <w:rsid w:val="007813E0"/>
    <w:rsid w:val="00782981"/>
    <w:rsid w:val="00782FB4"/>
    <w:rsid w:val="00783A27"/>
    <w:rsid w:val="007853A0"/>
    <w:rsid w:val="007855AB"/>
    <w:rsid w:val="0078622C"/>
    <w:rsid w:val="00787A82"/>
    <w:rsid w:val="00792131"/>
    <w:rsid w:val="007933AB"/>
    <w:rsid w:val="007936D9"/>
    <w:rsid w:val="00793EE0"/>
    <w:rsid w:val="00795A19"/>
    <w:rsid w:val="0079693D"/>
    <w:rsid w:val="0079779D"/>
    <w:rsid w:val="007A04AC"/>
    <w:rsid w:val="007A1250"/>
    <w:rsid w:val="007A2015"/>
    <w:rsid w:val="007A2219"/>
    <w:rsid w:val="007A2A24"/>
    <w:rsid w:val="007A2D22"/>
    <w:rsid w:val="007A5DEA"/>
    <w:rsid w:val="007A5F32"/>
    <w:rsid w:val="007A604E"/>
    <w:rsid w:val="007A69E2"/>
    <w:rsid w:val="007A6ED6"/>
    <w:rsid w:val="007A79D5"/>
    <w:rsid w:val="007B1ABD"/>
    <w:rsid w:val="007B1CB0"/>
    <w:rsid w:val="007B24EA"/>
    <w:rsid w:val="007B2548"/>
    <w:rsid w:val="007B2880"/>
    <w:rsid w:val="007B31DE"/>
    <w:rsid w:val="007B35E5"/>
    <w:rsid w:val="007B5F56"/>
    <w:rsid w:val="007B7F90"/>
    <w:rsid w:val="007C1AFD"/>
    <w:rsid w:val="007C234E"/>
    <w:rsid w:val="007C3E84"/>
    <w:rsid w:val="007C4BC6"/>
    <w:rsid w:val="007C5E1F"/>
    <w:rsid w:val="007C63BA"/>
    <w:rsid w:val="007C72C0"/>
    <w:rsid w:val="007C7761"/>
    <w:rsid w:val="007D004E"/>
    <w:rsid w:val="007D17C1"/>
    <w:rsid w:val="007D4322"/>
    <w:rsid w:val="007D4D94"/>
    <w:rsid w:val="007D7789"/>
    <w:rsid w:val="007D7CA6"/>
    <w:rsid w:val="007E02D2"/>
    <w:rsid w:val="007E0E01"/>
    <w:rsid w:val="007E2CA4"/>
    <w:rsid w:val="007E36DA"/>
    <w:rsid w:val="007E3AF1"/>
    <w:rsid w:val="007E7222"/>
    <w:rsid w:val="007F0E31"/>
    <w:rsid w:val="007F146A"/>
    <w:rsid w:val="007F40C3"/>
    <w:rsid w:val="007F47BB"/>
    <w:rsid w:val="007F49D5"/>
    <w:rsid w:val="007F4A00"/>
    <w:rsid w:val="007F59B1"/>
    <w:rsid w:val="007F6046"/>
    <w:rsid w:val="007F60CB"/>
    <w:rsid w:val="007F75F3"/>
    <w:rsid w:val="0080052B"/>
    <w:rsid w:val="008006E4"/>
    <w:rsid w:val="00800ACF"/>
    <w:rsid w:val="00801562"/>
    <w:rsid w:val="0080427D"/>
    <w:rsid w:val="00804EFB"/>
    <w:rsid w:val="008051A4"/>
    <w:rsid w:val="0080572B"/>
    <w:rsid w:val="00805BCD"/>
    <w:rsid w:val="00807633"/>
    <w:rsid w:val="00810188"/>
    <w:rsid w:val="008110EC"/>
    <w:rsid w:val="0081162D"/>
    <w:rsid w:val="0081265F"/>
    <w:rsid w:val="008127B0"/>
    <w:rsid w:val="00813B9D"/>
    <w:rsid w:val="00814480"/>
    <w:rsid w:val="008146EA"/>
    <w:rsid w:val="00815A56"/>
    <w:rsid w:val="0081627C"/>
    <w:rsid w:val="00820A60"/>
    <w:rsid w:val="0082296B"/>
    <w:rsid w:val="008230A1"/>
    <w:rsid w:val="0082381A"/>
    <w:rsid w:val="00823EB9"/>
    <w:rsid w:val="00824C94"/>
    <w:rsid w:val="00824CC2"/>
    <w:rsid w:val="00825DA5"/>
    <w:rsid w:val="00830D50"/>
    <w:rsid w:val="00830EA9"/>
    <w:rsid w:val="00832417"/>
    <w:rsid w:val="008325BA"/>
    <w:rsid w:val="008337B3"/>
    <w:rsid w:val="008338AF"/>
    <w:rsid w:val="00833ABD"/>
    <w:rsid w:val="008341D7"/>
    <w:rsid w:val="008346E7"/>
    <w:rsid w:val="00835461"/>
    <w:rsid w:val="00836187"/>
    <w:rsid w:val="0083682F"/>
    <w:rsid w:val="00837590"/>
    <w:rsid w:val="00837831"/>
    <w:rsid w:val="00842348"/>
    <w:rsid w:val="00842595"/>
    <w:rsid w:val="00842A97"/>
    <w:rsid w:val="008433D1"/>
    <w:rsid w:val="00843B60"/>
    <w:rsid w:val="008444C7"/>
    <w:rsid w:val="008454C7"/>
    <w:rsid w:val="00850303"/>
    <w:rsid w:val="00850EC2"/>
    <w:rsid w:val="00850FEF"/>
    <w:rsid w:val="00851EE0"/>
    <w:rsid w:val="00852942"/>
    <w:rsid w:val="00853077"/>
    <w:rsid w:val="008530F3"/>
    <w:rsid w:val="00854531"/>
    <w:rsid w:val="00855B39"/>
    <w:rsid w:val="00856639"/>
    <w:rsid w:val="008568C9"/>
    <w:rsid w:val="00860092"/>
    <w:rsid w:val="00860C17"/>
    <w:rsid w:val="00861065"/>
    <w:rsid w:val="00861B7F"/>
    <w:rsid w:val="00866D61"/>
    <w:rsid w:val="00866FAE"/>
    <w:rsid w:val="0086718B"/>
    <w:rsid w:val="008674C5"/>
    <w:rsid w:val="008679D6"/>
    <w:rsid w:val="00867CCB"/>
    <w:rsid w:val="00867E1C"/>
    <w:rsid w:val="00867FD3"/>
    <w:rsid w:val="008715A7"/>
    <w:rsid w:val="00871914"/>
    <w:rsid w:val="00871A76"/>
    <w:rsid w:val="00872011"/>
    <w:rsid w:val="008728B3"/>
    <w:rsid w:val="00874862"/>
    <w:rsid w:val="00874B81"/>
    <w:rsid w:val="00875E29"/>
    <w:rsid w:val="00875F0D"/>
    <w:rsid w:val="008805E8"/>
    <w:rsid w:val="00881D83"/>
    <w:rsid w:val="00882CFB"/>
    <w:rsid w:val="0088303F"/>
    <w:rsid w:val="00883202"/>
    <w:rsid w:val="00883A41"/>
    <w:rsid w:val="00883A52"/>
    <w:rsid w:val="008847C9"/>
    <w:rsid w:val="00884D23"/>
    <w:rsid w:val="008868CD"/>
    <w:rsid w:val="008878BA"/>
    <w:rsid w:val="0089020F"/>
    <w:rsid w:val="00891159"/>
    <w:rsid w:val="008911E2"/>
    <w:rsid w:val="008916A6"/>
    <w:rsid w:val="0089176A"/>
    <w:rsid w:val="0089597E"/>
    <w:rsid w:val="00896C83"/>
    <w:rsid w:val="008A002D"/>
    <w:rsid w:val="008A11B9"/>
    <w:rsid w:val="008A180F"/>
    <w:rsid w:val="008A1DED"/>
    <w:rsid w:val="008A3598"/>
    <w:rsid w:val="008A3AF1"/>
    <w:rsid w:val="008A3B59"/>
    <w:rsid w:val="008A53C8"/>
    <w:rsid w:val="008A5E51"/>
    <w:rsid w:val="008A605E"/>
    <w:rsid w:val="008A68C9"/>
    <w:rsid w:val="008A70F3"/>
    <w:rsid w:val="008A732A"/>
    <w:rsid w:val="008A7696"/>
    <w:rsid w:val="008B146C"/>
    <w:rsid w:val="008B1EEA"/>
    <w:rsid w:val="008B1F25"/>
    <w:rsid w:val="008B49A1"/>
    <w:rsid w:val="008B4AC9"/>
    <w:rsid w:val="008B57CD"/>
    <w:rsid w:val="008B66F1"/>
    <w:rsid w:val="008B678D"/>
    <w:rsid w:val="008C038C"/>
    <w:rsid w:val="008C05BE"/>
    <w:rsid w:val="008C3375"/>
    <w:rsid w:val="008C3839"/>
    <w:rsid w:val="008C3D22"/>
    <w:rsid w:val="008C4628"/>
    <w:rsid w:val="008C4D50"/>
    <w:rsid w:val="008C5D5C"/>
    <w:rsid w:val="008C5DAB"/>
    <w:rsid w:val="008C695C"/>
    <w:rsid w:val="008D0704"/>
    <w:rsid w:val="008D09A3"/>
    <w:rsid w:val="008D3A5F"/>
    <w:rsid w:val="008D4C37"/>
    <w:rsid w:val="008D543B"/>
    <w:rsid w:val="008E1E17"/>
    <w:rsid w:val="008E205A"/>
    <w:rsid w:val="008E3668"/>
    <w:rsid w:val="008E3B5A"/>
    <w:rsid w:val="008E3D3E"/>
    <w:rsid w:val="008E425B"/>
    <w:rsid w:val="008E4531"/>
    <w:rsid w:val="008E49FB"/>
    <w:rsid w:val="008E57F9"/>
    <w:rsid w:val="008E5C09"/>
    <w:rsid w:val="008E667E"/>
    <w:rsid w:val="008E772C"/>
    <w:rsid w:val="008F0488"/>
    <w:rsid w:val="008F06EB"/>
    <w:rsid w:val="008F7975"/>
    <w:rsid w:val="008F7A33"/>
    <w:rsid w:val="00901E50"/>
    <w:rsid w:val="00901F5E"/>
    <w:rsid w:val="00903A65"/>
    <w:rsid w:val="00904072"/>
    <w:rsid w:val="009043D4"/>
    <w:rsid w:val="00904945"/>
    <w:rsid w:val="00904EC2"/>
    <w:rsid w:val="0090535D"/>
    <w:rsid w:val="00905B98"/>
    <w:rsid w:val="00905DF6"/>
    <w:rsid w:val="0090617A"/>
    <w:rsid w:val="00907091"/>
    <w:rsid w:val="009102DE"/>
    <w:rsid w:val="0091081A"/>
    <w:rsid w:val="009108FA"/>
    <w:rsid w:val="00911854"/>
    <w:rsid w:val="009140CC"/>
    <w:rsid w:val="00915D29"/>
    <w:rsid w:val="00915FBB"/>
    <w:rsid w:val="0091795E"/>
    <w:rsid w:val="00920599"/>
    <w:rsid w:val="0092082E"/>
    <w:rsid w:val="0092199F"/>
    <w:rsid w:val="0092234D"/>
    <w:rsid w:val="00922E53"/>
    <w:rsid w:val="0092319E"/>
    <w:rsid w:val="0092477A"/>
    <w:rsid w:val="0092487A"/>
    <w:rsid w:val="009252D2"/>
    <w:rsid w:val="009266AA"/>
    <w:rsid w:val="009267A5"/>
    <w:rsid w:val="0092785D"/>
    <w:rsid w:val="00927B02"/>
    <w:rsid w:val="0093046F"/>
    <w:rsid w:val="00930E79"/>
    <w:rsid w:val="00932385"/>
    <w:rsid w:val="009331E3"/>
    <w:rsid w:val="00933565"/>
    <w:rsid w:val="0093466C"/>
    <w:rsid w:val="009346FD"/>
    <w:rsid w:val="00935598"/>
    <w:rsid w:val="00935982"/>
    <w:rsid w:val="00937A85"/>
    <w:rsid w:val="009409B7"/>
    <w:rsid w:val="00940CD5"/>
    <w:rsid w:val="009424A9"/>
    <w:rsid w:val="00942A09"/>
    <w:rsid w:val="009443C2"/>
    <w:rsid w:val="00945D7D"/>
    <w:rsid w:val="0095143D"/>
    <w:rsid w:val="009517CE"/>
    <w:rsid w:val="00951E2B"/>
    <w:rsid w:val="00954391"/>
    <w:rsid w:val="00954B2F"/>
    <w:rsid w:val="00955F3A"/>
    <w:rsid w:val="00957263"/>
    <w:rsid w:val="00957DA9"/>
    <w:rsid w:val="00957FF6"/>
    <w:rsid w:val="0096014F"/>
    <w:rsid w:val="00960C42"/>
    <w:rsid w:val="00961741"/>
    <w:rsid w:val="00962577"/>
    <w:rsid w:val="00962771"/>
    <w:rsid w:val="00962BA8"/>
    <w:rsid w:val="0096389F"/>
    <w:rsid w:val="00966D63"/>
    <w:rsid w:val="009679DE"/>
    <w:rsid w:val="0097141C"/>
    <w:rsid w:val="009715E4"/>
    <w:rsid w:val="00973150"/>
    <w:rsid w:val="00974DE7"/>
    <w:rsid w:val="009762CA"/>
    <w:rsid w:val="0097663A"/>
    <w:rsid w:val="00977C06"/>
    <w:rsid w:val="0098022B"/>
    <w:rsid w:val="00981C89"/>
    <w:rsid w:val="009826FF"/>
    <w:rsid w:val="00982F11"/>
    <w:rsid w:val="009845FC"/>
    <w:rsid w:val="00984FB9"/>
    <w:rsid w:val="0098635C"/>
    <w:rsid w:val="00987F15"/>
    <w:rsid w:val="00987F6E"/>
    <w:rsid w:val="009906DC"/>
    <w:rsid w:val="00990BDB"/>
    <w:rsid w:val="00992025"/>
    <w:rsid w:val="009923CC"/>
    <w:rsid w:val="0099330E"/>
    <w:rsid w:val="0099567A"/>
    <w:rsid w:val="009A0584"/>
    <w:rsid w:val="009A15EC"/>
    <w:rsid w:val="009A1DEE"/>
    <w:rsid w:val="009A2F8B"/>
    <w:rsid w:val="009A3314"/>
    <w:rsid w:val="009A3ACA"/>
    <w:rsid w:val="009A59C7"/>
    <w:rsid w:val="009A5DB5"/>
    <w:rsid w:val="009A71AB"/>
    <w:rsid w:val="009A75FF"/>
    <w:rsid w:val="009A7C99"/>
    <w:rsid w:val="009B039F"/>
    <w:rsid w:val="009B3997"/>
    <w:rsid w:val="009B3BF3"/>
    <w:rsid w:val="009B3E85"/>
    <w:rsid w:val="009B3EF1"/>
    <w:rsid w:val="009B50C1"/>
    <w:rsid w:val="009B6A3E"/>
    <w:rsid w:val="009B7104"/>
    <w:rsid w:val="009B752C"/>
    <w:rsid w:val="009B766F"/>
    <w:rsid w:val="009B7F27"/>
    <w:rsid w:val="009B7FB5"/>
    <w:rsid w:val="009C0763"/>
    <w:rsid w:val="009C0FEF"/>
    <w:rsid w:val="009C29C4"/>
    <w:rsid w:val="009C31F3"/>
    <w:rsid w:val="009C48D1"/>
    <w:rsid w:val="009C5D0D"/>
    <w:rsid w:val="009C653F"/>
    <w:rsid w:val="009C79F9"/>
    <w:rsid w:val="009C7B42"/>
    <w:rsid w:val="009C7CCA"/>
    <w:rsid w:val="009C7F0C"/>
    <w:rsid w:val="009D1029"/>
    <w:rsid w:val="009D10DF"/>
    <w:rsid w:val="009D150C"/>
    <w:rsid w:val="009D15E3"/>
    <w:rsid w:val="009D1658"/>
    <w:rsid w:val="009D2B20"/>
    <w:rsid w:val="009D3732"/>
    <w:rsid w:val="009D3DD4"/>
    <w:rsid w:val="009D4B2D"/>
    <w:rsid w:val="009D5085"/>
    <w:rsid w:val="009D631A"/>
    <w:rsid w:val="009E2409"/>
    <w:rsid w:val="009E4019"/>
    <w:rsid w:val="009E44B5"/>
    <w:rsid w:val="009E4E3B"/>
    <w:rsid w:val="009E5700"/>
    <w:rsid w:val="009F0083"/>
    <w:rsid w:val="009F1A8B"/>
    <w:rsid w:val="009F3C28"/>
    <w:rsid w:val="009F4C85"/>
    <w:rsid w:val="009F4F3E"/>
    <w:rsid w:val="009F5992"/>
    <w:rsid w:val="009F653E"/>
    <w:rsid w:val="009F7266"/>
    <w:rsid w:val="009F749B"/>
    <w:rsid w:val="00A011F9"/>
    <w:rsid w:val="00A012CC"/>
    <w:rsid w:val="00A01344"/>
    <w:rsid w:val="00A043D0"/>
    <w:rsid w:val="00A0596D"/>
    <w:rsid w:val="00A06C78"/>
    <w:rsid w:val="00A073AC"/>
    <w:rsid w:val="00A11EDC"/>
    <w:rsid w:val="00A149DA"/>
    <w:rsid w:val="00A14D0F"/>
    <w:rsid w:val="00A150D4"/>
    <w:rsid w:val="00A15EB7"/>
    <w:rsid w:val="00A170BE"/>
    <w:rsid w:val="00A17858"/>
    <w:rsid w:val="00A2017A"/>
    <w:rsid w:val="00A20B6D"/>
    <w:rsid w:val="00A20E41"/>
    <w:rsid w:val="00A232F6"/>
    <w:rsid w:val="00A23549"/>
    <w:rsid w:val="00A23D06"/>
    <w:rsid w:val="00A24198"/>
    <w:rsid w:val="00A24552"/>
    <w:rsid w:val="00A24AFC"/>
    <w:rsid w:val="00A24B59"/>
    <w:rsid w:val="00A256B7"/>
    <w:rsid w:val="00A27D45"/>
    <w:rsid w:val="00A315AB"/>
    <w:rsid w:val="00A327FB"/>
    <w:rsid w:val="00A33E03"/>
    <w:rsid w:val="00A34144"/>
    <w:rsid w:val="00A35E0B"/>
    <w:rsid w:val="00A35E47"/>
    <w:rsid w:val="00A37153"/>
    <w:rsid w:val="00A379B7"/>
    <w:rsid w:val="00A40324"/>
    <w:rsid w:val="00A403C1"/>
    <w:rsid w:val="00A418DF"/>
    <w:rsid w:val="00A41C17"/>
    <w:rsid w:val="00A421CF"/>
    <w:rsid w:val="00A42E15"/>
    <w:rsid w:val="00A46B42"/>
    <w:rsid w:val="00A47C75"/>
    <w:rsid w:val="00A5130C"/>
    <w:rsid w:val="00A5237B"/>
    <w:rsid w:val="00A52A9A"/>
    <w:rsid w:val="00A5380A"/>
    <w:rsid w:val="00A55C1D"/>
    <w:rsid w:val="00A5730E"/>
    <w:rsid w:val="00A5748D"/>
    <w:rsid w:val="00A61F40"/>
    <w:rsid w:val="00A653CF"/>
    <w:rsid w:val="00A660DF"/>
    <w:rsid w:val="00A66510"/>
    <w:rsid w:val="00A66806"/>
    <w:rsid w:val="00A70335"/>
    <w:rsid w:val="00A70A15"/>
    <w:rsid w:val="00A70CD0"/>
    <w:rsid w:val="00A725C4"/>
    <w:rsid w:val="00A728F9"/>
    <w:rsid w:val="00A742A7"/>
    <w:rsid w:val="00A745AA"/>
    <w:rsid w:val="00A76B6B"/>
    <w:rsid w:val="00A77594"/>
    <w:rsid w:val="00A77C23"/>
    <w:rsid w:val="00A77EDA"/>
    <w:rsid w:val="00A77F0D"/>
    <w:rsid w:val="00A806D7"/>
    <w:rsid w:val="00A80802"/>
    <w:rsid w:val="00A80D20"/>
    <w:rsid w:val="00A82D02"/>
    <w:rsid w:val="00A83854"/>
    <w:rsid w:val="00A84AE7"/>
    <w:rsid w:val="00A84B25"/>
    <w:rsid w:val="00A86156"/>
    <w:rsid w:val="00A86F0C"/>
    <w:rsid w:val="00A8763A"/>
    <w:rsid w:val="00A911AA"/>
    <w:rsid w:val="00A912AE"/>
    <w:rsid w:val="00A9144A"/>
    <w:rsid w:val="00A94C73"/>
    <w:rsid w:val="00A95F1A"/>
    <w:rsid w:val="00A96A12"/>
    <w:rsid w:val="00A9771F"/>
    <w:rsid w:val="00AA05E3"/>
    <w:rsid w:val="00AA09A6"/>
    <w:rsid w:val="00AA1CDC"/>
    <w:rsid w:val="00AA1F80"/>
    <w:rsid w:val="00AA240D"/>
    <w:rsid w:val="00AA2D4E"/>
    <w:rsid w:val="00AA33EA"/>
    <w:rsid w:val="00AA4E28"/>
    <w:rsid w:val="00AA540A"/>
    <w:rsid w:val="00AA54FA"/>
    <w:rsid w:val="00AB01EE"/>
    <w:rsid w:val="00AB14B5"/>
    <w:rsid w:val="00AB16F6"/>
    <w:rsid w:val="00AB1EA3"/>
    <w:rsid w:val="00AB1EF7"/>
    <w:rsid w:val="00AB3713"/>
    <w:rsid w:val="00AB37C2"/>
    <w:rsid w:val="00AB412E"/>
    <w:rsid w:val="00AB6230"/>
    <w:rsid w:val="00AB7B61"/>
    <w:rsid w:val="00AC0F5D"/>
    <w:rsid w:val="00AC1415"/>
    <w:rsid w:val="00AC214E"/>
    <w:rsid w:val="00AC2EA6"/>
    <w:rsid w:val="00AC3671"/>
    <w:rsid w:val="00AC427C"/>
    <w:rsid w:val="00AC51C8"/>
    <w:rsid w:val="00AC5ED6"/>
    <w:rsid w:val="00AC7173"/>
    <w:rsid w:val="00AC7F34"/>
    <w:rsid w:val="00AC7F39"/>
    <w:rsid w:val="00AD02C0"/>
    <w:rsid w:val="00AD1242"/>
    <w:rsid w:val="00AD1C9A"/>
    <w:rsid w:val="00AD22C8"/>
    <w:rsid w:val="00AD2BE6"/>
    <w:rsid w:val="00AD42B6"/>
    <w:rsid w:val="00AD445F"/>
    <w:rsid w:val="00AD515A"/>
    <w:rsid w:val="00AD76FF"/>
    <w:rsid w:val="00AE0374"/>
    <w:rsid w:val="00AE1D22"/>
    <w:rsid w:val="00AE2F91"/>
    <w:rsid w:val="00AE37FC"/>
    <w:rsid w:val="00AE4CDB"/>
    <w:rsid w:val="00AE67CA"/>
    <w:rsid w:val="00AE7489"/>
    <w:rsid w:val="00AE7813"/>
    <w:rsid w:val="00AE7D1F"/>
    <w:rsid w:val="00AF0043"/>
    <w:rsid w:val="00AF0BA9"/>
    <w:rsid w:val="00AF0FE2"/>
    <w:rsid w:val="00AF520B"/>
    <w:rsid w:val="00AF5CF8"/>
    <w:rsid w:val="00AF7140"/>
    <w:rsid w:val="00B0097B"/>
    <w:rsid w:val="00B016EE"/>
    <w:rsid w:val="00B01BE8"/>
    <w:rsid w:val="00B01F70"/>
    <w:rsid w:val="00B03204"/>
    <w:rsid w:val="00B0482F"/>
    <w:rsid w:val="00B048AE"/>
    <w:rsid w:val="00B10C8C"/>
    <w:rsid w:val="00B111EB"/>
    <w:rsid w:val="00B11781"/>
    <w:rsid w:val="00B118B7"/>
    <w:rsid w:val="00B12599"/>
    <w:rsid w:val="00B12688"/>
    <w:rsid w:val="00B139A0"/>
    <w:rsid w:val="00B13EF5"/>
    <w:rsid w:val="00B14005"/>
    <w:rsid w:val="00B14213"/>
    <w:rsid w:val="00B14E60"/>
    <w:rsid w:val="00B14F30"/>
    <w:rsid w:val="00B15B6B"/>
    <w:rsid w:val="00B16BCA"/>
    <w:rsid w:val="00B17BB4"/>
    <w:rsid w:val="00B20678"/>
    <w:rsid w:val="00B20E58"/>
    <w:rsid w:val="00B211ED"/>
    <w:rsid w:val="00B214E0"/>
    <w:rsid w:val="00B2399C"/>
    <w:rsid w:val="00B24284"/>
    <w:rsid w:val="00B24BC7"/>
    <w:rsid w:val="00B24D3D"/>
    <w:rsid w:val="00B24E13"/>
    <w:rsid w:val="00B24FF6"/>
    <w:rsid w:val="00B25793"/>
    <w:rsid w:val="00B27E0D"/>
    <w:rsid w:val="00B30591"/>
    <w:rsid w:val="00B30C9D"/>
    <w:rsid w:val="00B31223"/>
    <w:rsid w:val="00B32A14"/>
    <w:rsid w:val="00B33AEC"/>
    <w:rsid w:val="00B34CB1"/>
    <w:rsid w:val="00B35281"/>
    <w:rsid w:val="00B418C9"/>
    <w:rsid w:val="00B420FC"/>
    <w:rsid w:val="00B431C0"/>
    <w:rsid w:val="00B43B63"/>
    <w:rsid w:val="00B44247"/>
    <w:rsid w:val="00B44562"/>
    <w:rsid w:val="00B4524A"/>
    <w:rsid w:val="00B465A8"/>
    <w:rsid w:val="00B46D68"/>
    <w:rsid w:val="00B478CC"/>
    <w:rsid w:val="00B4794B"/>
    <w:rsid w:val="00B50CEF"/>
    <w:rsid w:val="00B50E54"/>
    <w:rsid w:val="00B52241"/>
    <w:rsid w:val="00B52E33"/>
    <w:rsid w:val="00B5478E"/>
    <w:rsid w:val="00B548C3"/>
    <w:rsid w:val="00B549A0"/>
    <w:rsid w:val="00B54D2E"/>
    <w:rsid w:val="00B55056"/>
    <w:rsid w:val="00B55559"/>
    <w:rsid w:val="00B55EE4"/>
    <w:rsid w:val="00B55F33"/>
    <w:rsid w:val="00B60C11"/>
    <w:rsid w:val="00B62D2F"/>
    <w:rsid w:val="00B64708"/>
    <w:rsid w:val="00B6471B"/>
    <w:rsid w:val="00B64997"/>
    <w:rsid w:val="00B64F12"/>
    <w:rsid w:val="00B66660"/>
    <w:rsid w:val="00B6675A"/>
    <w:rsid w:val="00B66D15"/>
    <w:rsid w:val="00B6766B"/>
    <w:rsid w:val="00B71CDD"/>
    <w:rsid w:val="00B724D1"/>
    <w:rsid w:val="00B72D2C"/>
    <w:rsid w:val="00B72DAE"/>
    <w:rsid w:val="00B72ED1"/>
    <w:rsid w:val="00B731D6"/>
    <w:rsid w:val="00B7330B"/>
    <w:rsid w:val="00B74E72"/>
    <w:rsid w:val="00B755B3"/>
    <w:rsid w:val="00B76041"/>
    <w:rsid w:val="00B7606A"/>
    <w:rsid w:val="00B76378"/>
    <w:rsid w:val="00B76E5D"/>
    <w:rsid w:val="00B8003C"/>
    <w:rsid w:val="00B82363"/>
    <w:rsid w:val="00B83E38"/>
    <w:rsid w:val="00B85BFC"/>
    <w:rsid w:val="00B87F8F"/>
    <w:rsid w:val="00B90645"/>
    <w:rsid w:val="00B913D5"/>
    <w:rsid w:val="00B91F6D"/>
    <w:rsid w:val="00B9200F"/>
    <w:rsid w:val="00B93A23"/>
    <w:rsid w:val="00B965B9"/>
    <w:rsid w:val="00B96888"/>
    <w:rsid w:val="00B96F4D"/>
    <w:rsid w:val="00B976C1"/>
    <w:rsid w:val="00B97A89"/>
    <w:rsid w:val="00BA371D"/>
    <w:rsid w:val="00BA4D90"/>
    <w:rsid w:val="00BA7C7A"/>
    <w:rsid w:val="00BB03D3"/>
    <w:rsid w:val="00BB11F3"/>
    <w:rsid w:val="00BB163D"/>
    <w:rsid w:val="00BB233F"/>
    <w:rsid w:val="00BB2F63"/>
    <w:rsid w:val="00BB6C4D"/>
    <w:rsid w:val="00BB7B9D"/>
    <w:rsid w:val="00BC182D"/>
    <w:rsid w:val="00BC1BFF"/>
    <w:rsid w:val="00BC2623"/>
    <w:rsid w:val="00BC27F6"/>
    <w:rsid w:val="00BC3EE2"/>
    <w:rsid w:val="00BC4AF4"/>
    <w:rsid w:val="00BC4F0E"/>
    <w:rsid w:val="00BC7D71"/>
    <w:rsid w:val="00BD1D9C"/>
    <w:rsid w:val="00BD23A9"/>
    <w:rsid w:val="00BD2A39"/>
    <w:rsid w:val="00BD3F49"/>
    <w:rsid w:val="00BE19E4"/>
    <w:rsid w:val="00BE208E"/>
    <w:rsid w:val="00BE3B08"/>
    <w:rsid w:val="00BE474D"/>
    <w:rsid w:val="00BE568F"/>
    <w:rsid w:val="00BE7075"/>
    <w:rsid w:val="00BF0065"/>
    <w:rsid w:val="00BF2AA6"/>
    <w:rsid w:val="00BF37E2"/>
    <w:rsid w:val="00BF47A7"/>
    <w:rsid w:val="00BF6DD4"/>
    <w:rsid w:val="00BF7687"/>
    <w:rsid w:val="00C0149C"/>
    <w:rsid w:val="00C01B39"/>
    <w:rsid w:val="00C022A9"/>
    <w:rsid w:val="00C029DB"/>
    <w:rsid w:val="00C035A3"/>
    <w:rsid w:val="00C03A81"/>
    <w:rsid w:val="00C054F6"/>
    <w:rsid w:val="00C072F0"/>
    <w:rsid w:val="00C07612"/>
    <w:rsid w:val="00C100CC"/>
    <w:rsid w:val="00C10A92"/>
    <w:rsid w:val="00C10D32"/>
    <w:rsid w:val="00C11BE2"/>
    <w:rsid w:val="00C126F6"/>
    <w:rsid w:val="00C13164"/>
    <w:rsid w:val="00C131F2"/>
    <w:rsid w:val="00C1369B"/>
    <w:rsid w:val="00C13D07"/>
    <w:rsid w:val="00C13DAD"/>
    <w:rsid w:val="00C15E9D"/>
    <w:rsid w:val="00C162EC"/>
    <w:rsid w:val="00C17644"/>
    <w:rsid w:val="00C176E2"/>
    <w:rsid w:val="00C209E1"/>
    <w:rsid w:val="00C2119E"/>
    <w:rsid w:val="00C21961"/>
    <w:rsid w:val="00C2219F"/>
    <w:rsid w:val="00C224B4"/>
    <w:rsid w:val="00C23102"/>
    <w:rsid w:val="00C23624"/>
    <w:rsid w:val="00C240DE"/>
    <w:rsid w:val="00C24347"/>
    <w:rsid w:val="00C26326"/>
    <w:rsid w:val="00C266A4"/>
    <w:rsid w:val="00C26FC1"/>
    <w:rsid w:val="00C279F2"/>
    <w:rsid w:val="00C33102"/>
    <w:rsid w:val="00C35784"/>
    <w:rsid w:val="00C364EE"/>
    <w:rsid w:val="00C403BF"/>
    <w:rsid w:val="00C43907"/>
    <w:rsid w:val="00C45201"/>
    <w:rsid w:val="00C4787A"/>
    <w:rsid w:val="00C47E81"/>
    <w:rsid w:val="00C516DB"/>
    <w:rsid w:val="00C52B56"/>
    <w:rsid w:val="00C52EE9"/>
    <w:rsid w:val="00C5308B"/>
    <w:rsid w:val="00C554D5"/>
    <w:rsid w:val="00C55E2E"/>
    <w:rsid w:val="00C5661B"/>
    <w:rsid w:val="00C56CBE"/>
    <w:rsid w:val="00C56E4B"/>
    <w:rsid w:val="00C576F8"/>
    <w:rsid w:val="00C57BBB"/>
    <w:rsid w:val="00C61234"/>
    <w:rsid w:val="00C61392"/>
    <w:rsid w:val="00C62F90"/>
    <w:rsid w:val="00C659CF"/>
    <w:rsid w:val="00C671D2"/>
    <w:rsid w:val="00C70F19"/>
    <w:rsid w:val="00C7321C"/>
    <w:rsid w:val="00C7377C"/>
    <w:rsid w:val="00C73DFD"/>
    <w:rsid w:val="00C74C82"/>
    <w:rsid w:val="00C7680A"/>
    <w:rsid w:val="00C76D9C"/>
    <w:rsid w:val="00C776E8"/>
    <w:rsid w:val="00C77FCB"/>
    <w:rsid w:val="00C80E3B"/>
    <w:rsid w:val="00C81326"/>
    <w:rsid w:val="00C81A4B"/>
    <w:rsid w:val="00C8203C"/>
    <w:rsid w:val="00C82362"/>
    <w:rsid w:val="00C85E0C"/>
    <w:rsid w:val="00C863C6"/>
    <w:rsid w:val="00C86623"/>
    <w:rsid w:val="00C906E8"/>
    <w:rsid w:val="00C90BF2"/>
    <w:rsid w:val="00C92743"/>
    <w:rsid w:val="00C95D41"/>
    <w:rsid w:val="00C95E9C"/>
    <w:rsid w:val="00C95EF8"/>
    <w:rsid w:val="00C973DF"/>
    <w:rsid w:val="00C97648"/>
    <w:rsid w:val="00CA0A80"/>
    <w:rsid w:val="00CA14F7"/>
    <w:rsid w:val="00CA2BE8"/>
    <w:rsid w:val="00CA2DE6"/>
    <w:rsid w:val="00CA3017"/>
    <w:rsid w:val="00CA4968"/>
    <w:rsid w:val="00CA562F"/>
    <w:rsid w:val="00CA5E87"/>
    <w:rsid w:val="00CA666A"/>
    <w:rsid w:val="00CA7F25"/>
    <w:rsid w:val="00CA7F68"/>
    <w:rsid w:val="00CB0B31"/>
    <w:rsid w:val="00CB1415"/>
    <w:rsid w:val="00CB2D04"/>
    <w:rsid w:val="00CB3F75"/>
    <w:rsid w:val="00CB4D2B"/>
    <w:rsid w:val="00CB547F"/>
    <w:rsid w:val="00CB56C1"/>
    <w:rsid w:val="00CB5D9B"/>
    <w:rsid w:val="00CC07F0"/>
    <w:rsid w:val="00CC1527"/>
    <w:rsid w:val="00CC1968"/>
    <w:rsid w:val="00CC24CC"/>
    <w:rsid w:val="00CC27D3"/>
    <w:rsid w:val="00CC2E87"/>
    <w:rsid w:val="00CC321B"/>
    <w:rsid w:val="00CC46D7"/>
    <w:rsid w:val="00CC4A13"/>
    <w:rsid w:val="00CC50D5"/>
    <w:rsid w:val="00CC6352"/>
    <w:rsid w:val="00CC701B"/>
    <w:rsid w:val="00CC784B"/>
    <w:rsid w:val="00CD0178"/>
    <w:rsid w:val="00CD16C0"/>
    <w:rsid w:val="00CD17CC"/>
    <w:rsid w:val="00CD1D5E"/>
    <w:rsid w:val="00CD3159"/>
    <w:rsid w:val="00CD377F"/>
    <w:rsid w:val="00CD4928"/>
    <w:rsid w:val="00CD4E01"/>
    <w:rsid w:val="00CD522B"/>
    <w:rsid w:val="00CD5B2F"/>
    <w:rsid w:val="00CD6DF7"/>
    <w:rsid w:val="00CD7329"/>
    <w:rsid w:val="00CE29BF"/>
    <w:rsid w:val="00CE3AE4"/>
    <w:rsid w:val="00CE71E1"/>
    <w:rsid w:val="00CE7FE0"/>
    <w:rsid w:val="00CF02B6"/>
    <w:rsid w:val="00CF06C1"/>
    <w:rsid w:val="00CF0F21"/>
    <w:rsid w:val="00CF0F35"/>
    <w:rsid w:val="00CF1825"/>
    <w:rsid w:val="00CF1D16"/>
    <w:rsid w:val="00CF2A4A"/>
    <w:rsid w:val="00CF30A8"/>
    <w:rsid w:val="00CF30B2"/>
    <w:rsid w:val="00CF6F3D"/>
    <w:rsid w:val="00CF7999"/>
    <w:rsid w:val="00D00049"/>
    <w:rsid w:val="00D005B9"/>
    <w:rsid w:val="00D00874"/>
    <w:rsid w:val="00D00F4C"/>
    <w:rsid w:val="00D01923"/>
    <w:rsid w:val="00D02F94"/>
    <w:rsid w:val="00D0417C"/>
    <w:rsid w:val="00D043AD"/>
    <w:rsid w:val="00D062EA"/>
    <w:rsid w:val="00D07724"/>
    <w:rsid w:val="00D07D75"/>
    <w:rsid w:val="00D102F2"/>
    <w:rsid w:val="00D107CB"/>
    <w:rsid w:val="00D13984"/>
    <w:rsid w:val="00D14565"/>
    <w:rsid w:val="00D15B97"/>
    <w:rsid w:val="00D163D8"/>
    <w:rsid w:val="00D2175C"/>
    <w:rsid w:val="00D218B8"/>
    <w:rsid w:val="00D23064"/>
    <w:rsid w:val="00D2483F"/>
    <w:rsid w:val="00D24AA4"/>
    <w:rsid w:val="00D305EC"/>
    <w:rsid w:val="00D31EAC"/>
    <w:rsid w:val="00D3242F"/>
    <w:rsid w:val="00D32A15"/>
    <w:rsid w:val="00D33719"/>
    <w:rsid w:val="00D33E60"/>
    <w:rsid w:val="00D340BB"/>
    <w:rsid w:val="00D34751"/>
    <w:rsid w:val="00D350DE"/>
    <w:rsid w:val="00D3517E"/>
    <w:rsid w:val="00D356E5"/>
    <w:rsid w:val="00D378A1"/>
    <w:rsid w:val="00D4286D"/>
    <w:rsid w:val="00D44133"/>
    <w:rsid w:val="00D45551"/>
    <w:rsid w:val="00D456BB"/>
    <w:rsid w:val="00D45C13"/>
    <w:rsid w:val="00D46864"/>
    <w:rsid w:val="00D50462"/>
    <w:rsid w:val="00D50B42"/>
    <w:rsid w:val="00D51095"/>
    <w:rsid w:val="00D5263D"/>
    <w:rsid w:val="00D565CC"/>
    <w:rsid w:val="00D56D75"/>
    <w:rsid w:val="00D60F74"/>
    <w:rsid w:val="00D61AEA"/>
    <w:rsid w:val="00D61C61"/>
    <w:rsid w:val="00D62B40"/>
    <w:rsid w:val="00D63255"/>
    <w:rsid w:val="00D6422F"/>
    <w:rsid w:val="00D657C0"/>
    <w:rsid w:val="00D66445"/>
    <w:rsid w:val="00D66ECF"/>
    <w:rsid w:val="00D67BDB"/>
    <w:rsid w:val="00D7118C"/>
    <w:rsid w:val="00D7408E"/>
    <w:rsid w:val="00D75EB9"/>
    <w:rsid w:val="00D76DE0"/>
    <w:rsid w:val="00D774CA"/>
    <w:rsid w:val="00D7759C"/>
    <w:rsid w:val="00D812CA"/>
    <w:rsid w:val="00D816CF"/>
    <w:rsid w:val="00D82979"/>
    <w:rsid w:val="00D83620"/>
    <w:rsid w:val="00D83818"/>
    <w:rsid w:val="00D8387A"/>
    <w:rsid w:val="00D83DC4"/>
    <w:rsid w:val="00D83F73"/>
    <w:rsid w:val="00D852BF"/>
    <w:rsid w:val="00D85B8F"/>
    <w:rsid w:val="00D86CDD"/>
    <w:rsid w:val="00D86D87"/>
    <w:rsid w:val="00D86DE2"/>
    <w:rsid w:val="00D912AE"/>
    <w:rsid w:val="00D9178F"/>
    <w:rsid w:val="00D91D46"/>
    <w:rsid w:val="00D93603"/>
    <w:rsid w:val="00D93794"/>
    <w:rsid w:val="00D9765C"/>
    <w:rsid w:val="00D9791C"/>
    <w:rsid w:val="00DA005B"/>
    <w:rsid w:val="00DA2E6D"/>
    <w:rsid w:val="00DA4DD7"/>
    <w:rsid w:val="00DA52B7"/>
    <w:rsid w:val="00DA5A46"/>
    <w:rsid w:val="00DA6DAA"/>
    <w:rsid w:val="00DA7036"/>
    <w:rsid w:val="00DA7749"/>
    <w:rsid w:val="00DB05A2"/>
    <w:rsid w:val="00DB0DA3"/>
    <w:rsid w:val="00DB1546"/>
    <w:rsid w:val="00DB211A"/>
    <w:rsid w:val="00DB3E58"/>
    <w:rsid w:val="00DB5D94"/>
    <w:rsid w:val="00DB671B"/>
    <w:rsid w:val="00DB7859"/>
    <w:rsid w:val="00DB7DC9"/>
    <w:rsid w:val="00DC0FD0"/>
    <w:rsid w:val="00DC14C9"/>
    <w:rsid w:val="00DC20B5"/>
    <w:rsid w:val="00DC315E"/>
    <w:rsid w:val="00DC45F5"/>
    <w:rsid w:val="00DC5470"/>
    <w:rsid w:val="00DC7900"/>
    <w:rsid w:val="00DD1AC2"/>
    <w:rsid w:val="00DD1FC6"/>
    <w:rsid w:val="00DD49D3"/>
    <w:rsid w:val="00DD5CA6"/>
    <w:rsid w:val="00DD5DDF"/>
    <w:rsid w:val="00DD64F3"/>
    <w:rsid w:val="00DD6F83"/>
    <w:rsid w:val="00DD7531"/>
    <w:rsid w:val="00DD7BCF"/>
    <w:rsid w:val="00DD7EF9"/>
    <w:rsid w:val="00DD7FF0"/>
    <w:rsid w:val="00DE002F"/>
    <w:rsid w:val="00DE03D7"/>
    <w:rsid w:val="00DE0C08"/>
    <w:rsid w:val="00DE0C1A"/>
    <w:rsid w:val="00DE206B"/>
    <w:rsid w:val="00DE20CC"/>
    <w:rsid w:val="00DE280D"/>
    <w:rsid w:val="00DE328F"/>
    <w:rsid w:val="00DE35F5"/>
    <w:rsid w:val="00DE57C0"/>
    <w:rsid w:val="00DE6279"/>
    <w:rsid w:val="00DF09AE"/>
    <w:rsid w:val="00DF255C"/>
    <w:rsid w:val="00DF32E8"/>
    <w:rsid w:val="00DF4EDD"/>
    <w:rsid w:val="00DF5333"/>
    <w:rsid w:val="00DF5349"/>
    <w:rsid w:val="00DF58E2"/>
    <w:rsid w:val="00E0096F"/>
    <w:rsid w:val="00E00CE4"/>
    <w:rsid w:val="00E016A9"/>
    <w:rsid w:val="00E02938"/>
    <w:rsid w:val="00E030B8"/>
    <w:rsid w:val="00E037CF"/>
    <w:rsid w:val="00E0552E"/>
    <w:rsid w:val="00E0565E"/>
    <w:rsid w:val="00E05AD9"/>
    <w:rsid w:val="00E05CB1"/>
    <w:rsid w:val="00E05DA5"/>
    <w:rsid w:val="00E067B7"/>
    <w:rsid w:val="00E07764"/>
    <w:rsid w:val="00E079C3"/>
    <w:rsid w:val="00E10223"/>
    <w:rsid w:val="00E1328B"/>
    <w:rsid w:val="00E13321"/>
    <w:rsid w:val="00E13481"/>
    <w:rsid w:val="00E15830"/>
    <w:rsid w:val="00E15B0B"/>
    <w:rsid w:val="00E20E26"/>
    <w:rsid w:val="00E23238"/>
    <w:rsid w:val="00E23486"/>
    <w:rsid w:val="00E23A29"/>
    <w:rsid w:val="00E24272"/>
    <w:rsid w:val="00E2428B"/>
    <w:rsid w:val="00E24777"/>
    <w:rsid w:val="00E26991"/>
    <w:rsid w:val="00E26A9D"/>
    <w:rsid w:val="00E27BB2"/>
    <w:rsid w:val="00E3146A"/>
    <w:rsid w:val="00E31E7A"/>
    <w:rsid w:val="00E3235E"/>
    <w:rsid w:val="00E329B4"/>
    <w:rsid w:val="00E335EF"/>
    <w:rsid w:val="00E33AF1"/>
    <w:rsid w:val="00E349CF"/>
    <w:rsid w:val="00E36570"/>
    <w:rsid w:val="00E36C1A"/>
    <w:rsid w:val="00E3769D"/>
    <w:rsid w:val="00E37AAD"/>
    <w:rsid w:val="00E37C8D"/>
    <w:rsid w:val="00E40C11"/>
    <w:rsid w:val="00E4110A"/>
    <w:rsid w:val="00E4131C"/>
    <w:rsid w:val="00E41DED"/>
    <w:rsid w:val="00E420EB"/>
    <w:rsid w:val="00E423D5"/>
    <w:rsid w:val="00E4340C"/>
    <w:rsid w:val="00E437D1"/>
    <w:rsid w:val="00E440E0"/>
    <w:rsid w:val="00E444DF"/>
    <w:rsid w:val="00E44AF3"/>
    <w:rsid w:val="00E457A6"/>
    <w:rsid w:val="00E473AC"/>
    <w:rsid w:val="00E474BD"/>
    <w:rsid w:val="00E4750A"/>
    <w:rsid w:val="00E50580"/>
    <w:rsid w:val="00E50B8D"/>
    <w:rsid w:val="00E515A2"/>
    <w:rsid w:val="00E52D6E"/>
    <w:rsid w:val="00E5564E"/>
    <w:rsid w:val="00E559CA"/>
    <w:rsid w:val="00E568EA"/>
    <w:rsid w:val="00E60073"/>
    <w:rsid w:val="00E6029D"/>
    <w:rsid w:val="00E625A0"/>
    <w:rsid w:val="00E62C64"/>
    <w:rsid w:val="00E6576E"/>
    <w:rsid w:val="00E67D5D"/>
    <w:rsid w:val="00E70F47"/>
    <w:rsid w:val="00E7405D"/>
    <w:rsid w:val="00E7559B"/>
    <w:rsid w:val="00E755AA"/>
    <w:rsid w:val="00E7625F"/>
    <w:rsid w:val="00E77509"/>
    <w:rsid w:val="00E80035"/>
    <w:rsid w:val="00E80C6A"/>
    <w:rsid w:val="00E81077"/>
    <w:rsid w:val="00E81234"/>
    <w:rsid w:val="00E828A4"/>
    <w:rsid w:val="00E82A2A"/>
    <w:rsid w:val="00E84438"/>
    <w:rsid w:val="00E852E0"/>
    <w:rsid w:val="00E855B2"/>
    <w:rsid w:val="00E85723"/>
    <w:rsid w:val="00E85BAC"/>
    <w:rsid w:val="00E931FF"/>
    <w:rsid w:val="00E94330"/>
    <w:rsid w:val="00E946BF"/>
    <w:rsid w:val="00E949D5"/>
    <w:rsid w:val="00E94AC7"/>
    <w:rsid w:val="00E958FC"/>
    <w:rsid w:val="00E96618"/>
    <w:rsid w:val="00E96A7A"/>
    <w:rsid w:val="00E97001"/>
    <w:rsid w:val="00E97426"/>
    <w:rsid w:val="00EA0A31"/>
    <w:rsid w:val="00EA3EA7"/>
    <w:rsid w:val="00EA4049"/>
    <w:rsid w:val="00EA4B33"/>
    <w:rsid w:val="00EA4C4C"/>
    <w:rsid w:val="00EA7120"/>
    <w:rsid w:val="00EA7A75"/>
    <w:rsid w:val="00EB02DE"/>
    <w:rsid w:val="00EB1D88"/>
    <w:rsid w:val="00EB229D"/>
    <w:rsid w:val="00EB2739"/>
    <w:rsid w:val="00EB27E4"/>
    <w:rsid w:val="00EB3AC9"/>
    <w:rsid w:val="00EB3EEF"/>
    <w:rsid w:val="00EB6268"/>
    <w:rsid w:val="00EB7486"/>
    <w:rsid w:val="00EB7CB7"/>
    <w:rsid w:val="00EC04CB"/>
    <w:rsid w:val="00EC0ECE"/>
    <w:rsid w:val="00EC169B"/>
    <w:rsid w:val="00EC2C3B"/>
    <w:rsid w:val="00EC38C7"/>
    <w:rsid w:val="00EC3E19"/>
    <w:rsid w:val="00EC4017"/>
    <w:rsid w:val="00EC41B8"/>
    <w:rsid w:val="00EC49F3"/>
    <w:rsid w:val="00EC4BF5"/>
    <w:rsid w:val="00EC5D2C"/>
    <w:rsid w:val="00EC5D79"/>
    <w:rsid w:val="00EC635D"/>
    <w:rsid w:val="00EC70F1"/>
    <w:rsid w:val="00EC7656"/>
    <w:rsid w:val="00ED0504"/>
    <w:rsid w:val="00ED235E"/>
    <w:rsid w:val="00ED2C86"/>
    <w:rsid w:val="00ED2F2A"/>
    <w:rsid w:val="00ED55F6"/>
    <w:rsid w:val="00ED5EA2"/>
    <w:rsid w:val="00ED66EB"/>
    <w:rsid w:val="00ED6CA5"/>
    <w:rsid w:val="00ED711D"/>
    <w:rsid w:val="00ED7409"/>
    <w:rsid w:val="00ED7EE2"/>
    <w:rsid w:val="00EE325B"/>
    <w:rsid w:val="00EE326D"/>
    <w:rsid w:val="00EE335C"/>
    <w:rsid w:val="00EE5B85"/>
    <w:rsid w:val="00EE6F50"/>
    <w:rsid w:val="00EE723F"/>
    <w:rsid w:val="00EE7962"/>
    <w:rsid w:val="00EF03CB"/>
    <w:rsid w:val="00EF0A9D"/>
    <w:rsid w:val="00EF1859"/>
    <w:rsid w:val="00EF3F82"/>
    <w:rsid w:val="00EF4308"/>
    <w:rsid w:val="00EF49BE"/>
    <w:rsid w:val="00EF6788"/>
    <w:rsid w:val="00EF77AB"/>
    <w:rsid w:val="00F00188"/>
    <w:rsid w:val="00F00845"/>
    <w:rsid w:val="00F00EFE"/>
    <w:rsid w:val="00F0139F"/>
    <w:rsid w:val="00F0238B"/>
    <w:rsid w:val="00F025F3"/>
    <w:rsid w:val="00F02CBB"/>
    <w:rsid w:val="00F04357"/>
    <w:rsid w:val="00F04414"/>
    <w:rsid w:val="00F054F5"/>
    <w:rsid w:val="00F0659B"/>
    <w:rsid w:val="00F066EC"/>
    <w:rsid w:val="00F06FF0"/>
    <w:rsid w:val="00F07270"/>
    <w:rsid w:val="00F109C5"/>
    <w:rsid w:val="00F10FE6"/>
    <w:rsid w:val="00F11B04"/>
    <w:rsid w:val="00F12772"/>
    <w:rsid w:val="00F127AF"/>
    <w:rsid w:val="00F13860"/>
    <w:rsid w:val="00F13BBD"/>
    <w:rsid w:val="00F1417C"/>
    <w:rsid w:val="00F15AA5"/>
    <w:rsid w:val="00F172AE"/>
    <w:rsid w:val="00F175CE"/>
    <w:rsid w:val="00F17CE9"/>
    <w:rsid w:val="00F204B2"/>
    <w:rsid w:val="00F21D6B"/>
    <w:rsid w:val="00F23A7A"/>
    <w:rsid w:val="00F24CCA"/>
    <w:rsid w:val="00F2613C"/>
    <w:rsid w:val="00F26767"/>
    <w:rsid w:val="00F2733A"/>
    <w:rsid w:val="00F30278"/>
    <w:rsid w:val="00F30BCC"/>
    <w:rsid w:val="00F352CC"/>
    <w:rsid w:val="00F36267"/>
    <w:rsid w:val="00F374DC"/>
    <w:rsid w:val="00F40613"/>
    <w:rsid w:val="00F40A2A"/>
    <w:rsid w:val="00F41FC9"/>
    <w:rsid w:val="00F4236B"/>
    <w:rsid w:val="00F43CFA"/>
    <w:rsid w:val="00F452BB"/>
    <w:rsid w:val="00F45583"/>
    <w:rsid w:val="00F46BCC"/>
    <w:rsid w:val="00F47491"/>
    <w:rsid w:val="00F503F8"/>
    <w:rsid w:val="00F52393"/>
    <w:rsid w:val="00F52D75"/>
    <w:rsid w:val="00F535CF"/>
    <w:rsid w:val="00F53D9C"/>
    <w:rsid w:val="00F553EF"/>
    <w:rsid w:val="00F57069"/>
    <w:rsid w:val="00F579E4"/>
    <w:rsid w:val="00F57B39"/>
    <w:rsid w:val="00F57CCE"/>
    <w:rsid w:val="00F600D9"/>
    <w:rsid w:val="00F60899"/>
    <w:rsid w:val="00F61042"/>
    <w:rsid w:val="00F61E52"/>
    <w:rsid w:val="00F6240E"/>
    <w:rsid w:val="00F62556"/>
    <w:rsid w:val="00F62711"/>
    <w:rsid w:val="00F62910"/>
    <w:rsid w:val="00F62D53"/>
    <w:rsid w:val="00F65558"/>
    <w:rsid w:val="00F660BE"/>
    <w:rsid w:val="00F6638F"/>
    <w:rsid w:val="00F6781C"/>
    <w:rsid w:val="00F709BD"/>
    <w:rsid w:val="00F72204"/>
    <w:rsid w:val="00F72B10"/>
    <w:rsid w:val="00F72CFC"/>
    <w:rsid w:val="00F7372D"/>
    <w:rsid w:val="00F73969"/>
    <w:rsid w:val="00F73AD1"/>
    <w:rsid w:val="00F73D29"/>
    <w:rsid w:val="00F742F6"/>
    <w:rsid w:val="00F745B6"/>
    <w:rsid w:val="00F756D5"/>
    <w:rsid w:val="00F7645E"/>
    <w:rsid w:val="00F76E9D"/>
    <w:rsid w:val="00F80E53"/>
    <w:rsid w:val="00F8187B"/>
    <w:rsid w:val="00F81C4A"/>
    <w:rsid w:val="00F831B0"/>
    <w:rsid w:val="00F83BBF"/>
    <w:rsid w:val="00F85C60"/>
    <w:rsid w:val="00F864EA"/>
    <w:rsid w:val="00F86502"/>
    <w:rsid w:val="00F86831"/>
    <w:rsid w:val="00F86D11"/>
    <w:rsid w:val="00F86E1F"/>
    <w:rsid w:val="00F874CA"/>
    <w:rsid w:val="00F90266"/>
    <w:rsid w:val="00F91DE9"/>
    <w:rsid w:val="00F9226C"/>
    <w:rsid w:val="00F942FE"/>
    <w:rsid w:val="00F94EB7"/>
    <w:rsid w:val="00F962D2"/>
    <w:rsid w:val="00F97BB7"/>
    <w:rsid w:val="00FA0864"/>
    <w:rsid w:val="00FA191B"/>
    <w:rsid w:val="00FA1A66"/>
    <w:rsid w:val="00FA3DC6"/>
    <w:rsid w:val="00FA51E7"/>
    <w:rsid w:val="00FA6BC9"/>
    <w:rsid w:val="00FB0B1F"/>
    <w:rsid w:val="00FB1A5A"/>
    <w:rsid w:val="00FB350C"/>
    <w:rsid w:val="00FB46D5"/>
    <w:rsid w:val="00FB4D0D"/>
    <w:rsid w:val="00FB4DF4"/>
    <w:rsid w:val="00FB504E"/>
    <w:rsid w:val="00FB572C"/>
    <w:rsid w:val="00FB6237"/>
    <w:rsid w:val="00FB6C4D"/>
    <w:rsid w:val="00FC0E33"/>
    <w:rsid w:val="00FC16A4"/>
    <w:rsid w:val="00FC23CF"/>
    <w:rsid w:val="00FC27C9"/>
    <w:rsid w:val="00FC5F9B"/>
    <w:rsid w:val="00FC6695"/>
    <w:rsid w:val="00FC6E24"/>
    <w:rsid w:val="00FC70C9"/>
    <w:rsid w:val="00FC78AA"/>
    <w:rsid w:val="00FC7AE7"/>
    <w:rsid w:val="00FC7B94"/>
    <w:rsid w:val="00FD03ED"/>
    <w:rsid w:val="00FD2D03"/>
    <w:rsid w:val="00FD3206"/>
    <w:rsid w:val="00FD520C"/>
    <w:rsid w:val="00FE0B8D"/>
    <w:rsid w:val="00FE1A9D"/>
    <w:rsid w:val="00FE32AF"/>
    <w:rsid w:val="00FE35D5"/>
    <w:rsid w:val="00FE3F5C"/>
    <w:rsid w:val="00FE44DC"/>
    <w:rsid w:val="00FE458E"/>
    <w:rsid w:val="00FE5117"/>
    <w:rsid w:val="00FE5284"/>
    <w:rsid w:val="00FE679C"/>
    <w:rsid w:val="00FF007E"/>
    <w:rsid w:val="00FF0CCE"/>
    <w:rsid w:val="00FF10E3"/>
    <w:rsid w:val="00FF10E9"/>
    <w:rsid w:val="00FF1E64"/>
    <w:rsid w:val="00FF77EF"/>
    <w:rsid w:val="00FF7F9A"/>
    <w:rsid w:val="00FF7F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06929"/>
  <w15:docId w15:val="{0A778E3F-2CB7-4C00-8318-99418146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DDF"/>
    <w:rPr>
      <w:sz w:val="24"/>
      <w:szCs w:val="24"/>
    </w:rPr>
  </w:style>
  <w:style w:type="paragraph" w:styleId="Nagwek1">
    <w:name w:val="heading 1"/>
    <w:basedOn w:val="Normalny"/>
    <w:next w:val="Normalny"/>
    <w:qFormat/>
    <w:rsid w:val="00400E60"/>
    <w:pPr>
      <w:keepNext/>
      <w:spacing w:afterLines="50" w:after="120"/>
      <w:jc w:val="center"/>
      <w:outlineLvl w:val="0"/>
    </w:pPr>
    <w:rPr>
      <w:rFonts w:ascii="Arial" w:hAnsi="Arial" w:cs="Arial"/>
      <w:b/>
      <w:sz w:val="22"/>
      <w:szCs w:val="22"/>
    </w:rPr>
  </w:style>
  <w:style w:type="paragraph" w:styleId="Nagwek3">
    <w:name w:val="heading 3"/>
    <w:basedOn w:val="Normalny"/>
    <w:next w:val="Normalny"/>
    <w:link w:val="Nagwek3Znak"/>
    <w:semiHidden/>
    <w:unhideWhenUsed/>
    <w:qFormat/>
    <w:rsid w:val="00D0192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772D3C"/>
    <w:pPr>
      <w:keepNext/>
      <w:spacing w:before="240" w:after="60"/>
      <w:outlineLvl w:val="3"/>
    </w:pPr>
    <w:rPr>
      <w:rFonts w:ascii="Calibri" w:hAnsi="Calibri"/>
      <w:b/>
      <w:bCs/>
      <w:sz w:val="28"/>
      <w:szCs w:val="28"/>
    </w:rPr>
  </w:style>
  <w:style w:type="paragraph" w:styleId="Nagwek8">
    <w:name w:val="heading 8"/>
    <w:basedOn w:val="Normalny"/>
    <w:next w:val="Normalny"/>
    <w:qFormat/>
    <w:rsid w:val="0090535D"/>
    <w:pPr>
      <w:keepNext/>
      <w:numPr>
        <w:numId w:val="1"/>
      </w:numPr>
      <w:tabs>
        <w:tab w:val="clear" w:pos="720"/>
        <w:tab w:val="num" w:pos="426"/>
      </w:tabs>
      <w:suppressAutoHyphens/>
      <w:spacing w:line="360" w:lineRule="auto"/>
      <w:ind w:left="426" w:hanging="426"/>
      <w:jc w:val="both"/>
      <w:outlineLvl w:val="7"/>
    </w:pPr>
    <w:rPr>
      <w:szCs w:val="20"/>
      <w:lang w:eastAsia="ar-SA"/>
    </w:rPr>
  </w:style>
  <w:style w:type="paragraph" w:styleId="Nagwek9">
    <w:name w:val="heading 9"/>
    <w:basedOn w:val="Normalny"/>
    <w:next w:val="Normalny"/>
    <w:qFormat/>
    <w:rsid w:val="0090535D"/>
    <w:pPr>
      <w:keepNext/>
      <w:suppressAutoHyphens/>
      <w:spacing w:line="360" w:lineRule="auto"/>
      <w:jc w:val="right"/>
      <w:outlineLvl w:val="8"/>
    </w:pPr>
    <w:rPr>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E002F"/>
    <w:pPr>
      <w:spacing w:after="120"/>
    </w:pPr>
  </w:style>
  <w:style w:type="character" w:styleId="Hipercze">
    <w:name w:val="Hyperlink"/>
    <w:rsid w:val="00D378A1"/>
    <w:rPr>
      <w:color w:val="0000FF"/>
      <w:u w:val="single"/>
    </w:rPr>
  </w:style>
  <w:style w:type="paragraph" w:styleId="Tekstpodstawowy3">
    <w:name w:val="Body Text 3"/>
    <w:basedOn w:val="Normalny"/>
    <w:link w:val="Tekstpodstawowy3Znak"/>
    <w:rsid w:val="0090535D"/>
    <w:pPr>
      <w:spacing w:after="120"/>
    </w:pPr>
    <w:rPr>
      <w:sz w:val="16"/>
      <w:szCs w:val="16"/>
    </w:rPr>
  </w:style>
  <w:style w:type="paragraph" w:styleId="Tytu">
    <w:name w:val="Title"/>
    <w:basedOn w:val="Normalny"/>
    <w:link w:val="TytuZnak"/>
    <w:qFormat/>
    <w:rsid w:val="004B54A4"/>
    <w:pPr>
      <w:tabs>
        <w:tab w:val="left" w:pos="3960"/>
      </w:tabs>
      <w:spacing w:afterLines="50" w:after="120"/>
      <w:jc w:val="center"/>
    </w:pPr>
    <w:rPr>
      <w:rFonts w:ascii="Arial" w:hAnsi="Arial" w:cs="Arial"/>
      <w:b/>
      <w:sz w:val="22"/>
      <w:szCs w:val="22"/>
    </w:rPr>
  </w:style>
  <w:style w:type="paragraph" w:styleId="Tekstpodstawowywcity">
    <w:name w:val="Body Text Indent"/>
    <w:basedOn w:val="Normalny"/>
    <w:link w:val="TekstpodstawowywcityZnak"/>
    <w:rsid w:val="00107071"/>
    <w:pPr>
      <w:spacing w:after="120"/>
      <w:ind w:left="283"/>
    </w:pPr>
  </w:style>
  <w:style w:type="character" w:customStyle="1" w:styleId="TytuZnak">
    <w:name w:val="Tytuł Znak"/>
    <w:link w:val="Tytu"/>
    <w:rsid w:val="004071D0"/>
    <w:rPr>
      <w:rFonts w:ascii="Arial" w:hAnsi="Arial" w:cs="Arial"/>
      <w:b/>
      <w:sz w:val="22"/>
      <w:szCs w:val="22"/>
    </w:rPr>
  </w:style>
  <w:style w:type="character" w:customStyle="1" w:styleId="TekstpodstawowyZnak">
    <w:name w:val="Tekst podstawowy Znak"/>
    <w:link w:val="Tekstpodstawowy"/>
    <w:rsid w:val="004071D0"/>
    <w:rPr>
      <w:sz w:val="24"/>
      <w:szCs w:val="24"/>
    </w:rPr>
  </w:style>
  <w:style w:type="character" w:customStyle="1" w:styleId="TekstpodstawowywcityZnak">
    <w:name w:val="Tekst podstawowy wcięty Znak"/>
    <w:link w:val="Tekstpodstawowywcity"/>
    <w:rsid w:val="004071D0"/>
    <w:rPr>
      <w:sz w:val="24"/>
      <w:szCs w:val="24"/>
    </w:rPr>
  </w:style>
  <w:style w:type="character" w:customStyle="1" w:styleId="Tekstpodstawowy3Znak">
    <w:name w:val="Tekst podstawowy 3 Znak"/>
    <w:link w:val="Tekstpodstawowy3"/>
    <w:rsid w:val="004071D0"/>
    <w:rPr>
      <w:sz w:val="16"/>
      <w:szCs w:val="16"/>
    </w:rPr>
  </w:style>
  <w:style w:type="paragraph" w:customStyle="1" w:styleId="ptytakt">
    <w:name w:val="p.tytakt"/>
    <w:uiPriority w:val="99"/>
    <w:rsid w:val="00372411"/>
    <w:pPr>
      <w:widowControl w:val="0"/>
      <w:autoSpaceDE w:val="0"/>
      <w:autoSpaceDN w:val="0"/>
      <w:adjustRightInd w:val="0"/>
      <w:spacing w:before="120" w:after="120" w:line="40" w:lineRule="atLeast"/>
      <w:jc w:val="center"/>
    </w:pPr>
    <w:rPr>
      <w:rFonts w:ascii="Arial" w:hAnsi="Arial" w:cs="Arial"/>
      <w:b/>
      <w:bCs/>
      <w:color w:val="150A59"/>
      <w:sz w:val="22"/>
      <w:szCs w:val="22"/>
    </w:rPr>
  </w:style>
  <w:style w:type="paragraph" w:customStyle="1" w:styleId="ppkt">
    <w:name w:val="p.pkt"/>
    <w:uiPriority w:val="99"/>
    <w:rsid w:val="00372411"/>
    <w:pPr>
      <w:widowControl w:val="0"/>
      <w:autoSpaceDE w:val="0"/>
      <w:autoSpaceDN w:val="0"/>
      <w:adjustRightInd w:val="0"/>
      <w:spacing w:line="40" w:lineRule="atLeast"/>
      <w:ind w:left="240"/>
      <w:jc w:val="both"/>
    </w:pPr>
    <w:rPr>
      <w:rFonts w:ascii="Arial" w:hAnsi="Arial" w:cs="Arial"/>
      <w:color w:val="000000"/>
      <w:sz w:val="18"/>
      <w:szCs w:val="18"/>
    </w:rPr>
  </w:style>
  <w:style w:type="paragraph" w:customStyle="1" w:styleId="p">
    <w:name w:val="p"/>
    <w:uiPriority w:val="99"/>
    <w:rsid w:val="00372411"/>
    <w:pPr>
      <w:widowControl w:val="0"/>
      <w:autoSpaceDE w:val="0"/>
      <w:autoSpaceDN w:val="0"/>
      <w:adjustRightInd w:val="0"/>
      <w:spacing w:before="20" w:after="40" w:line="40" w:lineRule="atLeast"/>
      <w:jc w:val="both"/>
    </w:pPr>
    <w:rPr>
      <w:rFonts w:ascii="Arial" w:hAnsi="Arial" w:cs="Arial"/>
      <w:color w:val="000000"/>
      <w:sz w:val="18"/>
      <w:szCs w:val="18"/>
    </w:rPr>
  </w:style>
  <w:style w:type="paragraph" w:customStyle="1" w:styleId="partlinks">
    <w:name w:val="p.artlinks"/>
    <w:uiPriority w:val="99"/>
    <w:rsid w:val="00372411"/>
    <w:pPr>
      <w:widowControl w:val="0"/>
      <w:autoSpaceDE w:val="0"/>
      <w:autoSpaceDN w:val="0"/>
      <w:adjustRightInd w:val="0"/>
      <w:spacing w:before="60" w:after="60" w:line="40" w:lineRule="atLeast"/>
      <w:jc w:val="center"/>
    </w:pPr>
    <w:rPr>
      <w:rFonts w:ascii="Arial" w:hAnsi="Arial" w:cs="Arial"/>
      <w:color w:val="000000"/>
      <w:sz w:val="18"/>
      <w:szCs w:val="18"/>
    </w:rPr>
  </w:style>
  <w:style w:type="character" w:customStyle="1" w:styleId="BodytextItalic4">
    <w:name w:val="Body text + Italic4"/>
    <w:uiPriority w:val="99"/>
    <w:rsid w:val="007E02D2"/>
    <w:rPr>
      <w:rFonts w:ascii="Times New Roman" w:hAnsi="Times New Roman" w:cs="Times New Roman"/>
      <w:i/>
      <w:iCs/>
      <w:spacing w:val="0"/>
      <w:sz w:val="23"/>
      <w:szCs w:val="23"/>
      <w:lang w:val="en-US" w:eastAsia="en-US"/>
    </w:rPr>
  </w:style>
  <w:style w:type="character" w:customStyle="1" w:styleId="BodytextItalic3">
    <w:name w:val="Body text + Italic3"/>
    <w:uiPriority w:val="99"/>
    <w:rsid w:val="007E02D2"/>
    <w:rPr>
      <w:rFonts w:ascii="Times New Roman" w:hAnsi="Times New Roman" w:cs="Times New Roman"/>
      <w:i/>
      <w:iCs/>
      <w:spacing w:val="0"/>
      <w:sz w:val="23"/>
      <w:szCs w:val="23"/>
    </w:rPr>
  </w:style>
  <w:style w:type="character" w:styleId="Odwoanieprzypisudolnego">
    <w:name w:val="footnote reference"/>
    <w:rsid w:val="008E772C"/>
    <w:rPr>
      <w:rFonts w:cs="Times New Roman"/>
      <w:vertAlign w:val="superscript"/>
    </w:rPr>
  </w:style>
  <w:style w:type="paragraph" w:customStyle="1" w:styleId="pub">
    <w:name w:val="pub"/>
    <w:basedOn w:val="Normalny"/>
    <w:rsid w:val="008E772C"/>
    <w:pPr>
      <w:spacing w:before="100" w:beforeAutospacing="1" w:after="100" w:afterAutospacing="1"/>
    </w:pPr>
  </w:style>
  <w:style w:type="paragraph" w:styleId="Tekstprzypisudolnego">
    <w:name w:val="footnote text"/>
    <w:basedOn w:val="Normalny"/>
    <w:link w:val="TekstprzypisudolnegoZnak"/>
    <w:rsid w:val="00E80C6A"/>
    <w:pPr>
      <w:widowControl w:val="0"/>
      <w:autoSpaceDE w:val="0"/>
      <w:autoSpaceDN w:val="0"/>
      <w:adjustRightInd w:val="0"/>
    </w:pPr>
    <w:rPr>
      <w:sz w:val="20"/>
      <w:szCs w:val="20"/>
    </w:rPr>
  </w:style>
  <w:style w:type="character" w:customStyle="1" w:styleId="TekstprzypisudolnegoZnak">
    <w:name w:val="Tekst przypisu dolnego Znak"/>
    <w:basedOn w:val="Domylnaczcionkaakapitu"/>
    <w:link w:val="Tekstprzypisudolnego"/>
    <w:rsid w:val="00E80C6A"/>
  </w:style>
  <w:style w:type="paragraph" w:customStyle="1" w:styleId="ppub">
    <w:name w:val="p.pub"/>
    <w:uiPriority w:val="99"/>
    <w:rsid w:val="00D9765C"/>
    <w:pPr>
      <w:widowControl w:val="0"/>
      <w:autoSpaceDE w:val="0"/>
      <w:autoSpaceDN w:val="0"/>
      <w:adjustRightInd w:val="0"/>
      <w:spacing w:before="120" w:after="120" w:line="40" w:lineRule="atLeast"/>
      <w:jc w:val="center"/>
    </w:pPr>
    <w:rPr>
      <w:rFonts w:ascii="Arial" w:hAnsi="Arial" w:cs="Arial"/>
      <w:b/>
      <w:bCs/>
      <w:color w:val="000000"/>
      <w:sz w:val="18"/>
      <w:szCs w:val="18"/>
    </w:rPr>
  </w:style>
  <w:style w:type="character" w:customStyle="1" w:styleId="Nagwek4Znak">
    <w:name w:val="Nagłówek 4 Znak"/>
    <w:link w:val="Nagwek4"/>
    <w:semiHidden/>
    <w:rsid w:val="00772D3C"/>
    <w:rPr>
      <w:rFonts w:ascii="Calibri" w:eastAsia="Times New Roman" w:hAnsi="Calibri" w:cs="Times New Roman"/>
      <w:b/>
      <w:bCs/>
      <w:sz w:val="28"/>
      <w:szCs w:val="28"/>
    </w:rPr>
  </w:style>
  <w:style w:type="paragraph" w:styleId="Tekstblokowy">
    <w:name w:val="Block Text"/>
    <w:basedOn w:val="Normalny"/>
    <w:uiPriority w:val="99"/>
    <w:rsid w:val="00772D3C"/>
    <w:pPr>
      <w:widowControl w:val="0"/>
      <w:autoSpaceDE w:val="0"/>
      <w:autoSpaceDN w:val="0"/>
      <w:adjustRightInd w:val="0"/>
      <w:spacing w:afterLines="50"/>
      <w:ind w:left="354" w:rightChars="30" w:right="60" w:firstLineChars="3" w:firstLine="6"/>
      <w:jc w:val="both"/>
    </w:pPr>
    <w:rPr>
      <w:rFonts w:ascii="Arial" w:hAnsi="Arial" w:cs="Arial"/>
      <w:sz w:val="20"/>
      <w:szCs w:val="20"/>
    </w:rPr>
  </w:style>
  <w:style w:type="paragraph" w:styleId="Akapitzlist">
    <w:name w:val="List Paragraph"/>
    <w:basedOn w:val="Normalny"/>
    <w:uiPriority w:val="34"/>
    <w:qFormat/>
    <w:rsid w:val="00F6638F"/>
    <w:pPr>
      <w:ind w:left="720"/>
      <w:contextualSpacing/>
    </w:pPr>
    <w:rPr>
      <w:rFonts w:ascii="Cambria" w:eastAsia="MS Mincho" w:hAnsi="Cambria"/>
      <w:lang w:val="en-US" w:eastAsia="en-US"/>
    </w:rPr>
  </w:style>
  <w:style w:type="paragraph" w:customStyle="1" w:styleId="PKTpunkt">
    <w:name w:val="PKT – punkt"/>
    <w:uiPriority w:val="13"/>
    <w:qFormat/>
    <w:rsid w:val="00F204B2"/>
    <w:pPr>
      <w:spacing w:line="360" w:lineRule="auto"/>
      <w:ind w:left="510" w:hanging="510"/>
      <w:jc w:val="both"/>
    </w:pPr>
    <w:rPr>
      <w:rFonts w:ascii="Times" w:hAnsi="Times" w:cs="Arial"/>
      <w:bCs/>
      <w:sz w:val="24"/>
    </w:rPr>
  </w:style>
  <w:style w:type="paragraph" w:customStyle="1" w:styleId="ARTartustawynprozporzdzenia">
    <w:name w:val="ART(§) – art. ustawy (§ np. rozporządzenia)"/>
    <w:uiPriority w:val="11"/>
    <w:qFormat/>
    <w:rsid w:val="00DF255C"/>
    <w:pPr>
      <w:suppressAutoHyphens/>
      <w:autoSpaceDE w:val="0"/>
      <w:autoSpaceDN w:val="0"/>
      <w:adjustRightInd w:val="0"/>
      <w:spacing w:before="120" w:line="360" w:lineRule="auto"/>
      <w:ind w:firstLine="510"/>
      <w:jc w:val="both"/>
    </w:pPr>
    <w:rPr>
      <w:rFonts w:ascii="Times" w:hAnsi="Times" w:cs="Arial"/>
      <w:sz w:val="24"/>
    </w:rPr>
  </w:style>
  <w:style w:type="paragraph" w:customStyle="1" w:styleId="USTustnpkodeksu">
    <w:name w:val="UST(§) – ust. (§ np. kodeksu)"/>
    <w:basedOn w:val="ARTartustawynprozporzdzenia"/>
    <w:uiPriority w:val="12"/>
    <w:qFormat/>
    <w:rsid w:val="00DD7EF9"/>
    <w:pPr>
      <w:spacing w:before="0"/>
    </w:pPr>
    <w:rPr>
      <w:bCs/>
    </w:rPr>
  </w:style>
  <w:style w:type="paragraph" w:styleId="Nagwek">
    <w:name w:val="header"/>
    <w:basedOn w:val="Normalny"/>
    <w:link w:val="NagwekZnak"/>
    <w:rsid w:val="00773E63"/>
    <w:pPr>
      <w:tabs>
        <w:tab w:val="center" w:pos="4536"/>
        <w:tab w:val="right" w:pos="9072"/>
      </w:tabs>
    </w:pPr>
  </w:style>
  <w:style w:type="character" w:customStyle="1" w:styleId="NagwekZnak">
    <w:name w:val="Nagłówek Znak"/>
    <w:link w:val="Nagwek"/>
    <w:rsid w:val="00773E63"/>
    <w:rPr>
      <w:sz w:val="24"/>
      <w:szCs w:val="24"/>
    </w:rPr>
  </w:style>
  <w:style w:type="paragraph" w:styleId="Stopka">
    <w:name w:val="footer"/>
    <w:basedOn w:val="Normalny"/>
    <w:link w:val="StopkaZnak"/>
    <w:uiPriority w:val="99"/>
    <w:rsid w:val="00773E63"/>
    <w:pPr>
      <w:tabs>
        <w:tab w:val="center" w:pos="4536"/>
        <w:tab w:val="right" w:pos="9072"/>
      </w:tabs>
    </w:pPr>
  </w:style>
  <w:style w:type="character" w:customStyle="1" w:styleId="StopkaZnak">
    <w:name w:val="Stopka Znak"/>
    <w:link w:val="Stopka"/>
    <w:uiPriority w:val="99"/>
    <w:rsid w:val="00773E63"/>
    <w:rPr>
      <w:sz w:val="24"/>
      <w:szCs w:val="24"/>
    </w:rPr>
  </w:style>
  <w:style w:type="character" w:customStyle="1" w:styleId="Ppogrubienie">
    <w:name w:val="_P_ – pogrubienie"/>
    <w:uiPriority w:val="1"/>
    <w:qFormat/>
    <w:rsid w:val="007B2548"/>
    <w:rPr>
      <w:b/>
    </w:rPr>
  </w:style>
  <w:style w:type="character" w:styleId="Odwoanieprzypisukocowego">
    <w:name w:val="endnote reference"/>
    <w:uiPriority w:val="99"/>
    <w:rsid w:val="005C6B90"/>
    <w:rPr>
      <w:vertAlign w:val="superscript"/>
    </w:rPr>
  </w:style>
  <w:style w:type="paragraph" w:styleId="Tekstdymka">
    <w:name w:val="Balloon Text"/>
    <w:basedOn w:val="Normalny"/>
    <w:link w:val="TekstdymkaZnak"/>
    <w:rsid w:val="00B465A8"/>
    <w:rPr>
      <w:rFonts w:ascii="Tahoma" w:hAnsi="Tahoma" w:cs="Tahoma"/>
      <w:sz w:val="16"/>
      <w:szCs w:val="16"/>
    </w:rPr>
  </w:style>
  <w:style w:type="character" w:customStyle="1" w:styleId="TekstdymkaZnak">
    <w:name w:val="Tekst dymka Znak"/>
    <w:link w:val="Tekstdymka"/>
    <w:rsid w:val="00B465A8"/>
    <w:rPr>
      <w:rFonts w:ascii="Tahoma" w:hAnsi="Tahoma" w:cs="Tahoma"/>
      <w:sz w:val="16"/>
      <w:szCs w:val="16"/>
    </w:rPr>
  </w:style>
  <w:style w:type="paragraph" w:customStyle="1" w:styleId="ODNONIKtreodnonika">
    <w:name w:val="ODNOŚNIK – treść odnośnika"/>
    <w:uiPriority w:val="19"/>
    <w:qFormat/>
    <w:rsid w:val="00531C6D"/>
    <w:pPr>
      <w:ind w:left="284" w:hanging="284"/>
      <w:jc w:val="both"/>
    </w:pPr>
    <w:rPr>
      <w:rFonts w:cs="Arial"/>
    </w:rPr>
  </w:style>
  <w:style w:type="character" w:customStyle="1" w:styleId="IGindeksgrny">
    <w:name w:val="_IG_ – indeks górny"/>
    <w:uiPriority w:val="2"/>
    <w:qFormat/>
    <w:rsid w:val="00531C6D"/>
    <w:rPr>
      <w:b w:val="0"/>
      <w:bCs w:val="0"/>
      <w:i w:val="0"/>
      <w:iCs w:val="0"/>
      <w:vanish w:val="0"/>
      <w:webHidden w:val="0"/>
      <w:spacing w:val="0"/>
      <w:vertAlign w:val="superscript"/>
      <w:specVanish w:val="0"/>
    </w:rPr>
  </w:style>
  <w:style w:type="paragraph" w:styleId="Tekstprzypisukocowego">
    <w:name w:val="endnote text"/>
    <w:basedOn w:val="Normalny"/>
    <w:link w:val="TekstprzypisukocowegoZnak"/>
    <w:rsid w:val="00AD1242"/>
    <w:rPr>
      <w:sz w:val="20"/>
      <w:szCs w:val="20"/>
    </w:rPr>
  </w:style>
  <w:style w:type="character" w:customStyle="1" w:styleId="TekstprzypisukocowegoZnak">
    <w:name w:val="Tekst przypisu końcowego Znak"/>
    <w:basedOn w:val="Domylnaczcionkaakapitu"/>
    <w:link w:val="Tekstprzypisukocowego"/>
    <w:rsid w:val="00AD1242"/>
  </w:style>
  <w:style w:type="character" w:styleId="Odwoaniedokomentarza">
    <w:name w:val="annotation reference"/>
    <w:uiPriority w:val="99"/>
    <w:rsid w:val="00A421CF"/>
    <w:rPr>
      <w:sz w:val="16"/>
      <w:szCs w:val="16"/>
    </w:rPr>
  </w:style>
  <w:style w:type="paragraph" w:styleId="Tekstkomentarza">
    <w:name w:val="annotation text"/>
    <w:basedOn w:val="Normalny"/>
    <w:link w:val="TekstkomentarzaZnak"/>
    <w:rsid w:val="00A421CF"/>
    <w:rPr>
      <w:sz w:val="20"/>
      <w:szCs w:val="20"/>
    </w:rPr>
  </w:style>
  <w:style w:type="character" w:customStyle="1" w:styleId="TekstkomentarzaZnak">
    <w:name w:val="Tekst komentarza Znak"/>
    <w:basedOn w:val="Domylnaczcionkaakapitu"/>
    <w:link w:val="Tekstkomentarza"/>
    <w:rsid w:val="00A421CF"/>
  </w:style>
  <w:style w:type="paragraph" w:styleId="Tematkomentarza">
    <w:name w:val="annotation subject"/>
    <w:basedOn w:val="Tekstkomentarza"/>
    <w:next w:val="Tekstkomentarza"/>
    <w:link w:val="TematkomentarzaZnak"/>
    <w:rsid w:val="00A421CF"/>
    <w:rPr>
      <w:b/>
      <w:bCs/>
    </w:rPr>
  </w:style>
  <w:style w:type="character" w:customStyle="1" w:styleId="TematkomentarzaZnak">
    <w:name w:val="Temat komentarza Znak"/>
    <w:link w:val="Tematkomentarza"/>
    <w:rsid w:val="00A421CF"/>
    <w:rPr>
      <w:b/>
      <w:bCs/>
    </w:rPr>
  </w:style>
  <w:style w:type="character" w:customStyle="1" w:styleId="Nagwek3Znak">
    <w:name w:val="Nagłówek 3 Znak"/>
    <w:basedOn w:val="Domylnaczcionkaakapitu"/>
    <w:link w:val="Nagwek3"/>
    <w:semiHidden/>
    <w:rsid w:val="00D0192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3221">
      <w:bodyDiv w:val="1"/>
      <w:marLeft w:val="0"/>
      <w:marRight w:val="0"/>
      <w:marTop w:val="0"/>
      <w:marBottom w:val="0"/>
      <w:divBdr>
        <w:top w:val="none" w:sz="0" w:space="0" w:color="auto"/>
        <w:left w:val="none" w:sz="0" w:space="0" w:color="auto"/>
        <w:bottom w:val="none" w:sz="0" w:space="0" w:color="auto"/>
        <w:right w:val="none" w:sz="0" w:space="0" w:color="auto"/>
      </w:divBdr>
    </w:div>
    <w:div w:id="86196633">
      <w:bodyDiv w:val="1"/>
      <w:marLeft w:val="0"/>
      <w:marRight w:val="0"/>
      <w:marTop w:val="0"/>
      <w:marBottom w:val="0"/>
      <w:divBdr>
        <w:top w:val="none" w:sz="0" w:space="0" w:color="auto"/>
        <w:left w:val="none" w:sz="0" w:space="0" w:color="auto"/>
        <w:bottom w:val="none" w:sz="0" w:space="0" w:color="auto"/>
        <w:right w:val="none" w:sz="0" w:space="0" w:color="auto"/>
      </w:divBdr>
    </w:div>
    <w:div w:id="129371961">
      <w:bodyDiv w:val="1"/>
      <w:marLeft w:val="0"/>
      <w:marRight w:val="0"/>
      <w:marTop w:val="0"/>
      <w:marBottom w:val="0"/>
      <w:divBdr>
        <w:top w:val="none" w:sz="0" w:space="0" w:color="auto"/>
        <w:left w:val="none" w:sz="0" w:space="0" w:color="auto"/>
        <w:bottom w:val="none" w:sz="0" w:space="0" w:color="auto"/>
        <w:right w:val="none" w:sz="0" w:space="0" w:color="auto"/>
      </w:divBdr>
    </w:div>
    <w:div w:id="184751883">
      <w:bodyDiv w:val="1"/>
      <w:marLeft w:val="0"/>
      <w:marRight w:val="0"/>
      <w:marTop w:val="0"/>
      <w:marBottom w:val="0"/>
      <w:divBdr>
        <w:top w:val="none" w:sz="0" w:space="0" w:color="auto"/>
        <w:left w:val="none" w:sz="0" w:space="0" w:color="auto"/>
        <w:bottom w:val="none" w:sz="0" w:space="0" w:color="auto"/>
        <w:right w:val="none" w:sz="0" w:space="0" w:color="auto"/>
      </w:divBdr>
      <w:divsChild>
        <w:div w:id="1036809902">
          <w:marLeft w:val="0"/>
          <w:marRight w:val="0"/>
          <w:marTop w:val="0"/>
          <w:marBottom w:val="0"/>
          <w:divBdr>
            <w:top w:val="none" w:sz="0" w:space="0" w:color="auto"/>
            <w:left w:val="none" w:sz="0" w:space="0" w:color="auto"/>
            <w:bottom w:val="none" w:sz="0" w:space="0" w:color="auto"/>
            <w:right w:val="none" w:sz="0" w:space="0" w:color="auto"/>
          </w:divBdr>
          <w:divsChild>
            <w:div w:id="67963689">
              <w:marLeft w:val="0"/>
              <w:marRight w:val="0"/>
              <w:marTop w:val="0"/>
              <w:marBottom w:val="0"/>
              <w:divBdr>
                <w:top w:val="none" w:sz="0" w:space="0" w:color="auto"/>
                <w:left w:val="none" w:sz="0" w:space="0" w:color="auto"/>
                <w:bottom w:val="none" w:sz="0" w:space="0" w:color="auto"/>
                <w:right w:val="none" w:sz="0" w:space="0" w:color="auto"/>
              </w:divBdr>
              <w:divsChild>
                <w:div w:id="344288574">
                  <w:marLeft w:val="0"/>
                  <w:marRight w:val="0"/>
                  <w:marTop w:val="0"/>
                  <w:marBottom w:val="0"/>
                  <w:divBdr>
                    <w:top w:val="none" w:sz="0" w:space="0" w:color="auto"/>
                    <w:left w:val="none" w:sz="0" w:space="0" w:color="auto"/>
                    <w:bottom w:val="none" w:sz="0" w:space="0" w:color="auto"/>
                    <w:right w:val="none" w:sz="0" w:space="0" w:color="auto"/>
                  </w:divBdr>
                  <w:divsChild>
                    <w:div w:id="1025642117">
                      <w:marLeft w:val="0"/>
                      <w:marRight w:val="0"/>
                      <w:marTop w:val="0"/>
                      <w:marBottom w:val="0"/>
                      <w:divBdr>
                        <w:top w:val="none" w:sz="0" w:space="0" w:color="auto"/>
                        <w:left w:val="none" w:sz="0" w:space="0" w:color="auto"/>
                        <w:bottom w:val="none" w:sz="0" w:space="0" w:color="auto"/>
                        <w:right w:val="none" w:sz="0" w:space="0" w:color="auto"/>
                      </w:divBdr>
                      <w:divsChild>
                        <w:div w:id="2243877">
                          <w:marLeft w:val="0"/>
                          <w:marRight w:val="0"/>
                          <w:marTop w:val="0"/>
                          <w:marBottom w:val="0"/>
                          <w:divBdr>
                            <w:top w:val="none" w:sz="0" w:space="0" w:color="auto"/>
                            <w:left w:val="none" w:sz="0" w:space="0" w:color="auto"/>
                            <w:bottom w:val="none" w:sz="0" w:space="0" w:color="auto"/>
                            <w:right w:val="none" w:sz="0" w:space="0" w:color="auto"/>
                          </w:divBdr>
                          <w:divsChild>
                            <w:div w:id="1015419532">
                              <w:marLeft w:val="0"/>
                              <w:marRight w:val="0"/>
                              <w:marTop w:val="0"/>
                              <w:marBottom w:val="0"/>
                              <w:divBdr>
                                <w:top w:val="none" w:sz="0" w:space="0" w:color="auto"/>
                                <w:left w:val="none" w:sz="0" w:space="0" w:color="auto"/>
                                <w:bottom w:val="none" w:sz="0" w:space="0" w:color="auto"/>
                                <w:right w:val="none" w:sz="0" w:space="0" w:color="auto"/>
                              </w:divBdr>
                              <w:divsChild>
                                <w:div w:id="114981444">
                                  <w:marLeft w:val="0"/>
                                  <w:marRight w:val="0"/>
                                  <w:marTop w:val="0"/>
                                  <w:marBottom w:val="0"/>
                                  <w:divBdr>
                                    <w:top w:val="none" w:sz="0" w:space="0" w:color="auto"/>
                                    <w:left w:val="none" w:sz="0" w:space="0" w:color="auto"/>
                                    <w:bottom w:val="none" w:sz="0" w:space="0" w:color="auto"/>
                                    <w:right w:val="none" w:sz="0" w:space="0" w:color="auto"/>
                                  </w:divBdr>
                                  <w:divsChild>
                                    <w:div w:id="685641738">
                                      <w:marLeft w:val="0"/>
                                      <w:marRight w:val="0"/>
                                      <w:marTop w:val="0"/>
                                      <w:marBottom w:val="0"/>
                                      <w:divBdr>
                                        <w:top w:val="none" w:sz="0" w:space="0" w:color="auto"/>
                                        <w:left w:val="none" w:sz="0" w:space="0" w:color="auto"/>
                                        <w:bottom w:val="none" w:sz="0" w:space="0" w:color="auto"/>
                                        <w:right w:val="none" w:sz="0" w:space="0" w:color="auto"/>
                                      </w:divBdr>
                                    </w:div>
                                    <w:div w:id="1691029624">
                                      <w:marLeft w:val="0"/>
                                      <w:marRight w:val="0"/>
                                      <w:marTop w:val="0"/>
                                      <w:marBottom w:val="0"/>
                                      <w:divBdr>
                                        <w:top w:val="none" w:sz="0" w:space="0" w:color="auto"/>
                                        <w:left w:val="none" w:sz="0" w:space="0" w:color="auto"/>
                                        <w:bottom w:val="none" w:sz="0" w:space="0" w:color="auto"/>
                                        <w:right w:val="none" w:sz="0" w:space="0" w:color="auto"/>
                                      </w:divBdr>
                                    </w:div>
                                    <w:div w:id="17214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60035">
      <w:bodyDiv w:val="1"/>
      <w:marLeft w:val="0"/>
      <w:marRight w:val="0"/>
      <w:marTop w:val="0"/>
      <w:marBottom w:val="0"/>
      <w:divBdr>
        <w:top w:val="none" w:sz="0" w:space="0" w:color="auto"/>
        <w:left w:val="none" w:sz="0" w:space="0" w:color="auto"/>
        <w:bottom w:val="none" w:sz="0" w:space="0" w:color="auto"/>
        <w:right w:val="none" w:sz="0" w:space="0" w:color="auto"/>
      </w:divBdr>
    </w:div>
    <w:div w:id="840584342">
      <w:bodyDiv w:val="1"/>
      <w:marLeft w:val="0"/>
      <w:marRight w:val="0"/>
      <w:marTop w:val="0"/>
      <w:marBottom w:val="0"/>
      <w:divBdr>
        <w:top w:val="none" w:sz="0" w:space="0" w:color="auto"/>
        <w:left w:val="none" w:sz="0" w:space="0" w:color="auto"/>
        <w:bottom w:val="none" w:sz="0" w:space="0" w:color="auto"/>
        <w:right w:val="none" w:sz="0" w:space="0" w:color="auto"/>
      </w:divBdr>
      <w:divsChild>
        <w:div w:id="275866922">
          <w:marLeft w:val="0"/>
          <w:marRight w:val="0"/>
          <w:marTop w:val="0"/>
          <w:marBottom w:val="0"/>
          <w:divBdr>
            <w:top w:val="none" w:sz="0" w:space="0" w:color="auto"/>
            <w:left w:val="none" w:sz="0" w:space="0" w:color="auto"/>
            <w:bottom w:val="none" w:sz="0" w:space="0" w:color="auto"/>
            <w:right w:val="none" w:sz="0" w:space="0" w:color="auto"/>
          </w:divBdr>
          <w:divsChild>
            <w:div w:id="1354502546">
              <w:marLeft w:val="0"/>
              <w:marRight w:val="0"/>
              <w:marTop w:val="0"/>
              <w:marBottom w:val="0"/>
              <w:divBdr>
                <w:top w:val="none" w:sz="0" w:space="0" w:color="auto"/>
                <w:left w:val="none" w:sz="0" w:space="0" w:color="auto"/>
                <w:bottom w:val="none" w:sz="0" w:space="0" w:color="auto"/>
                <w:right w:val="none" w:sz="0" w:space="0" w:color="auto"/>
              </w:divBdr>
              <w:divsChild>
                <w:div w:id="445392420">
                  <w:marLeft w:val="0"/>
                  <w:marRight w:val="0"/>
                  <w:marTop w:val="0"/>
                  <w:marBottom w:val="0"/>
                  <w:divBdr>
                    <w:top w:val="none" w:sz="0" w:space="0" w:color="auto"/>
                    <w:left w:val="none" w:sz="0" w:space="0" w:color="auto"/>
                    <w:bottom w:val="none" w:sz="0" w:space="0" w:color="auto"/>
                    <w:right w:val="none" w:sz="0" w:space="0" w:color="auto"/>
                  </w:divBdr>
                </w:div>
              </w:divsChild>
            </w:div>
            <w:div w:id="424611741">
              <w:marLeft w:val="0"/>
              <w:marRight w:val="0"/>
              <w:marTop w:val="0"/>
              <w:marBottom w:val="0"/>
              <w:divBdr>
                <w:top w:val="none" w:sz="0" w:space="0" w:color="auto"/>
                <w:left w:val="none" w:sz="0" w:space="0" w:color="auto"/>
                <w:bottom w:val="none" w:sz="0" w:space="0" w:color="auto"/>
                <w:right w:val="none" w:sz="0" w:space="0" w:color="auto"/>
              </w:divBdr>
              <w:divsChild>
                <w:div w:id="611790563">
                  <w:marLeft w:val="0"/>
                  <w:marRight w:val="0"/>
                  <w:marTop w:val="0"/>
                  <w:marBottom w:val="0"/>
                  <w:divBdr>
                    <w:top w:val="none" w:sz="0" w:space="0" w:color="auto"/>
                    <w:left w:val="none" w:sz="0" w:space="0" w:color="auto"/>
                    <w:bottom w:val="none" w:sz="0" w:space="0" w:color="auto"/>
                    <w:right w:val="none" w:sz="0" w:space="0" w:color="auto"/>
                  </w:divBdr>
                </w:div>
                <w:div w:id="1744334529">
                  <w:marLeft w:val="0"/>
                  <w:marRight w:val="0"/>
                  <w:marTop w:val="0"/>
                  <w:marBottom w:val="0"/>
                  <w:divBdr>
                    <w:top w:val="none" w:sz="0" w:space="0" w:color="auto"/>
                    <w:left w:val="none" w:sz="0" w:space="0" w:color="auto"/>
                    <w:bottom w:val="none" w:sz="0" w:space="0" w:color="auto"/>
                    <w:right w:val="none" w:sz="0" w:space="0" w:color="auto"/>
                  </w:divBdr>
                  <w:divsChild>
                    <w:div w:id="1530871395">
                      <w:marLeft w:val="720"/>
                      <w:marRight w:val="0"/>
                      <w:marTop w:val="0"/>
                      <w:marBottom w:val="0"/>
                      <w:divBdr>
                        <w:top w:val="none" w:sz="0" w:space="0" w:color="auto"/>
                        <w:left w:val="none" w:sz="0" w:space="0" w:color="auto"/>
                        <w:bottom w:val="none" w:sz="0" w:space="0" w:color="auto"/>
                        <w:right w:val="none" w:sz="0" w:space="0" w:color="auto"/>
                      </w:divBdr>
                    </w:div>
                  </w:divsChild>
                </w:div>
                <w:div w:id="400251865">
                  <w:marLeft w:val="0"/>
                  <w:marRight w:val="0"/>
                  <w:marTop w:val="0"/>
                  <w:marBottom w:val="0"/>
                  <w:divBdr>
                    <w:top w:val="none" w:sz="0" w:space="0" w:color="auto"/>
                    <w:left w:val="none" w:sz="0" w:space="0" w:color="auto"/>
                    <w:bottom w:val="none" w:sz="0" w:space="0" w:color="auto"/>
                    <w:right w:val="none" w:sz="0" w:space="0" w:color="auto"/>
                  </w:divBdr>
                  <w:divsChild>
                    <w:div w:id="406075039">
                      <w:marLeft w:val="720"/>
                      <w:marRight w:val="0"/>
                      <w:marTop w:val="0"/>
                      <w:marBottom w:val="0"/>
                      <w:divBdr>
                        <w:top w:val="none" w:sz="0" w:space="0" w:color="auto"/>
                        <w:left w:val="none" w:sz="0" w:space="0" w:color="auto"/>
                        <w:bottom w:val="none" w:sz="0" w:space="0" w:color="auto"/>
                        <w:right w:val="none" w:sz="0" w:space="0" w:color="auto"/>
                      </w:divBdr>
                    </w:div>
                  </w:divsChild>
                </w:div>
                <w:div w:id="913587451">
                  <w:marLeft w:val="0"/>
                  <w:marRight w:val="0"/>
                  <w:marTop w:val="0"/>
                  <w:marBottom w:val="0"/>
                  <w:divBdr>
                    <w:top w:val="none" w:sz="0" w:space="0" w:color="auto"/>
                    <w:left w:val="none" w:sz="0" w:space="0" w:color="auto"/>
                    <w:bottom w:val="none" w:sz="0" w:space="0" w:color="auto"/>
                    <w:right w:val="none" w:sz="0" w:space="0" w:color="auto"/>
                  </w:divBdr>
                  <w:divsChild>
                    <w:div w:id="907883605">
                      <w:marLeft w:val="720"/>
                      <w:marRight w:val="0"/>
                      <w:marTop w:val="0"/>
                      <w:marBottom w:val="0"/>
                      <w:divBdr>
                        <w:top w:val="none" w:sz="0" w:space="0" w:color="auto"/>
                        <w:left w:val="none" w:sz="0" w:space="0" w:color="auto"/>
                        <w:bottom w:val="none" w:sz="0" w:space="0" w:color="auto"/>
                        <w:right w:val="none" w:sz="0" w:space="0" w:color="auto"/>
                      </w:divBdr>
                    </w:div>
                  </w:divsChild>
                </w:div>
                <w:div w:id="1304311299">
                  <w:marLeft w:val="0"/>
                  <w:marRight w:val="0"/>
                  <w:marTop w:val="0"/>
                  <w:marBottom w:val="0"/>
                  <w:divBdr>
                    <w:top w:val="none" w:sz="0" w:space="0" w:color="auto"/>
                    <w:left w:val="none" w:sz="0" w:space="0" w:color="auto"/>
                    <w:bottom w:val="none" w:sz="0" w:space="0" w:color="auto"/>
                    <w:right w:val="none" w:sz="0" w:space="0" w:color="auto"/>
                  </w:divBdr>
                  <w:divsChild>
                    <w:div w:id="272519406">
                      <w:marLeft w:val="720"/>
                      <w:marRight w:val="0"/>
                      <w:marTop w:val="0"/>
                      <w:marBottom w:val="0"/>
                      <w:divBdr>
                        <w:top w:val="none" w:sz="0" w:space="0" w:color="auto"/>
                        <w:left w:val="none" w:sz="0" w:space="0" w:color="auto"/>
                        <w:bottom w:val="none" w:sz="0" w:space="0" w:color="auto"/>
                        <w:right w:val="none" w:sz="0" w:space="0" w:color="auto"/>
                      </w:divBdr>
                    </w:div>
                  </w:divsChild>
                </w:div>
                <w:div w:id="322438039">
                  <w:marLeft w:val="0"/>
                  <w:marRight w:val="0"/>
                  <w:marTop w:val="0"/>
                  <w:marBottom w:val="0"/>
                  <w:divBdr>
                    <w:top w:val="none" w:sz="0" w:space="0" w:color="auto"/>
                    <w:left w:val="none" w:sz="0" w:space="0" w:color="auto"/>
                    <w:bottom w:val="none" w:sz="0" w:space="0" w:color="auto"/>
                    <w:right w:val="none" w:sz="0" w:space="0" w:color="auto"/>
                  </w:divBdr>
                  <w:divsChild>
                    <w:div w:id="515774509">
                      <w:marLeft w:val="720"/>
                      <w:marRight w:val="0"/>
                      <w:marTop w:val="0"/>
                      <w:marBottom w:val="0"/>
                      <w:divBdr>
                        <w:top w:val="none" w:sz="0" w:space="0" w:color="auto"/>
                        <w:left w:val="none" w:sz="0" w:space="0" w:color="auto"/>
                        <w:bottom w:val="none" w:sz="0" w:space="0" w:color="auto"/>
                        <w:right w:val="none" w:sz="0" w:space="0" w:color="auto"/>
                      </w:divBdr>
                    </w:div>
                  </w:divsChild>
                </w:div>
                <w:div w:id="1241990603">
                  <w:marLeft w:val="0"/>
                  <w:marRight w:val="0"/>
                  <w:marTop w:val="0"/>
                  <w:marBottom w:val="0"/>
                  <w:divBdr>
                    <w:top w:val="none" w:sz="0" w:space="0" w:color="auto"/>
                    <w:left w:val="none" w:sz="0" w:space="0" w:color="auto"/>
                    <w:bottom w:val="none" w:sz="0" w:space="0" w:color="auto"/>
                    <w:right w:val="none" w:sz="0" w:space="0" w:color="auto"/>
                  </w:divBdr>
                  <w:divsChild>
                    <w:div w:id="97938513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28038">
      <w:bodyDiv w:val="1"/>
      <w:marLeft w:val="0"/>
      <w:marRight w:val="0"/>
      <w:marTop w:val="0"/>
      <w:marBottom w:val="0"/>
      <w:divBdr>
        <w:top w:val="none" w:sz="0" w:space="0" w:color="auto"/>
        <w:left w:val="none" w:sz="0" w:space="0" w:color="auto"/>
        <w:bottom w:val="none" w:sz="0" w:space="0" w:color="auto"/>
        <w:right w:val="none" w:sz="0" w:space="0" w:color="auto"/>
      </w:divBdr>
    </w:div>
    <w:div w:id="923103182">
      <w:bodyDiv w:val="1"/>
      <w:marLeft w:val="0"/>
      <w:marRight w:val="0"/>
      <w:marTop w:val="0"/>
      <w:marBottom w:val="0"/>
      <w:divBdr>
        <w:top w:val="none" w:sz="0" w:space="0" w:color="auto"/>
        <w:left w:val="none" w:sz="0" w:space="0" w:color="auto"/>
        <w:bottom w:val="none" w:sz="0" w:space="0" w:color="auto"/>
        <w:right w:val="none" w:sz="0" w:space="0" w:color="auto"/>
      </w:divBdr>
    </w:div>
    <w:div w:id="930237737">
      <w:bodyDiv w:val="1"/>
      <w:marLeft w:val="0"/>
      <w:marRight w:val="0"/>
      <w:marTop w:val="0"/>
      <w:marBottom w:val="0"/>
      <w:divBdr>
        <w:top w:val="none" w:sz="0" w:space="0" w:color="auto"/>
        <w:left w:val="none" w:sz="0" w:space="0" w:color="auto"/>
        <w:bottom w:val="none" w:sz="0" w:space="0" w:color="auto"/>
        <w:right w:val="none" w:sz="0" w:space="0" w:color="auto"/>
      </w:divBdr>
    </w:div>
    <w:div w:id="945622474">
      <w:bodyDiv w:val="1"/>
      <w:marLeft w:val="0"/>
      <w:marRight w:val="0"/>
      <w:marTop w:val="0"/>
      <w:marBottom w:val="0"/>
      <w:divBdr>
        <w:top w:val="none" w:sz="0" w:space="0" w:color="auto"/>
        <w:left w:val="none" w:sz="0" w:space="0" w:color="auto"/>
        <w:bottom w:val="none" w:sz="0" w:space="0" w:color="auto"/>
        <w:right w:val="none" w:sz="0" w:space="0" w:color="auto"/>
      </w:divBdr>
      <w:divsChild>
        <w:div w:id="1019703515">
          <w:marLeft w:val="0"/>
          <w:marRight w:val="0"/>
          <w:marTop w:val="0"/>
          <w:marBottom w:val="0"/>
          <w:divBdr>
            <w:top w:val="none" w:sz="0" w:space="0" w:color="auto"/>
            <w:left w:val="none" w:sz="0" w:space="0" w:color="auto"/>
            <w:bottom w:val="none" w:sz="0" w:space="0" w:color="auto"/>
            <w:right w:val="none" w:sz="0" w:space="0" w:color="auto"/>
          </w:divBdr>
          <w:divsChild>
            <w:div w:id="1995377212">
              <w:marLeft w:val="0"/>
              <w:marRight w:val="0"/>
              <w:marTop w:val="0"/>
              <w:marBottom w:val="0"/>
              <w:divBdr>
                <w:top w:val="none" w:sz="0" w:space="0" w:color="auto"/>
                <w:left w:val="none" w:sz="0" w:space="0" w:color="auto"/>
                <w:bottom w:val="none" w:sz="0" w:space="0" w:color="auto"/>
                <w:right w:val="none" w:sz="0" w:space="0" w:color="auto"/>
              </w:divBdr>
              <w:divsChild>
                <w:div w:id="1919746224">
                  <w:marLeft w:val="0"/>
                  <w:marRight w:val="0"/>
                  <w:marTop w:val="0"/>
                  <w:marBottom w:val="0"/>
                  <w:divBdr>
                    <w:top w:val="none" w:sz="0" w:space="0" w:color="auto"/>
                    <w:left w:val="none" w:sz="0" w:space="0" w:color="auto"/>
                    <w:bottom w:val="none" w:sz="0" w:space="0" w:color="auto"/>
                    <w:right w:val="none" w:sz="0" w:space="0" w:color="auto"/>
                  </w:divBdr>
                  <w:divsChild>
                    <w:div w:id="1293244902">
                      <w:marLeft w:val="0"/>
                      <w:marRight w:val="0"/>
                      <w:marTop w:val="0"/>
                      <w:marBottom w:val="0"/>
                      <w:divBdr>
                        <w:top w:val="none" w:sz="0" w:space="0" w:color="auto"/>
                        <w:left w:val="none" w:sz="0" w:space="0" w:color="auto"/>
                        <w:bottom w:val="none" w:sz="0" w:space="0" w:color="auto"/>
                        <w:right w:val="none" w:sz="0" w:space="0" w:color="auto"/>
                      </w:divBdr>
                      <w:divsChild>
                        <w:div w:id="1116293988">
                          <w:marLeft w:val="0"/>
                          <w:marRight w:val="0"/>
                          <w:marTop w:val="0"/>
                          <w:marBottom w:val="0"/>
                          <w:divBdr>
                            <w:top w:val="none" w:sz="0" w:space="0" w:color="auto"/>
                            <w:left w:val="none" w:sz="0" w:space="0" w:color="auto"/>
                            <w:bottom w:val="none" w:sz="0" w:space="0" w:color="auto"/>
                            <w:right w:val="none" w:sz="0" w:space="0" w:color="auto"/>
                          </w:divBdr>
                          <w:divsChild>
                            <w:div w:id="1453549393">
                              <w:marLeft w:val="0"/>
                              <w:marRight w:val="0"/>
                              <w:marTop w:val="0"/>
                              <w:marBottom w:val="0"/>
                              <w:divBdr>
                                <w:top w:val="none" w:sz="0" w:space="0" w:color="auto"/>
                                <w:left w:val="none" w:sz="0" w:space="0" w:color="auto"/>
                                <w:bottom w:val="none" w:sz="0" w:space="0" w:color="auto"/>
                                <w:right w:val="none" w:sz="0" w:space="0" w:color="auto"/>
                              </w:divBdr>
                              <w:divsChild>
                                <w:div w:id="868226282">
                                  <w:marLeft w:val="0"/>
                                  <w:marRight w:val="0"/>
                                  <w:marTop w:val="0"/>
                                  <w:marBottom w:val="0"/>
                                  <w:divBdr>
                                    <w:top w:val="none" w:sz="0" w:space="0" w:color="auto"/>
                                    <w:left w:val="none" w:sz="0" w:space="0" w:color="auto"/>
                                    <w:bottom w:val="none" w:sz="0" w:space="0" w:color="auto"/>
                                    <w:right w:val="none" w:sz="0" w:space="0" w:color="auto"/>
                                  </w:divBdr>
                                  <w:divsChild>
                                    <w:div w:id="555360700">
                                      <w:marLeft w:val="0"/>
                                      <w:marRight w:val="0"/>
                                      <w:marTop w:val="0"/>
                                      <w:marBottom w:val="0"/>
                                      <w:divBdr>
                                        <w:top w:val="none" w:sz="0" w:space="0" w:color="auto"/>
                                        <w:left w:val="none" w:sz="0" w:space="0" w:color="auto"/>
                                        <w:bottom w:val="none" w:sz="0" w:space="0" w:color="auto"/>
                                        <w:right w:val="none" w:sz="0" w:space="0" w:color="auto"/>
                                      </w:divBdr>
                                      <w:divsChild>
                                        <w:div w:id="539241583">
                                          <w:marLeft w:val="0"/>
                                          <w:marRight w:val="0"/>
                                          <w:marTop w:val="0"/>
                                          <w:marBottom w:val="0"/>
                                          <w:divBdr>
                                            <w:top w:val="none" w:sz="0" w:space="0" w:color="auto"/>
                                            <w:left w:val="none" w:sz="0" w:space="0" w:color="auto"/>
                                            <w:bottom w:val="none" w:sz="0" w:space="0" w:color="auto"/>
                                            <w:right w:val="none" w:sz="0" w:space="0" w:color="auto"/>
                                          </w:divBdr>
                                          <w:divsChild>
                                            <w:div w:id="323896702">
                                              <w:marLeft w:val="0"/>
                                              <w:marRight w:val="0"/>
                                              <w:marTop w:val="0"/>
                                              <w:marBottom w:val="0"/>
                                              <w:divBdr>
                                                <w:top w:val="none" w:sz="0" w:space="0" w:color="auto"/>
                                                <w:left w:val="none" w:sz="0" w:space="0" w:color="auto"/>
                                                <w:bottom w:val="none" w:sz="0" w:space="0" w:color="auto"/>
                                                <w:right w:val="none" w:sz="0" w:space="0" w:color="auto"/>
                                              </w:divBdr>
                                              <w:divsChild>
                                                <w:div w:id="340935615">
                                                  <w:marLeft w:val="0"/>
                                                  <w:marRight w:val="0"/>
                                                  <w:marTop w:val="0"/>
                                                  <w:marBottom w:val="0"/>
                                                  <w:divBdr>
                                                    <w:top w:val="none" w:sz="0" w:space="0" w:color="auto"/>
                                                    <w:left w:val="none" w:sz="0" w:space="0" w:color="auto"/>
                                                    <w:bottom w:val="none" w:sz="0" w:space="0" w:color="auto"/>
                                                    <w:right w:val="none" w:sz="0" w:space="0" w:color="auto"/>
                                                  </w:divBdr>
                                                  <w:divsChild>
                                                    <w:div w:id="1076709475">
                                                      <w:marLeft w:val="0"/>
                                                      <w:marRight w:val="0"/>
                                                      <w:marTop w:val="0"/>
                                                      <w:marBottom w:val="0"/>
                                                      <w:divBdr>
                                                        <w:top w:val="none" w:sz="0" w:space="0" w:color="auto"/>
                                                        <w:left w:val="none" w:sz="0" w:space="0" w:color="auto"/>
                                                        <w:bottom w:val="none" w:sz="0" w:space="0" w:color="auto"/>
                                                        <w:right w:val="none" w:sz="0" w:space="0" w:color="auto"/>
                                                      </w:divBdr>
                                                      <w:divsChild>
                                                        <w:div w:id="214702006">
                                                          <w:marLeft w:val="0"/>
                                                          <w:marRight w:val="0"/>
                                                          <w:marTop w:val="0"/>
                                                          <w:marBottom w:val="0"/>
                                                          <w:divBdr>
                                                            <w:top w:val="none" w:sz="0" w:space="0" w:color="auto"/>
                                                            <w:left w:val="none" w:sz="0" w:space="0" w:color="auto"/>
                                                            <w:bottom w:val="none" w:sz="0" w:space="0" w:color="auto"/>
                                                            <w:right w:val="none" w:sz="0" w:space="0" w:color="auto"/>
                                                          </w:divBdr>
                                                          <w:divsChild>
                                                            <w:div w:id="557395838">
                                                              <w:marLeft w:val="0"/>
                                                              <w:marRight w:val="0"/>
                                                              <w:marTop w:val="0"/>
                                                              <w:marBottom w:val="0"/>
                                                              <w:divBdr>
                                                                <w:top w:val="none" w:sz="0" w:space="0" w:color="auto"/>
                                                                <w:left w:val="none" w:sz="0" w:space="0" w:color="auto"/>
                                                                <w:bottom w:val="none" w:sz="0" w:space="0" w:color="auto"/>
                                                                <w:right w:val="none" w:sz="0" w:space="0" w:color="auto"/>
                                                              </w:divBdr>
                                                              <w:divsChild>
                                                                <w:div w:id="1210993693">
                                                                  <w:marLeft w:val="0"/>
                                                                  <w:marRight w:val="0"/>
                                                                  <w:marTop w:val="0"/>
                                                                  <w:marBottom w:val="300"/>
                                                                  <w:divBdr>
                                                                    <w:top w:val="none" w:sz="0" w:space="0" w:color="auto"/>
                                                                    <w:left w:val="none" w:sz="0" w:space="0" w:color="auto"/>
                                                                    <w:bottom w:val="none" w:sz="0" w:space="0" w:color="auto"/>
                                                                    <w:right w:val="none" w:sz="0" w:space="0" w:color="auto"/>
                                                                  </w:divBdr>
                                                                  <w:divsChild>
                                                                    <w:div w:id="1554073804">
                                                                      <w:marLeft w:val="0"/>
                                                                      <w:marRight w:val="0"/>
                                                                      <w:marTop w:val="0"/>
                                                                      <w:marBottom w:val="300"/>
                                                                      <w:divBdr>
                                                                        <w:top w:val="none" w:sz="0" w:space="0" w:color="auto"/>
                                                                        <w:left w:val="none" w:sz="0" w:space="0" w:color="auto"/>
                                                                        <w:bottom w:val="none" w:sz="0" w:space="0" w:color="auto"/>
                                                                        <w:right w:val="none" w:sz="0" w:space="0" w:color="auto"/>
                                                                      </w:divBdr>
                                                                      <w:divsChild>
                                                                        <w:div w:id="10265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638831">
      <w:bodyDiv w:val="1"/>
      <w:marLeft w:val="0"/>
      <w:marRight w:val="0"/>
      <w:marTop w:val="0"/>
      <w:marBottom w:val="0"/>
      <w:divBdr>
        <w:top w:val="none" w:sz="0" w:space="0" w:color="auto"/>
        <w:left w:val="none" w:sz="0" w:space="0" w:color="auto"/>
        <w:bottom w:val="none" w:sz="0" w:space="0" w:color="auto"/>
        <w:right w:val="none" w:sz="0" w:space="0" w:color="auto"/>
      </w:divBdr>
    </w:div>
    <w:div w:id="1092047435">
      <w:bodyDiv w:val="1"/>
      <w:marLeft w:val="0"/>
      <w:marRight w:val="0"/>
      <w:marTop w:val="0"/>
      <w:marBottom w:val="0"/>
      <w:divBdr>
        <w:top w:val="none" w:sz="0" w:space="0" w:color="auto"/>
        <w:left w:val="none" w:sz="0" w:space="0" w:color="auto"/>
        <w:bottom w:val="none" w:sz="0" w:space="0" w:color="auto"/>
        <w:right w:val="none" w:sz="0" w:space="0" w:color="auto"/>
      </w:divBdr>
    </w:div>
    <w:div w:id="1149325592">
      <w:bodyDiv w:val="1"/>
      <w:marLeft w:val="0"/>
      <w:marRight w:val="0"/>
      <w:marTop w:val="0"/>
      <w:marBottom w:val="0"/>
      <w:divBdr>
        <w:top w:val="none" w:sz="0" w:space="0" w:color="auto"/>
        <w:left w:val="none" w:sz="0" w:space="0" w:color="auto"/>
        <w:bottom w:val="none" w:sz="0" w:space="0" w:color="auto"/>
        <w:right w:val="none" w:sz="0" w:space="0" w:color="auto"/>
      </w:divBdr>
    </w:div>
    <w:div w:id="1153177020">
      <w:bodyDiv w:val="1"/>
      <w:marLeft w:val="0"/>
      <w:marRight w:val="0"/>
      <w:marTop w:val="0"/>
      <w:marBottom w:val="0"/>
      <w:divBdr>
        <w:top w:val="none" w:sz="0" w:space="0" w:color="auto"/>
        <w:left w:val="none" w:sz="0" w:space="0" w:color="auto"/>
        <w:bottom w:val="none" w:sz="0" w:space="0" w:color="auto"/>
        <w:right w:val="none" w:sz="0" w:space="0" w:color="auto"/>
      </w:divBdr>
    </w:div>
    <w:div w:id="1193153682">
      <w:bodyDiv w:val="1"/>
      <w:marLeft w:val="0"/>
      <w:marRight w:val="0"/>
      <w:marTop w:val="0"/>
      <w:marBottom w:val="0"/>
      <w:divBdr>
        <w:top w:val="none" w:sz="0" w:space="0" w:color="auto"/>
        <w:left w:val="none" w:sz="0" w:space="0" w:color="auto"/>
        <w:bottom w:val="none" w:sz="0" w:space="0" w:color="auto"/>
        <w:right w:val="none" w:sz="0" w:space="0" w:color="auto"/>
      </w:divBdr>
    </w:div>
    <w:div w:id="1268611111">
      <w:bodyDiv w:val="1"/>
      <w:marLeft w:val="0"/>
      <w:marRight w:val="0"/>
      <w:marTop w:val="0"/>
      <w:marBottom w:val="0"/>
      <w:divBdr>
        <w:top w:val="none" w:sz="0" w:space="0" w:color="auto"/>
        <w:left w:val="none" w:sz="0" w:space="0" w:color="auto"/>
        <w:bottom w:val="none" w:sz="0" w:space="0" w:color="auto"/>
        <w:right w:val="none" w:sz="0" w:space="0" w:color="auto"/>
      </w:divBdr>
    </w:div>
    <w:div w:id="1270310054">
      <w:bodyDiv w:val="1"/>
      <w:marLeft w:val="0"/>
      <w:marRight w:val="0"/>
      <w:marTop w:val="0"/>
      <w:marBottom w:val="0"/>
      <w:divBdr>
        <w:top w:val="none" w:sz="0" w:space="0" w:color="auto"/>
        <w:left w:val="none" w:sz="0" w:space="0" w:color="auto"/>
        <w:bottom w:val="none" w:sz="0" w:space="0" w:color="auto"/>
        <w:right w:val="none" w:sz="0" w:space="0" w:color="auto"/>
      </w:divBdr>
    </w:div>
    <w:div w:id="1518928015">
      <w:bodyDiv w:val="1"/>
      <w:marLeft w:val="0"/>
      <w:marRight w:val="0"/>
      <w:marTop w:val="0"/>
      <w:marBottom w:val="0"/>
      <w:divBdr>
        <w:top w:val="none" w:sz="0" w:space="0" w:color="auto"/>
        <w:left w:val="none" w:sz="0" w:space="0" w:color="auto"/>
        <w:bottom w:val="none" w:sz="0" w:space="0" w:color="auto"/>
        <w:right w:val="none" w:sz="0" w:space="0" w:color="auto"/>
      </w:divBdr>
    </w:div>
    <w:div w:id="1654215408">
      <w:bodyDiv w:val="1"/>
      <w:marLeft w:val="0"/>
      <w:marRight w:val="0"/>
      <w:marTop w:val="0"/>
      <w:marBottom w:val="0"/>
      <w:divBdr>
        <w:top w:val="none" w:sz="0" w:space="0" w:color="auto"/>
        <w:left w:val="none" w:sz="0" w:space="0" w:color="auto"/>
        <w:bottom w:val="none" w:sz="0" w:space="0" w:color="auto"/>
        <w:right w:val="none" w:sz="0" w:space="0" w:color="auto"/>
      </w:divBdr>
      <w:divsChild>
        <w:div w:id="1538393471">
          <w:marLeft w:val="0"/>
          <w:marRight w:val="0"/>
          <w:marTop w:val="0"/>
          <w:marBottom w:val="0"/>
          <w:divBdr>
            <w:top w:val="none" w:sz="0" w:space="0" w:color="auto"/>
            <w:left w:val="none" w:sz="0" w:space="0" w:color="auto"/>
            <w:bottom w:val="none" w:sz="0" w:space="0" w:color="auto"/>
            <w:right w:val="none" w:sz="0" w:space="0" w:color="auto"/>
          </w:divBdr>
          <w:divsChild>
            <w:div w:id="2052269084">
              <w:marLeft w:val="0"/>
              <w:marRight w:val="0"/>
              <w:marTop w:val="0"/>
              <w:marBottom w:val="0"/>
              <w:divBdr>
                <w:top w:val="none" w:sz="0" w:space="0" w:color="auto"/>
                <w:left w:val="none" w:sz="0" w:space="0" w:color="auto"/>
                <w:bottom w:val="none" w:sz="0" w:space="0" w:color="auto"/>
                <w:right w:val="none" w:sz="0" w:space="0" w:color="auto"/>
              </w:divBdr>
              <w:divsChild>
                <w:div w:id="942106231">
                  <w:marLeft w:val="0"/>
                  <w:marRight w:val="0"/>
                  <w:marTop w:val="0"/>
                  <w:marBottom w:val="0"/>
                  <w:divBdr>
                    <w:top w:val="none" w:sz="0" w:space="0" w:color="auto"/>
                    <w:left w:val="none" w:sz="0" w:space="0" w:color="auto"/>
                    <w:bottom w:val="none" w:sz="0" w:space="0" w:color="auto"/>
                    <w:right w:val="none" w:sz="0" w:space="0" w:color="auto"/>
                  </w:divBdr>
                  <w:divsChild>
                    <w:div w:id="1507482528">
                      <w:marLeft w:val="0"/>
                      <w:marRight w:val="0"/>
                      <w:marTop w:val="0"/>
                      <w:marBottom w:val="0"/>
                      <w:divBdr>
                        <w:top w:val="none" w:sz="0" w:space="0" w:color="auto"/>
                        <w:left w:val="none" w:sz="0" w:space="0" w:color="auto"/>
                        <w:bottom w:val="none" w:sz="0" w:space="0" w:color="auto"/>
                        <w:right w:val="none" w:sz="0" w:space="0" w:color="auto"/>
                      </w:divBdr>
                      <w:divsChild>
                        <w:div w:id="1805469343">
                          <w:marLeft w:val="0"/>
                          <w:marRight w:val="0"/>
                          <w:marTop w:val="0"/>
                          <w:marBottom w:val="0"/>
                          <w:divBdr>
                            <w:top w:val="none" w:sz="0" w:space="0" w:color="auto"/>
                            <w:left w:val="none" w:sz="0" w:space="0" w:color="auto"/>
                            <w:bottom w:val="none" w:sz="0" w:space="0" w:color="auto"/>
                            <w:right w:val="none" w:sz="0" w:space="0" w:color="auto"/>
                          </w:divBdr>
                          <w:divsChild>
                            <w:div w:id="25910081">
                              <w:marLeft w:val="0"/>
                              <w:marRight w:val="0"/>
                              <w:marTop w:val="0"/>
                              <w:marBottom w:val="0"/>
                              <w:divBdr>
                                <w:top w:val="none" w:sz="0" w:space="0" w:color="auto"/>
                                <w:left w:val="none" w:sz="0" w:space="0" w:color="auto"/>
                                <w:bottom w:val="none" w:sz="0" w:space="0" w:color="auto"/>
                                <w:right w:val="none" w:sz="0" w:space="0" w:color="auto"/>
                              </w:divBdr>
                              <w:divsChild>
                                <w:div w:id="1125391228">
                                  <w:marLeft w:val="0"/>
                                  <w:marRight w:val="0"/>
                                  <w:marTop w:val="0"/>
                                  <w:marBottom w:val="0"/>
                                  <w:divBdr>
                                    <w:top w:val="none" w:sz="0" w:space="0" w:color="auto"/>
                                    <w:left w:val="none" w:sz="0" w:space="0" w:color="auto"/>
                                    <w:bottom w:val="none" w:sz="0" w:space="0" w:color="auto"/>
                                    <w:right w:val="none" w:sz="0" w:space="0" w:color="auto"/>
                                  </w:divBdr>
                                  <w:divsChild>
                                    <w:div w:id="1933080483">
                                      <w:marLeft w:val="0"/>
                                      <w:marRight w:val="0"/>
                                      <w:marTop w:val="0"/>
                                      <w:marBottom w:val="0"/>
                                      <w:divBdr>
                                        <w:top w:val="none" w:sz="0" w:space="0" w:color="auto"/>
                                        <w:left w:val="none" w:sz="0" w:space="0" w:color="auto"/>
                                        <w:bottom w:val="none" w:sz="0" w:space="0" w:color="auto"/>
                                        <w:right w:val="none" w:sz="0" w:space="0" w:color="auto"/>
                                      </w:divBdr>
                                      <w:divsChild>
                                        <w:div w:id="1836260887">
                                          <w:marLeft w:val="0"/>
                                          <w:marRight w:val="0"/>
                                          <w:marTop w:val="0"/>
                                          <w:marBottom w:val="0"/>
                                          <w:divBdr>
                                            <w:top w:val="none" w:sz="0" w:space="0" w:color="auto"/>
                                            <w:left w:val="none" w:sz="0" w:space="0" w:color="auto"/>
                                            <w:bottom w:val="none" w:sz="0" w:space="0" w:color="auto"/>
                                            <w:right w:val="none" w:sz="0" w:space="0" w:color="auto"/>
                                          </w:divBdr>
                                          <w:divsChild>
                                            <w:div w:id="1885093865">
                                              <w:marLeft w:val="0"/>
                                              <w:marRight w:val="0"/>
                                              <w:marTop w:val="0"/>
                                              <w:marBottom w:val="0"/>
                                              <w:divBdr>
                                                <w:top w:val="none" w:sz="0" w:space="0" w:color="auto"/>
                                                <w:left w:val="none" w:sz="0" w:space="0" w:color="auto"/>
                                                <w:bottom w:val="none" w:sz="0" w:space="0" w:color="auto"/>
                                                <w:right w:val="none" w:sz="0" w:space="0" w:color="auto"/>
                                              </w:divBdr>
                                              <w:divsChild>
                                                <w:div w:id="975524956">
                                                  <w:marLeft w:val="0"/>
                                                  <w:marRight w:val="0"/>
                                                  <w:marTop w:val="0"/>
                                                  <w:marBottom w:val="0"/>
                                                  <w:divBdr>
                                                    <w:top w:val="none" w:sz="0" w:space="0" w:color="auto"/>
                                                    <w:left w:val="none" w:sz="0" w:space="0" w:color="auto"/>
                                                    <w:bottom w:val="none" w:sz="0" w:space="0" w:color="auto"/>
                                                    <w:right w:val="none" w:sz="0" w:space="0" w:color="auto"/>
                                                  </w:divBdr>
                                                  <w:divsChild>
                                                    <w:div w:id="1383796945">
                                                      <w:marLeft w:val="0"/>
                                                      <w:marRight w:val="0"/>
                                                      <w:marTop w:val="0"/>
                                                      <w:marBottom w:val="0"/>
                                                      <w:divBdr>
                                                        <w:top w:val="none" w:sz="0" w:space="0" w:color="auto"/>
                                                        <w:left w:val="none" w:sz="0" w:space="0" w:color="auto"/>
                                                        <w:bottom w:val="none" w:sz="0" w:space="0" w:color="auto"/>
                                                        <w:right w:val="none" w:sz="0" w:space="0" w:color="auto"/>
                                                      </w:divBdr>
                                                      <w:divsChild>
                                                        <w:div w:id="20649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371742">
      <w:bodyDiv w:val="1"/>
      <w:marLeft w:val="0"/>
      <w:marRight w:val="0"/>
      <w:marTop w:val="0"/>
      <w:marBottom w:val="0"/>
      <w:divBdr>
        <w:top w:val="none" w:sz="0" w:space="0" w:color="auto"/>
        <w:left w:val="none" w:sz="0" w:space="0" w:color="auto"/>
        <w:bottom w:val="none" w:sz="0" w:space="0" w:color="auto"/>
        <w:right w:val="none" w:sz="0" w:space="0" w:color="auto"/>
      </w:divBdr>
      <w:divsChild>
        <w:div w:id="1056440539">
          <w:marLeft w:val="0"/>
          <w:marRight w:val="0"/>
          <w:marTop w:val="0"/>
          <w:marBottom w:val="0"/>
          <w:divBdr>
            <w:top w:val="none" w:sz="0" w:space="0" w:color="auto"/>
            <w:left w:val="none" w:sz="0" w:space="0" w:color="auto"/>
            <w:bottom w:val="none" w:sz="0" w:space="0" w:color="auto"/>
            <w:right w:val="none" w:sz="0" w:space="0" w:color="auto"/>
          </w:divBdr>
          <w:divsChild>
            <w:div w:id="505632736">
              <w:marLeft w:val="0"/>
              <w:marRight w:val="0"/>
              <w:marTop w:val="0"/>
              <w:marBottom w:val="0"/>
              <w:divBdr>
                <w:top w:val="none" w:sz="0" w:space="0" w:color="auto"/>
                <w:left w:val="none" w:sz="0" w:space="0" w:color="auto"/>
                <w:bottom w:val="none" w:sz="0" w:space="0" w:color="auto"/>
                <w:right w:val="none" w:sz="0" w:space="0" w:color="auto"/>
              </w:divBdr>
              <w:divsChild>
                <w:div w:id="6966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3142">
      <w:bodyDiv w:val="1"/>
      <w:marLeft w:val="0"/>
      <w:marRight w:val="0"/>
      <w:marTop w:val="0"/>
      <w:marBottom w:val="0"/>
      <w:divBdr>
        <w:top w:val="none" w:sz="0" w:space="0" w:color="auto"/>
        <w:left w:val="none" w:sz="0" w:space="0" w:color="auto"/>
        <w:bottom w:val="none" w:sz="0" w:space="0" w:color="auto"/>
        <w:right w:val="none" w:sz="0" w:space="0" w:color="auto"/>
      </w:divBdr>
    </w:div>
    <w:div w:id="1783184022">
      <w:bodyDiv w:val="1"/>
      <w:marLeft w:val="0"/>
      <w:marRight w:val="0"/>
      <w:marTop w:val="0"/>
      <w:marBottom w:val="0"/>
      <w:divBdr>
        <w:top w:val="none" w:sz="0" w:space="0" w:color="auto"/>
        <w:left w:val="none" w:sz="0" w:space="0" w:color="auto"/>
        <w:bottom w:val="none" w:sz="0" w:space="0" w:color="auto"/>
        <w:right w:val="none" w:sz="0" w:space="0" w:color="auto"/>
      </w:divBdr>
      <w:divsChild>
        <w:div w:id="1282421299">
          <w:marLeft w:val="0"/>
          <w:marRight w:val="0"/>
          <w:marTop w:val="0"/>
          <w:marBottom w:val="0"/>
          <w:divBdr>
            <w:top w:val="none" w:sz="0" w:space="0" w:color="auto"/>
            <w:left w:val="none" w:sz="0" w:space="0" w:color="auto"/>
            <w:bottom w:val="none" w:sz="0" w:space="0" w:color="auto"/>
            <w:right w:val="none" w:sz="0" w:space="0" w:color="auto"/>
          </w:divBdr>
          <w:divsChild>
            <w:div w:id="655186152">
              <w:marLeft w:val="0"/>
              <w:marRight w:val="0"/>
              <w:marTop w:val="0"/>
              <w:marBottom w:val="0"/>
              <w:divBdr>
                <w:top w:val="none" w:sz="0" w:space="0" w:color="auto"/>
                <w:left w:val="none" w:sz="0" w:space="0" w:color="auto"/>
                <w:bottom w:val="none" w:sz="0" w:space="0" w:color="auto"/>
                <w:right w:val="none" w:sz="0" w:space="0" w:color="auto"/>
              </w:divBdr>
              <w:divsChild>
                <w:div w:id="55712284">
                  <w:marLeft w:val="0"/>
                  <w:marRight w:val="0"/>
                  <w:marTop w:val="0"/>
                  <w:marBottom w:val="0"/>
                  <w:divBdr>
                    <w:top w:val="none" w:sz="0" w:space="0" w:color="auto"/>
                    <w:left w:val="none" w:sz="0" w:space="0" w:color="auto"/>
                    <w:bottom w:val="none" w:sz="0" w:space="0" w:color="auto"/>
                    <w:right w:val="none" w:sz="0" w:space="0" w:color="auto"/>
                  </w:divBdr>
                  <w:divsChild>
                    <w:div w:id="385297071">
                      <w:marLeft w:val="0"/>
                      <w:marRight w:val="0"/>
                      <w:marTop w:val="0"/>
                      <w:marBottom w:val="0"/>
                      <w:divBdr>
                        <w:top w:val="none" w:sz="0" w:space="0" w:color="auto"/>
                        <w:left w:val="none" w:sz="0" w:space="0" w:color="auto"/>
                        <w:bottom w:val="none" w:sz="0" w:space="0" w:color="auto"/>
                        <w:right w:val="none" w:sz="0" w:space="0" w:color="auto"/>
                      </w:divBdr>
                      <w:divsChild>
                        <w:div w:id="1646661347">
                          <w:marLeft w:val="0"/>
                          <w:marRight w:val="0"/>
                          <w:marTop w:val="0"/>
                          <w:marBottom w:val="0"/>
                          <w:divBdr>
                            <w:top w:val="none" w:sz="0" w:space="0" w:color="auto"/>
                            <w:left w:val="none" w:sz="0" w:space="0" w:color="auto"/>
                            <w:bottom w:val="none" w:sz="0" w:space="0" w:color="auto"/>
                            <w:right w:val="none" w:sz="0" w:space="0" w:color="auto"/>
                          </w:divBdr>
                          <w:divsChild>
                            <w:div w:id="1731802892">
                              <w:marLeft w:val="0"/>
                              <w:marRight w:val="0"/>
                              <w:marTop w:val="0"/>
                              <w:marBottom w:val="0"/>
                              <w:divBdr>
                                <w:top w:val="none" w:sz="0" w:space="0" w:color="auto"/>
                                <w:left w:val="none" w:sz="0" w:space="0" w:color="auto"/>
                                <w:bottom w:val="none" w:sz="0" w:space="0" w:color="auto"/>
                                <w:right w:val="none" w:sz="0" w:space="0" w:color="auto"/>
                              </w:divBdr>
                              <w:divsChild>
                                <w:div w:id="2107722873">
                                  <w:marLeft w:val="0"/>
                                  <w:marRight w:val="0"/>
                                  <w:marTop w:val="0"/>
                                  <w:marBottom w:val="0"/>
                                  <w:divBdr>
                                    <w:top w:val="none" w:sz="0" w:space="0" w:color="auto"/>
                                    <w:left w:val="none" w:sz="0" w:space="0" w:color="auto"/>
                                    <w:bottom w:val="none" w:sz="0" w:space="0" w:color="auto"/>
                                    <w:right w:val="none" w:sz="0" w:space="0" w:color="auto"/>
                                  </w:divBdr>
                                  <w:divsChild>
                                    <w:div w:id="920410675">
                                      <w:marLeft w:val="0"/>
                                      <w:marRight w:val="0"/>
                                      <w:marTop w:val="0"/>
                                      <w:marBottom w:val="0"/>
                                      <w:divBdr>
                                        <w:top w:val="none" w:sz="0" w:space="0" w:color="auto"/>
                                        <w:left w:val="none" w:sz="0" w:space="0" w:color="auto"/>
                                        <w:bottom w:val="none" w:sz="0" w:space="0" w:color="auto"/>
                                        <w:right w:val="none" w:sz="0" w:space="0" w:color="auto"/>
                                      </w:divBdr>
                                      <w:divsChild>
                                        <w:div w:id="1827165828">
                                          <w:marLeft w:val="0"/>
                                          <w:marRight w:val="0"/>
                                          <w:marTop w:val="0"/>
                                          <w:marBottom w:val="0"/>
                                          <w:divBdr>
                                            <w:top w:val="none" w:sz="0" w:space="0" w:color="auto"/>
                                            <w:left w:val="none" w:sz="0" w:space="0" w:color="auto"/>
                                            <w:bottom w:val="none" w:sz="0" w:space="0" w:color="auto"/>
                                            <w:right w:val="none" w:sz="0" w:space="0" w:color="auto"/>
                                          </w:divBdr>
                                          <w:divsChild>
                                            <w:div w:id="1031031616">
                                              <w:marLeft w:val="0"/>
                                              <w:marRight w:val="0"/>
                                              <w:marTop w:val="0"/>
                                              <w:marBottom w:val="0"/>
                                              <w:divBdr>
                                                <w:top w:val="none" w:sz="0" w:space="0" w:color="auto"/>
                                                <w:left w:val="none" w:sz="0" w:space="0" w:color="auto"/>
                                                <w:bottom w:val="none" w:sz="0" w:space="0" w:color="auto"/>
                                                <w:right w:val="none" w:sz="0" w:space="0" w:color="auto"/>
                                              </w:divBdr>
                                              <w:divsChild>
                                                <w:div w:id="1130710336">
                                                  <w:marLeft w:val="0"/>
                                                  <w:marRight w:val="0"/>
                                                  <w:marTop w:val="0"/>
                                                  <w:marBottom w:val="0"/>
                                                  <w:divBdr>
                                                    <w:top w:val="none" w:sz="0" w:space="0" w:color="auto"/>
                                                    <w:left w:val="none" w:sz="0" w:space="0" w:color="auto"/>
                                                    <w:bottom w:val="none" w:sz="0" w:space="0" w:color="auto"/>
                                                    <w:right w:val="none" w:sz="0" w:space="0" w:color="auto"/>
                                                  </w:divBdr>
                                                  <w:divsChild>
                                                    <w:div w:id="1649045580">
                                                      <w:marLeft w:val="0"/>
                                                      <w:marRight w:val="0"/>
                                                      <w:marTop w:val="0"/>
                                                      <w:marBottom w:val="0"/>
                                                      <w:divBdr>
                                                        <w:top w:val="none" w:sz="0" w:space="0" w:color="auto"/>
                                                        <w:left w:val="none" w:sz="0" w:space="0" w:color="auto"/>
                                                        <w:bottom w:val="none" w:sz="0" w:space="0" w:color="auto"/>
                                                        <w:right w:val="none" w:sz="0" w:space="0" w:color="auto"/>
                                                      </w:divBdr>
                                                      <w:divsChild>
                                                        <w:div w:id="1362053144">
                                                          <w:marLeft w:val="0"/>
                                                          <w:marRight w:val="0"/>
                                                          <w:marTop w:val="0"/>
                                                          <w:marBottom w:val="0"/>
                                                          <w:divBdr>
                                                            <w:top w:val="none" w:sz="0" w:space="0" w:color="auto"/>
                                                            <w:left w:val="none" w:sz="0" w:space="0" w:color="auto"/>
                                                            <w:bottom w:val="none" w:sz="0" w:space="0" w:color="auto"/>
                                                            <w:right w:val="none" w:sz="0" w:space="0" w:color="auto"/>
                                                          </w:divBdr>
                                                          <w:divsChild>
                                                            <w:div w:id="1683972181">
                                                              <w:marLeft w:val="0"/>
                                                              <w:marRight w:val="0"/>
                                                              <w:marTop w:val="0"/>
                                                              <w:marBottom w:val="0"/>
                                                              <w:divBdr>
                                                                <w:top w:val="none" w:sz="0" w:space="0" w:color="auto"/>
                                                                <w:left w:val="none" w:sz="0" w:space="0" w:color="auto"/>
                                                                <w:bottom w:val="none" w:sz="0" w:space="0" w:color="auto"/>
                                                                <w:right w:val="none" w:sz="0" w:space="0" w:color="auto"/>
                                                              </w:divBdr>
                                                              <w:divsChild>
                                                                <w:div w:id="1583682911">
                                                                  <w:marLeft w:val="0"/>
                                                                  <w:marRight w:val="0"/>
                                                                  <w:marTop w:val="0"/>
                                                                  <w:marBottom w:val="0"/>
                                                                  <w:divBdr>
                                                                    <w:top w:val="none" w:sz="0" w:space="0" w:color="auto"/>
                                                                    <w:left w:val="none" w:sz="0" w:space="0" w:color="auto"/>
                                                                    <w:bottom w:val="none" w:sz="0" w:space="0" w:color="auto"/>
                                                                    <w:right w:val="none" w:sz="0" w:space="0" w:color="auto"/>
                                                                  </w:divBdr>
                                                                </w:div>
                                                                <w:div w:id="19464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8832831">
      <w:bodyDiv w:val="1"/>
      <w:marLeft w:val="0"/>
      <w:marRight w:val="0"/>
      <w:marTop w:val="0"/>
      <w:marBottom w:val="0"/>
      <w:divBdr>
        <w:top w:val="none" w:sz="0" w:space="0" w:color="auto"/>
        <w:left w:val="none" w:sz="0" w:space="0" w:color="auto"/>
        <w:bottom w:val="none" w:sz="0" w:space="0" w:color="auto"/>
        <w:right w:val="none" w:sz="0" w:space="0" w:color="auto"/>
      </w:divBdr>
    </w:div>
    <w:div w:id="1869029579">
      <w:bodyDiv w:val="1"/>
      <w:marLeft w:val="0"/>
      <w:marRight w:val="0"/>
      <w:marTop w:val="0"/>
      <w:marBottom w:val="0"/>
      <w:divBdr>
        <w:top w:val="none" w:sz="0" w:space="0" w:color="auto"/>
        <w:left w:val="none" w:sz="0" w:space="0" w:color="auto"/>
        <w:bottom w:val="none" w:sz="0" w:space="0" w:color="auto"/>
        <w:right w:val="none" w:sz="0" w:space="0" w:color="auto"/>
      </w:divBdr>
      <w:divsChild>
        <w:div w:id="1358042523">
          <w:marLeft w:val="0"/>
          <w:marRight w:val="0"/>
          <w:marTop w:val="0"/>
          <w:marBottom w:val="0"/>
          <w:divBdr>
            <w:top w:val="none" w:sz="0" w:space="0" w:color="auto"/>
            <w:left w:val="none" w:sz="0" w:space="0" w:color="auto"/>
            <w:bottom w:val="none" w:sz="0" w:space="0" w:color="auto"/>
            <w:right w:val="none" w:sz="0" w:space="0" w:color="auto"/>
          </w:divBdr>
          <w:divsChild>
            <w:div w:id="1673219436">
              <w:marLeft w:val="0"/>
              <w:marRight w:val="0"/>
              <w:marTop w:val="0"/>
              <w:marBottom w:val="0"/>
              <w:divBdr>
                <w:top w:val="none" w:sz="0" w:space="0" w:color="auto"/>
                <w:left w:val="none" w:sz="0" w:space="0" w:color="auto"/>
                <w:bottom w:val="none" w:sz="0" w:space="0" w:color="auto"/>
                <w:right w:val="none" w:sz="0" w:space="0" w:color="auto"/>
              </w:divBdr>
              <w:divsChild>
                <w:div w:id="1550996115">
                  <w:marLeft w:val="0"/>
                  <w:marRight w:val="0"/>
                  <w:marTop w:val="0"/>
                  <w:marBottom w:val="0"/>
                  <w:divBdr>
                    <w:top w:val="none" w:sz="0" w:space="0" w:color="auto"/>
                    <w:left w:val="none" w:sz="0" w:space="0" w:color="auto"/>
                    <w:bottom w:val="none" w:sz="0" w:space="0" w:color="auto"/>
                    <w:right w:val="none" w:sz="0" w:space="0" w:color="auto"/>
                  </w:divBdr>
                  <w:divsChild>
                    <w:div w:id="1919753534">
                      <w:marLeft w:val="0"/>
                      <w:marRight w:val="0"/>
                      <w:marTop w:val="0"/>
                      <w:marBottom w:val="0"/>
                      <w:divBdr>
                        <w:top w:val="none" w:sz="0" w:space="0" w:color="auto"/>
                        <w:left w:val="none" w:sz="0" w:space="0" w:color="auto"/>
                        <w:bottom w:val="none" w:sz="0" w:space="0" w:color="auto"/>
                        <w:right w:val="none" w:sz="0" w:space="0" w:color="auto"/>
                      </w:divBdr>
                      <w:divsChild>
                        <w:div w:id="1809086142">
                          <w:marLeft w:val="0"/>
                          <w:marRight w:val="0"/>
                          <w:marTop w:val="0"/>
                          <w:marBottom w:val="0"/>
                          <w:divBdr>
                            <w:top w:val="none" w:sz="0" w:space="0" w:color="auto"/>
                            <w:left w:val="none" w:sz="0" w:space="0" w:color="auto"/>
                            <w:bottom w:val="none" w:sz="0" w:space="0" w:color="auto"/>
                            <w:right w:val="none" w:sz="0" w:space="0" w:color="auto"/>
                          </w:divBdr>
                          <w:divsChild>
                            <w:div w:id="892154729">
                              <w:marLeft w:val="0"/>
                              <w:marRight w:val="0"/>
                              <w:marTop w:val="0"/>
                              <w:marBottom w:val="0"/>
                              <w:divBdr>
                                <w:top w:val="none" w:sz="0" w:space="0" w:color="auto"/>
                                <w:left w:val="none" w:sz="0" w:space="0" w:color="auto"/>
                                <w:bottom w:val="none" w:sz="0" w:space="0" w:color="auto"/>
                                <w:right w:val="none" w:sz="0" w:space="0" w:color="auto"/>
                              </w:divBdr>
                              <w:divsChild>
                                <w:div w:id="1438405809">
                                  <w:marLeft w:val="0"/>
                                  <w:marRight w:val="0"/>
                                  <w:marTop w:val="0"/>
                                  <w:marBottom w:val="0"/>
                                  <w:divBdr>
                                    <w:top w:val="none" w:sz="0" w:space="0" w:color="auto"/>
                                    <w:left w:val="none" w:sz="0" w:space="0" w:color="auto"/>
                                    <w:bottom w:val="none" w:sz="0" w:space="0" w:color="auto"/>
                                    <w:right w:val="none" w:sz="0" w:space="0" w:color="auto"/>
                                  </w:divBdr>
                                  <w:divsChild>
                                    <w:div w:id="804007898">
                                      <w:marLeft w:val="0"/>
                                      <w:marRight w:val="0"/>
                                      <w:marTop w:val="0"/>
                                      <w:marBottom w:val="0"/>
                                      <w:divBdr>
                                        <w:top w:val="none" w:sz="0" w:space="0" w:color="auto"/>
                                        <w:left w:val="none" w:sz="0" w:space="0" w:color="auto"/>
                                        <w:bottom w:val="none" w:sz="0" w:space="0" w:color="auto"/>
                                        <w:right w:val="none" w:sz="0" w:space="0" w:color="auto"/>
                                      </w:divBdr>
                                      <w:divsChild>
                                        <w:div w:id="1787037778">
                                          <w:marLeft w:val="0"/>
                                          <w:marRight w:val="0"/>
                                          <w:marTop w:val="0"/>
                                          <w:marBottom w:val="0"/>
                                          <w:divBdr>
                                            <w:top w:val="none" w:sz="0" w:space="0" w:color="auto"/>
                                            <w:left w:val="none" w:sz="0" w:space="0" w:color="auto"/>
                                            <w:bottom w:val="none" w:sz="0" w:space="0" w:color="auto"/>
                                            <w:right w:val="none" w:sz="0" w:space="0" w:color="auto"/>
                                          </w:divBdr>
                                          <w:divsChild>
                                            <w:div w:id="1642230521">
                                              <w:marLeft w:val="0"/>
                                              <w:marRight w:val="0"/>
                                              <w:marTop w:val="0"/>
                                              <w:marBottom w:val="0"/>
                                              <w:divBdr>
                                                <w:top w:val="none" w:sz="0" w:space="0" w:color="auto"/>
                                                <w:left w:val="none" w:sz="0" w:space="0" w:color="auto"/>
                                                <w:bottom w:val="none" w:sz="0" w:space="0" w:color="auto"/>
                                                <w:right w:val="none" w:sz="0" w:space="0" w:color="auto"/>
                                              </w:divBdr>
                                              <w:divsChild>
                                                <w:div w:id="1034769306">
                                                  <w:marLeft w:val="0"/>
                                                  <w:marRight w:val="0"/>
                                                  <w:marTop w:val="0"/>
                                                  <w:marBottom w:val="0"/>
                                                  <w:divBdr>
                                                    <w:top w:val="none" w:sz="0" w:space="0" w:color="auto"/>
                                                    <w:left w:val="none" w:sz="0" w:space="0" w:color="auto"/>
                                                    <w:bottom w:val="none" w:sz="0" w:space="0" w:color="auto"/>
                                                    <w:right w:val="none" w:sz="0" w:space="0" w:color="auto"/>
                                                  </w:divBdr>
                                                  <w:divsChild>
                                                    <w:div w:id="1297419466">
                                                      <w:marLeft w:val="0"/>
                                                      <w:marRight w:val="0"/>
                                                      <w:marTop w:val="0"/>
                                                      <w:marBottom w:val="0"/>
                                                      <w:divBdr>
                                                        <w:top w:val="none" w:sz="0" w:space="0" w:color="auto"/>
                                                        <w:left w:val="none" w:sz="0" w:space="0" w:color="auto"/>
                                                        <w:bottom w:val="none" w:sz="0" w:space="0" w:color="auto"/>
                                                        <w:right w:val="none" w:sz="0" w:space="0" w:color="auto"/>
                                                      </w:divBdr>
                                                      <w:divsChild>
                                                        <w:div w:id="350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605C-71FD-4BC9-9E52-8DA8B9D9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5773</Words>
  <Characters>34641</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Uzasadnienie</vt:lpstr>
    </vt:vector>
  </TitlesOfParts>
  <Company>Min. Fin.</Company>
  <LinksUpToDate>false</LinksUpToDate>
  <CharactersWithSpaces>40334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creator>Jerzy Zygmunciak</dc:creator>
  <cp:lastModifiedBy>KGHM</cp:lastModifiedBy>
  <cp:revision>2</cp:revision>
  <cp:lastPrinted>2019-02-12T09:37:00Z</cp:lastPrinted>
  <dcterms:created xsi:type="dcterms:W3CDTF">2020-09-15T10:30:00Z</dcterms:created>
  <dcterms:modified xsi:type="dcterms:W3CDTF">2020-09-15T10:30:00Z</dcterms:modified>
</cp:coreProperties>
</file>