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9"/>
        <w:gridCol w:w="7"/>
        <w:gridCol w:w="843"/>
        <w:gridCol w:w="229"/>
        <w:gridCol w:w="428"/>
        <w:gridCol w:w="451"/>
        <w:gridCol w:w="206"/>
        <w:gridCol w:w="136"/>
        <w:gridCol w:w="521"/>
        <w:gridCol w:w="416"/>
        <w:gridCol w:w="134"/>
        <w:gridCol w:w="108"/>
        <w:gridCol w:w="43"/>
        <w:gridCol w:w="614"/>
        <w:gridCol w:w="39"/>
        <w:gridCol w:w="618"/>
        <w:gridCol w:w="249"/>
        <w:gridCol w:w="71"/>
        <w:gridCol w:w="337"/>
        <w:gridCol w:w="195"/>
        <w:gridCol w:w="280"/>
        <w:gridCol w:w="125"/>
        <w:gridCol w:w="58"/>
        <w:gridCol w:w="657"/>
        <w:gridCol w:w="223"/>
        <w:gridCol w:w="434"/>
        <w:gridCol w:w="504"/>
        <w:gridCol w:w="154"/>
        <w:gridCol w:w="1268"/>
        <w:gridCol w:w="10"/>
      </w:tblGrid>
      <w:tr w:rsidR="00661187" w:rsidRPr="00661187" w14:paraId="3430AFA1" w14:textId="77777777" w:rsidTr="00665030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C8D1928" w14:textId="77777777" w:rsidR="0058652F" w:rsidRPr="00661187" w:rsidRDefault="0058652F" w:rsidP="00665030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</w:rPr>
            </w:pPr>
            <w:bookmarkStart w:id="0" w:name="t1"/>
            <w:bookmarkStart w:id="1" w:name="_GoBack"/>
            <w:bookmarkEnd w:id="1"/>
            <w:r w:rsidRPr="00661187">
              <w:rPr>
                <w:rFonts w:ascii="Times New Roman" w:eastAsia="Calibri" w:hAnsi="Times New Roman" w:cs="Times New Roman"/>
                <w:b/>
              </w:rPr>
              <w:t>Nazwa Rozporządzenia</w:t>
            </w:r>
          </w:p>
          <w:p w14:paraId="1C0AD146" w14:textId="174EBC73" w:rsidR="0058652F" w:rsidRPr="00661187" w:rsidRDefault="0058652F" w:rsidP="00665030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 xml:space="preserve">Rozporządzenie Ministra Zdrowia zmieniające rozporządzenie w sprawie </w:t>
            </w:r>
            <w:r w:rsidRPr="00661187">
              <w:rPr>
                <w:rFonts w:ascii="Times New Roman" w:hAnsi="Times New Roman" w:cs="Times New Roman"/>
              </w:rPr>
              <w:t xml:space="preserve">świadczeń gwarantowanych z zakresu opieki psychiatrycznej i leczenia uzależnień </w:t>
            </w:r>
          </w:p>
          <w:p w14:paraId="660B37AE" w14:textId="77777777" w:rsidR="0058652F" w:rsidRPr="00661187" w:rsidRDefault="0058652F" w:rsidP="00665030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</w:rPr>
            </w:pPr>
          </w:p>
          <w:p w14:paraId="5763F277" w14:textId="77777777" w:rsidR="0058652F" w:rsidRPr="00661187" w:rsidRDefault="0058652F" w:rsidP="00665030">
            <w:pPr>
              <w:spacing w:after="0" w:line="240" w:lineRule="auto"/>
              <w:ind w:hanging="45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</w:rPr>
              <w:t>Ministerstwo wiodące i ministerstwa współpracujące</w:t>
            </w:r>
          </w:p>
          <w:bookmarkEnd w:id="0"/>
          <w:p w14:paraId="30599A6B" w14:textId="77777777" w:rsidR="0058652F" w:rsidRPr="00661187" w:rsidRDefault="0058652F" w:rsidP="00665030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Ministerstwo Zdrowia</w:t>
            </w:r>
          </w:p>
          <w:p w14:paraId="7885D6E1" w14:textId="77777777" w:rsidR="0058652F" w:rsidRPr="00661187" w:rsidRDefault="0058652F" w:rsidP="00665030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</w:rPr>
            </w:pPr>
          </w:p>
          <w:p w14:paraId="4191780A" w14:textId="77777777" w:rsidR="0058652F" w:rsidRPr="00661187" w:rsidRDefault="0058652F" w:rsidP="00665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1187">
              <w:rPr>
                <w:rFonts w:ascii="Times New Roman" w:hAnsi="Times New Roman"/>
                <w:b/>
              </w:rPr>
              <w:t xml:space="preserve">Osoba odpowiedzialna za projekt w randze Ministra, Sekretarza Stanu   lub Podsekretarza Stanu </w:t>
            </w:r>
          </w:p>
          <w:p w14:paraId="04B6ECAE" w14:textId="77777777" w:rsidR="0058652F" w:rsidRPr="00661187" w:rsidRDefault="0058652F" w:rsidP="00665030">
            <w:pPr>
              <w:spacing w:after="0" w:line="240" w:lineRule="auto"/>
              <w:rPr>
                <w:rFonts w:ascii="Times New Roman" w:hAnsi="Times New Roman"/>
              </w:rPr>
            </w:pPr>
            <w:r w:rsidRPr="00661187">
              <w:rPr>
                <w:rFonts w:ascii="Times New Roman" w:hAnsi="Times New Roman"/>
              </w:rPr>
              <w:t>Józefa Szczurek-Żelazko – Sekretarz Stanu w Ministerstwie Zdrowia</w:t>
            </w:r>
          </w:p>
          <w:p w14:paraId="78A288E7" w14:textId="77777777" w:rsidR="0058652F" w:rsidRPr="00661187" w:rsidRDefault="0058652F" w:rsidP="006650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254FDD" w14:textId="77777777" w:rsidR="0038459F" w:rsidRDefault="0058652F" w:rsidP="0038459F">
            <w:pPr>
              <w:spacing w:after="0" w:line="240" w:lineRule="auto"/>
              <w:ind w:hanging="45"/>
              <w:rPr>
                <w:rFonts w:ascii="Times New Roman" w:hAnsi="Times New Roman"/>
                <w:b/>
              </w:rPr>
            </w:pPr>
            <w:r w:rsidRPr="00661187">
              <w:rPr>
                <w:rFonts w:ascii="Times New Roman" w:hAnsi="Times New Roman"/>
                <w:b/>
              </w:rPr>
              <w:t xml:space="preserve"> Kontakt do opiekuna merytorycznego projektu</w:t>
            </w:r>
          </w:p>
          <w:p w14:paraId="3A0D6E10" w14:textId="2113F99F" w:rsidR="0058652F" w:rsidRPr="0038459F" w:rsidRDefault="0058652F" w:rsidP="0038459F">
            <w:pPr>
              <w:spacing w:after="0" w:line="240" w:lineRule="auto"/>
              <w:ind w:hanging="45"/>
              <w:rPr>
                <w:rFonts w:ascii="Times New Roman" w:hAnsi="Times New Roman"/>
                <w:b/>
              </w:rPr>
            </w:pPr>
            <w:r w:rsidRPr="00661187">
              <w:rPr>
                <w:rFonts w:ascii="Times New Roman" w:hAnsi="Times New Roman"/>
              </w:rPr>
              <w:t xml:space="preserve"> Dyrektor Departamentu</w:t>
            </w:r>
            <w:r w:rsidR="0038459F">
              <w:rPr>
                <w:rFonts w:ascii="Times New Roman" w:hAnsi="Times New Roman"/>
              </w:rPr>
              <w:t xml:space="preserve"> </w:t>
            </w:r>
            <w:r w:rsidR="0038459F" w:rsidRPr="0038459F">
              <w:rPr>
                <w:rFonts w:ascii="Times New Roman" w:hAnsi="Times New Roman"/>
              </w:rPr>
              <w:t>Rozwoju Kadr Medycznych</w:t>
            </w:r>
          </w:p>
          <w:p w14:paraId="304429BD" w14:textId="5E60BF0F" w:rsidR="0058652F" w:rsidRPr="00661187" w:rsidRDefault="0058652F" w:rsidP="0066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661187">
              <w:rPr>
                <w:rFonts w:ascii="Times New Roman" w:hAnsi="Times New Roman"/>
                <w:lang w:val="pt-BR"/>
              </w:rPr>
              <w:t>tel.: 22 63-49-823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42020DE7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63DC3361" w14:textId="4117C32D" w:rsidR="0058652F" w:rsidRPr="00661187" w:rsidRDefault="00FB26CF" w:rsidP="006650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627D1A">
              <w:rPr>
                <w:rFonts w:ascii="Times New Roman" w:eastAsia="Calibri" w:hAnsi="Times New Roman" w:cs="Times New Roman"/>
              </w:rPr>
              <w:t>.10.</w:t>
            </w:r>
            <w:r w:rsidR="0058652F" w:rsidRPr="00661187">
              <w:rPr>
                <w:rFonts w:ascii="Times New Roman" w:eastAsia="Calibri" w:hAnsi="Times New Roman" w:cs="Times New Roman"/>
              </w:rPr>
              <w:t xml:space="preserve">2020 r. </w:t>
            </w:r>
            <w:r w:rsidR="0058652F" w:rsidRPr="0066118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11ABEFA0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C14895F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0AE6B67D" w14:textId="6D245712" w:rsidR="0058652F" w:rsidRPr="00661187" w:rsidRDefault="0058652F" w:rsidP="0066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1187">
              <w:rPr>
                <w:rFonts w:ascii="Times New Roman" w:eastAsia="Times New Roman" w:hAnsi="Times New Roman" w:cs="Times New Roman"/>
              </w:rPr>
              <w:t xml:space="preserve">Art. 31d ustawy z dnia 27 sierpnia 2004 r. o świadczeniach opieki zdrowotnej finansowanych ze środków publicznych </w:t>
            </w:r>
            <w:r w:rsidRPr="00661187">
              <w:rPr>
                <w:rFonts w:ascii="Times New Roman" w:eastAsia="Times New Roman" w:hAnsi="Times New Roman" w:cs="Times New Roman"/>
              </w:rPr>
              <w:br/>
              <w:t xml:space="preserve">(Dz. U. </w:t>
            </w:r>
            <w:r w:rsidR="00122DFD" w:rsidRPr="00661187">
              <w:rPr>
                <w:rFonts w:ascii="Times New Roman" w:hAnsi="Times New Roman" w:cs="Times New Roman"/>
              </w:rPr>
              <w:t>z 2020 r. poz. 1398</w:t>
            </w:r>
            <w:r w:rsidR="0071188D" w:rsidRPr="00661187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="0071188D" w:rsidRPr="00661187">
              <w:rPr>
                <w:rFonts w:ascii="Times New Roman" w:hAnsi="Times New Roman" w:cs="Times New Roman"/>
              </w:rPr>
              <w:t>późn</w:t>
            </w:r>
            <w:proofErr w:type="spellEnd"/>
            <w:r w:rsidR="0071188D" w:rsidRPr="00661187">
              <w:rPr>
                <w:rFonts w:ascii="Times New Roman" w:hAnsi="Times New Roman" w:cs="Times New Roman"/>
              </w:rPr>
              <w:t>. zm.</w:t>
            </w:r>
            <w:r w:rsidRPr="00661187">
              <w:rPr>
                <w:rFonts w:ascii="Times New Roman" w:eastAsia="Times New Roman" w:hAnsi="Times New Roman" w:cs="Times New Roman"/>
              </w:rPr>
              <w:t>)</w:t>
            </w:r>
          </w:p>
          <w:p w14:paraId="4FF39CFF" w14:textId="77777777" w:rsidR="0058652F" w:rsidRPr="00661187" w:rsidRDefault="0058652F" w:rsidP="00665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DAB655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</w:rPr>
              <w:t xml:space="preserve">Nr w wykazie prac Ministra Zdrowia: </w:t>
            </w:r>
          </w:p>
          <w:p w14:paraId="1491B09A" w14:textId="5298F434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</w:rPr>
              <w:t xml:space="preserve">MZ </w:t>
            </w:r>
            <w:r w:rsidR="00627D1A">
              <w:rPr>
                <w:rFonts w:ascii="Times New Roman" w:eastAsia="Calibri" w:hAnsi="Times New Roman" w:cs="Times New Roman"/>
                <w:b/>
              </w:rPr>
              <w:t>1044</w:t>
            </w:r>
          </w:p>
        </w:tc>
      </w:tr>
      <w:tr w:rsidR="00661187" w:rsidRPr="00661187" w14:paraId="7078480A" w14:textId="77777777" w:rsidTr="0066503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CE895B" w14:textId="77777777" w:rsidR="0058652F" w:rsidRPr="00661187" w:rsidRDefault="0058652F" w:rsidP="0066503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</w:rPr>
              <w:t>OCENA SKUTKÓW REGULACJI</w:t>
            </w:r>
          </w:p>
        </w:tc>
      </w:tr>
      <w:tr w:rsidR="00661187" w:rsidRPr="00661187" w14:paraId="680F037E" w14:textId="77777777" w:rsidTr="00665030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1709B9F" w14:textId="77777777" w:rsidR="0058652F" w:rsidRPr="00661187" w:rsidRDefault="0058652F" w:rsidP="0066503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661187" w:rsidRPr="00661187" w14:paraId="344AA1BB" w14:textId="77777777" w:rsidTr="00665030">
        <w:trPr>
          <w:gridAfter w:val="1"/>
          <w:wAfter w:w="10" w:type="dxa"/>
          <w:trHeight w:val="542"/>
        </w:trPr>
        <w:tc>
          <w:tcPr>
            <w:tcW w:w="10937" w:type="dxa"/>
            <w:gridSpan w:val="29"/>
            <w:shd w:val="clear" w:color="auto" w:fill="FFFFFF"/>
          </w:tcPr>
          <w:p w14:paraId="2305E5B9" w14:textId="6AD9B80B" w:rsidR="00B53376" w:rsidRPr="00661187" w:rsidRDefault="0058652F" w:rsidP="00B53376">
            <w:pPr>
              <w:pStyle w:val="NIEARTTEKSTtekstnieartykuowanynppodstprawnarozplubpreambua"/>
              <w:spacing w:line="240" w:lineRule="auto"/>
              <w:ind w:firstLine="0"/>
            </w:pPr>
            <w:r w:rsidRPr="00661187">
              <w:rPr>
                <w:rFonts w:eastAsia="Calibri" w:cs="Times"/>
                <w:sz w:val="22"/>
                <w:szCs w:val="22"/>
              </w:rPr>
              <w:t xml:space="preserve">Aktualne normy zatrudniania dla personelu pielęgniarskiego określone w rozporządzeniu Ministra Zdrowia z dnia </w:t>
            </w:r>
            <w:r w:rsidR="008803E3" w:rsidRPr="00661187">
              <w:rPr>
                <w:rFonts w:eastAsia="Calibri" w:cs="Times"/>
                <w:sz w:val="22"/>
                <w:szCs w:val="22"/>
              </w:rPr>
              <w:t xml:space="preserve">19 czerwca </w:t>
            </w:r>
            <w:r w:rsidRPr="00661187">
              <w:rPr>
                <w:rFonts w:eastAsia="Calibri" w:cs="Times"/>
                <w:sz w:val="22"/>
                <w:szCs w:val="22"/>
              </w:rPr>
              <w:t>2019 r. w sprawie świadczeń gwarantowanych z zakresu opieki psychiatrycznej i leczenia uzależnień (</w:t>
            </w:r>
            <w:r w:rsidR="00173808" w:rsidRPr="00661187">
              <w:rPr>
                <w:sz w:val="22"/>
                <w:szCs w:val="22"/>
              </w:rPr>
              <w:t>Dz. U. poz. 1285 i 1640 oraz z 2020 r. poz. 456</w:t>
            </w:r>
            <w:r w:rsidRPr="00661187">
              <w:rPr>
                <w:rFonts w:eastAsia="Calibri" w:cs="Times"/>
                <w:sz w:val="22"/>
                <w:szCs w:val="22"/>
              </w:rPr>
              <w:t>) w zakresie opieki psychiatrycznej w warunkach</w:t>
            </w:r>
            <w:r w:rsidR="008D5EA9" w:rsidRPr="00661187">
              <w:rPr>
                <w:rFonts w:eastAsia="Calibri" w:cs="Times"/>
                <w:sz w:val="22"/>
                <w:szCs w:val="22"/>
              </w:rPr>
              <w:t xml:space="preserve"> stacjonarnych psychiatrycznych</w:t>
            </w:r>
            <w:r w:rsidR="00E60A9F" w:rsidRPr="00661187">
              <w:rPr>
                <w:rFonts w:eastAsia="Calibri" w:cs="Times"/>
                <w:sz w:val="22"/>
                <w:szCs w:val="22"/>
              </w:rPr>
              <w:t xml:space="preserve">, </w:t>
            </w:r>
            <w:r w:rsidR="008D5EA9" w:rsidRPr="00661187">
              <w:rPr>
                <w:rFonts w:eastAsia="Calibri" w:cs="Times"/>
                <w:sz w:val="22"/>
                <w:szCs w:val="22"/>
              </w:rPr>
              <w:t xml:space="preserve">w warunkach stacjonarnych w izbie przyjęć </w:t>
            </w:r>
            <w:r w:rsidR="00E60A9F" w:rsidRPr="00661187">
              <w:rPr>
                <w:rFonts w:eastAsia="Calibri" w:cs="Times"/>
                <w:sz w:val="22"/>
                <w:szCs w:val="22"/>
              </w:rPr>
              <w:t xml:space="preserve">oraz w warunkach stacjonarnych leczenia uzależnień </w:t>
            </w:r>
            <w:r w:rsidRPr="00661187">
              <w:rPr>
                <w:rFonts w:eastAsia="Calibri" w:cs="Times"/>
                <w:sz w:val="22"/>
                <w:szCs w:val="22"/>
              </w:rPr>
              <w:t>nie spełniają oczekiwań świadczeniodawców.</w:t>
            </w:r>
            <w:r w:rsidR="0073735A" w:rsidRPr="00661187">
              <w:rPr>
                <w:rFonts w:eastAsia="Calibri" w:cs="Times"/>
                <w:sz w:val="22"/>
                <w:szCs w:val="22"/>
              </w:rPr>
              <w:t xml:space="preserve"> Ponadto świadczeniodawcy zwracają szczególną uwagę na potrzebę </w:t>
            </w:r>
            <w:r w:rsidR="00661187">
              <w:rPr>
                <w:rFonts w:eastAsia="Calibri" w:cs="Times"/>
                <w:sz w:val="22"/>
                <w:szCs w:val="22"/>
              </w:rPr>
              <w:t xml:space="preserve">pilnego </w:t>
            </w:r>
            <w:r w:rsidR="0073735A" w:rsidRPr="00661187">
              <w:rPr>
                <w:rFonts w:eastAsia="Calibri" w:cs="Times"/>
                <w:sz w:val="22"/>
                <w:szCs w:val="22"/>
              </w:rPr>
              <w:t>dostosowania liczby pielęgniarek do określonych warunków udzielania świadczeń gwarantowanych w poszczególnych zakresach</w:t>
            </w:r>
            <w:r w:rsidR="00B53376" w:rsidRPr="00661187">
              <w:rPr>
                <w:rFonts w:eastAsia="Calibri" w:cs="Times"/>
                <w:sz w:val="22"/>
                <w:szCs w:val="22"/>
              </w:rPr>
              <w:t>, tym samym wykorzystując w pełni kwalifikacje zawodowe pielęgniarek.</w:t>
            </w:r>
          </w:p>
        </w:tc>
      </w:tr>
      <w:tr w:rsidR="00661187" w:rsidRPr="00661187" w14:paraId="4E3FE45F" w14:textId="77777777" w:rsidTr="0066503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E2B4D44" w14:textId="77777777" w:rsidR="0058652F" w:rsidRPr="00661187" w:rsidRDefault="0058652F" w:rsidP="0066503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661187" w:rsidRPr="00661187" w14:paraId="31FDE17F" w14:textId="77777777" w:rsidTr="00665030">
        <w:trPr>
          <w:gridAfter w:val="1"/>
          <w:wAfter w:w="10" w:type="dxa"/>
          <w:trHeight w:val="529"/>
        </w:trPr>
        <w:tc>
          <w:tcPr>
            <w:tcW w:w="10937" w:type="dxa"/>
            <w:gridSpan w:val="29"/>
            <w:shd w:val="clear" w:color="auto" w:fill="auto"/>
          </w:tcPr>
          <w:p w14:paraId="133DB2D5" w14:textId="28580481" w:rsidR="0058652F" w:rsidRPr="00661187" w:rsidRDefault="0058652F">
            <w:pPr>
              <w:pStyle w:val="NIEARTTEKSTtekstnieartykuowanynppodstprawnarozplubpreambua"/>
              <w:spacing w:before="0" w:line="240" w:lineRule="auto"/>
              <w:ind w:firstLine="0"/>
              <w:rPr>
                <w:rFonts w:cs="Times"/>
                <w:sz w:val="22"/>
                <w:szCs w:val="22"/>
              </w:rPr>
            </w:pPr>
            <w:r w:rsidRPr="00661187">
              <w:rPr>
                <w:rFonts w:ascii="Times New Roman" w:hAnsi="Times New Roman" w:cs="Times New Roman"/>
                <w:sz w:val="22"/>
                <w:szCs w:val="22"/>
              </w:rPr>
              <w:t>Głównym celem wprowadzenia zmian w rozporządzeniu Ministra Zdrowia z dnia 19 czerwca 2019 r. w sprawie świadczeń gwarantowanych z zakresu opieki psychiatrycznej i leczenia uzależnień jest określenie w załącznikach nr 1</w:t>
            </w:r>
            <w:r w:rsidR="008D5EA9" w:rsidRPr="00661187">
              <w:rPr>
                <w:rFonts w:ascii="Times New Roman" w:hAnsi="Times New Roman" w:cs="Times New Roman"/>
                <w:sz w:val="22"/>
                <w:szCs w:val="22"/>
              </w:rPr>
              <w:t xml:space="preserve"> i 3 </w:t>
            </w:r>
            <w:r w:rsidRPr="00661187">
              <w:rPr>
                <w:rFonts w:ascii="Times New Roman" w:hAnsi="Times New Roman" w:cs="Times New Roman"/>
                <w:sz w:val="22"/>
                <w:szCs w:val="22"/>
              </w:rPr>
              <w:t xml:space="preserve">nowych norm </w:t>
            </w:r>
            <w:r w:rsidR="004865A0">
              <w:rPr>
                <w:rFonts w:ascii="Times New Roman" w:hAnsi="Times New Roman" w:cs="Times New Roman"/>
                <w:sz w:val="22"/>
                <w:szCs w:val="22"/>
              </w:rPr>
              <w:t xml:space="preserve">i wymogów dotyczących </w:t>
            </w:r>
            <w:r w:rsidRPr="00661187">
              <w:rPr>
                <w:rFonts w:ascii="Times New Roman" w:hAnsi="Times New Roman" w:cs="Times New Roman"/>
                <w:sz w:val="22"/>
                <w:szCs w:val="22"/>
              </w:rPr>
              <w:t xml:space="preserve">zatrudnienia dla </w:t>
            </w:r>
            <w:r w:rsidRPr="00661187">
              <w:rPr>
                <w:rFonts w:cs="Times"/>
                <w:bCs w:val="0"/>
                <w:sz w:val="22"/>
                <w:szCs w:val="22"/>
              </w:rPr>
              <w:t>pielęgniarek udzielających świadczeń z zakresu opieki psychiatrycznej w warunkach stacjonarnych psychiatrycznych</w:t>
            </w:r>
            <w:r w:rsidR="008D5EA9" w:rsidRPr="00661187">
              <w:rPr>
                <w:rFonts w:cs="Times"/>
                <w:bCs w:val="0"/>
                <w:sz w:val="22"/>
                <w:szCs w:val="22"/>
              </w:rPr>
              <w:t xml:space="preserve"> </w:t>
            </w:r>
            <w:r w:rsidR="00733B92">
              <w:rPr>
                <w:rFonts w:cs="Times"/>
                <w:bCs w:val="0"/>
                <w:sz w:val="22"/>
                <w:szCs w:val="22"/>
              </w:rPr>
              <w:t xml:space="preserve">i </w:t>
            </w:r>
            <w:r w:rsidR="008D5EA9" w:rsidRPr="00661187">
              <w:rPr>
                <w:rFonts w:cs="Times"/>
                <w:bCs w:val="0"/>
                <w:sz w:val="22"/>
                <w:szCs w:val="22"/>
              </w:rPr>
              <w:t xml:space="preserve">w warunkach stacjonarnych w izbie przyjęć. </w:t>
            </w:r>
          </w:p>
          <w:p w14:paraId="23663938" w14:textId="61BD1A99" w:rsidR="0044013E" w:rsidRDefault="0044013E" w:rsidP="004401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_Hlk52190988"/>
            <w:r>
              <w:rPr>
                <w:rFonts w:ascii="Times" w:hAnsi="Times" w:cs="Times"/>
                <w:lang w:eastAsia="pl-PL"/>
              </w:rPr>
              <w:t xml:space="preserve">Ponadto, </w:t>
            </w:r>
            <w:r w:rsidR="00A77FAF" w:rsidRPr="00661187">
              <w:rPr>
                <w:rFonts w:ascii="Times" w:hAnsi="Times" w:cs="Times"/>
                <w:lang w:eastAsia="pl-PL"/>
              </w:rPr>
              <w:t xml:space="preserve">w </w:t>
            </w:r>
            <w:r w:rsidR="00E60A9F" w:rsidRPr="00661187">
              <w:rPr>
                <w:rFonts w:ascii="Times" w:hAnsi="Times" w:cs="Times"/>
                <w:lang w:eastAsia="pl-PL"/>
              </w:rPr>
              <w:t xml:space="preserve">załączniku nr 2 </w:t>
            </w:r>
            <w:r w:rsidR="004C59C5" w:rsidRPr="00661187">
              <w:rPr>
                <w:rFonts w:ascii="Times" w:hAnsi="Times" w:cs="Times"/>
                <w:lang w:eastAsia="pl-PL"/>
              </w:rPr>
              <w:t xml:space="preserve">do rozporządzenia </w:t>
            </w:r>
            <w:r w:rsidR="00E60A9F" w:rsidRPr="00661187">
              <w:rPr>
                <w:rFonts w:ascii="Times" w:hAnsi="Times" w:cs="Times"/>
                <w:lang w:eastAsia="pl-PL"/>
              </w:rPr>
              <w:t>dokonano zmian w zakresie warunków realizacji świadczeń gwarantowanych w odniesieniu do personelu pielęgniarskiego</w:t>
            </w:r>
            <w:r w:rsidRPr="00661187">
              <w:rPr>
                <w:rFonts w:ascii="Times" w:hAnsi="Times" w:cs="Times"/>
                <w:lang w:eastAsia="pl-PL"/>
              </w:rPr>
              <w:t xml:space="preserve"> </w:t>
            </w:r>
            <w:r>
              <w:rPr>
                <w:rFonts w:ascii="Times" w:hAnsi="Times" w:cs="Times"/>
                <w:lang w:eastAsia="pl-PL"/>
              </w:rPr>
              <w:t>(</w:t>
            </w:r>
            <w:r w:rsidRPr="00661187">
              <w:rPr>
                <w:rFonts w:ascii="Times" w:hAnsi="Times" w:cs="Times"/>
                <w:lang w:eastAsia="pl-PL"/>
              </w:rPr>
              <w:t>lp. 1-11 i 14</w:t>
            </w:r>
            <w:r>
              <w:rPr>
                <w:rFonts w:ascii="Times" w:hAnsi="Times" w:cs="Times"/>
                <w:lang w:eastAsia="pl-PL"/>
              </w:rPr>
              <w:t>)</w:t>
            </w:r>
            <w:r w:rsidR="00104274" w:rsidRPr="00661187">
              <w:rPr>
                <w:rFonts w:ascii="Times" w:hAnsi="Times" w:cs="Times"/>
                <w:lang w:eastAsia="pl-PL"/>
              </w:rPr>
              <w:t xml:space="preserve">. Zmiany dotyczą rezygnacji </w:t>
            </w:r>
            <w:r w:rsidR="00E60A9F" w:rsidRPr="00661187">
              <w:rPr>
                <w:rFonts w:ascii="Times" w:hAnsi="Times" w:cs="Times"/>
                <w:lang w:eastAsia="pl-PL"/>
              </w:rPr>
              <w:t xml:space="preserve">określenia norm </w:t>
            </w:r>
            <w:r w:rsidR="00E60A9F" w:rsidRPr="0044013E">
              <w:rPr>
                <w:rFonts w:ascii="Times New Roman" w:hAnsi="Times New Roman" w:cs="Times New Roman"/>
                <w:lang w:eastAsia="pl-PL"/>
              </w:rPr>
              <w:t xml:space="preserve">zatrudnienia dla pielęgniarek (równoważników etatu </w:t>
            </w:r>
            <w:r w:rsidR="001D461A" w:rsidRPr="0044013E">
              <w:rPr>
                <w:rFonts w:ascii="Times New Roman" w:hAnsi="Times New Roman" w:cs="Times New Roman"/>
                <w:lang w:eastAsia="pl-PL"/>
              </w:rPr>
              <w:t xml:space="preserve">pielęgniarki </w:t>
            </w:r>
            <w:r w:rsidR="00E60A9F" w:rsidRPr="0044013E">
              <w:rPr>
                <w:rFonts w:ascii="Times New Roman" w:hAnsi="Times New Roman" w:cs="Times New Roman"/>
                <w:lang w:eastAsia="pl-PL"/>
              </w:rPr>
              <w:t xml:space="preserve">na łóżko oraz kwalifikacji zawodowych w </w:t>
            </w:r>
            <w:r w:rsidR="004C59C5" w:rsidRPr="0044013E">
              <w:rPr>
                <w:rFonts w:ascii="Times New Roman" w:hAnsi="Times New Roman" w:cs="Times New Roman"/>
                <w:lang w:eastAsia="pl-PL"/>
              </w:rPr>
              <w:t>poszczególnych z</w:t>
            </w:r>
            <w:r w:rsidR="00E60A9F" w:rsidRPr="0044013E">
              <w:rPr>
                <w:rFonts w:ascii="Times New Roman" w:hAnsi="Times New Roman" w:cs="Times New Roman"/>
                <w:lang w:eastAsia="pl-PL"/>
              </w:rPr>
              <w:t>akresach świadczeń realizowanych w warunkach stacjonarnych leczenia uzależnień</w:t>
            </w:r>
            <w:r w:rsidR="004C59C5" w:rsidRPr="0044013E">
              <w:rPr>
                <w:rFonts w:ascii="Times New Roman" w:hAnsi="Times New Roman" w:cs="Times New Roman"/>
                <w:lang w:eastAsia="pl-PL"/>
              </w:rPr>
              <w:t>)</w:t>
            </w:r>
            <w:r w:rsidR="00E60A9F" w:rsidRPr="0044013E">
              <w:rPr>
                <w:rFonts w:ascii="Times New Roman" w:hAnsi="Times New Roman" w:cs="Times New Roman"/>
                <w:lang w:eastAsia="pl-PL"/>
              </w:rPr>
              <w:t>.</w:t>
            </w:r>
            <w:r w:rsidR="00B8168B" w:rsidRPr="0044013E">
              <w:rPr>
                <w:rFonts w:ascii="Times New Roman" w:hAnsi="Times New Roman" w:cs="Times New Roman"/>
              </w:rPr>
              <w:t xml:space="preserve"> </w:t>
            </w:r>
          </w:p>
          <w:p w14:paraId="2EB251B3" w14:textId="48770E5F" w:rsidR="00F41CC3" w:rsidRPr="0044013E" w:rsidRDefault="00F41CC3" w:rsidP="004401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CC3">
              <w:rPr>
                <w:rFonts w:ascii="Times New Roman" w:hAnsi="Times New Roman" w:cs="Times New Roman"/>
              </w:rPr>
              <w:t>Pokreślenia wymaga, iż w załączniku nr 2 do rozporządzenia w zakresie świadczeń gwarantowanych w warunkach stacjonarnych leczenia uzależnień realizowanych przez pielęgniarki (lp. 1-11 i 14), w którym nie wprowadzono wskaźników zatrudnienia pielęgniarek, nadal mają zastosowanie przepisy rozporządzenia Ministra Zdrowia z dnia 28 grudnia 2012 r. w sprawie sposobu ustalania minimalnych norm zatrudnienia pielęgniarek i położnych w podmiotach leczniczych niebędących przedsiębiorcami (Dz. U. poz. 1545).</w:t>
            </w:r>
          </w:p>
          <w:p w14:paraId="0428F2F9" w14:textId="2E48AE66" w:rsidR="001D3DF1" w:rsidRPr="00661187" w:rsidRDefault="00661187" w:rsidP="0044013E">
            <w:pPr>
              <w:spacing w:after="0" w:line="240" w:lineRule="auto"/>
              <w:jc w:val="both"/>
              <w:rPr>
                <w:rFonts w:cs="Times"/>
              </w:rPr>
            </w:pPr>
            <w:r w:rsidRPr="0044013E">
              <w:rPr>
                <w:rFonts w:ascii="Times New Roman" w:hAnsi="Times New Roman" w:cs="Times New Roman"/>
              </w:rPr>
              <w:t>Projektowane zmiany pozwolą świadczeniodawcom na racjonalne zarządzanie</w:t>
            </w:r>
            <w:r w:rsidRPr="00733B92">
              <w:rPr>
                <w:rFonts w:ascii="Times New Roman" w:hAnsi="Times New Roman" w:cs="Times New Roman"/>
              </w:rPr>
              <w:t xml:space="preserve"> zasobami ludzkimi oraz</w:t>
            </w:r>
            <w:r w:rsidRPr="00661187">
              <w:rPr>
                <w:rFonts w:ascii="Times New Roman" w:hAnsi="Times New Roman" w:cs="Times New Roman"/>
              </w:rPr>
              <w:t xml:space="preserve"> prawidłowe zapewnienie bezpieczeństwa pacjentów i pielęgniarek udzielających świadczeń w tym zakresie.</w:t>
            </w:r>
            <w:bookmarkEnd w:id="3"/>
          </w:p>
        </w:tc>
      </w:tr>
      <w:tr w:rsidR="00661187" w:rsidRPr="00661187" w14:paraId="3D8626AD" w14:textId="77777777" w:rsidTr="00665030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3C090F6" w14:textId="77777777" w:rsidR="0058652F" w:rsidRPr="00661187" w:rsidRDefault="0058652F" w:rsidP="0066503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661187">
              <w:rPr>
                <w:rFonts w:ascii="Times New Roman" w:eastAsia="Calibri" w:hAnsi="Times New Roman" w:cs="Times New Roman"/>
                <w:b/>
              </w:rPr>
              <w:t>?</w:t>
            </w:r>
            <w:r w:rsidRPr="0066118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661187" w:rsidRPr="00661187" w14:paraId="6C75F06F" w14:textId="77777777" w:rsidTr="0066503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E8697AF" w14:textId="51995859" w:rsidR="0058652F" w:rsidRPr="00661187" w:rsidRDefault="0058652F" w:rsidP="00665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Brak danych</w:t>
            </w:r>
            <w:r w:rsidR="00627D1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61187" w:rsidRPr="00661187" w14:paraId="23F42B3A" w14:textId="77777777" w:rsidTr="00665030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395C6B1" w14:textId="77777777" w:rsidR="0058652F" w:rsidRPr="00661187" w:rsidRDefault="0058652F" w:rsidP="0066503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661187" w:rsidRPr="00661187" w14:paraId="063CF203" w14:textId="77777777" w:rsidTr="00665030">
        <w:trPr>
          <w:gridAfter w:val="1"/>
          <w:wAfter w:w="10" w:type="dxa"/>
          <w:trHeight w:val="142"/>
        </w:trPr>
        <w:tc>
          <w:tcPr>
            <w:tcW w:w="2668" w:type="dxa"/>
            <w:gridSpan w:val="4"/>
            <w:shd w:val="clear" w:color="auto" w:fill="auto"/>
          </w:tcPr>
          <w:p w14:paraId="692B0903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3305BA1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2554" w:type="dxa"/>
            <w:gridSpan w:val="10"/>
            <w:shd w:val="clear" w:color="auto" w:fill="auto"/>
          </w:tcPr>
          <w:p w14:paraId="7DC0E3D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>Źródło danych</w:t>
            </w:r>
            <w:r w:rsidRPr="00661187" w:rsidDel="00260F3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6BF08C2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661187" w:rsidRPr="00661187" w14:paraId="16F29905" w14:textId="77777777" w:rsidTr="00665030">
        <w:trPr>
          <w:gridAfter w:val="1"/>
          <w:wAfter w:w="10" w:type="dxa"/>
          <w:trHeight w:val="833"/>
        </w:trPr>
        <w:tc>
          <w:tcPr>
            <w:tcW w:w="2668" w:type="dxa"/>
            <w:gridSpan w:val="4"/>
            <w:shd w:val="clear" w:color="auto" w:fill="auto"/>
            <w:vAlign w:val="center"/>
          </w:tcPr>
          <w:p w14:paraId="6B1D01BA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>Świadczeniodawcy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52D835F4" w14:textId="2A15186E" w:rsidR="0058652F" w:rsidRPr="00661187" w:rsidRDefault="00F41CC3" w:rsidP="0066503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667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4B9AB55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 xml:space="preserve">Narodowy Fundusz Zdrowia </w:t>
            </w:r>
          </w:p>
        </w:tc>
        <w:tc>
          <w:tcPr>
            <w:tcW w:w="3423" w:type="dxa"/>
            <w:gridSpan w:val="8"/>
            <w:shd w:val="clear" w:color="auto" w:fill="auto"/>
            <w:vAlign w:val="center"/>
          </w:tcPr>
          <w:p w14:paraId="092CCE4A" w14:textId="77777777" w:rsidR="0058652F" w:rsidRPr="00661187" w:rsidRDefault="0058652F" w:rsidP="006650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Times New Roman" w:hAnsi="Times New Roman" w:cs="Times New Roman"/>
                <w:lang w:eastAsia="pl-PL"/>
              </w:rPr>
              <w:t xml:space="preserve">Zwiększenie dostępności do </w:t>
            </w:r>
            <w:r w:rsidRPr="00661187">
              <w:rPr>
                <w:rFonts w:ascii="Times" w:eastAsia="Times New Roman" w:hAnsi="Times" w:cs="Times"/>
                <w:lang w:eastAsia="pl-PL"/>
              </w:rPr>
              <w:t xml:space="preserve">świadczeń udzielanych przez pielęgniarki </w:t>
            </w:r>
            <w:r w:rsidRPr="00661187">
              <w:rPr>
                <w:rFonts w:ascii="Times" w:hAnsi="Times" w:cs="Times"/>
              </w:rPr>
              <w:t>w opiece psychiatrycznej i leczeniu uzależnień</w:t>
            </w:r>
            <w:r w:rsidRPr="00661187">
              <w:rPr>
                <w:rFonts w:ascii="Times" w:eastAsia="Times New Roman" w:hAnsi="Times" w:cs="Times"/>
                <w:lang w:eastAsia="pl-PL"/>
              </w:rPr>
              <w:t xml:space="preserve">. </w:t>
            </w:r>
            <w:r w:rsidRPr="00661187">
              <w:rPr>
                <w:rFonts w:ascii="Times" w:hAnsi="Times" w:cs="Times"/>
              </w:rPr>
              <w:t>Urealnienie wymogów w zakresie norm zatrudniania pielęgniarek –</w:t>
            </w:r>
            <w:r w:rsidRPr="00661187">
              <w:rPr>
                <w:rFonts w:ascii="Times New Roman" w:hAnsi="Times New Roman" w:cs="Times New Roman"/>
              </w:rPr>
              <w:t xml:space="preserve"> optymalizacja kosztów. </w:t>
            </w:r>
          </w:p>
        </w:tc>
      </w:tr>
      <w:tr w:rsidR="00661187" w:rsidRPr="00661187" w14:paraId="5B66C73C" w14:textId="77777777" w:rsidTr="00665030">
        <w:trPr>
          <w:gridAfter w:val="1"/>
          <w:wAfter w:w="10" w:type="dxa"/>
          <w:trHeight w:val="833"/>
        </w:trPr>
        <w:tc>
          <w:tcPr>
            <w:tcW w:w="2668" w:type="dxa"/>
            <w:gridSpan w:val="4"/>
            <w:shd w:val="clear" w:color="auto" w:fill="auto"/>
            <w:vAlign w:val="center"/>
          </w:tcPr>
          <w:p w14:paraId="73E507C4" w14:textId="7A103778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 xml:space="preserve">Pielęgniarki </w:t>
            </w:r>
            <w:r w:rsidR="00627D1A">
              <w:rPr>
                <w:rFonts w:ascii="Times New Roman" w:eastAsia="Calibri" w:hAnsi="Times New Roman" w:cs="Times New Roman"/>
                <w:spacing w:val="-2"/>
              </w:rPr>
              <w:t xml:space="preserve">udzielające świadczeń opieki zdrowotnej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>w opiece psychiatrycznej i leczeniu uzależnień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3467D7D3" w14:textId="34C2D381" w:rsidR="0058652F" w:rsidRPr="00661187" w:rsidRDefault="00F41CC3" w:rsidP="0066503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9932,55</w:t>
            </w:r>
            <w:r w:rsidR="008B5C07">
              <w:rPr>
                <w:rFonts w:ascii="Times New Roman" w:eastAsia="Times New Roman" w:hAnsi="Times New Roman" w:cs="Times New Roman"/>
                <w:lang w:eastAsia="pl-PL"/>
              </w:rPr>
              <w:t xml:space="preserve"> (równoważniki etatów)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0ECF899B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>Narodowy Fundusz Zdrowia</w:t>
            </w:r>
          </w:p>
        </w:tc>
        <w:tc>
          <w:tcPr>
            <w:tcW w:w="3423" w:type="dxa"/>
            <w:gridSpan w:val="8"/>
            <w:shd w:val="clear" w:color="auto" w:fill="auto"/>
            <w:vAlign w:val="center"/>
          </w:tcPr>
          <w:p w14:paraId="4ADEAB84" w14:textId="77777777" w:rsidR="0058652F" w:rsidRPr="00661187" w:rsidRDefault="0058652F" w:rsidP="00665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1187">
              <w:rPr>
                <w:rFonts w:ascii="Times New Roman" w:eastAsia="Times New Roman" w:hAnsi="Times New Roman" w:cs="Times New Roman"/>
                <w:lang w:eastAsia="pl-PL"/>
              </w:rPr>
              <w:t>Umożliwienie realizacji oraz zachowanie odpowiedniej jakości udzielanych świadczeń przez personel pielęgniarski.</w:t>
            </w:r>
          </w:p>
        </w:tc>
      </w:tr>
      <w:tr w:rsidR="00661187" w:rsidRPr="00661187" w14:paraId="5BF33939" w14:textId="77777777" w:rsidTr="00665030">
        <w:trPr>
          <w:gridAfter w:val="1"/>
          <w:wAfter w:w="10" w:type="dxa"/>
          <w:trHeight w:val="833"/>
        </w:trPr>
        <w:tc>
          <w:tcPr>
            <w:tcW w:w="2668" w:type="dxa"/>
            <w:gridSpan w:val="4"/>
            <w:shd w:val="clear" w:color="auto" w:fill="auto"/>
            <w:vAlign w:val="center"/>
          </w:tcPr>
          <w:p w14:paraId="10F6324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>Narodowy Fundusz Zdrowia</w:t>
            </w:r>
          </w:p>
        </w:tc>
        <w:tc>
          <w:tcPr>
            <w:tcW w:w="2292" w:type="dxa"/>
            <w:gridSpan w:val="7"/>
            <w:shd w:val="clear" w:color="auto" w:fill="auto"/>
            <w:vAlign w:val="center"/>
          </w:tcPr>
          <w:p w14:paraId="4FF45DDB" w14:textId="77777777" w:rsidR="0058652F" w:rsidRPr="00661187" w:rsidRDefault="0058652F" w:rsidP="0066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118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6CC1890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 xml:space="preserve">Ustawa z dnia 27 sierpnia 2004 r. o świadczeniach opieki zdrowotnej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lastRenderedPageBreak/>
              <w:t>finansowanych ze środków publicznych</w:t>
            </w:r>
          </w:p>
          <w:p w14:paraId="57B1BB29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3423" w:type="dxa"/>
            <w:gridSpan w:val="8"/>
            <w:shd w:val="clear" w:color="auto" w:fill="auto"/>
            <w:vAlign w:val="center"/>
          </w:tcPr>
          <w:p w14:paraId="5865FEF7" w14:textId="77777777" w:rsidR="0058652F" w:rsidRPr="00661187" w:rsidRDefault="0058652F" w:rsidP="00665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118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Finansowanie wyodrębnionych świadczeń gwarantowanych.</w:t>
            </w:r>
          </w:p>
        </w:tc>
      </w:tr>
      <w:tr w:rsidR="00661187" w:rsidRPr="00661187" w14:paraId="6A69CEE8" w14:textId="77777777" w:rsidTr="00665030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E72457" w14:textId="77777777" w:rsidR="0058652F" w:rsidRPr="00661187" w:rsidRDefault="0058652F" w:rsidP="0066503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661187" w:rsidRPr="00661187" w14:paraId="62DF28DB" w14:textId="77777777" w:rsidTr="00665030">
        <w:trPr>
          <w:gridAfter w:val="1"/>
          <w:wAfter w:w="10" w:type="dxa"/>
          <w:trHeight w:val="562"/>
        </w:trPr>
        <w:tc>
          <w:tcPr>
            <w:tcW w:w="10937" w:type="dxa"/>
            <w:gridSpan w:val="29"/>
            <w:shd w:val="clear" w:color="auto" w:fill="FFFFFF"/>
          </w:tcPr>
          <w:p w14:paraId="7833880C" w14:textId="6CEE69BD" w:rsidR="0058652F" w:rsidRPr="00661187" w:rsidRDefault="0058652F" w:rsidP="004C5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bookmarkStart w:id="4" w:name="_Hlk32924864"/>
            <w:r w:rsidRPr="00661187">
              <w:rPr>
                <w:rFonts w:ascii="Times New Roman" w:hAnsi="Times New Roman"/>
                <w:spacing w:val="-2"/>
              </w:rPr>
              <w:t xml:space="preserve">Projekt nie </w:t>
            </w:r>
            <w:r w:rsidR="00173808" w:rsidRPr="00661187">
              <w:rPr>
                <w:rFonts w:ascii="Times New Roman" w:hAnsi="Times New Roman"/>
                <w:spacing w:val="-2"/>
              </w:rPr>
              <w:t xml:space="preserve">był </w:t>
            </w:r>
            <w:r w:rsidRPr="00661187">
              <w:rPr>
                <w:rFonts w:ascii="Times New Roman" w:hAnsi="Times New Roman"/>
                <w:spacing w:val="-2"/>
              </w:rPr>
              <w:t xml:space="preserve">przedmiotem </w:t>
            </w:r>
            <w:proofErr w:type="spellStart"/>
            <w:r w:rsidRPr="00661187">
              <w:rPr>
                <w:rFonts w:ascii="Times New Roman" w:hAnsi="Times New Roman"/>
                <w:spacing w:val="-2"/>
              </w:rPr>
              <w:t>pre</w:t>
            </w:r>
            <w:proofErr w:type="spellEnd"/>
            <w:r w:rsidRPr="00661187">
              <w:rPr>
                <w:rFonts w:ascii="Times New Roman" w:hAnsi="Times New Roman"/>
                <w:spacing w:val="-2"/>
              </w:rPr>
              <w:t xml:space="preserve">-konsultacji. </w:t>
            </w:r>
          </w:p>
          <w:p w14:paraId="6BF73888" w14:textId="080A046B" w:rsidR="0058652F" w:rsidRPr="00661187" w:rsidRDefault="0058652F" w:rsidP="00665030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61187">
              <w:rPr>
                <w:rFonts w:ascii="Times New Roman" w:hAnsi="Times New Roman"/>
                <w:spacing w:val="-2"/>
              </w:rPr>
              <w:t xml:space="preserve">Projekt </w:t>
            </w:r>
            <w:r w:rsidRPr="00661187">
              <w:rPr>
                <w:rFonts w:ascii="Times New Roman" w:eastAsia="Calibri" w:hAnsi="Times New Roman" w:cs="Times New Roman"/>
                <w:shd w:val="clear" w:color="auto" w:fill="FFFFFF"/>
              </w:rPr>
              <w:t>zost</w:t>
            </w:r>
            <w:r w:rsidR="00196248" w:rsidRPr="00661187"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="00FB26CF">
              <w:rPr>
                <w:rFonts w:ascii="Times New Roman" w:eastAsia="Calibri" w:hAnsi="Times New Roman" w:cs="Times New Roman"/>
                <w:shd w:val="clear" w:color="auto" w:fill="FFFFFF"/>
              </w:rPr>
              <w:t>ł</w:t>
            </w:r>
            <w:r w:rsidR="00196248" w:rsidRPr="00661187">
              <w:rPr>
                <w:rFonts w:ascii="Times New Roman" w:hAnsi="Times New Roman"/>
                <w:spacing w:val="-2"/>
              </w:rPr>
              <w:t xml:space="preserve"> </w:t>
            </w:r>
            <w:r w:rsidRPr="00661187">
              <w:rPr>
                <w:rFonts w:ascii="Times New Roman" w:hAnsi="Times New Roman"/>
                <w:spacing w:val="-2"/>
              </w:rPr>
              <w:t xml:space="preserve">skierowany do konsultacji publicznych i opiniowania z </w:t>
            </w:r>
            <w:r w:rsidR="00196248" w:rsidRPr="00661187">
              <w:rPr>
                <w:rFonts w:ascii="Times New Roman" w:hAnsi="Times New Roman"/>
                <w:spacing w:val="-2"/>
              </w:rPr>
              <w:t>14</w:t>
            </w:r>
            <w:r w:rsidRPr="00661187">
              <w:rPr>
                <w:rFonts w:ascii="Times New Roman" w:hAnsi="Times New Roman"/>
                <w:spacing w:val="-2"/>
              </w:rPr>
              <w:t xml:space="preserve">-dniowym terminem zgłaszania uwag. </w:t>
            </w:r>
          </w:p>
          <w:p w14:paraId="2D5B6DAB" w14:textId="3DE0B3C7" w:rsidR="00FC4626" w:rsidRPr="00FC4626" w:rsidRDefault="0058652F" w:rsidP="00FC4626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hd w:val="clear" w:color="auto" w:fill="FFFFFF"/>
              </w:rPr>
              <w:t>Projekt</w:t>
            </w:r>
            <w:r w:rsidRPr="00661187">
              <w:rPr>
                <w:rFonts w:ascii="Times New Roman" w:hAnsi="Times New Roman"/>
                <w:spacing w:val="-2"/>
              </w:rPr>
              <w:t xml:space="preserve"> zost</w:t>
            </w:r>
            <w:r w:rsidR="00FB26CF">
              <w:rPr>
                <w:rFonts w:ascii="Times New Roman" w:hAnsi="Times New Roman"/>
                <w:spacing w:val="-2"/>
              </w:rPr>
              <w:t>ał</w:t>
            </w:r>
            <w:r w:rsidRPr="00661187">
              <w:rPr>
                <w:rFonts w:ascii="Times New Roman" w:hAnsi="Times New Roman"/>
                <w:spacing w:val="-2"/>
              </w:rPr>
              <w:t xml:space="preserve"> do opiniowania i konsultacji publicznych</w:t>
            </w:r>
            <w:r w:rsidR="00C4741B" w:rsidRPr="00661187">
              <w:rPr>
                <w:rFonts w:ascii="Times New Roman" w:hAnsi="Times New Roman"/>
                <w:spacing w:val="-2"/>
              </w:rPr>
              <w:t xml:space="preserve"> </w:t>
            </w:r>
            <w:r w:rsidR="00F406F0">
              <w:rPr>
                <w:rFonts w:ascii="Times New Roman" w:hAnsi="Times New Roman"/>
                <w:spacing w:val="-2"/>
              </w:rPr>
              <w:t>otrzymają</w:t>
            </w:r>
            <w:r w:rsidRPr="00661187">
              <w:rPr>
                <w:rFonts w:ascii="Times New Roman" w:hAnsi="Times New Roman"/>
                <w:spacing w:val="-2"/>
              </w:rPr>
              <w:t xml:space="preserve">: </w:t>
            </w:r>
            <w:r w:rsidR="00FC4626" w:rsidRPr="00FF574D">
              <w:rPr>
                <w:rFonts w:ascii="Times New Roman" w:hAnsi="Times New Roman"/>
                <w:spacing w:val="-2"/>
              </w:rPr>
              <w:t>Naczelna Rada Pielęgniarek i Położnych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Naczelna Rada Lekarska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Krajowa Rada Diagnostów Laboratoryjnych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Krajowa Rada Fizjoterapeutów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Ogólnopolski Związek Zawodowy Pielęgniarek i Położnych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Ogólnopolski Związek Zawodowy Położnych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Ogólnopolskie Porozumienie Związków Zawodowych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Ogólnopolski Związek Zawodowy Lekarzy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Forum Związków Zawodowych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Komisja Wspólna Rządu i Samorządu Terytorialnego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Centrum Kształcenia Podyplomowego Pielęgniarek i Położnych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Centrum e–Zdrowia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medycyny rodzinnej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pielęgniarstwa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pielęgniarstwa rodzinnego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pielęgniarstwa onkologicznego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pielęgniarstwa ginekologiczno-położniczego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pielęgniarstwa opieki długoterminowej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pielęgniarstwa anestezjologicznego i intensywnej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 o</w:t>
            </w:r>
            <w:r w:rsidR="00FC4626" w:rsidRPr="00FF574D">
              <w:rPr>
                <w:rFonts w:ascii="Times New Roman" w:hAnsi="Times New Roman"/>
                <w:spacing w:val="-2"/>
              </w:rPr>
              <w:t>pieki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pielęgniarstwa pediatrycznego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pielęgniarstwa epidemiologicznego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pielęgniarstwa psychiatrycznego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pielęgniarstwa ratunkowego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pielęgniarstwa opieki paliatywnej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pielęgniarstwa chirurgicznego i operacyjnego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pielęgniarstwa diabetologicznego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dziedzinie pielęgniarstwa geriatrycznego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Konsultant Krajowy w do spraw obronności w dziedzinie pielęgniarstwa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Kolegium Pielęgniarek i Położnych Rodzinnych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Konferencja Rektorów Akademickich Uczelni Medycznych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Rzecznik Praw Pacjenta</w:t>
            </w:r>
            <w:r w:rsidR="00FC4626" w:rsidRPr="00FC4626">
              <w:rPr>
                <w:rFonts w:ascii="Times New Roman" w:hAnsi="Times New Roman"/>
                <w:spacing w:val="-2"/>
              </w:rPr>
              <w:t>, wojewodowie, marszałkowie województw,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Związek Powiatów Polskich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Związek Miast Polskich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Związek Pracodawców Business Center Club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Związek Rzemiosła Polskiego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Porozumienie Pracodawców Ochrony Zdrowia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Pracodawcy Zdrowia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Konfederacja Lewiatan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Pracodawcy Rzeczpospolitej Polskiej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Stowarzyszenie Menedżerów Opieki Zdrowotnej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Stowarzyszenie Menedżerów Pielęgniarstwa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Krajowy Sekretariat Ochrony Zdrowia NSZZ „Solidarność 80"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Niezależny Samorządny Związek Zawodowy „Solidarność”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Stowarzyszenie Pacjentów </w:t>
            </w:r>
            <w:proofErr w:type="spellStart"/>
            <w:r w:rsidR="00FC4626" w:rsidRPr="00FF574D">
              <w:rPr>
                <w:rFonts w:ascii="Times New Roman" w:hAnsi="Times New Roman"/>
                <w:spacing w:val="-2"/>
              </w:rPr>
              <w:t>Primum</w:t>
            </w:r>
            <w:proofErr w:type="spellEnd"/>
            <w:r w:rsidR="00FC4626" w:rsidRPr="00FF574D">
              <w:rPr>
                <w:rFonts w:ascii="Times New Roman" w:hAnsi="Times New Roman"/>
                <w:spacing w:val="-2"/>
              </w:rPr>
              <w:t xml:space="preserve"> Non </w:t>
            </w:r>
            <w:proofErr w:type="spellStart"/>
            <w:r w:rsidR="00FC4626" w:rsidRPr="00FF574D">
              <w:rPr>
                <w:rFonts w:ascii="Times New Roman" w:hAnsi="Times New Roman"/>
                <w:spacing w:val="-2"/>
              </w:rPr>
              <w:t>Nocere</w:t>
            </w:r>
            <w:proofErr w:type="spellEnd"/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Stowarzyszenie „Dla Dobra Pacjenta”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Stowarzyszenie „Hospicjum Domowe”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Ogólnopolska Konfederacja Związków Zawodowych Pracowników Ochrony Zdrowia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Ogólnopolski Związek Pracodawców Prywatnej Służby Zdrowia – Medycyna Prywatna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Federacja Związków Pracodawców Opieki Zdrowotnej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Federacja Związków Pracodawców Ochrony Zdrowia – „Porozumienie Zielonogórskie”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Federacja Związków Zawodowych Pracowników Ochrony Zdrowia i Pomocy Społecznej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Polskie Towarzystwo Pielęgniarskie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Polskie Towarzystwo Położnych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Polskie Towarzystwo Pielęgniarek Neurologicznych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Polskie Stowarzyszenie Pielęgniarek Epidemiologicznych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Małopolskie Stowarzyszenie Pielęgniarek i Higienistek Środowiskowych Medycyny Szkolnej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Polskie Stowarzyszenie Pielęgniarek Onkologicznych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Polskie Towarzystwo Pielęgniarek Anestezjologicznych i Intensywnej Opieki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Polskie Towarzystwo Pielęgniarstwa Opieki Paliatywnej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Polskie Towarzystwo Pielęgniarek i Położnych Neonatologicznych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Polskie Stowarzyszenie Pielęgniarek Pediatrycznych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Polskie Stowarzyszenie Pielęgniarek </w:t>
            </w:r>
            <w:proofErr w:type="spellStart"/>
            <w:r w:rsidR="00FC4626" w:rsidRPr="00FF574D">
              <w:rPr>
                <w:rFonts w:ascii="Times New Roman" w:hAnsi="Times New Roman"/>
                <w:spacing w:val="-2"/>
              </w:rPr>
              <w:t>Stomijnych</w:t>
            </w:r>
            <w:proofErr w:type="spellEnd"/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Ogólnopolskie Stowarzyszenie Opiekunów Medycznych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Fundacja Rozwoju Pielęgniarstwa Nefrologicznego i Transplantologicznego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Fundacja Warszawskie Hospicjum dla Dzieci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Polskie Stowarzyszenie Perfuzjonistów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Instytut Praw Pacjenta i Edukacji Zdrowotnej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Rada Dialogu Społecznego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Stowarzyszenie MONAR</w:t>
            </w:r>
            <w:r w:rsidR="00FC4626" w:rsidRPr="00FC4626">
              <w:rPr>
                <w:rFonts w:ascii="Times New Roman" w:hAnsi="Times New Roman"/>
                <w:spacing w:val="-2"/>
              </w:rPr>
              <w:t xml:space="preserve">, </w:t>
            </w:r>
            <w:r w:rsidR="00FC4626" w:rsidRPr="00FF574D">
              <w:rPr>
                <w:rFonts w:ascii="Times New Roman" w:hAnsi="Times New Roman"/>
                <w:spacing w:val="-2"/>
              </w:rPr>
              <w:t>Stowarzyszenie Oddziałów Psychiatrii Szpitali Ogólnych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Związek Pracodawców Opieki Psychiatrycznej i Leczenia Uzależnień</w:t>
            </w:r>
            <w:r w:rsidR="00FC4626" w:rsidRPr="00FC4626">
              <w:rPr>
                <w:rFonts w:ascii="Times New Roman" w:hAnsi="Times New Roman"/>
                <w:spacing w:val="-2"/>
              </w:rPr>
              <w:t>,</w:t>
            </w:r>
            <w:r w:rsidR="00FC4626" w:rsidRPr="00FF574D">
              <w:rPr>
                <w:rFonts w:ascii="Times New Roman" w:hAnsi="Times New Roman"/>
                <w:spacing w:val="-2"/>
              </w:rPr>
              <w:t xml:space="preserve"> Związek Pracodawców Podmiotów Leczenia Uzależnień</w:t>
            </w:r>
            <w:r w:rsidR="00FC4626" w:rsidRPr="00FC4626">
              <w:rPr>
                <w:rFonts w:ascii="Times New Roman" w:hAnsi="Times New Roman"/>
                <w:spacing w:val="-2"/>
              </w:rPr>
              <w:t>, Państwowa Agencja Rozwiązywania Problemów Alkoholowych.</w:t>
            </w:r>
          </w:p>
          <w:p w14:paraId="0640A322" w14:textId="278B12AA" w:rsidR="0058652F" w:rsidRPr="00661187" w:rsidRDefault="0058652F" w:rsidP="00665030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78BF0E37" w14:textId="7A9C332D" w:rsidR="0058652F" w:rsidRPr="00661187" w:rsidRDefault="0058652F" w:rsidP="0066503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61187">
              <w:rPr>
                <w:rFonts w:ascii="Times New Roman" w:eastAsia="Calibri" w:hAnsi="Times New Roman" w:cs="Times New Roman"/>
                <w:shd w:val="clear" w:color="auto" w:fill="FFFFFF"/>
              </w:rPr>
              <w:t>Projekt rozporządzenia zosta</w:t>
            </w:r>
            <w:r w:rsidR="00FB26C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ł </w:t>
            </w:r>
            <w:r w:rsidRPr="0066118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zamieszczony w Biuletynie Informacji Publicznej Ministerstwa Zdrowia zgodnie z art. 5  ustawy z dnia 7 lipca 2005 r. o działalności lobbingowej w procesie stanowienia prawa (Dz. U. z 2017 r. poz. 248) oraz </w:t>
            </w:r>
            <w:r w:rsidRPr="00661187">
              <w:rPr>
                <w:rFonts w:ascii="Times New Roman" w:eastAsia="Calibri" w:hAnsi="Times New Roman" w:cs="Times New Roman"/>
                <w:shd w:val="clear" w:color="auto" w:fill="FFFFFF"/>
              </w:rPr>
              <w:br/>
              <w:t xml:space="preserve">w Biuletynie Informacji Publicznej Rządowego Centrum Legislacji, zgodnie z § 52 uchwały nr 190 Rady Ministrów z dnia 29 października 2013 r. – Regulamin pracy Rady Ministrów (M.P. z 2016 r. poz. 1006, z </w:t>
            </w:r>
            <w:proofErr w:type="spellStart"/>
            <w:r w:rsidRPr="00661187">
              <w:rPr>
                <w:rFonts w:ascii="Times New Roman" w:eastAsia="Calibri" w:hAnsi="Times New Roman" w:cs="Times New Roman"/>
                <w:shd w:val="clear" w:color="auto" w:fill="FFFFFF"/>
              </w:rPr>
              <w:t>późn</w:t>
            </w:r>
            <w:proofErr w:type="spellEnd"/>
            <w:r w:rsidRPr="00661187">
              <w:rPr>
                <w:rFonts w:ascii="Times New Roman" w:eastAsia="Calibri" w:hAnsi="Times New Roman" w:cs="Times New Roman"/>
                <w:shd w:val="clear" w:color="auto" w:fill="FFFFFF"/>
              </w:rPr>
              <w:t>. zm.).</w:t>
            </w:r>
          </w:p>
          <w:p w14:paraId="54913D07" w14:textId="22CE1B50" w:rsidR="0058652F" w:rsidRPr="00661187" w:rsidRDefault="0058652F" w:rsidP="0066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61187">
              <w:rPr>
                <w:rFonts w:ascii="Times New Roman" w:eastAsia="Calibri" w:hAnsi="Times New Roman" w:cs="Times New Roman"/>
                <w:shd w:val="clear" w:color="auto" w:fill="FFFFFF"/>
              </w:rPr>
              <w:t>Wyniki konsultacji publicznych i opiniowania zosta</w:t>
            </w:r>
            <w:r w:rsidR="004C59C5" w:rsidRPr="0066118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ną </w:t>
            </w:r>
            <w:r w:rsidRPr="00661187">
              <w:rPr>
                <w:rFonts w:ascii="Times New Roman" w:eastAsia="Calibri" w:hAnsi="Times New Roman" w:cs="Times New Roman"/>
                <w:shd w:val="clear" w:color="auto" w:fill="FFFFFF"/>
              </w:rPr>
              <w:t>omówione w raporcie dołączonym do niniejszej Oceny.</w:t>
            </w:r>
            <w:bookmarkEnd w:id="4"/>
          </w:p>
        </w:tc>
      </w:tr>
      <w:tr w:rsidR="00661187" w:rsidRPr="00661187" w14:paraId="7EF59DA4" w14:textId="77777777" w:rsidTr="00665030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62F484E" w14:textId="77777777" w:rsidR="0058652F" w:rsidRPr="00661187" w:rsidRDefault="0058652F" w:rsidP="0066503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</w:rPr>
              <w:t xml:space="preserve"> Wpływ na sektor finansów publicznych</w:t>
            </w:r>
          </w:p>
        </w:tc>
      </w:tr>
      <w:tr w:rsidR="00661187" w:rsidRPr="00661187" w14:paraId="339606EC" w14:textId="77777777" w:rsidTr="00665030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vMerge w:val="restart"/>
            <w:shd w:val="clear" w:color="auto" w:fill="FFFFFF"/>
            <w:vAlign w:val="center"/>
          </w:tcPr>
          <w:p w14:paraId="2FAD9D75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(ceny stałe z 2018 r.)</w:t>
            </w:r>
          </w:p>
        </w:tc>
        <w:tc>
          <w:tcPr>
            <w:tcW w:w="8498" w:type="dxa"/>
            <w:gridSpan w:val="26"/>
            <w:shd w:val="clear" w:color="auto" w:fill="FFFFFF"/>
            <w:vAlign w:val="center"/>
          </w:tcPr>
          <w:p w14:paraId="327E552A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Skutki w okresie 10 lat od wejścia w życie zmian [mln zł]</w:t>
            </w:r>
          </w:p>
        </w:tc>
      </w:tr>
      <w:tr w:rsidR="00661187" w:rsidRPr="00661187" w14:paraId="19A884D8" w14:textId="77777777" w:rsidTr="00665030">
        <w:trPr>
          <w:gridAfter w:val="1"/>
          <w:wAfter w:w="10" w:type="dxa"/>
          <w:trHeight w:val="142"/>
        </w:trPr>
        <w:tc>
          <w:tcPr>
            <w:tcW w:w="2439" w:type="dxa"/>
            <w:gridSpan w:val="3"/>
            <w:vMerge/>
            <w:shd w:val="clear" w:color="auto" w:fill="FFFFFF"/>
            <w:vAlign w:val="center"/>
          </w:tcPr>
          <w:p w14:paraId="1D945D55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FCD584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3C15451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CC992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661CD61E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4F326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84CD29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638920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6345CFFB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848C30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A6F8EA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4C0A111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  <w:shd w:val="clear" w:color="auto" w:fill="FFFFFF"/>
            <w:vAlign w:val="center"/>
          </w:tcPr>
          <w:p w14:paraId="7CEFE17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 w:rsidR="00661187" w:rsidRPr="00661187" w14:paraId="582A30B2" w14:textId="77777777" w:rsidTr="00665030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70FD0F6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744164B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A18001B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5C8E2E1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56B487C3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6C91C41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C4DD05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03E7491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570ACC25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4468FBE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2053FD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E700B4E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7B6E7923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61187" w:rsidRPr="00661187" w14:paraId="08EAF0FD" w14:textId="77777777" w:rsidTr="00665030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59AF59A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4CD061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6F5E79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8811A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461B5C96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BBC3A1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4CC8D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4C283C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45472E2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6C38B5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6C4EF95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C27E75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51E2E7F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661187" w:rsidRPr="00661187" w14:paraId="3D504109" w14:textId="77777777" w:rsidTr="00665030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82BDB19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58128F9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0D989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FA3EBA3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7E93C60B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21A1B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344A2F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B2DE41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7A94C6FB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8A28FF5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797EB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3004FF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3E0768E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61187" w:rsidRPr="00661187" w14:paraId="5275C6F3" w14:textId="77777777" w:rsidTr="00665030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ADBBBF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Narodowy Fundusz Zdrowia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AC656A1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5F65A45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6F1E59A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69022B4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343E119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E1F316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DB82F6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DFECE6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341B69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07736A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7E35CD6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386D417A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61187" w:rsidRPr="00661187" w14:paraId="204976A7" w14:textId="77777777" w:rsidTr="00665030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B5E4C1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B9AEDB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9D947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5565C8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14:paraId="6D29383B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15F135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774C2D9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563D00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1317F0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14:paraId="32E3169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CE5AF83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28B119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4C2E1E33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187" w:rsidRPr="00661187" w14:paraId="63FF953A" w14:textId="77777777" w:rsidTr="00665030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D599C4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1CCAE0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43C12EA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FAE5779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3E5EAD33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1275B1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DDF3C5A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81B3A3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37950AA6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BC664C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145A3E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8D6C86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12D3D78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61187" w:rsidRPr="00661187" w14:paraId="5172DAFC" w14:textId="77777777" w:rsidTr="00665030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F0CCDB3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93C40FE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7961881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436EA9A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49D2D256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7DC168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158A7AA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1124D2D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4CB950C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C5CD7DA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0D1C62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AAC691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2349634A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61187" w:rsidRPr="00661187" w14:paraId="7B8E7C3A" w14:textId="77777777" w:rsidTr="00665030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E47CBD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Narodowy Fundusz Zdrowia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364C0B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B4207B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F2FE70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0BBDE92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FA75F0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F671A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372FE2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4D8C893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377D5A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4CFC2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7247B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0E37539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61187" w:rsidRPr="00661187" w14:paraId="519BEF0F" w14:textId="77777777" w:rsidTr="00665030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440BC0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2791A73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AF88E6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C7D1E4E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370051FB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55D42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1B82745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0C752C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9BEF4B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4DBF875E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B90E65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16A0C1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7C5E883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61187" w:rsidRPr="00661187" w14:paraId="68FE1464" w14:textId="77777777" w:rsidTr="00665030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62EE6E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05CADDE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E86ECD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9391A7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2EB86A8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DC3C3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3003059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194BC31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0A880D65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0768C79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EF7BAF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0CBD093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260D583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61187" w:rsidRPr="00661187" w14:paraId="60435491" w14:textId="77777777" w:rsidTr="00665030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7661209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72B7A4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9FEA56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91B147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0EECE2B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0C3276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9CB83D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1F8DBEC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BDB97F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2613B1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723C35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2096AA6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2E4D22F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61187" w:rsidRPr="00661187" w14:paraId="03C579A0" w14:textId="77777777" w:rsidTr="00665030">
        <w:trPr>
          <w:trHeight w:val="69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12101BAA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Narodowy Fundusz Zdrowia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F020C3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C9A9FE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2F5FEB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2238C3F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6C29146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14C33A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3654B15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5FFE22D1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38AA2F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89B8F7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2DA992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14:paraId="07312783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1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61187" w:rsidRPr="00661187" w14:paraId="7376127E" w14:textId="77777777" w:rsidTr="00665030">
        <w:trPr>
          <w:gridAfter w:val="1"/>
          <w:wAfter w:w="10" w:type="dxa"/>
          <w:trHeight w:val="526"/>
        </w:trPr>
        <w:tc>
          <w:tcPr>
            <w:tcW w:w="1589" w:type="dxa"/>
            <w:shd w:val="clear" w:color="auto" w:fill="FFFFFF"/>
            <w:vAlign w:val="center"/>
          </w:tcPr>
          <w:p w14:paraId="49D7A8F8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Źródła finansowania</w:t>
            </w:r>
          </w:p>
        </w:tc>
        <w:tc>
          <w:tcPr>
            <w:tcW w:w="9348" w:type="dxa"/>
            <w:gridSpan w:val="28"/>
            <w:shd w:val="clear" w:color="auto" w:fill="FFFFFF"/>
            <w:vAlign w:val="center"/>
          </w:tcPr>
          <w:p w14:paraId="717A149F" w14:textId="77777777" w:rsidR="0058652F" w:rsidRPr="00661187" w:rsidRDefault="0058652F" w:rsidP="00665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1187">
              <w:rPr>
                <w:rFonts w:ascii="Times New Roman" w:hAnsi="Times New Roman"/>
              </w:rPr>
              <w:t>Projekt rozporządzenia nie będzie miał wpływu na budżet państwa i budżety jednostek samorządu terytorialnego</w:t>
            </w:r>
            <w:r w:rsidRPr="00661187">
              <w:rPr>
                <w:rFonts w:ascii="Times New Roman" w:eastAsia="Calibri" w:hAnsi="Times New Roman" w:cs="Times New Roman"/>
                <w:bCs/>
                <w:lang w:eastAsia="pl-PL"/>
              </w:rPr>
              <w:t>, jako świadczenie gwarantowane jest finansowane ze środków Narodowego Funduszu Zdrowia zgodnie z planem.</w:t>
            </w:r>
          </w:p>
        </w:tc>
      </w:tr>
      <w:tr w:rsidR="00661187" w:rsidRPr="00661187" w14:paraId="1A968047" w14:textId="77777777" w:rsidTr="00665030">
        <w:trPr>
          <w:gridAfter w:val="1"/>
          <w:wAfter w:w="10" w:type="dxa"/>
          <w:trHeight w:val="671"/>
        </w:trPr>
        <w:tc>
          <w:tcPr>
            <w:tcW w:w="1589" w:type="dxa"/>
            <w:shd w:val="clear" w:color="auto" w:fill="FFFFFF"/>
          </w:tcPr>
          <w:p w14:paraId="13B059FF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9348" w:type="dxa"/>
            <w:gridSpan w:val="28"/>
            <w:shd w:val="clear" w:color="auto" w:fill="FFFFFF"/>
          </w:tcPr>
          <w:p w14:paraId="6F79469A" w14:textId="77777777" w:rsidR="0058652F" w:rsidRPr="00661187" w:rsidRDefault="0058652F" w:rsidP="0066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61187" w:rsidRPr="00661187" w14:paraId="6796332F" w14:textId="77777777" w:rsidTr="00665030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AC3E0DD" w14:textId="77777777" w:rsidR="0058652F" w:rsidRPr="00661187" w:rsidRDefault="0058652F" w:rsidP="006650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b/>
                <w:spacing w:val="-2"/>
              </w:rPr>
              <w:t xml:space="preserve">Wpływ na </w:t>
            </w:r>
            <w:r w:rsidRPr="00661187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61187" w:rsidRPr="00661187" w14:paraId="2C3571E7" w14:textId="77777777" w:rsidTr="0066503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836750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>Skutki</w:t>
            </w:r>
          </w:p>
        </w:tc>
      </w:tr>
      <w:tr w:rsidR="00661187" w:rsidRPr="00661187" w14:paraId="33391949" w14:textId="77777777" w:rsidTr="00665030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  <w:vAlign w:val="center"/>
          </w:tcPr>
          <w:p w14:paraId="195F804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FC85FE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451431C1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2C5974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614A24C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473101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7D3DE61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4AB23F7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i/>
                <w:spacing w:val="-2"/>
              </w:rPr>
              <w:t>Łącznie</w:t>
            </w:r>
            <w:r w:rsidRPr="00661187" w:rsidDel="0073273A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  <w:i/>
                <w:spacing w:val="-2"/>
              </w:rPr>
              <w:t>(0-10)</w:t>
            </w:r>
          </w:p>
        </w:tc>
      </w:tr>
      <w:tr w:rsidR="00661187" w:rsidRPr="00661187" w14:paraId="0B60D102" w14:textId="77777777" w:rsidTr="00665030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  <w:vAlign w:val="center"/>
          </w:tcPr>
          <w:p w14:paraId="308BDEA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W ujęciu pieniężnym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00EABF43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48B81F1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5A8DA692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073C25F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2988BF3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E1D201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E65BEAB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6050808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661187" w:rsidRPr="00661187" w14:paraId="409B7E2F" w14:textId="77777777" w:rsidTr="00665030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1C3EF226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35DC6D07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44F7B7C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58412AF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71B6881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5184FDF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60FFC8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E57439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54C910EF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661187" w:rsidRPr="00661187" w14:paraId="7A4CEFF3" w14:textId="77777777" w:rsidTr="00665030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2844B75A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6F3ACF36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E2C2A73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3F6563E8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FB684DD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0813D40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BB8C2F0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7A1B6134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  <w:vAlign w:val="center"/>
          </w:tcPr>
          <w:p w14:paraId="076CF703" w14:textId="77777777" w:rsidR="0058652F" w:rsidRPr="00661187" w:rsidRDefault="0058652F" w:rsidP="0066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661187" w:rsidRPr="00661187" w14:paraId="4FAB07A6" w14:textId="77777777" w:rsidTr="00665030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749E3084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3B81FE0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79ABD22D" w14:textId="77777777" w:rsidR="0058652F" w:rsidRPr="00661187" w:rsidRDefault="0058652F" w:rsidP="00665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61187">
              <w:rPr>
                <w:rFonts w:ascii="Times New Roman" w:hAnsi="Times New Roman"/>
                <w:spacing w:val="-2"/>
                <w:szCs w:val="21"/>
              </w:rPr>
              <w:t xml:space="preserve">Projekt rozporządzenia będzie miał wpływ na sektor dużych przedsiębiorstw prowadzących działalność w obszarze ochrony zdrowia, którzy realizują świadczenia w zakresie </w:t>
            </w:r>
            <w:r w:rsidRPr="00661187">
              <w:rPr>
                <w:rFonts w:ascii="Times New Roman" w:hAnsi="Times New Roman" w:cs="Times New Roman"/>
              </w:rPr>
              <w:t>opieki psychiatrycznej i leczenia uzależnień</w:t>
            </w:r>
            <w:r w:rsidRPr="00661187">
              <w:rPr>
                <w:rFonts w:ascii="Times New Roman" w:hAnsi="Times New Roman"/>
                <w:spacing w:val="-2"/>
                <w:szCs w:val="21"/>
              </w:rPr>
              <w:t xml:space="preserve"> przez urealnienie wymogów w zakresie norm zatrudniania pielęgniarek – optymalizacja kosztów. </w:t>
            </w:r>
          </w:p>
        </w:tc>
      </w:tr>
      <w:tr w:rsidR="00661187" w:rsidRPr="00661187" w14:paraId="3F4EFC54" w14:textId="77777777" w:rsidTr="00665030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6F515C85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F5745C4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721C35F5" w14:textId="77777777" w:rsidR="0058652F" w:rsidRPr="00661187" w:rsidRDefault="0058652F" w:rsidP="00665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61187">
              <w:rPr>
                <w:rFonts w:ascii="Times New Roman" w:hAnsi="Times New Roman"/>
                <w:spacing w:val="-2"/>
                <w:szCs w:val="21"/>
              </w:rPr>
              <w:t xml:space="preserve">Projekt rozporządzenia będzie miał wpływ na sektor mikro, małych i średnich przedsiębiorców prowadzących działalność w obszarze ochrony zdrowia, którzy realizują świadczenia w zakresie </w:t>
            </w:r>
            <w:r w:rsidRPr="00661187">
              <w:rPr>
                <w:rFonts w:ascii="Times New Roman" w:hAnsi="Times New Roman" w:cs="Times New Roman"/>
              </w:rPr>
              <w:t>opieki psychiatrycznej i leczenia uzależnień</w:t>
            </w:r>
            <w:r w:rsidRPr="00661187">
              <w:rPr>
                <w:rFonts w:ascii="Times New Roman" w:hAnsi="Times New Roman"/>
                <w:spacing w:val="-2"/>
                <w:szCs w:val="21"/>
              </w:rPr>
              <w:t>, przez urealnienie wymogów w zakresie norm zatrudniania pielęgniarek – optymalizacja kosztów.</w:t>
            </w:r>
          </w:p>
        </w:tc>
      </w:tr>
      <w:tr w:rsidR="00661187" w:rsidRPr="00661187" w14:paraId="21F12AAB" w14:textId="77777777" w:rsidTr="00665030">
        <w:trPr>
          <w:gridAfter w:val="1"/>
          <w:wAfter w:w="10" w:type="dxa"/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5432F3F6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1C60F37" w14:textId="77777777" w:rsidR="0058652F" w:rsidRPr="00661187" w:rsidRDefault="0058652F" w:rsidP="00665030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66428B91" w14:textId="77777777" w:rsidR="0058652F" w:rsidRPr="00661187" w:rsidRDefault="0058652F" w:rsidP="0066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hAnsi="Times New Roman"/>
                <w:spacing w:val="-2"/>
                <w:szCs w:val="21"/>
              </w:rPr>
              <w:t xml:space="preserve">Projekt rozporządzenia będzie miał wpływ na rodzinę, obywateli oraz gospodarstwa domowe przez umożliwienie dostępu do świadczeń opieki zdrowotnej, które będą samodzielnie realizowane przez pielęgniarkę </w:t>
            </w:r>
            <w:r w:rsidRPr="00661187">
              <w:t xml:space="preserve">w </w:t>
            </w:r>
            <w:r w:rsidRPr="00661187">
              <w:rPr>
                <w:rFonts w:ascii="Times New Roman" w:hAnsi="Times New Roman" w:cs="Times New Roman"/>
              </w:rPr>
              <w:t>opiece psychiatrycznej i leczeniu uzależnień</w:t>
            </w:r>
            <w:r w:rsidRPr="00661187">
              <w:rPr>
                <w:rFonts w:ascii="Times New Roman" w:hAnsi="Times New Roman"/>
                <w:spacing w:val="-2"/>
                <w:szCs w:val="21"/>
              </w:rPr>
              <w:t>.</w:t>
            </w:r>
          </w:p>
        </w:tc>
      </w:tr>
      <w:tr w:rsidR="00661187" w:rsidRPr="00661187" w14:paraId="67A34E7B" w14:textId="77777777" w:rsidTr="00665030">
        <w:trPr>
          <w:gridAfter w:val="1"/>
          <w:wAfter w:w="10" w:type="dxa"/>
          <w:trHeight w:val="596"/>
        </w:trPr>
        <w:tc>
          <w:tcPr>
            <w:tcW w:w="1596" w:type="dxa"/>
            <w:gridSpan w:val="2"/>
            <w:shd w:val="clear" w:color="auto" w:fill="FFFFFF"/>
          </w:tcPr>
          <w:p w14:paraId="3BFEB8AA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FF23BB" w14:textId="77777777" w:rsidR="0058652F" w:rsidRPr="00661187" w:rsidRDefault="0058652F" w:rsidP="00665030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osoby niepełnosprawne, osoby starsze</w:t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180A8BD6" w14:textId="77777777" w:rsidR="0058652F" w:rsidRPr="00661187" w:rsidRDefault="0058652F" w:rsidP="0066503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Cs w:val="21"/>
              </w:rPr>
            </w:pPr>
            <w:r w:rsidRPr="00661187">
              <w:rPr>
                <w:rFonts w:ascii="Times New Roman" w:hAnsi="Times New Roman"/>
                <w:spacing w:val="-2"/>
                <w:szCs w:val="21"/>
              </w:rPr>
              <w:t xml:space="preserve">Projekt rozporządzenia będzie miał wpływ na osoby niepełnosprawne, osoby starsze przez umożliwienie dostępu do świadczeń opieki zdrowotnej realizowanych przez pielęgniarkę </w:t>
            </w:r>
            <w:r w:rsidRPr="00661187">
              <w:t xml:space="preserve">w </w:t>
            </w:r>
            <w:r w:rsidRPr="00661187">
              <w:rPr>
                <w:rFonts w:ascii="Times New Roman" w:hAnsi="Times New Roman" w:cs="Times New Roman"/>
              </w:rPr>
              <w:t>opiece psychiatrycznej i leczeniu uzależnień</w:t>
            </w:r>
            <w:r w:rsidRPr="00661187">
              <w:rPr>
                <w:rFonts w:ascii="Times New Roman" w:hAnsi="Times New Roman"/>
                <w:spacing w:val="-2"/>
                <w:szCs w:val="21"/>
              </w:rPr>
              <w:t xml:space="preserve">, szczególnie tych dedykowanych osobom starszym. </w:t>
            </w:r>
          </w:p>
        </w:tc>
      </w:tr>
      <w:tr w:rsidR="00661187" w:rsidRPr="00661187" w14:paraId="5C2A89B5" w14:textId="77777777" w:rsidTr="00665030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shd w:val="clear" w:color="auto" w:fill="FFFFFF"/>
          </w:tcPr>
          <w:p w14:paraId="7F06B84B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FD91FDD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661187">
              <w:rPr>
                <w:rFonts w:ascii="Times New Roman" w:eastAsia="Calibri" w:hAnsi="Times New Roman" w:cs="Times New Roman"/>
              </w:rPr>
            </w:r>
            <w:r w:rsidRPr="00661187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  <w:noProof/>
              </w:rPr>
              <w:t>(dodaj/usuń)</w:t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7048" w:type="dxa"/>
            <w:gridSpan w:val="21"/>
            <w:shd w:val="clear" w:color="auto" w:fill="FFFFFF"/>
          </w:tcPr>
          <w:p w14:paraId="07A83CA0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661187" w:rsidRPr="00661187" w14:paraId="09074735" w14:textId="77777777" w:rsidTr="00665030">
        <w:trPr>
          <w:gridAfter w:val="1"/>
          <w:wAfter w:w="10" w:type="dxa"/>
          <w:trHeight w:val="1364"/>
        </w:trPr>
        <w:tc>
          <w:tcPr>
            <w:tcW w:w="1589" w:type="dxa"/>
            <w:shd w:val="clear" w:color="auto" w:fill="FFFFFF"/>
          </w:tcPr>
          <w:p w14:paraId="66F1DECF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9348" w:type="dxa"/>
            <w:gridSpan w:val="28"/>
            <w:shd w:val="clear" w:color="auto" w:fill="FFFFFF"/>
            <w:vAlign w:val="center"/>
          </w:tcPr>
          <w:p w14:paraId="67FDA747" w14:textId="77777777" w:rsidR="0058652F" w:rsidRPr="00661187" w:rsidRDefault="0058652F" w:rsidP="0066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1187" w:rsidRPr="00661187" w14:paraId="7089D175" w14:textId="77777777" w:rsidTr="00665030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7436BC1" w14:textId="77777777" w:rsidR="0058652F" w:rsidRPr="00661187" w:rsidRDefault="0058652F" w:rsidP="0066503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661187" w:rsidRPr="00661187" w14:paraId="061FC775" w14:textId="77777777" w:rsidTr="00665030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2356991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 xml:space="preserve">X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>nie dotyczy</w:t>
            </w:r>
          </w:p>
        </w:tc>
      </w:tr>
      <w:tr w:rsidR="00661187" w:rsidRPr="00661187" w14:paraId="119D182E" w14:textId="77777777" w:rsidTr="00665030">
        <w:trPr>
          <w:gridAfter w:val="1"/>
          <w:wAfter w:w="10" w:type="dxa"/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0C3376A6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lastRenderedPageBreak/>
              <w:t xml:space="preserve">Wprowadzane są obciążenia poza bezwzględnie wymaganymi przez UE </w:t>
            </w:r>
            <w:r w:rsidRPr="00661187">
              <w:rPr>
                <w:rFonts w:ascii="Times New Roman" w:eastAsia="Calibri" w:hAnsi="Times New Roman" w:cs="Times New Roman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2D5B790D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tak</w:t>
            </w:r>
          </w:p>
          <w:p w14:paraId="293FAAC9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nie</w:t>
            </w:r>
          </w:p>
          <w:p w14:paraId="0A87AA4E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X  nie dotyczy</w:t>
            </w:r>
          </w:p>
        </w:tc>
      </w:tr>
      <w:tr w:rsidR="00661187" w:rsidRPr="00661187" w14:paraId="63FFAC74" w14:textId="77777777" w:rsidTr="00665030">
        <w:trPr>
          <w:gridAfter w:val="1"/>
          <w:wAfter w:w="10" w:type="dxa"/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52B545C5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 xml:space="preserve">zmniejszenie liczby dokumentów </w:t>
            </w:r>
          </w:p>
          <w:p w14:paraId="0F428517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>zmniejszenie liczby procedur</w:t>
            </w:r>
          </w:p>
          <w:p w14:paraId="05F873C3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>skrócenie czasu na załatwienie sprawy</w:t>
            </w:r>
          </w:p>
          <w:p w14:paraId="277DC05B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>inne:</w:t>
            </w:r>
            <w:r w:rsidRPr="00661187">
              <w:rPr>
                <w:rFonts w:ascii="Times New Roman" w:eastAsia="Calibri" w:hAnsi="Times New Roman" w:cs="Times New Roman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661187">
              <w:rPr>
                <w:rFonts w:ascii="Times New Roman" w:eastAsia="Calibri" w:hAnsi="Times New Roman" w:cs="Times New Roman"/>
              </w:rPr>
            </w:r>
            <w:r w:rsidRPr="00661187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1E492599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>zwiększenie liczby dokumentów</w:t>
            </w:r>
          </w:p>
          <w:p w14:paraId="77341D72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>zwiększenie liczby procedur</w:t>
            </w:r>
          </w:p>
          <w:p w14:paraId="255A8777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>wydłużenie czasu na załatwienie sprawy</w:t>
            </w:r>
          </w:p>
          <w:p w14:paraId="1D0BAD2F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>inne:</w:t>
            </w:r>
            <w:r w:rsidRPr="00661187">
              <w:rPr>
                <w:rFonts w:ascii="Times New Roman" w:eastAsia="Calibri" w:hAnsi="Times New Roman" w:cs="Times New Roman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661187">
              <w:rPr>
                <w:rFonts w:ascii="Times New Roman" w:eastAsia="Calibri" w:hAnsi="Times New Roman" w:cs="Times New Roman"/>
              </w:rPr>
            </w:r>
            <w:r w:rsidRPr="00661187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661187" w:rsidRPr="00661187" w14:paraId="5A8FB96F" w14:textId="77777777" w:rsidTr="00665030">
        <w:trPr>
          <w:gridAfter w:val="1"/>
          <w:wAfter w:w="10" w:type="dxa"/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6287C9D0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0E560B14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tak</w:t>
            </w:r>
          </w:p>
          <w:p w14:paraId="15F3C1EE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nie</w:t>
            </w:r>
          </w:p>
          <w:p w14:paraId="43637BC3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nie dotyczy</w:t>
            </w:r>
          </w:p>
        </w:tc>
      </w:tr>
      <w:tr w:rsidR="00661187" w:rsidRPr="00661187" w14:paraId="17419485" w14:textId="77777777" w:rsidTr="00665030">
        <w:trPr>
          <w:gridAfter w:val="1"/>
          <w:wAfter w:w="10" w:type="dxa"/>
          <w:trHeight w:val="320"/>
        </w:trPr>
        <w:tc>
          <w:tcPr>
            <w:tcW w:w="10937" w:type="dxa"/>
            <w:gridSpan w:val="29"/>
            <w:shd w:val="clear" w:color="auto" w:fill="FFFFFF"/>
          </w:tcPr>
          <w:p w14:paraId="56C9D01C" w14:textId="3AF00068" w:rsidR="0058652F" w:rsidRPr="00661187" w:rsidRDefault="0058652F" w:rsidP="0066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 xml:space="preserve">Komentarz: </w:t>
            </w:r>
            <w:r w:rsidR="00173808" w:rsidRPr="00661187">
              <w:rPr>
                <w:rFonts w:ascii="Times New Roman" w:eastAsia="Calibri" w:hAnsi="Times New Roman" w:cs="Times New Roman"/>
              </w:rPr>
              <w:t>b</w:t>
            </w:r>
            <w:r w:rsidRPr="00661187">
              <w:rPr>
                <w:rFonts w:ascii="Times New Roman" w:eastAsia="Calibri" w:hAnsi="Times New Roman" w:cs="Times New Roman"/>
              </w:rPr>
              <w:t>rak.</w:t>
            </w:r>
          </w:p>
        </w:tc>
      </w:tr>
      <w:tr w:rsidR="00661187" w:rsidRPr="00661187" w14:paraId="6A41E529" w14:textId="77777777" w:rsidTr="0066503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9EB7DB2" w14:textId="77777777" w:rsidR="0058652F" w:rsidRPr="00661187" w:rsidRDefault="0058652F" w:rsidP="006650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</w:rPr>
              <w:t xml:space="preserve">Wpływ na rynek pracy </w:t>
            </w:r>
          </w:p>
        </w:tc>
      </w:tr>
      <w:tr w:rsidR="00661187" w:rsidRPr="00661187" w14:paraId="18C37537" w14:textId="77777777" w:rsidTr="00665030">
        <w:trPr>
          <w:gridAfter w:val="1"/>
          <w:wAfter w:w="10" w:type="dxa"/>
          <w:trHeight w:val="490"/>
        </w:trPr>
        <w:tc>
          <w:tcPr>
            <w:tcW w:w="10937" w:type="dxa"/>
            <w:gridSpan w:val="29"/>
            <w:shd w:val="clear" w:color="auto" w:fill="auto"/>
          </w:tcPr>
          <w:p w14:paraId="7D014B61" w14:textId="77777777" w:rsidR="0058652F" w:rsidRPr="00661187" w:rsidRDefault="0058652F" w:rsidP="0066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 xml:space="preserve">Brak wpływu na rynek pracy. </w:t>
            </w:r>
          </w:p>
          <w:p w14:paraId="35B5C140" w14:textId="77777777" w:rsidR="0058652F" w:rsidRPr="00661187" w:rsidRDefault="0058652F" w:rsidP="0066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1187" w:rsidRPr="00661187" w14:paraId="1A1DC43C" w14:textId="77777777" w:rsidTr="0066503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D7484F7" w14:textId="77777777" w:rsidR="0058652F" w:rsidRPr="00661187" w:rsidRDefault="0058652F" w:rsidP="006650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</w:rPr>
              <w:t>Wpływ na pozostałe obszary</w:t>
            </w:r>
          </w:p>
        </w:tc>
      </w:tr>
      <w:tr w:rsidR="00661187" w:rsidRPr="00661187" w14:paraId="11647BB4" w14:textId="77777777" w:rsidTr="00665030">
        <w:trPr>
          <w:gridAfter w:val="1"/>
          <w:wAfter w:w="10" w:type="dxa"/>
          <w:trHeight w:val="737"/>
        </w:trPr>
        <w:tc>
          <w:tcPr>
            <w:tcW w:w="3547" w:type="dxa"/>
            <w:gridSpan w:val="6"/>
            <w:shd w:val="clear" w:color="auto" w:fill="FFFFFF"/>
          </w:tcPr>
          <w:p w14:paraId="02FDF6BC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>środowisko naturalne</w:t>
            </w:r>
          </w:p>
          <w:p w14:paraId="63EF41F7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sytuacja i rozwój regionalny</w:t>
            </w:r>
          </w:p>
          <w:p w14:paraId="6CC29F5C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 xml:space="preserve">inne: </w:t>
            </w: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661187">
              <w:rPr>
                <w:rFonts w:ascii="Times New Roman" w:eastAsia="Calibri" w:hAnsi="Times New Roman" w:cs="Times New Roman"/>
              </w:rPr>
            </w:r>
            <w:r w:rsidRPr="00661187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  <w:noProof/>
              </w:rPr>
              <w:t> </w:t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01687C38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>demografia</w:t>
            </w:r>
          </w:p>
          <w:p w14:paraId="2072241F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5E08072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187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FA354E">
              <w:rPr>
                <w:rFonts w:ascii="Times New Roman" w:eastAsia="Calibri" w:hAnsi="Times New Roman" w:cs="Times New Roman"/>
              </w:rPr>
            </w:r>
            <w:r w:rsidR="00FA354E">
              <w:rPr>
                <w:rFonts w:ascii="Times New Roman" w:eastAsia="Calibri" w:hAnsi="Times New Roman" w:cs="Times New Roman"/>
              </w:rPr>
              <w:fldChar w:fldCharType="separate"/>
            </w:r>
            <w:r w:rsidRPr="00661187">
              <w:rPr>
                <w:rFonts w:ascii="Times New Roman" w:eastAsia="Calibri" w:hAnsi="Times New Roman" w:cs="Times New Roman"/>
              </w:rPr>
              <w:fldChar w:fldCharType="end"/>
            </w:r>
            <w:r w:rsidRPr="00661187">
              <w:rPr>
                <w:rFonts w:ascii="Times New Roman" w:eastAsia="Calibri" w:hAnsi="Times New Roman" w:cs="Times New Roman"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>informatyzacja</w:t>
            </w:r>
          </w:p>
          <w:p w14:paraId="20AC69D3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 xml:space="preserve">X  </w:t>
            </w:r>
            <w:r w:rsidRPr="00661187">
              <w:rPr>
                <w:rFonts w:ascii="Times New Roman" w:eastAsia="Calibri" w:hAnsi="Times New Roman" w:cs="Times New Roman"/>
                <w:spacing w:val="-2"/>
              </w:rPr>
              <w:t>zdrowie</w:t>
            </w:r>
          </w:p>
        </w:tc>
      </w:tr>
      <w:tr w:rsidR="00661187" w:rsidRPr="00661187" w14:paraId="2F97739D" w14:textId="77777777" w:rsidTr="00665030">
        <w:trPr>
          <w:gridAfter w:val="1"/>
          <w:wAfter w:w="10" w:type="dxa"/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56EA56C5" w14:textId="77777777" w:rsidR="0058652F" w:rsidRPr="00661187" w:rsidRDefault="0058652F" w:rsidP="006650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Omówienie wpływu</w:t>
            </w:r>
          </w:p>
        </w:tc>
        <w:tc>
          <w:tcPr>
            <w:tcW w:w="9348" w:type="dxa"/>
            <w:gridSpan w:val="28"/>
            <w:shd w:val="clear" w:color="auto" w:fill="FFFFFF"/>
            <w:vAlign w:val="center"/>
          </w:tcPr>
          <w:p w14:paraId="770FAE1D" w14:textId="77777777" w:rsidR="0058652F" w:rsidRPr="00661187" w:rsidRDefault="0058652F" w:rsidP="00665030">
            <w:pPr>
              <w:spacing w:after="0" w:line="240" w:lineRule="auto"/>
              <w:ind w:right="272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61187">
              <w:rPr>
                <w:rFonts w:ascii="Times New Roman" w:eastAsia="Calibri" w:hAnsi="Times New Roman" w:cs="Times New Roman"/>
              </w:rPr>
              <w:t>Projekt rozporządzenia wprowadza rozwiązania, które wpłyną pozytywnie na zdrowie dzieci, młodzieży i osób dorosłych przy jednoczesnym zapewnieniu bezpieczeństwa pacjenta oraz zachowaniu odpowiedniej jakości udzielanych świadczeń.</w:t>
            </w:r>
          </w:p>
        </w:tc>
      </w:tr>
      <w:tr w:rsidR="00661187" w:rsidRPr="00661187" w14:paraId="58A94BB8" w14:textId="77777777" w:rsidTr="0066503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03B2939" w14:textId="77777777" w:rsidR="0058652F" w:rsidRPr="00661187" w:rsidRDefault="0058652F" w:rsidP="0066503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661187" w:rsidRPr="00661187" w14:paraId="0779A6A1" w14:textId="77777777" w:rsidTr="00665030">
        <w:trPr>
          <w:gridAfter w:val="1"/>
          <w:wAfter w:w="10" w:type="dxa"/>
          <w:trHeight w:val="375"/>
        </w:trPr>
        <w:tc>
          <w:tcPr>
            <w:tcW w:w="10937" w:type="dxa"/>
            <w:gridSpan w:val="29"/>
            <w:shd w:val="clear" w:color="auto" w:fill="FFFFFF"/>
          </w:tcPr>
          <w:p w14:paraId="71CAADC7" w14:textId="4F410B51" w:rsidR="00C87379" w:rsidRPr="00661187" w:rsidRDefault="0058652F" w:rsidP="00A77F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1187">
              <w:rPr>
                <w:rFonts w:ascii="Times New Roman" w:eastAsia="Times New Roman" w:hAnsi="Times New Roman" w:cs="Times New Roman"/>
                <w:lang w:eastAsia="pl-PL"/>
              </w:rPr>
              <w:t xml:space="preserve">Rozporządzenie wejdzie w życie </w:t>
            </w:r>
            <w:r w:rsidR="00FB26CF">
              <w:rPr>
                <w:rFonts w:ascii="Times New Roman" w:eastAsia="Times New Roman" w:hAnsi="Times New Roman" w:cs="Times New Roman"/>
                <w:lang w:eastAsia="pl-PL"/>
              </w:rPr>
              <w:t xml:space="preserve">z dniem </w:t>
            </w:r>
            <w:r w:rsidR="00A77FAF" w:rsidRPr="00661187">
              <w:rPr>
                <w:rFonts w:ascii="Times New Roman" w:eastAsia="Times New Roman" w:hAnsi="Times New Roman" w:cs="Times New Roman"/>
                <w:lang w:eastAsia="pl-PL"/>
              </w:rPr>
              <w:t>następującym po dniu ogłoszenia.</w:t>
            </w:r>
          </w:p>
        </w:tc>
      </w:tr>
      <w:tr w:rsidR="00661187" w:rsidRPr="00661187" w14:paraId="76DED36F" w14:textId="77777777" w:rsidTr="0066503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0FA215D" w14:textId="77777777" w:rsidR="0058652F" w:rsidRPr="00661187" w:rsidRDefault="0058652F" w:rsidP="0066503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118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61187">
              <w:rPr>
                <w:rFonts w:ascii="Times New Roman" w:eastAsia="Calibri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61187" w:rsidRPr="00661187" w14:paraId="1DCB5BE1" w14:textId="77777777" w:rsidTr="00665030">
        <w:trPr>
          <w:gridAfter w:val="1"/>
          <w:wAfter w:w="10" w:type="dxa"/>
          <w:trHeight w:val="846"/>
        </w:trPr>
        <w:tc>
          <w:tcPr>
            <w:tcW w:w="10937" w:type="dxa"/>
            <w:gridSpan w:val="29"/>
            <w:shd w:val="clear" w:color="auto" w:fill="FFFFFF"/>
          </w:tcPr>
          <w:p w14:paraId="5D6243AE" w14:textId="77777777" w:rsidR="0058652F" w:rsidRPr="00661187" w:rsidRDefault="0058652F" w:rsidP="0066503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61187">
              <w:rPr>
                <w:rFonts w:ascii="Times New Roman" w:hAnsi="Times New Roman"/>
                <w:spacing w:val="-2"/>
              </w:rPr>
              <w:t>Dokonanie ewaluacji świadczenia możliwe będzie najwcześniej w ciągu 2-3 lat od momentu wejścia w życie przedmiotowego rozporządzenia, gdyż taki okres czasu umożliwia zaobserwowanie zmian i korzyści wynikających z wprowadzenia przedmiotowych zmian. Ewaluacja zostanie przeprowadzona w oparciu o dane sprawozdawczo-rozliczeniowe Narodowego Funduszu Zdrowia za okres 2-3 lat po wprowadzeniu przedmiotowych zmian w porównaniu do realizacji świadczeń z zakresu opieki psychiatrycznej i leczenia uzależnień w okresie 2-3 lat przed wprowadzeniem zmian.</w:t>
            </w:r>
          </w:p>
        </w:tc>
      </w:tr>
      <w:tr w:rsidR="00661187" w:rsidRPr="00661187" w14:paraId="4DD51D50" w14:textId="77777777" w:rsidTr="0066503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D908F45" w14:textId="77777777" w:rsidR="0058652F" w:rsidRPr="00661187" w:rsidRDefault="0058652F" w:rsidP="0066503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661187">
              <w:rPr>
                <w:rFonts w:ascii="Times New Roman" w:eastAsia="Calibri" w:hAnsi="Times New Roman" w:cs="Times New Roman"/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 w:rsidR="00661187" w:rsidRPr="00661187" w14:paraId="37939FA7" w14:textId="77777777" w:rsidTr="00665030">
        <w:trPr>
          <w:gridAfter w:val="1"/>
          <w:wAfter w:w="10" w:type="dxa"/>
          <w:trHeight w:val="209"/>
        </w:trPr>
        <w:tc>
          <w:tcPr>
            <w:tcW w:w="10937" w:type="dxa"/>
            <w:gridSpan w:val="29"/>
            <w:shd w:val="clear" w:color="auto" w:fill="FFFFFF"/>
          </w:tcPr>
          <w:p w14:paraId="03D25856" w14:textId="1F6196F8" w:rsidR="0058652F" w:rsidRPr="00661187" w:rsidRDefault="00A77FAF" w:rsidP="00665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1187">
              <w:rPr>
                <w:rFonts w:ascii="Times New Roman" w:eastAsia="Times New Roman" w:hAnsi="Times New Roman" w:cs="Times New Roman"/>
                <w:lang w:eastAsia="pl-PL"/>
              </w:rPr>
              <w:t>Brak.</w:t>
            </w:r>
          </w:p>
        </w:tc>
      </w:tr>
    </w:tbl>
    <w:p w14:paraId="35609D4A" w14:textId="77777777" w:rsidR="0058652F" w:rsidRPr="00661187" w:rsidRDefault="0058652F" w:rsidP="0058652F">
      <w:pPr>
        <w:spacing w:after="0" w:line="240" w:lineRule="auto"/>
        <w:rPr>
          <w:rFonts w:ascii="Times New Roman" w:hAnsi="Times New Roman" w:cs="Times New Roman"/>
        </w:rPr>
      </w:pPr>
    </w:p>
    <w:p w14:paraId="2114A843" w14:textId="77777777" w:rsidR="008766F4" w:rsidRPr="00661187" w:rsidRDefault="008766F4"/>
    <w:sectPr w:rsidR="008766F4" w:rsidRPr="00661187" w:rsidSect="00761362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41E7"/>
    <w:multiLevelType w:val="hybridMultilevel"/>
    <w:tmpl w:val="F294D17E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EB25748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F4"/>
    <w:rsid w:val="00044ABD"/>
    <w:rsid w:val="0005599E"/>
    <w:rsid w:val="000B3B0A"/>
    <w:rsid w:val="00104274"/>
    <w:rsid w:val="00122DFD"/>
    <w:rsid w:val="00173808"/>
    <w:rsid w:val="00196248"/>
    <w:rsid w:val="001D3DF1"/>
    <w:rsid w:val="001D461A"/>
    <w:rsid w:val="002829CF"/>
    <w:rsid w:val="002910C3"/>
    <w:rsid w:val="002B732A"/>
    <w:rsid w:val="0038459F"/>
    <w:rsid w:val="003978C6"/>
    <w:rsid w:val="003B3D43"/>
    <w:rsid w:val="0044013E"/>
    <w:rsid w:val="00472A0D"/>
    <w:rsid w:val="004865A0"/>
    <w:rsid w:val="004C59C5"/>
    <w:rsid w:val="00577766"/>
    <w:rsid w:val="0058652F"/>
    <w:rsid w:val="00627D1A"/>
    <w:rsid w:val="00631D72"/>
    <w:rsid w:val="00661187"/>
    <w:rsid w:val="0071188D"/>
    <w:rsid w:val="0072139C"/>
    <w:rsid w:val="00733B92"/>
    <w:rsid w:val="0073735A"/>
    <w:rsid w:val="00777321"/>
    <w:rsid w:val="008279B5"/>
    <w:rsid w:val="008766F4"/>
    <w:rsid w:val="008803E3"/>
    <w:rsid w:val="008A3315"/>
    <w:rsid w:val="008B5C07"/>
    <w:rsid w:val="008D5EA9"/>
    <w:rsid w:val="00910625"/>
    <w:rsid w:val="009625C7"/>
    <w:rsid w:val="00A77FAF"/>
    <w:rsid w:val="00B53376"/>
    <w:rsid w:val="00B54858"/>
    <w:rsid w:val="00B8168B"/>
    <w:rsid w:val="00B9522C"/>
    <w:rsid w:val="00C46536"/>
    <w:rsid w:val="00C4741B"/>
    <w:rsid w:val="00C87379"/>
    <w:rsid w:val="00D66BEE"/>
    <w:rsid w:val="00D733C6"/>
    <w:rsid w:val="00DD312D"/>
    <w:rsid w:val="00DF44B6"/>
    <w:rsid w:val="00E353D4"/>
    <w:rsid w:val="00E60A9F"/>
    <w:rsid w:val="00F14182"/>
    <w:rsid w:val="00F406F0"/>
    <w:rsid w:val="00F41CC3"/>
    <w:rsid w:val="00FA354E"/>
    <w:rsid w:val="00FB26CF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9488"/>
  <w15:chartTrackingRefBased/>
  <w15:docId w15:val="{A8BBCEE3-7E33-4689-909A-C8FA6F64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5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8652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41B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rsid w:val="00A77FAF"/>
    <w:rPr>
      <w:rFonts w:ascii="Times New Roman" w:hAnsi="Times New Roman" w:cs="Times New Roman"/>
      <w:sz w:val="22"/>
      <w:szCs w:val="22"/>
    </w:rPr>
  </w:style>
  <w:style w:type="paragraph" w:customStyle="1" w:styleId="ARTartustawynprozporzdzenia">
    <w:name w:val="ART(§) – art. ustawy (§ np. rozporządzenia)"/>
    <w:uiPriority w:val="11"/>
    <w:qFormat/>
    <w:rsid w:val="00A77FA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1969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Świerczyńska Justyna</dc:creator>
  <cp:keywords/>
  <dc:description/>
  <cp:lastModifiedBy>Świerczyńska Justyna</cp:lastModifiedBy>
  <cp:revision>2</cp:revision>
  <dcterms:created xsi:type="dcterms:W3CDTF">2020-10-15T07:48:00Z</dcterms:created>
  <dcterms:modified xsi:type="dcterms:W3CDTF">2020-10-15T07:48:00Z</dcterms:modified>
</cp:coreProperties>
</file>