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320"/>
        <w:gridCol w:w="475"/>
        <w:gridCol w:w="275"/>
        <w:gridCol w:w="351"/>
        <w:gridCol w:w="332"/>
        <w:gridCol w:w="254"/>
        <w:gridCol w:w="254"/>
        <w:gridCol w:w="288"/>
        <w:gridCol w:w="366"/>
        <w:gridCol w:w="254"/>
        <w:gridCol w:w="254"/>
        <w:gridCol w:w="254"/>
        <w:gridCol w:w="254"/>
        <w:gridCol w:w="254"/>
        <w:gridCol w:w="254"/>
        <w:gridCol w:w="465"/>
        <w:gridCol w:w="254"/>
        <w:gridCol w:w="254"/>
        <w:gridCol w:w="254"/>
        <w:gridCol w:w="253"/>
        <w:gridCol w:w="256"/>
        <w:gridCol w:w="254"/>
        <w:gridCol w:w="254"/>
        <w:gridCol w:w="287"/>
        <w:gridCol w:w="254"/>
        <w:gridCol w:w="314"/>
        <w:gridCol w:w="354"/>
        <w:gridCol w:w="254"/>
        <w:gridCol w:w="1048"/>
      </w:tblGrid>
      <w:tr w:rsidR="008118EB" w:rsidRPr="00856B97" w14:paraId="0116B02D" w14:textId="77777777" w:rsidTr="00453CE4">
        <w:trPr>
          <w:trHeight w:val="4536"/>
          <w:jc w:val="center"/>
        </w:trPr>
        <w:tc>
          <w:tcPr>
            <w:tcW w:w="3162" w:type="pct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E8FCB" w14:textId="77777777" w:rsidR="00856B97" w:rsidRPr="00856B97" w:rsidRDefault="008118EB" w:rsidP="00F23B76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color w:val="000000"/>
              </w:rPr>
            </w:pPr>
            <w:bookmarkStart w:id="0" w:name="_GoBack"/>
            <w:bookmarkEnd w:id="0"/>
            <w:r w:rsidRPr="00856B97">
              <w:rPr>
                <w:rFonts w:ascii="Times New Roman" w:eastAsia="Calibri" w:hAnsi="Times New Roman"/>
                <w:b/>
                <w:color w:val="000000"/>
              </w:rPr>
              <w:t>Nazwa projektu</w:t>
            </w:r>
          </w:p>
          <w:p w14:paraId="5B7F2E18" w14:textId="54ECD8B2" w:rsidR="008118EB" w:rsidRPr="00856B97" w:rsidRDefault="004662BE" w:rsidP="00F23B76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Projekt ro</w:t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>zporządzen</w:t>
            </w:r>
            <w:r>
              <w:rPr>
                <w:rFonts w:ascii="Times New Roman" w:eastAsia="Calibri" w:hAnsi="Times New Roman"/>
                <w:color w:val="000000"/>
              </w:rPr>
              <w:t>ia</w:t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Ministra Zdrowia </w:t>
            </w:r>
            <w:r w:rsidR="0097665C" w:rsidRPr="00856B97">
              <w:rPr>
                <w:rFonts w:ascii="Times New Roman" w:hAnsi="Times New Roman"/>
                <w:bCs/>
                <w:lang w:eastAsia="pl-PL"/>
              </w:rPr>
              <w:t>w sprawie dopuszczalnych stężeń i natężeń czynników szkodliwych dla zdrowia wydzielanych przez materiały budowlane, urządzenia i elementy wyposażenia w</w:t>
            </w:r>
            <w:r w:rsidR="00D87DEC">
              <w:rPr>
                <w:rFonts w:ascii="Times New Roman" w:hAnsi="Times New Roman"/>
                <w:bCs/>
                <w:lang w:eastAsia="pl-PL"/>
              </w:rPr>
              <w:t> </w:t>
            </w:r>
            <w:r w:rsidR="0097665C" w:rsidRPr="00856B97">
              <w:rPr>
                <w:rFonts w:ascii="Times New Roman" w:hAnsi="Times New Roman"/>
                <w:bCs/>
                <w:lang w:eastAsia="pl-PL"/>
              </w:rPr>
              <w:t>pomieszczeniach przeznaczonych na pobyt ludzi</w:t>
            </w:r>
            <w:r w:rsidR="0097665C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14:paraId="39183645" w14:textId="77777777" w:rsidR="0097665C" w:rsidRPr="00856B97" w:rsidRDefault="0097665C" w:rsidP="00F23B76">
            <w:pPr>
              <w:shd w:val="clear" w:color="auto" w:fill="FFFFFF"/>
              <w:spacing w:after="0"/>
              <w:ind w:left="130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14:paraId="70E6CFF4" w14:textId="77777777" w:rsidR="008118EB" w:rsidRPr="00856B97" w:rsidRDefault="008118EB" w:rsidP="00F23B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Ministerstwo wiodące i ministerstwa współpracujące</w:t>
            </w:r>
          </w:p>
          <w:p w14:paraId="61C4AA24" w14:textId="78AEB1C0" w:rsidR="008118EB" w:rsidRPr="00856B97" w:rsidRDefault="008118EB" w:rsidP="00F23B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Ministerstwo Zdrowia</w:t>
            </w:r>
            <w:r w:rsidR="007F1DB5">
              <w:rPr>
                <w:rFonts w:ascii="Times New Roman" w:eastAsia="Calibri" w:hAnsi="Times New Roman"/>
                <w:color w:val="000000"/>
              </w:rPr>
              <w:t>/Główny Inspektorat Sanitarny</w:t>
            </w:r>
          </w:p>
          <w:p w14:paraId="50C01380" w14:textId="77777777" w:rsidR="0079460B" w:rsidRDefault="0079460B" w:rsidP="00F23B76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</w:p>
          <w:p w14:paraId="73B8E8F8" w14:textId="77777777" w:rsidR="008118EB" w:rsidRPr="00856B97" w:rsidRDefault="008118EB" w:rsidP="00F23B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856B97">
              <w:rPr>
                <w:rFonts w:ascii="Times New Roman" w:eastAsia="Calibri" w:hAnsi="Times New Roman"/>
                <w:b/>
              </w:rPr>
              <w:t xml:space="preserve">Osoba odpowiedzialna za projekt w randze Ministra, Sekretarza Stanu lub Podsekretarza Stanu </w:t>
            </w:r>
          </w:p>
          <w:p w14:paraId="17CE5946" w14:textId="77777777" w:rsidR="008118EB" w:rsidRPr="00856B97" w:rsidRDefault="008118EB" w:rsidP="00F23B7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56B97">
              <w:rPr>
                <w:rFonts w:ascii="Times New Roman" w:eastAsia="Calibri" w:hAnsi="Times New Roman"/>
              </w:rPr>
              <w:t>Jarosław Jan Pinkas, Główny Inspektor Sanitarny</w:t>
            </w:r>
          </w:p>
          <w:p w14:paraId="62438A8D" w14:textId="77777777" w:rsidR="008118EB" w:rsidRPr="00856B97" w:rsidRDefault="008118EB" w:rsidP="00F23B7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14:paraId="54271EEF" w14:textId="77777777" w:rsidR="008118EB" w:rsidRPr="00856B97" w:rsidRDefault="008118EB" w:rsidP="00F23B76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Kontakt do opiekuna merytorycznego projektu</w:t>
            </w:r>
          </w:p>
          <w:p w14:paraId="7BDA9D3F" w14:textId="77777777" w:rsidR="008118EB" w:rsidRPr="00856B97" w:rsidRDefault="008118EB" w:rsidP="00F23B76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Anna Kamińska, Dyrektor Departamentu Higieny Środowiska w Głównym Inspektoracie Sanitarnym,</w:t>
            </w:r>
          </w:p>
          <w:p w14:paraId="0CCF85B5" w14:textId="004A6CC6" w:rsidR="008118EB" w:rsidRPr="009239D3" w:rsidRDefault="008118EB" w:rsidP="00083458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9239D3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856B97">
              <w:rPr>
                <w:rFonts w:ascii="Times New Roman" w:eastAsia="Calibri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9239D3" w:rsidRPr="00CB7DA7">
                <w:rPr>
                  <w:rStyle w:val="Hipercze"/>
                  <w:rFonts w:ascii="Times New Roman" w:eastAsia="Calibri" w:hAnsi="Times New Roman"/>
                  <w:lang w:val="en-US"/>
                </w:rPr>
                <w:t>sekretariat.hsr@gis.gov.pl</w:t>
              </w:r>
            </w:hyperlink>
            <w:r w:rsidRPr="00856B97">
              <w:rPr>
                <w:rFonts w:ascii="Times New Roman" w:eastAsia="Calibri" w:hAnsi="Times New Roman"/>
                <w:lang w:val="en-US"/>
              </w:rPr>
              <w:t>,</w:t>
            </w:r>
            <w:r w:rsidRPr="00856B97">
              <w:rPr>
                <w:rFonts w:ascii="Times New Roman" w:eastAsia="Calibri" w:hAnsi="Times New Roman"/>
                <w:color w:val="000000"/>
                <w:lang w:val="en-US"/>
              </w:rPr>
              <w:t xml:space="preserve"> tel. +48 22 536 14 90</w:t>
            </w:r>
          </w:p>
        </w:tc>
        <w:tc>
          <w:tcPr>
            <w:tcW w:w="1838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492223" w14:textId="77777777" w:rsidR="008118EB" w:rsidRPr="00856B97" w:rsidRDefault="008118EB" w:rsidP="00F23B7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56B97">
              <w:rPr>
                <w:rFonts w:ascii="Times New Roman" w:eastAsia="Calibri" w:hAnsi="Times New Roman"/>
                <w:b/>
              </w:rPr>
              <w:t xml:space="preserve">Data sporządzenia: </w:t>
            </w:r>
          </w:p>
          <w:p w14:paraId="60AF40BA" w14:textId="01094FC2" w:rsidR="008118EB" w:rsidRPr="00856B97" w:rsidRDefault="004662BE" w:rsidP="00F23B76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453CE4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.10.</w:t>
            </w:r>
            <w:r w:rsidR="006E5327">
              <w:rPr>
                <w:rFonts w:ascii="Times New Roman" w:eastAsia="Calibri" w:hAnsi="Times New Roman"/>
              </w:rPr>
              <w:t>2020</w:t>
            </w:r>
            <w:r w:rsidR="0097665C" w:rsidRPr="00856B97">
              <w:rPr>
                <w:rFonts w:ascii="Times New Roman" w:eastAsia="Calibri" w:hAnsi="Times New Roman"/>
              </w:rPr>
              <w:t xml:space="preserve"> r.</w:t>
            </w:r>
            <w:r w:rsidR="008118EB" w:rsidRPr="00856B97">
              <w:rPr>
                <w:rFonts w:ascii="Times New Roman" w:eastAsia="Calibri" w:hAnsi="Times New Roman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</w:rPr>
              <w:br/>
            </w:r>
          </w:p>
          <w:p w14:paraId="3E52F943" w14:textId="77777777" w:rsidR="008118EB" w:rsidRPr="00856B97" w:rsidRDefault="008118EB" w:rsidP="00AA037E">
            <w:pPr>
              <w:rPr>
                <w:rFonts w:ascii="Times New Roman" w:eastAsia="Calibri" w:hAnsi="Times New Roman"/>
                <w:b/>
              </w:rPr>
            </w:pPr>
          </w:p>
          <w:p w14:paraId="10314314" w14:textId="77777777" w:rsidR="008118EB" w:rsidRPr="00F23B76" w:rsidRDefault="008118EB" w:rsidP="00F23B76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bookmarkStart w:id="1" w:name="Lista1"/>
            <w:bookmarkEnd w:id="1"/>
            <w:r w:rsidRPr="00F23B76">
              <w:rPr>
                <w:rFonts w:ascii="Times New Roman" w:eastAsia="Calibri" w:hAnsi="Times New Roman"/>
                <w:b/>
              </w:rPr>
              <w:t xml:space="preserve">Źródło: </w:t>
            </w:r>
            <w:r w:rsidR="0079460B" w:rsidRPr="00F23B76">
              <w:rPr>
                <w:rFonts w:ascii="Times New Roman" w:hAnsi="Times New Roman"/>
                <w:lang w:eastAsia="pl-PL"/>
              </w:rPr>
              <w:t xml:space="preserve">art. 11 ust. 1 ustawy z dnia 7 lipca 1994 r. </w:t>
            </w:r>
            <w:r w:rsidR="00686DA5">
              <w:rPr>
                <w:rFonts w:ascii="Times New Roman" w:hAnsi="Times New Roman"/>
                <w:lang w:eastAsia="pl-PL"/>
              </w:rPr>
              <w:t>–</w:t>
            </w:r>
            <w:r w:rsidR="0079460B" w:rsidRPr="00F23B76">
              <w:rPr>
                <w:rFonts w:ascii="Times New Roman" w:hAnsi="Times New Roman"/>
                <w:lang w:eastAsia="pl-PL"/>
              </w:rPr>
              <w:t xml:space="preserve"> Prawo budowlane (Dz. U. z 20</w:t>
            </w:r>
            <w:r w:rsidR="00686DA5">
              <w:rPr>
                <w:rFonts w:ascii="Times New Roman" w:hAnsi="Times New Roman"/>
                <w:lang w:eastAsia="pl-PL"/>
              </w:rPr>
              <w:t>20</w:t>
            </w:r>
            <w:r w:rsidR="0079460B" w:rsidRPr="00F23B76">
              <w:rPr>
                <w:rFonts w:ascii="Times New Roman" w:hAnsi="Times New Roman"/>
                <w:lang w:eastAsia="pl-PL"/>
              </w:rPr>
              <w:t xml:space="preserve"> r. poz. </w:t>
            </w:r>
            <w:r w:rsidR="00686DA5">
              <w:rPr>
                <w:rFonts w:ascii="Times New Roman" w:hAnsi="Times New Roman"/>
                <w:lang w:eastAsia="pl-PL"/>
              </w:rPr>
              <w:t>1333</w:t>
            </w:r>
            <w:r w:rsidR="0079460B" w:rsidRPr="00F23B76">
              <w:rPr>
                <w:rFonts w:ascii="Times New Roman" w:hAnsi="Times New Roman"/>
                <w:lang w:eastAsia="pl-PL"/>
              </w:rPr>
              <w:t>)</w:t>
            </w:r>
          </w:p>
          <w:p w14:paraId="4CE71189" w14:textId="77777777" w:rsidR="008118EB" w:rsidRPr="00856B97" w:rsidRDefault="008118EB" w:rsidP="00AA037E">
            <w:pPr>
              <w:rPr>
                <w:rFonts w:ascii="Times New Roman" w:eastAsia="Calibri" w:hAnsi="Times New Roman"/>
              </w:rPr>
            </w:pPr>
          </w:p>
          <w:p w14:paraId="5798823F" w14:textId="77777777" w:rsidR="008118EB" w:rsidRPr="00856B97" w:rsidRDefault="008118EB" w:rsidP="00F23B7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Nr w wykazie prac legislacyjnych Ministra Zdrowia:</w:t>
            </w:r>
          </w:p>
          <w:p w14:paraId="10C97DB0" w14:textId="77777777" w:rsidR="008118EB" w:rsidRPr="00856B97" w:rsidRDefault="008118EB" w:rsidP="00F23B76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MZ </w:t>
            </w:r>
            <w:r w:rsidR="004057E0">
              <w:rPr>
                <w:rFonts w:ascii="Times New Roman" w:eastAsia="Calibri" w:hAnsi="Times New Roman"/>
                <w:color w:val="000000"/>
              </w:rPr>
              <w:t>1028</w:t>
            </w:r>
          </w:p>
          <w:p w14:paraId="1CE77167" w14:textId="77777777" w:rsidR="008118EB" w:rsidRPr="00856B97" w:rsidRDefault="008118EB" w:rsidP="00AA037E">
            <w:pPr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  <w:p w14:paraId="75F63330" w14:textId="77777777" w:rsidR="008118EB" w:rsidRPr="00856B97" w:rsidRDefault="008118EB" w:rsidP="00AA037E">
            <w:pPr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118EB" w:rsidRPr="00856B97" w14:paraId="40499BBD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5E716C03" w14:textId="77777777" w:rsidR="008118EB" w:rsidRPr="006E5327" w:rsidRDefault="008118EB" w:rsidP="00AA037E">
            <w:pPr>
              <w:ind w:left="57"/>
              <w:jc w:val="center"/>
              <w:rPr>
                <w:rFonts w:ascii="Times New Roman" w:eastAsia="Calibri" w:hAnsi="Times New Roman"/>
                <w:color w:val="FFFFFF"/>
              </w:rPr>
            </w:pPr>
            <w:r w:rsidRPr="006E5327">
              <w:rPr>
                <w:rFonts w:ascii="Times New Roman" w:eastAsia="Calibri" w:hAnsi="Times New Roman"/>
                <w:color w:val="FFFFFF"/>
              </w:rPr>
              <w:t>OCENA SKUTKÓW REGULACJI</w:t>
            </w:r>
          </w:p>
        </w:tc>
      </w:tr>
      <w:tr w:rsidR="008118EB" w:rsidRPr="00856B97" w14:paraId="09FC6484" w14:textId="77777777" w:rsidTr="000165CD">
        <w:trPr>
          <w:trHeight w:val="333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62E86F22" w14:textId="77777777" w:rsidR="008118EB" w:rsidRPr="00856B97" w:rsidRDefault="008118EB" w:rsidP="008118EB">
            <w:pPr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bookmarkStart w:id="2" w:name="Wybór1"/>
            <w:bookmarkEnd w:id="2"/>
            <w:r w:rsidRPr="00856B97">
              <w:rPr>
                <w:rFonts w:ascii="Times New Roman" w:eastAsia="Calibri" w:hAnsi="Times New Roman"/>
                <w:b/>
              </w:rPr>
              <w:t>Jaki problem jest rozwiązywany?</w:t>
            </w:r>
          </w:p>
        </w:tc>
      </w:tr>
      <w:tr w:rsidR="008118EB" w:rsidRPr="00856B97" w14:paraId="0F83F3A6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A8C46A" w14:textId="77777777" w:rsidR="008118EB" w:rsidRPr="00856B97" w:rsidRDefault="00E63F3B" w:rsidP="004B6D0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Potrzeba </w:t>
            </w:r>
            <w:r w:rsidR="00AC0448" w:rsidRPr="00AC0448">
              <w:rPr>
                <w:rFonts w:ascii="Times New Roman" w:eastAsia="Calibri" w:hAnsi="Times New Roman"/>
                <w:color w:val="000000"/>
              </w:rPr>
              <w:t>zwiększenia bezpieczeństwa zdrowotnego osób przebywających w pomieszczeniach przeznaczonych na pobyt ludzi</w:t>
            </w:r>
            <w:r w:rsidR="00AC0448"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</w:tc>
      </w:tr>
      <w:tr w:rsidR="008118EB" w:rsidRPr="00856B97" w14:paraId="705F2AF0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5426D250" w14:textId="77777777" w:rsidR="008118EB" w:rsidRPr="00856B97" w:rsidRDefault="008118EB" w:rsidP="0048324B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118EB" w:rsidRPr="00856B97" w14:paraId="54CBD7BB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F3E43" w14:textId="77777777" w:rsidR="006E5327" w:rsidRDefault="006E5327" w:rsidP="00E63F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6E5327">
              <w:rPr>
                <w:rFonts w:ascii="Times New Roman" w:eastAsia="Calibri" w:hAnsi="Times New Roman"/>
                <w:color w:val="000000"/>
                <w:spacing w:val="-2"/>
              </w:rPr>
              <w:t>Rekomendowanym rozwiązaniem jest</w:t>
            </w:r>
            <w:r w:rsidR="00AC0448">
              <w:rPr>
                <w:rFonts w:ascii="Times New Roman" w:eastAsia="Calibri" w:hAnsi="Times New Roman"/>
                <w:color w:val="000000"/>
                <w:spacing w:val="-2"/>
              </w:rPr>
              <w:t xml:space="preserve"> </w:t>
            </w:r>
            <w:r w:rsidR="00AC0448" w:rsidRPr="00AC0448">
              <w:rPr>
                <w:rFonts w:ascii="Times New Roman" w:eastAsia="Calibri" w:hAnsi="Times New Roman"/>
                <w:color w:val="000000"/>
                <w:spacing w:val="-2"/>
              </w:rPr>
              <w:t>określeni</w:t>
            </w:r>
            <w:r w:rsidR="00AC0448">
              <w:rPr>
                <w:rFonts w:ascii="Times New Roman" w:eastAsia="Calibri" w:hAnsi="Times New Roman"/>
                <w:color w:val="000000"/>
                <w:spacing w:val="-2"/>
              </w:rPr>
              <w:t>e</w:t>
            </w:r>
            <w:r w:rsidR="00AC0448" w:rsidRPr="00AC0448">
              <w:rPr>
                <w:rFonts w:ascii="Times New Roman" w:eastAsia="Calibri" w:hAnsi="Times New Roman"/>
                <w:color w:val="000000"/>
                <w:spacing w:val="-2"/>
              </w:rPr>
              <w:t xml:space="preserve"> czynników szkodliwych dla zdrowia wydzielanych przez materiały budowlane, urządzenia i elementy wyposażenia w pomieszczeniach przeznaczonych na pobyt ludzi oraz ich dopuszczalnego stężenia i natężenia</w:t>
            </w:r>
            <w:r w:rsidR="00E63F3B">
              <w:rPr>
                <w:rFonts w:ascii="Times New Roman" w:eastAsia="Calibri" w:hAnsi="Times New Roman"/>
                <w:color w:val="000000"/>
                <w:spacing w:val="-2"/>
              </w:rPr>
              <w:t>.</w:t>
            </w:r>
          </w:p>
          <w:p w14:paraId="14045A99" w14:textId="77777777" w:rsidR="006E5327" w:rsidRDefault="006E5327" w:rsidP="00E63F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6E5327">
              <w:rPr>
                <w:rFonts w:ascii="Times New Roman" w:eastAsia="Calibri" w:hAnsi="Times New Roman"/>
                <w:color w:val="000000"/>
                <w:spacing w:val="-2"/>
              </w:rPr>
              <w:t>Wprowadzane regulacje umożliwi</w:t>
            </w:r>
            <w:r w:rsidR="00686DA5">
              <w:rPr>
                <w:rFonts w:ascii="Times New Roman" w:eastAsia="Calibri" w:hAnsi="Times New Roman"/>
                <w:color w:val="000000"/>
                <w:spacing w:val="-2"/>
              </w:rPr>
              <w:t>ą</w:t>
            </w:r>
            <w:r w:rsidRPr="006E5327">
              <w:rPr>
                <w:rFonts w:ascii="Times New Roman" w:eastAsia="Calibri" w:hAnsi="Times New Roman"/>
                <w:color w:val="000000"/>
                <w:spacing w:val="-2"/>
              </w:rPr>
              <w:t xml:space="preserve"> pomiar czynników szkodliwych dla zdrowia wydzielanych przez materiały budowlane, urządzenia i elementy wyposażenia w pomieszczeniach przeznaczonych na pobyt ludzi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 przez wskazanie dopuszczaln</w:t>
            </w:r>
            <w:r w:rsidR="00326D3F">
              <w:rPr>
                <w:rFonts w:ascii="Times New Roman" w:eastAsia="Calibri" w:hAnsi="Times New Roman"/>
                <w:color w:val="000000"/>
                <w:spacing w:val="-2"/>
              </w:rPr>
              <w:t>ego stężenia i natężenia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 tych czynników</w:t>
            </w:r>
            <w:r w:rsidR="00326D3F">
              <w:rPr>
                <w:rFonts w:ascii="Times New Roman" w:eastAsia="Calibri" w:hAnsi="Times New Roman"/>
                <w:color w:val="000000"/>
                <w:spacing w:val="-2"/>
              </w:rPr>
              <w:t>.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  </w:t>
            </w:r>
          </w:p>
          <w:p w14:paraId="06145349" w14:textId="29F58ECF" w:rsidR="008118EB" w:rsidRPr="00856B97" w:rsidRDefault="006E53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  <w:highlight w:val="yellow"/>
              </w:rPr>
            </w:pPr>
            <w:r w:rsidRPr="006E5327">
              <w:rPr>
                <w:rFonts w:ascii="Times New Roman" w:eastAsia="Calibri" w:hAnsi="Times New Roman"/>
                <w:color w:val="000000"/>
                <w:spacing w:val="-2"/>
              </w:rPr>
              <w:t xml:space="preserve">Oczekiwanym efektem będzie zwiększenie bezpieczeństwa zdrowotnego </w:t>
            </w:r>
            <w:r w:rsidRPr="006E5327">
              <w:rPr>
                <w:rFonts w:ascii="Times New Roman" w:eastAsia="Calibri" w:hAnsi="Times New Roman"/>
                <w:color w:val="000000"/>
              </w:rPr>
              <w:t>osób przebywających w</w:t>
            </w:r>
            <w:r w:rsidR="00C51905">
              <w:rPr>
                <w:rFonts w:ascii="Times New Roman" w:eastAsia="Calibri" w:hAnsi="Times New Roman"/>
                <w:color w:val="000000"/>
              </w:rPr>
              <w:t> </w:t>
            </w:r>
            <w:r w:rsidRPr="006E5327">
              <w:rPr>
                <w:rFonts w:ascii="Times New Roman" w:eastAsia="Calibri" w:hAnsi="Times New Roman"/>
                <w:color w:val="000000"/>
              </w:rPr>
              <w:t>pomieszczenia</w:t>
            </w:r>
            <w:r w:rsidR="00686DA5">
              <w:rPr>
                <w:rFonts w:ascii="Times New Roman" w:eastAsia="Calibri" w:hAnsi="Times New Roman"/>
                <w:color w:val="000000"/>
              </w:rPr>
              <w:t>ch</w:t>
            </w:r>
            <w:r w:rsidRPr="006E5327">
              <w:rPr>
                <w:rFonts w:ascii="Times New Roman" w:eastAsia="Calibri" w:hAnsi="Times New Roman"/>
                <w:color w:val="000000"/>
              </w:rPr>
              <w:t xml:space="preserve"> przeznaczonych na pobyt ludzi.</w:t>
            </w:r>
            <w:r w:rsidR="00CA7F5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8118EB" w:rsidRPr="00856B97" w14:paraId="08B88381" w14:textId="77777777" w:rsidTr="000165CD">
        <w:trPr>
          <w:trHeight w:val="307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2B201453" w14:textId="77777777" w:rsidR="008118EB" w:rsidRPr="00856B97" w:rsidRDefault="008118EB" w:rsidP="008118EB">
            <w:pPr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56B97">
              <w:rPr>
                <w:rFonts w:ascii="Times New Roman" w:eastAsia="Calibri" w:hAnsi="Times New Roman"/>
                <w:b/>
                <w:color w:val="000000"/>
              </w:rPr>
              <w:t>?</w:t>
            </w:r>
            <w:r w:rsidRPr="00856B97"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</w:p>
        </w:tc>
      </w:tr>
      <w:tr w:rsidR="008118EB" w:rsidRPr="00D24B6C" w14:paraId="220E6076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9AD0D" w14:textId="77777777" w:rsidR="00D24B6C" w:rsidRPr="004D6EFE" w:rsidRDefault="00D24B6C" w:rsidP="004D6EFE">
            <w:pPr>
              <w:pStyle w:val="Teksttreci0"/>
              <w:spacing w:line="26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EFE">
              <w:rPr>
                <w:rFonts w:ascii="Times New Roman" w:hAnsi="Times New Roman" w:cs="Times New Roman"/>
                <w:bCs/>
                <w:color w:val="000000"/>
              </w:rPr>
              <w:t>Regulacje oraz opracowania w zakresie uwalniania substancji niebezpiecznych przez wyroby budowlane</w:t>
            </w:r>
            <w:r w:rsidR="00452A8F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0790A69D" w14:textId="7B14FB33" w:rsidR="00D24B6C" w:rsidRPr="004D6EFE" w:rsidRDefault="00D24B6C" w:rsidP="00452A8F">
            <w:pPr>
              <w:pStyle w:val="Teksttreci0"/>
              <w:spacing w:line="26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6EFE">
              <w:rPr>
                <w:rFonts w:ascii="Times New Roman" w:hAnsi="Times New Roman" w:cs="Times New Roman"/>
                <w:b/>
                <w:color w:val="000000"/>
                <w:lang w:val="en-US"/>
              </w:rPr>
              <w:t>Francja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: Arr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êté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du 19 avril 2011 relatif 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à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D269C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tiquetage des produits de construction ou de rev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ê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tement de mur ou de sol et des peintures et vernis sur leurs 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missions de polluants volatils, Minist</w:t>
            </w:r>
            <w:r w:rsidR="00503318" w:rsidRPr="00503318">
              <w:rPr>
                <w:rFonts w:ascii="Times New Roman" w:hAnsi="Times New Roman" w:cs="Times New Roman"/>
                <w:color w:val="000000"/>
                <w:lang w:val="en-US"/>
              </w:rPr>
              <w:t>è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re de </w:t>
            </w:r>
            <w:r w:rsidR="00DD269C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cologie, du d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veloppement durable, des transports et du logement. Journal officiel de la R</w:t>
            </w:r>
            <w:r w:rsidR="00DD269C" w:rsidRPr="00DD269C">
              <w:rPr>
                <w:rFonts w:ascii="Times New Roman" w:hAnsi="Times New Roman" w:cs="Times New Roman"/>
                <w:color w:val="000000"/>
                <w:lang w:val="en-US"/>
              </w:rPr>
              <w:t>é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publique </w:t>
            </w:r>
            <w:r w:rsidR="00503318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ran</w:t>
            </w:r>
            <w:r w:rsidR="00503318" w:rsidRPr="00503318">
              <w:rPr>
                <w:rFonts w:ascii="Times New Roman" w:hAnsi="Times New Roman" w:cs="Times New Roman"/>
                <w:color w:val="000000"/>
                <w:lang w:val="en-US"/>
              </w:rPr>
              <w:t>ç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aise, Texte 15 sur</w:t>
            </w:r>
            <w:r w:rsidR="00E63F3B"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192, 13 mai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2011.</w:t>
            </w:r>
          </w:p>
          <w:p w14:paraId="5354952C" w14:textId="77777777" w:rsidR="00D24B6C" w:rsidRDefault="00D24B6C" w:rsidP="00E63F3B">
            <w:pPr>
              <w:pStyle w:val="Teksttreci0"/>
              <w:spacing w:line="269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EFE">
              <w:rPr>
                <w:rFonts w:ascii="Times New Roman" w:hAnsi="Times New Roman" w:cs="Times New Roman"/>
                <w:b/>
                <w:color w:val="000000"/>
                <w:lang w:val="en-US"/>
              </w:rPr>
              <w:t>Niemcy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: Committee for Health-related Evaluation of Building Products. Health-related Evaluation Procedure for Volatile Organic Compounds Emission (VOC and SVOC) from Building Products. AgBB, 2018.</w:t>
            </w:r>
          </w:p>
          <w:p w14:paraId="02F5E750" w14:textId="4FC8A53A" w:rsidR="00A76F36" w:rsidRPr="00A76F36" w:rsidRDefault="00A76F36" w:rsidP="00AA0509">
            <w:pPr>
              <w:pStyle w:val="Teksttreci0"/>
              <w:spacing w:line="269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76F36">
              <w:rPr>
                <w:rFonts w:ascii="Times New Roman" w:hAnsi="Times New Roman"/>
                <w:color w:val="000000"/>
                <w:lang w:val="en-US"/>
              </w:rPr>
              <w:t>Wytyczne Ad-hoc Working Group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  <w:r w:rsidRPr="00A76F36">
              <w:rPr>
                <w:rFonts w:ascii="Times New Roman" w:hAnsi="Times New Roman"/>
                <w:color w:val="000000"/>
                <w:lang w:val="en-US"/>
              </w:rPr>
              <w:t xml:space="preserve"> German Committeeon Indoor Guide Values: https://www.umweltbundesamt.de/sites/default/files/medien/4031/bilder/dateien/0_ausschuss_fur- innenraumrichtwerte_empfehlungen_und_richtwerte_20190128_en_003. pdf </w:t>
            </w:r>
          </w:p>
          <w:p w14:paraId="6EEBA567" w14:textId="66754DF0" w:rsidR="00D24B6C" w:rsidRPr="004D6EFE" w:rsidRDefault="00D24B6C" w:rsidP="00E63F3B">
            <w:pPr>
              <w:pStyle w:val="Teksttreci0"/>
              <w:spacing w:line="26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D6EFE">
              <w:rPr>
                <w:rFonts w:ascii="Times New Roman" w:hAnsi="Times New Roman" w:cs="Times New Roman"/>
                <w:b/>
                <w:color w:val="000000"/>
                <w:lang w:val="en-US"/>
              </w:rPr>
              <w:t>Belgia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: Koninklijk besluit tot vaststelling van de drempelniveaus voor de emissies naar het </w:t>
            </w:r>
            <w:r w:rsidR="007C5E6A">
              <w:rPr>
                <w:rFonts w:ascii="Times New Roman" w:hAnsi="Times New Roman" w:cs="Times New Roman"/>
                <w:color w:val="000000"/>
                <w:lang w:val="en-US"/>
              </w:rPr>
              <w:t>bi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nnenmilieu van bouwproducten voor bepaalde beoogde gebruiken. Federale Overheidsdienst Volksgezondheid, Veiligheid Van De </w:t>
            </w:r>
            <w:r w:rsidR="00E63F3B" w:rsidRPr="004D6EFE">
              <w:rPr>
                <w:rFonts w:ascii="Times New Roman" w:hAnsi="Times New Roman" w:cs="Times New Roman"/>
                <w:color w:val="000000"/>
                <w:lang w:val="en-US"/>
              </w:rPr>
              <w:t>Voedselketen En Leefmilieu 8 mei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2014.</w:t>
            </w:r>
          </w:p>
          <w:p w14:paraId="61355A40" w14:textId="77777777" w:rsidR="00D24B6C" w:rsidRPr="004D6EFE" w:rsidRDefault="00D24B6C" w:rsidP="00AA0509">
            <w:pPr>
              <w:pStyle w:val="Teksttreci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EFE">
              <w:rPr>
                <w:rFonts w:ascii="Times New Roman" w:hAnsi="Times New Roman" w:cs="Times New Roman"/>
                <w:b/>
                <w:color w:val="000000"/>
                <w:lang w:val="en-US"/>
              </w:rPr>
              <w:t>Finlandia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: M1 Emission Classification of Building Materials: Protocol for Chemical and</w:t>
            </w:r>
            <w:r w:rsidR="00E63F3B"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Sensory Testing of Building Materials</w:t>
            </w:r>
            <w:r w:rsidR="00E63F3B" w:rsidRPr="004D6EF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56D43093" w14:textId="77777777" w:rsidR="00452A8F" w:rsidRDefault="00E63F3B" w:rsidP="00E63F3B">
            <w:pPr>
              <w:pStyle w:val="Teksttreci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6EFE">
              <w:rPr>
                <w:rFonts w:ascii="Times New Roman" w:hAnsi="Times New Roman" w:cs="Times New Roman"/>
                <w:b/>
                <w:color w:val="000000"/>
                <w:lang w:val="en-US"/>
              </w:rPr>
              <w:t>Wielka Brytania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452A8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D24B6C"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Wytyczne </w:t>
            </w:r>
            <w:r w:rsidRPr="004D6EFE">
              <w:rPr>
                <w:rFonts w:ascii="Times New Roman" w:hAnsi="Times New Roman" w:cs="Times New Roman"/>
                <w:color w:val="000000"/>
                <w:lang w:val="en-US"/>
              </w:rPr>
              <w:t>2019</w:t>
            </w:r>
            <w:r w:rsidR="00D24B6C"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 Indoor Air Quality Guidelines for selected Volatile Organic Compounds (VOCs) in the UK </w:t>
            </w:r>
            <w:r w:rsidR="00D24B6C" w:rsidRPr="004D6EFE">
              <w:rPr>
                <w:rFonts w:ascii="Times New Roman" w:hAnsi="Times New Roman" w:cs="Times New Roman"/>
                <w:lang w:val="en-US"/>
              </w:rPr>
              <w:t>(r</w:t>
            </w:r>
            <w:r w:rsidR="00D24B6C" w:rsidRPr="004D6EFE">
              <w:rPr>
                <w:rFonts w:ascii="Times New Roman" w:hAnsi="Times New Roman" w:cs="Times New Roman"/>
                <w:color w:val="000000"/>
                <w:lang w:val="en-US"/>
              </w:rPr>
              <w:t>egulacja dobrowolna)</w:t>
            </w:r>
            <w:r w:rsidR="00452A8F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14:paraId="255863C0" w14:textId="77777777" w:rsidR="00D24B6C" w:rsidRDefault="0071014E" w:rsidP="00E63F3B">
            <w:pPr>
              <w:pStyle w:val="Teksttreci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9" w:history="1">
              <w:r w:rsidR="00D24B6C" w:rsidRPr="004D6EFE">
                <w:rPr>
                  <w:rFonts w:ascii="Times New Roman" w:hAnsi="Times New Roman" w:cs="Times New Roman"/>
                  <w:color w:val="000000"/>
                  <w:lang w:val="en-US"/>
                </w:rPr>
                <w:t>https://assets.publishing.service.gov.uk/government/uploads/system/uploads/attachment_data/file/</w:t>
              </w:r>
            </w:hyperlink>
            <w:r w:rsidR="00D24B6C" w:rsidRPr="004D6EFE">
              <w:rPr>
                <w:rFonts w:ascii="Times New Roman" w:hAnsi="Times New Roman" w:cs="Times New Roman"/>
                <w:color w:val="000000"/>
                <w:lang w:val="en-US"/>
              </w:rPr>
              <w:t xml:space="preserve">831319/VO_statement_Final_12092019_CS_1_.pdf </w:t>
            </w:r>
          </w:p>
          <w:p w14:paraId="1559478D" w14:textId="77777777" w:rsidR="00D24B6C" w:rsidRPr="004D6EFE" w:rsidRDefault="00D24B6C" w:rsidP="00D24B6C">
            <w:pPr>
              <w:pStyle w:val="Teksttreci0"/>
              <w:spacing w:line="240" w:lineRule="auto"/>
              <w:ind w:firstLine="539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D1AA3E6" w14:textId="77777777" w:rsidR="008118EB" w:rsidRPr="004D6EFE" w:rsidRDefault="00812E3F" w:rsidP="00BB33CA">
            <w:pPr>
              <w:pStyle w:val="Teksttreci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FE">
              <w:rPr>
                <w:rFonts w:ascii="Times New Roman" w:hAnsi="Times New Roman" w:cs="Times New Roman"/>
                <w:color w:val="000000"/>
              </w:rPr>
              <w:t xml:space="preserve">Przykładowo </w:t>
            </w:r>
            <w:r w:rsidR="00AC0448">
              <w:rPr>
                <w:rFonts w:ascii="Times New Roman" w:hAnsi="Times New Roman" w:cs="Times New Roman"/>
                <w:color w:val="000000"/>
              </w:rPr>
              <w:t xml:space="preserve">w przypadku </w:t>
            </w:r>
            <w:r w:rsidRPr="004D6EFE">
              <w:rPr>
                <w:rFonts w:ascii="Times New Roman" w:hAnsi="Times New Roman" w:cs="Times New Roman"/>
                <w:color w:val="000000"/>
              </w:rPr>
              <w:t>n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aftal</w:t>
            </w:r>
            <w:r w:rsidR="003C0C91">
              <w:rPr>
                <w:rFonts w:ascii="Times New Roman" w:hAnsi="Times New Roman" w:cs="Times New Roman"/>
                <w:color w:val="000000"/>
              </w:rPr>
              <w:t>e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n</w:t>
            </w:r>
            <w:r w:rsidR="00AC0448">
              <w:rPr>
                <w:rFonts w:ascii="Times New Roman" w:hAnsi="Times New Roman" w:cs="Times New Roman"/>
                <w:color w:val="000000"/>
              </w:rPr>
              <w:t>u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większość państw członkowskich UE, jak również WHO, kierując się zasadą ostrożności</w:t>
            </w:r>
            <w:r w:rsidR="00AC0448">
              <w:rPr>
                <w:rFonts w:ascii="Times New Roman" w:hAnsi="Times New Roman" w:cs="Times New Roman"/>
                <w:color w:val="000000"/>
              </w:rPr>
              <w:t>,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przyjęło w swoich regulacjach wartości: Niemcy </w:t>
            </w:r>
            <w:r w:rsidR="00452A8F">
              <w:rPr>
                <w:rFonts w:ascii="Times New Roman" w:hAnsi="Times New Roman" w:cs="Times New Roman"/>
                <w:color w:val="000000"/>
              </w:rPr>
              <w:t>–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10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(30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utrzymano jako wartość opartą 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lastRenderedPageBreak/>
              <w:t xml:space="preserve">na kryterium zdrowotnym); Holandia </w:t>
            </w:r>
            <w:r w:rsidR="00452A8F">
              <w:rPr>
                <w:rFonts w:ascii="Times New Roman" w:hAnsi="Times New Roman" w:cs="Times New Roman"/>
                <w:color w:val="000000"/>
              </w:rPr>
              <w:t>–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25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; Francja </w:t>
            </w:r>
            <w:r w:rsidR="00452A8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10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452A8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Kanada </w:t>
            </w:r>
            <w:r w:rsidR="00452A8F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10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452A8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WHO </w:t>
            </w:r>
            <w:r w:rsidR="00452A8F">
              <w:rPr>
                <w:rFonts w:ascii="Times New Roman" w:hAnsi="Times New Roman" w:cs="Times New Roman"/>
                <w:color w:val="000000"/>
              </w:rPr>
              <w:t>–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 xml:space="preserve"> 10 µg/m</w:t>
            </w:r>
            <w:r w:rsidR="00D24B6C" w:rsidRPr="004D6EFE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="00D24B6C" w:rsidRPr="004D6E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118EB" w:rsidRPr="00856B97" w14:paraId="71B0BD73" w14:textId="77777777" w:rsidTr="000165CD">
        <w:trPr>
          <w:trHeight w:val="359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1C97414C" w14:textId="77777777" w:rsidR="008118EB" w:rsidRPr="00856B97" w:rsidRDefault="008118EB" w:rsidP="008118EB">
            <w:pPr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8118EB" w:rsidRPr="00856B97" w14:paraId="3C61D0E1" w14:textId="77777777" w:rsidTr="00453CE4">
        <w:trPr>
          <w:trHeight w:val="142"/>
          <w:jc w:val="center"/>
        </w:trPr>
        <w:tc>
          <w:tcPr>
            <w:tcW w:w="121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0D180" w14:textId="77777777" w:rsidR="008118EB" w:rsidRPr="00856B97" w:rsidRDefault="008118EB" w:rsidP="00AA037E">
            <w:pPr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>Grupa</w:t>
            </w:r>
          </w:p>
        </w:tc>
        <w:tc>
          <w:tcPr>
            <w:tcW w:w="106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1E48E" w14:textId="77777777" w:rsidR="008118EB" w:rsidRPr="00856B97" w:rsidRDefault="008118EB" w:rsidP="00AA037E">
            <w:pPr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41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9F93F" w14:textId="77777777" w:rsidR="008118EB" w:rsidRPr="00856B97" w:rsidRDefault="008118EB" w:rsidP="00AA037E">
            <w:pPr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130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BC1AC" w14:textId="77777777" w:rsidR="008118EB" w:rsidRPr="00856B97" w:rsidRDefault="008118EB" w:rsidP="00AA037E">
            <w:pPr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>Oddziaływanie</w:t>
            </w:r>
          </w:p>
        </w:tc>
      </w:tr>
      <w:tr w:rsidR="008118EB" w:rsidRPr="00856B97" w14:paraId="14D226EF" w14:textId="77777777" w:rsidTr="00453CE4">
        <w:trPr>
          <w:trHeight w:val="938"/>
          <w:jc w:val="center"/>
        </w:trPr>
        <w:tc>
          <w:tcPr>
            <w:tcW w:w="121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72913" w14:textId="77777777" w:rsidR="008118EB" w:rsidRPr="00856B97" w:rsidRDefault="0079460B" w:rsidP="007D6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Producenci materiałów budowlanych</w:t>
            </w:r>
          </w:p>
        </w:tc>
        <w:tc>
          <w:tcPr>
            <w:tcW w:w="106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F6F82" w14:textId="77777777" w:rsidR="008118EB" w:rsidRDefault="0079460B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4D6EFE">
              <w:rPr>
                <w:rFonts w:ascii="Times New Roman" w:eastAsia="Calibri" w:hAnsi="Times New Roman"/>
                <w:color w:val="000000"/>
                <w:spacing w:val="-2"/>
              </w:rPr>
              <w:t>Brak danych</w:t>
            </w:r>
          </w:p>
          <w:p w14:paraId="2C358B25" w14:textId="77777777" w:rsidR="003A762D" w:rsidRDefault="003A762D" w:rsidP="003A7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</w:p>
          <w:p w14:paraId="1D27D7C5" w14:textId="77777777" w:rsidR="00470DC0" w:rsidRDefault="003A762D" w:rsidP="003A7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3A762D">
              <w:rPr>
                <w:rFonts w:ascii="Times New Roman" w:eastAsia="Calibri" w:hAnsi="Times New Roman"/>
                <w:color w:val="000000"/>
                <w:spacing w:val="-2"/>
              </w:rPr>
              <w:t xml:space="preserve">GUS zbiera ogólne dane z wielu branż należących do jednego PKD. </w:t>
            </w:r>
          </w:p>
          <w:p w14:paraId="1C8D656E" w14:textId="3EA1C816" w:rsidR="00E63C0C" w:rsidRPr="004D6EFE" w:rsidRDefault="003A762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3A762D">
              <w:rPr>
                <w:rFonts w:ascii="Times New Roman" w:eastAsia="Calibri" w:hAnsi="Times New Roman"/>
                <w:color w:val="000000"/>
                <w:spacing w:val="-2"/>
              </w:rPr>
              <w:t>Produkcja materiałów budowlanych zalicza się do PKD 23 obejmującego w</w:t>
            </w:r>
            <w:r w:rsidR="003F410F">
              <w:rPr>
                <w:rFonts w:ascii="Times New Roman" w:eastAsia="Calibri" w:hAnsi="Times New Roman"/>
                <w:color w:val="000000"/>
                <w:spacing w:val="-2"/>
              </w:rPr>
              <w:t> </w:t>
            </w:r>
            <w:r w:rsidRPr="003A762D">
              <w:rPr>
                <w:rFonts w:ascii="Times New Roman" w:eastAsia="Calibri" w:hAnsi="Times New Roman"/>
                <w:color w:val="000000"/>
                <w:spacing w:val="-2"/>
              </w:rPr>
              <w:t xml:space="preserve">swym zakresie również inne produkcje </w:t>
            </w:r>
            <w:r w:rsidR="00E72D25">
              <w:rPr>
                <w:rFonts w:ascii="Times New Roman" w:eastAsia="Calibri" w:hAnsi="Times New Roman"/>
                <w:color w:val="000000"/>
                <w:spacing w:val="-2"/>
              </w:rPr>
              <w:t>(np. produkcj</w:t>
            </w:r>
            <w:r w:rsidR="00C51905">
              <w:rPr>
                <w:rFonts w:ascii="Times New Roman" w:eastAsia="Calibri" w:hAnsi="Times New Roman"/>
                <w:color w:val="000000"/>
                <w:spacing w:val="-2"/>
              </w:rPr>
              <w:t>ę</w:t>
            </w:r>
            <w:r w:rsidR="00E72D25">
              <w:rPr>
                <w:rFonts w:ascii="Times New Roman" w:eastAsia="Calibri" w:hAnsi="Times New Roman"/>
                <w:color w:val="000000"/>
                <w:spacing w:val="-2"/>
              </w:rPr>
              <w:t xml:space="preserve"> cementu, szkła)</w:t>
            </w:r>
          </w:p>
        </w:tc>
        <w:tc>
          <w:tcPr>
            <w:tcW w:w="141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8DDA9" w14:textId="5F85DBEB" w:rsidR="008118EB" w:rsidRPr="00B9568D" w:rsidRDefault="00C519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/>
                <w:color w:val="000000" w:themeColor="text1"/>
                <w:spacing w:val="-2"/>
              </w:rPr>
              <w:t>–</w:t>
            </w:r>
          </w:p>
        </w:tc>
        <w:tc>
          <w:tcPr>
            <w:tcW w:w="130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B6329" w14:textId="2D529DBD" w:rsidR="001B0E29" w:rsidRDefault="0079460B" w:rsidP="00923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bezpieczeństwa zdrowotnego praco</w:t>
            </w:r>
            <w:r w:rsidRPr="00A51C2C">
              <w:rPr>
                <w:rFonts w:ascii="Times New Roman" w:hAnsi="Times New Roman"/>
              </w:rPr>
              <w:t>wników biorących udział w</w:t>
            </w:r>
            <w:r w:rsidR="00C51905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>procesie produkcyjnym</w:t>
            </w:r>
            <w:r w:rsidR="009647F6" w:rsidRPr="00A51C2C">
              <w:rPr>
                <w:rFonts w:ascii="Times New Roman" w:hAnsi="Times New Roman"/>
              </w:rPr>
              <w:t xml:space="preserve">. </w:t>
            </w:r>
          </w:p>
          <w:p w14:paraId="72DC9F24" w14:textId="5D54F218" w:rsidR="008118EB" w:rsidRPr="00856B97" w:rsidRDefault="00964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C2C">
              <w:rPr>
                <w:rFonts w:ascii="Times New Roman" w:hAnsi="Times New Roman"/>
              </w:rPr>
              <w:t xml:space="preserve">Zakres </w:t>
            </w:r>
            <w:r w:rsidRPr="00470DC0">
              <w:rPr>
                <w:rFonts w:ascii="Times New Roman" w:hAnsi="Times New Roman"/>
              </w:rPr>
              <w:t xml:space="preserve">procedowanego rozporządzenia rozszerza ochronę pracowników przed szkodliwym oddziaływaniem substancji chemicznych, </w:t>
            </w:r>
            <w:r w:rsidR="00EB72CB" w:rsidRPr="00470DC0">
              <w:rPr>
                <w:rFonts w:ascii="Times New Roman" w:hAnsi="Times New Roman"/>
              </w:rPr>
              <w:t>ponieważ ustanawia dopuszczalne normy oddziaływania innych substancji chemicznych, niż</w:t>
            </w:r>
            <w:r w:rsidRPr="00470DC0">
              <w:rPr>
                <w:rFonts w:ascii="Times New Roman" w:hAnsi="Times New Roman"/>
              </w:rPr>
              <w:t xml:space="preserve"> uwzględnione</w:t>
            </w:r>
            <w:r w:rsidR="00470DC0" w:rsidRPr="001B0E29">
              <w:rPr>
                <w:rFonts w:ascii="Times New Roman" w:hAnsi="Times New Roman"/>
              </w:rPr>
              <w:t xml:space="preserve"> w przepisach wydanych </w:t>
            </w:r>
            <w:r w:rsidR="00470DC0" w:rsidRPr="009239D3">
              <w:rPr>
                <w:rFonts w:ascii="Times New Roman" w:hAnsi="Times New Roman"/>
                <w:color w:val="000000"/>
              </w:rPr>
              <w:t>na podstawie</w:t>
            </w:r>
            <w:r w:rsidR="003F410F">
              <w:rPr>
                <w:rFonts w:ascii="Times New Roman" w:hAnsi="Times New Roman"/>
                <w:color w:val="000000"/>
              </w:rPr>
              <w:t xml:space="preserve"> </w:t>
            </w:r>
            <w:hyperlink r:id="rId10" w:anchor="hiperlinkText.rpc?hiperlink=type=tresc:nro=Powszechny.2389246:part=a228%C2%A73&amp;full=1" w:tgtFrame="_parent" w:history="1">
              <w:r w:rsidR="00470DC0" w:rsidRPr="002B2820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art.</w:t>
              </w:r>
              <w:r w:rsidR="003F410F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 </w:t>
              </w:r>
              <w:r w:rsidR="00470DC0" w:rsidRPr="002B2820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228 §</w:t>
              </w:r>
              <w:r w:rsidR="003F410F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 </w:t>
              </w:r>
              <w:r w:rsidR="00470DC0" w:rsidRPr="002B2820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3</w:t>
              </w:r>
            </w:hyperlink>
            <w:r w:rsidR="00470DC0" w:rsidRPr="002B2820">
              <w:rPr>
                <w:rFonts w:ascii="Times New Roman" w:hAnsi="Times New Roman"/>
                <w:color w:val="000000" w:themeColor="text1"/>
              </w:rPr>
              <w:t> u</w:t>
            </w:r>
            <w:r w:rsidR="00470DC0" w:rsidRPr="009239D3">
              <w:rPr>
                <w:rFonts w:ascii="Times New Roman" w:hAnsi="Times New Roman"/>
                <w:color w:val="000000"/>
              </w:rPr>
              <w:t xml:space="preserve">stawy z dnia 26 czerwca 1974 r. </w:t>
            </w:r>
            <w:r w:rsidR="00C51905">
              <w:rPr>
                <w:rFonts w:ascii="Times New Roman" w:hAnsi="Times New Roman"/>
                <w:color w:val="000000"/>
              </w:rPr>
              <w:t>–</w:t>
            </w:r>
            <w:r w:rsidR="00470DC0" w:rsidRPr="009239D3">
              <w:rPr>
                <w:rFonts w:ascii="Times New Roman" w:hAnsi="Times New Roman"/>
                <w:color w:val="000000"/>
              </w:rPr>
              <w:t xml:space="preserve"> Kodeks pracy</w:t>
            </w:r>
            <w:r w:rsidR="00470DC0" w:rsidRPr="00470DC0">
              <w:rPr>
                <w:rFonts w:ascii="Times New Roman" w:hAnsi="Times New Roman"/>
              </w:rPr>
              <w:t xml:space="preserve">, tj. </w:t>
            </w:r>
            <w:r w:rsidRPr="001B0E29">
              <w:rPr>
                <w:rFonts w:ascii="Times New Roman" w:hAnsi="Times New Roman"/>
              </w:rPr>
              <w:t>w</w:t>
            </w:r>
            <w:r w:rsidR="003F410F">
              <w:rPr>
                <w:rFonts w:ascii="Times New Roman" w:hAnsi="Times New Roman"/>
              </w:rPr>
              <w:t> </w:t>
            </w:r>
            <w:r w:rsidRPr="001B0E29">
              <w:rPr>
                <w:rFonts w:ascii="Times New Roman" w:hAnsi="Times New Roman"/>
              </w:rPr>
              <w:t>rozporządzeniu Ministra Rodziny, Pracy i</w:t>
            </w:r>
            <w:r w:rsidR="002C5AAE">
              <w:rPr>
                <w:rFonts w:ascii="Times New Roman" w:hAnsi="Times New Roman"/>
              </w:rPr>
              <w:t> </w:t>
            </w:r>
            <w:r w:rsidRPr="001B0E29">
              <w:rPr>
                <w:rFonts w:ascii="Times New Roman" w:hAnsi="Times New Roman"/>
              </w:rPr>
              <w:t>Polityki Społecznej z dnia 12 czerwca 2018 r. w</w:t>
            </w:r>
            <w:r w:rsidR="003F410F">
              <w:rPr>
                <w:rFonts w:ascii="Times New Roman" w:hAnsi="Times New Roman"/>
              </w:rPr>
              <w:t> </w:t>
            </w:r>
            <w:r w:rsidRPr="001B0E29">
              <w:rPr>
                <w:rFonts w:ascii="Times New Roman" w:hAnsi="Times New Roman"/>
              </w:rPr>
              <w:t>sprawie</w:t>
            </w:r>
            <w:r w:rsidRPr="00A51C2C">
              <w:rPr>
                <w:rFonts w:ascii="Times New Roman" w:hAnsi="Times New Roman"/>
              </w:rPr>
              <w:t xml:space="preserve"> najwyższych dopuszczalnych stężeń i</w:t>
            </w:r>
            <w:r w:rsidR="003F410F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>natężeń czynników szkodliwych dla zdrowia w</w:t>
            </w:r>
            <w:r w:rsidR="003F410F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 xml:space="preserve">środowisku pracy (Dz. U. poz. 1286 </w:t>
            </w:r>
            <w:r w:rsidR="00470DC0">
              <w:rPr>
                <w:rFonts w:ascii="Times New Roman" w:hAnsi="Times New Roman"/>
              </w:rPr>
              <w:t>oraz z 2020 r. poz. 61)</w:t>
            </w:r>
            <w:r w:rsidRPr="00A51C2C">
              <w:rPr>
                <w:rFonts w:ascii="Times New Roman" w:hAnsi="Times New Roman"/>
              </w:rPr>
              <w:t>.</w:t>
            </w:r>
          </w:p>
        </w:tc>
      </w:tr>
      <w:tr w:rsidR="00B9568D" w:rsidRPr="00856B97" w14:paraId="636C3767" w14:textId="77777777" w:rsidTr="00453CE4">
        <w:trPr>
          <w:trHeight w:val="938"/>
          <w:jc w:val="center"/>
        </w:trPr>
        <w:tc>
          <w:tcPr>
            <w:tcW w:w="121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C663B" w14:textId="1ED8669A" w:rsidR="00B9568D" w:rsidRDefault="00B956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9568D">
              <w:rPr>
                <w:rFonts w:ascii="Times New Roman" w:hAnsi="Times New Roman"/>
              </w:rPr>
              <w:t>odmioty biorące udział w procesie projektowania i</w:t>
            </w:r>
            <w:r w:rsidR="00C51905">
              <w:rPr>
                <w:rFonts w:ascii="Times New Roman" w:hAnsi="Times New Roman"/>
              </w:rPr>
              <w:t> </w:t>
            </w:r>
            <w:r w:rsidRPr="00B9568D">
              <w:rPr>
                <w:rFonts w:ascii="Times New Roman" w:hAnsi="Times New Roman"/>
              </w:rPr>
              <w:t>budowy obiektów budowlanyc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06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C33F" w14:textId="77777777" w:rsidR="00B9568D" w:rsidRDefault="00B9568D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Brak danych</w:t>
            </w:r>
          </w:p>
          <w:p w14:paraId="34010B40" w14:textId="77777777" w:rsidR="003A762D" w:rsidRPr="004D6EFE" w:rsidRDefault="003A762D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3A762D">
              <w:rPr>
                <w:rFonts w:ascii="Times New Roman" w:eastAsia="Calibri" w:hAnsi="Times New Roman"/>
                <w:color w:val="000000"/>
                <w:spacing w:val="-2"/>
              </w:rPr>
              <w:t xml:space="preserve">GUS zbiera ogólne dane z wielu 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>branż należących do jednego PKD</w:t>
            </w:r>
          </w:p>
        </w:tc>
        <w:tc>
          <w:tcPr>
            <w:tcW w:w="141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9550B" w14:textId="6EE4DA4A" w:rsidR="00B9568D" w:rsidRPr="00B9568D" w:rsidRDefault="00C519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pacing w:val="-2"/>
                <w:sz w:val="20"/>
              </w:rPr>
              <w:t>–</w:t>
            </w:r>
          </w:p>
        </w:tc>
        <w:tc>
          <w:tcPr>
            <w:tcW w:w="130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042B8" w14:textId="0B9F008A" w:rsidR="00B9568D" w:rsidRDefault="00B9568D" w:rsidP="00923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bezpieczeństwa zdrowotnego podmiotów biorących udział w procesie projektowania i budowy obiektów budowlanych</w:t>
            </w:r>
            <w:r w:rsidR="00FB091A">
              <w:rPr>
                <w:rFonts w:ascii="Times New Roman" w:hAnsi="Times New Roman"/>
              </w:rPr>
              <w:t>.</w:t>
            </w:r>
          </w:p>
        </w:tc>
      </w:tr>
      <w:tr w:rsidR="008118EB" w:rsidRPr="00856B97" w14:paraId="42B7960E" w14:textId="77777777" w:rsidTr="00453CE4">
        <w:trPr>
          <w:trHeight w:val="142"/>
          <w:jc w:val="center"/>
        </w:trPr>
        <w:tc>
          <w:tcPr>
            <w:tcW w:w="121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64ADA" w14:textId="77777777" w:rsidR="008118EB" w:rsidRDefault="0079460B" w:rsidP="006828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Producenci urządzeń oraz elementów wyposażenia stosowanych w</w:t>
            </w:r>
            <w:r w:rsidR="00BB33CA">
              <w:rPr>
                <w:rFonts w:ascii="Times New Roman" w:eastAsia="Calibri" w:hAnsi="Times New Roman"/>
                <w:color w:val="000000"/>
                <w:spacing w:val="-2"/>
              </w:rPr>
              <w:t> 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>pomieszczeniach przeznaczonych na pobyt ludzi</w:t>
            </w:r>
          </w:p>
          <w:p w14:paraId="25C25E45" w14:textId="77777777" w:rsidR="00AC416F" w:rsidRPr="00856B97" w:rsidRDefault="00AC416F" w:rsidP="006828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</w:p>
        </w:tc>
        <w:tc>
          <w:tcPr>
            <w:tcW w:w="106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74513" w14:textId="77777777" w:rsidR="008118EB" w:rsidRDefault="0079460B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4D6EFE">
              <w:rPr>
                <w:rFonts w:ascii="Times New Roman" w:eastAsia="Calibri" w:hAnsi="Times New Roman"/>
                <w:color w:val="000000"/>
                <w:spacing w:val="-2"/>
              </w:rPr>
              <w:t>Brak danych</w:t>
            </w:r>
          </w:p>
          <w:p w14:paraId="4A029F0D" w14:textId="77777777" w:rsidR="003A762D" w:rsidRPr="004D6EFE" w:rsidRDefault="003A762D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3A762D">
              <w:rPr>
                <w:rFonts w:ascii="Times New Roman" w:eastAsia="Calibri" w:hAnsi="Times New Roman"/>
                <w:color w:val="000000"/>
                <w:spacing w:val="-2"/>
              </w:rPr>
              <w:t xml:space="preserve">GUS zbiera ogólne dane z wielu 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>branż należących do jednego PKD</w:t>
            </w:r>
          </w:p>
        </w:tc>
        <w:tc>
          <w:tcPr>
            <w:tcW w:w="141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9C9DDF" w14:textId="77777777" w:rsidR="008118EB" w:rsidRPr="00856B97" w:rsidRDefault="00BB33CA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–</w:t>
            </w:r>
          </w:p>
        </w:tc>
        <w:tc>
          <w:tcPr>
            <w:tcW w:w="130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07C92" w14:textId="77777777" w:rsidR="001B0E29" w:rsidRDefault="0079460B" w:rsidP="00923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bezpieczeństwa zdrowotnego pracowników biorących udział w procesie produkcji urządzeń oraz elementów wypos</w:t>
            </w:r>
            <w:r w:rsidRPr="00A51C2C">
              <w:rPr>
                <w:rFonts w:ascii="Times New Roman" w:hAnsi="Times New Roman"/>
              </w:rPr>
              <w:t>ażenia</w:t>
            </w:r>
            <w:r w:rsidR="009647F6" w:rsidRPr="00A51C2C">
              <w:rPr>
                <w:rFonts w:ascii="Times New Roman" w:hAnsi="Times New Roman"/>
              </w:rPr>
              <w:t xml:space="preserve">. </w:t>
            </w:r>
          </w:p>
          <w:p w14:paraId="50616048" w14:textId="25954134" w:rsidR="008118EB" w:rsidRPr="00856B97" w:rsidRDefault="00EB7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C2C">
              <w:rPr>
                <w:rFonts w:ascii="Times New Roman" w:hAnsi="Times New Roman"/>
              </w:rPr>
              <w:t xml:space="preserve">Zakres procedowanego rozporządzenia rozszerza ochronę pracowników przed szkodliwym oddziaływaniem </w:t>
            </w:r>
            <w:r w:rsidRPr="00A51C2C">
              <w:rPr>
                <w:rFonts w:ascii="Times New Roman" w:hAnsi="Times New Roman"/>
              </w:rPr>
              <w:lastRenderedPageBreak/>
              <w:t xml:space="preserve">substancji chemicznych, ponieważ ustanawia dopuszczalne normy oddziaływania innych substancji chemicznych, niż uwzględnione </w:t>
            </w:r>
            <w:r w:rsidR="001B0E29" w:rsidRPr="001B0E29">
              <w:rPr>
                <w:rFonts w:ascii="Times New Roman" w:hAnsi="Times New Roman"/>
              </w:rPr>
              <w:t>w prz</w:t>
            </w:r>
            <w:r w:rsidR="001B0E29" w:rsidRPr="00827571">
              <w:rPr>
                <w:rFonts w:ascii="Times New Roman" w:hAnsi="Times New Roman"/>
              </w:rPr>
              <w:t xml:space="preserve">episach wydanych </w:t>
            </w:r>
            <w:r w:rsidR="001B0E29" w:rsidRPr="00827571">
              <w:rPr>
                <w:rFonts w:ascii="Times New Roman" w:hAnsi="Times New Roman"/>
                <w:color w:val="000000"/>
              </w:rPr>
              <w:t>na podstawie</w:t>
            </w:r>
            <w:r w:rsidR="003F410F">
              <w:rPr>
                <w:rFonts w:ascii="Times New Roman" w:hAnsi="Times New Roman"/>
                <w:color w:val="000000"/>
              </w:rPr>
              <w:t xml:space="preserve"> </w:t>
            </w:r>
            <w:hyperlink r:id="rId11" w:anchor="hiperlinkText.rpc?hiperlink=type=tresc:nro=Powszechny.2389246:part=a228%C2%A73&amp;full=1" w:tgtFrame="_parent" w:history="1">
              <w:r w:rsidR="001B0E29" w:rsidRPr="002B2820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art.</w:t>
              </w:r>
              <w:r w:rsidR="003F410F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 </w:t>
              </w:r>
              <w:r w:rsidR="001B0E29" w:rsidRPr="002B2820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228 § 3</w:t>
              </w:r>
            </w:hyperlink>
            <w:r w:rsidR="001B0E29" w:rsidRPr="002B2820">
              <w:rPr>
                <w:rFonts w:ascii="Times New Roman" w:hAnsi="Times New Roman"/>
                <w:color w:val="000000" w:themeColor="text1"/>
              </w:rPr>
              <w:t> ustawy z</w:t>
            </w:r>
            <w:r w:rsidR="001B0E29" w:rsidRPr="00827571">
              <w:rPr>
                <w:rFonts w:ascii="Times New Roman" w:hAnsi="Times New Roman"/>
                <w:color w:val="000000"/>
              </w:rPr>
              <w:t xml:space="preserve"> dnia 26 czerwca 1974 r. </w:t>
            </w:r>
            <w:r w:rsidR="002C5AAE">
              <w:rPr>
                <w:rFonts w:ascii="Times New Roman" w:hAnsi="Times New Roman"/>
                <w:color w:val="000000"/>
              </w:rPr>
              <w:t>–</w:t>
            </w:r>
            <w:r w:rsidR="001B0E29" w:rsidRPr="00827571">
              <w:rPr>
                <w:rFonts w:ascii="Times New Roman" w:hAnsi="Times New Roman"/>
                <w:color w:val="000000"/>
              </w:rPr>
              <w:t xml:space="preserve"> Kodeks pracy</w:t>
            </w:r>
            <w:r w:rsidR="001B0E29" w:rsidRPr="00470DC0">
              <w:rPr>
                <w:rFonts w:ascii="Times New Roman" w:hAnsi="Times New Roman"/>
              </w:rPr>
              <w:t xml:space="preserve">, tj. </w:t>
            </w:r>
            <w:r w:rsidR="001B0E29">
              <w:rPr>
                <w:rFonts w:ascii="Times New Roman" w:hAnsi="Times New Roman"/>
              </w:rPr>
              <w:t>w</w:t>
            </w:r>
            <w:r w:rsidR="003F410F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>rozporządzeniu Ministra Rodziny, Pracy i Polityki Społecznej z dnia 12 czerwca 2018 r. w sprawie najwyższych dopuszczalnych stężeń i</w:t>
            </w:r>
            <w:r w:rsidR="003F410F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>natężeń czynników szkodliwych dla zdrowia w</w:t>
            </w:r>
            <w:r w:rsidR="003F410F">
              <w:rPr>
                <w:rFonts w:ascii="Times New Roman" w:hAnsi="Times New Roman"/>
              </w:rPr>
              <w:t> </w:t>
            </w:r>
            <w:r w:rsidRPr="00A51C2C">
              <w:rPr>
                <w:rFonts w:ascii="Times New Roman" w:hAnsi="Times New Roman"/>
              </w:rPr>
              <w:t>środowisku pracy</w:t>
            </w:r>
            <w:r w:rsidR="00A51C2C" w:rsidRPr="00A51C2C">
              <w:rPr>
                <w:rFonts w:ascii="Times New Roman" w:hAnsi="Times New Roman"/>
              </w:rPr>
              <w:t>.</w:t>
            </w:r>
            <w:r w:rsidRPr="00A51C2C">
              <w:rPr>
                <w:rFonts w:ascii="Times New Roman" w:hAnsi="Times New Roman"/>
              </w:rPr>
              <w:t xml:space="preserve"> </w:t>
            </w:r>
          </w:p>
        </w:tc>
      </w:tr>
      <w:tr w:rsidR="004D6EFE" w:rsidRPr="00856B97" w14:paraId="04CA4868" w14:textId="77777777" w:rsidTr="00453CE4">
        <w:trPr>
          <w:trHeight w:val="142"/>
          <w:jc w:val="center"/>
        </w:trPr>
        <w:tc>
          <w:tcPr>
            <w:tcW w:w="121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46025" w14:textId="77777777" w:rsidR="004D6EFE" w:rsidRDefault="004D6EFE" w:rsidP="0068282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lastRenderedPageBreak/>
              <w:t>Właściciele</w:t>
            </w:r>
            <w:r w:rsidR="00BB33CA">
              <w:rPr>
                <w:rFonts w:ascii="Times New Roman" w:eastAsia="Calibri" w:hAnsi="Times New Roman"/>
                <w:color w:val="000000"/>
                <w:spacing w:val="-2"/>
              </w:rPr>
              <w:t xml:space="preserve"> oraz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 z</w:t>
            </w:r>
            <w:r w:rsidRPr="004D6EFE">
              <w:rPr>
                <w:rFonts w:ascii="Times New Roman" w:eastAsia="Calibri" w:hAnsi="Times New Roman"/>
                <w:color w:val="000000"/>
                <w:spacing w:val="-2"/>
              </w:rPr>
              <w:t>arządc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>y budynków z</w:t>
            </w:r>
            <w:r w:rsidR="00BB33CA">
              <w:rPr>
                <w:rFonts w:ascii="Times New Roman" w:eastAsia="Calibri" w:hAnsi="Times New Roman"/>
                <w:color w:val="000000"/>
                <w:spacing w:val="-2"/>
              </w:rPr>
              <w:t> 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pomieszczeniami przeznaczonymi na pobyt ludzi  </w:t>
            </w:r>
          </w:p>
        </w:tc>
        <w:tc>
          <w:tcPr>
            <w:tcW w:w="1066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922BC" w14:textId="77777777" w:rsidR="004D6EFE" w:rsidRPr="004D6EFE" w:rsidRDefault="004D6EFE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4D6EFE">
              <w:rPr>
                <w:rFonts w:ascii="Times New Roman" w:eastAsia="Calibri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1416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68872" w14:textId="77777777" w:rsidR="004D6EFE" w:rsidRPr="00856B97" w:rsidRDefault="00BB33CA" w:rsidP="004B6D0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–</w:t>
            </w:r>
          </w:p>
        </w:tc>
        <w:tc>
          <w:tcPr>
            <w:tcW w:w="130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D6AE3" w14:textId="6DE4765C" w:rsidR="004D6EFE" w:rsidRDefault="004D6EFE" w:rsidP="009239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EFE">
              <w:rPr>
                <w:rFonts w:ascii="Times New Roman" w:hAnsi="Times New Roman"/>
              </w:rPr>
              <w:t xml:space="preserve">Zwiększenie bezpieczeństwa zdrowotnego </w:t>
            </w:r>
            <w:r>
              <w:rPr>
                <w:rFonts w:ascii="Times New Roman" w:hAnsi="Times New Roman"/>
              </w:rPr>
              <w:t>osób przebywających w</w:t>
            </w:r>
            <w:r w:rsidR="00BB33C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pomieszczeniach przeznaczonych na pobyt ludzi</w:t>
            </w:r>
            <w:r w:rsidR="00FB0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18EB" w:rsidRPr="00856B97" w14:paraId="7847CCFE" w14:textId="77777777" w:rsidTr="000165CD">
        <w:trPr>
          <w:trHeight w:val="30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5F486B43" w14:textId="77777777" w:rsidR="008118EB" w:rsidRPr="00856B97" w:rsidRDefault="008118EB" w:rsidP="008118EB">
            <w:pPr>
              <w:numPr>
                <w:ilvl w:val="0"/>
                <w:numId w:val="2"/>
              </w:numPr>
              <w:spacing w:after="0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118EB" w:rsidRPr="00856B97" w14:paraId="461798AC" w14:textId="77777777" w:rsidTr="000165CD">
        <w:trPr>
          <w:trHeight w:val="3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81F7A4" w14:textId="1AE68031" w:rsidR="007F1DB5" w:rsidRPr="00856B97" w:rsidRDefault="007F1DB5" w:rsidP="007F1D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pl-PL"/>
              </w:rPr>
            </w:pPr>
            <w:r w:rsidRPr="00856B97">
              <w:rPr>
                <w:rFonts w:ascii="Times New Roman" w:eastAsia="Calibri" w:hAnsi="Times New Roman"/>
                <w:lang w:eastAsia="pl-PL"/>
              </w:rPr>
              <w:t>Projekt rozporządzenia nie był przedmiotem pre-konsultacji publicznych.</w:t>
            </w:r>
          </w:p>
          <w:p w14:paraId="5CB12B58" w14:textId="7B8D00C2" w:rsidR="00083458" w:rsidRDefault="007F1DB5" w:rsidP="00C444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lang w:eastAsia="pl-PL"/>
              </w:rPr>
            </w:pPr>
            <w:r>
              <w:rPr>
                <w:rFonts w:ascii="Times New Roman" w:eastAsia="Calibri" w:hAnsi="Times New Roman"/>
                <w:lang w:eastAsia="pl-PL"/>
              </w:rPr>
              <w:t>Projekt rozporządzenia zosta</w:t>
            </w:r>
            <w:r w:rsidR="00792A41">
              <w:rPr>
                <w:rFonts w:ascii="Times New Roman" w:eastAsia="Calibri" w:hAnsi="Times New Roman"/>
                <w:lang w:eastAsia="pl-PL"/>
              </w:rPr>
              <w:t>ł</w:t>
            </w:r>
            <w:r>
              <w:rPr>
                <w:rFonts w:ascii="Times New Roman" w:eastAsia="Calibri" w:hAnsi="Times New Roman"/>
                <w:lang w:eastAsia="pl-PL"/>
              </w:rPr>
              <w:t xml:space="preserve"> przekazany do</w:t>
            </w:r>
            <w:r w:rsidR="00C4445B">
              <w:rPr>
                <w:rFonts w:ascii="Times New Roman" w:eastAsia="Calibri" w:hAnsi="Times New Roman"/>
                <w:lang w:eastAsia="pl-PL"/>
              </w:rPr>
              <w:t xml:space="preserve"> konsultacji publicznych z 21-dniowym terminem na zgłaszanie uwag do </w:t>
            </w:r>
            <w:r w:rsidR="0028592F">
              <w:rPr>
                <w:rFonts w:ascii="Times New Roman" w:eastAsia="Calibri" w:hAnsi="Times New Roman"/>
                <w:lang w:eastAsia="pl-PL"/>
              </w:rPr>
              <w:t>niżej wymienionych podmiotów</w:t>
            </w:r>
            <w:r w:rsidR="00C4445B">
              <w:rPr>
                <w:rFonts w:ascii="Times New Roman" w:eastAsia="Calibri" w:hAnsi="Times New Roman"/>
                <w:lang w:eastAsia="pl-PL"/>
              </w:rPr>
              <w:t>:</w:t>
            </w:r>
            <w:r w:rsidR="00742ABC">
              <w:rPr>
                <w:rFonts w:ascii="Times New Roman" w:eastAsia="Calibri" w:hAnsi="Times New Roman"/>
                <w:lang w:eastAsia="pl-PL"/>
              </w:rPr>
              <w:t xml:space="preserve"> </w:t>
            </w:r>
          </w:p>
          <w:p w14:paraId="7709E601" w14:textId="77777777" w:rsidR="0097665C" w:rsidRPr="00856B97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Instytut</w:t>
            </w:r>
            <w:r w:rsidR="00452A8F">
              <w:rPr>
                <w:rFonts w:ascii="Times New Roman" w:hAnsi="Times New Roman"/>
                <w:lang w:eastAsia="pl-PL"/>
              </w:rPr>
              <w:t>u</w:t>
            </w:r>
            <w:r w:rsidRPr="00856B97">
              <w:rPr>
                <w:rFonts w:ascii="Times New Roman" w:hAnsi="Times New Roman"/>
                <w:lang w:eastAsia="pl-PL"/>
              </w:rPr>
              <w:t xml:space="preserve"> Techniki Budowlanej;</w:t>
            </w:r>
          </w:p>
          <w:p w14:paraId="51C9A85A" w14:textId="77777777" w:rsidR="0097665C" w:rsidRPr="00856B97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Instytut</w:t>
            </w:r>
            <w:r w:rsidR="00452A8F">
              <w:rPr>
                <w:rFonts w:ascii="Times New Roman" w:hAnsi="Times New Roman"/>
                <w:lang w:eastAsia="pl-PL"/>
              </w:rPr>
              <w:t>u</w:t>
            </w:r>
            <w:r w:rsidRPr="00856B97">
              <w:rPr>
                <w:rFonts w:ascii="Times New Roman" w:hAnsi="Times New Roman"/>
                <w:lang w:eastAsia="pl-PL"/>
              </w:rPr>
              <w:t xml:space="preserve"> Medycyny Pracy w Łodzi;</w:t>
            </w:r>
          </w:p>
          <w:p w14:paraId="404C656E" w14:textId="77777777" w:rsidR="0097665C" w:rsidRPr="00856B97" w:rsidRDefault="0097665C" w:rsidP="006C74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Narodow</w:t>
            </w:r>
            <w:r w:rsidR="00452A8F">
              <w:rPr>
                <w:rFonts w:ascii="Times New Roman" w:hAnsi="Times New Roman"/>
                <w:lang w:eastAsia="pl-PL"/>
              </w:rPr>
              <w:t>ego</w:t>
            </w:r>
            <w:r w:rsidRPr="00856B97">
              <w:rPr>
                <w:rFonts w:ascii="Times New Roman" w:hAnsi="Times New Roman"/>
                <w:lang w:eastAsia="pl-PL"/>
              </w:rPr>
              <w:t xml:space="preserve"> Instytut</w:t>
            </w:r>
            <w:r w:rsidR="00452A8F">
              <w:rPr>
                <w:rFonts w:ascii="Times New Roman" w:hAnsi="Times New Roman"/>
                <w:lang w:eastAsia="pl-PL"/>
              </w:rPr>
              <w:t>u</w:t>
            </w:r>
            <w:r w:rsidRPr="00856B97">
              <w:rPr>
                <w:rFonts w:ascii="Times New Roman" w:hAnsi="Times New Roman"/>
                <w:lang w:eastAsia="pl-PL"/>
              </w:rPr>
              <w:t xml:space="preserve"> Zdrowia Publicznego </w:t>
            </w:r>
            <w:r w:rsidR="00452A8F">
              <w:rPr>
                <w:rFonts w:ascii="Times New Roman" w:hAnsi="Times New Roman"/>
                <w:lang w:eastAsia="pl-PL"/>
              </w:rPr>
              <w:t>–</w:t>
            </w:r>
            <w:r w:rsidRPr="00856B97">
              <w:rPr>
                <w:rFonts w:ascii="Times New Roman" w:hAnsi="Times New Roman"/>
                <w:lang w:eastAsia="pl-PL"/>
              </w:rPr>
              <w:t xml:space="preserve"> Państwow</w:t>
            </w:r>
            <w:r w:rsidR="00452A8F">
              <w:rPr>
                <w:rFonts w:ascii="Times New Roman" w:hAnsi="Times New Roman"/>
                <w:lang w:eastAsia="pl-PL"/>
              </w:rPr>
              <w:t>ego</w:t>
            </w:r>
            <w:r w:rsidRPr="00856B97">
              <w:rPr>
                <w:rFonts w:ascii="Times New Roman" w:hAnsi="Times New Roman"/>
                <w:lang w:eastAsia="pl-PL"/>
              </w:rPr>
              <w:t xml:space="preserve"> Zakład</w:t>
            </w:r>
            <w:r w:rsidR="00452A8F">
              <w:rPr>
                <w:rFonts w:ascii="Times New Roman" w:hAnsi="Times New Roman"/>
                <w:lang w:eastAsia="pl-PL"/>
              </w:rPr>
              <w:t>u</w:t>
            </w:r>
            <w:r w:rsidRPr="00856B97">
              <w:rPr>
                <w:rFonts w:ascii="Times New Roman" w:hAnsi="Times New Roman"/>
                <w:lang w:eastAsia="pl-PL"/>
              </w:rPr>
              <w:t xml:space="preserve"> Higieny;</w:t>
            </w:r>
          </w:p>
          <w:p w14:paraId="4DDBF38B" w14:textId="77777777" w:rsidR="0097665C" w:rsidRPr="00856B97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Państwow</w:t>
            </w:r>
            <w:r w:rsidR="00452A8F">
              <w:rPr>
                <w:rFonts w:ascii="Times New Roman" w:hAnsi="Times New Roman"/>
                <w:lang w:eastAsia="pl-PL"/>
              </w:rPr>
              <w:t>ej</w:t>
            </w:r>
            <w:r w:rsidRPr="00856B97">
              <w:rPr>
                <w:rFonts w:ascii="Times New Roman" w:hAnsi="Times New Roman"/>
                <w:lang w:eastAsia="pl-PL"/>
              </w:rPr>
              <w:t xml:space="preserve"> Inspekcj</w:t>
            </w:r>
            <w:r w:rsidR="00452A8F">
              <w:rPr>
                <w:rFonts w:ascii="Times New Roman" w:hAnsi="Times New Roman"/>
                <w:lang w:eastAsia="pl-PL"/>
              </w:rPr>
              <w:t>i</w:t>
            </w:r>
            <w:r w:rsidRPr="00856B97">
              <w:rPr>
                <w:rFonts w:ascii="Times New Roman" w:hAnsi="Times New Roman"/>
                <w:lang w:eastAsia="pl-PL"/>
              </w:rPr>
              <w:t xml:space="preserve"> Pracy – Główn</w:t>
            </w:r>
            <w:r w:rsidR="00452A8F">
              <w:rPr>
                <w:rFonts w:ascii="Times New Roman" w:hAnsi="Times New Roman"/>
                <w:lang w:eastAsia="pl-PL"/>
              </w:rPr>
              <w:t>ego</w:t>
            </w:r>
            <w:r w:rsidRPr="00856B97">
              <w:rPr>
                <w:rFonts w:ascii="Times New Roman" w:hAnsi="Times New Roman"/>
                <w:lang w:eastAsia="pl-PL"/>
              </w:rPr>
              <w:t xml:space="preserve"> Inspektor</w:t>
            </w:r>
            <w:r w:rsidR="00452A8F">
              <w:rPr>
                <w:rFonts w:ascii="Times New Roman" w:hAnsi="Times New Roman"/>
                <w:lang w:eastAsia="pl-PL"/>
              </w:rPr>
              <w:t>a</w:t>
            </w:r>
            <w:r w:rsidRPr="00856B97">
              <w:rPr>
                <w:rFonts w:ascii="Times New Roman" w:hAnsi="Times New Roman"/>
                <w:lang w:eastAsia="pl-PL"/>
              </w:rPr>
              <w:t xml:space="preserve"> Pracy</w:t>
            </w:r>
            <w:r w:rsidR="00452A8F">
              <w:rPr>
                <w:rFonts w:ascii="Times New Roman" w:hAnsi="Times New Roman"/>
                <w:lang w:eastAsia="pl-PL"/>
              </w:rPr>
              <w:t>;</w:t>
            </w:r>
          </w:p>
          <w:p w14:paraId="0A1AF963" w14:textId="77777777" w:rsidR="0097665C" w:rsidRPr="00856B97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Biur</w:t>
            </w:r>
            <w:r w:rsidR="00452A8F">
              <w:rPr>
                <w:rFonts w:ascii="Times New Roman" w:hAnsi="Times New Roman"/>
                <w:lang w:eastAsia="pl-PL"/>
              </w:rPr>
              <w:t>a</w:t>
            </w:r>
            <w:r w:rsidRPr="00856B97">
              <w:rPr>
                <w:rFonts w:ascii="Times New Roman" w:hAnsi="Times New Roman"/>
                <w:lang w:eastAsia="pl-PL"/>
              </w:rPr>
              <w:t xml:space="preserve"> do Spraw Substancji Chemicznych;</w:t>
            </w:r>
          </w:p>
          <w:p w14:paraId="47DDEEEE" w14:textId="77777777" w:rsidR="0097665C" w:rsidRPr="009C7BA2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9C7BA2">
              <w:rPr>
                <w:rFonts w:ascii="Times New Roman" w:hAnsi="Times New Roman"/>
                <w:lang w:eastAsia="pl-PL"/>
              </w:rPr>
              <w:t>Polski</w:t>
            </w:r>
            <w:r w:rsidR="00452A8F" w:rsidRPr="009C7BA2">
              <w:rPr>
                <w:rFonts w:ascii="Times New Roman" w:hAnsi="Times New Roman"/>
                <w:lang w:eastAsia="pl-PL"/>
              </w:rPr>
              <w:t>ego</w:t>
            </w:r>
            <w:r w:rsidRPr="009C7BA2">
              <w:rPr>
                <w:rFonts w:ascii="Times New Roman" w:hAnsi="Times New Roman"/>
                <w:lang w:eastAsia="pl-PL"/>
              </w:rPr>
              <w:t xml:space="preserve"> Klub</w:t>
            </w:r>
            <w:r w:rsidR="00452A8F" w:rsidRPr="009C7BA2">
              <w:rPr>
                <w:rFonts w:ascii="Times New Roman" w:hAnsi="Times New Roman"/>
                <w:lang w:eastAsia="pl-PL"/>
              </w:rPr>
              <w:t>u</w:t>
            </w:r>
            <w:r w:rsidRPr="009C7BA2">
              <w:rPr>
                <w:rFonts w:ascii="Times New Roman" w:hAnsi="Times New Roman"/>
                <w:lang w:eastAsia="pl-PL"/>
              </w:rPr>
              <w:t xml:space="preserve"> Ekologiczn</w:t>
            </w:r>
            <w:r w:rsidR="00452A8F" w:rsidRPr="009C7BA2">
              <w:rPr>
                <w:rFonts w:ascii="Times New Roman" w:hAnsi="Times New Roman"/>
                <w:lang w:eastAsia="pl-PL"/>
              </w:rPr>
              <w:t>ego</w:t>
            </w:r>
            <w:r w:rsidRPr="009C7BA2">
              <w:rPr>
                <w:rFonts w:ascii="Times New Roman" w:hAnsi="Times New Roman"/>
                <w:lang w:eastAsia="pl-PL"/>
              </w:rPr>
              <w:t>;</w:t>
            </w:r>
          </w:p>
          <w:p w14:paraId="2824017F" w14:textId="77777777" w:rsidR="006C74BA" w:rsidRPr="009C7BA2" w:rsidRDefault="0097665C" w:rsidP="006C74B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eastAsia="pl-PL"/>
              </w:rPr>
            </w:pPr>
            <w:r w:rsidRPr="004B6D0A">
              <w:rPr>
                <w:sz w:val="22"/>
                <w:szCs w:val="22"/>
                <w:lang w:eastAsia="pl-PL"/>
              </w:rPr>
              <w:t>Niezależn</w:t>
            </w:r>
            <w:r w:rsidR="00452A8F" w:rsidRPr="004B6D0A">
              <w:rPr>
                <w:sz w:val="22"/>
                <w:szCs w:val="22"/>
                <w:lang w:eastAsia="pl-PL"/>
              </w:rPr>
              <w:t>ego</w:t>
            </w:r>
            <w:r w:rsidRPr="004B6D0A">
              <w:rPr>
                <w:sz w:val="22"/>
                <w:szCs w:val="22"/>
                <w:lang w:eastAsia="pl-PL"/>
              </w:rPr>
              <w:t xml:space="preserve"> Samorządn</w:t>
            </w:r>
            <w:r w:rsidR="00452A8F" w:rsidRPr="004B6D0A">
              <w:rPr>
                <w:sz w:val="22"/>
                <w:szCs w:val="22"/>
                <w:lang w:eastAsia="pl-PL"/>
              </w:rPr>
              <w:t>ego</w:t>
            </w:r>
            <w:r w:rsidRPr="004B6D0A">
              <w:rPr>
                <w:sz w:val="22"/>
                <w:szCs w:val="22"/>
                <w:lang w:eastAsia="pl-PL"/>
              </w:rPr>
              <w:t xml:space="preserve"> Związk</w:t>
            </w:r>
            <w:r w:rsidR="00452A8F" w:rsidRPr="004B6D0A">
              <w:rPr>
                <w:sz w:val="22"/>
                <w:szCs w:val="22"/>
                <w:lang w:eastAsia="pl-PL"/>
              </w:rPr>
              <w:t>u</w:t>
            </w:r>
            <w:r w:rsidRPr="004B6D0A">
              <w:rPr>
                <w:sz w:val="22"/>
                <w:szCs w:val="22"/>
                <w:lang w:eastAsia="pl-PL"/>
              </w:rPr>
              <w:t xml:space="preserve"> Zawodow</w:t>
            </w:r>
            <w:r w:rsidR="00452A8F" w:rsidRPr="004B6D0A">
              <w:rPr>
                <w:sz w:val="22"/>
                <w:szCs w:val="22"/>
                <w:lang w:eastAsia="pl-PL"/>
              </w:rPr>
              <w:t>ego</w:t>
            </w:r>
            <w:r w:rsidRPr="004B6D0A">
              <w:rPr>
                <w:sz w:val="22"/>
                <w:szCs w:val="22"/>
                <w:lang w:eastAsia="pl-PL"/>
              </w:rPr>
              <w:t xml:space="preserve"> „Solidarność</w:t>
            </w:r>
            <w:r w:rsidR="00452A8F" w:rsidRPr="004B6D0A">
              <w:rPr>
                <w:sz w:val="22"/>
                <w:szCs w:val="22"/>
                <w:lang w:eastAsia="pl-PL"/>
              </w:rPr>
              <w:t>”</w:t>
            </w:r>
            <w:r w:rsidR="006C74BA" w:rsidRPr="004B6D0A">
              <w:rPr>
                <w:sz w:val="22"/>
                <w:szCs w:val="22"/>
              </w:rPr>
              <w:t xml:space="preserve"> </w:t>
            </w:r>
            <w:r w:rsidR="002411BB" w:rsidRPr="004B6D0A">
              <w:rPr>
                <w:sz w:val="22"/>
                <w:szCs w:val="22"/>
              </w:rPr>
              <w:t xml:space="preserve">– </w:t>
            </w:r>
            <w:r w:rsidR="006C74BA" w:rsidRPr="009C7BA2">
              <w:rPr>
                <w:sz w:val="22"/>
                <w:szCs w:val="22"/>
                <w:lang w:eastAsia="pl-PL"/>
              </w:rPr>
              <w:t>Krajow</w:t>
            </w:r>
            <w:r w:rsidR="009C7BA2">
              <w:rPr>
                <w:sz w:val="22"/>
                <w:szCs w:val="22"/>
                <w:lang w:eastAsia="pl-PL"/>
              </w:rPr>
              <w:t>ej Sekcji</w:t>
            </w:r>
            <w:r w:rsidR="006C74BA" w:rsidRPr="009C7BA2">
              <w:rPr>
                <w:sz w:val="22"/>
                <w:szCs w:val="22"/>
                <w:lang w:eastAsia="pl-PL"/>
              </w:rPr>
              <w:t xml:space="preserve"> Budownictwa;</w:t>
            </w:r>
          </w:p>
          <w:p w14:paraId="085A213C" w14:textId="77777777" w:rsidR="002411BB" w:rsidRPr="006C74BA" w:rsidRDefault="002411BB" w:rsidP="006C74B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eastAsia="pl-PL"/>
              </w:rPr>
            </w:pPr>
            <w:r w:rsidRPr="002411BB">
              <w:rPr>
                <w:sz w:val="22"/>
                <w:szCs w:val="22"/>
                <w:lang w:eastAsia="pl-PL"/>
              </w:rPr>
              <w:t>Ogólnopolskiego Porozumienia Związków Zawodowych</w:t>
            </w:r>
            <w:r>
              <w:rPr>
                <w:sz w:val="22"/>
                <w:szCs w:val="22"/>
                <w:lang w:eastAsia="pl-PL"/>
              </w:rPr>
              <w:t>;</w:t>
            </w:r>
          </w:p>
          <w:p w14:paraId="04B9A1D7" w14:textId="77777777" w:rsidR="002411BB" w:rsidRDefault="002411BB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411BB">
              <w:rPr>
                <w:rFonts w:ascii="Times New Roman" w:hAnsi="Times New Roman"/>
                <w:lang w:eastAsia="pl-PL"/>
              </w:rPr>
              <w:t>Forum Związków Zawodowych;</w:t>
            </w:r>
          </w:p>
          <w:p w14:paraId="60825A91" w14:textId="77777777" w:rsidR="0097665C" w:rsidRPr="00856B97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Związk</w:t>
            </w:r>
            <w:r w:rsidR="00452A8F">
              <w:rPr>
                <w:rFonts w:ascii="Times New Roman" w:hAnsi="Times New Roman"/>
                <w:lang w:eastAsia="pl-PL"/>
              </w:rPr>
              <w:t>u</w:t>
            </w:r>
            <w:r w:rsidRPr="00856B97">
              <w:rPr>
                <w:rFonts w:ascii="Times New Roman" w:hAnsi="Times New Roman"/>
                <w:lang w:eastAsia="pl-PL"/>
              </w:rPr>
              <w:t xml:space="preserve"> Pracodawców Producentów Materiałów dla Budownictwa;</w:t>
            </w:r>
          </w:p>
          <w:p w14:paraId="03D965FD" w14:textId="77777777" w:rsidR="003C0C91" w:rsidRDefault="0097665C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56B97">
              <w:rPr>
                <w:rFonts w:ascii="Times New Roman" w:hAnsi="Times New Roman"/>
                <w:lang w:eastAsia="pl-PL"/>
              </w:rPr>
              <w:t>Stowarzyszeni</w:t>
            </w:r>
            <w:r w:rsidR="00452A8F">
              <w:rPr>
                <w:rFonts w:ascii="Times New Roman" w:hAnsi="Times New Roman"/>
                <w:lang w:eastAsia="pl-PL"/>
              </w:rPr>
              <w:t>a</w:t>
            </w:r>
            <w:r w:rsidRPr="00856B97">
              <w:rPr>
                <w:rFonts w:ascii="Times New Roman" w:hAnsi="Times New Roman"/>
                <w:lang w:eastAsia="pl-PL"/>
              </w:rPr>
              <w:t xml:space="preserve"> Nowoczesne Budynki</w:t>
            </w:r>
            <w:r w:rsidR="009C7BA2">
              <w:rPr>
                <w:rFonts w:ascii="Times New Roman" w:hAnsi="Times New Roman"/>
                <w:lang w:eastAsia="pl-PL"/>
              </w:rPr>
              <w:t>;</w:t>
            </w:r>
          </w:p>
          <w:p w14:paraId="462A514F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Główn</w:t>
            </w:r>
            <w:r w:rsidR="009C7BA2">
              <w:rPr>
                <w:rFonts w:ascii="Times New Roman" w:hAnsi="Times New Roman"/>
                <w:lang w:eastAsia="pl-PL"/>
              </w:rPr>
              <w:t>ego</w:t>
            </w:r>
            <w:r w:rsidRPr="003C0C91">
              <w:rPr>
                <w:rFonts w:ascii="Times New Roman" w:hAnsi="Times New Roman"/>
                <w:lang w:eastAsia="pl-PL"/>
              </w:rPr>
              <w:t xml:space="preserve"> Urz</w:t>
            </w:r>
            <w:r w:rsidR="009C7BA2">
              <w:rPr>
                <w:rFonts w:ascii="Times New Roman" w:hAnsi="Times New Roman"/>
                <w:lang w:eastAsia="pl-PL"/>
              </w:rPr>
              <w:t>ę</w:t>
            </w:r>
            <w:r w:rsidRPr="003C0C91">
              <w:rPr>
                <w:rFonts w:ascii="Times New Roman" w:hAnsi="Times New Roman"/>
                <w:lang w:eastAsia="pl-PL"/>
              </w:rPr>
              <w:t>d</w:t>
            </w:r>
            <w:r w:rsidR="009C7BA2">
              <w:rPr>
                <w:rFonts w:ascii="Times New Roman" w:hAnsi="Times New Roman"/>
                <w:lang w:eastAsia="pl-PL"/>
              </w:rPr>
              <w:t>u</w:t>
            </w:r>
            <w:r w:rsidRPr="003C0C91">
              <w:rPr>
                <w:rFonts w:ascii="Times New Roman" w:hAnsi="Times New Roman"/>
                <w:lang w:eastAsia="pl-PL"/>
              </w:rPr>
              <w:t xml:space="preserve"> Nadzoru Budowlanego;</w:t>
            </w:r>
          </w:p>
          <w:p w14:paraId="607E1897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Izb</w:t>
            </w:r>
            <w:r w:rsidR="009C7BA2">
              <w:rPr>
                <w:rFonts w:ascii="Times New Roman" w:hAnsi="Times New Roman"/>
                <w:lang w:eastAsia="pl-PL"/>
              </w:rPr>
              <w:t>y</w:t>
            </w:r>
            <w:r w:rsidRPr="003C0C91">
              <w:rPr>
                <w:rFonts w:ascii="Times New Roman" w:hAnsi="Times New Roman"/>
                <w:lang w:eastAsia="pl-PL"/>
              </w:rPr>
              <w:t xml:space="preserve"> Architektów Rzeczypospolitej Polskiej </w:t>
            </w:r>
            <w:r w:rsidR="009C7BA2">
              <w:rPr>
                <w:rFonts w:ascii="Times New Roman" w:hAnsi="Times New Roman"/>
                <w:lang w:eastAsia="pl-PL"/>
              </w:rPr>
              <w:t>–</w:t>
            </w:r>
            <w:r w:rsidRPr="003C0C91">
              <w:rPr>
                <w:rFonts w:ascii="Times New Roman" w:hAnsi="Times New Roman"/>
                <w:lang w:eastAsia="pl-PL"/>
              </w:rPr>
              <w:t xml:space="preserve"> Krajow</w:t>
            </w:r>
            <w:r w:rsidR="009C7BA2">
              <w:rPr>
                <w:rFonts w:ascii="Times New Roman" w:hAnsi="Times New Roman"/>
                <w:lang w:eastAsia="pl-PL"/>
              </w:rPr>
              <w:t>ej</w:t>
            </w:r>
            <w:r w:rsidRPr="003C0C91">
              <w:rPr>
                <w:rFonts w:ascii="Times New Roman" w:hAnsi="Times New Roman"/>
                <w:lang w:eastAsia="pl-PL"/>
              </w:rPr>
              <w:t xml:space="preserve"> Rad</w:t>
            </w:r>
            <w:r w:rsidR="009C7BA2">
              <w:rPr>
                <w:rFonts w:ascii="Times New Roman" w:hAnsi="Times New Roman"/>
                <w:lang w:eastAsia="pl-PL"/>
              </w:rPr>
              <w:t>y Izby</w:t>
            </w:r>
            <w:r w:rsidRPr="003C0C91">
              <w:rPr>
                <w:rFonts w:ascii="Times New Roman" w:hAnsi="Times New Roman"/>
                <w:lang w:eastAsia="pl-PL"/>
              </w:rPr>
              <w:t>;</w:t>
            </w:r>
          </w:p>
          <w:p w14:paraId="60825157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Stowarzyszeni</w:t>
            </w:r>
            <w:r w:rsidR="009C7BA2">
              <w:rPr>
                <w:rFonts w:ascii="Times New Roman" w:hAnsi="Times New Roman"/>
                <w:lang w:eastAsia="pl-PL"/>
              </w:rPr>
              <w:t>a</w:t>
            </w:r>
            <w:r w:rsidRPr="003C0C91">
              <w:rPr>
                <w:rFonts w:ascii="Times New Roman" w:hAnsi="Times New Roman"/>
                <w:lang w:eastAsia="pl-PL"/>
              </w:rPr>
              <w:t xml:space="preserve"> Architektów Polskich;</w:t>
            </w:r>
          </w:p>
          <w:p w14:paraId="02775372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Polski</w:t>
            </w:r>
            <w:r w:rsidR="009C7BA2">
              <w:rPr>
                <w:rFonts w:ascii="Times New Roman" w:hAnsi="Times New Roman"/>
                <w:lang w:eastAsia="pl-PL"/>
              </w:rPr>
              <w:t>ego</w:t>
            </w:r>
            <w:r w:rsidRPr="003C0C91">
              <w:rPr>
                <w:rFonts w:ascii="Times New Roman" w:hAnsi="Times New Roman"/>
                <w:lang w:eastAsia="pl-PL"/>
              </w:rPr>
              <w:t xml:space="preserve"> Związk</w:t>
            </w:r>
            <w:r w:rsidR="009C7BA2">
              <w:rPr>
                <w:rFonts w:ascii="Times New Roman" w:hAnsi="Times New Roman"/>
                <w:lang w:eastAsia="pl-PL"/>
              </w:rPr>
              <w:t>u</w:t>
            </w:r>
            <w:r w:rsidRPr="003C0C91">
              <w:rPr>
                <w:rFonts w:ascii="Times New Roman" w:hAnsi="Times New Roman"/>
                <w:lang w:eastAsia="pl-PL"/>
              </w:rPr>
              <w:t xml:space="preserve"> Pracodawców Budownictwa;</w:t>
            </w:r>
          </w:p>
          <w:p w14:paraId="36C8F1EA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Izb</w:t>
            </w:r>
            <w:r w:rsidR="009C7BA2">
              <w:rPr>
                <w:rFonts w:ascii="Times New Roman" w:hAnsi="Times New Roman"/>
                <w:lang w:eastAsia="pl-PL"/>
              </w:rPr>
              <w:t>y</w:t>
            </w:r>
            <w:r w:rsidRPr="003C0C91">
              <w:rPr>
                <w:rFonts w:ascii="Times New Roman" w:hAnsi="Times New Roman"/>
                <w:lang w:eastAsia="pl-PL"/>
              </w:rPr>
              <w:t xml:space="preserve"> Projektowania Budowlanego;</w:t>
            </w:r>
          </w:p>
          <w:p w14:paraId="55F56C02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Polsk</w:t>
            </w:r>
            <w:r w:rsidR="009C7BA2">
              <w:rPr>
                <w:rFonts w:ascii="Times New Roman" w:hAnsi="Times New Roman"/>
                <w:lang w:eastAsia="pl-PL"/>
              </w:rPr>
              <w:t>iej</w:t>
            </w:r>
            <w:r w:rsidRPr="003C0C91">
              <w:rPr>
                <w:rFonts w:ascii="Times New Roman" w:hAnsi="Times New Roman"/>
                <w:lang w:eastAsia="pl-PL"/>
              </w:rPr>
              <w:t xml:space="preserve"> Izb</w:t>
            </w:r>
            <w:r w:rsidR="009C7BA2">
              <w:rPr>
                <w:rFonts w:ascii="Times New Roman" w:hAnsi="Times New Roman"/>
                <w:lang w:eastAsia="pl-PL"/>
              </w:rPr>
              <w:t>y</w:t>
            </w:r>
            <w:r w:rsidRPr="003C0C91">
              <w:rPr>
                <w:rFonts w:ascii="Times New Roman" w:hAnsi="Times New Roman"/>
                <w:lang w:eastAsia="pl-PL"/>
              </w:rPr>
              <w:t xml:space="preserve"> Inżynierów Budownictwa </w:t>
            </w:r>
            <w:r w:rsidR="002411BB">
              <w:rPr>
                <w:rFonts w:ascii="Times New Roman" w:hAnsi="Times New Roman"/>
                <w:lang w:eastAsia="pl-PL"/>
              </w:rPr>
              <w:t>–</w:t>
            </w:r>
            <w:r w:rsidRPr="003C0C91">
              <w:rPr>
                <w:rFonts w:ascii="Times New Roman" w:hAnsi="Times New Roman"/>
                <w:lang w:eastAsia="pl-PL"/>
              </w:rPr>
              <w:t xml:space="preserve"> Krajow</w:t>
            </w:r>
            <w:r w:rsidR="009C7BA2">
              <w:rPr>
                <w:rFonts w:ascii="Times New Roman" w:hAnsi="Times New Roman"/>
                <w:lang w:eastAsia="pl-PL"/>
              </w:rPr>
              <w:t>ej</w:t>
            </w:r>
            <w:r w:rsidRPr="003C0C91">
              <w:rPr>
                <w:rFonts w:ascii="Times New Roman" w:hAnsi="Times New Roman"/>
                <w:lang w:eastAsia="pl-PL"/>
              </w:rPr>
              <w:t xml:space="preserve"> Rad</w:t>
            </w:r>
            <w:r w:rsidR="009C7BA2">
              <w:rPr>
                <w:rFonts w:ascii="Times New Roman" w:hAnsi="Times New Roman"/>
                <w:lang w:eastAsia="pl-PL"/>
              </w:rPr>
              <w:t>y</w:t>
            </w:r>
            <w:r w:rsidR="002411BB">
              <w:rPr>
                <w:rFonts w:ascii="Times New Roman" w:hAnsi="Times New Roman"/>
                <w:lang w:eastAsia="pl-PL"/>
              </w:rPr>
              <w:t xml:space="preserve"> Izby</w:t>
            </w:r>
            <w:r w:rsidRPr="003C0C91">
              <w:rPr>
                <w:rFonts w:ascii="Times New Roman" w:hAnsi="Times New Roman"/>
                <w:lang w:eastAsia="pl-PL"/>
              </w:rPr>
              <w:t>;</w:t>
            </w:r>
          </w:p>
          <w:p w14:paraId="433D7CF1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Polski</w:t>
            </w:r>
            <w:r w:rsidR="002411BB">
              <w:rPr>
                <w:rFonts w:ascii="Times New Roman" w:hAnsi="Times New Roman"/>
                <w:lang w:eastAsia="pl-PL"/>
              </w:rPr>
              <w:t>ego</w:t>
            </w:r>
            <w:r w:rsidRPr="003C0C91">
              <w:rPr>
                <w:rFonts w:ascii="Times New Roman" w:hAnsi="Times New Roman"/>
                <w:lang w:eastAsia="pl-PL"/>
              </w:rPr>
              <w:t xml:space="preserve"> Związk</w:t>
            </w:r>
            <w:r w:rsidR="002411BB">
              <w:rPr>
                <w:rFonts w:ascii="Times New Roman" w:hAnsi="Times New Roman"/>
                <w:lang w:eastAsia="pl-PL"/>
              </w:rPr>
              <w:t>u</w:t>
            </w:r>
            <w:r w:rsidRPr="003C0C91">
              <w:rPr>
                <w:rFonts w:ascii="Times New Roman" w:hAnsi="Times New Roman"/>
                <w:lang w:eastAsia="pl-PL"/>
              </w:rPr>
              <w:t xml:space="preserve"> Inżynierów i Techników Budownictwa;</w:t>
            </w:r>
          </w:p>
          <w:p w14:paraId="28EEF8D4" w14:textId="77777777" w:rsidR="003C0C91" w:rsidRDefault="006C74BA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C74BA">
              <w:rPr>
                <w:rFonts w:ascii="Times New Roman" w:hAnsi="Times New Roman"/>
                <w:bCs/>
                <w:iCs/>
                <w:lang w:eastAsia="pl-PL"/>
              </w:rPr>
              <w:t xml:space="preserve">Związku Pracodawców </w:t>
            </w:r>
            <w:r w:rsidR="003C0C91" w:rsidRPr="003C0C91">
              <w:rPr>
                <w:rFonts w:ascii="Times New Roman" w:hAnsi="Times New Roman"/>
                <w:lang w:eastAsia="pl-PL"/>
              </w:rPr>
              <w:t>Business Centre Club;</w:t>
            </w:r>
          </w:p>
          <w:p w14:paraId="72CC973B" w14:textId="77777777" w:rsidR="006C74BA" w:rsidRPr="00057BC3" w:rsidRDefault="006C74BA" w:rsidP="006C74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7BC3">
              <w:rPr>
                <w:rFonts w:ascii="Times New Roman" w:hAnsi="Times New Roman"/>
                <w:bCs/>
              </w:rPr>
              <w:t>Związku Przedsiębiorców i Pracodawców;</w:t>
            </w:r>
          </w:p>
          <w:p w14:paraId="2DD2B7CF" w14:textId="77777777" w:rsidR="006C74BA" w:rsidRDefault="006C74BA" w:rsidP="006C74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7BC3">
              <w:rPr>
                <w:rFonts w:ascii="Times New Roman" w:hAnsi="Times New Roman"/>
                <w:bCs/>
              </w:rPr>
              <w:t>Pracodawców Rzeczypospolitej Polskiej;</w:t>
            </w:r>
          </w:p>
          <w:p w14:paraId="07E23FF8" w14:textId="77777777" w:rsidR="006C74BA" w:rsidRPr="00057BC3" w:rsidRDefault="006C74BA" w:rsidP="006C74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B52D4">
              <w:rPr>
                <w:rFonts w:ascii="Times New Roman" w:hAnsi="Times New Roman"/>
                <w:bCs/>
              </w:rPr>
              <w:t>Związku Rzemiosła Polskiego;</w:t>
            </w:r>
          </w:p>
          <w:p w14:paraId="0DBCB050" w14:textId="77777777" w:rsidR="006C74BA" w:rsidRPr="00057BC3" w:rsidRDefault="006C74BA" w:rsidP="006C74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7BC3">
              <w:rPr>
                <w:rFonts w:ascii="Times New Roman" w:hAnsi="Times New Roman"/>
                <w:bCs/>
              </w:rPr>
              <w:t>Konfederacji Lewiatan;</w:t>
            </w:r>
          </w:p>
          <w:p w14:paraId="1AC4AEC7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Główn</w:t>
            </w:r>
            <w:r w:rsidR="002411BB">
              <w:rPr>
                <w:rFonts w:ascii="Times New Roman" w:hAnsi="Times New Roman"/>
                <w:lang w:eastAsia="pl-PL"/>
              </w:rPr>
              <w:t>ego</w:t>
            </w:r>
            <w:r w:rsidRPr="003C0C91">
              <w:rPr>
                <w:rFonts w:ascii="Times New Roman" w:hAnsi="Times New Roman"/>
                <w:lang w:eastAsia="pl-PL"/>
              </w:rPr>
              <w:t xml:space="preserve"> Instytut</w:t>
            </w:r>
            <w:r w:rsidR="009C7BA2">
              <w:rPr>
                <w:rFonts w:ascii="Times New Roman" w:hAnsi="Times New Roman"/>
                <w:lang w:eastAsia="pl-PL"/>
              </w:rPr>
              <w:t>u</w:t>
            </w:r>
            <w:r w:rsidRPr="003C0C91">
              <w:rPr>
                <w:rFonts w:ascii="Times New Roman" w:hAnsi="Times New Roman"/>
                <w:lang w:eastAsia="pl-PL"/>
              </w:rPr>
              <w:t xml:space="preserve"> Górnictwa;</w:t>
            </w:r>
          </w:p>
          <w:p w14:paraId="0671C73D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Instytut</w:t>
            </w:r>
            <w:r w:rsidR="002411BB">
              <w:rPr>
                <w:rFonts w:ascii="Times New Roman" w:hAnsi="Times New Roman"/>
                <w:lang w:eastAsia="pl-PL"/>
              </w:rPr>
              <w:t>u</w:t>
            </w:r>
            <w:r w:rsidRPr="003C0C91">
              <w:rPr>
                <w:rFonts w:ascii="Times New Roman" w:hAnsi="Times New Roman"/>
                <w:lang w:eastAsia="pl-PL"/>
              </w:rPr>
              <w:t xml:space="preserve"> Gospodarki Nieruchomościami;</w:t>
            </w:r>
          </w:p>
          <w:p w14:paraId="55F51273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Krajow</w:t>
            </w:r>
            <w:r w:rsidR="002411BB">
              <w:rPr>
                <w:rFonts w:ascii="Times New Roman" w:hAnsi="Times New Roman"/>
                <w:lang w:eastAsia="pl-PL"/>
              </w:rPr>
              <w:t>ej</w:t>
            </w:r>
            <w:r w:rsidRPr="003C0C91">
              <w:rPr>
                <w:rFonts w:ascii="Times New Roman" w:hAnsi="Times New Roman"/>
                <w:lang w:eastAsia="pl-PL"/>
              </w:rPr>
              <w:t xml:space="preserve"> Izb</w:t>
            </w:r>
            <w:r w:rsidR="002411BB">
              <w:rPr>
                <w:rFonts w:ascii="Times New Roman" w:hAnsi="Times New Roman"/>
                <w:lang w:eastAsia="pl-PL"/>
              </w:rPr>
              <w:t>y</w:t>
            </w:r>
            <w:r w:rsidRPr="003C0C91">
              <w:rPr>
                <w:rFonts w:ascii="Times New Roman" w:hAnsi="Times New Roman"/>
                <w:lang w:eastAsia="pl-PL"/>
              </w:rPr>
              <w:t xml:space="preserve"> Gospodarcz</w:t>
            </w:r>
            <w:r w:rsidR="002411BB">
              <w:rPr>
                <w:rFonts w:ascii="Times New Roman" w:hAnsi="Times New Roman"/>
                <w:lang w:eastAsia="pl-PL"/>
              </w:rPr>
              <w:t>ej</w:t>
            </w:r>
            <w:r w:rsidRPr="003C0C91">
              <w:rPr>
                <w:rFonts w:ascii="Times New Roman" w:hAnsi="Times New Roman"/>
                <w:lang w:eastAsia="pl-PL"/>
              </w:rPr>
              <w:t>;</w:t>
            </w:r>
          </w:p>
          <w:p w14:paraId="35D1B4D2" w14:textId="77777777" w:rsid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lastRenderedPageBreak/>
              <w:t>Państwow</w:t>
            </w:r>
            <w:r w:rsidR="006C74BA">
              <w:rPr>
                <w:rFonts w:ascii="Times New Roman" w:hAnsi="Times New Roman"/>
                <w:lang w:eastAsia="pl-PL"/>
              </w:rPr>
              <w:t>ej</w:t>
            </w:r>
            <w:r w:rsidRPr="003C0C91">
              <w:rPr>
                <w:rFonts w:ascii="Times New Roman" w:hAnsi="Times New Roman"/>
                <w:lang w:eastAsia="pl-PL"/>
              </w:rPr>
              <w:t xml:space="preserve"> Agencj</w:t>
            </w:r>
            <w:r w:rsidR="006C74BA">
              <w:rPr>
                <w:rFonts w:ascii="Times New Roman" w:hAnsi="Times New Roman"/>
                <w:lang w:eastAsia="pl-PL"/>
              </w:rPr>
              <w:t>i</w:t>
            </w:r>
            <w:r w:rsidRPr="003C0C91">
              <w:rPr>
                <w:rFonts w:ascii="Times New Roman" w:hAnsi="Times New Roman"/>
                <w:lang w:eastAsia="pl-PL"/>
              </w:rPr>
              <w:t xml:space="preserve"> Rozwoju Przedsiębiorczości;</w:t>
            </w:r>
          </w:p>
          <w:p w14:paraId="4912BD79" w14:textId="77777777" w:rsidR="0097665C" w:rsidRPr="003C0C91" w:rsidRDefault="003C0C91" w:rsidP="006C74B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C0C91">
              <w:rPr>
                <w:rFonts w:ascii="Times New Roman" w:hAnsi="Times New Roman"/>
                <w:lang w:eastAsia="pl-PL"/>
              </w:rPr>
              <w:t>Rad</w:t>
            </w:r>
            <w:r w:rsidR="006C74BA">
              <w:rPr>
                <w:rFonts w:ascii="Times New Roman" w:hAnsi="Times New Roman"/>
                <w:lang w:eastAsia="pl-PL"/>
              </w:rPr>
              <w:t>y</w:t>
            </w:r>
            <w:r w:rsidRPr="003C0C91">
              <w:rPr>
                <w:rFonts w:ascii="Times New Roman" w:hAnsi="Times New Roman"/>
                <w:lang w:eastAsia="pl-PL"/>
              </w:rPr>
              <w:t xml:space="preserve"> Dialogu Społecznego.</w:t>
            </w:r>
          </w:p>
          <w:p w14:paraId="45654C7F" w14:textId="14BA53E3" w:rsidR="00792A41" w:rsidRDefault="00792A41" w:rsidP="00453CE4">
            <w:pPr>
              <w:tabs>
                <w:tab w:val="left" w:pos="1866"/>
              </w:tabs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92A41">
              <w:rPr>
                <w:rFonts w:ascii="Times New Roman" w:hAnsi="Times New Roman"/>
                <w:lang w:eastAsia="pl-PL"/>
              </w:rPr>
              <w:t xml:space="preserve">Termin konsultacji publicznych został </w:t>
            </w:r>
            <w:r w:rsidR="001970F9">
              <w:rPr>
                <w:rFonts w:ascii="Times New Roman" w:hAnsi="Times New Roman"/>
                <w:lang w:eastAsia="pl-PL"/>
              </w:rPr>
              <w:t xml:space="preserve">określony na </w:t>
            </w:r>
            <w:r w:rsidRPr="00792A41">
              <w:rPr>
                <w:rFonts w:ascii="Times New Roman" w:hAnsi="Times New Roman"/>
                <w:lang w:eastAsia="pl-PL"/>
              </w:rPr>
              <w:t xml:space="preserve">21 dni ze względu na ważny interes </w:t>
            </w:r>
            <w:r w:rsidR="001970F9">
              <w:rPr>
                <w:rFonts w:ascii="Times New Roman" w:hAnsi="Times New Roman"/>
                <w:lang w:eastAsia="pl-PL"/>
              </w:rPr>
              <w:t>publiczny</w:t>
            </w:r>
            <w:r w:rsidRPr="00792A41">
              <w:rPr>
                <w:rFonts w:ascii="Times New Roman" w:hAnsi="Times New Roman"/>
                <w:lang w:eastAsia="pl-PL"/>
              </w:rPr>
              <w:t>, który wyraża się w pilnej potrzebie zastąpienia zarządzenia Ministra Zdrowia i Opieki Społecznej z dnia 12 marca 1996 r. w</w:t>
            </w:r>
            <w:r w:rsidR="00FB7F5F">
              <w:rPr>
                <w:rFonts w:ascii="Times New Roman" w:hAnsi="Times New Roman"/>
                <w:lang w:eastAsia="pl-PL"/>
              </w:rPr>
              <w:t> </w:t>
            </w:r>
            <w:r w:rsidRPr="00792A41">
              <w:rPr>
                <w:rFonts w:ascii="Times New Roman" w:hAnsi="Times New Roman"/>
                <w:lang w:eastAsia="pl-PL"/>
              </w:rPr>
              <w:t xml:space="preserve">sprawie dopuszczalnych stężeń i natężeń czynników szkodliwych dla zdrowia, wydzielanych przez materiały budowlane, urządzenia i elementy wyposażenia w pomieszczeniach przeznaczonych na pobyt ludzi (M.P. poz. 231), </w:t>
            </w:r>
            <w:r>
              <w:rPr>
                <w:rFonts w:ascii="Times New Roman" w:hAnsi="Times New Roman"/>
                <w:lang w:eastAsia="pl-PL"/>
              </w:rPr>
              <w:t xml:space="preserve">projektowanym </w:t>
            </w:r>
            <w:r w:rsidRPr="00792A41">
              <w:rPr>
                <w:rFonts w:ascii="Times New Roman" w:hAnsi="Times New Roman"/>
                <w:lang w:eastAsia="pl-PL"/>
              </w:rPr>
              <w:t xml:space="preserve">rozporządzeniem, przy jednoczesnym uwzględnieniu vacatio legis, ponieważ stosownie do art. 93 ust. 2 zdanie drugie Konstytucji Rzeczypospolitej Polskiej ww. zarządzenie nie może stanowić podstawy decyzji wobec obywateli, osób prawnych oraz innych podmiotów.  </w:t>
            </w:r>
          </w:p>
          <w:p w14:paraId="448F7312" w14:textId="2A2362AE" w:rsidR="00F23B76" w:rsidRPr="00F23B76" w:rsidRDefault="00F23B76" w:rsidP="007D64D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Projekt zost</w:t>
            </w:r>
            <w:r w:rsidR="00540108">
              <w:rPr>
                <w:rFonts w:ascii="Times New Roman" w:hAnsi="Times New Roman"/>
                <w:lang w:eastAsia="pl-PL"/>
              </w:rPr>
              <w:t>a</w:t>
            </w:r>
            <w:r w:rsidR="00792A41">
              <w:rPr>
                <w:rFonts w:ascii="Times New Roman" w:hAnsi="Times New Roman"/>
                <w:lang w:eastAsia="pl-PL"/>
              </w:rPr>
              <w:t>ł</w:t>
            </w:r>
            <w:r w:rsidR="0097665C" w:rsidRPr="00856B97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zamieszczony na stronie Biuletynu </w:t>
            </w:r>
            <w:r w:rsidR="0097665C" w:rsidRPr="00856B97">
              <w:rPr>
                <w:rFonts w:ascii="Times New Roman" w:hAnsi="Times New Roman"/>
                <w:lang w:eastAsia="pl-PL"/>
              </w:rPr>
              <w:t xml:space="preserve">Informacji Publicznej </w:t>
            </w:r>
            <w:r>
              <w:rPr>
                <w:rFonts w:ascii="Times New Roman" w:hAnsi="Times New Roman"/>
                <w:lang w:eastAsia="pl-PL"/>
              </w:rPr>
              <w:t>Ministerstwa Zdrowia</w:t>
            </w:r>
            <w:r w:rsidRPr="00035411">
              <w:rPr>
                <w:rFonts w:eastAsia="Calibri"/>
              </w:rPr>
              <w:t xml:space="preserve"> </w:t>
            </w:r>
            <w:r w:rsidRPr="00F23B76">
              <w:rPr>
                <w:rFonts w:ascii="Times New Roman" w:eastAsia="Calibri" w:hAnsi="Times New Roman"/>
              </w:rPr>
              <w:t>zgodnie z art. 5 ustawy z dnia 7 lipca 2005 r. o działalności lobbingowej w procesie stanowienia prawa (Dz. U. z 2017 r. poz. 248) oraz w Biuletynie Informacji Publicznej na stronie podmiotowej Rządowego Centrum Legislacji, w serwisie Rządowy Proces Legislacyjny, zgodnie z § 52 ust. 1 uchwały nr 190 Rady Ministrów z dnia 29 października 2013</w:t>
            </w:r>
            <w:r w:rsidR="00FB7F5F">
              <w:rPr>
                <w:rFonts w:ascii="Times New Roman" w:eastAsia="Calibri" w:hAnsi="Times New Roman"/>
              </w:rPr>
              <w:t> </w:t>
            </w:r>
            <w:r w:rsidRPr="00F23B76">
              <w:rPr>
                <w:rFonts w:ascii="Times New Roman" w:eastAsia="Calibri" w:hAnsi="Times New Roman"/>
              </w:rPr>
              <w:t>r. – Regulamin pracy Rady Ministrów (M.P. z 2016 r. poz. 1006, z późn. zm.).</w:t>
            </w:r>
          </w:p>
          <w:p w14:paraId="4E3E4631" w14:textId="2A8D6B2E" w:rsidR="008118EB" w:rsidRPr="00856B97" w:rsidRDefault="00F23B76" w:rsidP="000834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F23B76">
              <w:rPr>
                <w:rFonts w:ascii="Times New Roman" w:eastAsia="Calibri" w:hAnsi="Times New Roman"/>
                <w:color w:val="000000"/>
                <w:spacing w:val="-2"/>
              </w:rPr>
              <w:t>Wyniki konsultacji publicznych i opiniowania zosta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>ną</w:t>
            </w:r>
            <w:r w:rsidRPr="00F23B76">
              <w:rPr>
                <w:rFonts w:ascii="Times New Roman" w:eastAsia="Calibri" w:hAnsi="Times New Roman"/>
                <w:color w:val="000000"/>
                <w:spacing w:val="-2"/>
              </w:rPr>
              <w:t xml:space="preserve"> przedstawione w raporcie z konsultacji publicznych i opiniowania dołączonym do niniejszej Oceny Skutków Regulacji.</w:t>
            </w:r>
            <w:r w:rsidRPr="00F23B76">
              <w:rPr>
                <w:rFonts w:ascii="Times New Roman" w:hAnsi="Times New Roman"/>
                <w:lang w:eastAsia="pl-PL"/>
              </w:rPr>
              <w:t xml:space="preserve"> </w:t>
            </w:r>
            <w:r w:rsidR="009C7BA2">
              <w:rPr>
                <w:rFonts w:ascii="Times New Roman" w:eastAsia="Calibri" w:hAnsi="Times New Roman"/>
                <w:color w:val="000000"/>
                <w:spacing w:val="-2"/>
              </w:rPr>
              <w:t xml:space="preserve"> </w:t>
            </w:r>
          </w:p>
        </w:tc>
      </w:tr>
      <w:tr w:rsidR="008118EB" w:rsidRPr="00856B97" w14:paraId="0F0480D0" w14:textId="77777777" w:rsidTr="000165CD">
        <w:trPr>
          <w:trHeight w:val="363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1248D448" w14:textId="77777777" w:rsidR="008118EB" w:rsidRPr="00856B97" w:rsidRDefault="008118EB" w:rsidP="007D64D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118EB" w:rsidRPr="00856B97" w14:paraId="72C8E188" w14:textId="77777777" w:rsidTr="00453CE4">
        <w:trPr>
          <w:trHeight w:val="142"/>
          <w:jc w:val="center"/>
        </w:trPr>
        <w:tc>
          <w:tcPr>
            <w:tcW w:w="1382" w:type="pct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E56F2" w14:textId="77777777" w:rsidR="008118EB" w:rsidRPr="00856B97" w:rsidRDefault="008118EB" w:rsidP="00E6049C">
            <w:pPr>
              <w:tabs>
                <w:tab w:val="left" w:pos="2008"/>
              </w:tabs>
              <w:spacing w:line="240" w:lineRule="auto"/>
              <w:rPr>
                <w:rFonts w:ascii="Times New Roman" w:eastAsia="Calibri" w:hAnsi="Times New Roman"/>
                <w:i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(ceny stałe z … r.)</w:t>
            </w:r>
            <w:r w:rsidR="00E6049C">
              <w:rPr>
                <w:rFonts w:ascii="Times New Roman" w:eastAsia="Calibri" w:hAnsi="Times New Roman"/>
                <w:color w:val="000000"/>
              </w:rPr>
              <w:tab/>
            </w:r>
          </w:p>
        </w:tc>
        <w:tc>
          <w:tcPr>
            <w:tcW w:w="3618" w:type="pct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EA6246" w14:textId="77777777" w:rsidR="008118EB" w:rsidRPr="00856B97" w:rsidRDefault="008118EB" w:rsidP="00E6049C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Skutki w okresie 10 lat od wejścia w życie zmian [mln zł]</w:t>
            </w:r>
          </w:p>
        </w:tc>
      </w:tr>
      <w:tr w:rsidR="00453CE4" w:rsidRPr="00856B97" w14:paraId="1F864CD7" w14:textId="77777777" w:rsidTr="00FB7F5F">
        <w:trPr>
          <w:trHeight w:val="142"/>
          <w:jc w:val="center"/>
        </w:trPr>
        <w:tc>
          <w:tcPr>
            <w:tcW w:w="1382" w:type="pct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8110E6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i/>
                <w:color w:val="00000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721003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DD0F5D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A35F8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951B9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50E76D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CAEA1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83FFC6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84A57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48A560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FD2F70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11B42E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3A100C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Łącznie (0-10)</w:t>
            </w:r>
          </w:p>
        </w:tc>
      </w:tr>
      <w:tr w:rsidR="00453CE4" w:rsidRPr="00856B97" w14:paraId="28131B03" w14:textId="77777777" w:rsidTr="00FB7F5F">
        <w:trPr>
          <w:trHeight w:val="321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E3E9B95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Dochody ogółem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E3AE4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A172B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BBCF8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14FBC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0AFE2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C5966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27E50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892D4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9BF049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E106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A7871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61F5A6F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0A0653AC" w14:textId="77777777" w:rsidTr="00FB7F5F">
        <w:trPr>
          <w:trHeight w:val="321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0000E4C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budżet państwa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3122A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BE8A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E8C02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1FA90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A52EB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FDF7E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C0F1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7BCBB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42BD3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62A8E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F5597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1E75032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0C67585C" w14:textId="77777777" w:rsidTr="00FB7F5F">
        <w:trPr>
          <w:trHeight w:val="344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FC4ADED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JST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5118A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C1B1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18C37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103C7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EBB76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E8E4E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A1777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71B18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B46DF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EAB7F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9FD9B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7F7025CE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65AC785D" w14:textId="77777777" w:rsidTr="00FB7F5F">
        <w:trPr>
          <w:trHeight w:val="344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3B57319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pozostałe jednostki (oddzielnie)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0D705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9B363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C6EF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B9EB6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88709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53FDB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3A0DE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354E6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CE729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0CD68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FC41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4C61F979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0B739568" w14:textId="77777777" w:rsidTr="00FB7F5F">
        <w:trPr>
          <w:trHeight w:val="330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9266B9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Wydatki ogółem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7B800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EA741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73718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D6976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7B9BC4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139B6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3C7E6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C9142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17BA04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482A1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83409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1050EBD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52DCE44F" w14:textId="77777777" w:rsidTr="00FB7F5F">
        <w:trPr>
          <w:trHeight w:val="330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378082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budżet państwa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49F13E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B88E4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37CAF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72E30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7DBB8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8FCDE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DC23E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59A20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AA4D0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59AE8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89589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28189A1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59184D13" w14:textId="77777777" w:rsidTr="00FB7F5F">
        <w:trPr>
          <w:trHeight w:val="351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F2F971E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JST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C553B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2A144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58145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1080A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471F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34EEC4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8AD79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E3AD6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F6BC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7AA8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36F8EE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21F8992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57B91DD8" w14:textId="77777777" w:rsidTr="00FB7F5F">
        <w:trPr>
          <w:trHeight w:val="351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451BEED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pozostałe jednostki (oddzielnie)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16489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B8F10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DC3A3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B2554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7E63F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CD555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4FD24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43E329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6E7A2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51175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F9311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75DDC41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0B4BCF2E" w14:textId="77777777" w:rsidTr="00FB7F5F">
        <w:trPr>
          <w:trHeight w:val="360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3BABFCE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>Saldo ogółem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D47F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9E613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0535D4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EEE99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84556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CDC49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FC6D4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FA6B5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F46AA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AB78A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409A8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6774EA4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03B58953" w14:textId="77777777" w:rsidTr="00FB7F5F">
        <w:trPr>
          <w:trHeight w:val="360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657CC15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budżet państwa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3D408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E27C6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CB35B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D86D1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DE13B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A79087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60493D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6537E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1DFAAB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26293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072A0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4CE4E1C1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70BEF4D1" w14:textId="77777777" w:rsidTr="00FB7F5F">
        <w:trPr>
          <w:trHeight w:val="357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661F151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JST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73AB28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A0B9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1BE64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5D97F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9ADF34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1A1E3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5C4CB2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F70A3A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502A6F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78DC96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B32E6C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5408CD75" w14:textId="77777777" w:rsidR="008118EB" w:rsidRPr="00856B97" w:rsidRDefault="00E6049C" w:rsidP="003C0C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53CE4" w:rsidRPr="00856B97" w14:paraId="5C8ABFBD" w14:textId="77777777" w:rsidTr="00FB7F5F">
        <w:trPr>
          <w:trHeight w:val="357"/>
          <w:jc w:val="center"/>
        </w:trPr>
        <w:tc>
          <w:tcPr>
            <w:tcW w:w="138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C2E4AB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pozostałe jednostki (oddzielnie)</w:t>
            </w:r>
          </w:p>
        </w:tc>
        <w:tc>
          <w:tcPr>
            <w:tcW w:w="2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CB5FF2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2C8900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90A6C7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5B2226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39B709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2FCD0D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DA6470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4BC1C7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55C5C2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9094D7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AAF590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647" w:type="pct"/>
          </w:tcPr>
          <w:p w14:paraId="049B8004" w14:textId="77777777" w:rsidR="008118EB" w:rsidRPr="00856B97" w:rsidRDefault="00E6049C" w:rsidP="003C0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118EB" w:rsidRPr="00856B97" w14:paraId="60B0088F" w14:textId="77777777" w:rsidTr="00453CE4">
        <w:trPr>
          <w:trHeight w:val="348"/>
          <w:jc w:val="center"/>
        </w:trPr>
        <w:tc>
          <w:tcPr>
            <w:tcW w:w="10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EAAEE5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Źródła finansowania </w:t>
            </w:r>
          </w:p>
        </w:tc>
        <w:tc>
          <w:tcPr>
            <w:tcW w:w="3910" w:type="pct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3445CFC" w14:textId="77777777" w:rsidR="008118EB" w:rsidRPr="00856B97" w:rsidRDefault="008118EB" w:rsidP="007D64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hAnsi="Times New Roman"/>
              </w:rPr>
              <w:t>Projektowana regulacja nie będzie miała dodatkowych skutków finansowych dla budżetu państwa, budżetów jednostek samorządu terytorialnego i pozostałych jednostek sektora finansów publicznych.</w:t>
            </w:r>
          </w:p>
        </w:tc>
      </w:tr>
      <w:tr w:rsidR="008118EB" w:rsidRPr="00856B97" w14:paraId="7D44504D" w14:textId="77777777" w:rsidTr="00453CE4">
        <w:trPr>
          <w:trHeight w:val="1282"/>
          <w:jc w:val="center"/>
        </w:trPr>
        <w:tc>
          <w:tcPr>
            <w:tcW w:w="10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454E0F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Dodatkowe informacje, w tym wskazanie źródeł danych i przyjętych do obliczeń założeń</w:t>
            </w:r>
          </w:p>
        </w:tc>
        <w:tc>
          <w:tcPr>
            <w:tcW w:w="3910" w:type="pct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D075CE" w14:textId="77777777" w:rsidR="008118EB" w:rsidRPr="00856B97" w:rsidRDefault="008118EB" w:rsidP="007D64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118EB" w:rsidRPr="00856B97" w14:paraId="0F1E79B0" w14:textId="77777777" w:rsidTr="000165CD">
        <w:trPr>
          <w:trHeight w:val="345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40C98C77" w14:textId="77777777" w:rsidR="008118EB" w:rsidRPr="00856B97" w:rsidRDefault="008118EB" w:rsidP="00E604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  <w:spacing w:val="-2"/>
              </w:rPr>
              <w:t xml:space="preserve">Wpływ na </w:t>
            </w:r>
            <w:r w:rsidRPr="00856B97">
              <w:rPr>
                <w:rFonts w:ascii="Times New Roman" w:eastAsia="Calibri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118EB" w:rsidRPr="00856B97" w14:paraId="6E1A115F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2F2138" w14:textId="77777777" w:rsidR="008118EB" w:rsidRPr="00856B97" w:rsidRDefault="008118EB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lastRenderedPageBreak/>
              <w:t>Skutki</w:t>
            </w:r>
          </w:p>
        </w:tc>
      </w:tr>
      <w:tr w:rsidR="008118EB" w:rsidRPr="00856B97" w14:paraId="3B533181" w14:textId="77777777" w:rsidTr="00453CE4">
        <w:trPr>
          <w:trHeight w:val="142"/>
          <w:jc w:val="center"/>
        </w:trPr>
        <w:tc>
          <w:tcPr>
            <w:tcW w:w="175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1953E8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Czas w latach od wejścia w życie zmian</w:t>
            </w:r>
          </w:p>
        </w:tc>
        <w:tc>
          <w:tcPr>
            <w:tcW w:w="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B4E8C9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5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534A73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4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5BF90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6DD79D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4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F579DA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50758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</w:p>
        </w:tc>
        <w:tc>
          <w:tcPr>
            <w:tcW w:w="7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BA04B4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Łącznie (0-10)</w:t>
            </w:r>
          </w:p>
        </w:tc>
      </w:tr>
      <w:tr w:rsidR="008118EB" w:rsidRPr="00856B97" w14:paraId="403F5337" w14:textId="77777777" w:rsidTr="00453CE4">
        <w:trPr>
          <w:trHeight w:val="142"/>
          <w:jc w:val="center"/>
        </w:trPr>
        <w:tc>
          <w:tcPr>
            <w:tcW w:w="83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9EF09E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W ujęciu pieniężnym</w:t>
            </w:r>
          </w:p>
          <w:p w14:paraId="49818D34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spacing w:val="-2"/>
              </w:rPr>
            </w:pPr>
            <w:r w:rsidRPr="00856B97">
              <w:rPr>
                <w:rFonts w:ascii="Times New Roman" w:eastAsia="Calibri" w:hAnsi="Times New Roman"/>
                <w:spacing w:val="-2"/>
              </w:rPr>
              <w:t xml:space="preserve">(w mln zł, </w:t>
            </w:r>
          </w:p>
          <w:p w14:paraId="0A12D963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spacing w:val="-2"/>
              </w:rPr>
              <w:t>ceny stałe z …… r.)</w:t>
            </w: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2A7393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duże przedsiębiorstwa</w:t>
            </w:r>
          </w:p>
        </w:tc>
        <w:tc>
          <w:tcPr>
            <w:tcW w:w="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A08241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B1C5C3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FCB4FE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B81E28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69D2FB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F909F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EBE865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8118EB" w:rsidRPr="00856B97" w14:paraId="30B3A3D3" w14:textId="77777777" w:rsidTr="00453CE4">
        <w:trPr>
          <w:trHeight w:val="142"/>
          <w:jc w:val="center"/>
        </w:trPr>
        <w:tc>
          <w:tcPr>
            <w:tcW w:w="83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684DBB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7AD63A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7939FF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2DE0E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FD8092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3A57CE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47297E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0F8E55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D41844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8118EB" w:rsidRPr="00856B97" w14:paraId="5A632754" w14:textId="77777777" w:rsidTr="00453CE4">
        <w:trPr>
          <w:trHeight w:val="142"/>
          <w:jc w:val="center"/>
        </w:trPr>
        <w:tc>
          <w:tcPr>
            <w:tcW w:w="83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A09530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8853D8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</w:rPr>
              <w:t>rodzina, obywatele oraz gospodarstwa domowe</w:t>
            </w:r>
          </w:p>
        </w:tc>
        <w:tc>
          <w:tcPr>
            <w:tcW w:w="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052D41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3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A601C3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9E65EF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2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B988B2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44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BDECB5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2E9FA3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AF1FC8" w14:textId="77777777" w:rsidR="008118EB" w:rsidRPr="00856B97" w:rsidRDefault="00E6049C" w:rsidP="00E6049C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8118EB" w:rsidRPr="00856B97" w14:paraId="4D137E7B" w14:textId="77777777" w:rsidTr="00453CE4">
        <w:trPr>
          <w:trHeight w:val="142"/>
          <w:jc w:val="center"/>
        </w:trPr>
        <w:tc>
          <w:tcPr>
            <w:tcW w:w="83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E89C1B" w14:textId="60992A02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W ujęciu </w:t>
            </w:r>
            <w:r w:rsidR="007975CD">
              <w:rPr>
                <w:rFonts w:ascii="Times New Roman" w:eastAsia="Calibri" w:hAnsi="Times New Roman"/>
                <w:color w:val="000000"/>
              </w:rPr>
              <w:t>niepienięż-</w:t>
            </w:r>
            <w:r w:rsidRPr="00856B97">
              <w:rPr>
                <w:rFonts w:ascii="Times New Roman" w:eastAsia="Calibri" w:hAnsi="Times New Roman"/>
                <w:color w:val="000000"/>
              </w:rPr>
              <w:t>nym</w:t>
            </w: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B9826F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duże przedsiębiorstwa</w:t>
            </w:r>
          </w:p>
        </w:tc>
        <w:tc>
          <w:tcPr>
            <w:tcW w:w="324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CDD93B" w14:textId="77777777" w:rsidR="008118EB" w:rsidRPr="00E6049C" w:rsidRDefault="00E6049C" w:rsidP="002318D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E6049C">
              <w:rPr>
                <w:rFonts w:ascii="Times New Roman" w:eastAsia="Calibri" w:hAnsi="Times New Roman"/>
                <w:color w:val="000000"/>
              </w:rPr>
              <w:t xml:space="preserve">Zwiększenie bezpieczeństwa zdrowotnego </w:t>
            </w:r>
            <w:r w:rsidR="00B72DC8" w:rsidRPr="00B72DC8">
              <w:rPr>
                <w:rFonts w:ascii="Times New Roman" w:eastAsia="Calibri" w:hAnsi="Times New Roman"/>
                <w:color w:val="000000"/>
              </w:rPr>
              <w:t>osób przebywających w</w:t>
            </w:r>
            <w:r w:rsidR="002318DB">
              <w:rPr>
                <w:rFonts w:ascii="Times New Roman" w:eastAsia="Calibri" w:hAnsi="Times New Roman"/>
                <w:color w:val="000000"/>
              </w:rPr>
              <w:t> </w:t>
            </w:r>
            <w:r w:rsidR="00B72DC8" w:rsidRPr="00B72DC8">
              <w:rPr>
                <w:rFonts w:ascii="Times New Roman" w:eastAsia="Calibri" w:hAnsi="Times New Roman"/>
                <w:color w:val="000000"/>
              </w:rPr>
              <w:t>pomieszczenia</w:t>
            </w:r>
            <w:r w:rsidR="00452A8F">
              <w:rPr>
                <w:rFonts w:ascii="Times New Roman" w:eastAsia="Calibri" w:hAnsi="Times New Roman"/>
                <w:color w:val="000000"/>
              </w:rPr>
              <w:t>ch</w:t>
            </w:r>
            <w:r w:rsidR="00B72DC8" w:rsidRPr="00B72DC8">
              <w:rPr>
                <w:rFonts w:ascii="Times New Roman" w:eastAsia="Calibri" w:hAnsi="Times New Roman"/>
                <w:color w:val="000000"/>
              </w:rPr>
              <w:t xml:space="preserve"> przeznaczonych na pobyt ludzi.</w:t>
            </w:r>
          </w:p>
        </w:tc>
      </w:tr>
      <w:tr w:rsidR="008118EB" w:rsidRPr="00856B97" w14:paraId="32B67958" w14:textId="77777777" w:rsidTr="00453CE4">
        <w:trPr>
          <w:trHeight w:val="733"/>
          <w:jc w:val="center"/>
        </w:trPr>
        <w:tc>
          <w:tcPr>
            <w:tcW w:w="83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E80A8C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E9A336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324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26F5F5" w14:textId="77777777" w:rsidR="008118EB" w:rsidRPr="00E6049C" w:rsidRDefault="00E6049C" w:rsidP="002318D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E6049C">
              <w:rPr>
                <w:rFonts w:ascii="Times New Roman" w:eastAsia="Calibri" w:hAnsi="Times New Roman"/>
                <w:color w:val="000000"/>
              </w:rPr>
              <w:t>Zwiększ</w:t>
            </w:r>
            <w:r w:rsidR="00B72DC8">
              <w:rPr>
                <w:rFonts w:ascii="Times New Roman" w:eastAsia="Calibri" w:hAnsi="Times New Roman"/>
                <w:color w:val="000000"/>
              </w:rPr>
              <w:t xml:space="preserve">enie bezpieczeństwa zdrowotnego 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>osób przebywających w</w:t>
            </w:r>
            <w:r w:rsidR="002318DB">
              <w:rPr>
                <w:rFonts w:ascii="Times New Roman" w:eastAsia="Calibri" w:hAnsi="Times New Roman"/>
                <w:color w:val="000000"/>
                <w:spacing w:val="-2"/>
              </w:rPr>
              <w:t> 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>pomieszczenia</w:t>
            </w:r>
            <w:r w:rsidR="00452A8F">
              <w:rPr>
                <w:rFonts w:ascii="Times New Roman" w:eastAsia="Calibri" w:hAnsi="Times New Roman"/>
                <w:color w:val="000000"/>
                <w:spacing w:val="-2"/>
              </w:rPr>
              <w:t>ch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 xml:space="preserve"> przeznaczonych na pobyt ludzi.</w:t>
            </w:r>
          </w:p>
        </w:tc>
      </w:tr>
      <w:tr w:rsidR="008118EB" w:rsidRPr="00856B97" w14:paraId="6B9C2E61" w14:textId="77777777" w:rsidTr="00453CE4">
        <w:trPr>
          <w:trHeight w:val="596"/>
          <w:jc w:val="center"/>
        </w:trPr>
        <w:tc>
          <w:tcPr>
            <w:tcW w:w="83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59E76F" w14:textId="77777777" w:rsidR="008118EB" w:rsidRPr="00856B97" w:rsidRDefault="008118EB" w:rsidP="00E6049C">
            <w:pPr>
              <w:spacing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104539" w14:textId="77777777" w:rsidR="008118EB" w:rsidRPr="00856B97" w:rsidRDefault="008118EB" w:rsidP="002308E0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</w:rPr>
              <w:t>rodzina, obywatele oraz gospodarstwa domowe</w:t>
            </w:r>
            <w:r w:rsidR="002308E0">
              <w:rPr>
                <w:rFonts w:ascii="Times New Roman" w:eastAsia="Calibri" w:hAnsi="Times New Roman"/>
              </w:rPr>
              <w:t>,</w:t>
            </w:r>
            <w:r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2308E0" w:rsidRPr="002308E0">
              <w:rPr>
                <w:rFonts w:ascii="Times New Roman" w:eastAsia="Calibri" w:hAnsi="Times New Roman"/>
                <w:color w:val="000000"/>
              </w:rPr>
              <w:t>sytuacj</w:t>
            </w:r>
            <w:r w:rsidR="002308E0">
              <w:rPr>
                <w:rFonts w:ascii="Times New Roman" w:eastAsia="Calibri" w:hAnsi="Times New Roman"/>
                <w:color w:val="000000"/>
              </w:rPr>
              <w:t>a</w:t>
            </w:r>
            <w:r w:rsidR="002308E0" w:rsidRPr="002308E0">
              <w:rPr>
                <w:rFonts w:ascii="Times New Roman" w:eastAsia="Calibri" w:hAnsi="Times New Roman"/>
                <w:color w:val="000000"/>
              </w:rPr>
              <w:t xml:space="preserve"> ekonomiczn</w:t>
            </w:r>
            <w:r w:rsidR="002308E0">
              <w:rPr>
                <w:rFonts w:ascii="Times New Roman" w:eastAsia="Calibri" w:hAnsi="Times New Roman"/>
                <w:color w:val="000000"/>
              </w:rPr>
              <w:t>a i społeczna</w:t>
            </w:r>
            <w:r w:rsidR="002308E0" w:rsidRPr="002308E0">
              <w:rPr>
                <w:rFonts w:ascii="Times New Roman" w:eastAsia="Calibri" w:hAnsi="Times New Roman"/>
                <w:color w:val="000000"/>
              </w:rPr>
              <w:t xml:space="preserve"> rodziny, a także osób niepełnosprawnych oraz osób starszych</w:t>
            </w:r>
          </w:p>
        </w:tc>
        <w:tc>
          <w:tcPr>
            <w:tcW w:w="324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3C6284" w14:textId="77777777" w:rsidR="008118EB" w:rsidRPr="00856B97" w:rsidRDefault="00B72DC8" w:rsidP="002318D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Zwiększenie bezpieczeństwa zdrowotnego osób przebywających w</w:t>
            </w:r>
            <w:r w:rsidR="002318DB">
              <w:rPr>
                <w:rFonts w:ascii="Times New Roman" w:eastAsia="Calibri" w:hAnsi="Times New Roman"/>
                <w:color w:val="000000"/>
                <w:spacing w:val="-2"/>
              </w:rPr>
              <w:t> 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>pomieszczenia</w:t>
            </w:r>
            <w:r w:rsidR="00452A8F">
              <w:rPr>
                <w:rFonts w:ascii="Times New Roman" w:eastAsia="Calibri" w:hAnsi="Times New Roman"/>
                <w:color w:val="000000"/>
                <w:spacing w:val="-2"/>
              </w:rPr>
              <w:t>ch</w:t>
            </w: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 przeznaczonych na pobyt ludzi</w:t>
            </w:r>
            <w:r w:rsidR="0048324B">
              <w:rPr>
                <w:rFonts w:ascii="Times New Roman" w:eastAsia="Calibri" w:hAnsi="Times New Roman"/>
                <w:color w:val="000000"/>
                <w:spacing w:val="-2"/>
              </w:rPr>
              <w:t>.</w:t>
            </w:r>
          </w:p>
        </w:tc>
      </w:tr>
      <w:tr w:rsidR="008118EB" w:rsidRPr="00856B97" w14:paraId="099F9F46" w14:textId="77777777" w:rsidTr="00453CE4">
        <w:trPr>
          <w:trHeight w:val="142"/>
          <w:jc w:val="center"/>
        </w:trPr>
        <w:tc>
          <w:tcPr>
            <w:tcW w:w="8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AC2391" w14:textId="0CDCABCD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Niemierzalne</w:t>
            </w:r>
          </w:p>
        </w:tc>
        <w:tc>
          <w:tcPr>
            <w:tcW w:w="92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DD53E9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47" w:type="pct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E8CA23" w14:textId="77777777" w:rsidR="008118EB" w:rsidRPr="00856B97" w:rsidRDefault="00E6049C" w:rsidP="00452A8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Wprowadzenie regulacji projektowanym rozporządzeniem, przez określenie </w:t>
            </w:r>
            <w:r w:rsidR="00200C23" w:rsidRPr="00856B97">
              <w:rPr>
                <w:rFonts w:ascii="Times New Roman" w:hAnsi="Times New Roman"/>
                <w:bCs/>
                <w:lang w:eastAsia="pl-PL"/>
              </w:rPr>
              <w:t>dopuszczalnych stężeń i natężeń czynników szkodliwych dla zdrowia wydzielanych przez materiały budowlane, urządzenia i elementy wyposażenia w pomieszczeniach przeznaczonych na pobyt ludzi</w:t>
            </w:r>
            <w:r w:rsidR="00200C23">
              <w:rPr>
                <w:rFonts w:ascii="Times New Roman" w:hAnsi="Times New Roman"/>
                <w:bCs/>
                <w:lang w:eastAsia="pl-PL"/>
              </w:rPr>
              <w:t>,</w:t>
            </w:r>
            <w:r w:rsidR="00B72DC8">
              <w:rPr>
                <w:rFonts w:ascii="Times New Roman" w:hAnsi="Times New Roman"/>
                <w:bCs/>
                <w:lang w:eastAsia="pl-PL"/>
              </w:rPr>
              <w:t xml:space="preserve"> będzie miało wpływ na z</w:t>
            </w:r>
            <w:r w:rsidR="00B72DC8" w:rsidRPr="00B72DC8">
              <w:rPr>
                <w:rFonts w:ascii="Times New Roman" w:hAnsi="Times New Roman"/>
                <w:bCs/>
                <w:lang w:eastAsia="pl-PL"/>
              </w:rPr>
              <w:t xml:space="preserve">większenie bezpieczeństwa zdrowotnego osób przebywających w </w:t>
            </w:r>
            <w:r w:rsidR="00452A8F">
              <w:rPr>
                <w:rFonts w:ascii="Times New Roman" w:hAnsi="Times New Roman"/>
                <w:bCs/>
                <w:lang w:eastAsia="pl-PL"/>
              </w:rPr>
              <w:t xml:space="preserve">tych </w:t>
            </w:r>
            <w:r w:rsidR="00B72DC8" w:rsidRPr="00B72DC8">
              <w:rPr>
                <w:rFonts w:ascii="Times New Roman" w:hAnsi="Times New Roman"/>
                <w:bCs/>
                <w:lang w:eastAsia="pl-PL"/>
              </w:rPr>
              <w:t>pomieszczenia</w:t>
            </w:r>
            <w:r w:rsidR="00452A8F">
              <w:rPr>
                <w:rFonts w:ascii="Times New Roman" w:hAnsi="Times New Roman"/>
                <w:bCs/>
                <w:lang w:eastAsia="pl-PL"/>
              </w:rPr>
              <w:t xml:space="preserve">ch. </w:t>
            </w:r>
          </w:p>
        </w:tc>
      </w:tr>
      <w:tr w:rsidR="008118EB" w:rsidRPr="00856B97" w14:paraId="076B7DA0" w14:textId="77777777" w:rsidTr="00453CE4">
        <w:trPr>
          <w:trHeight w:val="1112"/>
          <w:jc w:val="center"/>
        </w:trPr>
        <w:tc>
          <w:tcPr>
            <w:tcW w:w="10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ADEBF6" w14:textId="77777777" w:rsidR="008118EB" w:rsidRPr="00856B97" w:rsidRDefault="008118EB" w:rsidP="007D64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Dodatkowe </w:t>
            </w:r>
            <w:r w:rsidR="0048324B">
              <w:rPr>
                <w:rFonts w:ascii="Times New Roman" w:eastAsia="Calibri" w:hAnsi="Times New Roman"/>
                <w:color w:val="000000"/>
              </w:rPr>
              <w:t>i</w:t>
            </w:r>
            <w:r w:rsidRPr="00856B97">
              <w:rPr>
                <w:rFonts w:ascii="Times New Roman" w:eastAsia="Calibri" w:hAnsi="Times New Roman"/>
                <w:color w:val="000000"/>
              </w:rPr>
              <w:t xml:space="preserve">nformacje, w tym wskazanie źródeł danych i przyjętych do obliczeń założeń </w:t>
            </w:r>
          </w:p>
        </w:tc>
        <w:tc>
          <w:tcPr>
            <w:tcW w:w="3910" w:type="pct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A422AA9" w14:textId="77777777" w:rsidR="008118EB" w:rsidRPr="00856B97" w:rsidRDefault="008118EB" w:rsidP="007D64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Nie przewiduje się dodatkowego wpływu projektowanego rozporządzenia na konkurencyjność gospodarki i przedsiębiorczość, w tym funkcjonowanie przedsiębiorców. </w:t>
            </w:r>
          </w:p>
        </w:tc>
      </w:tr>
      <w:tr w:rsidR="008118EB" w:rsidRPr="00856B97" w14:paraId="58E199FD" w14:textId="77777777" w:rsidTr="000165CD">
        <w:trPr>
          <w:trHeight w:val="3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  <w:vAlign w:val="center"/>
          </w:tcPr>
          <w:p w14:paraId="41BF09A3" w14:textId="77777777" w:rsidR="008118EB" w:rsidRPr="00856B97" w:rsidRDefault="008118EB" w:rsidP="0048324B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856B97">
              <w:rPr>
                <w:rFonts w:ascii="Times New Roman" w:eastAsia="Calibri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118EB" w:rsidRPr="00856B97" w14:paraId="06ECC988" w14:textId="77777777" w:rsidTr="000165CD">
        <w:trPr>
          <w:trHeight w:val="151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DD6EB4" w14:textId="77777777" w:rsidR="008118EB" w:rsidRPr="00856B97" w:rsidRDefault="00200C23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t>X</w:t>
            </w:r>
            <w:r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nie dotyczy</w:t>
            </w:r>
          </w:p>
        </w:tc>
      </w:tr>
      <w:tr w:rsidR="008118EB" w:rsidRPr="00856B97" w14:paraId="0D0CA041" w14:textId="77777777" w:rsidTr="00453CE4">
        <w:trPr>
          <w:trHeight w:val="773"/>
          <w:jc w:val="center"/>
        </w:trPr>
        <w:tc>
          <w:tcPr>
            <w:tcW w:w="2382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FC2D97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2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56B97">
              <w:rPr>
                <w:rFonts w:ascii="Times New Roman" w:eastAsia="Calibri" w:hAnsi="Times New Roman"/>
                <w:color w:val="000000"/>
              </w:rPr>
              <w:t>(szczegóły w odwróconej tabeli zgodności).</w:t>
            </w:r>
          </w:p>
        </w:tc>
        <w:tc>
          <w:tcPr>
            <w:tcW w:w="2618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6DC2C3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3" w:name="__Fieldmark__760_3277627913"/>
            <w:bookmarkEnd w:id="3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tak</w:t>
            </w:r>
          </w:p>
          <w:p w14:paraId="22D58291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4" w:name="__Fieldmark__764_3277627913"/>
            <w:bookmarkEnd w:id="4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nie</w:t>
            </w:r>
          </w:p>
          <w:p w14:paraId="73FEB257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5" w:name="__Fieldmark__768_3277627913"/>
            <w:bookmarkEnd w:id="5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nie dotyczy</w:t>
            </w:r>
          </w:p>
        </w:tc>
      </w:tr>
      <w:tr w:rsidR="008118EB" w:rsidRPr="00856B97" w14:paraId="586D3974" w14:textId="77777777" w:rsidTr="00453CE4">
        <w:trPr>
          <w:trHeight w:val="1245"/>
          <w:jc w:val="center"/>
        </w:trPr>
        <w:tc>
          <w:tcPr>
            <w:tcW w:w="2382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6C9FC7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6" w:name="__Fieldmark__772_3277627913"/>
            <w:bookmarkEnd w:id="6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 xml:space="preserve">zmniejszenie liczby dokumentów </w:t>
            </w:r>
          </w:p>
          <w:p w14:paraId="3A3A57AE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7" w:name="__Fieldmark__777_3277627913"/>
            <w:bookmarkEnd w:id="7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zmniejszenie liczby procedur</w:t>
            </w:r>
          </w:p>
          <w:p w14:paraId="6B428580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8" w:name="__Fieldmark__782_3277627913"/>
            <w:bookmarkEnd w:id="8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skrócenie czasu na załatwienie sprawy</w:t>
            </w:r>
          </w:p>
          <w:p w14:paraId="720870CA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9" w:name="__Fieldmark__787_3277627913"/>
            <w:bookmarkEnd w:id="9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inne:</w:t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2618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DBE7CC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0" w:name="__Fieldmark__793_3277627913"/>
            <w:bookmarkEnd w:id="10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zwiększenie liczby dokumentów</w:t>
            </w:r>
          </w:p>
          <w:p w14:paraId="37586509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1" w:name="__Fieldmark__798_3277627913"/>
            <w:bookmarkEnd w:id="11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zwiększenie liczby procedur</w:t>
            </w:r>
          </w:p>
          <w:p w14:paraId="5528E1A3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2" w:name="__Fieldmark__803_3277627913"/>
            <w:bookmarkEnd w:id="12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wydłużenie czasu na załatwienie sprawy</w:t>
            </w:r>
          </w:p>
          <w:p w14:paraId="1C64FC1D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3" w:name="__Fieldmark__808_3277627913"/>
            <w:bookmarkEnd w:id="13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inne:</w:t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14:paraId="6928AC77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118EB" w:rsidRPr="00856B97" w14:paraId="0CB14ADE" w14:textId="77777777" w:rsidTr="00453CE4">
        <w:trPr>
          <w:trHeight w:val="870"/>
          <w:jc w:val="center"/>
        </w:trPr>
        <w:tc>
          <w:tcPr>
            <w:tcW w:w="2382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420A61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618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951304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4" w:name="__Fieldmark__815_3277627913"/>
            <w:bookmarkEnd w:id="14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tak</w:t>
            </w:r>
          </w:p>
          <w:p w14:paraId="2B0749F6" w14:textId="77777777" w:rsidR="008118EB" w:rsidRPr="00856B97" w:rsidRDefault="00200C23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>nie</w:t>
            </w:r>
          </w:p>
          <w:p w14:paraId="51AD1D1C" w14:textId="77777777" w:rsidR="008118EB" w:rsidRPr="00856B97" w:rsidRDefault="00E12309" w:rsidP="007D64DC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5" w:name="__Fieldmark__823_3277627913"/>
            <w:bookmarkEnd w:id="15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nie dotyczy</w:t>
            </w:r>
          </w:p>
          <w:p w14:paraId="7942A498" w14:textId="77777777" w:rsidR="008118EB" w:rsidRPr="00856B97" w:rsidRDefault="008118EB" w:rsidP="007D64DC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118EB" w:rsidRPr="00856B97" w14:paraId="12BFFBAF" w14:textId="77777777" w:rsidTr="000165CD">
        <w:trPr>
          <w:trHeight w:val="630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91CCA4" w14:textId="77777777" w:rsidR="008118EB" w:rsidRPr="00856B97" w:rsidRDefault="008118EB" w:rsidP="0048324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Komentarz:</w:t>
            </w:r>
          </w:p>
          <w:p w14:paraId="5C646693" w14:textId="77777777" w:rsidR="008118EB" w:rsidRPr="00856B97" w:rsidRDefault="008118EB" w:rsidP="0048324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Nie przewiduje się wpływu projektowanego rozporządzenia w zakresie obciążeń regulacyjnych.</w:t>
            </w:r>
          </w:p>
        </w:tc>
      </w:tr>
      <w:tr w:rsidR="008118EB" w:rsidRPr="00856B97" w14:paraId="7912D467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6A2719BA" w14:textId="77777777" w:rsidR="008118EB" w:rsidRPr="0048324B" w:rsidRDefault="008118EB" w:rsidP="00200C23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8324B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Wpływ na rynek pracy </w:t>
            </w:r>
          </w:p>
        </w:tc>
      </w:tr>
      <w:tr w:rsidR="008118EB" w:rsidRPr="00856B97" w14:paraId="79371B9C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8B84F" w14:textId="69F32E3F" w:rsidR="003F410F" w:rsidRPr="00856B97" w:rsidRDefault="008118EB" w:rsidP="0048324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Nie przewiduje się wpływu projektowanego rozporządzenia na rynek pracy. </w:t>
            </w:r>
          </w:p>
          <w:p w14:paraId="4B5439B8" w14:textId="77777777" w:rsidR="008118EB" w:rsidRPr="00856B97" w:rsidRDefault="008118EB" w:rsidP="0048324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8118EB" w:rsidRPr="00856B97" w14:paraId="5E45B135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522B32B8" w14:textId="77777777" w:rsidR="008118EB" w:rsidRPr="0048324B" w:rsidRDefault="008118EB" w:rsidP="0048324B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8324B">
              <w:rPr>
                <w:rFonts w:eastAsia="Calibri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8118EB" w:rsidRPr="00856B97" w14:paraId="1F7C96A5" w14:textId="77777777" w:rsidTr="00453CE4">
        <w:trPr>
          <w:trHeight w:val="1031"/>
          <w:jc w:val="center"/>
        </w:trPr>
        <w:tc>
          <w:tcPr>
            <w:tcW w:w="154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AC1B77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0FA67C93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6" w:name="__Fieldmark__837_3277627913"/>
            <w:bookmarkEnd w:id="16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środowisko naturalne</w:t>
            </w:r>
          </w:p>
          <w:p w14:paraId="0105CCCD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7" w:name="__Fieldmark__842_3277627913"/>
            <w:bookmarkEnd w:id="17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sytuacja i rozwój regionalny</w:t>
            </w:r>
          </w:p>
          <w:p w14:paraId="568E8D31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8" w:name="__Fieldmark__847_3277627913"/>
            <w:bookmarkEnd w:id="18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1832" w:type="pct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CB7DE6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5AA9B17A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19" w:name="__Fieldmark__852_3277627913"/>
            <w:bookmarkEnd w:id="19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demografia</w:t>
            </w:r>
          </w:p>
          <w:p w14:paraId="3B0A75C1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20" w:name="__Fieldmark__857_3277627913"/>
            <w:bookmarkEnd w:id="20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mienie państwowe</w:t>
            </w:r>
          </w:p>
        </w:tc>
        <w:tc>
          <w:tcPr>
            <w:tcW w:w="162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43E30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  <w:p w14:paraId="09E27F72" w14:textId="77777777" w:rsidR="008118EB" w:rsidRPr="00856B97" w:rsidRDefault="00E12309" w:rsidP="0048324B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EB" w:rsidRPr="00856B97">
              <w:rPr>
                <w:rFonts w:ascii="Times New Roman" w:hAnsi="Times New Roman"/>
              </w:rPr>
              <w:instrText>FORMCHECKBOX</w:instrText>
            </w:r>
            <w:r w:rsidR="0071014E">
              <w:rPr>
                <w:rFonts w:ascii="Times New Roman" w:hAnsi="Times New Roman"/>
              </w:rPr>
            </w:r>
            <w:r w:rsidR="0071014E">
              <w:rPr>
                <w:rFonts w:ascii="Times New Roman" w:hAnsi="Times New Roman"/>
              </w:rPr>
              <w:fldChar w:fldCharType="separate"/>
            </w:r>
            <w:bookmarkStart w:id="21" w:name="__Fieldmark__862_3277627913"/>
            <w:bookmarkEnd w:id="21"/>
            <w:r w:rsidRPr="00856B97">
              <w:rPr>
                <w:rFonts w:ascii="Times New Roman" w:hAnsi="Times New Roman"/>
              </w:rPr>
              <w:fldChar w:fldCharType="end"/>
            </w:r>
            <w:r w:rsidR="008118EB" w:rsidRPr="00856B97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8118EB" w:rsidRPr="00856B97">
              <w:rPr>
                <w:rFonts w:ascii="Times New Roman" w:eastAsia="Calibri" w:hAnsi="Times New Roman"/>
                <w:color w:val="000000"/>
                <w:spacing w:val="-2"/>
              </w:rPr>
              <w:t>informatyzacja</w:t>
            </w:r>
          </w:p>
          <w:p w14:paraId="5140013E" w14:textId="77777777" w:rsidR="008118EB" w:rsidRPr="00856B97" w:rsidRDefault="008118EB" w:rsidP="0048324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 xml:space="preserve">x </w:t>
            </w:r>
            <w:r w:rsidRPr="00856B97">
              <w:rPr>
                <w:rFonts w:ascii="Times New Roman" w:eastAsia="Calibri" w:hAnsi="Times New Roman"/>
                <w:color w:val="000000"/>
                <w:spacing w:val="-2"/>
              </w:rPr>
              <w:t>zdrowie</w:t>
            </w:r>
          </w:p>
        </w:tc>
      </w:tr>
      <w:tr w:rsidR="008118EB" w:rsidRPr="00856B97" w14:paraId="5CFC6400" w14:textId="77777777" w:rsidTr="00453CE4">
        <w:trPr>
          <w:trHeight w:val="712"/>
          <w:jc w:val="center"/>
        </w:trPr>
        <w:tc>
          <w:tcPr>
            <w:tcW w:w="109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ABF9BB" w14:textId="77777777" w:rsidR="008118EB" w:rsidRPr="00856B97" w:rsidRDefault="008118EB" w:rsidP="00200C23">
            <w:pPr>
              <w:spacing w:after="0" w:line="240" w:lineRule="auto"/>
              <w:rPr>
                <w:rFonts w:ascii="Times New Roman" w:eastAsia="Calibri" w:hAnsi="Times New Roman"/>
                <w:color w:val="000000"/>
                <w:highlight w:val="yellow"/>
              </w:rPr>
            </w:pPr>
            <w:r w:rsidRPr="00856B97">
              <w:rPr>
                <w:rFonts w:ascii="Times New Roman" w:eastAsia="Calibri" w:hAnsi="Times New Roman"/>
                <w:color w:val="000000"/>
              </w:rPr>
              <w:t>Omówienie wpływu</w:t>
            </w:r>
          </w:p>
        </w:tc>
        <w:tc>
          <w:tcPr>
            <w:tcW w:w="3910" w:type="pct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59840D8" w14:textId="77777777" w:rsidR="008118EB" w:rsidRPr="00856B97" w:rsidRDefault="00200C23" w:rsidP="00B72D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Zwiększenie bezpieczeństwa zdrowotnego 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>osób przebywających w pomieszczenia</w:t>
            </w:r>
            <w:r w:rsidR="00E91E2B">
              <w:rPr>
                <w:rFonts w:ascii="Times New Roman" w:eastAsia="Calibri" w:hAnsi="Times New Roman"/>
                <w:color w:val="000000"/>
                <w:spacing w:val="-2"/>
              </w:rPr>
              <w:t>ch</w:t>
            </w:r>
            <w:r w:rsidR="00B72DC8">
              <w:rPr>
                <w:rFonts w:ascii="Times New Roman" w:eastAsia="Calibri" w:hAnsi="Times New Roman"/>
                <w:color w:val="000000"/>
                <w:spacing w:val="-2"/>
              </w:rPr>
              <w:t xml:space="preserve"> przeznaczonych na pobyt ludzi.</w:t>
            </w:r>
          </w:p>
        </w:tc>
      </w:tr>
      <w:tr w:rsidR="008118EB" w:rsidRPr="00856B97" w14:paraId="4E483D88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5995436B" w14:textId="77777777" w:rsidR="008118EB" w:rsidRPr="0048324B" w:rsidRDefault="008118EB" w:rsidP="0048324B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8324B">
              <w:rPr>
                <w:rFonts w:eastAsia="Calibri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8118EB" w:rsidRPr="00856B97" w14:paraId="33F65332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6D6632" w14:textId="77777777" w:rsidR="008118EB" w:rsidRPr="00856B97" w:rsidRDefault="008118EB" w:rsidP="00200C23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</w:rPr>
            </w:pPr>
            <w:r w:rsidRPr="00856B97">
              <w:rPr>
                <w:rFonts w:ascii="Times New Roman" w:eastAsia="Calibri" w:hAnsi="Times New Roman"/>
                <w:spacing w:val="-2"/>
              </w:rPr>
              <w:t xml:space="preserve">Planowane wykonanie przepisów projektowanego rozporządzenia nastąpi z dniem jego wejścia w życie. </w:t>
            </w:r>
          </w:p>
        </w:tc>
      </w:tr>
      <w:tr w:rsidR="008118EB" w:rsidRPr="00856B97" w14:paraId="0C4E8E1B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0BE28680" w14:textId="77777777" w:rsidR="008118EB" w:rsidRPr="0048324B" w:rsidRDefault="008118EB" w:rsidP="0048324B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8324B">
              <w:rPr>
                <w:rFonts w:eastAsia="Calibri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8118EB" w:rsidRPr="00856B97" w14:paraId="0874D2E6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AE5EBA" w14:textId="77777777" w:rsidR="008118EB" w:rsidRPr="00856B97" w:rsidRDefault="0048324B" w:rsidP="009C7BA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 xml:space="preserve">Ewaluacja projektu będzie prowadzona </w:t>
            </w:r>
            <w:r w:rsidR="0068043B">
              <w:rPr>
                <w:rFonts w:ascii="Times New Roman" w:eastAsia="Calibri" w:hAnsi="Times New Roman"/>
                <w:color w:val="000000"/>
                <w:spacing w:val="-2"/>
              </w:rPr>
              <w:t>w sytuacji pojawiania się nowych czynników szkodliwych dla zdrowia wydzielanych przez materiały budowlane, urządzenia i elementy wyposażenia w pomieszczeniach przeznaczonych na pobyt ludzi lub zmiany wartości określonych stężeń czynników szkodliwych.</w:t>
            </w:r>
            <w:r w:rsidR="0068043B" w:rsidDel="0068043B">
              <w:rPr>
                <w:rFonts w:ascii="Times New Roman" w:eastAsia="Calibri" w:hAnsi="Times New Roman"/>
                <w:color w:val="000000"/>
                <w:spacing w:val="-2"/>
              </w:rPr>
              <w:t xml:space="preserve"> </w:t>
            </w:r>
          </w:p>
        </w:tc>
      </w:tr>
      <w:tr w:rsidR="008118EB" w:rsidRPr="00856B97" w14:paraId="0EF06794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108" w:type="dxa"/>
            </w:tcMar>
          </w:tcPr>
          <w:p w14:paraId="04CB866B" w14:textId="77777777" w:rsidR="008118EB" w:rsidRPr="0048324B" w:rsidRDefault="008118EB" w:rsidP="0048324B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b/>
                <w:color w:val="000000"/>
                <w:spacing w:val="-2"/>
                <w:sz w:val="22"/>
                <w:szCs w:val="22"/>
              </w:rPr>
            </w:pPr>
            <w:r w:rsidRPr="0048324B">
              <w:rPr>
                <w:rFonts w:eastAsia="Calibri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48324B">
              <w:rPr>
                <w:rFonts w:eastAsia="Calibri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48324B">
              <w:rPr>
                <w:rFonts w:eastAsia="Calibri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8118EB" w:rsidRPr="00856B97" w14:paraId="345573CD" w14:textId="77777777" w:rsidTr="000165CD">
        <w:trPr>
          <w:trHeight w:val="142"/>
          <w:jc w:val="center"/>
        </w:trPr>
        <w:tc>
          <w:tcPr>
            <w:tcW w:w="5000" w:type="pct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C24ECA" w14:textId="7BF784F7" w:rsidR="008118EB" w:rsidRPr="00856B97" w:rsidRDefault="00B72DC8" w:rsidP="00200C2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</w:rPr>
              <w:t>Brak</w:t>
            </w:r>
            <w:r w:rsidR="009F2FC5">
              <w:rPr>
                <w:rFonts w:ascii="Times New Roman" w:eastAsia="Calibri" w:hAnsi="Times New Roman"/>
                <w:color w:val="000000"/>
                <w:spacing w:val="-2"/>
              </w:rPr>
              <w:t>.</w:t>
            </w:r>
          </w:p>
        </w:tc>
      </w:tr>
    </w:tbl>
    <w:p w14:paraId="4D483FD6" w14:textId="77777777" w:rsidR="00346406" w:rsidRPr="00856B97" w:rsidRDefault="00346406" w:rsidP="00812E3F">
      <w:pPr>
        <w:shd w:val="clear" w:color="auto" w:fill="FFFFFF"/>
        <w:spacing w:after="0" w:line="360" w:lineRule="auto"/>
        <w:ind w:left="142"/>
        <w:jc w:val="center"/>
        <w:rPr>
          <w:rFonts w:ascii="Times New Roman" w:hAnsi="Times New Roman"/>
        </w:rPr>
      </w:pPr>
    </w:p>
    <w:sectPr w:rsidR="00346406" w:rsidRPr="00856B97" w:rsidSect="00AA05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D6A" w16cex:dateUtc="2020-09-18T10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2D80" w14:textId="77777777" w:rsidR="0071014E" w:rsidRDefault="0071014E" w:rsidP="00737486">
      <w:pPr>
        <w:spacing w:after="0" w:line="240" w:lineRule="auto"/>
      </w:pPr>
      <w:r>
        <w:separator/>
      </w:r>
    </w:p>
  </w:endnote>
  <w:endnote w:type="continuationSeparator" w:id="0">
    <w:p w14:paraId="03D54C11" w14:textId="77777777" w:rsidR="0071014E" w:rsidRDefault="0071014E" w:rsidP="007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F94A" w14:textId="77777777" w:rsidR="0071014E" w:rsidRDefault="0071014E" w:rsidP="00737486">
      <w:pPr>
        <w:spacing w:after="0" w:line="240" w:lineRule="auto"/>
      </w:pPr>
      <w:r>
        <w:separator/>
      </w:r>
    </w:p>
  </w:footnote>
  <w:footnote w:type="continuationSeparator" w:id="0">
    <w:p w14:paraId="12BD868D" w14:textId="77777777" w:rsidR="0071014E" w:rsidRDefault="0071014E" w:rsidP="0073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2F3"/>
    <w:multiLevelType w:val="hybridMultilevel"/>
    <w:tmpl w:val="6B728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E631D"/>
    <w:multiLevelType w:val="hybridMultilevel"/>
    <w:tmpl w:val="4ADA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1F24"/>
    <w:multiLevelType w:val="multilevel"/>
    <w:tmpl w:val="CA62AE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21FB7"/>
    <w:multiLevelType w:val="multilevel"/>
    <w:tmpl w:val="7EE0E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AB6D31"/>
    <w:multiLevelType w:val="multilevel"/>
    <w:tmpl w:val="7EE0E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6E724D36"/>
    <w:multiLevelType w:val="multilevel"/>
    <w:tmpl w:val="AB44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5F"/>
    <w:rsid w:val="00004357"/>
    <w:rsid w:val="000051BD"/>
    <w:rsid w:val="00011180"/>
    <w:rsid w:val="000153B6"/>
    <w:rsid w:val="000165CD"/>
    <w:rsid w:val="00053499"/>
    <w:rsid w:val="00063322"/>
    <w:rsid w:val="00071A11"/>
    <w:rsid w:val="000743C9"/>
    <w:rsid w:val="00083458"/>
    <w:rsid w:val="000B5A6C"/>
    <w:rsid w:val="000C5770"/>
    <w:rsid w:val="000C7E82"/>
    <w:rsid w:val="00100C48"/>
    <w:rsid w:val="00121493"/>
    <w:rsid w:val="001354C6"/>
    <w:rsid w:val="00175617"/>
    <w:rsid w:val="001832B5"/>
    <w:rsid w:val="0018446E"/>
    <w:rsid w:val="001970F9"/>
    <w:rsid w:val="001B0E29"/>
    <w:rsid w:val="001B4B8D"/>
    <w:rsid w:val="001C74F3"/>
    <w:rsid w:val="00200C23"/>
    <w:rsid w:val="00205B99"/>
    <w:rsid w:val="002249D1"/>
    <w:rsid w:val="002308E0"/>
    <w:rsid w:val="002318DB"/>
    <w:rsid w:val="002411BB"/>
    <w:rsid w:val="00241339"/>
    <w:rsid w:val="0028592F"/>
    <w:rsid w:val="00290B05"/>
    <w:rsid w:val="002B2820"/>
    <w:rsid w:val="002C5AAE"/>
    <w:rsid w:val="002D06CF"/>
    <w:rsid w:val="002E09D0"/>
    <w:rsid w:val="0032009B"/>
    <w:rsid w:val="00326D3F"/>
    <w:rsid w:val="00335978"/>
    <w:rsid w:val="00346406"/>
    <w:rsid w:val="00354E1A"/>
    <w:rsid w:val="00387883"/>
    <w:rsid w:val="003A762D"/>
    <w:rsid w:val="003C0C91"/>
    <w:rsid w:val="003D46DA"/>
    <w:rsid w:val="003F410F"/>
    <w:rsid w:val="004057E0"/>
    <w:rsid w:val="0042252E"/>
    <w:rsid w:val="00452A8F"/>
    <w:rsid w:val="00453CE4"/>
    <w:rsid w:val="004662BE"/>
    <w:rsid w:val="00470DC0"/>
    <w:rsid w:val="0048324B"/>
    <w:rsid w:val="00485745"/>
    <w:rsid w:val="00493191"/>
    <w:rsid w:val="004A47D9"/>
    <w:rsid w:val="004B6D0A"/>
    <w:rsid w:val="004D10FD"/>
    <w:rsid w:val="004D3601"/>
    <w:rsid w:val="004D6EFE"/>
    <w:rsid w:val="004F34F4"/>
    <w:rsid w:val="00503318"/>
    <w:rsid w:val="00510271"/>
    <w:rsid w:val="00540108"/>
    <w:rsid w:val="005470DE"/>
    <w:rsid w:val="005607ED"/>
    <w:rsid w:val="005679A1"/>
    <w:rsid w:val="0059204A"/>
    <w:rsid w:val="005B3780"/>
    <w:rsid w:val="005D32C1"/>
    <w:rsid w:val="005F1367"/>
    <w:rsid w:val="0065424F"/>
    <w:rsid w:val="0068043B"/>
    <w:rsid w:val="0068282D"/>
    <w:rsid w:val="00686DA5"/>
    <w:rsid w:val="006A6830"/>
    <w:rsid w:val="006C2073"/>
    <w:rsid w:val="006C5A0C"/>
    <w:rsid w:val="006C74BA"/>
    <w:rsid w:val="006D5B56"/>
    <w:rsid w:val="006E0F0D"/>
    <w:rsid w:val="006E2B5E"/>
    <w:rsid w:val="006E4A59"/>
    <w:rsid w:val="006E5327"/>
    <w:rsid w:val="0071014E"/>
    <w:rsid w:val="0071726D"/>
    <w:rsid w:val="0073011A"/>
    <w:rsid w:val="00737486"/>
    <w:rsid w:val="00742ABC"/>
    <w:rsid w:val="0074509C"/>
    <w:rsid w:val="00792A41"/>
    <w:rsid w:val="0079460B"/>
    <w:rsid w:val="007975CD"/>
    <w:rsid w:val="007B3D12"/>
    <w:rsid w:val="007B4002"/>
    <w:rsid w:val="007C5E6A"/>
    <w:rsid w:val="007D64DC"/>
    <w:rsid w:val="007F1DB5"/>
    <w:rsid w:val="007F50E6"/>
    <w:rsid w:val="008079E1"/>
    <w:rsid w:val="008118EB"/>
    <w:rsid w:val="00812E3F"/>
    <w:rsid w:val="00817A1C"/>
    <w:rsid w:val="0083744C"/>
    <w:rsid w:val="00855CAF"/>
    <w:rsid w:val="00856611"/>
    <w:rsid w:val="00856B97"/>
    <w:rsid w:val="00887A21"/>
    <w:rsid w:val="008A1B13"/>
    <w:rsid w:val="00922028"/>
    <w:rsid w:val="009239D3"/>
    <w:rsid w:val="00952044"/>
    <w:rsid w:val="009647F6"/>
    <w:rsid w:val="00971CC2"/>
    <w:rsid w:val="0097665C"/>
    <w:rsid w:val="009834A2"/>
    <w:rsid w:val="00983EDB"/>
    <w:rsid w:val="009C0A96"/>
    <w:rsid w:val="009C7BA2"/>
    <w:rsid w:val="009E0B71"/>
    <w:rsid w:val="009F2FC5"/>
    <w:rsid w:val="00A00ED1"/>
    <w:rsid w:val="00A0340F"/>
    <w:rsid w:val="00A11D9C"/>
    <w:rsid w:val="00A2197A"/>
    <w:rsid w:val="00A25AEC"/>
    <w:rsid w:val="00A51C2C"/>
    <w:rsid w:val="00A72A52"/>
    <w:rsid w:val="00A76F36"/>
    <w:rsid w:val="00A952D9"/>
    <w:rsid w:val="00AA037E"/>
    <w:rsid w:val="00AA0509"/>
    <w:rsid w:val="00AC0448"/>
    <w:rsid w:val="00AC416F"/>
    <w:rsid w:val="00AF7C42"/>
    <w:rsid w:val="00B510EF"/>
    <w:rsid w:val="00B67620"/>
    <w:rsid w:val="00B72DC8"/>
    <w:rsid w:val="00B83AEF"/>
    <w:rsid w:val="00B83F55"/>
    <w:rsid w:val="00B9568D"/>
    <w:rsid w:val="00BB060E"/>
    <w:rsid w:val="00BB33CA"/>
    <w:rsid w:val="00BC7DA8"/>
    <w:rsid w:val="00C114C4"/>
    <w:rsid w:val="00C43926"/>
    <w:rsid w:val="00C4445B"/>
    <w:rsid w:val="00C51905"/>
    <w:rsid w:val="00C54C9E"/>
    <w:rsid w:val="00C67275"/>
    <w:rsid w:val="00C94F62"/>
    <w:rsid w:val="00CA7F59"/>
    <w:rsid w:val="00CE6F9E"/>
    <w:rsid w:val="00CE74CB"/>
    <w:rsid w:val="00D24B6C"/>
    <w:rsid w:val="00D26715"/>
    <w:rsid w:val="00D47B40"/>
    <w:rsid w:val="00D8242A"/>
    <w:rsid w:val="00D87DEC"/>
    <w:rsid w:val="00DC11BF"/>
    <w:rsid w:val="00DC2791"/>
    <w:rsid w:val="00DD269C"/>
    <w:rsid w:val="00E00AFA"/>
    <w:rsid w:val="00E027FB"/>
    <w:rsid w:val="00E12309"/>
    <w:rsid w:val="00E6049C"/>
    <w:rsid w:val="00E63C0C"/>
    <w:rsid w:val="00E63F3B"/>
    <w:rsid w:val="00E72D25"/>
    <w:rsid w:val="00E77CAB"/>
    <w:rsid w:val="00E91E2B"/>
    <w:rsid w:val="00EB72CB"/>
    <w:rsid w:val="00EC131A"/>
    <w:rsid w:val="00EE0358"/>
    <w:rsid w:val="00EE5A18"/>
    <w:rsid w:val="00EF5074"/>
    <w:rsid w:val="00F23B76"/>
    <w:rsid w:val="00F45069"/>
    <w:rsid w:val="00F53A5F"/>
    <w:rsid w:val="00F8084E"/>
    <w:rsid w:val="00F91CAF"/>
    <w:rsid w:val="00F960E3"/>
    <w:rsid w:val="00FA7D2C"/>
    <w:rsid w:val="00FB091A"/>
    <w:rsid w:val="00FB7F5F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99F"/>
  <w15:docId w15:val="{CF9405E1-BA83-4C48-9571-D2CF5A2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48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4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48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37486"/>
    <w:rPr>
      <w:vertAlign w:val="superscript"/>
    </w:rPr>
  </w:style>
  <w:style w:type="paragraph" w:customStyle="1" w:styleId="Default">
    <w:name w:val="Default"/>
    <w:rsid w:val="007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0B7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B7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zeinternetowe">
    <w:name w:val="Łącze internetowe"/>
    <w:uiPriority w:val="99"/>
    <w:unhideWhenUsed/>
    <w:rsid w:val="008118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118E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24B6C"/>
    <w:rPr>
      <w:rFonts w:ascii="Arial" w:eastAsia="Arial" w:hAnsi="Arial" w:cs="Arial"/>
    </w:rPr>
  </w:style>
  <w:style w:type="character" w:customStyle="1" w:styleId="Nagwek2">
    <w:name w:val="Nagłówek #2_"/>
    <w:basedOn w:val="Domylnaczcionkaakapitu"/>
    <w:link w:val="Nagwek20"/>
    <w:rsid w:val="00D24B6C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D24B6C"/>
    <w:pPr>
      <w:widowControl w:val="0"/>
      <w:spacing w:after="0" w:line="266" w:lineRule="auto"/>
      <w:ind w:firstLine="20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rsid w:val="00D24B6C"/>
    <w:pPr>
      <w:widowControl w:val="0"/>
      <w:spacing w:after="0" w:line="266" w:lineRule="auto"/>
      <w:ind w:firstLine="540"/>
      <w:outlineLvl w:val="1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D24B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7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7FB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F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153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hsr@gi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.2.26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1.2.26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B261-B624-457E-96F6-B6E86E1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achochol</dc:creator>
  <cp:lastModifiedBy>PR</cp:lastModifiedBy>
  <cp:revision>2</cp:revision>
  <cp:lastPrinted>2020-10-06T11:30:00Z</cp:lastPrinted>
  <dcterms:created xsi:type="dcterms:W3CDTF">2020-10-23T06:59:00Z</dcterms:created>
  <dcterms:modified xsi:type="dcterms:W3CDTF">2020-10-23T06:59:00Z</dcterms:modified>
</cp:coreProperties>
</file>