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46067" w14:textId="77777777" w:rsidR="0002305C" w:rsidRPr="00F36492" w:rsidRDefault="0002305C" w:rsidP="00F36492">
      <w:pPr>
        <w:rPr>
          <w:rFonts w:ascii="Times New Roman" w:hAnsi="Times New Roman"/>
        </w:rPr>
      </w:pPr>
    </w:p>
    <w:tbl>
      <w:tblPr>
        <w:tblW w:w="11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1"/>
        <w:gridCol w:w="565"/>
        <w:gridCol w:w="503"/>
        <w:gridCol w:w="236"/>
        <w:gridCol w:w="111"/>
        <w:gridCol w:w="517"/>
        <w:gridCol w:w="192"/>
        <w:gridCol w:w="709"/>
        <w:gridCol w:w="415"/>
        <w:gridCol w:w="294"/>
        <w:gridCol w:w="334"/>
        <w:gridCol w:w="374"/>
        <w:gridCol w:w="254"/>
        <w:gridCol w:w="455"/>
        <w:gridCol w:w="294"/>
        <w:gridCol w:w="415"/>
        <w:gridCol w:w="213"/>
        <w:gridCol w:w="496"/>
        <w:gridCol w:w="680"/>
        <w:gridCol w:w="19"/>
        <w:gridCol w:w="689"/>
        <w:gridCol w:w="171"/>
        <w:gridCol w:w="538"/>
        <w:gridCol w:w="1005"/>
        <w:gridCol w:w="10"/>
      </w:tblGrid>
      <w:tr w:rsidR="0002305C" w:rsidRPr="00F36492" w14:paraId="52946076" w14:textId="77777777" w:rsidTr="1D9DC3A4">
        <w:trPr>
          <w:gridAfter w:val="1"/>
          <w:wAfter w:w="10" w:type="dxa"/>
          <w:trHeight w:val="1611"/>
        </w:trPr>
        <w:tc>
          <w:tcPr>
            <w:tcW w:w="6095" w:type="dxa"/>
            <w:gridSpan w:val="13"/>
          </w:tcPr>
          <w:p w14:paraId="52946068" w14:textId="77777777" w:rsidR="0002305C" w:rsidRPr="00F36492" w:rsidRDefault="0002305C" w:rsidP="00F36492">
            <w:pPr>
              <w:spacing w:line="240" w:lineRule="auto"/>
              <w:jc w:val="both"/>
              <w:rPr>
                <w:rFonts w:ascii="Times New Roman" w:hAnsi="Times New Roman"/>
              </w:rPr>
            </w:pPr>
            <w:bookmarkStart w:id="0" w:name="t1"/>
            <w:r w:rsidRPr="00F36492">
              <w:rPr>
                <w:rFonts w:ascii="Times New Roman" w:hAnsi="Times New Roman"/>
                <w:b/>
              </w:rPr>
              <w:t>Nazwa projektu</w:t>
            </w:r>
          </w:p>
          <w:p w14:paraId="76F64CB2" w14:textId="2DBFE363" w:rsidR="00F36492" w:rsidRDefault="00AC788F" w:rsidP="00F36492">
            <w:pPr>
              <w:spacing w:line="240" w:lineRule="auto"/>
              <w:jc w:val="both"/>
              <w:rPr>
                <w:rFonts w:ascii="Times New Roman" w:hAnsi="Times New Roman"/>
              </w:rPr>
            </w:pPr>
            <w:r w:rsidRPr="00F36492">
              <w:rPr>
                <w:rFonts w:ascii="Times New Roman" w:hAnsi="Times New Roman"/>
              </w:rPr>
              <w:t xml:space="preserve">Projekt ustawy o zmianie </w:t>
            </w:r>
            <w:r w:rsidR="009A1AE1" w:rsidRPr="00F36492">
              <w:rPr>
                <w:rFonts w:ascii="Times New Roman" w:hAnsi="Times New Roman"/>
              </w:rPr>
              <w:t xml:space="preserve">ustawy o podatku od towarów i usług oraz niektórych innych ustaw. </w:t>
            </w:r>
            <w:r w:rsidR="00171AC3">
              <w:rPr>
                <w:rFonts w:ascii="Times New Roman" w:hAnsi="Times New Roman"/>
              </w:rPr>
              <w:t xml:space="preserve"> </w:t>
            </w:r>
          </w:p>
          <w:p w14:paraId="253868F1" w14:textId="77777777" w:rsidR="0020675E" w:rsidRDefault="0020675E" w:rsidP="00F36492">
            <w:pPr>
              <w:spacing w:line="240" w:lineRule="auto"/>
              <w:jc w:val="both"/>
              <w:rPr>
                <w:rFonts w:ascii="Times New Roman" w:hAnsi="Times New Roman"/>
              </w:rPr>
            </w:pPr>
          </w:p>
          <w:p w14:paraId="52946069" w14:textId="61E938FB" w:rsidR="0002305C" w:rsidRPr="00F36492" w:rsidRDefault="0002305C" w:rsidP="00F36492">
            <w:pPr>
              <w:spacing w:line="240" w:lineRule="auto"/>
              <w:jc w:val="both"/>
              <w:rPr>
                <w:rFonts w:ascii="Times New Roman" w:hAnsi="Times New Roman"/>
                <w:b/>
              </w:rPr>
            </w:pPr>
            <w:r w:rsidRPr="00F36492">
              <w:rPr>
                <w:rFonts w:ascii="Times New Roman" w:hAnsi="Times New Roman"/>
                <w:b/>
              </w:rPr>
              <w:t>Ministerstwo wiodące i ministerstwa współpracujące</w:t>
            </w:r>
          </w:p>
          <w:bookmarkEnd w:id="0"/>
          <w:p w14:paraId="5294606A" w14:textId="77777777" w:rsidR="00AC788F" w:rsidRDefault="00AC788F" w:rsidP="00F36492">
            <w:pPr>
              <w:spacing w:line="240" w:lineRule="auto"/>
              <w:jc w:val="both"/>
              <w:rPr>
                <w:rFonts w:ascii="Times New Roman" w:hAnsi="Times New Roman"/>
              </w:rPr>
            </w:pPr>
            <w:r w:rsidRPr="00F36492">
              <w:rPr>
                <w:rFonts w:ascii="Times New Roman" w:hAnsi="Times New Roman"/>
              </w:rPr>
              <w:t>Ministerstwo Finansów</w:t>
            </w:r>
          </w:p>
          <w:p w14:paraId="1560124A" w14:textId="77777777" w:rsidR="0020675E" w:rsidRPr="00F36492" w:rsidRDefault="0020675E" w:rsidP="00F36492">
            <w:pPr>
              <w:spacing w:line="240" w:lineRule="auto"/>
              <w:jc w:val="both"/>
              <w:rPr>
                <w:rFonts w:ascii="Times New Roman" w:hAnsi="Times New Roman"/>
              </w:rPr>
            </w:pPr>
          </w:p>
          <w:p w14:paraId="5294606B" w14:textId="77777777" w:rsidR="0002305C" w:rsidRPr="00F36492" w:rsidRDefault="0002305C" w:rsidP="00F36492">
            <w:pPr>
              <w:spacing w:line="240" w:lineRule="auto"/>
              <w:jc w:val="both"/>
              <w:rPr>
                <w:rFonts w:ascii="Times New Roman" w:hAnsi="Times New Roman"/>
                <w:b/>
              </w:rPr>
            </w:pPr>
            <w:r w:rsidRPr="00F36492">
              <w:rPr>
                <w:rFonts w:ascii="Times New Roman" w:hAnsi="Times New Roman"/>
                <w:b/>
              </w:rPr>
              <w:t xml:space="preserve">Osoba odpowiedzialna za projekt w randze Ministra, Sekretarza Stanu lub Podsekretarza Stanu </w:t>
            </w:r>
          </w:p>
          <w:p w14:paraId="1364A533" w14:textId="2EDFDDD5" w:rsidR="007F35C9" w:rsidRDefault="00AC788F" w:rsidP="00F36492">
            <w:pPr>
              <w:spacing w:line="240" w:lineRule="auto"/>
              <w:jc w:val="both"/>
              <w:rPr>
                <w:rFonts w:ascii="Times New Roman" w:hAnsi="Times New Roman"/>
              </w:rPr>
            </w:pPr>
            <w:r w:rsidRPr="00F36492">
              <w:rPr>
                <w:rFonts w:ascii="Times New Roman" w:hAnsi="Times New Roman"/>
              </w:rPr>
              <w:t>Jan Sarnowski Podsekretarz Stanu w Ministerstwie Finansów</w:t>
            </w:r>
          </w:p>
          <w:p w14:paraId="7EC17C1E" w14:textId="77777777" w:rsidR="0020675E" w:rsidRPr="00F36492" w:rsidRDefault="0020675E" w:rsidP="00F36492">
            <w:pPr>
              <w:spacing w:line="240" w:lineRule="auto"/>
              <w:jc w:val="both"/>
              <w:rPr>
                <w:rFonts w:ascii="Times New Roman" w:hAnsi="Times New Roman"/>
              </w:rPr>
            </w:pPr>
          </w:p>
          <w:p w14:paraId="5294606C" w14:textId="17226195" w:rsidR="0002305C" w:rsidRPr="00F36492" w:rsidRDefault="0002305C" w:rsidP="00F36492">
            <w:pPr>
              <w:spacing w:line="240" w:lineRule="auto"/>
              <w:jc w:val="both"/>
              <w:rPr>
                <w:rFonts w:ascii="Times New Roman" w:hAnsi="Times New Roman"/>
                <w:b/>
              </w:rPr>
            </w:pPr>
            <w:r w:rsidRPr="00F36492">
              <w:rPr>
                <w:rFonts w:ascii="Times New Roman" w:hAnsi="Times New Roman"/>
                <w:b/>
              </w:rPr>
              <w:t>Kontakt do opiekuna merytorycznego projektu</w:t>
            </w:r>
          </w:p>
          <w:p w14:paraId="5CDE9214" w14:textId="77777777" w:rsidR="00167283" w:rsidRPr="00F36492" w:rsidRDefault="00AC788F" w:rsidP="00F36492">
            <w:pPr>
              <w:spacing w:line="240" w:lineRule="auto"/>
              <w:jc w:val="both"/>
              <w:rPr>
                <w:rFonts w:ascii="Times New Roman" w:hAnsi="Times New Roman"/>
              </w:rPr>
            </w:pPr>
            <w:r w:rsidRPr="00F36492">
              <w:rPr>
                <w:rFonts w:ascii="Times New Roman" w:hAnsi="Times New Roman"/>
              </w:rPr>
              <w:t>Bartłomiej Kołodziej</w:t>
            </w:r>
            <w:r w:rsidR="0002305C" w:rsidRPr="00F36492">
              <w:rPr>
                <w:rFonts w:ascii="Times New Roman" w:hAnsi="Times New Roman"/>
              </w:rPr>
              <w:t xml:space="preserve"> </w:t>
            </w:r>
          </w:p>
          <w:p w14:paraId="4507B00F" w14:textId="6196FFCD" w:rsidR="00167283" w:rsidRPr="00F36492" w:rsidRDefault="0002305C" w:rsidP="00F36492">
            <w:pPr>
              <w:spacing w:line="240" w:lineRule="auto"/>
              <w:jc w:val="both"/>
              <w:rPr>
                <w:rFonts w:ascii="Times New Roman" w:hAnsi="Times New Roman"/>
              </w:rPr>
            </w:pPr>
            <w:r w:rsidRPr="00F36492">
              <w:rPr>
                <w:rFonts w:ascii="Times New Roman" w:hAnsi="Times New Roman"/>
              </w:rPr>
              <w:t xml:space="preserve">Zastępca Dyrektora Departamentu Podatku od Towarów i Usług, </w:t>
            </w:r>
          </w:p>
          <w:p w14:paraId="1829B22B" w14:textId="52FA06AA" w:rsidR="00167283" w:rsidRPr="00F36492" w:rsidRDefault="0002305C" w:rsidP="00F36492">
            <w:pPr>
              <w:spacing w:line="240" w:lineRule="auto"/>
              <w:jc w:val="both"/>
              <w:rPr>
                <w:rFonts w:ascii="Times New Roman" w:hAnsi="Times New Roman"/>
                <w:lang w:val="en-GB"/>
              </w:rPr>
            </w:pPr>
            <w:r w:rsidRPr="00F36492">
              <w:rPr>
                <w:rFonts w:ascii="Times New Roman" w:hAnsi="Times New Roman"/>
                <w:lang w:val="en-GB"/>
              </w:rPr>
              <w:t xml:space="preserve">tel. 22 694-36-21, </w:t>
            </w:r>
          </w:p>
          <w:p w14:paraId="5294606D" w14:textId="7E8678F8" w:rsidR="0002305C" w:rsidRPr="00F36492" w:rsidRDefault="0002305C" w:rsidP="00F36492">
            <w:pPr>
              <w:spacing w:line="240" w:lineRule="auto"/>
              <w:jc w:val="both"/>
              <w:rPr>
                <w:rFonts w:ascii="Times New Roman" w:hAnsi="Times New Roman"/>
                <w:lang w:val="en-GB"/>
              </w:rPr>
            </w:pPr>
            <w:r w:rsidRPr="00F36492">
              <w:rPr>
                <w:rFonts w:ascii="Times New Roman" w:hAnsi="Times New Roman"/>
                <w:lang w:val="en-GB"/>
              </w:rPr>
              <w:t xml:space="preserve">email: </w:t>
            </w:r>
            <w:hyperlink r:id="rId11" w:history="1">
              <w:r w:rsidR="00CC3DDA" w:rsidRPr="00F36492">
                <w:rPr>
                  <w:rStyle w:val="Hipercze"/>
                  <w:rFonts w:ascii="Times New Roman" w:hAnsi="Times New Roman"/>
                  <w:lang w:val="en-GB"/>
                </w:rPr>
                <w:t>bartlomiej.kolodziej@mf.gov.pl</w:t>
              </w:r>
            </w:hyperlink>
          </w:p>
          <w:p w14:paraId="5294606E" w14:textId="77777777" w:rsidR="0002305C" w:rsidRPr="00F36492" w:rsidRDefault="0002305C" w:rsidP="00F36492">
            <w:pPr>
              <w:spacing w:line="240" w:lineRule="auto"/>
              <w:jc w:val="both"/>
              <w:rPr>
                <w:rFonts w:ascii="Times New Roman" w:hAnsi="Times New Roman"/>
                <w:lang w:val="en-GB"/>
              </w:rPr>
            </w:pPr>
          </w:p>
        </w:tc>
        <w:tc>
          <w:tcPr>
            <w:tcW w:w="4975" w:type="dxa"/>
            <w:gridSpan w:val="11"/>
            <w:shd w:val="clear" w:color="auto" w:fill="FFFFFF"/>
          </w:tcPr>
          <w:p w14:paraId="5294606F" w14:textId="43EA3831" w:rsidR="0002305C" w:rsidRPr="00F36492" w:rsidRDefault="0002305C" w:rsidP="00F36492">
            <w:pPr>
              <w:spacing w:line="240" w:lineRule="auto"/>
              <w:jc w:val="both"/>
              <w:rPr>
                <w:rFonts w:ascii="Times New Roman" w:hAnsi="Times New Roman"/>
                <w:b/>
              </w:rPr>
            </w:pPr>
            <w:r w:rsidRPr="00F36492">
              <w:rPr>
                <w:rFonts w:ascii="Times New Roman" w:hAnsi="Times New Roman"/>
                <w:b/>
              </w:rPr>
              <w:t>Data sporządzenia</w:t>
            </w:r>
            <w:r w:rsidR="008E2B61">
              <w:rPr>
                <w:rFonts w:ascii="Times New Roman" w:hAnsi="Times New Roman"/>
                <w:b/>
              </w:rPr>
              <w:t xml:space="preserve"> </w:t>
            </w:r>
            <w:r w:rsidR="00D01D36">
              <w:rPr>
                <w:rFonts w:ascii="Times New Roman" w:hAnsi="Times New Roman"/>
              </w:rPr>
              <w:t>22</w:t>
            </w:r>
            <w:r w:rsidR="00167283" w:rsidRPr="00F36492">
              <w:rPr>
                <w:rFonts w:ascii="Times New Roman" w:hAnsi="Times New Roman"/>
              </w:rPr>
              <w:t>.</w:t>
            </w:r>
            <w:r w:rsidR="003E64C5">
              <w:rPr>
                <w:rFonts w:ascii="Times New Roman" w:hAnsi="Times New Roman"/>
              </w:rPr>
              <w:t>10</w:t>
            </w:r>
            <w:r w:rsidR="00AC788F" w:rsidRPr="00F36492">
              <w:rPr>
                <w:rFonts w:ascii="Times New Roman" w:hAnsi="Times New Roman"/>
              </w:rPr>
              <w:t>.2020</w:t>
            </w:r>
            <w:r w:rsidR="00167283" w:rsidRPr="00F36492">
              <w:rPr>
                <w:rFonts w:ascii="Times New Roman" w:hAnsi="Times New Roman"/>
              </w:rPr>
              <w:t xml:space="preserve"> r.</w:t>
            </w:r>
          </w:p>
          <w:p w14:paraId="52946070" w14:textId="77777777" w:rsidR="0002305C" w:rsidRPr="00F36492" w:rsidRDefault="0002305C" w:rsidP="00F36492">
            <w:pPr>
              <w:spacing w:line="240" w:lineRule="auto"/>
              <w:jc w:val="both"/>
              <w:rPr>
                <w:rFonts w:ascii="Times New Roman" w:hAnsi="Times New Roman"/>
                <w:b/>
              </w:rPr>
            </w:pPr>
          </w:p>
          <w:p w14:paraId="52946071" w14:textId="77777777" w:rsidR="0002305C" w:rsidRDefault="0002305C" w:rsidP="00F36492">
            <w:pPr>
              <w:spacing w:line="240" w:lineRule="auto"/>
              <w:jc w:val="both"/>
              <w:rPr>
                <w:rFonts w:ascii="Times New Roman" w:hAnsi="Times New Roman"/>
                <w:b/>
              </w:rPr>
            </w:pPr>
            <w:r w:rsidRPr="00F36492">
              <w:rPr>
                <w:rFonts w:ascii="Times New Roman" w:hAnsi="Times New Roman"/>
                <w:b/>
              </w:rPr>
              <w:t xml:space="preserve">Źródło: </w:t>
            </w:r>
            <w:bookmarkStart w:id="1" w:name="Lista1"/>
          </w:p>
          <w:p w14:paraId="7EFD8FDA" w14:textId="77777777" w:rsidR="00DD63BE" w:rsidRPr="00F36492" w:rsidRDefault="00DD63BE" w:rsidP="00F36492">
            <w:pPr>
              <w:spacing w:line="240" w:lineRule="auto"/>
              <w:jc w:val="both"/>
              <w:rPr>
                <w:rFonts w:ascii="Times New Roman" w:hAnsi="Times New Roman"/>
                <w:b/>
              </w:rPr>
            </w:pPr>
          </w:p>
          <w:bookmarkEnd w:id="1"/>
          <w:p w14:paraId="2CA408C8" w14:textId="77777777" w:rsidR="002C7126" w:rsidRPr="00F36492" w:rsidRDefault="0002305C" w:rsidP="00F36492">
            <w:pPr>
              <w:pStyle w:val="Akapitzlist"/>
              <w:spacing w:line="240" w:lineRule="auto"/>
              <w:ind w:left="0"/>
              <w:jc w:val="both"/>
              <w:rPr>
                <w:rFonts w:ascii="Times New Roman" w:eastAsia="Cambria" w:hAnsi="Times New Roman"/>
              </w:rPr>
            </w:pPr>
            <w:r w:rsidRPr="00F36492">
              <w:rPr>
                <w:rFonts w:ascii="Times New Roman" w:hAnsi="Times New Roman"/>
              </w:rPr>
              <w:t>Prawo UE</w:t>
            </w:r>
            <w:r w:rsidR="002C7126" w:rsidRPr="00F36492">
              <w:rPr>
                <w:rFonts w:ascii="Times New Roman" w:hAnsi="Times New Roman"/>
              </w:rPr>
              <w:t>:</w:t>
            </w:r>
          </w:p>
          <w:p w14:paraId="11B61EAA" w14:textId="2BF1AF1C" w:rsidR="002C7126" w:rsidRPr="00F36492" w:rsidRDefault="002C7126" w:rsidP="00F36492">
            <w:pPr>
              <w:pStyle w:val="Akapitzlist"/>
              <w:numPr>
                <w:ilvl w:val="0"/>
                <w:numId w:val="21"/>
              </w:numPr>
              <w:spacing w:line="240" w:lineRule="auto"/>
              <w:ind w:left="0" w:firstLine="0"/>
              <w:jc w:val="both"/>
              <w:rPr>
                <w:rFonts w:ascii="Times New Roman" w:eastAsia="Cambria" w:hAnsi="Times New Roman"/>
              </w:rPr>
            </w:pPr>
            <w:r w:rsidRPr="00F36492">
              <w:rPr>
                <w:rFonts w:ascii="Times New Roman" w:eastAsia="Cambria" w:hAnsi="Times New Roman"/>
              </w:rPr>
              <w:t>dyrektywa Rady (UE) 2017/2455 zmieniająca dyrektywę 2006/112/WE w odniesieniu do niektórych obowiązków wynikających z podatku od wartości dodanej w przypadku świadczenia usług i sprzedaży towarów na odległość oraz</w:t>
            </w:r>
          </w:p>
          <w:p w14:paraId="3EB9F1E2" w14:textId="5A7B8AAA" w:rsidR="002C7126" w:rsidRPr="00F36492" w:rsidRDefault="002C7126" w:rsidP="00F36492">
            <w:pPr>
              <w:pStyle w:val="Akapitzlist"/>
              <w:numPr>
                <w:ilvl w:val="0"/>
                <w:numId w:val="21"/>
              </w:numPr>
              <w:spacing w:line="240" w:lineRule="auto"/>
              <w:ind w:left="0" w:firstLine="0"/>
              <w:jc w:val="both"/>
              <w:rPr>
                <w:rFonts w:ascii="Times New Roman" w:eastAsia="Cambria" w:hAnsi="Times New Roman"/>
              </w:rPr>
            </w:pPr>
            <w:r w:rsidRPr="00F36492">
              <w:rPr>
                <w:rFonts w:ascii="Times New Roman" w:hAnsi="Times New Roman"/>
              </w:rPr>
              <w:t>dyrektyw</w:t>
            </w:r>
            <w:r w:rsidR="00CC3DDA" w:rsidRPr="00F36492">
              <w:rPr>
                <w:rFonts w:ascii="Times New Roman" w:hAnsi="Times New Roman"/>
              </w:rPr>
              <w:t>a</w:t>
            </w:r>
            <w:r w:rsidRPr="00F36492">
              <w:rPr>
                <w:rFonts w:ascii="Times New Roman" w:hAnsi="Times New Roman"/>
              </w:rPr>
              <w:t xml:space="preserve"> Rady</w:t>
            </w:r>
            <w:r w:rsidR="00CC3DDA" w:rsidRPr="00F36492">
              <w:rPr>
                <w:rFonts w:ascii="Times New Roman" w:hAnsi="Times New Roman"/>
              </w:rPr>
              <w:t xml:space="preserve"> (UE) </w:t>
            </w:r>
            <w:r w:rsidRPr="00F36492">
              <w:rPr>
                <w:rFonts w:ascii="Times New Roman" w:hAnsi="Times New Roman"/>
              </w:rPr>
              <w:t>2019/1995 zmieniającą dyrektywę 2006/112/WE w odniesieniu do przepisów dotyczących sprzedaży towarów na odległość oraz niektórych krajowych dostaw towarów.</w:t>
            </w:r>
          </w:p>
          <w:p w14:paraId="52946073" w14:textId="77777777" w:rsidR="0002305C" w:rsidRPr="00F36492" w:rsidRDefault="0002305C" w:rsidP="00F36492">
            <w:pPr>
              <w:spacing w:line="240" w:lineRule="auto"/>
              <w:jc w:val="both"/>
              <w:rPr>
                <w:rFonts w:ascii="Times New Roman" w:hAnsi="Times New Roman"/>
              </w:rPr>
            </w:pPr>
          </w:p>
          <w:p w14:paraId="21E7CE30" w14:textId="77777777" w:rsidR="002C7126" w:rsidRPr="00F36492" w:rsidRDefault="002C7126" w:rsidP="00F36492">
            <w:pPr>
              <w:spacing w:line="240" w:lineRule="auto"/>
              <w:jc w:val="both"/>
              <w:rPr>
                <w:rFonts w:ascii="Times New Roman" w:hAnsi="Times New Roman"/>
              </w:rPr>
            </w:pPr>
          </w:p>
          <w:p w14:paraId="52946074" w14:textId="48E95AE1" w:rsidR="0002305C" w:rsidRPr="00F36492" w:rsidRDefault="0002305C" w:rsidP="00F36492">
            <w:pPr>
              <w:spacing w:line="240" w:lineRule="auto"/>
              <w:jc w:val="both"/>
              <w:rPr>
                <w:rFonts w:ascii="Times New Roman" w:hAnsi="Times New Roman"/>
              </w:rPr>
            </w:pPr>
            <w:r w:rsidRPr="00F36492">
              <w:rPr>
                <w:rFonts w:ascii="Times New Roman" w:hAnsi="Times New Roman"/>
                <w:b/>
              </w:rPr>
              <w:t>Nr w wykazie prac UC-</w:t>
            </w:r>
            <w:r w:rsidR="00AC788F" w:rsidRPr="00F36492">
              <w:rPr>
                <w:rFonts w:ascii="Times New Roman" w:hAnsi="Times New Roman"/>
                <w:b/>
              </w:rPr>
              <w:t>…</w:t>
            </w:r>
            <w:bookmarkStart w:id="2" w:name="_GoBack"/>
            <w:bookmarkEnd w:id="2"/>
          </w:p>
          <w:p w14:paraId="52946075" w14:textId="77777777" w:rsidR="0002305C" w:rsidRPr="00F36492" w:rsidRDefault="0002305C" w:rsidP="00F36492">
            <w:pPr>
              <w:spacing w:line="240" w:lineRule="auto"/>
              <w:jc w:val="both"/>
              <w:rPr>
                <w:rFonts w:ascii="Times New Roman" w:hAnsi="Times New Roman"/>
              </w:rPr>
            </w:pPr>
          </w:p>
        </w:tc>
      </w:tr>
      <w:tr w:rsidR="0002305C" w:rsidRPr="00F36492" w14:paraId="52946078" w14:textId="77777777" w:rsidTr="1D9DC3A4">
        <w:trPr>
          <w:gridAfter w:val="1"/>
          <w:wAfter w:w="10" w:type="dxa"/>
          <w:trHeight w:val="142"/>
        </w:trPr>
        <w:tc>
          <w:tcPr>
            <w:tcW w:w="11070" w:type="dxa"/>
            <w:gridSpan w:val="24"/>
            <w:shd w:val="clear" w:color="auto" w:fill="99CCFF"/>
          </w:tcPr>
          <w:p w14:paraId="52946077" w14:textId="7E814EAE" w:rsidR="0002305C" w:rsidRPr="00F36492" w:rsidRDefault="0002305C" w:rsidP="00F36492">
            <w:pPr>
              <w:spacing w:line="240" w:lineRule="auto"/>
              <w:jc w:val="both"/>
              <w:rPr>
                <w:rFonts w:ascii="Times New Roman" w:hAnsi="Times New Roman"/>
                <w:b/>
              </w:rPr>
            </w:pPr>
            <w:r w:rsidRPr="00F36492">
              <w:rPr>
                <w:rFonts w:ascii="Times New Roman" w:hAnsi="Times New Roman"/>
                <w:b/>
              </w:rPr>
              <w:t>OCENA SKUTKÓW REGULACJI</w:t>
            </w:r>
          </w:p>
        </w:tc>
      </w:tr>
      <w:tr w:rsidR="0002305C" w:rsidRPr="00F36492" w14:paraId="5294607A" w14:textId="77777777" w:rsidTr="1D9DC3A4">
        <w:trPr>
          <w:gridAfter w:val="1"/>
          <w:wAfter w:w="10" w:type="dxa"/>
          <w:trHeight w:val="333"/>
        </w:trPr>
        <w:tc>
          <w:tcPr>
            <w:tcW w:w="11070" w:type="dxa"/>
            <w:gridSpan w:val="24"/>
            <w:shd w:val="clear" w:color="auto" w:fill="99CCFF"/>
            <w:vAlign w:val="center"/>
          </w:tcPr>
          <w:p w14:paraId="52946079" w14:textId="77777777" w:rsidR="0002305C" w:rsidRPr="00F36492" w:rsidRDefault="0002305C" w:rsidP="00F36492">
            <w:pPr>
              <w:numPr>
                <w:ilvl w:val="0"/>
                <w:numId w:val="12"/>
              </w:numPr>
              <w:spacing w:line="240" w:lineRule="auto"/>
              <w:ind w:left="0" w:firstLine="0"/>
              <w:jc w:val="both"/>
              <w:rPr>
                <w:rFonts w:ascii="Times New Roman" w:hAnsi="Times New Roman"/>
                <w:b/>
              </w:rPr>
            </w:pPr>
            <w:r w:rsidRPr="00F36492">
              <w:rPr>
                <w:rFonts w:ascii="Times New Roman" w:hAnsi="Times New Roman"/>
                <w:b/>
              </w:rPr>
              <w:t>Jaki problem jest rozwiązywany?</w:t>
            </w:r>
            <w:bookmarkStart w:id="3" w:name="Wybór1"/>
            <w:bookmarkEnd w:id="3"/>
          </w:p>
        </w:tc>
      </w:tr>
      <w:tr w:rsidR="0002305C" w:rsidRPr="00F36492" w14:paraId="52946080" w14:textId="77777777" w:rsidTr="1D9DC3A4">
        <w:trPr>
          <w:gridAfter w:val="1"/>
          <w:wAfter w:w="10" w:type="dxa"/>
          <w:trHeight w:val="142"/>
        </w:trPr>
        <w:tc>
          <w:tcPr>
            <w:tcW w:w="11070" w:type="dxa"/>
            <w:gridSpan w:val="24"/>
            <w:shd w:val="clear" w:color="auto" w:fill="FFFFFF"/>
          </w:tcPr>
          <w:p w14:paraId="48D4A04E" w14:textId="6246CC73" w:rsidR="002A4CB5" w:rsidRPr="00B35FE4" w:rsidRDefault="0002305C" w:rsidP="00B35FE4">
            <w:pPr>
              <w:spacing w:before="120" w:line="240" w:lineRule="auto"/>
              <w:jc w:val="both"/>
              <w:rPr>
                <w:rFonts w:ascii="Times New Roman" w:hAnsi="Times New Roman"/>
              </w:rPr>
            </w:pPr>
            <w:r w:rsidRPr="00B35FE4">
              <w:rPr>
                <w:rFonts w:ascii="Times New Roman" w:hAnsi="Times New Roman"/>
              </w:rPr>
              <w:t xml:space="preserve">Konieczność zmiany ustawy z dnia 11 marca 2004 r. o podatku od towarów i usług (Dz. U. z </w:t>
            </w:r>
            <w:r w:rsidR="002A4CB5" w:rsidRPr="00B35FE4">
              <w:rPr>
                <w:rFonts w:ascii="Times New Roman" w:hAnsi="Times New Roman"/>
              </w:rPr>
              <w:t>2020</w:t>
            </w:r>
            <w:r w:rsidRPr="00B35FE4">
              <w:rPr>
                <w:rFonts w:ascii="Times New Roman" w:hAnsi="Times New Roman"/>
              </w:rPr>
              <w:t xml:space="preserve"> r. poz. </w:t>
            </w:r>
            <w:r w:rsidR="002A4CB5" w:rsidRPr="00276485">
              <w:rPr>
                <w:rFonts w:ascii="Times New Roman" w:hAnsi="Times New Roman"/>
              </w:rPr>
              <w:t>106</w:t>
            </w:r>
            <w:r w:rsidR="00B35FE4" w:rsidRPr="00276485">
              <w:rPr>
                <w:rFonts w:ascii="Times New Roman" w:hAnsi="Times New Roman"/>
              </w:rPr>
              <w:t>, 568</w:t>
            </w:r>
            <w:r w:rsidR="00276485" w:rsidRPr="00276485">
              <w:rPr>
                <w:rFonts w:ascii="Times New Roman" w:hAnsi="Times New Roman"/>
              </w:rPr>
              <w:t>, 1065 i 1106</w:t>
            </w:r>
            <w:r w:rsidRPr="00276485">
              <w:rPr>
                <w:rFonts w:ascii="Times New Roman" w:hAnsi="Times New Roman"/>
              </w:rPr>
              <w:t>),</w:t>
            </w:r>
            <w:r w:rsidRPr="00B35FE4">
              <w:rPr>
                <w:rFonts w:ascii="Times New Roman" w:hAnsi="Times New Roman"/>
              </w:rPr>
              <w:t xml:space="preserve"> dalej „ustawa o VAT”, </w:t>
            </w:r>
            <w:r w:rsidR="00B35FE4">
              <w:rPr>
                <w:rFonts w:ascii="Times New Roman" w:hAnsi="Times New Roman"/>
              </w:rPr>
              <w:t>wynika z</w:t>
            </w:r>
            <w:r w:rsidR="00B35FE4" w:rsidRPr="00886C2F">
              <w:rPr>
                <w:rFonts w:ascii="Times New Roman" w:hAnsi="Times New Roman"/>
              </w:rPr>
              <w:t xml:space="preserve"> obowiązku implementacji </w:t>
            </w:r>
            <w:r w:rsidRPr="00B35FE4">
              <w:rPr>
                <w:rFonts w:ascii="Times New Roman" w:hAnsi="Times New Roman"/>
              </w:rPr>
              <w:t>do polskiego porządku prawnego przepisów unijnych dotyczących</w:t>
            </w:r>
            <w:r w:rsidR="002C7126" w:rsidRPr="00B35FE4">
              <w:rPr>
                <w:rFonts w:ascii="Times New Roman" w:hAnsi="Times New Roman"/>
              </w:rPr>
              <w:t xml:space="preserve"> tzw. Pakietu VAT e-commerce</w:t>
            </w:r>
            <w:r w:rsidR="00A36053" w:rsidRPr="00B35FE4">
              <w:rPr>
                <w:rFonts w:ascii="Times New Roman" w:hAnsi="Times New Roman"/>
              </w:rPr>
              <w:t>.</w:t>
            </w:r>
          </w:p>
          <w:p w14:paraId="6500F707" w14:textId="3356FFC8" w:rsidR="002A4CB5" w:rsidRPr="00F36492" w:rsidRDefault="002A4CB5" w:rsidP="00F36492">
            <w:pPr>
              <w:spacing w:line="240" w:lineRule="auto"/>
              <w:jc w:val="both"/>
              <w:rPr>
                <w:rFonts w:ascii="Times New Roman" w:hAnsi="Times New Roman"/>
              </w:rPr>
            </w:pPr>
            <w:r w:rsidRPr="00F36492">
              <w:rPr>
                <w:rFonts w:ascii="Times New Roman" w:hAnsi="Times New Roman"/>
              </w:rPr>
              <w:t>Państwa Członkowskie UE, w tym Polska, zobowiązane są do zaimplementowania w krajowych przepisach podatkowych rozwiązań przewidzianych w pakiecie VAT e-commerce, których celem jest pokonanie barier, w tym uszczelnienie VAT, w transgranicznym handlu elektronicznym pomiędzy przedsiębiorcami i konsumentami (B2C)</w:t>
            </w:r>
            <w:r w:rsidRPr="00F36492">
              <w:rPr>
                <w:rFonts w:ascii="Times New Roman" w:hAnsi="Times New Roman"/>
                <w:vertAlign w:val="superscript"/>
              </w:rPr>
              <w:footnoteReference w:id="2"/>
            </w:r>
            <w:r w:rsidRPr="00F36492">
              <w:rPr>
                <w:rFonts w:ascii="Times New Roman" w:hAnsi="Times New Roman"/>
              </w:rPr>
              <w:t>. Trzon tego pakietu stanowią dyrektywy nowelizujące dyrektywę 2006/112/WE (dyrektywa VAT), które zostały przyjęte przez Radę UE w grudniu 2017 r.</w:t>
            </w:r>
            <w:r w:rsidRPr="00F36492">
              <w:rPr>
                <w:rFonts w:ascii="Times New Roman" w:hAnsi="Times New Roman"/>
                <w:vertAlign w:val="superscript"/>
              </w:rPr>
              <w:footnoteReference w:id="3"/>
            </w:r>
            <w:r w:rsidRPr="00F36492">
              <w:rPr>
                <w:rFonts w:ascii="Times New Roman" w:hAnsi="Times New Roman"/>
              </w:rPr>
              <w:t xml:space="preserve"> i listopadzie 2019 r.</w:t>
            </w:r>
            <w:r w:rsidRPr="00F36492">
              <w:rPr>
                <w:rFonts w:ascii="Times New Roman" w:hAnsi="Times New Roman"/>
                <w:vertAlign w:val="superscript"/>
              </w:rPr>
              <w:footnoteReference w:id="4"/>
            </w:r>
          </w:p>
          <w:p w14:paraId="1D9DC3A4" w14:textId="2C16C7D4" w:rsidR="1D9DC3A4" w:rsidRPr="00F36492" w:rsidRDefault="1D9DC3A4" w:rsidP="00F36492">
            <w:pPr>
              <w:spacing w:line="240" w:lineRule="auto"/>
              <w:jc w:val="both"/>
              <w:rPr>
                <w:rFonts w:ascii="Times New Roman" w:hAnsi="Times New Roman"/>
              </w:rPr>
            </w:pPr>
            <w:r w:rsidRPr="00F36492">
              <w:rPr>
                <w:rFonts w:ascii="Times New Roman" w:hAnsi="Times New Roman"/>
              </w:rPr>
              <w:t>Jak wskazano w motywie 7 preambuły implementowanej dyrektywy 2017/2455/UE,</w:t>
            </w:r>
            <w:r w:rsidR="009A1AE1" w:rsidRPr="00F36492">
              <w:rPr>
                <w:rFonts w:ascii="Times New Roman" w:hAnsi="Times New Roman"/>
              </w:rPr>
              <w:t xml:space="preserve"> </w:t>
            </w:r>
            <w:r w:rsidRPr="00F36492">
              <w:rPr>
                <w:rFonts w:ascii="Times New Roman" w:hAnsi="Times New Roman"/>
              </w:rPr>
              <w:t xml:space="preserve">znacząca część sprzedaży towarów do konsumentów w UE, zarówno w ramach obrotu pomiędzy państwami członkowskimi, jak i w odniesieniu do towarów sprowadzanych do Unii z państw trzecich, dokonywana jest za pośrednictwem interfejsów elektronicznych, takich jak </w:t>
            </w:r>
            <w:r w:rsidR="00956168" w:rsidRPr="00F36492">
              <w:rPr>
                <w:rFonts w:ascii="Times New Roman" w:hAnsi="Times New Roman"/>
              </w:rPr>
              <w:t xml:space="preserve">platforma, </w:t>
            </w:r>
            <w:r w:rsidRPr="00F36492">
              <w:rPr>
                <w:rFonts w:ascii="Times New Roman" w:hAnsi="Times New Roman"/>
              </w:rPr>
              <w:t>platforma handlowa, portal lub inne podobne środki (tj. urządzenie lub oprogramowanie),</w:t>
            </w:r>
            <w:r w:rsidR="000D57FD" w:rsidRPr="00F36492">
              <w:rPr>
                <w:rFonts w:ascii="Times New Roman" w:hAnsi="Times New Roman"/>
              </w:rPr>
              <w:t xml:space="preserve"> dalej: „interfejsy elektroniczne”,</w:t>
            </w:r>
            <w:r w:rsidRPr="00F36492">
              <w:rPr>
                <w:rFonts w:ascii="Times New Roman" w:hAnsi="Times New Roman"/>
              </w:rPr>
              <w:t xml:space="preserve"> często z wykorzystaniem zlokalizowanych na terytorium UE magazynów zapewniających kompleksową obsługę logistyczną (tzw. magazyny typu </w:t>
            </w:r>
            <w:proofErr w:type="spellStart"/>
            <w:r w:rsidRPr="00F36492">
              <w:rPr>
                <w:rFonts w:ascii="Times New Roman" w:hAnsi="Times New Roman"/>
              </w:rPr>
              <w:t>fulfilment</w:t>
            </w:r>
            <w:proofErr w:type="spellEnd"/>
            <w:r w:rsidRPr="00F36492">
              <w:rPr>
                <w:rFonts w:ascii="Times New Roman" w:hAnsi="Times New Roman"/>
              </w:rPr>
              <w:t xml:space="preserve"> </w:t>
            </w:r>
            <w:proofErr w:type="spellStart"/>
            <w:r w:rsidRPr="00F36492">
              <w:rPr>
                <w:rFonts w:ascii="Times New Roman" w:hAnsi="Times New Roman"/>
              </w:rPr>
              <w:t>warehouse</w:t>
            </w:r>
            <w:proofErr w:type="spellEnd"/>
            <w:r w:rsidRPr="00F36492">
              <w:rPr>
                <w:rFonts w:ascii="Times New Roman" w:hAnsi="Times New Roman"/>
              </w:rPr>
              <w:t xml:space="preserve">). Głównym problemem, który mają </w:t>
            </w:r>
            <w:r w:rsidR="007F35C9" w:rsidRPr="00F36492">
              <w:rPr>
                <w:rFonts w:ascii="Times New Roman" w:hAnsi="Times New Roman"/>
              </w:rPr>
              <w:t>rozwiązać</w:t>
            </w:r>
            <w:r w:rsidRPr="00F36492">
              <w:rPr>
                <w:rFonts w:ascii="Times New Roman" w:hAnsi="Times New Roman"/>
              </w:rPr>
              <w:t xml:space="preserve"> implementowane dyrekty</w:t>
            </w:r>
            <w:r w:rsidR="00DE31AC" w:rsidRPr="00F36492">
              <w:rPr>
                <w:rFonts w:ascii="Times New Roman" w:hAnsi="Times New Roman"/>
              </w:rPr>
              <w:t>wy, jest niezadowalająca</w:t>
            </w:r>
            <w:r w:rsidR="00950F22" w:rsidRPr="00F36492">
              <w:rPr>
                <w:rFonts w:ascii="Times New Roman" w:hAnsi="Times New Roman"/>
              </w:rPr>
              <w:t xml:space="preserve"> efektywność</w:t>
            </w:r>
            <w:r w:rsidRPr="00F36492">
              <w:rPr>
                <w:rFonts w:ascii="Times New Roman" w:hAnsi="Times New Roman"/>
              </w:rPr>
              <w:t xml:space="preserve"> poboru VAT, a przy tym relatywnie duże obciążenia administracyjne i koszty ciążące na przedsiębiorcach oraz administracji skarbowej w związku z rozliczaniem podatku należnego od ww. transakcji</w:t>
            </w:r>
            <w:r w:rsidR="00950F22" w:rsidRPr="00F36492">
              <w:rPr>
                <w:rFonts w:ascii="Times New Roman" w:hAnsi="Times New Roman"/>
              </w:rPr>
              <w:t xml:space="preserve"> i weryfikowaniem prawidłowości tego rozliczania</w:t>
            </w:r>
            <w:r w:rsidRPr="00F36492">
              <w:rPr>
                <w:rFonts w:ascii="Times New Roman" w:hAnsi="Times New Roman"/>
              </w:rPr>
              <w:t>.</w:t>
            </w:r>
            <w:r w:rsidR="00950F22" w:rsidRPr="00F36492">
              <w:rPr>
                <w:rFonts w:ascii="Times New Roman" w:hAnsi="Times New Roman"/>
              </w:rPr>
              <w:t xml:space="preserve"> Wynika to w szczególności z faktu, że </w:t>
            </w:r>
            <w:r w:rsidR="00276485">
              <w:rPr>
                <w:rFonts w:ascii="Times New Roman" w:hAnsi="Times New Roman"/>
              </w:rPr>
              <w:br/>
            </w:r>
            <w:r w:rsidR="00950F22" w:rsidRPr="00F36492">
              <w:rPr>
                <w:rFonts w:ascii="Times New Roman" w:hAnsi="Times New Roman"/>
              </w:rPr>
              <w:t xml:space="preserve">w znacznej mierze tego rodzaju sprzedaż jest prowadzona przez bardzo liczną grupę przedsiębiorców nieposiadających siedziby działalności gospodarczej ani stałego miejsca prowadzenia działalności gospodarczej w UE. Stąd, jak pokazuje dotychczasowa praktyka, w wielu państwach członkowskich występują trudności z zapewnieniem prawidłowego wypełniania obowiązków podatkowych przez takich przedsiębiorców. </w:t>
            </w:r>
          </w:p>
          <w:p w14:paraId="7111A56D" w14:textId="77777777" w:rsidR="002A4CB5" w:rsidRPr="00F36492" w:rsidRDefault="002A4CB5" w:rsidP="00F36492">
            <w:pPr>
              <w:spacing w:line="240" w:lineRule="auto"/>
              <w:jc w:val="both"/>
              <w:rPr>
                <w:rFonts w:ascii="Times New Roman" w:hAnsi="Times New Roman"/>
              </w:rPr>
            </w:pPr>
          </w:p>
          <w:p w14:paraId="4D04374A" w14:textId="745F3C9C" w:rsidR="002A4CB5" w:rsidRPr="00F36492" w:rsidRDefault="002A4CB5" w:rsidP="00F36492">
            <w:pPr>
              <w:spacing w:line="240" w:lineRule="auto"/>
              <w:jc w:val="both"/>
              <w:rPr>
                <w:rFonts w:ascii="Times New Roman" w:hAnsi="Times New Roman"/>
              </w:rPr>
            </w:pPr>
            <w:r w:rsidRPr="00F36492">
              <w:rPr>
                <w:rFonts w:ascii="Times New Roman" w:hAnsi="Times New Roman"/>
              </w:rPr>
              <w:t>Główne rozwiązania ujęte w pakiecie e-commerce mają wejść w życie od 1.</w:t>
            </w:r>
            <w:r w:rsidR="00276485">
              <w:rPr>
                <w:rFonts w:ascii="Times New Roman" w:hAnsi="Times New Roman"/>
              </w:rPr>
              <w:t>07</w:t>
            </w:r>
            <w:r w:rsidRPr="00F36492">
              <w:rPr>
                <w:rFonts w:ascii="Times New Roman" w:hAnsi="Times New Roman"/>
              </w:rPr>
              <w:t>.2021 r. (termin ich implementacji upływa 3</w:t>
            </w:r>
            <w:r w:rsidR="00276485">
              <w:rPr>
                <w:rFonts w:ascii="Times New Roman" w:hAnsi="Times New Roman"/>
              </w:rPr>
              <w:t>0</w:t>
            </w:r>
            <w:r w:rsidRPr="00F36492">
              <w:rPr>
                <w:rFonts w:ascii="Times New Roman" w:hAnsi="Times New Roman"/>
              </w:rPr>
              <w:t>.</w:t>
            </w:r>
            <w:r w:rsidR="00276485">
              <w:rPr>
                <w:rFonts w:ascii="Times New Roman" w:hAnsi="Times New Roman"/>
              </w:rPr>
              <w:t>06</w:t>
            </w:r>
            <w:r w:rsidRPr="00F36492">
              <w:rPr>
                <w:rFonts w:ascii="Times New Roman" w:hAnsi="Times New Roman"/>
              </w:rPr>
              <w:t>.202</w:t>
            </w:r>
            <w:r w:rsidR="00276485">
              <w:rPr>
                <w:rFonts w:ascii="Times New Roman" w:hAnsi="Times New Roman"/>
              </w:rPr>
              <w:t>1</w:t>
            </w:r>
            <w:r w:rsidRPr="00F36492">
              <w:rPr>
                <w:rFonts w:ascii="Times New Roman" w:hAnsi="Times New Roman"/>
              </w:rPr>
              <w:t xml:space="preserve"> r.) i obejmują one m.in.:</w:t>
            </w:r>
          </w:p>
          <w:p w14:paraId="35C9F2EA" w14:textId="77777777" w:rsidR="002A4CB5" w:rsidRPr="00F36492" w:rsidRDefault="002A4CB5" w:rsidP="00F36492">
            <w:pPr>
              <w:numPr>
                <w:ilvl w:val="0"/>
                <w:numId w:val="17"/>
              </w:numPr>
              <w:spacing w:line="240" w:lineRule="auto"/>
              <w:ind w:left="0" w:firstLine="0"/>
              <w:jc w:val="both"/>
              <w:rPr>
                <w:rFonts w:ascii="Times New Roman" w:hAnsi="Times New Roman"/>
              </w:rPr>
            </w:pPr>
            <w:r w:rsidRPr="00F36492">
              <w:rPr>
                <w:rFonts w:ascii="Times New Roman" w:hAnsi="Times New Roman"/>
              </w:rPr>
              <w:t>usunięcie w całej UE zwolnienia z VAT dla importu towarów w przesyłkach o wartości nieprzekraczającej 22 euro;</w:t>
            </w:r>
          </w:p>
          <w:p w14:paraId="1F78DD77" w14:textId="351CF548" w:rsidR="002A4CB5" w:rsidRPr="00F36492" w:rsidRDefault="002A4CB5" w:rsidP="00F36492">
            <w:pPr>
              <w:numPr>
                <w:ilvl w:val="0"/>
                <w:numId w:val="17"/>
              </w:numPr>
              <w:spacing w:line="240" w:lineRule="auto"/>
              <w:ind w:left="0" w:firstLine="0"/>
              <w:jc w:val="both"/>
              <w:rPr>
                <w:rFonts w:ascii="Times New Roman" w:hAnsi="Times New Roman"/>
              </w:rPr>
            </w:pPr>
            <w:r w:rsidRPr="00F36492">
              <w:rPr>
                <w:rFonts w:ascii="Times New Roman" w:hAnsi="Times New Roman"/>
              </w:rPr>
              <w:t xml:space="preserve">nałożenie obowiązku poboru i zapłaty VAT na podatników ułatwiających przy użyciu interfejsu elektronicznego: </w:t>
            </w:r>
          </w:p>
          <w:p w14:paraId="4C69C33A" w14:textId="4DF9866F" w:rsidR="009F6D5E" w:rsidRPr="00F36492" w:rsidRDefault="002A4CB5" w:rsidP="00F36492">
            <w:pPr>
              <w:pStyle w:val="Akapitzlist"/>
              <w:numPr>
                <w:ilvl w:val="0"/>
                <w:numId w:val="20"/>
              </w:numPr>
              <w:spacing w:line="240" w:lineRule="auto"/>
              <w:ind w:left="0" w:firstLine="0"/>
              <w:jc w:val="both"/>
              <w:rPr>
                <w:rFonts w:ascii="Times New Roman" w:hAnsi="Times New Roman"/>
              </w:rPr>
            </w:pPr>
            <w:r w:rsidRPr="00F36492">
              <w:rPr>
                <w:rFonts w:ascii="Times New Roman" w:hAnsi="Times New Roman"/>
              </w:rPr>
              <w:t xml:space="preserve">sprzedaż na rzecz unijnych konsumentów towarów importowanych z państw trzecich w przesyłkach o rzeczywistej wartości nieprzekraczającej 150 euro, lub </w:t>
            </w:r>
          </w:p>
          <w:p w14:paraId="556071AE" w14:textId="35A56768" w:rsidR="002A4CB5" w:rsidRPr="00F36492" w:rsidRDefault="002A4CB5" w:rsidP="00F36492">
            <w:pPr>
              <w:pStyle w:val="Akapitzlist"/>
              <w:numPr>
                <w:ilvl w:val="0"/>
                <w:numId w:val="20"/>
              </w:numPr>
              <w:spacing w:line="240" w:lineRule="auto"/>
              <w:ind w:left="0" w:firstLine="0"/>
              <w:jc w:val="both"/>
              <w:rPr>
                <w:rFonts w:ascii="Times New Roman" w:hAnsi="Times New Roman"/>
              </w:rPr>
            </w:pPr>
            <w:r w:rsidRPr="00F36492">
              <w:rPr>
                <w:rFonts w:ascii="Times New Roman" w:hAnsi="Times New Roman"/>
              </w:rPr>
              <w:lastRenderedPageBreak/>
              <w:t>dostawę towarów na terytorium UE dokonywaną przez przedsiębiorcę niemającego siedziby w UE na rzecz konsument</w:t>
            </w:r>
            <w:r w:rsidR="00087188" w:rsidRPr="00F36492">
              <w:rPr>
                <w:rFonts w:ascii="Times New Roman" w:hAnsi="Times New Roman"/>
              </w:rPr>
              <w:t>ów</w:t>
            </w:r>
            <w:r w:rsidRPr="00F36492">
              <w:rPr>
                <w:rFonts w:ascii="Times New Roman" w:hAnsi="Times New Roman"/>
              </w:rPr>
              <w:t>;</w:t>
            </w:r>
          </w:p>
          <w:p w14:paraId="497E224B" w14:textId="33229559" w:rsidR="002A4CB5" w:rsidRPr="00F36492" w:rsidRDefault="002A4CB5" w:rsidP="00F36492">
            <w:pPr>
              <w:numPr>
                <w:ilvl w:val="0"/>
                <w:numId w:val="17"/>
              </w:numPr>
              <w:spacing w:line="240" w:lineRule="auto"/>
              <w:ind w:left="0" w:firstLine="0"/>
              <w:jc w:val="both"/>
              <w:rPr>
                <w:rFonts w:ascii="Times New Roman" w:hAnsi="Times New Roman"/>
              </w:rPr>
            </w:pPr>
            <w:r w:rsidRPr="00F36492">
              <w:rPr>
                <w:rFonts w:ascii="Times New Roman" w:hAnsi="Times New Roman"/>
              </w:rPr>
              <w:t>rozszerzenie uproszczenia w postaci tzw. małego punktu kompleksowej obsługi (MOSS)</w:t>
            </w:r>
            <w:r w:rsidRPr="00F36492">
              <w:rPr>
                <w:rFonts w:ascii="Times New Roman" w:hAnsi="Times New Roman"/>
                <w:vertAlign w:val="superscript"/>
              </w:rPr>
              <w:footnoteReference w:id="5"/>
            </w:r>
            <w:r w:rsidRPr="00F36492">
              <w:rPr>
                <w:rFonts w:ascii="Times New Roman" w:hAnsi="Times New Roman"/>
              </w:rPr>
              <w:t xml:space="preserve"> na sprzedaż na rzecz konsumentów w UE towarów importowanych z państw trzecich</w:t>
            </w:r>
            <w:r w:rsidR="002C7126" w:rsidRPr="00F36492">
              <w:rPr>
                <w:rFonts w:ascii="Times New Roman" w:hAnsi="Times New Roman"/>
              </w:rPr>
              <w:t xml:space="preserve"> </w:t>
            </w:r>
            <w:r w:rsidRPr="00F36492">
              <w:rPr>
                <w:rFonts w:ascii="Times New Roman" w:hAnsi="Times New Roman"/>
              </w:rPr>
              <w:t>w przesyłkach o rzeczywistej wartości nieprzekraczającej 150 euro (tzw. Importowy One Stop Shop – IOSS);</w:t>
            </w:r>
          </w:p>
          <w:p w14:paraId="7E12DDD0" w14:textId="1F93C2CF" w:rsidR="001A155E" w:rsidRPr="00F36492" w:rsidRDefault="002A4CB5" w:rsidP="00F36492">
            <w:pPr>
              <w:numPr>
                <w:ilvl w:val="0"/>
                <w:numId w:val="17"/>
              </w:numPr>
              <w:spacing w:line="240" w:lineRule="auto"/>
              <w:ind w:left="0" w:firstLine="0"/>
              <w:jc w:val="both"/>
              <w:rPr>
                <w:rFonts w:ascii="Times New Roman" w:hAnsi="Times New Roman"/>
              </w:rPr>
            </w:pPr>
            <w:r w:rsidRPr="00F36492">
              <w:rPr>
                <w:rFonts w:ascii="Times New Roman" w:hAnsi="Times New Roman"/>
              </w:rPr>
              <w:t xml:space="preserve">wprowadzenie kolejnej, (gdy nie stosuje się IOSS), uproszczonej procedury rozliczania VAT z tytułu importu towarów w przesyłkach o rzeczywistej wartości nieprzekraczającej 150 euro (tzw. uregulowania szczególne), która będzie dostępna dla podmiotów </w:t>
            </w:r>
            <w:r w:rsidR="00276485">
              <w:rPr>
                <w:rFonts w:ascii="Times New Roman" w:hAnsi="Times New Roman"/>
              </w:rPr>
              <w:t>zgłaszających</w:t>
            </w:r>
            <w:r w:rsidR="00276485" w:rsidRPr="00F36492">
              <w:rPr>
                <w:rFonts w:ascii="Times New Roman" w:hAnsi="Times New Roman"/>
              </w:rPr>
              <w:t xml:space="preserve"> </w:t>
            </w:r>
            <w:r w:rsidRPr="00F36492">
              <w:rPr>
                <w:rFonts w:ascii="Times New Roman" w:hAnsi="Times New Roman"/>
              </w:rPr>
              <w:t>towary organom celnym (</w:t>
            </w:r>
            <w:r w:rsidR="005A58F3" w:rsidRPr="00F36492">
              <w:rPr>
                <w:rFonts w:ascii="Times New Roman" w:hAnsi="Times New Roman"/>
              </w:rPr>
              <w:t xml:space="preserve">operatorów pocztowych w rozumieniu ustawy - Prawo pocztowe </w:t>
            </w:r>
            <w:r w:rsidRPr="00F36492">
              <w:rPr>
                <w:rFonts w:ascii="Times New Roman" w:hAnsi="Times New Roman"/>
              </w:rPr>
              <w:t xml:space="preserve">np. kurierów, operatorów pocztowych), zobligowanych do poboru podatku VAT od osób dla których towary są przeznaczone i </w:t>
            </w:r>
            <w:r w:rsidR="00276485">
              <w:rPr>
                <w:rFonts w:ascii="Times New Roman" w:hAnsi="Times New Roman"/>
              </w:rPr>
              <w:t xml:space="preserve">zgłoszenia </w:t>
            </w:r>
            <w:r w:rsidRPr="00F36492">
              <w:rPr>
                <w:rFonts w:ascii="Times New Roman" w:hAnsi="Times New Roman"/>
              </w:rPr>
              <w:t>tego podatku w deklaracji miesięcznej</w:t>
            </w:r>
            <w:r w:rsidR="00DB54C6">
              <w:rPr>
                <w:rFonts w:ascii="Times New Roman" w:hAnsi="Times New Roman"/>
              </w:rPr>
              <w:t xml:space="preserve"> i dokonania</w:t>
            </w:r>
            <w:r w:rsidR="00276485">
              <w:rPr>
                <w:rFonts w:ascii="Times New Roman" w:hAnsi="Times New Roman"/>
              </w:rPr>
              <w:t xml:space="preserve"> wpłaty tego </w:t>
            </w:r>
            <w:r w:rsidR="00DB54C6">
              <w:rPr>
                <w:rFonts w:ascii="Times New Roman" w:hAnsi="Times New Roman"/>
              </w:rPr>
              <w:t>pobranego podatku</w:t>
            </w:r>
            <w:r w:rsidR="001A155E" w:rsidRPr="00F36492">
              <w:rPr>
                <w:rFonts w:ascii="Times New Roman" w:hAnsi="Times New Roman"/>
              </w:rPr>
              <w:t>;</w:t>
            </w:r>
          </w:p>
          <w:p w14:paraId="5DF75F87" w14:textId="47983498" w:rsidR="001A155E" w:rsidRPr="00F36492" w:rsidRDefault="001A155E" w:rsidP="00F36492">
            <w:pPr>
              <w:numPr>
                <w:ilvl w:val="0"/>
                <w:numId w:val="17"/>
              </w:numPr>
              <w:spacing w:line="240" w:lineRule="auto"/>
              <w:ind w:left="0" w:firstLine="0"/>
              <w:jc w:val="both"/>
              <w:rPr>
                <w:rFonts w:ascii="Times New Roman" w:hAnsi="Times New Roman"/>
              </w:rPr>
            </w:pPr>
            <w:r w:rsidRPr="00F36492">
              <w:rPr>
                <w:rFonts w:ascii="Times New Roman" w:hAnsi="Times New Roman"/>
              </w:rPr>
              <w:t xml:space="preserve">zdefiniowanie pojęcia wewnątrzwspólnotowej sprzedaży towarów na odległość </w:t>
            </w:r>
            <w:r w:rsidR="00E47C9D" w:rsidRPr="00F36492">
              <w:rPr>
                <w:rFonts w:ascii="Times New Roman" w:hAnsi="Times New Roman"/>
              </w:rPr>
              <w:t xml:space="preserve">(WSTO) </w:t>
            </w:r>
            <w:r w:rsidRPr="00F36492">
              <w:rPr>
                <w:rFonts w:ascii="Times New Roman" w:hAnsi="Times New Roman"/>
              </w:rPr>
              <w:t>oraz wprowadzenia odpowiednich zmian do dotychczasowych przepisów dotyczących tzw. sprzedaży wysyłkowej;</w:t>
            </w:r>
          </w:p>
          <w:p w14:paraId="4BE3D445" w14:textId="485D4FB1" w:rsidR="005A58F3" w:rsidRPr="00F36492" w:rsidRDefault="001A155E" w:rsidP="00F36492">
            <w:pPr>
              <w:numPr>
                <w:ilvl w:val="0"/>
                <w:numId w:val="17"/>
              </w:numPr>
              <w:spacing w:line="240" w:lineRule="auto"/>
              <w:ind w:left="0" w:firstLine="0"/>
              <w:jc w:val="both"/>
              <w:rPr>
                <w:rFonts w:ascii="Times New Roman" w:hAnsi="Times New Roman"/>
              </w:rPr>
            </w:pPr>
            <w:r w:rsidRPr="00F36492">
              <w:rPr>
                <w:rFonts w:ascii="Times New Roman" w:hAnsi="Times New Roman"/>
              </w:rPr>
              <w:t>rozszerzeni</w:t>
            </w:r>
            <w:r w:rsidR="00446946" w:rsidRPr="00F36492">
              <w:rPr>
                <w:rFonts w:ascii="Times New Roman" w:hAnsi="Times New Roman"/>
              </w:rPr>
              <w:t>e</w:t>
            </w:r>
            <w:r w:rsidRPr="00F36492">
              <w:rPr>
                <w:rFonts w:ascii="Times New Roman" w:hAnsi="Times New Roman"/>
              </w:rPr>
              <w:t xml:space="preserve"> i modyfikacj</w:t>
            </w:r>
            <w:r w:rsidR="00446946" w:rsidRPr="00F36492">
              <w:rPr>
                <w:rFonts w:ascii="Times New Roman" w:hAnsi="Times New Roman"/>
              </w:rPr>
              <w:t>ę</w:t>
            </w:r>
            <w:r w:rsidRPr="00F36492">
              <w:rPr>
                <w:rFonts w:ascii="Times New Roman" w:hAnsi="Times New Roman"/>
              </w:rPr>
              <w:t xml:space="preserve"> procedury szczególnej </w:t>
            </w:r>
            <w:r w:rsidR="00446946" w:rsidRPr="00F36492">
              <w:rPr>
                <w:rFonts w:ascii="Times New Roman" w:hAnsi="Times New Roman"/>
              </w:rPr>
              <w:t>MOSS</w:t>
            </w:r>
            <w:r w:rsidR="005E416B" w:rsidRPr="00F36492">
              <w:rPr>
                <w:rFonts w:ascii="Times New Roman" w:hAnsi="Times New Roman"/>
              </w:rPr>
              <w:t>, obecnie</w:t>
            </w:r>
            <w:r w:rsidR="00446946" w:rsidRPr="00F36492">
              <w:rPr>
                <w:rFonts w:ascii="Times New Roman" w:hAnsi="Times New Roman"/>
              </w:rPr>
              <w:t xml:space="preserve"> </w:t>
            </w:r>
            <w:r w:rsidRPr="00F36492">
              <w:rPr>
                <w:rFonts w:ascii="Times New Roman" w:hAnsi="Times New Roman"/>
              </w:rPr>
              <w:t>dla usług telekomunikacyjnych, usług nadawczych lub usług świadczonych drogą elektroniczną</w:t>
            </w:r>
            <w:r w:rsidR="00446946" w:rsidRPr="00F36492">
              <w:rPr>
                <w:rFonts w:ascii="Times New Roman" w:hAnsi="Times New Roman"/>
              </w:rPr>
              <w:t xml:space="preserve"> na</w:t>
            </w:r>
            <w:r w:rsidRPr="00F36492">
              <w:rPr>
                <w:rFonts w:ascii="Times New Roman" w:hAnsi="Times New Roman"/>
              </w:rPr>
              <w:t xml:space="preserve">: </w:t>
            </w:r>
          </w:p>
          <w:p w14:paraId="09125277" w14:textId="74E8ACC0" w:rsidR="005A58F3" w:rsidRPr="00F36492" w:rsidRDefault="005E416B" w:rsidP="00F36492">
            <w:pPr>
              <w:pStyle w:val="Akapitzlist"/>
              <w:numPr>
                <w:ilvl w:val="0"/>
                <w:numId w:val="24"/>
              </w:numPr>
              <w:spacing w:line="240" w:lineRule="auto"/>
              <w:ind w:left="0" w:firstLine="0"/>
              <w:jc w:val="both"/>
              <w:rPr>
                <w:rFonts w:ascii="Times New Roman" w:hAnsi="Times New Roman"/>
              </w:rPr>
            </w:pPr>
            <w:r w:rsidRPr="00F36492">
              <w:rPr>
                <w:rFonts w:ascii="Times New Roman" w:hAnsi="Times New Roman"/>
              </w:rPr>
              <w:t xml:space="preserve">inne </w:t>
            </w:r>
            <w:r w:rsidR="001A155E" w:rsidRPr="00F36492">
              <w:rPr>
                <w:rFonts w:ascii="Times New Roman" w:hAnsi="Times New Roman"/>
              </w:rPr>
              <w:t>usługi świadczone na rzecz konsumentów,</w:t>
            </w:r>
          </w:p>
          <w:p w14:paraId="504D8795" w14:textId="4F2FB428" w:rsidR="005A58F3" w:rsidRPr="00F36492" w:rsidRDefault="0037482C" w:rsidP="00F36492">
            <w:pPr>
              <w:pStyle w:val="Akapitzlist"/>
              <w:numPr>
                <w:ilvl w:val="0"/>
                <w:numId w:val="24"/>
              </w:numPr>
              <w:spacing w:line="240" w:lineRule="auto"/>
              <w:ind w:left="0" w:firstLine="0"/>
              <w:jc w:val="both"/>
              <w:rPr>
                <w:rFonts w:ascii="Times New Roman" w:hAnsi="Times New Roman"/>
              </w:rPr>
            </w:pPr>
            <w:r w:rsidRPr="00F36492">
              <w:rPr>
                <w:rFonts w:ascii="Times New Roman" w:hAnsi="Times New Roman"/>
              </w:rPr>
              <w:t>WSTO</w:t>
            </w:r>
            <w:r w:rsidR="001A155E" w:rsidRPr="00F36492">
              <w:rPr>
                <w:rFonts w:ascii="Times New Roman" w:hAnsi="Times New Roman"/>
              </w:rPr>
              <w:t xml:space="preserve">, oraz </w:t>
            </w:r>
          </w:p>
          <w:p w14:paraId="76237424" w14:textId="6C6A650B" w:rsidR="00446946" w:rsidRPr="00F36492" w:rsidRDefault="001A155E" w:rsidP="00F36492">
            <w:pPr>
              <w:pStyle w:val="Akapitzlist"/>
              <w:numPr>
                <w:ilvl w:val="0"/>
                <w:numId w:val="24"/>
              </w:numPr>
              <w:spacing w:line="240" w:lineRule="auto"/>
              <w:ind w:left="0" w:firstLine="0"/>
              <w:jc w:val="both"/>
              <w:rPr>
                <w:rFonts w:ascii="Times New Roman" w:hAnsi="Times New Roman"/>
              </w:rPr>
            </w:pPr>
            <w:r w:rsidRPr="00F36492">
              <w:rPr>
                <w:rFonts w:ascii="Times New Roman" w:hAnsi="Times New Roman"/>
              </w:rPr>
              <w:t>dostawy towarów w państwie członkowskim dokonywane przez interfejsy elektroniczne ułatwiające te dostawy</w:t>
            </w:r>
            <w:r w:rsidR="005E416B" w:rsidRPr="00F36492">
              <w:rPr>
                <w:rFonts w:ascii="Times New Roman" w:hAnsi="Times New Roman"/>
              </w:rPr>
              <w:t>,</w:t>
            </w:r>
          </w:p>
          <w:p w14:paraId="36A532F1" w14:textId="01303876" w:rsidR="002A4CB5" w:rsidRDefault="00446946" w:rsidP="00F36492">
            <w:pPr>
              <w:spacing w:line="240" w:lineRule="auto"/>
              <w:jc w:val="both"/>
              <w:rPr>
                <w:rFonts w:ascii="Times New Roman" w:hAnsi="Times New Roman"/>
              </w:rPr>
            </w:pPr>
            <w:r w:rsidRPr="00F36492">
              <w:rPr>
                <w:rFonts w:ascii="Times New Roman" w:hAnsi="Times New Roman"/>
              </w:rPr>
              <w:t>-</w:t>
            </w:r>
            <w:r w:rsidR="001A155E" w:rsidRPr="00F36492">
              <w:rPr>
                <w:rFonts w:ascii="Times New Roman" w:hAnsi="Times New Roman"/>
              </w:rPr>
              <w:t xml:space="preserve"> i stwo</w:t>
            </w:r>
            <w:r w:rsidR="00F63002">
              <w:rPr>
                <w:rFonts w:ascii="Times New Roman" w:hAnsi="Times New Roman"/>
              </w:rPr>
              <w:t>rzenie tzw. One Stop Shop (OSS);</w:t>
            </w:r>
          </w:p>
          <w:p w14:paraId="4BAB2ED3" w14:textId="124A1CA8" w:rsidR="00F63002" w:rsidRPr="00F63002" w:rsidRDefault="00F63002" w:rsidP="00F63002">
            <w:pPr>
              <w:numPr>
                <w:ilvl w:val="0"/>
                <w:numId w:val="17"/>
              </w:numPr>
              <w:spacing w:line="240" w:lineRule="auto"/>
              <w:ind w:left="0" w:firstLine="0"/>
              <w:jc w:val="both"/>
              <w:rPr>
                <w:rFonts w:ascii="Times New Roman" w:hAnsi="Times New Roman"/>
              </w:rPr>
            </w:pPr>
            <w:r>
              <w:rPr>
                <w:rFonts w:ascii="Times New Roman" w:hAnsi="Times New Roman"/>
              </w:rPr>
              <w:t>nałożenie na</w:t>
            </w:r>
            <w:r w:rsidRPr="00F36492">
              <w:rPr>
                <w:rFonts w:ascii="Times New Roman" w:hAnsi="Times New Roman"/>
              </w:rPr>
              <w:t xml:space="preserve"> podatników ułatwiających przy użyciu interfejsu elektronicznego</w:t>
            </w:r>
            <w:r>
              <w:rPr>
                <w:rFonts w:ascii="Times New Roman" w:hAnsi="Times New Roman"/>
              </w:rPr>
              <w:t xml:space="preserve"> dokonywanie na terytorium</w:t>
            </w:r>
            <w:r w:rsidR="002B65DA">
              <w:rPr>
                <w:rFonts w:ascii="Times New Roman" w:hAnsi="Times New Roman"/>
              </w:rPr>
              <w:t xml:space="preserve"> UE</w:t>
            </w:r>
            <w:r>
              <w:rPr>
                <w:rFonts w:ascii="Times New Roman" w:hAnsi="Times New Roman"/>
              </w:rPr>
              <w:t xml:space="preserve"> określonych dostaw towarów i świadczenie określonych usług na rzecz podmiotów niebędących podatnikami </w:t>
            </w:r>
            <w:r w:rsidR="00B207E0">
              <w:rPr>
                <w:rFonts w:ascii="Times New Roman" w:hAnsi="Times New Roman"/>
              </w:rPr>
              <w:t xml:space="preserve">(konsumentów) </w:t>
            </w:r>
            <w:r>
              <w:rPr>
                <w:rFonts w:ascii="Times New Roman" w:hAnsi="Times New Roman"/>
              </w:rPr>
              <w:t>obowiązku prowadzenia i udostępniania na żądanie właściwemu organowi podatkowemu ewidencji zawierającej określone informacje na temat tych ułatwianych transakcji i dokonujących je podmiotów.</w:t>
            </w:r>
          </w:p>
          <w:p w14:paraId="1A784190" w14:textId="77777777" w:rsidR="005E416B" w:rsidRPr="00F36492" w:rsidRDefault="005E416B" w:rsidP="00F36492">
            <w:pPr>
              <w:spacing w:line="240" w:lineRule="auto"/>
              <w:jc w:val="both"/>
              <w:rPr>
                <w:rFonts w:ascii="Times New Roman" w:hAnsi="Times New Roman"/>
              </w:rPr>
            </w:pPr>
          </w:p>
          <w:p w14:paraId="7AA01C24" w14:textId="77777777" w:rsidR="002A4CB5" w:rsidRPr="00F36492" w:rsidRDefault="002A4CB5" w:rsidP="00F36492">
            <w:pPr>
              <w:spacing w:line="240" w:lineRule="auto"/>
              <w:jc w:val="both"/>
              <w:rPr>
                <w:rFonts w:ascii="Times New Roman" w:hAnsi="Times New Roman"/>
              </w:rPr>
            </w:pPr>
            <w:r w:rsidRPr="00F36492">
              <w:rPr>
                <w:rFonts w:ascii="Times New Roman" w:hAnsi="Times New Roman"/>
              </w:rPr>
              <w:t>Wdrożenie powyższych rozwiązań ma przyczynić się do:</w:t>
            </w:r>
          </w:p>
          <w:p w14:paraId="6B64940D" w14:textId="77777777" w:rsidR="002A4CB5" w:rsidRPr="00F36492" w:rsidRDefault="002A4CB5" w:rsidP="00F36492">
            <w:pPr>
              <w:numPr>
                <w:ilvl w:val="0"/>
                <w:numId w:val="18"/>
              </w:numPr>
              <w:spacing w:line="240" w:lineRule="auto"/>
              <w:ind w:left="0" w:firstLine="0"/>
              <w:jc w:val="both"/>
              <w:rPr>
                <w:rFonts w:ascii="Times New Roman" w:hAnsi="Times New Roman"/>
              </w:rPr>
            </w:pPr>
            <w:r w:rsidRPr="00F36492">
              <w:rPr>
                <w:rFonts w:ascii="Times New Roman" w:hAnsi="Times New Roman"/>
              </w:rPr>
              <w:t>wyrównania szans unijnych przedsiębiorców w konkurowaniu w obszarze e-handlu z podmiotami z krajów trzecich poprzez m.in.:</w:t>
            </w:r>
          </w:p>
          <w:p w14:paraId="0C90A40C" w14:textId="77777777" w:rsidR="002A4CB5" w:rsidRPr="00F36492" w:rsidRDefault="002A4CB5" w:rsidP="00F36492">
            <w:pPr>
              <w:pStyle w:val="Akapitzlist"/>
              <w:numPr>
                <w:ilvl w:val="0"/>
                <w:numId w:val="19"/>
              </w:numPr>
              <w:spacing w:line="240" w:lineRule="auto"/>
              <w:ind w:left="0" w:firstLine="0"/>
              <w:jc w:val="both"/>
              <w:rPr>
                <w:rFonts w:ascii="Times New Roman" w:hAnsi="Times New Roman"/>
              </w:rPr>
            </w:pPr>
            <w:r w:rsidRPr="00F36492">
              <w:rPr>
                <w:rFonts w:ascii="Times New Roman" w:hAnsi="Times New Roman"/>
              </w:rPr>
              <w:t>zniesienie zwolnienia z VAT dla importu towarów w tzw. małych przesyłkach o wartości do 22 EUR we wszystkich państwach członkowskich oraz</w:t>
            </w:r>
          </w:p>
          <w:p w14:paraId="23F21470" w14:textId="257CE1D1" w:rsidR="002A4CB5" w:rsidRPr="00F36492" w:rsidRDefault="002A4CB5" w:rsidP="00F36492">
            <w:pPr>
              <w:pStyle w:val="Akapitzlist"/>
              <w:numPr>
                <w:ilvl w:val="0"/>
                <w:numId w:val="19"/>
              </w:numPr>
              <w:spacing w:line="240" w:lineRule="auto"/>
              <w:ind w:left="0" w:firstLine="0"/>
              <w:jc w:val="both"/>
              <w:rPr>
                <w:rFonts w:ascii="Times New Roman" w:hAnsi="Times New Roman"/>
              </w:rPr>
            </w:pPr>
            <w:r w:rsidRPr="00F36492">
              <w:rPr>
                <w:rFonts w:ascii="Times New Roman" w:hAnsi="Times New Roman"/>
              </w:rPr>
              <w:t>objęcie interfejsów elektronicznych obowiązkiem poboru i zapłaty VAT od określonych transakcji realizowanych za ich pośrednictwem;</w:t>
            </w:r>
          </w:p>
          <w:p w14:paraId="1906C962" w14:textId="77777777" w:rsidR="002A4CB5" w:rsidRPr="00F36492" w:rsidRDefault="002A4CB5" w:rsidP="00F36492">
            <w:pPr>
              <w:numPr>
                <w:ilvl w:val="0"/>
                <w:numId w:val="18"/>
              </w:numPr>
              <w:spacing w:line="240" w:lineRule="auto"/>
              <w:ind w:left="0" w:firstLine="0"/>
              <w:jc w:val="both"/>
              <w:rPr>
                <w:rFonts w:ascii="Times New Roman" w:hAnsi="Times New Roman"/>
              </w:rPr>
            </w:pPr>
            <w:r w:rsidRPr="00F36492">
              <w:rPr>
                <w:rFonts w:ascii="Times New Roman" w:hAnsi="Times New Roman"/>
              </w:rPr>
              <w:t>pełniejszego odwzorowania zasady opodatkowania towarów /usług w miejscu ich konsumpcji, co oznacza, że przychody z VAT zasilać będą budżet państwa ostatecznego odbiorcy danego towaru /usługi;</w:t>
            </w:r>
          </w:p>
          <w:p w14:paraId="2A4ED7FE" w14:textId="77777777" w:rsidR="002A4CB5" w:rsidRPr="00F36492" w:rsidRDefault="002A4CB5" w:rsidP="00F36492">
            <w:pPr>
              <w:numPr>
                <w:ilvl w:val="0"/>
                <w:numId w:val="18"/>
              </w:numPr>
              <w:spacing w:line="240" w:lineRule="auto"/>
              <w:ind w:left="0" w:firstLine="0"/>
              <w:jc w:val="both"/>
              <w:rPr>
                <w:rFonts w:ascii="Times New Roman" w:hAnsi="Times New Roman"/>
              </w:rPr>
            </w:pPr>
            <w:r w:rsidRPr="00F36492">
              <w:rPr>
                <w:rFonts w:ascii="Times New Roman" w:hAnsi="Times New Roman"/>
              </w:rPr>
              <w:t>zmniejszenia obciążeń i kosztów związanych z wypełnianiem obowiązków podatkowych poprzez uproszczenie i modernizację systemu VAT w zakresie transgranicznego handlu elektronicznego.</w:t>
            </w:r>
          </w:p>
          <w:p w14:paraId="5294607F" w14:textId="77777777" w:rsidR="0002305C" w:rsidRPr="00F36492" w:rsidRDefault="0002305C" w:rsidP="00F36492">
            <w:pPr>
              <w:spacing w:line="240" w:lineRule="auto"/>
              <w:jc w:val="both"/>
              <w:rPr>
                <w:rFonts w:ascii="Times New Roman" w:hAnsi="Times New Roman"/>
              </w:rPr>
            </w:pPr>
          </w:p>
        </w:tc>
      </w:tr>
      <w:tr w:rsidR="0002305C" w:rsidRPr="00F36492" w14:paraId="52946082" w14:textId="77777777" w:rsidTr="1D9DC3A4">
        <w:trPr>
          <w:gridAfter w:val="1"/>
          <w:wAfter w:w="10" w:type="dxa"/>
          <w:trHeight w:val="142"/>
        </w:trPr>
        <w:tc>
          <w:tcPr>
            <w:tcW w:w="11070" w:type="dxa"/>
            <w:gridSpan w:val="24"/>
            <w:shd w:val="clear" w:color="auto" w:fill="99CCFF"/>
            <w:vAlign w:val="center"/>
          </w:tcPr>
          <w:p w14:paraId="52946081" w14:textId="77777777" w:rsidR="0002305C" w:rsidRPr="00F36492" w:rsidRDefault="0002305C" w:rsidP="00F36492">
            <w:pPr>
              <w:numPr>
                <w:ilvl w:val="0"/>
                <w:numId w:val="12"/>
              </w:numPr>
              <w:spacing w:line="240" w:lineRule="auto"/>
              <w:ind w:left="0" w:firstLine="0"/>
              <w:jc w:val="both"/>
              <w:rPr>
                <w:rFonts w:ascii="Times New Roman" w:hAnsi="Times New Roman"/>
                <w:b/>
              </w:rPr>
            </w:pPr>
            <w:r w:rsidRPr="00F36492">
              <w:rPr>
                <w:rFonts w:ascii="Times New Roman" w:hAnsi="Times New Roman"/>
                <w:b/>
                <w:spacing w:val="-2"/>
              </w:rPr>
              <w:lastRenderedPageBreak/>
              <w:t>Rekomendowane rozwiązanie, w tym planowane narzędzia interwencji, i oczekiwany efekt</w:t>
            </w:r>
          </w:p>
        </w:tc>
      </w:tr>
      <w:tr w:rsidR="0002305C" w:rsidRPr="00F36492" w14:paraId="52946087" w14:textId="77777777" w:rsidTr="1D9DC3A4">
        <w:trPr>
          <w:gridAfter w:val="1"/>
          <w:wAfter w:w="10" w:type="dxa"/>
          <w:trHeight w:val="142"/>
        </w:trPr>
        <w:tc>
          <w:tcPr>
            <w:tcW w:w="11070" w:type="dxa"/>
            <w:gridSpan w:val="24"/>
            <w:shd w:val="clear" w:color="auto" w:fill="auto"/>
          </w:tcPr>
          <w:p w14:paraId="76F8A6EE" w14:textId="4C1A7516" w:rsidR="1D9DC3A4" w:rsidRPr="00F36492" w:rsidRDefault="1D9DC3A4" w:rsidP="00F36492">
            <w:pPr>
              <w:spacing w:line="240" w:lineRule="auto"/>
              <w:jc w:val="both"/>
              <w:rPr>
                <w:rFonts w:ascii="Times New Roman" w:hAnsi="Times New Roman"/>
              </w:rPr>
            </w:pPr>
            <w:r w:rsidRPr="00F36492">
              <w:rPr>
                <w:rFonts w:ascii="Times New Roman" w:hAnsi="Times New Roman"/>
              </w:rPr>
              <w:t>Aby zwiększyć efektywność poboru VAT, przy jednoczesnym zmniejszeniu obciążeń administracyjnych i kosztów po stronie przedsiębiorców ora</w:t>
            </w:r>
            <w:r w:rsidR="00924FE8" w:rsidRPr="00F36492">
              <w:rPr>
                <w:rFonts w:ascii="Times New Roman" w:hAnsi="Times New Roman"/>
              </w:rPr>
              <w:t>z administracji skarbowej</w:t>
            </w:r>
            <w:r w:rsidR="004D3865" w:rsidRPr="00F36492">
              <w:rPr>
                <w:rFonts w:ascii="Times New Roman" w:hAnsi="Times New Roman"/>
              </w:rPr>
              <w:t>,</w:t>
            </w:r>
            <w:r w:rsidR="00924FE8" w:rsidRPr="00F36492">
              <w:rPr>
                <w:rFonts w:ascii="Times New Roman" w:hAnsi="Times New Roman"/>
              </w:rPr>
              <w:t xml:space="preserve"> powiązanych z wypełnianiem </w:t>
            </w:r>
            <w:r w:rsidRPr="00F36492">
              <w:rPr>
                <w:rFonts w:ascii="Times New Roman" w:hAnsi="Times New Roman"/>
              </w:rPr>
              <w:t>obowiązków</w:t>
            </w:r>
            <w:r w:rsidR="00924FE8" w:rsidRPr="00F36492">
              <w:rPr>
                <w:rFonts w:ascii="Times New Roman" w:hAnsi="Times New Roman"/>
              </w:rPr>
              <w:t xml:space="preserve"> podatkowych</w:t>
            </w:r>
            <w:r w:rsidR="004D3865" w:rsidRPr="00F36492">
              <w:rPr>
                <w:rFonts w:ascii="Times New Roman" w:hAnsi="Times New Roman"/>
              </w:rPr>
              <w:t>,</w:t>
            </w:r>
            <w:r w:rsidRPr="00F36492">
              <w:rPr>
                <w:rFonts w:ascii="Times New Roman" w:hAnsi="Times New Roman"/>
              </w:rPr>
              <w:t xml:space="preserve"> związanych z rozliczaniem podatku należnego z tytułu określonych dostaw towarów B2C, projektowana nowelizacja wprowadza m.in. swego rodzaju fikcję prawną,</w:t>
            </w:r>
            <w:r w:rsidR="005B42D2" w:rsidRPr="00F36492">
              <w:rPr>
                <w:rFonts w:ascii="Times New Roman" w:hAnsi="Times New Roman"/>
              </w:rPr>
              <w:t xml:space="preserve"> </w:t>
            </w:r>
            <w:r w:rsidRPr="00F36492">
              <w:rPr>
                <w:rFonts w:ascii="Times New Roman" w:hAnsi="Times New Roman"/>
              </w:rPr>
              <w:t>która w istocie prowadzi do przeniesienia odpowiedzialności za zobowiązanie VAT z tytułu określonych dostaw B2C na podatników prowadzących działalność gospodarczą związaną z zarządzaniem interfejsami elektronicznymi,</w:t>
            </w:r>
            <w:r w:rsidR="005B42D2" w:rsidRPr="00F36492">
              <w:rPr>
                <w:rFonts w:ascii="Times New Roman" w:hAnsi="Times New Roman"/>
              </w:rPr>
              <w:t xml:space="preserve"> </w:t>
            </w:r>
            <w:r w:rsidRPr="00F36492">
              <w:rPr>
                <w:rFonts w:ascii="Times New Roman" w:hAnsi="Times New Roman"/>
              </w:rPr>
              <w:t xml:space="preserve">zwanych dalej również „operatorami interfejsu elektronicznego”. </w:t>
            </w:r>
          </w:p>
          <w:p w14:paraId="00549EB2" w14:textId="6C4A1E5D" w:rsidR="00924FE8" w:rsidRPr="00F36492" w:rsidRDefault="1D9DC3A4" w:rsidP="00F36492">
            <w:pPr>
              <w:spacing w:line="240" w:lineRule="auto"/>
              <w:jc w:val="both"/>
              <w:rPr>
                <w:rFonts w:ascii="Times New Roman" w:hAnsi="Times New Roman"/>
              </w:rPr>
            </w:pPr>
            <w:r w:rsidRPr="00F36492">
              <w:rPr>
                <w:rFonts w:ascii="Times New Roman" w:hAnsi="Times New Roman"/>
              </w:rPr>
              <w:t>Należy podkreślić, że ta fikcja prawna została przyjęta jedynie na potrzeby przepisów o VAT i nie ma zastosowania do innych dziedzin prawa, w tym regulujących stosunki cywilnoprawne.</w:t>
            </w:r>
          </w:p>
          <w:p w14:paraId="371A441A" w14:textId="3913309E" w:rsidR="1D9DC3A4" w:rsidRPr="00F36492" w:rsidRDefault="1D9DC3A4" w:rsidP="00F36492">
            <w:pPr>
              <w:spacing w:line="240" w:lineRule="auto"/>
              <w:jc w:val="both"/>
              <w:rPr>
                <w:rFonts w:ascii="Times New Roman" w:hAnsi="Times New Roman"/>
              </w:rPr>
            </w:pPr>
            <w:r w:rsidRPr="00F36492">
              <w:rPr>
                <w:rFonts w:ascii="Times New Roman" w:hAnsi="Times New Roman"/>
              </w:rPr>
              <w:t xml:space="preserve">Oczekuje się, że wprowadzenie takiego rozwiązania spełni zakładane rezultaty, ponieważ ciężar wykonania obowiązków określonych w przepisach VAT w związku z ww. dostawami towarów zostanie przeniesiony z bardzo dużej grupy przedsiębiorców (tzw. dostawców bazowych), spośród których wielu nie ma siedziby działalności gospodarczej w UE (co dodatkowo utrudnia egzekucję obowiązków podatkowych), na znacznie mniej liczną grupę operatorów interfejsów elektronicznych, którzy zwykle dysponują znacznie większymi zasobami niż dostawcy bazowi, dzięki czemu łatwiej im będzie wypełniać obowiązki przewidziane w regulacjach VAT. </w:t>
            </w:r>
          </w:p>
          <w:p w14:paraId="75AAC9C8" w14:textId="1DCC1375" w:rsidR="1D9DC3A4" w:rsidRPr="00F36492" w:rsidRDefault="1D9DC3A4" w:rsidP="00F36492">
            <w:pPr>
              <w:spacing w:line="240" w:lineRule="auto"/>
              <w:jc w:val="both"/>
              <w:rPr>
                <w:rFonts w:ascii="Times New Roman" w:hAnsi="Times New Roman"/>
              </w:rPr>
            </w:pPr>
            <w:r w:rsidRPr="00F36492">
              <w:rPr>
                <w:rFonts w:ascii="Times New Roman" w:hAnsi="Times New Roman"/>
              </w:rPr>
              <w:t xml:space="preserve"> Ponadto</w:t>
            </w:r>
            <w:r w:rsidR="005748B3" w:rsidRPr="00F36492">
              <w:rPr>
                <w:rFonts w:ascii="Times New Roman" w:hAnsi="Times New Roman"/>
              </w:rPr>
              <w:t>,</w:t>
            </w:r>
            <w:r w:rsidRPr="00F36492">
              <w:rPr>
                <w:rFonts w:ascii="Times New Roman" w:hAnsi="Times New Roman"/>
              </w:rPr>
              <w:t xml:space="preserve"> aby umożliwić administracji skarbowej efektywniejszy monitoring w zakresie wykonywania obowiązków przewidzianych w przepisach VAT, określeni operato</w:t>
            </w:r>
            <w:r w:rsidR="00924FE8" w:rsidRPr="00F36492">
              <w:rPr>
                <w:rFonts w:ascii="Times New Roman" w:hAnsi="Times New Roman"/>
              </w:rPr>
              <w:t>rzy interfejsów elektronicznych,</w:t>
            </w:r>
            <w:r w:rsidRPr="00F36492">
              <w:rPr>
                <w:rFonts w:ascii="Times New Roman" w:hAnsi="Times New Roman"/>
              </w:rPr>
              <w:t xml:space="preserve"> za pośrednictwem których świadczone są usługi oraz dokonywane są dostawy towarów na terytorium UE </w:t>
            </w:r>
            <w:r w:rsidR="00345DE9" w:rsidRPr="00F36492">
              <w:rPr>
                <w:rFonts w:ascii="Times New Roman" w:hAnsi="Times New Roman"/>
              </w:rPr>
              <w:t xml:space="preserve">zasadniczo </w:t>
            </w:r>
            <w:r w:rsidRPr="00F36492">
              <w:rPr>
                <w:rFonts w:ascii="Times New Roman" w:hAnsi="Times New Roman"/>
              </w:rPr>
              <w:t xml:space="preserve">na rzecz </w:t>
            </w:r>
            <w:r w:rsidR="005748B3" w:rsidRPr="00F36492">
              <w:rPr>
                <w:rFonts w:ascii="Times New Roman" w:hAnsi="Times New Roman"/>
              </w:rPr>
              <w:t>konsumentów</w:t>
            </w:r>
            <w:r w:rsidRPr="00F36492">
              <w:rPr>
                <w:rFonts w:ascii="Times New Roman" w:hAnsi="Times New Roman"/>
              </w:rPr>
              <w:t xml:space="preserve">, będą obowiązani do prowadzenia ewidencji tych transakcji w postaci elektronicznej. </w:t>
            </w:r>
            <w:r w:rsidR="00E04F68" w:rsidRPr="00F36492">
              <w:rPr>
                <w:rFonts w:ascii="Times New Roman" w:hAnsi="Times New Roman"/>
              </w:rPr>
              <w:t>W odniesieniu do dostaw towarów, których wysyłka lub transport rozpoczyna się bądź kończy terytorium Polski oraz usług, których miejsce świadczenia znajduje się w Polsce, e</w:t>
            </w:r>
            <w:r w:rsidRPr="00F36492">
              <w:rPr>
                <w:rFonts w:ascii="Times New Roman" w:hAnsi="Times New Roman"/>
              </w:rPr>
              <w:t xml:space="preserve">widencja ta będzie udostępniana </w:t>
            </w:r>
            <w:r w:rsidR="00C72584" w:rsidRPr="00F36492">
              <w:rPr>
                <w:rFonts w:ascii="Times New Roman" w:hAnsi="Times New Roman"/>
              </w:rPr>
              <w:t xml:space="preserve">drogą elektroniczną </w:t>
            </w:r>
            <w:r w:rsidRPr="00F36492">
              <w:rPr>
                <w:rFonts w:ascii="Times New Roman" w:hAnsi="Times New Roman"/>
              </w:rPr>
              <w:t xml:space="preserve">na </w:t>
            </w:r>
            <w:r w:rsidR="00E04F68" w:rsidRPr="00F36492">
              <w:rPr>
                <w:rFonts w:ascii="Times New Roman" w:hAnsi="Times New Roman"/>
              </w:rPr>
              <w:t>żądanie właściwego organu podatkowego</w:t>
            </w:r>
            <w:r w:rsidRPr="00F36492">
              <w:rPr>
                <w:rFonts w:ascii="Times New Roman" w:hAnsi="Times New Roman"/>
              </w:rPr>
              <w:t>.</w:t>
            </w:r>
            <w:r w:rsidR="00C72584" w:rsidRPr="00F36492">
              <w:rPr>
                <w:rFonts w:ascii="Times New Roman" w:hAnsi="Times New Roman"/>
              </w:rPr>
              <w:t xml:space="preserve"> </w:t>
            </w:r>
          </w:p>
          <w:p w14:paraId="0448100A" w14:textId="77777777" w:rsidR="00AB2174" w:rsidRPr="00F36492" w:rsidRDefault="00AB2174" w:rsidP="00F36492">
            <w:pPr>
              <w:spacing w:line="240" w:lineRule="auto"/>
              <w:jc w:val="both"/>
              <w:rPr>
                <w:rFonts w:ascii="Times New Roman" w:hAnsi="Times New Roman"/>
              </w:rPr>
            </w:pPr>
          </w:p>
          <w:p w14:paraId="065409C3" w14:textId="1446077F" w:rsidR="00800123" w:rsidRPr="00F36492" w:rsidRDefault="00800123" w:rsidP="00F36492">
            <w:pPr>
              <w:spacing w:line="240" w:lineRule="auto"/>
              <w:jc w:val="both"/>
              <w:rPr>
                <w:rFonts w:ascii="Times New Roman" w:hAnsi="Times New Roman"/>
              </w:rPr>
            </w:pPr>
            <w:r w:rsidRPr="00F36492">
              <w:rPr>
                <w:rFonts w:ascii="Times New Roman" w:hAnsi="Times New Roman"/>
              </w:rPr>
              <w:t xml:space="preserve">Urzeczywistnienie rynku wewnętrznego, globalizacja i postęp technologiczny doprowadziły do gwałtownego wzrostu handlu elektronicznego, a co za tym idzie sprzedaży towarów na odległość – zarówno towarów dostarczanych z jednego państwa członkowskiego do innego, jak i z terytoriów trzecich lub państw trzecich do </w:t>
            </w:r>
            <w:r w:rsidR="002269B4" w:rsidRPr="00F36492">
              <w:rPr>
                <w:rFonts w:ascii="Times New Roman" w:hAnsi="Times New Roman"/>
              </w:rPr>
              <w:t>Unii</w:t>
            </w:r>
            <w:r w:rsidRPr="00F36492">
              <w:rPr>
                <w:rFonts w:ascii="Times New Roman" w:hAnsi="Times New Roman"/>
              </w:rPr>
              <w:t xml:space="preserve">. Należało zatem dostosować do tych zmian przepisy dyrektyw 2006/112/WE i 2009/132/WE, uwzględniając zasadę opodatkowania w miejscu przeznaczenia, konieczność ochrony dochodów podatkowych państw członkowskich, stworzenia równych warunków działania dla zainteresowanych przedsiębiorstw i zminimalizowania ciążących na nich obciążeń. </w:t>
            </w:r>
          </w:p>
          <w:p w14:paraId="32552605" w14:textId="4F24CAB5" w:rsidR="00924FAC" w:rsidRPr="00F36492" w:rsidRDefault="00800123" w:rsidP="00F36492">
            <w:pPr>
              <w:spacing w:line="240" w:lineRule="auto"/>
              <w:jc w:val="both"/>
              <w:rPr>
                <w:rFonts w:ascii="Times New Roman" w:hAnsi="Times New Roman"/>
              </w:rPr>
            </w:pPr>
            <w:r w:rsidRPr="00F36492">
              <w:rPr>
                <w:rFonts w:ascii="Times New Roman" w:hAnsi="Times New Roman"/>
              </w:rPr>
              <w:t xml:space="preserve">Procedurę szczególną dla usług telekomunikacyjnych, usług nadawczych lub usług świadczonych drogą elektroniczną, które to usługi są świadczone przez podatników mających siedzibę na terytorium </w:t>
            </w:r>
            <w:r w:rsidR="002269B4" w:rsidRPr="00F36492">
              <w:rPr>
                <w:rFonts w:ascii="Times New Roman" w:hAnsi="Times New Roman"/>
              </w:rPr>
              <w:t>Unii</w:t>
            </w:r>
            <w:r w:rsidRPr="00F36492">
              <w:rPr>
                <w:rFonts w:ascii="Times New Roman" w:hAnsi="Times New Roman"/>
              </w:rPr>
              <w:t>, ale nieposiadających siedziby w państwie członkowskim konsumpcji</w:t>
            </w:r>
            <w:r w:rsidR="00924FAC" w:rsidRPr="00F36492">
              <w:rPr>
                <w:rFonts w:ascii="Times New Roman" w:hAnsi="Times New Roman"/>
              </w:rPr>
              <w:t xml:space="preserve"> (MOSS)</w:t>
            </w:r>
            <w:r w:rsidRPr="00F36492">
              <w:rPr>
                <w:rFonts w:ascii="Times New Roman" w:hAnsi="Times New Roman"/>
              </w:rPr>
              <w:t>, rozszerzono</w:t>
            </w:r>
            <w:r w:rsidR="00924FAC" w:rsidRPr="00F36492">
              <w:rPr>
                <w:rFonts w:ascii="Times New Roman" w:hAnsi="Times New Roman"/>
              </w:rPr>
              <w:t xml:space="preserve"> i utworzono OSS. Z założenia OSS (podobnie jak było to w przypadku MOSS) ma na celu uproszczenie obowiązków w zakresie podatku VAT dla podatników dokonujących dostaw towarów i świadczących usługi osobom niebędącym podatnikami </w:t>
            </w:r>
            <w:r w:rsidR="002269B4" w:rsidRPr="00F36492">
              <w:rPr>
                <w:rFonts w:ascii="Times New Roman" w:hAnsi="Times New Roman"/>
              </w:rPr>
              <w:t>na</w:t>
            </w:r>
            <w:r w:rsidR="00924FAC" w:rsidRPr="00F36492">
              <w:rPr>
                <w:rFonts w:ascii="Times New Roman" w:hAnsi="Times New Roman"/>
              </w:rPr>
              <w:t xml:space="preserve"> terytorium UE, poprzez umożliwienie im:</w:t>
            </w:r>
          </w:p>
          <w:p w14:paraId="07A04ABD" w14:textId="77777777" w:rsidR="00924FAC" w:rsidRPr="00F36492" w:rsidRDefault="00924FAC" w:rsidP="00F36492">
            <w:pPr>
              <w:spacing w:line="240" w:lineRule="auto"/>
              <w:jc w:val="both"/>
              <w:rPr>
                <w:rFonts w:ascii="Times New Roman" w:hAnsi="Times New Roman"/>
              </w:rPr>
            </w:pPr>
            <w:r w:rsidRPr="00F36492">
              <w:rPr>
                <w:rFonts w:ascii="Times New Roman" w:hAnsi="Times New Roman"/>
              </w:rPr>
              <w:t>• elektronicznej rejestracji dla celów podatku VAT w jednym państwie członkowskim;</w:t>
            </w:r>
          </w:p>
          <w:p w14:paraId="2B5FDBA0" w14:textId="77777777" w:rsidR="00924FAC" w:rsidRPr="00F36492" w:rsidRDefault="00924FAC" w:rsidP="00F36492">
            <w:pPr>
              <w:spacing w:line="240" w:lineRule="auto"/>
              <w:jc w:val="both"/>
              <w:rPr>
                <w:rFonts w:ascii="Times New Roman" w:hAnsi="Times New Roman"/>
              </w:rPr>
            </w:pPr>
            <w:r w:rsidRPr="00F36492">
              <w:rPr>
                <w:rFonts w:ascii="Times New Roman" w:hAnsi="Times New Roman"/>
              </w:rPr>
              <w:t>• deklarowania i płacenia należnego podatku VAT w ramach jednej elektronicznej kwartalnej deklaracji;</w:t>
            </w:r>
          </w:p>
          <w:p w14:paraId="0801624A" w14:textId="48FE0D45" w:rsidR="00924FAC" w:rsidRPr="00F36492" w:rsidRDefault="00924FAC" w:rsidP="00F36492">
            <w:pPr>
              <w:spacing w:line="240" w:lineRule="auto"/>
              <w:jc w:val="both"/>
              <w:rPr>
                <w:rFonts w:ascii="Times New Roman" w:hAnsi="Times New Roman"/>
              </w:rPr>
            </w:pPr>
            <w:r w:rsidRPr="00F36492">
              <w:rPr>
                <w:rFonts w:ascii="Times New Roman" w:hAnsi="Times New Roman"/>
              </w:rPr>
              <w:t>• współpracy z administracją podatkową własnego państwa członkowskiego, nawet jeśli dokonywane dostawy / świadczenie usług mają charakter transgraniczny.</w:t>
            </w:r>
          </w:p>
          <w:p w14:paraId="127C1D10" w14:textId="77777777" w:rsidR="00AB2174" w:rsidRPr="00F36492" w:rsidRDefault="00800123" w:rsidP="00F36492">
            <w:pPr>
              <w:spacing w:line="240" w:lineRule="auto"/>
              <w:jc w:val="both"/>
              <w:rPr>
                <w:rFonts w:ascii="Times New Roman" w:hAnsi="Times New Roman"/>
              </w:rPr>
            </w:pPr>
            <w:r w:rsidRPr="00F36492">
              <w:rPr>
                <w:rFonts w:ascii="Times New Roman" w:hAnsi="Times New Roman"/>
              </w:rPr>
              <w:t xml:space="preserve"> </w:t>
            </w:r>
          </w:p>
          <w:p w14:paraId="61073B21" w14:textId="040E2F6E" w:rsidR="00800123" w:rsidRPr="00F36492" w:rsidRDefault="00924FAC" w:rsidP="00F36492">
            <w:pPr>
              <w:spacing w:line="240" w:lineRule="auto"/>
              <w:jc w:val="both"/>
              <w:rPr>
                <w:rFonts w:ascii="Times New Roman" w:hAnsi="Times New Roman"/>
              </w:rPr>
            </w:pPr>
            <w:r w:rsidRPr="00F36492">
              <w:rPr>
                <w:rFonts w:ascii="Times New Roman" w:hAnsi="Times New Roman"/>
              </w:rPr>
              <w:t>W</w:t>
            </w:r>
            <w:r w:rsidR="00800123" w:rsidRPr="00F36492">
              <w:rPr>
                <w:rFonts w:ascii="Times New Roman" w:hAnsi="Times New Roman"/>
              </w:rPr>
              <w:t>prowadzono</w:t>
            </w:r>
            <w:r w:rsidRPr="00F36492">
              <w:rPr>
                <w:rFonts w:ascii="Times New Roman" w:hAnsi="Times New Roman"/>
              </w:rPr>
              <w:t xml:space="preserve"> również</w:t>
            </w:r>
            <w:r w:rsidR="00800123" w:rsidRPr="00F36492">
              <w:rPr>
                <w:rFonts w:ascii="Times New Roman" w:hAnsi="Times New Roman"/>
              </w:rPr>
              <w:t xml:space="preserve"> podobną procedurę szczególną </w:t>
            </w:r>
            <w:r w:rsidR="009C14CA">
              <w:rPr>
                <w:rFonts w:ascii="Times New Roman" w:hAnsi="Times New Roman"/>
              </w:rPr>
              <w:t xml:space="preserve">importu </w:t>
            </w:r>
            <w:r w:rsidR="00800123" w:rsidRPr="00F36492">
              <w:rPr>
                <w:rFonts w:ascii="Times New Roman" w:hAnsi="Times New Roman"/>
              </w:rPr>
              <w:t xml:space="preserve">dla sprzedaży na odległość towarów importowanych </w:t>
            </w:r>
            <w:r w:rsidR="0069439C">
              <w:rPr>
                <w:rFonts w:ascii="Times New Roman" w:hAnsi="Times New Roman"/>
              </w:rPr>
              <w:br/>
            </w:r>
            <w:r w:rsidR="00800123" w:rsidRPr="00F36492">
              <w:rPr>
                <w:rFonts w:ascii="Times New Roman" w:hAnsi="Times New Roman"/>
              </w:rPr>
              <w:t>z terytoriów trzecich lub państw trzecich</w:t>
            </w:r>
            <w:r w:rsidR="009C14CA">
              <w:rPr>
                <w:rFonts w:ascii="Times New Roman" w:hAnsi="Times New Roman"/>
              </w:rPr>
              <w:t xml:space="preserve"> - IOSS</w:t>
            </w:r>
            <w:r w:rsidR="00800123" w:rsidRPr="00F36492">
              <w:rPr>
                <w:rFonts w:ascii="Times New Roman" w:hAnsi="Times New Roman"/>
              </w:rPr>
              <w:t>. Aby jasno określić zakres środków mających zastosowanie do wewnątrzwspólnotowej sprzedaży towarów na odległość i sprzedaży na odległość towarów importowanych z terytoriów trzecich lub państw trzecich, zdefiniowano te pojęcia.</w:t>
            </w:r>
          </w:p>
          <w:p w14:paraId="329A5726" w14:textId="02E0F363" w:rsidR="00800123" w:rsidRDefault="00F379A5" w:rsidP="00F36492">
            <w:pPr>
              <w:spacing w:line="240" w:lineRule="auto"/>
              <w:jc w:val="both"/>
              <w:rPr>
                <w:rFonts w:ascii="Times New Roman" w:hAnsi="Times New Roman"/>
              </w:rPr>
            </w:pPr>
            <w:r>
              <w:rPr>
                <w:rFonts w:ascii="Times New Roman" w:hAnsi="Times New Roman"/>
              </w:rPr>
              <w:t>Wprowadzono także tzw.</w:t>
            </w:r>
            <w:r w:rsidRPr="00F36492">
              <w:rPr>
                <w:rFonts w:ascii="Times New Roman" w:hAnsi="Times New Roman"/>
              </w:rPr>
              <w:t xml:space="preserve"> uregulowani</w:t>
            </w:r>
            <w:r>
              <w:rPr>
                <w:rFonts w:ascii="Times New Roman" w:hAnsi="Times New Roman"/>
              </w:rPr>
              <w:t xml:space="preserve">e </w:t>
            </w:r>
            <w:r w:rsidR="00B03633" w:rsidRPr="00F36492">
              <w:rPr>
                <w:rFonts w:ascii="Times New Roman" w:hAnsi="Times New Roman"/>
              </w:rPr>
              <w:t xml:space="preserve">szczególne, które </w:t>
            </w:r>
            <w:r w:rsidRPr="00F36492">
              <w:rPr>
                <w:rFonts w:ascii="Times New Roman" w:hAnsi="Times New Roman"/>
              </w:rPr>
              <w:t>zostan</w:t>
            </w:r>
            <w:r>
              <w:rPr>
                <w:rFonts w:ascii="Times New Roman" w:hAnsi="Times New Roman"/>
              </w:rPr>
              <w:t>ie</w:t>
            </w:r>
            <w:r w:rsidRPr="00F36492">
              <w:rPr>
                <w:rFonts w:ascii="Times New Roman" w:hAnsi="Times New Roman"/>
              </w:rPr>
              <w:t xml:space="preserve"> </w:t>
            </w:r>
            <w:r w:rsidR="00B03633" w:rsidRPr="00F36492">
              <w:rPr>
                <w:rFonts w:ascii="Times New Roman" w:hAnsi="Times New Roman"/>
              </w:rPr>
              <w:t xml:space="preserve">zaimplementowane w nowym </w:t>
            </w:r>
            <w:r>
              <w:rPr>
                <w:rFonts w:ascii="Times New Roman" w:hAnsi="Times New Roman"/>
              </w:rPr>
              <w:t>rozdziale 10</w:t>
            </w:r>
            <w:r w:rsidR="006A0736" w:rsidRPr="00F36492">
              <w:rPr>
                <w:rFonts w:ascii="Times New Roman" w:hAnsi="Times New Roman"/>
              </w:rPr>
              <w:t xml:space="preserve"> </w:t>
            </w:r>
            <w:r w:rsidR="00B03633" w:rsidRPr="00F36492">
              <w:rPr>
                <w:rFonts w:ascii="Times New Roman" w:hAnsi="Times New Roman"/>
              </w:rPr>
              <w:t xml:space="preserve">ustawy </w:t>
            </w:r>
            <w:r w:rsidR="0069439C">
              <w:rPr>
                <w:rFonts w:ascii="Times New Roman" w:hAnsi="Times New Roman"/>
              </w:rPr>
              <w:br/>
            </w:r>
            <w:r w:rsidR="00B03633" w:rsidRPr="00F36492">
              <w:rPr>
                <w:rFonts w:ascii="Times New Roman" w:hAnsi="Times New Roman"/>
              </w:rPr>
              <w:t>o VAT, pozwalają</w:t>
            </w:r>
            <w:r w:rsidR="00B452E1">
              <w:rPr>
                <w:rFonts w:ascii="Times New Roman" w:hAnsi="Times New Roman"/>
              </w:rPr>
              <w:t>ce</w:t>
            </w:r>
            <w:r w:rsidR="00B03633" w:rsidRPr="00F36492">
              <w:rPr>
                <w:rFonts w:ascii="Times New Roman" w:hAnsi="Times New Roman"/>
              </w:rPr>
              <w:t xml:space="preserve"> na specjalny,</w:t>
            </w:r>
            <w:r w:rsidR="000A235D">
              <w:rPr>
                <w:rFonts w:ascii="Times New Roman" w:hAnsi="Times New Roman"/>
              </w:rPr>
              <w:t xml:space="preserve"> </w:t>
            </w:r>
            <w:r w:rsidR="00B03633" w:rsidRPr="00F36492">
              <w:rPr>
                <w:rFonts w:ascii="Times New Roman" w:hAnsi="Times New Roman"/>
              </w:rPr>
              <w:t>uproszczony sposób wykazywania</w:t>
            </w:r>
            <w:r w:rsidR="000A235D">
              <w:rPr>
                <w:rFonts w:ascii="Times New Roman" w:hAnsi="Times New Roman"/>
              </w:rPr>
              <w:t xml:space="preserve"> </w:t>
            </w:r>
            <w:r w:rsidR="00B03633" w:rsidRPr="00F36492">
              <w:rPr>
                <w:rFonts w:ascii="Times New Roman" w:hAnsi="Times New Roman"/>
              </w:rPr>
              <w:t>i zapłaty podatku z tytułu importu</w:t>
            </w:r>
            <w:r w:rsidR="00B452E1">
              <w:rPr>
                <w:rFonts w:ascii="Times New Roman" w:hAnsi="Times New Roman"/>
              </w:rPr>
              <w:t xml:space="preserve"> w deklaracji miesięcznej</w:t>
            </w:r>
            <w:r w:rsidR="00B03633" w:rsidRPr="00F36492">
              <w:rPr>
                <w:rFonts w:ascii="Times New Roman" w:hAnsi="Times New Roman"/>
              </w:rPr>
              <w:t xml:space="preserve">, przez operatorów pocztowych w rozumieniu ustawy </w:t>
            </w:r>
            <w:r w:rsidR="000A235D">
              <w:rPr>
                <w:rFonts w:ascii="Times New Roman" w:hAnsi="Times New Roman"/>
              </w:rPr>
              <w:t>–</w:t>
            </w:r>
            <w:r w:rsidR="00B03633" w:rsidRPr="00F36492">
              <w:rPr>
                <w:rFonts w:ascii="Times New Roman" w:hAnsi="Times New Roman"/>
              </w:rPr>
              <w:t xml:space="preserve"> Prawo</w:t>
            </w:r>
            <w:r w:rsidR="000A235D">
              <w:rPr>
                <w:rFonts w:ascii="Times New Roman" w:hAnsi="Times New Roman"/>
              </w:rPr>
              <w:t xml:space="preserve"> </w:t>
            </w:r>
            <w:r w:rsidR="00B03633" w:rsidRPr="00F36492">
              <w:rPr>
                <w:rFonts w:ascii="Times New Roman" w:hAnsi="Times New Roman"/>
              </w:rPr>
              <w:t xml:space="preserve">pocztowe, jeżeli towary są umieszczone </w:t>
            </w:r>
            <w:r w:rsidR="000A235D">
              <w:rPr>
                <w:rFonts w:ascii="Times New Roman" w:hAnsi="Times New Roman"/>
              </w:rPr>
              <w:br/>
            </w:r>
            <w:r w:rsidR="00B03633" w:rsidRPr="00F36492">
              <w:rPr>
                <w:rFonts w:ascii="Times New Roman" w:hAnsi="Times New Roman"/>
              </w:rPr>
              <w:t>w przesyłkach wysłanych z terytorium państwa trzeciego do odbiorcy przebywającego na terytorium kraju, pod warunkiem, że łączna wartość towarów w przesyłce nie przekracza kwoty wyrażonej w złotych i odpowiadającej równowartości 150 EUR</w:t>
            </w:r>
            <w:r>
              <w:rPr>
                <w:rFonts w:ascii="Times New Roman" w:hAnsi="Times New Roman"/>
              </w:rPr>
              <w:t>.</w:t>
            </w:r>
            <w:r w:rsidR="009C14CA">
              <w:rPr>
                <w:rFonts w:ascii="Times New Roman" w:hAnsi="Times New Roman"/>
              </w:rPr>
              <w:t xml:space="preserve"> To uregulowanie szczególne będzie mogło być stosowane, gdy nie będzie stosowany IOSS</w:t>
            </w:r>
            <w:r w:rsidR="005B4887">
              <w:rPr>
                <w:rFonts w:ascii="Times New Roman" w:hAnsi="Times New Roman"/>
              </w:rPr>
              <w:t>.</w:t>
            </w:r>
            <w:r>
              <w:rPr>
                <w:rFonts w:ascii="Times New Roman" w:hAnsi="Times New Roman"/>
              </w:rPr>
              <w:t xml:space="preserve"> </w:t>
            </w:r>
          </w:p>
          <w:p w14:paraId="0DD7A17F" w14:textId="2C64896F" w:rsidR="00F379A5" w:rsidRDefault="00F379A5" w:rsidP="00F36492">
            <w:pPr>
              <w:spacing w:line="240" w:lineRule="auto"/>
              <w:jc w:val="both"/>
              <w:rPr>
                <w:rFonts w:ascii="Times New Roman" w:hAnsi="Times New Roman"/>
              </w:rPr>
            </w:pPr>
            <w:r>
              <w:rPr>
                <w:rFonts w:ascii="Times New Roman" w:hAnsi="Times New Roman"/>
              </w:rPr>
              <w:t xml:space="preserve">Oczekuje się, że </w:t>
            </w:r>
            <w:r w:rsidR="00B452E1">
              <w:rPr>
                <w:rFonts w:ascii="Times New Roman" w:hAnsi="Times New Roman"/>
              </w:rPr>
              <w:t>wprowadzone powyższe</w:t>
            </w:r>
            <w:r>
              <w:rPr>
                <w:rFonts w:ascii="Times New Roman" w:hAnsi="Times New Roman"/>
              </w:rPr>
              <w:t xml:space="preserve"> nowe procedury w odniesieniu  do importowanych towarów zakupionych przez Internet</w:t>
            </w:r>
            <w:r w:rsidR="00B452E1">
              <w:rPr>
                <w:rFonts w:ascii="Times New Roman" w:hAnsi="Times New Roman"/>
              </w:rPr>
              <w:t>, w przesyłkach do 150 euro</w:t>
            </w:r>
            <w:r>
              <w:rPr>
                <w:rFonts w:ascii="Times New Roman" w:hAnsi="Times New Roman"/>
              </w:rPr>
              <w:t xml:space="preserve"> </w:t>
            </w:r>
            <w:r w:rsidR="00877D5F">
              <w:rPr>
                <w:rFonts w:ascii="Times New Roman" w:hAnsi="Times New Roman"/>
              </w:rPr>
              <w:t>zapewnią</w:t>
            </w:r>
            <w:r w:rsidR="00B452E1">
              <w:rPr>
                <w:rFonts w:ascii="Times New Roman" w:hAnsi="Times New Roman"/>
              </w:rPr>
              <w:t xml:space="preserve"> efektywny pobór podatku należnego od każdego towaru, dla którego Polska jest państwem konsumpcji.</w:t>
            </w:r>
            <w:r>
              <w:rPr>
                <w:rFonts w:ascii="Times New Roman" w:hAnsi="Times New Roman"/>
              </w:rPr>
              <w:t xml:space="preserve"> </w:t>
            </w:r>
          </w:p>
          <w:p w14:paraId="59B0616A" w14:textId="554233EF" w:rsidR="009C14CA" w:rsidRPr="00167C5F" w:rsidRDefault="009C14CA" w:rsidP="009C14CA">
            <w:pPr>
              <w:spacing w:line="240" w:lineRule="auto"/>
              <w:jc w:val="both"/>
              <w:rPr>
                <w:rFonts w:ascii="Times New Roman" w:hAnsi="Times New Roman"/>
              </w:rPr>
            </w:pPr>
            <w:r w:rsidRPr="00167C5F">
              <w:rPr>
                <w:rFonts w:ascii="Times New Roman" w:hAnsi="Times New Roman"/>
              </w:rPr>
              <w:t xml:space="preserve">Proponowane rozwiązania powinny wpłynąć pozytywnie na rozwój konkurencyjności gospodarki i przedsiębiorczość, </w:t>
            </w:r>
            <w:r>
              <w:rPr>
                <w:rFonts w:ascii="Times New Roman" w:hAnsi="Times New Roman"/>
              </w:rPr>
              <w:br/>
            </w:r>
            <w:r w:rsidRPr="00167C5F">
              <w:rPr>
                <w:rFonts w:ascii="Times New Roman" w:hAnsi="Times New Roman"/>
              </w:rPr>
              <w:t>w tym funkcjonowanie przedsiębiorców.</w:t>
            </w:r>
          </w:p>
          <w:p w14:paraId="7B4D59FD" w14:textId="77777777" w:rsidR="009C14CA" w:rsidRPr="00F36492" w:rsidRDefault="009C14CA" w:rsidP="00F36492">
            <w:pPr>
              <w:spacing w:line="240" w:lineRule="auto"/>
              <w:jc w:val="both"/>
              <w:rPr>
                <w:rFonts w:ascii="Times New Roman" w:hAnsi="Times New Roman"/>
              </w:rPr>
            </w:pPr>
          </w:p>
          <w:p w14:paraId="52946086" w14:textId="77777777" w:rsidR="0002305C" w:rsidRPr="00F36492" w:rsidRDefault="0002305C" w:rsidP="00F36492">
            <w:pPr>
              <w:spacing w:line="240" w:lineRule="auto"/>
              <w:jc w:val="both"/>
              <w:rPr>
                <w:rFonts w:ascii="Times New Roman" w:hAnsi="Times New Roman"/>
                <w:spacing w:val="-2"/>
              </w:rPr>
            </w:pPr>
          </w:p>
        </w:tc>
      </w:tr>
      <w:tr w:rsidR="0002305C" w:rsidRPr="00F36492" w14:paraId="52946089" w14:textId="77777777" w:rsidTr="1D9DC3A4">
        <w:trPr>
          <w:gridAfter w:val="1"/>
          <w:wAfter w:w="10" w:type="dxa"/>
          <w:trHeight w:val="307"/>
        </w:trPr>
        <w:tc>
          <w:tcPr>
            <w:tcW w:w="11070" w:type="dxa"/>
            <w:gridSpan w:val="24"/>
            <w:shd w:val="clear" w:color="auto" w:fill="99CCFF"/>
            <w:vAlign w:val="center"/>
          </w:tcPr>
          <w:p w14:paraId="52946088" w14:textId="77777777" w:rsidR="0002305C" w:rsidRPr="00F36492" w:rsidRDefault="0002305C" w:rsidP="00F36492">
            <w:pPr>
              <w:numPr>
                <w:ilvl w:val="0"/>
                <w:numId w:val="12"/>
              </w:numPr>
              <w:spacing w:line="240" w:lineRule="auto"/>
              <w:ind w:left="0" w:firstLine="0"/>
              <w:jc w:val="both"/>
              <w:rPr>
                <w:rFonts w:ascii="Times New Roman" w:hAnsi="Times New Roman"/>
                <w:b/>
              </w:rPr>
            </w:pPr>
            <w:r w:rsidRPr="00F36492">
              <w:rPr>
                <w:rFonts w:ascii="Times New Roman" w:hAnsi="Times New Roman"/>
                <w:b/>
                <w:spacing w:val="-2"/>
              </w:rPr>
              <w:lastRenderedPageBreak/>
              <w:t>Jak problem został rozwiązany w innych krajach, w szczególności krajach członkowskich OECD/UE</w:t>
            </w:r>
            <w:r w:rsidRPr="00F36492">
              <w:rPr>
                <w:rFonts w:ascii="Times New Roman" w:hAnsi="Times New Roman"/>
                <w:b/>
              </w:rPr>
              <w:t>?</w:t>
            </w:r>
            <w:r w:rsidRPr="00F36492">
              <w:rPr>
                <w:rFonts w:ascii="Times New Roman" w:hAnsi="Times New Roman"/>
                <w:i/>
              </w:rPr>
              <w:t xml:space="preserve"> </w:t>
            </w:r>
          </w:p>
        </w:tc>
      </w:tr>
      <w:tr w:rsidR="0002305C" w:rsidRPr="00F36492" w14:paraId="5294608D" w14:textId="77777777" w:rsidTr="1D9DC3A4">
        <w:trPr>
          <w:gridAfter w:val="1"/>
          <w:wAfter w:w="10" w:type="dxa"/>
          <w:trHeight w:val="142"/>
        </w:trPr>
        <w:tc>
          <w:tcPr>
            <w:tcW w:w="11070" w:type="dxa"/>
            <w:gridSpan w:val="24"/>
            <w:shd w:val="clear" w:color="auto" w:fill="auto"/>
          </w:tcPr>
          <w:p w14:paraId="5294608A" w14:textId="77777777" w:rsidR="0002305C" w:rsidRPr="00F36492" w:rsidRDefault="0002305C" w:rsidP="00F36492">
            <w:pPr>
              <w:spacing w:line="240" w:lineRule="auto"/>
              <w:jc w:val="both"/>
              <w:rPr>
                <w:rFonts w:ascii="Times New Roman" w:hAnsi="Times New Roman"/>
                <w:spacing w:val="-2"/>
              </w:rPr>
            </w:pPr>
          </w:p>
          <w:p w14:paraId="5294608B" w14:textId="77777777" w:rsidR="0002305C" w:rsidRDefault="0002305C" w:rsidP="00F36492">
            <w:pPr>
              <w:spacing w:line="240" w:lineRule="auto"/>
              <w:jc w:val="both"/>
              <w:rPr>
                <w:rFonts w:ascii="Times New Roman" w:hAnsi="Times New Roman"/>
                <w:spacing w:val="-2"/>
              </w:rPr>
            </w:pPr>
            <w:r w:rsidRPr="00F36492">
              <w:rPr>
                <w:rFonts w:ascii="Times New Roman" w:hAnsi="Times New Roman"/>
                <w:spacing w:val="-2"/>
              </w:rPr>
              <w:t xml:space="preserve">Implementowane przepisy dyrektyw mają być jednolicie wprowadzone we wszystkich państwach członkowskich UE. </w:t>
            </w:r>
          </w:p>
          <w:p w14:paraId="1DB8FFEC" w14:textId="66C5D16D" w:rsidR="006C5ABF" w:rsidRDefault="006C5ABF" w:rsidP="00F36492">
            <w:pPr>
              <w:spacing w:line="240" w:lineRule="auto"/>
              <w:jc w:val="both"/>
              <w:rPr>
                <w:rFonts w:ascii="Times New Roman" w:hAnsi="Times New Roman"/>
              </w:rPr>
            </w:pPr>
            <w:r w:rsidRPr="008820FE">
              <w:rPr>
                <w:rFonts w:ascii="Times New Roman" w:hAnsi="Times New Roman"/>
              </w:rPr>
              <w:t xml:space="preserve">Każde państwo członkowskie w Unii Europejskiej jest zobowiązane do implementacji zmian wynikających z dyrektywy VAT w odniesieniu do tzw. pakietu VAT e-commerce przed dniem 30 czerwca 2021 r. </w:t>
            </w:r>
            <w:r>
              <w:rPr>
                <w:rFonts w:ascii="Times New Roman" w:hAnsi="Times New Roman"/>
              </w:rPr>
              <w:t>W większości państw członkowskich UE proces legislacyjny w zakresie implementacji pakietu VAT e-commerce nie został jeszcze zakończony.</w:t>
            </w:r>
          </w:p>
          <w:p w14:paraId="10995E5D" w14:textId="73DBCCF4" w:rsidR="006C5ABF" w:rsidRPr="00A06988" w:rsidRDefault="006C5ABF" w:rsidP="00F36492">
            <w:pPr>
              <w:spacing w:line="240" w:lineRule="auto"/>
              <w:jc w:val="both"/>
              <w:rPr>
                <w:rFonts w:ascii="Times New Roman" w:hAnsi="Times New Roman"/>
                <w:spacing w:val="-2"/>
              </w:rPr>
            </w:pPr>
            <w:r w:rsidRPr="006C5ABF">
              <w:rPr>
                <w:rFonts w:ascii="Times New Roman" w:hAnsi="Times New Roman"/>
                <w:spacing w:val="-2"/>
              </w:rPr>
              <w:t xml:space="preserve">Państwa członkowskie zobowiązane są do osiągniecia celu przewidzianego w dyrektywie VAT, przy zachowaniu swobody </w:t>
            </w:r>
            <w:r w:rsidRPr="00A06988">
              <w:rPr>
                <w:rFonts w:ascii="Times New Roman" w:hAnsi="Times New Roman"/>
                <w:spacing w:val="-2"/>
              </w:rPr>
              <w:t>środków, które pozwolą mu na osiągnięcie wymaganych dyrektywą rezultatów.</w:t>
            </w:r>
          </w:p>
          <w:p w14:paraId="07EFC421" w14:textId="414B7104" w:rsidR="006C5ABF" w:rsidRPr="00F36492" w:rsidRDefault="006C5ABF" w:rsidP="006C5ABF">
            <w:pPr>
              <w:spacing w:line="240" w:lineRule="auto"/>
              <w:jc w:val="both"/>
              <w:rPr>
                <w:rFonts w:ascii="Times New Roman" w:hAnsi="Times New Roman"/>
                <w:spacing w:val="-2"/>
              </w:rPr>
            </w:pPr>
            <w:r w:rsidRPr="00A06988">
              <w:rPr>
                <w:rFonts w:ascii="Times New Roman" w:hAnsi="Times New Roman"/>
                <w:spacing w:val="-2"/>
              </w:rPr>
              <w:t xml:space="preserve">W projektowanej ustawie w </w:t>
            </w:r>
            <w:r w:rsidR="00360F1B" w:rsidRPr="00A06988">
              <w:rPr>
                <w:rFonts w:ascii="Times New Roman" w:hAnsi="Times New Roman"/>
                <w:spacing w:val="-2"/>
              </w:rPr>
              <w:t>procedurze</w:t>
            </w:r>
            <w:r w:rsidR="00A06988" w:rsidRPr="00A06988">
              <w:rPr>
                <w:rFonts w:ascii="Times New Roman" w:hAnsi="Times New Roman"/>
                <w:spacing w:val="-2"/>
              </w:rPr>
              <w:t xml:space="preserve"> </w:t>
            </w:r>
            <w:r w:rsidR="00360F1B" w:rsidRPr="00A06988">
              <w:rPr>
                <w:rFonts w:ascii="Times New Roman" w:hAnsi="Times New Roman"/>
                <w:spacing w:val="-2"/>
              </w:rPr>
              <w:t>szczególnej dotyczącej deklarowania</w:t>
            </w:r>
            <w:r w:rsidRPr="00A06988">
              <w:rPr>
                <w:rFonts w:ascii="Times New Roman" w:hAnsi="Times New Roman"/>
                <w:spacing w:val="-2"/>
              </w:rPr>
              <w:t xml:space="preserve"> </w:t>
            </w:r>
            <w:r w:rsidR="00A06988" w:rsidRPr="00A06988">
              <w:rPr>
                <w:rFonts w:ascii="Times New Roman" w:hAnsi="Times New Roman"/>
                <w:spacing w:val="-2"/>
              </w:rPr>
              <w:t xml:space="preserve"> i zapłaty podatku z tytułu importu (</w:t>
            </w:r>
            <w:r w:rsidR="00A06988" w:rsidRPr="00A06988">
              <w:rPr>
                <w:rFonts w:ascii="Times New Roman" w:hAnsi="Times New Roman"/>
              </w:rPr>
              <w:t>w projektowanym dziale XII w rozdziale 10)</w:t>
            </w:r>
            <w:r w:rsidR="00A06988">
              <w:rPr>
                <w:rFonts w:ascii="Times New Roman" w:hAnsi="Times New Roman"/>
              </w:rPr>
              <w:t>,</w:t>
            </w:r>
            <w:r w:rsidR="00A06988">
              <w:t xml:space="preserve"> </w:t>
            </w:r>
            <w:r w:rsidRPr="006C5ABF">
              <w:rPr>
                <w:rFonts w:ascii="Times New Roman" w:hAnsi="Times New Roman"/>
                <w:spacing w:val="-2"/>
              </w:rPr>
              <w:t>skorzystano z opcji przewidującej dla państw członkowskich możliwość wyboru stawki podstawowej dla wszystkich towarów importowanych w tej procedurze szczególnej deklarowania podatku z tytułu importu.</w:t>
            </w:r>
            <w:r>
              <w:rPr>
                <w:rFonts w:ascii="Times New Roman" w:hAnsi="Times New Roman"/>
                <w:spacing w:val="-2"/>
              </w:rPr>
              <w:t xml:space="preserve"> </w:t>
            </w:r>
            <w:r w:rsidRPr="006C5ABF">
              <w:rPr>
                <w:rFonts w:ascii="Times New Roman" w:hAnsi="Times New Roman"/>
                <w:spacing w:val="-2"/>
              </w:rPr>
              <w:t>Projekt ten nie zawiera odstępstw od ogólnych zasad unijnych.</w:t>
            </w:r>
          </w:p>
          <w:p w14:paraId="5294608C" w14:textId="77777777" w:rsidR="0002305C" w:rsidRPr="00F36492" w:rsidRDefault="0002305C" w:rsidP="00F36492">
            <w:pPr>
              <w:spacing w:line="240" w:lineRule="auto"/>
              <w:jc w:val="both"/>
              <w:rPr>
                <w:rFonts w:ascii="Times New Roman" w:hAnsi="Times New Roman"/>
                <w:spacing w:val="-2"/>
              </w:rPr>
            </w:pPr>
          </w:p>
        </w:tc>
      </w:tr>
      <w:tr w:rsidR="0002305C" w:rsidRPr="00F36492" w14:paraId="5294608F" w14:textId="77777777" w:rsidTr="1D9DC3A4">
        <w:trPr>
          <w:gridAfter w:val="1"/>
          <w:wAfter w:w="10" w:type="dxa"/>
          <w:trHeight w:val="359"/>
        </w:trPr>
        <w:tc>
          <w:tcPr>
            <w:tcW w:w="11070" w:type="dxa"/>
            <w:gridSpan w:val="24"/>
            <w:shd w:val="clear" w:color="auto" w:fill="99CCFF"/>
            <w:vAlign w:val="center"/>
          </w:tcPr>
          <w:p w14:paraId="5294608E" w14:textId="77777777" w:rsidR="0002305C" w:rsidRPr="00F36492" w:rsidRDefault="0002305C" w:rsidP="00F36492">
            <w:pPr>
              <w:numPr>
                <w:ilvl w:val="0"/>
                <w:numId w:val="12"/>
              </w:numPr>
              <w:spacing w:line="240" w:lineRule="auto"/>
              <w:ind w:left="0" w:firstLine="0"/>
              <w:jc w:val="both"/>
              <w:rPr>
                <w:rFonts w:ascii="Times New Roman" w:hAnsi="Times New Roman"/>
                <w:b/>
              </w:rPr>
            </w:pPr>
            <w:r w:rsidRPr="00F36492">
              <w:rPr>
                <w:rFonts w:ascii="Times New Roman" w:hAnsi="Times New Roman"/>
                <w:b/>
              </w:rPr>
              <w:t>Podmioty, na które oddziałuje projekt</w:t>
            </w:r>
          </w:p>
        </w:tc>
      </w:tr>
      <w:tr w:rsidR="0002305C" w:rsidRPr="00F36492" w14:paraId="52946094" w14:textId="77777777" w:rsidTr="1D9DC3A4">
        <w:trPr>
          <w:gridAfter w:val="1"/>
          <w:wAfter w:w="10" w:type="dxa"/>
          <w:trHeight w:val="142"/>
        </w:trPr>
        <w:tc>
          <w:tcPr>
            <w:tcW w:w="2659" w:type="dxa"/>
            <w:gridSpan w:val="3"/>
            <w:tcBorders>
              <w:bottom w:val="single" w:sz="4" w:space="0" w:color="auto"/>
            </w:tcBorders>
            <w:shd w:val="clear" w:color="auto" w:fill="auto"/>
          </w:tcPr>
          <w:p w14:paraId="52946090" w14:textId="77777777" w:rsidR="0002305C" w:rsidRPr="00F36492" w:rsidRDefault="0002305C" w:rsidP="00F36492">
            <w:pPr>
              <w:spacing w:line="240" w:lineRule="auto"/>
              <w:jc w:val="both"/>
              <w:rPr>
                <w:rFonts w:ascii="Times New Roman" w:hAnsi="Times New Roman"/>
                <w:spacing w:val="-2"/>
              </w:rPr>
            </w:pPr>
            <w:r w:rsidRPr="00F36492">
              <w:rPr>
                <w:rFonts w:ascii="Times New Roman" w:hAnsi="Times New Roman"/>
                <w:spacing w:val="-2"/>
              </w:rPr>
              <w:t>Grupa</w:t>
            </w:r>
          </w:p>
        </w:tc>
        <w:tc>
          <w:tcPr>
            <w:tcW w:w="2180" w:type="dxa"/>
            <w:gridSpan w:val="6"/>
            <w:tcBorders>
              <w:bottom w:val="single" w:sz="4" w:space="0" w:color="auto"/>
            </w:tcBorders>
            <w:shd w:val="clear" w:color="auto" w:fill="auto"/>
          </w:tcPr>
          <w:p w14:paraId="52946091" w14:textId="77777777" w:rsidR="0002305C" w:rsidRPr="00F36492" w:rsidRDefault="0002305C" w:rsidP="00F36492">
            <w:pPr>
              <w:spacing w:line="240" w:lineRule="auto"/>
              <w:jc w:val="both"/>
              <w:rPr>
                <w:rFonts w:ascii="Times New Roman" w:hAnsi="Times New Roman"/>
                <w:spacing w:val="-2"/>
              </w:rPr>
            </w:pPr>
            <w:r w:rsidRPr="00F36492">
              <w:rPr>
                <w:rFonts w:ascii="Times New Roman" w:hAnsi="Times New Roman"/>
                <w:spacing w:val="-2"/>
              </w:rPr>
              <w:t>Wielkość</w:t>
            </w:r>
          </w:p>
        </w:tc>
        <w:tc>
          <w:tcPr>
            <w:tcW w:w="2005" w:type="dxa"/>
            <w:gridSpan w:val="6"/>
            <w:tcBorders>
              <w:bottom w:val="single" w:sz="4" w:space="0" w:color="auto"/>
            </w:tcBorders>
            <w:shd w:val="clear" w:color="auto" w:fill="auto"/>
          </w:tcPr>
          <w:p w14:paraId="52946092" w14:textId="77777777" w:rsidR="0002305C" w:rsidRPr="00F36492" w:rsidRDefault="0002305C" w:rsidP="00F36492">
            <w:pPr>
              <w:spacing w:line="240" w:lineRule="auto"/>
              <w:jc w:val="both"/>
              <w:rPr>
                <w:rFonts w:ascii="Times New Roman" w:hAnsi="Times New Roman"/>
                <w:spacing w:val="-2"/>
              </w:rPr>
            </w:pPr>
            <w:r w:rsidRPr="00F36492">
              <w:rPr>
                <w:rFonts w:ascii="Times New Roman" w:hAnsi="Times New Roman"/>
                <w:spacing w:val="-2"/>
              </w:rPr>
              <w:t>Źródło danych</w:t>
            </w:r>
            <w:r w:rsidRPr="00F36492" w:rsidDel="00260F33">
              <w:rPr>
                <w:rFonts w:ascii="Times New Roman" w:hAnsi="Times New Roman"/>
                <w:spacing w:val="-2"/>
              </w:rPr>
              <w:t xml:space="preserve"> </w:t>
            </w:r>
          </w:p>
        </w:tc>
        <w:tc>
          <w:tcPr>
            <w:tcW w:w="4226" w:type="dxa"/>
            <w:gridSpan w:val="9"/>
            <w:tcBorders>
              <w:bottom w:val="single" w:sz="4" w:space="0" w:color="auto"/>
            </w:tcBorders>
            <w:shd w:val="clear" w:color="auto" w:fill="auto"/>
          </w:tcPr>
          <w:p w14:paraId="52946093" w14:textId="77777777" w:rsidR="0002305C" w:rsidRPr="00F36492" w:rsidRDefault="0002305C" w:rsidP="00F36492">
            <w:pPr>
              <w:spacing w:line="240" w:lineRule="auto"/>
              <w:jc w:val="both"/>
              <w:rPr>
                <w:rFonts w:ascii="Times New Roman" w:hAnsi="Times New Roman"/>
                <w:spacing w:val="-2"/>
              </w:rPr>
            </w:pPr>
            <w:r w:rsidRPr="00F36492">
              <w:rPr>
                <w:rFonts w:ascii="Times New Roman" w:hAnsi="Times New Roman"/>
                <w:spacing w:val="-2"/>
              </w:rPr>
              <w:t>Oddziaływanie</w:t>
            </w:r>
          </w:p>
        </w:tc>
      </w:tr>
      <w:tr w:rsidR="0002305C" w:rsidRPr="00F36492" w14:paraId="52946099" w14:textId="77777777" w:rsidTr="1D9DC3A4">
        <w:trPr>
          <w:gridAfter w:val="1"/>
          <w:wAfter w:w="10" w:type="dxa"/>
          <w:trHeight w:val="142"/>
        </w:trPr>
        <w:tc>
          <w:tcPr>
            <w:tcW w:w="2659" w:type="dxa"/>
            <w:gridSpan w:val="3"/>
            <w:shd w:val="clear" w:color="auto" w:fill="auto"/>
          </w:tcPr>
          <w:p w14:paraId="52946095" w14:textId="312A04B1" w:rsidR="0002305C" w:rsidRPr="00F36492" w:rsidRDefault="0002305C" w:rsidP="008A5E65">
            <w:pPr>
              <w:spacing w:line="240" w:lineRule="auto"/>
              <w:jc w:val="both"/>
              <w:rPr>
                <w:rFonts w:ascii="Times New Roman" w:hAnsi="Times New Roman"/>
                <w:spacing w:val="-2"/>
              </w:rPr>
            </w:pPr>
            <w:r w:rsidRPr="00F36492">
              <w:rPr>
                <w:rFonts w:ascii="Times New Roman" w:hAnsi="Times New Roman"/>
              </w:rPr>
              <w:t>Podatnicy podatku od towarów i usług</w:t>
            </w:r>
            <w:r w:rsidR="002470D1">
              <w:rPr>
                <w:rFonts w:ascii="Times New Roman" w:hAnsi="Times New Roman"/>
              </w:rPr>
              <w:t>, którzy zdecydują się na rozliczanie VAT w procedurach szczególnych</w:t>
            </w:r>
            <w:r w:rsidR="008A5E65">
              <w:rPr>
                <w:rFonts w:ascii="Times New Roman" w:hAnsi="Times New Roman"/>
              </w:rPr>
              <w:t xml:space="preserve"> oraz prowadzący sprzedaż za pośrednictwem interfejsów elektronicznych</w:t>
            </w:r>
            <w:r w:rsidRPr="00F36492">
              <w:rPr>
                <w:rFonts w:ascii="Times New Roman" w:hAnsi="Times New Roman"/>
              </w:rPr>
              <w:t>,</w:t>
            </w:r>
            <w:r w:rsidR="008A5E65">
              <w:rPr>
                <w:rFonts w:ascii="Times New Roman" w:hAnsi="Times New Roman"/>
              </w:rPr>
              <w:t xml:space="preserve"> a także</w:t>
            </w:r>
            <w:r w:rsidRPr="00F36492">
              <w:rPr>
                <w:rFonts w:ascii="Times New Roman" w:hAnsi="Times New Roman"/>
              </w:rPr>
              <w:t xml:space="preserve"> </w:t>
            </w:r>
            <w:r w:rsidR="00FE06CF">
              <w:rPr>
                <w:rFonts w:ascii="Times New Roman" w:hAnsi="Times New Roman"/>
              </w:rPr>
              <w:t xml:space="preserve"> operatorzy interfejsów elektronicznych, o których mowa w projektowanych </w:t>
            </w:r>
            <w:r w:rsidR="00FE06CF">
              <w:rPr>
                <w:rFonts w:ascii="Times New Roman" w:hAnsi="Times New Roman"/>
              </w:rPr>
              <w:lastRenderedPageBreak/>
              <w:t xml:space="preserve">rozwiązaniach, </w:t>
            </w:r>
            <w:r w:rsidR="00F46D05">
              <w:rPr>
                <w:rFonts w:ascii="Times New Roman" w:hAnsi="Times New Roman"/>
              </w:rPr>
              <w:t>operatorzy pocztowi w rozumieniu ustawy Prawo Pocztowe, którzy dokonują zgłoszeń celnych,</w:t>
            </w:r>
            <w:r w:rsidR="00FE06CF">
              <w:rPr>
                <w:rFonts w:ascii="Times New Roman" w:hAnsi="Times New Roman"/>
              </w:rPr>
              <w:t xml:space="preserve"> </w:t>
            </w:r>
            <w:r w:rsidR="006F1818" w:rsidRPr="00F36492">
              <w:rPr>
                <w:rFonts w:ascii="Times New Roman" w:hAnsi="Times New Roman"/>
              </w:rPr>
              <w:t>organy Krajowej Administracji Skarbowej</w:t>
            </w:r>
            <w:r w:rsidR="00B00928">
              <w:rPr>
                <w:rFonts w:ascii="Times New Roman" w:hAnsi="Times New Roman"/>
              </w:rPr>
              <w:t xml:space="preserve"> (rejestracja, odprawy celne, nadzór i kontrola nad procedurami).</w:t>
            </w:r>
          </w:p>
        </w:tc>
        <w:tc>
          <w:tcPr>
            <w:tcW w:w="2180" w:type="dxa"/>
            <w:gridSpan w:val="6"/>
            <w:shd w:val="clear" w:color="auto" w:fill="auto"/>
          </w:tcPr>
          <w:p w14:paraId="327FD55C" w14:textId="3402B68B" w:rsidR="0002305C" w:rsidRDefault="009657E0" w:rsidP="00F36492">
            <w:pPr>
              <w:spacing w:line="240" w:lineRule="auto"/>
              <w:jc w:val="both"/>
              <w:rPr>
                <w:rFonts w:ascii="Times New Roman" w:hAnsi="Times New Roman"/>
                <w:spacing w:val="-2"/>
              </w:rPr>
            </w:pPr>
            <w:r w:rsidRPr="00F36492">
              <w:rPr>
                <w:rFonts w:ascii="Times New Roman" w:hAnsi="Times New Roman"/>
                <w:spacing w:val="-2"/>
              </w:rPr>
              <w:lastRenderedPageBreak/>
              <w:t>Proponowane zmiany mogą pośrednio wpłynąć na wszystkich</w:t>
            </w:r>
            <w:r w:rsidR="006F1818" w:rsidRPr="00F36492">
              <w:rPr>
                <w:rFonts w:ascii="Times New Roman" w:hAnsi="Times New Roman"/>
                <w:spacing w:val="-2"/>
              </w:rPr>
              <w:t xml:space="preserve"> czynnych</w:t>
            </w:r>
            <w:r w:rsidRPr="00F36492">
              <w:rPr>
                <w:rFonts w:ascii="Times New Roman" w:hAnsi="Times New Roman"/>
                <w:spacing w:val="-2"/>
              </w:rPr>
              <w:t xml:space="preserve"> podatników podatku od towarów i usług, tj. ok. 1 672 571 (stan na 30.09.2019 r.)</w:t>
            </w:r>
            <w:r w:rsidR="00087A0E">
              <w:rPr>
                <w:rFonts w:ascii="Times New Roman" w:hAnsi="Times New Roman"/>
                <w:spacing w:val="-2"/>
              </w:rPr>
              <w:t xml:space="preserve">. </w:t>
            </w:r>
            <w:r w:rsidR="008E1B72">
              <w:rPr>
                <w:rFonts w:ascii="Times New Roman" w:hAnsi="Times New Roman"/>
                <w:spacing w:val="-2"/>
              </w:rPr>
              <w:t xml:space="preserve">Potencjalnie każdy podatnik, po spełnieniu </w:t>
            </w:r>
            <w:r w:rsidR="008E1B72">
              <w:rPr>
                <w:rFonts w:ascii="Times New Roman" w:hAnsi="Times New Roman"/>
                <w:spacing w:val="-2"/>
              </w:rPr>
              <w:lastRenderedPageBreak/>
              <w:t>odpowiednich warunków, może skorzystać z rozliczania VAT z wykorzystaniem procedur szczególnych. Jest to bowiem opcja fakultatywna, w związku z czym trudno oszacować liczbę podmiotów zainteresowanych tą opcją.</w:t>
            </w:r>
          </w:p>
          <w:p w14:paraId="483A28D4" w14:textId="0D128FE4" w:rsidR="008A5E65" w:rsidRDefault="008A5E65" w:rsidP="00F36492">
            <w:pPr>
              <w:spacing w:line="240" w:lineRule="auto"/>
              <w:jc w:val="both"/>
              <w:rPr>
                <w:rFonts w:ascii="Times New Roman" w:hAnsi="Times New Roman"/>
                <w:spacing w:val="-2"/>
              </w:rPr>
            </w:pPr>
            <w:r>
              <w:rPr>
                <w:rFonts w:ascii="Times New Roman" w:hAnsi="Times New Roman"/>
                <w:spacing w:val="-2"/>
              </w:rPr>
              <w:t>Potencjalnie każdy operator interfejsu elektronicznego</w:t>
            </w:r>
            <w:r w:rsidR="00DD160C">
              <w:rPr>
                <w:rFonts w:ascii="Times New Roman" w:hAnsi="Times New Roman"/>
                <w:spacing w:val="-2"/>
              </w:rPr>
              <w:t xml:space="preserve"> (niezależnie od państwa siedziby)</w:t>
            </w:r>
            <w:r>
              <w:rPr>
                <w:rFonts w:ascii="Times New Roman" w:hAnsi="Times New Roman"/>
                <w:spacing w:val="-2"/>
              </w:rPr>
              <w:t>, który ułatwia dokonywanie określonych czynności podlegających opodatkowaniu VAT w rozumieniu projektowanych przepisów i bezpośrednio stosowanych regulacji unijnych.</w:t>
            </w:r>
          </w:p>
          <w:p w14:paraId="52946096" w14:textId="4258BF81" w:rsidR="00BC57D8" w:rsidRPr="00F36492" w:rsidRDefault="00BC57D8" w:rsidP="00F36492">
            <w:pPr>
              <w:spacing w:line="240" w:lineRule="auto"/>
              <w:jc w:val="both"/>
              <w:rPr>
                <w:rFonts w:ascii="Times New Roman" w:hAnsi="Times New Roman"/>
                <w:spacing w:val="-2"/>
              </w:rPr>
            </w:pPr>
            <w:r>
              <w:rPr>
                <w:rFonts w:ascii="Times New Roman" w:hAnsi="Times New Roman"/>
                <w:spacing w:val="-2"/>
              </w:rPr>
              <w:t>Potencjalnie każdy po</w:t>
            </w:r>
            <w:r w:rsidR="00DD160C">
              <w:rPr>
                <w:rFonts w:ascii="Times New Roman" w:hAnsi="Times New Roman"/>
                <w:spacing w:val="-2"/>
              </w:rPr>
              <w:t>datnik (niezależnie od państwa siedziby) dokonujący sprzedaży na odległość towarów importowanych w przesyłkach o wartości rzeczywistej nieprzekraczającej 150 euro za pośrednictwem interfejsu elektronicznego</w:t>
            </w:r>
            <w:r>
              <w:rPr>
                <w:rFonts w:ascii="Times New Roman" w:hAnsi="Times New Roman"/>
                <w:spacing w:val="-2"/>
              </w:rPr>
              <w:t>.</w:t>
            </w:r>
            <w:r w:rsidR="00DD160C">
              <w:rPr>
                <w:rFonts w:ascii="Times New Roman" w:hAnsi="Times New Roman"/>
                <w:spacing w:val="-2"/>
              </w:rPr>
              <w:t xml:space="preserve"> Potencjalnie każdy podatnik nieposiadający siedziby w UE, który dokonuje dostaw towarów na rzecz podmiotów niebędących podatnikami VAT w UE za pośrednictwem interfejsu elektronicznego.</w:t>
            </w:r>
            <w:r w:rsidR="006A4162">
              <w:rPr>
                <w:rFonts w:ascii="Times New Roman" w:hAnsi="Times New Roman"/>
                <w:spacing w:val="-2"/>
              </w:rPr>
              <w:t xml:space="preserve"> W konsekwencji nie sposób oszacować liczbę podmiotów, na które wpłyną projektowane zmiany.</w:t>
            </w:r>
          </w:p>
        </w:tc>
        <w:tc>
          <w:tcPr>
            <w:tcW w:w="2005" w:type="dxa"/>
            <w:gridSpan w:val="6"/>
            <w:shd w:val="clear" w:color="auto" w:fill="auto"/>
          </w:tcPr>
          <w:p w14:paraId="52946097" w14:textId="47F45B5B" w:rsidR="0002305C" w:rsidRPr="00F36492" w:rsidRDefault="0002305C" w:rsidP="00F36492">
            <w:pPr>
              <w:spacing w:line="240" w:lineRule="auto"/>
              <w:jc w:val="both"/>
              <w:rPr>
                <w:rFonts w:ascii="Times New Roman" w:hAnsi="Times New Roman"/>
                <w:spacing w:val="-2"/>
              </w:rPr>
            </w:pPr>
            <w:r w:rsidRPr="00F36492">
              <w:rPr>
                <w:rFonts w:ascii="Times New Roman" w:hAnsi="Times New Roman"/>
                <w:spacing w:val="-2"/>
              </w:rPr>
              <w:lastRenderedPageBreak/>
              <w:t xml:space="preserve">Hurtownie danych SPR/VAT wg stanu na dzień </w:t>
            </w:r>
            <w:r w:rsidR="009657E0" w:rsidRPr="00F36492">
              <w:rPr>
                <w:rFonts w:ascii="Times New Roman" w:hAnsi="Times New Roman"/>
                <w:spacing w:val="-2"/>
              </w:rPr>
              <w:t>14</w:t>
            </w:r>
            <w:r w:rsidRPr="00F36492">
              <w:rPr>
                <w:rFonts w:ascii="Times New Roman" w:hAnsi="Times New Roman"/>
                <w:spacing w:val="-2"/>
              </w:rPr>
              <w:t>.</w:t>
            </w:r>
            <w:r w:rsidR="009657E0" w:rsidRPr="00F36492">
              <w:rPr>
                <w:rFonts w:ascii="Times New Roman" w:hAnsi="Times New Roman"/>
                <w:spacing w:val="-2"/>
              </w:rPr>
              <w:t>01</w:t>
            </w:r>
            <w:r w:rsidRPr="00F36492">
              <w:rPr>
                <w:rFonts w:ascii="Times New Roman" w:hAnsi="Times New Roman"/>
                <w:spacing w:val="-2"/>
              </w:rPr>
              <w:t>.20</w:t>
            </w:r>
            <w:r w:rsidR="009657E0" w:rsidRPr="00F36492">
              <w:rPr>
                <w:rFonts w:ascii="Times New Roman" w:hAnsi="Times New Roman"/>
                <w:spacing w:val="-2"/>
              </w:rPr>
              <w:t>20</w:t>
            </w:r>
            <w:r w:rsidR="008E4F81" w:rsidRPr="00F36492">
              <w:rPr>
                <w:rFonts w:ascii="Times New Roman" w:hAnsi="Times New Roman"/>
                <w:spacing w:val="-2"/>
              </w:rPr>
              <w:t> r.</w:t>
            </w:r>
          </w:p>
        </w:tc>
        <w:tc>
          <w:tcPr>
            <w:tcW w:w="4226" w:type="dxa"/>
            <w:gridSpan w:val="9"/>
            <w:shd w:val="clear" w:color="auto" w:fill="auto"/>
          </w:tcPr>
          <w:p w14:paraId="42A3EE66" w14:textId="7605F088" w:rsidR="0002305C" w:rsidRDefault="0002305C" w:rsidP="00F36492">
            <w:pPr>
              <w:spacing w:line="240" w:lineRule="auto"/>
              <w:jc w:val="both"/>
              <w:rPr>
                <w:rFonts w:ascii="Times New Roman" w:hAnsi="Times New Roman"/>
              </w:rPr>
            </w:pPr>
            <w:r w:rsidRPr="00F36492">
              <w:rPr>
                <w:rFonts w:ascii="Times New Roman" w:hAnsi="Times New Roman"/>
              </w:rPr>
              <w:t>W</w:t>
            </w:r>
            <w:r w:rsidR="00776BFB" w:rsidRPr="00F36492">
              <w:rPr>
                <w:rFonts w:ascii="Times New Roman" w:hAnsi="Times New Roman"/>
              </w:rPr>
              <w:t>prowadz</w:t>
            </w:r>
            <w:r w:rsidR="006F1818" w:rsidRPr="00F36492">
              <w:rPr>
                <w:rFonts w:ascii="Times New Roman" w:hAnsi="Times New Roman"/>
              </w:rPr>
              <w:t>o</w:t>
            </w:r>
            <w:r w:rsidR="00776BFB" w:rsidRPr="00F36492">
              <w:rPr>
                <w:rFonts w:ascii="Times New Roman" w:hAnsi="Times New Roman"/>
              </w:rPr>
              <w:t>n</w:t>
            </w:r>
            <w:r w:rsidR="006F1818" w:rsidRPr="00F36492">
              <w:rPr>
                <w:rFonts w:ascii="Times New Roman" w:hAnsi="Times New Roman"/>
              </w:rPr>
              <w:t>e</w:t>
            </w:r>
            <w:r w:rsidR="00776BFB" w:rsidRPr="00F36492">
              <w:rPr>
                <w:rFonts w:ascii="Times New Roman" w:hAnsi="Times New Roman"/>
              </w:rPr>
              <w:t xml:space="preserve"> zmian</w:t>
            </w:r>
            <w:r w:rsidR="006F1818" w:rsidRPr="00F36492">
              <w:rPr>
                <w:rFonts w:ascii="Times New Roman" w:hAnsi="Times New Roman"/>
              </w:rPr>
              <w:t>y</w:t>
            </w:r>
            <w:r w:rsidR="00776BFB" w:rsidRPr="00F36492">
              <w:rPr>
                <w:rFonts w:ascii="Times New Roman" w:hAnsi="Times New Roman"/>
              </w:rPr>
              <w:t xml:space="preserve"> do ustawy o podatku od towarów i usług</w:t>
            </w:r>
            <w:r w:rsidR="000D3D76" w:rsidRPr="00F36492">
              <w:rPr>
                <w:rFonts w:ascii="Times New Roman" w:hAnsi="Times New Roman"/>
              </w:rPr>
              <w:t xml:space="preserve"> </w:t>
            </w:r>
            <w:r w:rsidR="00776BFB" w:rsidRPr="00F36492">
              <w:rPr>
                <w:rFonts w:ascii="Times New Roman" w:hAnsi="Times New Roman"/>
              </w:rPr>
              <w:t>mo</w:t>
            </w:r>
            <w:r w:rsidR="006F1818" w:rsidRPr="00F36492">
              <w:rPr>
                <w:rFonts w:ascii="Times New Roman" w:hAnsi="Times New Roman"/>
              </w:rPr>
              <w:t>gą</w:t>
            </w:r>
            <w:r w:rsidR="00776BFB" w:rsidRPr="00F36492">
              <w:rPr>
                <w:rFonts w:ascii="Times New Roman" w:hAnsi="Times New Roman"/>
              </w:rPr>
              <w:t xml:space="preserve"> objąć swoim zakresem wszystkich podatników VAT</w:t>
            </w:r>
            <w:r w:rsidR="006F1818" w:rsidRPr="00F36492">
              <w:rPr>
                <w:rFonts w:ascii="Times New Roman" w:hAnsi="Times New Roman"/>
              </w:rPr>
              <w:t>, organy KAS, a także osoby fizyczne dokonujące importu</w:t>
            </w:r>
            <w:r w:rsidR="00F46D05">
              <w:rPr>
                <w:rFonts w:ascii="Times New Roman" w:hAnsi="Times New Roman"/>
              </w:rPr>
              <w:t xml:space="preserve"> towarów</w:t>
            </w:r>
            <w:r w:rsidR="006F1818" w:rsidRPr="00F36492">
              <w:rPr>
                <w:rFonts w:ascii="Times New Roman" w:hAnsi="Times New Roman"/>
              </w:rPr>
              <w:t xml:space="preserve">. </w:t>
            </w:r>
            <w:r w:rsidRPr="00F36492">
              <w:rPr>
                <w:rFonts w:ascii="Times New Roman" w:hAnsi="Times New Roman"/>
              </w:rPr>
              <w:t>Podmioty te</w:t>
            </w:r>
            <w:r w:rsidR="000D3D76" w:rsidRPr="00F36492">
              <w:rPr>
                <w:rFonts w:ascii="Times New Roman" w:hAnsi="Times New Roman"/>
              </w:rPr>
              <w:t xml:space="preserve"> będą musiały dostosować </w:t>
            </w:r>
            <w:r w:rsidR="006F1818" w:rsidRPr="00F36492">
              <w:rPr>
                <w:rFonts w:ascii="Times New Roman" w:hAnsi="Times New Roman"/>
              </w:rPr>
              <w:t xml:space="preserve">się </w:t>
            </w:r>
            <w:r w:rsidRPr="00F36492">
              <w:rPr>
                <w:rFonts w:ascii="Times New Roman" w:hAnsi="Times New Roman"/>
              </w:rPr>
              <w:t>do nowych zasad rozliczania podatku.</w:t>
            </w:r>
          </w:p>
          <w:p w14:paraId="5E1F38E5" w14:textId="6EE4A20A" w:rsidR="00BF67B7" w:rsidRPr="00BF67B7" w:rsidRDefault="00BF67B7" w:rsidP="00BF67B7">
            <w:pPr>
              <w:spacing w:line="240" w:lineRule="auto"/>
              <w:jc w:val="both"/>
              <w:rPr>
                <w:rFonts w:ascii="Times New Roman" w:hAnsi="Times New Roman"/>
              </w:rPr>
            </w:pPr>
          </w:p>
          <w:p w14:paraId="52946098" w14:textId="7D3E67C0" w:rsidR="00BF67B7" w:rsidRPr="00F36492" w:rsidRDefault="00BF67B7" w:rsidP="00BF67B7">
            <w:pPr>
              <w:spacing w:line="240" w:lineRule="auto"/>
              <w:jc w:val="both"/>
              <w:rPr>
                <w:rFonts w:ascii="Times New Roman" w:hAnsi="Times New Roman"/>
                <w:spacing w:val="-2"/>
              </w:rPr>
            </w:pPr>
          </w:p>
        </w:tc>
      </w:tr>
      <w:tr w:rsidR="001418E5" w:rsidRPr="00F36492" w14:paraId="6833ABA3" w14:textId="77777777" w:rsidTr="1D9DC3A4">
        <w:trPr>
          <w:gridAfter w:val="1"/>
          <w:wAfter w:w="10" w:type="dxa"/>
          <w:trHeight w:val="142"/>
        </w:trPr>
        <w:tc>
          <w:tcPr>
            <w:tcW w:w="2659" w:type="dxa"/>
            <w:gridSpan w:val="3"/>
            <w:shd w:val="clear" w:color="auto" w:fill="auto"/>
          </w:tcPr>
          <w:p w14:paraId="11C4784F" w14:textId="41E16C7A" w:rsidR="001418E5" w:rsidRPr="00F36492" w:rsidRDefault="001418E5" w:rsidP="008A5E65">
            <w:pPr>
              <w:spacing w:line="240" w:lineRule="auto"/>
              <w:jc w:val="both"/>
              <w:rPr>
                <w:rFonts w:ascii="Times New Roman" w:hAnsi="Times New Roman"/>
              </w:rPr>
            </w:pPr>
            <w:r>
              <w:rPr>
                <w:rFonts w:ascii="Times New Roman" w:hAnsi="Times New Roman"/>
              </w:rPr>
              <w:lastRenderedPageBreak/>
              <w:t>Podatnicy dokonujący sprzedaży wysyłkowej z terytorium kraju</w:t>
            </w:r>
          </w:p>
        </w:tc>
        <w:tc>
          <w:tcPr>
            <w:tcW w:w="2180" w:type="dxa"/>
            <w:gridSpan w:val="6"/>
            <w:shd w:val="clear" w:color="auto" w:fill="auto"/>
          </w:tcPr>
          <w:p w14:paraId="39482120" w14:textId="3E8580E0" w:rsidR="001418E5" w:rsidRPr="00F36492" w:rsidRDefault="001418E5" w:rsidP="00F36492">
            <w:pPr>
              <w:spacing w:line="240" w:lineRule="auto"/>
              <w:jc w:val="both"/>
              <w:rPr>
                <w:rFonts w:ascii="Times New Roman" w:hAnsi="Times New Roman"/>
                <w:spacing w:val="-2"/>
              </w:rPr>
            </w:pPr>
            <w:r>
              <w:rPr>
                <w:rFonts w:ascii="Times New Roman" w:hAnsi="Times New Roman"/>
                <w:spacing w:val="-2"/>
              </w:rPr>
              <w:t>Brak danych</w:t>
            </w:r>
          </w:p>
        </w:tc>
        <w:tc>
          <w:tcPr>
            <w:tcW w:w="2005" w:type="dxa"/>
            <w:gridSpan w:val="6"/>
            <w:shd w:val="clear" w:color="auto" w:fill="auto"/>
          </w:tcPr>
          <w:p w14:paraId="1F2BABD5" w14:textId="751AACEC" w:rsidR="001418E5" w:rsidRPr="00F36492" w:rsidRDefault="00EA038D" w:rsidP="00F36492">
            <w:pPr>
              <w:spacing w:line="240" w:lineRule="auto"/>
              <w:jc w:val="both"/>
              <w:rPr>
                <w:rFonts w:ascii="Times New Roman" w:hAnsi="Times New Roman"/>
                <w:spacing w:val="-2"/>
              </w:rPr>
            </w:pPr>
            <w:r>
              <w:rPr>
                <w:rFonts w:ascii="Times New Roman" w:hAnsi="Times New Roman"/>
                <w:spacing w:val="-2"/>
              </w:rPr>
              <w:t>Brak danych</w:t>
            </w:r>
          </w:p>
        </w:tc>
        <w:tc>
          <w:tcPr>
            <w:tcW w:w="4226" w:type="dxa"/>
            <w:gridSpan w:val="9"/>
            <w:shd w:val="clear" w:color="auto" w:fill="auto"/>
          </w:tcPr>
          <w:p w14:paraId="58904D9C" w14:textId="45CCC988" w:rsidR="00BC7089" w:rsidRDefault="00614D45" w:rsidP="0067489E">
            <w:pPr>
              <w:spacing w:line="240" w:lineRule="auto"/>
              <w:jc w:val="both"/>
              <w:rPr>
                <w:rFonts w:ascii="Times New Roman" w:hAnsi="Times New Roman"/>
              </w:rPr>
            </w:pPr>
            <w:r>
              <w:rPr>
                <w:rFonts w:ascii="Times New Roman" w:hAnsi="Times New Roman"/>
              </w:rPr>
              <w:t>W związku z o</w:t>
            </w:r>
            <w:r w:rsidR="003274C5">
              <w:rPr>
                <w:rFonts w:ascii="Times New Roman" w:hAnsi="Times New Roman"/>
              </w:rPr>
              <w:t>bniż</w:t>
            </w:r>
            <w:r>
              <w:rPr>
                <w:rFonts w:ascii="Times New Roman" w:hAnsi="Times New Roman"/>
              </w:rPr>
              <w:t>eniem</w:t>
            </w:r>
            <w:r w:rsidR="003274C5">
              <w:rPr>
                <w:rFonts w:ascii="Times New Roman" w:hAnsi="Times New Roman"/>
              </w:rPr>
              <w:t xml:space="preserve"> p</w:t>
            </w:r>
            <w:r>
              <w:rPr>
                <w:rFonts w:ascii="Times New Roman" w:hAnsi="Times New Roman"/>
              </w:rPr>
              <w:t>rogu określającego</w:t>
            </w:r>
            <w:r w:rsidR="003274C5" w:rsidRPr="003274C5">
              <w:rPr>
                <w:rFonts w:ascii="Times New Roman" w:hAnsi="Times New Roman"/>
              </w:rPr>
              <w:t xml:space="preserve"> uznanie </w:t>
            </w:r>
            <w:r>
              <w:rPr>
                <w:rFonts w:ascii="Times New Roman" w:hAnsi="Times New Roman"/>
              </w:rPr>
              <w:t xml:space="preserve">dotychczasowej sprzedaży wysyłkowej z terytorium kraju </w:t>
            </w:r>
            <w:r w:rsidR="00194C8D">
              <w:rPr>
                <w:rFonts w:ascii="Times New Roman" w:hAnsi="Times New Roman"/>
              </w:rPr>
              <w:t>- która</w:t>
            </w:r>
            <w:r>
              <w:rPr>
                <w:rFonts w:ascii="Times New Roman" w:hAnsi="Times New Roman"/>
              </w:rPr>
              <w:t xml:space="preserve"> </w:t>
            </w:r>
            <w:r w:rsidR="00194C8D" w:rsidRPr="00194C8D">
              <w:rPr>
                <w:rFonts w:ascii="Times New Roman" w:hAnsi="Times New Roman"/>
              </w:rPr>
              <w:t xml:space="preserve">w wyniku nowelizacji </w:t>
            </w:r>
            <w:r w:rsidR="00194C8D">
              <w:rPr>
                <w:rFonts w:ascii="Times New Roman" w:hAnsi="Times New Roman"/>
              </w:rPr>
              <w:t xml:space="preserve">zostanie </w:t>
            </w:r>
            <w:r w:rsidR="00194C8D" w:rsidRPr="00194C8D">
              <w:rPr>
                <w:rFonts w:ascii="Times New Roman" w:hAnsi="Times New Roman"/>
              </w:rPr>
              <w:t>zmodyfi</w:t>
            </w:r>
            <w:r w:rsidR="00194C8D">
              <w:rPr>
                <w:rFonts w:ascii="Times New Roman" w:hAnsi="Times New Roman"/>
              </w:rPr>
              <w:t>kowana</w:t>
            </w:r>
            <w:r w:rsidR="00194C8D" w:rsidRPr="00194C8D">
              <w:rPr>
                <w:rFonts w:ascii="Times New Roman" w:hAnsi="Times New Roman"/>
              </w:rPr>
              <w:t xml:space="preserve"> do postaci WSTO</w:t>
            </w:r>
            <w:r w:rsidR="00194C8D">
              <w:rPr>
                <w:rFonts w:ascii="Times New Roman" w:hAnsi="Times New Roman"/>
              </w:rPr>
              <w:t xml:space="preserve"> -</w:t>
            </w:r>
            <w:r w:rsidR="00194C8D" w:rsidRPr="00194C8D">
              <w:rPr>
                <w:rFonts w:ascii="Times New Roman" w:hAnsi="Times New Roman"/>
              </w:rPr>
              <w:t xml:space="preserve"> </w:t>
            </w:r>
            <w:r>
              <w:rPr>
                <w:rFonts w:ascii="Times New Roman" w:hAnsi="Times New Roman"/>
              </w:rPr>
              <w:t>za opodatkowaną w Polsce</w:t>
            </w:r>
            <w:r w:rsidR="00ED1AEB">
              <w:rPr>
                <w:rFonts w:ascii="Times New Roman" w:hAnsi="Times New Roman"/>
              </w:rPr>
              <w:t>,</w:t>
            </w:r>
            <w:r>
              <w:rPr>
                <w:rFonts w:ascii="Times New Roman" w:hAnsi="Times New Roman"/>
              </w:rPr>
              <w:t xml:space="preserve"> ze 160 000 zł do 42 000 zł, </w:t>
            </w:r>
            <w:r w:rsidR="0067489E">
              <w:rPr>
                <w:rFonts w:ascii="Times New Roman" w:hAnsi="Times New Roman"/>
              </w:rPr>
              <w:t xml:space="preserve">większa liczba przedsiębiorców będzie zobowiązana do rejestracji </w:t>
            </w:r>
            <w:r>
              <w:rPr>
                <w:rFonts w:ascii="Times New Roman" w:hAnsi="Times New Roman"/>
              </w:rPr>
              <w:t xml:space="preserve">i rozliczania podatku VAT </w:t>
            </w:r>
            <w:r w:rsidR="0067489E">
              <w:rPr>
                <w:rFonts w:ascii="Times New Roman" w:hAnsi="Times New Roman"/>
              </w:rPr>
              <w:t xml:space="preserve">w innych państwach członkowskich, gdzie ma miejsce </w:t>
            </w:r>
            <w:r>
              <w:rPr>
                <w:rFonts w:ascii="Times New Roman" w:hAnsi="Times New Roman"/>
              </w:rPr>
              <w:t>opodatkowanie,</w:t>
            </w:r>
            <w:r w:rsidR="0067489E">
              <w:rPr>
                <w:rFonts w:ascii="Times New Roman" w:hAnsi="Times New Roman"/>
              </w:rPr>
              <w:t xml:space="preserve"> </w:t>
            </w:r>
            <w:r w:rsidR="003274C5">
              <w:rPr>
                <w:rFonts w:ascii="Times New Roman" w:hAnsi="Times New Roman"/>
              </w:rPr>
              <w:t xml:space="preserve">zgodnie </w:t>
            </w:r>
            <w:r>
              <w:rPr>
                <w:rFonts w:ascii="Times New Roman" w:hAnsi="Times New Roman"/>
              </w:rPr>
              <w:t>z obowiązującymi w tych państwach zasadami.</w:t>
            </w:r>
            <w:r w:rsidR="006E6EEB">
              <w:rPr>
                <w:rFonts w:ascii="Times New Roman" w:hAnsi="Times New Roman"/>
              </w:rPr>
              <w:t xml:space="preserve"> Dodatkowo podatnicy ci będą zobowiązani prowadzić ewidencję </w:t>
            </w:r>
            <w:r w:rsidR="006E6EEB" w:rsidRPr="006E6EEB">
              <w:rPr>
                <w:rFonts w:ascii="Times New Roman" w:hAnsi="Times New Roman"/>
              </w:rPr>
              <w:t xml:space="preserve">na podstawie której można określić </w:t>
            </w:r>
            <w:r w:rsidR="006E6EEB">
              <w:rPr>
                <w:rFonts w:ascii="Times New Roman" w:hAnsi="Times New Roman"/>
              </w:rPr>
              <w:t xml:space="preserve">łączną </w:t>
            </w:r>
            <w:r w:rsidR="006E6EEB" w:rsidRPr="006E6EEB">
              <w:rPr>
                <w:rFonts w:ascii="Times New Roman" w:hAnsi="Times New Roman"/>
              </w:rPr>
              <w:t>wartość</w:t>
            </w:r>
            <w:r w:rsidR="006E6EEB">
              <w:rPr>
                <w:rFonts w:ascii="Times New Roman" w:hAnsi="Times New Roman"/>
              </w:rPr>
              <w:t xml:space="preserve"> dokonanych dostaw oraz zawiadomić organ podatkowy o przekroczeniu </w:t>
            </w:r>
            <w:r w:rsidR="00613400">
              <w:rPr>
                <w:rFonts w:ascii="Times New Roman" w:hAnsi="Times New Roman"/>
              </w:rPr>
              <w:t xml:space="preserve">ww. </w:t>
            </w:r>
            <w:r w:rsidR="006E6EEB">
              <w:rPr>
                <w:rFonts w:ascii="Times New Roman" w:hAnsi="Times New Roman"/>
              </w:rPr>
              <w:t>progu.</w:t>
            </w:r>
          </w:p>
          <w:p w14:paraId="2AB970BE" w14:textId="77777777" w:rsidR="006E6EEB" w:rsidRDefault="006E6EEB" w:rsidP="0067489E">
            <w:pPr>
              <w:spacing w:line="240" w:lineRule="auto"/>
              <w:jc w:val="both"/>
              <w:rPr>
                <w:rFonts w:ascii="Times New Roman" w:hAnsi="Times New Roman"/>
              </w:rPr>
            </w:pPr>
          </w:p>
          <w:p w14:paraId="3A1A9547" w14:textId="57A9C394" w:rsidR="0067489E" w:rsidRPr="00BF67B7" w:rsidRDefault="0067489E" w:rsidP="0067489E">
            <w:pPr>
              <w:spacing w:line="240" w:lineRule="auto"/>
              <w:jc w:val="both"/>
              <w:rPr>
                <w:rFonts w:ascii="Times New Roman" w:hAnsi="Times New Roman"/>
                <w:spacing w:val="-2"/>
              </w:rPr>
            </w:pPr>
            <w:r w:rsidRPr="00BF67B7">
              <w:rPr>
                <w:rFonts w:ascii="Times New Roman" w:hAnsi="Times New Roman"/>
                <w:spacing w:val="-2"/>
              </w:rPr>
              <w:t>Wymie</w:t>
            </w:r>
            <w:r>
              <w:rPr>
                <w:rFonts w:ascii="Times New Roman" w:hAnsi="Times New Roman"/>
                <w:spacing w:val="-2"/>
              </w:rPr>
              <w:t>niona grupa podatników będzie</w:t>
            </w:r>
            <w:r w:rsidRPr="00BF67B7">
              <w:rPr>
                <w:rFonts w:ascii="Times New Roman" w:hAnsi="Times New Roman"/>
                <w:spacing w:val="-2"/>
              </w:rPr>
              <w:t xml:space="preserve"> mog</w:t>
            </w:r>
            <w:r>
              <w:rPr>
                <w:rFonts w:ascii="Times New Roman" w:hAnsi="Times New Roman"/>
                <w:spacing w:val="-2"/>
              </w:rPr>
              <w:t>ła</w:t>
            </w:r>
            <w:r w:rsidR="003274C5">
              <w:rPr>
                <w:rFonts w:ascii="Times New Roman" w:hAnsi="Times New Roman"/>
                <w:spacing w:val="-2"/>
              </w:rPr>
              <w:t xml:space="preserve"> jednak </w:t>
            </w:r>
            <w:r w:rsidR="00194C8D">
              <w:rPr>
                <w:rFonts w:ascii="Times New Roman" w:hAnsi="Times New Roman"/>
                <w:spacing w:val="-2"/>
              </w:rPr>
              <w:t>s</w:t>
            </w:r>
            <w:r>
              <w:rPr>
                <w:rFonts w:ascii="Times New Roman" w:hAnsi="Times New Roman"/>
                <w:spacing w:val="-2"/>
              </w:rPr>
              <w:t xml:space="preserve">korzystać ze szczególnej procedury </w:t>
            </w:r>
          </w:p>
          <w:p w14:paraId="28DD8635" w14:textId="77777777" w:rsidR="0067489E" w:rsidRPr="00BF67B7" w:rsidRDefault="0067489E" w:rsidP="0067489E">
            <w:pPr>
              <w:spacing w:line="240" w:lineRule="auto"/>
              <w:jc w:val="both"/>
              <w:rPr>
                <w:rFonts w:ascii="Times New Roman" w:hAnsi="Times New Roman"/>
                <w:spacing w:val="-2"/>
              </w:rPr>
            </w:pPr>
            <w:r>
              <w:rPr>
                <w:rFonts w:ascii="Times New Roman" w:hAnsi="Times New Roman"/>
                <w:spacing w:val="-2"/>
              </w:rPr>
              <w:t xml:space="preserve">upraszczającej </w:t>
            </w:r>
            <w:r w:rsidRPr="00BF67B7">
              <w:rPr>
                <w:rFonts w:ascii="Times New Roman" w:hAnsi="Times New Roman"/>
                <w:spacing w:val="-2"/>
              </w:rPr>
              <w:t>system rozliczania podatku</w:t>
            </w:r>
          </w:p>
          <w:p w14:paraId="696BD0BC" w14:textId="3C8D66C7" w:rsidR="001418E5" w:rsidRPr="00F36492" w:rsidRDefault="0067489E" w:rsidP="00170DDE">
            <w:pPr>
              <w:spacing w:line="240" w:lineRule="auto"/>
              <w:jc w:val="both"/>
              <w:rPr>
                <w:rFonts w:ascii="Times New Roman" w:hAnsi="Times New Roman"/>
              </w:rPr>
            </w:pPr>
            <w:r w:rsidRPr="00BF67B7">
              <w:rPr>
                <w:rFonts w:ascii="Times New Roman" w:hAnsi="Times New Roman"/>
                <w:spacing w:val="-2"/>
              </w:rPr>
              <w:t>VAT</w:t>
            </w:r>
            <w:r>
              <w:rPr>
                <w:rFonts w:ascii="Times New Roman" w:hAnsi="Times New Roman"/>
                <w:spacing w:val="-2"/>
              </w:rPr>
              <w:t xml:space="preserve">, </w:t>
            </w:r>
            <w:r w:rsidRPr="001418E5">
              <w:rPr>
                <w:rFonts w:ascii="Times New Roman" w:hAnsi="Times New Roman"/>
                <w:spacing w:val="-2"/>
              </w:rPr>
              <w:t>umożliwia</w:t>
            </w:r>
            <w:r>
              <w:rPr>
                <w:rFonts w:ascii="Times New Roman" w:hAnsi="Times New Roman"/>
                <w:spacing w:val="-2"/>
              </w:rPr>
              <w:t xml:space="preserve">jącej elektroniczną </w:t>
            </w:r>
            <w:r w:rsidRPr="001418E5">
              <w:rPr>
                <w:rFonts w:ascii="Times New Roman" w:hAnsi="Times New Roman"/>
                <w:spacing w:val="-2"/>
              </w:rPr>
              <w:t xml:space="preserve">rejestrację dla potrzeb podatku VAT w jednym państwie członkowskim, w ramach której </w:t>
            </w:r>
            <w:r>
              <w:rPr>
                <w:rFonts w:ascii="Times New Roman" w:hAnsi="Times New Roman"/>
                <w:spacing w:val="-2"/>
              </w:rPr>
              <w:t>rozliczy</w:t>
            </w:r>
            <w:r w:rsidRPr="001418E5">
              <w:rPr>
                <w:rFonts w:ascii="Times New Roman" w:hAnsi="Times New Roman"/>
                <w:spacing w:val="-2"/>
              </w:rPr>
              <w:t xml:space="preserve"> podatek VAT należny </w:t>
            </w:r>
            <w:r>
              <w:rPr>
                <w:rFonts w:ascii="Times New Roman" w:hAnsi="Times New Roman"/>
                <w:spacing w:val="-2"/>
              </w:rPr>
              <w:t xml:space="preserve">w innych państwach członkowskich, unikając konieczności </w:t>
            </w:r>
            <w:r w:rsidRPr="00BF67B7">
              <w:rPr>
                <w:rFonts w:ascii="Times New Roman" w:hAnsi="Times New Roman"/>
                <w:spacing w:val="-2"/>
              </w:rPr>
              <w:t xml:space="preserve">rejestracji </w:t>
            </w:r>
            <w:r w:rsidRPr="00AD05E8">
              <w:rPr>
                <w:rFonts w:ascii="Times New Roman" w:hAnsi="Times New Roman"/>
                <w:spacing w:val="-2"/>
              </w:rPr>
              <w:t>na potrzeby po</w:t>
            </w:r>
            <w:r>
              <w:rPr>
                <w:rFonts w:ascii="Times New Roman" w:hAnsi="Times New Roman"/>
                <w:spacing w:val="-2"/>
              </w:rPr>
              <w:t>datku VAT</w:t>
            </w:r>
            <w:r w:rsidRPr="00BF67B7">
              <w:rPr>
                <w:rFonts w:ascii="Times New Roman" w:hAnsi="Times New Roman"/>
                <w:spacing w:val="-2"/>
              </w:rPr>
              <w:t xml:space="preserve"> oraz obowiązków ewidencyjno-sprawozdawczych w każdym państwie</w:t>
            </w:r>
            <w:r w:rsidR="00170DDE">
              <w:rPr>
                <w:rFonts w:ascii="Times New Roman" w:hAnsi="Times New Roman"/>
                <w:spacing w:val="-2"/>
              </w:rPr>
              <w:t xml:space="preserve">, </w:t>
            </w:r>
            <w:r w:rsidR="00170DDE">
              <w:rPr>
                <w:rFonts w:ascii="Times New Roman" w:hAnsi="Times New Roman"/>
              </w:rPr>
              <w:t>gdzie ma miejsce opodatkowanie.</w:t>
            </w:r>
          </w:p>
        </w:tc>
      </w:tr>
      <w:tr w:rsidR="00BF67B7" w:rsidRPr="00F36492" w14:paraId="294AC824" w14:textId="77777777" w:rsidTr="1D9DC3A4">
        <w:trPr>
          <w:gridAfter w:val="1"/>
          <w:wAfter w:w="10" w:type="dxa"/>
          <w:trHeight w:val="142"/>
        </w:trPr>
        <w:tc>
          <w:tcPr>
            <w:tcW w:w="2659" w:type="dxa"/>
            <w:gridSpan w:val="3"/>
            <w:shd w:val="clear" w:color="auto" w:fill="auto"/>
          </w:tcPr>
          <w:p w14:paraId="0D700B07" w14:textId="2AB226DC" w:rsidR="00BF67B7" w:rsidRPr="00F36492" w:rsidRDefault="001418E5" w:rsidP="008A5E65">
            <w:pPr>
              <w:spacing w:line="240" w:lineRule="auto"/>
              <w:jc w:val="both"/>
              <w:rPr>
                <w:rFonts w:ascii="Times New Roman" w:hAnsi="Times New Roman"/>
              </w:rPr>
            </w:pPr>
            <w:r>
              <w:rPr>
                <w:rFonts w:ascii="Times New Roman" w:hAnsi="Times New Roman"/>
              </w:rPr>
              <w:t xml:space="preserve">Podatnicy świadczący usługi na rzecz konsumentów, których miejscem świadczenia jest </w:t>
            </w:r>
            <w:r w:rsidR="00AD05E8">
              <w:rPr>
                <w:rFonts w:ascii="Times New Roman" w:hAnsi="Times New Roman"/>
              </w:rPr>
              <w:t xml:space="preserve">inne </w:t>
            </w:r>
            <w:r>
              <w:rPr>
                <w:rFonts w:ascii="Times New Roman" w:hAnsi="Times New Roman"/>
              </w:rPr>
              <w:t xml:space="preserve">państwo członkowskie </w:t>
            </w:r>
            <w:r w:rsidR="00AD05E8">
              <w:rPr>
                <w:rFonts w:ascii="Times New Roman" w:hAnsi="Times New Roman"/>
              </w:rPr>
              <w:t xml:space="preserve">(tzw. państwo członkowskie </w:t>
            </w:r>
            <w:r>
              <w:rPr>
                <w:rFonts w:ascii="Times New Roman" w:hAnsi="Times New Roman"/>
              </w:rPr>
              <w:t>konsumpcji</w:t>
            </w:r>
            <w:r w:rsidR="00AD05E8">
              <w:rPr>
                <w:rFonts w:ascii="Times New Roman" w:hAnsi="Times New Roman"/>
              </w:rPr>
              <w:t>)</w:t>
            </w:r>
          </w:p>
        </w:tc>
        <w:tc>
          <w:tcPr>
            <w:tcW w:w="2180" w:type="dxa"/>
            <w:gridSpan w:val="6"/>
            <w:shd w:val="clear" w:color="auto" w:fill="auto"/>
          </w:tcPr>
          <w:p w14:paraId="1E63CE4E" w14:textId="249335D9" w:rsidR="00BF67B7" w:rsidRPr="00F36492" w:rsidRDefault="001418E5" w:rsidP="00F36492">
            <w:pPr>
              <w:spacing w:line="240" w:lineRule="auto"/>
              <w:jc w:val="both"/>
              <w:rPr>
                <w:rFonts w:ascii="Times New Roman" w:hAnsi="Times New Roman"/>
                <w:spacing w:val="-2"/>
              </w:rPr>
            </w:pPr>
            <w:r>
              <w:rPr>
                <w:rFonts w:ascii="Times New Roman" w:hAnsi="Times New Roman"/>
                <w:spacing w:val="-2"/>
              </w:rPr>
              <w:t>Brak danych</w:t>
            </w:r>
          </w:p>
        </w:tc>
        <w:tc>
          <w:tcPr>
            <w:tcW w:w="2005" w:type="dxa"/>
            <w:gridSpan w:val="6"/>
            <w:shd w:val="clear" w:color="auto" w:fill="auto"/>
          </w:tcPr>
          <w:p w14:paraId="75EE5A1A" w14:textId="3ABFAEF0" w:rsidR="00BF67B7" w:rsidRPr="00F36492" w:rsidRDefault="00BF67B7" w:rsidP="00F36492">
            <w:pPr>
              <w:spacing w:line="240" w:lineRule="auto"/>
              <w:jc w:val="both"/>
              <w:rPr>
                <w:rFonts w:ascii="Times New Roman" w:hAnsi="Times New Roman"/>
                <w:spacing w:val="-2"/>
              </w:rPr>
            </w:pPr>
          </w:p>
        </w:tc>
        <w:tc>
          <w:tcPr>
            <w:tcW w:w="4226" w:type="dxa"/>
            <w:gridSpan w:val="9"/>
            <w:shd w:val="clear" w:color="auto" w:fill="auto"/>
          </w:tcPr>
          <w:p w14:paraId="00332F73" w14:textId="56819E32" w:rsidR="00BF67B7" w:rsidRPr="00BF67B7" w:rsidRDefault="00BF67B7" w:rsidP="00BF67B7">
            <w:pPr>
              <w:spacing w:line="240" w:lineRule="auto"/>
              <w:jc w:val="both"/>
              <w:rPr>
                <w:rFonts w:ascii="Times New Roman" w:hAnsi="Times New Roman"/>
                <w:spacing w:val="-2"/>
              </w:rPr>
            </w:pPr>
            <w:r w:rsidRPr="00BF67B7">
              <w:rPr>
                <w:rFonts w:ascii="Times New Roman" w:hAnsi="Times New Roman"/>
                <w:spacing w:val="-2"/>
              </w:rPr>
              <w:t>Wymie</w:t>
            </w:r>
            <w:r w:rsidR="00DE725C">
              <w:rPr>
                <w:rFonts w:ascii="Times New Roman" w:hAnsi="Times New Roman"/>
                <w:spacing w:val="-2"/>
              </w:rPr>
              <w:t>niona grupa podatników będzie</w:t>
            </w:r>
            <w:r w:rsidRPr="00BF67B7">
              <w:rPr>
                <w:rFonts w:ascii="Times New Roman" w:hAnsi="Times New Roman"/>
                <w:spacing w:val="-2"/>
              </w:rPr>
              <w:t xml:space="preserve"> mog</w:t>
            </w:r>
            <w:r w:rsidR="00DE725C">
              <w:rPr>
                <w:rFonts w:ascii="Times New Roman" w:hAnsi="Times New Roman"/>
                <w:spacing w:val="-2"/>
              </w:rPr>
              <w:t>ła</w:t>
            </w:r>
          </w:p>
          <w:p w14:paraId="46B007A6" w14:textId="0F331E5B" w:rsidR="00BF67B7" w:rsidRPr="00BF67B7" w:rsidRDefault="00194C8D" w:rsidP="00BF67B7">
            <w:pPr>
              <w:spacing w:line="240" w:lineRule="auto"/>
              <w:jc w:val="both"/>
              <w:rPr>
                <w:rFonts w:ascii="Times New Roman" w:hAnsi="Times New Roman"/>
                <w:spacing w:val="-2"/>
              </w:rPr>
            </w:pPr>
            <w:r>
              <w:rPr>
                <w:rFonts w:ascii="Times New Roman" w:hAnsi="Times New Roman"/>
                <w:spacing w:val="-2"/>
              </w:rPr>
              <w:t>s</w:t>
            </w:r>
            <w:r w:rsidR="00BF67B7">
              <w:rPr>
                <w:rFonts w:ascii="Times New Roman" w:hAnsi="Times New Roman"/>
                <w:spacing w:val="-2"/>
              </w:rPr>
              <w:t>korzystać ze szczególn</w:t>
            </w:r>
            <w:r w:rsidR="001418E5">
              <w:rPr>
                <w:rFonts w:ascii="Times New Roman" w:hAnsi="Times New Roman"/>
                <w:spacing w:val="-2"/>
              </w:rPr>
              <w:t>ej</w:t>
            </w:r>
            <w:r w:rsidR="00BF67B7">
              <w:rPr>
                <w:rFonts w:ascii="Times New Roman" w:hAnsi="Times New Roman"/>
                <w:spacing w:val="-2"/>
              </w:rPr>
              <w:t xml:space="preserve"> procedur</w:t>
            </w:r>
            <w:r w:rsidR="001418E5">
              <w:rPr>
                <w:rFonts w:ascii="Times New Roman" w:hAnsi="Times New Roman"/>
                <w:spacing w:val="-2"/>
              </w:rPr>
              <w:t>y</w:t>
            </w:r>
            <w:r w:rsidR="00BF67B7">
              <w:rPr>
                <w:rFonts w:ascii="Times New Roman" w:hAnsi="Times New Roman"/>
                <w:spacing w:val="-2"/>
              </w:rPr>
              <w:t xml:space="preserve"> </w:t>
            </w:r>
          </w:p>
          <w:p w14:paraId="6A223FF9" w14:textId="7825BE59" w:rsidR="00BF67B7" w:rsidRPr="00BF67B7" w:rsidRDefault="001418E5" w:rsidP="00BF67B7">
            <w:pPr>
              <w:spacing w:line="240" w:lineRule="auto"/>
              <w:jc w:val="both"/>
              <w:rPr>
                <w:rFonts w:ascii="Times New Roman" w:hAnsi="Times New Roman"/>
                <w:spacing w:val="-2"/>
              </w:rPr>
            </w:pPr>
            <w:r>
              <w:rPr>
                <w:rFonts w:ascii="Times New Roman" w:hAnsi="Times New Roman"/>
                <w:spacing w:val="-2"/>
              </w:rPr>
              <w:t>upraszczającej</w:t>
            </w:r>
            <w:r w:rsidR="00BF67B7">
              <w:rPr>
                <w:rFonts w:ascii="Times New Roman" w:hAnsi="Times New Roman"/>
                <w:spacing w:val="-2"/>
              </w:rPr>
              <w:t xml:space="preserve"> </w:t>
            </w:r>
            <w:r w:rsidR="00BF67B7" w:rsidRPr="00BF67B7">
              <w:rPr>
                <w:rFonts w:ascii="Times New Roman" w:hAnsi="Times New Roman"/>
                <w:spacing w:val="-2"/>
              </w:rPr>
              <w:t>system rozliczania podatku</w:t>
            </w:r>
          </w:p>
          <w:p w14:paraId="54039A7E" w14:textId="3D455BAB" w:rsidR="00BF67B7" w:rsidRPr="00DE725C" w:rsidRDefault="00BF67B7" w:rsidP="00EA038D">
            <w:pPr>
              <w:spacing w:line="240" w:lineRule="auto"/>
              <w:jc w:val="both"/>
              <w:rPr>
                <w:rFonts w:ascii="Times New Roman" w:hAnsi="Times New Roman"/>
                <w:spacing w:val="-2"/>
              </w:rPr>
            </w:pPr>
            <w:r w:rsidRPr="00BF67B7">
              <w:rPr>
                <w:rFonts w:ascii="Times New Roman" w:hAnsi="Times New Roman"/>
                <w:spacing w:val="-2"/>
              </w:rPr>
              <w:t>VAT</w:t>
            </w:r>
            <w:r w:rsidR="001418E5">
              <w:rPr>
                <w:rFonts w:ascii="Times New Roman" w:hAnsi="Times New Roman"/>
                <w:spacing w:val="-2"/>
              </w:rPr>
              <w:t xml:space="preserve">, </w:t>
            </w:r>
            <w:r w:rsidR="001418E5" w:rsidRPr="001418E5">
              <w:rPr>
                <w:rFonts w:ascii="Times New Roman" w:hAnsi="Times New Roman"/>
                <w:spacing w:val="-2"/>
              </w:rPr>
              <w:t>umożliwia</w:t>
            </w:r>
            <w:r w:rsidR="001418E5">
              <w:rPr>
                <w:rFonts w:ascii="Times New Roman" w:hAnsi="Times New Roman"/>
                <w:spacing w:val="-2"/>
              </w:rPr>
              <w:t xml:space="preserve">jącej </w:t>
            </w:r>
            <w:r w:rsidR="00DE725C">
              <w:rPr>
                <w:rFonts w:ascii="Times New Roman" w:hAnsi="Times New Roman"/>
                <w:spacing w:val="-2"/>
              </w:rPr>
              <w:t xml:space="preserve">elektroniczną </w:t>
            </w:r>
            <w:r w:rsidR="001418E5" w:rsidRPr="001418E5">
              <w:rPr>
                <w:rFonts w:ascii="Times New Roman" w:hAnsi="Times New Roman"/>
                <w:spacing w:val="-2"/>
              </w:rPr>
              <w:t xml:space="preserve">rejestrację dla potrzeb podatku VAT w jednym państwie członkowskim, w ramach której </w:t>
            </w:r>
            <w:r w:rsidR="001418E5">
              <w:rPr>
                <w:rFonts w:ascii="Times New Roman" w:hAnsi="Times New Roman"/>
                <w:spacing w:val="-2"/>
              </w:rPr>
              <w:t>rozliczy</w:t>
            </w:r>
            <w:r w:rsidR="001418E5" w:rsidRPr="001418E5">
              <w:rPr>
                <w:rFonts w:ascii="Times New Roman" w:hAnsi="Times New Roman"/>
                <w:spacing w:val="-2"/>
              </w:rPr>
              <w:t xml:space="preserve"> podatek VAT należny </w:t>
            </w:r>
            <w:r w:rsidR="001418E5">
              <w:rPr>
                <w:rFonts w:ascii="Times New Roman" w:hAnsi="Times New Roman"/>
                <w:spacing w:val="-2"/>
              </w:rPr>
              <w:t xml:space="preserve">w innych państwach członkowskich, unikając konieczności </w:t>
            </w:r>
            <w:r w:rsidRPr="00BF67B7">
              <w:rPr>
                <w:rFonts w:ascii="Times New Roman" w:hAnsi="Times New Roman"/>
                <w:spacing w:val="-2"/>
              </w:rPr>
              <w:t xml:space="preserve">rejestracji </w:t>
            </w:r>
            <w:r w:rsidR="00AD05E8" w:rsidRPr="00AD05E8">
              <w:rPr>
                <w:rFonts w:ascii="Times New Roman" w:hAnsi="Times New Roman"/>
                <w:spacing w:val="-2"/>
              </w:rPr>
              <w:t>na potrzeby po</w:t>
            </w:r>
            <w:r w:rsidR="00AD05E8">
              <w:rPr>
                <w:rFonts w:ascii="Times New Roman" w:hAnsi="Times New Roman"/>
                <w:spacing w:val="-2"/>
              </w:rPr>
              <w:t>datku VAT</w:t>
            </w:r>
            <w:r w:rsidR="00AD05E8" w:rsidRPr="00BF67B7">
              <w:rPr>
                <w:rFonts w:ascii="Times New Roman" w:hAnsi="Times New Roman"/>
                <w:spacing w:val="-2"/>
              </w:rPr>
              <w:t xml:space="preserve"> </w:t>
            </w:r>
            <w:r w:rsidRPr="00BF67B7">
              <w:rPr>
                <w:rFonts w:ascii="Times New Roman" w:hAnsi="Times New Roman"/>
                <w:spacing w:val="-2"/>
              </w:rPr>
              <w:t>oraz obowiązków ewidencyjno-sprawozdawczych w każdym państwie</w:t>
            </w:r>
            <w:r w:rsidR="00AD05E8">
              <w:rPr>
                <w:rFonts w:ascii="Times New Roman" w:hAnsi="Times New Roman"/>
                <w:spacing w:val="-2"/>
              </w:rPr>
              <w:t xml:space="preserve"> członkowskim</w:t>
            </w:r>
            <w:r w:rsidR="00DE725C">
              <w:rPr>
                <w:rFonts w:ascii="Times New Roman" w:hAnsi="Times New Roman"/>
                <w:spacing w:val="-2"/>
              </w:rPr>
              <w:t xml:space="preserve"> </w:t>
            </w:r>
            <w:r w:rsidR="00AD05E8" w:rsidRPr="00AD05E8">
              <w:rPr>
                <w:rFonts w:ascii="Times New Roman" w:hAnsi="Times New Roman"/>
                <w:spacing w:val="-2"/>
              </w:rPr>
              <w:t>konsumpcji.</w:t>
            </w:r>
          </w:p>
        </w:tc>
      </w:tr>
      <w:tr w:rsidR="00B00928" w:rsidRPr="00F36492" w14:paraId="6EFDADBB" w14:textId="77777777" w:rsidTr="009079D7">
        <w:trPr>
          <w:trHeight w:val="142"/>
        </w:trPr>
        <w:tc>
          <w:tcPr>
            <w:tcW w:w="2659" w:type="dxa"/>
            <w:gridSpan w:val="3"/>
            <w:shd w:val="clear" w:color="auto" w:fill="auto"/>
          </w:tcPr>
          <w:p w14:paraId="3D593C0F" w14:textId="15C13FD3" w:rsidR="00B00928" w:rsidRDefault="006E7DD1" w:rsidP="006E7DD1">
            <w:pPr>
              <w:spacing w:line="240" w:lineRule="auto"/>
              <w:jc w:val="both"/>
              <w:rPr>
                <w:rFonts w:ascii="Times New Roman" w:hAnsi="Times New Roman"/>
              </w:rPr>
            </w:pPr>
            <w:r>
              <w:rPr>
                <w:rFonts w:ascii="Times New Roman" w:hAnsi="Times New Roman"/>
              </w:rPr>
              <w:t>Konsumenci - o</w:t>
            </w:r>
            <w:r w:rsidR="00B00928">
              <w:rPr>
                <w:rFonts w:ascii="Times New Roman" w:hAnsi="Times New Roman"/>
              </w:rPr>
              <w:t>soby fizyczne niebędące podatnikami podatku</w:t>
            </w:r>
            <w:r w:rsidR="00D113C0">
              <w:rPr>
                <w:rFonts w:ascii="Times New Roman" w:hAnsi="Times New Roman"/>
              </w:rPr>
              <w:t xml:space="preserve"> VAT</w:t>
            </w:r>
            <w:r w:rsidR="00AE54D1">
              <w:rPr>
                <w:rFonts w:ascii="Times New Roman" w:hAnsi="Times New Roman"/>
              </w:rPr>
              <w:t xml:space="preserve"> </w:t>
            </w:r>
            <w:r w:rsidR="00B00928">
              <w:rPr>
                <w:rFonts w:ascii="Times New Roman" w:hAnsi="Times New Roman"/>
              </w:rPr>
              <w:t>, które dokonują importu towarów</w:t>
            </w:r>
            <w:r w:rsidR="00AE54D1">
              <w:rPr>
                <w:rFonts w:ascii="Times New Roman" w:hAnsi="Times New Roman"/>
              </w:rPr>
              <w:t xml:space="preserve"> w przesyłkach pocztowych o wartości rzeczywistej do 150 euro, </w:t>
            </w:r>
            <w:r>
              <w:rPr>
                <w:rFonts w:ascii="Times New Roman" w:hAnsi="Times New Roman"/>
              </w:rPr>
              <w:t>jeżeli</w:t>
            </w:r>
            <w:r w:rsidR="00AE54D1">
              <w:rPr>
                <w:rFonts w:ascii="Times New Roman" w:hAnsi="Times New Roman"/>
              </w:rPr>
              <w:t xml:space="preserve"> wysyłka lub transport kończy się na terytorium Polski.</w:t>
            </w:r>
          </w:p>
        </w:tc>
        <w:tc>
          <w:tcPr>
            <w:tcW w:w="2180" w:type="dxa"/>
            <w:gridSpan w:val="6"/>
            <w:shd w:val="clear" w:color="auto" w:fill="auto"/>
          </w:tcPr>
          <w:p w14:paraId="2361E238" w14:textId="61EA358C" w:rsidR="00B00928" w:rsidRDefault="00C45198" w:rsidP="00317E97">
            <w:pPr>
              <w:spacing w:line="240" w:lineRule="auto"/>
              <w:jc w:val="both"/>
              <w:rPr>
                <w:rFonts w:ascii="Times New Roman" w:hAnsi="Times New Roman"/>
                <w:spacing w:val="-2"/>
              </w:rPr>
            </w:pPr>
            <w:r>
              <w:rPr>
                <w:rFonts w:ascii="Times New Roman" w:hAnsi="Times New Roman"/>
                <w:spacing w:val="-2"/>
              </w:rPr>
              <w:t>Brak danych</w:t>
            </w:r>
          </w:p>
        </w:tc>
        <w:tc>
          <w:tcPr>
            <w:tcW w:w="2005" w:type="dxa"/>
            <w:gridSpan w:val="6"/>
            <w:shd w:val="clear" w:color="auto" w:fill="auto"/>
          </w:tcPr>
          <w:p w14:paraId="7D303EDB" w14:textId="7EC3B386" w:rsidR="00B00928" w:rsidRPr="00F36492" w:rsidRDefault="00C45198" w:rsidP="00F36492">
            <w:pPr>
              <w:spacing w:line="240" w:lineRule="auto"/>
              <w:jc w:val="both"/>
              <w:rPr>
                <w:rFonts w:ascii="Times New Roman" w:hAnsi="Times New Roman"/>
                <w:spacing w:val="-2"/>
              </w:rPr>
            </w:pPr>
            <w:r>
              <w:rPr>
                <w:rFonts w:ascii="Times New Roman" w:hAnsi="Times New Roman"/>
                <w:spacing w:val="-2"/>
              </w:rPr>
              <w:t>Brak danych</w:t>
            </w:r>
          </w:p>
        </w:tc>
        <w:tc>
          <w:tcPr>
            <w:tcW w:w="4236" w:type="dxa"/>
            <w:gridSpan w:val="10"/>
            <w:shd w:val="clear" w:color="auto" w:fill="auto"/>
          </w:tcPr>
          <w:p w14:paraId="3EE84075" w14:textId="5670E09A" w:rsidR="00B00928" w:rsidRPr="00BF67B7" w:rsidRDefault="00317E97" w:rsidP="00F6327C">
            <w:pPr>
              <w:spacing w:line="240" w:lineRule="auto"/>
              <w:jc w:val="both"/>
              <w:rPr>
                <w:rFonts w:ascii="Times New Roman" w:hAnsi="Times New Roman"/>
                <w:spacing w:val="-2"/>
              </w:rPr>
            </w:pPr>
            <w:r>
              <w:rPr>
                <w:rFonts w:ascii="Times New Roman" w:hAnsi="Times New Roman"/>
                <w:spacing w:val="-2"/>
              </w:rPr>
              <w:t>Konsumenci będą musieli zapłacić podatek VAT od każdego towaru znajdującego się w przesyłce pocztowej</w:t>
            </w:r>
            <w:r w:rsidR="00F6327C">
              <w:rPr>
                <w:rFonts w:ascii="Times New Roman" w:hAnsi="Times New Roman"/>
                <w:spacing w:val="-2"/>
              </w:rPr>
              <w:t>, która jest przedmiotem importu</w:t>
            </w:r>
            <w:r>
              <w:rPr>
                <w:rFonts w:ascii="Times New Roman" w:hAnsi="Times New Roman"/>
                <w:spacing w:val="-2"/>
              </w:rPr>
              <w:t xml:space="preserve">. VAT będzie płacony albo sprzedawcy (lub interfejsowi elektronicznemu), jeżeli zarejestruje się </w:t>
            </w:r>
            <w:r w:rsidR="00F6327C">
              <w:rPr>
                <w:rFonts w:ascii="Times New Roman" w:hAnsi="Times New Roman"/>
                <w:spacing w:val="-2"/>
              </w:rPr>
              <w:t xml:space="preserve">on </w:t>
            </w:r>
            <w:r>
              <w:rPr>
                <w:rFonts w:ascii="Times New Roman" w:hAnsi="Times New Roman"/>
                <w:spacing w:val="-2"/>
              </w:rPr>
              <w:t>do IOSS, albo jeżeli</w:t>
            </w:r>
            <w:r w:rsidR="00383F3C">
              <w:rPr>
                <w:rFonts w:ascii="Times New Roman" w:hAnsi="Times New Roman"/>
                <w:spacing w:val="-2"/>
              </w:rPr>
              <w:t xml:space="preserve"> nie zastosowano IOSS a</w:t>
            </w:r>
            <w:r>
              <w:rPr>
                <w:rFonts w:ascii="Times New Roman" w:hAnsi="Times New Roman"/>
                <w:spacing w:val="-2"/>
              </w:rPr>
              <w:t xml:space="preserve"> operator pocztowy w rozumieniu ustawy Prawo Pocztowe zechce skorzystać z tzw. uregulowania szczególnego </w:t>
            </w:r>
            <w:r w:rsidR="00F6327C">
              <w:rPr>
                <w:rFonts w:ascii="Times New Roman" w:hAnsi="Times New Roman"/>
                <w:spacing w:val="-2"/>
              </w:rPr>
              <w:t>„</w:t>
            </w:r>
            <w:r>
              <w:rPr>
                <w:rFonts w:ascii="Times New Roman" w:hAnsi="Times New Roman"/>
                <w:spacing w:val="-2"/>
              </w:rPr>
              <w:t>USZ</w:t>
            </w:r>
            <w:r w:rsidR="00F6327C">
              <w:rPr>
                <w:rFonts w:ascii="Times New Roman" w:hAnsi="Times New Roman"/>
                <w:spacing w:val="-2"/>
              </w:rPr>
              <w:t>”</w:t>
            </w:r>
            <w:r>
              <w:rPr>
                <w:rFonts w:ascii="Times New Roman" w:hAnsi="Times New Roman"/>
                <w:spacing w:val="-2"/>
              </w:rPr>
              <w:t xml:space="preserve"> wówczas VAT jest płacony</w:t>
            </w:r>
            <w:r w:rsidR="00F6327C">
              <w:rPr>
                <w:rFonts w:ascii="Times New Roman" w:hAnsi="Times New Roman"/>
                <w:spacing w:val="-2"/>
              </w:rPr>
              <w:t xml:space="preserve"> wg stawki podstawowej</w:t>
            </w:r>
            <w:r>
              <w:rPr>
                <w:rFonts w:ascii="Times New Roman" w:hAnsi="Times New Roman"/>
                <w:spacing w:val="-2"/>
              </w:rPr>
              <w:t xml:space="preserve"> temu operatorowi w momencie odbioru przesyłki</w:t>
            </w:r>
            <w:r w:rsidR="00383F3C">
              <w:rPr>
                <w:rFonts w:ascii="Times New Roman" w:hAnsi="Times New Roman"/>
                <w:spacing w:val="-2"/>
              </w:rPr>
              <w:t xml:space="preserve"> przez odbiorcę</w:t>
            </w:r>
            <w:r>
              <w:rPr>
                <w:rFonts w:ascii="Times New Roman" w:hAnsi="Times New Roman"/>
                <w:spacing w:val="-2"/>
              </w:rPr>
              <w:t xml:space="preserve"> a operator wpłaca ten pobrany podatek organowi celnemu. </w:t>
            </w:r>
            <w:r w:rsidR="00F6327C">
              <w:rPr>
                <w:rFonts w:ascii="Times New Roman" w:hAnsi="Times New Roman"/>
                <w:spacing w:val="-2"/>
              </w:rPr>
              <w:t>W przypadku chęci zastosowania obniżonej stawki, właściwej dla importowanego towaru konieczne jest złożenie standardowego zgłoszenia celnego.</w:t>
            </w:r>
          </w:p>
        </w:tc>
      </w:tr>
      <w:tr w:rsidR="0002305C" w:rsidRPr="00F36492" w14:paraId="5294609B" w14:textId="77777777" w:rsidTr="1D9DC3A4">
        <w:trPr>
          <w:gridAfter w:val="1"/>
          <w:wAfter w:w="10" w:type="dxa"/>
          <w:trHeight w:val="142"/>
        </w:trPr>
        <w:tc>
          <w:tcPr>
            <w:tcW w:w="11070" w:type="dxa"/>
            <w:gridSpan w:val="24"/>
            <w:shd w:val="clear" w:color="auto" w:fill="auto"/>
          </w:tcPr>
          <w:p w14:paraId="5294609A" w14:textId="4B8EF6DE" w:rsidR="0002305C" w:rsidRPr="00F36492" w:rsidRDefault="0002305C" w:rsidP="00F36492">
            <w:pPr>
              <w:spacing w:line="240" w:lineRule="auto"/>
              <w:jc w:val="both"/>
              <w:rPr>
                <w:rFonts w:ascii="Times New Roman" w:eastAsia="Times New Roman" w:hAnsi="Times New Roman"/>
                <w:i/>
              </w:rPr>
            </w:pPr>
          </w:p>
        </w:tc>
      </w:tr>
      <w:tr w:rsidR="0002305C" w:rsidRPr="00F36492" w14:paraId="5294609D" w14:textId="77777777" w:rsidTr="1D9DC3A4">
        <w:trPr>
          <w:gridAfter w:val="1"/>
          <w:wAfter w:w="10" w:type="dxa"/>
          <w:trHeight w:val="302"/>
        </w:trPr>
        <w:tc>
          <w:tcPr>
            <w:tcW w:w="11070" w:type="dxa"/>
            <w:gridSpan w:val="24"/>
            <w:shd w:val="clear" w:color="auto" w:fill="99CCFF"/>
            <w:vAlign w:val="center"/>
          </w:tcPr>
          <w:p w14:paraId="5294609C" w14:textId="77777777" w:rsidR="0002305C" w:rsidRPr="00F36492" w:rsidRDefault="0002305C" w:rsidP="00F36492">
            <w:pPr>
              <w:numPr>
                <w:ilvl w:val="0"/>
                <w:numId w:val="12"/>
              </w:numPr>
              <w:spacing w:line="240" w:lineRule="auto"/>
              <w:ind w:left="0" w:firstLine="0"/>
              <w:jc w:val="both"/>
              <w:rPr>
                <w:rFonts w:ascii="Times New Roman" w:hAnsi="Times New Roman"/>
                <w:b/>
              </w:rPr>
            </w:pPr>
            <w:r w:rsidRPr="00F36492">
              <w:rPr>
                <w:rFonts w:ascii="Times New Roman" w:hAnsi="Times New Roman"/>
                <w:b/>
              </w:rPr>
              <w:t>Informacje na temat zakresu, czasu trwania i podsumowanie wyników konsultacji</w:t>
            </w:r>
          </w:p>
        </w:tc>
      </w:tr>
      <w:tr w:rsidR="0002305C" w:rsidRPr="00F36492" w14:paraId="529460A4" w14:textId="77777777" w:rsidTr="1D9DC3A4">
        <w:trPr>
          <w:gridAfter w:val="1"/>
          <w:wAfter w:w="10" w:type="dxa"/>
          <w:trHeight w:val="342"/>
        </w:trPr>
        <w:tc>
          <w:tcPr>
            <w:tcW w:w="11070" w:type="dxa"/>
            <w:gridSpan w:val="24"/>
            <w:shd w:val="clear" w:color="auto" w:fill="FFFFFF"/>
          </w:tcPr>
          <w:p w14:paraId="0F50E2BB" w14:textId="77777777" w:rsidR="008A714D" w:rsidRDefault="008A714D" w:rsidP="00F36492">
            <w:pPr>
              <w:spacing w:line="240" w:lineRule="auto"/>
              <w:jc w:val="both"/>
              <w:rPr>
                <w:rFonts w:ascii="Times New Roman" w:hAnsi="Times New Roman"/>
              </w:rPr>
            </w:pPr>
            <w:r w:rsidRPr="00F36492">
              <w:rPr>
                <w:rFonts w:ascii="Times New Roman" w:hAnsi="Times New Roman"/>
              </w:rPr>
              <w:lastRenderedPageBreak/>
              <w:t>Projekt zostanie udostępniony w BIP RCL oraz będzie przedmiotem uzgodnień międzyresortowych, opiniowania i szerokich konsultacji publicznych.</w:t>
            </w:r>
          </w:p>
          <w:p w14:paraId="2531D7B7" w14:textId="20723505" w:rsidR="0020675E" w:rsidRPr="009F44F3" w:rsidRDefault="0020675E" w:rsidP="0020675E">
            <w:pPr>
              <w:jc w:val="both"/>
              <w:rPr>
                <w:rFonts w:ascii="Times New Roman" w:hAnsi="Times New Roman"/>
                <w:color w:val="000000" w:themeColor="text1"/>
                <w:spacing w:val="-2"/>
              </w:rPr>
            </w:pPr>
            <w:r w:rsidRPr="009F44F3">
              <w:rPr>
                <w:rFonts w:ascii="Times New Roman" w:hAnsi="Times New Roman"/>
                <w:color w:val="000000" w:themeColor="text1"/>
                <w:spacing w:val="-2"/>
              </w:rPr>
              <w:t>Ze względu na charakter projektowanych zmian mających na celu przede wszystkim</w:t>
            </w:r>
            <w:r w:rsidR="00613A66">
              <w:rPr>
                <w:rFonts w:ascii="Times New Roman" w:hAnsi="Times New Roman"/>
                <w:color w:val="000000" w:themeColor="text1"/>
                <w:spacing w:val="-2"/>
              </w:rPr>
              <w:t xml:space="preserve"> </w:t>
            </w:r>
            <w:r w:rsidR="00B13468">
              <w:rPr>
                <w:rFonts w:ascii="Times New Roman" w:hAnsi="Times New Roman"/>
                <w:color w:val="000000" w:themeColor="text1"/>
                <w:spacing w:val="-2"/>
              </w:rPr>
              <w:t xml:space="preserve">uszczelnienie i </w:t>
            </w:r>
            <w:r>
              <w:rPr>
                <w:rFonts w:ascii="Times New Roman" w:hAnsi="Times New Roman"/>
                <w:color w:val="000000" w:themeColor="text1"/>
                <w:spacing w:val="-2"/>
              </w:rPr>
              <w:t xml:space="preserve">uproszczenie rozliczeń VAT </w:t>
            </w:r>
            <w:r w:rsidR="00613A66">
              <w:rPr>
                <w:rFonts w:ascii="Times New Roman" w:hAnsi="Times New Roman"/>
                <w:color w:val="000000" w:themeColor="text1"/>
                <w:spacing w:val="-2"/>
              </w:rPr>
              <w:t xml:space="preserve">od </w:t>
            </w:r>
            <w:r w:rsidR="00F02801">
              <w:rPr>
                <w:rFonts w:ascii="Times New Roman" w:hAnsi="Times New Roman"/>
                <w:color w:val="000000" w:themeColor="text1"/>
                <w:spacing w:val="-2"/>
              </w:rPr>
              <w:t xml:space="preserve">sprzedaży </w:t>
            </w:r>
            <w:r w:rsidR="00613A66">
              <w:rPr>
                <w:rFonts w:ascii="Times New Roman" w:hAnsi="Times New Roman"/>
                <w:color w:val="000000" w:themeColor="text1"/>
                <w:spacing w:val="-2"/>
              </w:rPr>
              <w:t>towarów i usług dokonanych przez Internet,</w:t>
            </w:r>
            <w:r>
              <w:rPr>
                <w:rFonts w:ascii="Times New Roman" w:hAnsi="Times New Roman"/>
                <w:color w:val="000000" w:themeColor="text1"/>
                <w:spacing w:val="-2"/>
              </w:rPr>
              <w:t xml:space="preserve"> przewiduje się wyznaczenie 21 dni do zgłoszenia uwag. </w:t>
            </w:r>
          </w:p>
          <w:p w14:paraId="7A6CB2CD" w14:textId="5FA95BF9" w:rsidR="007D0FC5" w:rsidRPr="00877D5F" w:rsidRDefault="0020675E" w:rsidP="007D0FC5">
            <w:pPr>
              <w:jc w:val="both"/>
              <w:rPr>
                <w:rFonts w:ascii="Times New Roman" w:hAnsi="Times New Roman"/>
                <w:color w:val="000000"/>
              </w:rPr>
            </w:pPr>
            <w:r w:rsidRPr="00054127">
              <w:rPr>
                <w:rFonts w:ascii="Times New Roman" w:hAnsi="Times New Roman"/>
                <w:color w:val="000000"/>
                <w:spacing w:val="-2"/>
              </w:rPr>
              <w:t xml:space="preserve">Projekt zostanie przekazany do partnerów społecznych, </w:t>
            </w:r>
            <w:r>
              <w:rPr>
                <w:rFonts w:ascii="Times New Roman" w:hAnsi="Times New Roman"/>
                <w:color w:val="000000"/>
                <w:spacing w:val="-2"/>
              </w:rPr>
              <w:t>m.in</w:t>
            </w:r>
            <w:r w:rsidRPr="00054127">
              <w:rPr>
                <w:rFonts w:ascii="Times New Roman" w:hAnsi="Times New Roman"/>
                <w:color w:val="000000"/>
                <w:spacing w:val="-2"/>
              </w:rPr>
              <w:t>.</w:t>
            </w:r>
            <w:r>
              <w:rPr>
                <w:rFonts w:ascii="Times New Roman" w:hAnsi="Times New Roman"/>
                <w:color w:val="000000"/>
                <w:spacing w:val="-2"/>
              </w:rPr>
              <w:t xml:space="preserve"> </w:t>
            </w:r>
            <w:r w:rsidRPr="00424F3D">
              <w:rPr>
                <w:rFonts w:ascii="Times New Roman" w:hAnsi="Times New Roman"/>
              </w:rPr>
              <w:t xml:space="preserve">Business Centre Club, Stowarzyszenie Księgowych w Polsce, Naczelna Rada Adwokacka, Polska Izba Biegłych Rewidentów, Naczelna Rada Zrzeszeń Handlu i Usług, Krajowa Izba Doradców Podatkowych, Krajowa Izba Gospodarcza, Pracodawcy Rzeczypospolitej Polskiej, Konfederacja LEWIATAN, Krajowa Izba Radców Prawnych, Polska Rada Biznesu, </w:t>
            </w:r>
            <w:r w:rsidRPr="00424F3D">
              <w:rPr>
                <w:rFonts w:ascii="Times New Roman" w:hAnsi="Times New Roman"/>
                <w:lang w:val="cs-CZ"/>
              </w:rPr>
              <w:t xml:space="preserve">Polska Izba Handlu, Polska Organizacja Handlu i Dystrybucji, Polska Izba Paliw Płynnych, Polska Organizacja Gazu Płynnego, Polska Organizacja Przemysłu i Handlu Naftowego, Związek Importerów i Producentów Sprzętu Elektrycznego i Elektronicznego Branży RTV i IT – ZIPSEE „Cyfrowa Polska”, Polska Izba Informatyki i Telekomunikacji, Izba Gospodarki Elektronicznej, Krajowa Izba Gospodarcza Elektroniki i Telekomunikacji, Polska Izba Komunikacji Elektronicznej, </w:t>
            </w:r>
            <w:r w:rsidRPr="00424F3D">
              <w:rPr>
                <w:rFonts w:ascii="Times New Roman" w:hAnsi="Times New Roman"/>
              </w:rPr>
              <w:t>Związek Przedsiębiorców i Pracodawców, Federacja Przedsiębiorców Polskich</w:t>
            </w:r>
            <w:r>
              <w:rPr>
                <w:rFonts w:ascii="Times New Roman" w:hAnsi="Times New Roman"/>
              </w:rPr>
              <w:t xml:space="preserve">, </w:t>
            </w:r>
            <w:r w:rsidRPr="00424F3D">
              <w:rPr>
                <w:rFonts w:ascii="Times New Roman" w:hAnsi="Times New Roman"/>
              </w:rPr>
              <w:t>Związek Rzemiosła Polskiego</w:t>
            </w:r>
            <w:r>
              <w:rPr>
                <w:rFonts w:ascii="Times New Roman" w:hAnsi="Times New Roman"/>
              </w:rPr>
              <w:t xml:space="preserve">, </w:t>
            </w:r>
            <w:r w:rsidRPr="00424F3D">
              <w:rPr>
                <w:rFonts w:ascii="Times New Roman" w:hAnsi="Times New Roman"/>
              </w:rPr>
              <w:t>Ogólnopol</w:t>
            </w:r>
            <w:r>
              <w:rPr>
                <w:rFonts w:ascii="Times New Roman" w:hAnsi="Times New Roman"/>
              </w:rPr>
              <w:t>ska Federacja Przedsiębiorców i </w:t>
            </w:r>
            <w:r w:rsidRPr="00424F3D">
              <w:rPr>
                <w:rFonts w:ascii="Times New Roman" w:hAnsi="Times New Roman"/>
              </w:rPr>
              <w:t>Pracodawców Przedsiębiorcy.pl</w:t>
            </w:r>
            <w:r>
              <w:rPr>
                <w:rFonts w:ascii="Times New Roman" w:hAnsi="Times New Roman"/>
              </w:rPr>
              <w:t xml:space="preserve">,  </w:t>
            </w:r>
            <w:r w:rsidRPr="00424F3D">
              <w:rPr>
                <w:rFonts w:ascii="Times New Roman" w:hAnsi="Times New Roman"/>
              </w:rPr>
              <w:t xml:space="preserve">Europejska Unia Małych i Średnich Przedsiębiorstw oraz Klasy Średniej </w:t>
            </w:r>
            <w:r>
              <w:rPr>
                <w:rFonts w:ascii="Times New Roman" w:hAnsi="Times New Roman"/>
              </w:rPr>
              <w:t>–</w:t>
            </w:r>
            <w:r w:rsidRPr="00424F3D">
              <w:rPr>
                <w:rFonts w:ascii="Times New Roman" w:hAnsi="Times New Roman"/>
              </w:rPr>
              <w:t xml:space="preserve"> UNICORN</w:t>
            </w:r>
            <w:r>
              <w:rPr>
                <w:rFonts w:ascii="Times New Roman" w:hAnsi="Times New Roman"/>
              </w:rPr>
              <w:t xml:space="preserve">,  </w:t>
            </w:r>
            <w:r w:rsidRPr="00424F3D">
              <w:rPr>
                <w:rFonts w:ascii="Times New Roman" w:hAnsi="Times New Roman"/>
              </w:rPr>
              <w:t>Izba Przemysłowo-Handlowa Inwestorów w Polsce</w:t>
            </w:r>
            <w:r>
              <w:rPr>
                <w:rFonts w:ascii="Times New Roman" w:hAnsi="Times New Roman"/>
              </w:rPr>
              <w:t xml:space="preserve">, </w:t>
            </w:r>
            <w:r w:rsidRPr="00424F3D">
              <w:rPr>
                <w:rFonts w:ascii="Times New Roman" w:hAnsi="Times New Roman"/>
              </w:rPr>
              <w:t>Polska Izba Gospodarcza Importerów, Eksporterów i Kooperacji</w:t>
            </w:r>
            <w:r>
              <w:rPr>
                <w:rFonts w:ascii="Times New Roman" w:hAnsi="Times New Roman"/>
              </w:rPr>
              <w:t xml:space="preserve">, </w:t>
            </w:r>
            <w:r w:rsidRPr="00457291">
              <w:rPr>
                <w:rFonts w:ascii="Times New Roman" w:hAnsi="Times New Roman"/>
              </w:rPr>
              <w:t>Stowarzyszenie Eksporterów Polskich</w:t>
            </w:r>
            <w:r>
              <w:rPr>
                <w:rFonts w:ascii="Times New Roman" w:hAnsi="Times New Roman"/>
              </w:rPr>
              <w:t xml:space="preserve">, </w:t>
            </w:r>
            <w:r w:rsidRPr="00457291">
              <w:rPr>
                <w:rFonts w:ascii="Times New Roman" w:hAnsi="Times New Roman"/>
              </w:rPr>
              <w:t>Krajowe Stowarzyszenie Eksporterzy Rzeczypospolitej Polskiej</w:t>
            </w:r>
            <w:r>
              <w:rPr>
                <w:rFonts w:ascii="Times New Roman" w:hAnsi="Times New Roman"/>
              </w:rPr>
              <w:t xml:space="preserve">, </w:t>
            </w:r>
            <w:r w:rsidRPr="00457291">
              <w:rPr>
                <w:rFonts w:ascii="Times New Roman" w:hAnsi="Times New Roman"/>
              </w:rPr>
              <w:t>Polska Rada Centrów Handlowych</w:t>
            </w:r>
            <w:r>
              <w:rPr>
                <w:rFonts w:ascii="Times New Roman" w:hAnsi="Times New Roman"/>
              </w:rPr>
              <w:t xml:space="preserve">, </w:t>
            </w:r>
            <w:r w:rsidRPr="00457291">
              <w:rPr>
                <w:rFonts w:ascii="Times New Roman" w:hAnsi="Times New Roman"/>
              </w:rPr>
              <w:t>Ogólnopolskie Stowarzyszenie Kupców i Drobnej Wytwórczości</w:t>
            </w:r>
            <w:r>
              <w:rPr>
                <w:rFonts w:ascii="Times New Roman" w:hAnsi="Times New Roman"/>
              </w:rPr>
              <w:t xml:space="preserve">, </w:t>
            </w:r>
            <w:r w:rsidRPr="00457291">
              <w:rPr>
                <w:rFonts w:ascii="Times New Roman" w:hAnsi="Times New Roman"/>
              </w:rPr>
              <w:t>Izba Gospodarcza Metali Nieżelaznych i Recyklingu</w:t>
            </w:r>
            <w:r>
              <w:rPr>
                <w:rFonts w:ascii="Times New Roman" w:hAnsi="Times New Roman"/>
              </w:rPr>
              <w:t xml:space="preserve">, </w:t>
            </w:r>
            <w:r w:rsidRPr="00457291">
              <w:rPr>
                <w:rFonts w:ascii="Times New Roman" w:hAnsi="Times New Roman"/>
              </w:rPr>
              <w:t>Hutnicza Izba Przemysłowo-Handlowa</w:t>
            </w:r>
            <w:r>
              <w:rPr>
                <w:rFonts w:ascii="Times New Roman" w:hAnsi="Times New Roman"/>
              </w:rPr>
              <w:t xml:space="preserve">, </w:t>
            </w:r>
            <w:r w:rsidRPr="00457291">
              <w:rPr>
                <w:rFonts w:ascii="Times New Roman" w:hAnsi="Times New Roman"/>
              </w:rPr>
              <w:t>Federacja Gospodarki Żywnościowej RP</w:t>
            </w:r>
            <w:r>
              <w:rPr>
                <w:rFonts w:ascii="Times New Roman" w:hAnsi="Times New Roman"/>
              </w:rPr>
              <w:t xml:space="preserve">, </w:t>
            </w:r>
            <w:r w:rsidRPr="00457291">
              <w:rPr>
                <w:rFonts w:ascii="Times New Roman" w:hAnsi="Times New Roman"/>
              </w:rPr>
              <w:t>Krajowa Izba Gospodarcza „Przemysłu Spożywczego i Opakowań”</w:t>
            </w:r>
            <w:r>
              <w:rPr>
                <w:rFonts w:ascii="Times New Roman" w:hAnsi="Times New Roman"/>
              </w:rPr>
              <w:t xml:space="preserve">, </w:t>
            </w:r>
            <w:r w:rsidRPr="00457291">
              <w:rPr>
                <w:rFonts w:ascii="Times New Roman" w:hAnsi="Times New Roman"/>
              </w:rPr>
              <w:t>Izba Gospodarcza Hotelarstwa Polskiego</w:t>
            </w:r>
            <w:r>
              <w:rPr>
                <w:rFonts w:ascii="Times New Roman" w:hAnsi="Times New Roman"/>
              </w:rPr>
              <w:t xml:space="preserve">, </w:t>
            </w:r>
            <w:r w:rsidRPr="00457291">
              <w:rPr>
                <w:rFonts w:ascii="Times New Roman" w:hAnsi="Times New Roman"/>
              </w:rPr>
              <w:t>Rada Krajowa Federacji Konsumentów</w:t>
            </w:r>
            <w:r>
              <w:rPr>
                <w:rFonts w:ascii="Times New Roman" w:hAnsi="Times New Roman"/>
              </w:rPr>
              <w:t xml:space="preserve">, </w:t>
            </w:r>
            <w:r w:rsidRPr="00457291">
              <w:rPr>
                <w:rFonts w:ascii="Times New Roman" w:hAnsi="Times New Roman"/>
              </w:rPr>
              <w:t>Fundacja Rozwoju Rachunkowości w Polsce</w:t>
            </w:r>
            <w:r>
              <w:rPr>
                <w:rFonts w:ascii="Times New Roman" w:hAnsi="Times New Roman"/>
              </w:rPr>
              <w:t xml:space="preserve">, </w:t>
            </w:r>
            <w:r w:rsidRPr="00457291">
              <w:rPr>
                <w:rFonts w:ascii="Times New Roman" w:hAnsi="Times New Roman"/>
              </w:rPr>
              <w:t>Stowarzyszenie Samozatrudnieni</w:t>
            </w:r>
            <w:r>
              <w:rPr>
                <w:rFonts w:ascii="Times New Roman" w:hAnsi="Times New Roman"/>
              </w:rPr>
              <w:t xml:space="preserve">, </w:t>
            </w:r>
            <w:r w:rsidRPr="00457291">
              <w:rPr>
                <w:rFonts w:ascii="Times New Roman" w:hAnsi="Times New Roman"/>
              </w:rPr>
              <w:t>UNICORN Europejska Unia Małych i Średnich Przedsiębiorstw</w:t>
            </w:r>
            <w:r>
              <w:rPr>
                <w:rFonts w:ascii="Times New Roman" w:hAnsi="Times New Roman"/>
              </w:rPr>
              <w:t xml:space="preserve">, </w:t>
            </w:r>
            <w:r w:rsidRPr="00457291">
              <w:rPr>
                <w:rFonts w:ascii="Times New Roman" w:hAnsi="Times New Roman"/>
              </w:rPr>
              <w:t>Krajowa Izba Biegłych Rewidentów</w:t>
            </w:r>
            <w:r>
              <w:rPr>
                <w:rFonts w:ascii="Times New Roman" w:hAnsi="Times New Roman"/>
              </w:rPr>
              <w:t xml:space="preserve">, </w:t>
            </w:r>
            <w:r w:rsidRPr="00457291">
              <w:rPr>
                <w:rFonts w:ascii="Times New Roman" w:hAnsi="Times New Roman"/>
              </w:rPr>
              <w:t>Związek Banków Polskich</w:t>
            </w:r>
            <w:r>
              <w:rPr>
                <w:rFonts w:ascii="Times New Roman" w:hAnsi="Times New Roman"/>
              </w:rPr>
              <w:t xml:space="preserve">, </w:t>
            </w:r>
            <w:r w:rsidRPr="00457291">
              <w:rPr>
                <w:rFonts w:ascii="Times New Roman" w:hAnsi="Times New Roman"/>
              </w:rPr>
              <w:t>Polska Unia Dystrybutorów Stali</w:t>
            </w:r>
            <w:r>
              <w:rPr>
                <w:rFonts w:ascii="Times New Roman" w:hAnsi="Times New Roman"/>
              </w:rPr>
              <w:t xml:space="preserve">, </w:t>
            </w:r>
            <w:r w:rsidRPr="00457291">
              <w:rPr>
                <w:rFonts w:ascii="Times New Roman" w:hAnsi="Times New Roman"/>
              </w:rPr>
              <w:t>Związek Pracodawców Przemysłu Odzieżowego i Tekstylnego</w:t>
            </w:r>
            <w:r>
              <w:rPr>
                <w:rFonts w:ascii="Times New Roman" w:hAnsi="Times New Roman"/>
              </w:rPr>
              <w:t xml:space="preserve">, </w:t>
            </w:r>
            <w:r w:rsidRPr="00457291">
              <w:rPr>
                <w:rFonts w:ascii="Times New Roman" w:hAnsi="Times New Roman"/>
              </w:rPr>
              <w:t>Polski Związek Przemysłu Kosmetycznego</w:t>
            </w:r>
            <w:r>
              <w:rPr>
                <w:rFonts w:ascii="Times New Roman" w:hAnsi="Times New Roman"/>
              </w:rPr>
              <w:t xml:space="preserve">, </w:t>
            </w:r>
            <w:r w:rsidRPr="00457291">
              <w:rPr>
                <w:rFonts w:ascii="Times New Roman" w:hAnsi="Times New Roman"/>
              </w:rPr>
              <w:t>Polskie Stowarzyszenie Przemysłu Kosmetycznego i Detergentowego</w:t>
            </w:r>
            <w:r>
              <w:rPr>
                <w:rFonts w:ascii="Times New Roman" w:hAnsi="Times New Roman"/>
              </w:rPr>
              <w:t xml:space="preserve">, </w:t>
            </w:r>
            <w:r w:rsidRPr="00457291">
              <w:rPr>
                <w:rFonts w:ascii="Times New Roman" w:hAnsi="Times New Roman"/>
              </w:rPr>
              <w:t>Izba Przemysłowo-Handlowa Gospodarki Złomem</w:t>
            </w:r>
            <w:r>
              <w:rPr>
                <w:rFonts w:ascii="Times New Roman" w:hAnsi="Times New Roman"/>
              </w:rPr>
              <w:t xml:space="preserve">, </w:t>
            </w:r>
            <w:r w:rsidRPr="00457291">
              <w:rPr>
                <w:rFonts w:ascii="Times New Roman" w:hAnsi="Times New Roman"/>
              </w:rPr>
              <w:t>Polska Izba Komunikacji Elektronicznej</w:t>
            </w:r>
            <w:r>
              <w:rPr>
                <w:rFonts w:ascii="Times New Roman" w:hAnsi="Times New Roman"/>
              </w:rPr>
              <w:t xml:space="preserve">, </w:t>
            </w:r>
            <w:r w:rsidRPr="00457291">
              <w:rPr>
                <w:rFonts w:ascii="Times New Roman" w:hAnsi="Times New Roman"/>
              </w:rPr>
              <w:t>Federacja Konsumentów</w:t>
            </w:r>
            <w:r>
              <w:rPr>
                <w:rFonts w:ascii="Times New Roman" w:hAnsi="Times New Roman"/>
              </w:rPr>
              <w:t xml:space="preserve">, </w:t>
            </w:r>
            <w:r w:rsidRPr="00457291">
              <w:rPr>
                <w:rFonts w:ascii="Times New Roman" w:hAnsi="Times New Roman"/>
              </w:rPr>
              <w:t>Stowarzyszenie Konsumentów Polskich</w:t>
            </w:r>
            <w:r>
              <w:rPr>
                <w:rFonts w:ascii="Times New Roman" w:hAnsi="Times New Roman"/>
              </w:rPr>
              <w:t xml:space="preserve">, </w:t>
            </w:r>
            <w:r w:rsidRPr="00457291">
              <w:rPr>
                <w:rFonts w:ascii="Times New Roman" w:hAnsi="Times New Roman"/>
              </w:rPr>
              <w:t>Fundacja Małych i Średnich Przedsiębiorstw</w:t>
            </w:r>
            <w:r>
              <w:rPr>
                <w:rFonts w:ascii="Times New Roman" w:hAnsi="Times New Roman"/>
              </w:rPr>
              <w:t xml:space="preserve">, </w:t>
            </w:r>
            <w:r w:rsidRPr="00457291">
              <w:rPr>
                <w:rFonts w:ascii="Times New Roman" w:hAnsi="Times New Roman"/>
              </w:rPr>
              <w:t>Fundacja Republikańska</w:t>
            </w:r>
            <w:r>
              <w:rPr>
                <w:rFonts w:ascii="Times New Roman" w:hAnsi="Times New Roman"/>
              </w:rPr>
              <w:t xml:space="preserve">, Rzecznik Małych i Średnich Przedsiębiorców, Polska Izba Spedycji i Logistyki, </w:t>
            </w:r>
            <w:r w:rsidR="008A714D" w:rsidRPr="007D0FC5">
              <w:rPr>
                <w:rFonts w:ascii="Times New Roman" w:hAnsi="Times New Roman"/>
              </w:rPr>
              <w:t>Związek Importerów i Producentów Sprzętu Elektrycznego i Elektronicznego, Forum Przewoźników Ekspresowych, Izba Gospodarcza Transportu Lądowego, Ogólnopolski Związek Pracodawców Transportu Drogowego, Polska Izba Cła Logistyki i Spedycji, Polska Izba Gospodarcza Transportu Samochodowego i Spedycji, Polskie Towarzystwo Gospodarcze</w:t>
            </w:r>
            <w:r w:rsidR="007D0FC5" w:rsidRPr="007D0FC5">
              <w:rPr>
                <w:rFonts w:ascii="Times New Roman" w:hAnsi="Times New Roman"/>
              </w:rPr>
              <w:t xml:space="preserve">, </w:t>
            </w:r>
            <w:r w:rsidR="00877D5F" w:rsidRPr="00877D5F">
              <w:rPr>
                <w:rFonts w:ascii="Times New Roman" w:hAnsi="Times New Roman"/>
              </w:rPr>
              <w:t>NSZZ Solidarność, OPZZ, Forum Związków Zawodowych, Federacja Przedsiębiorców Polskich</w:t>
            </w:r>
            <w:r w:rsidR="007D0FC5" w:rsidRPr="00877D5F">
              <w:rPr>
                <w:rFonts w:ascii="Times New Roman" w:hAnsi="Times New Roman"/>
                <w:color w:val="000000"/>
              </w:rPr>
              <w:t>.</w:t>
            </w:r>
          </w:p>
          <w:p w14:paraId="529460A3" w14:textId="316898E6" w:rsidR="0002305C" w:rsidRPr="00F36492" w:rsidRDefault="0002305C" w:rsidP="00D64351">
            <w:pPr>
              <w:spacing w:line="240" w:lineRule="auto"/>
              <w:jc w:val="both"/>
              <w:rPr>
                <w:rFonts w:ascii="Times New Roman" w:hAnsi="Times New Roman"/>
                <w:spacing w:val="-2"/>
              </w:rPr>
            </w:pPr>
          </w:p>
        </w:tc>
      </w:tr>
      <w:tr w:rsidR="0002305C" w:rsidRPr="00F36492" w14:paraId="529460A6" w14:textId="77777777" w:rsidTr="1D9DC3A4">
        <w:trPr>
          <w:gridAfter w:val="1"/>
          <w:wAfter w:w="10" w:type="dxa"/>
          <w:trHeight w:val="363"/>
        </w:trPr>
        <w:tc>
          <w:tcPr>
            <w:tcW w:w="11070" w:type="dxa"/>
            <w:gridSpan w:val="24"/>
            <w:shd w:val="clear" w:color="auto" w:fill="99CCFF"/>
            <w:vAlign w:val="center"/>
          </w:tcPr>
          <w:p w14:paraId="529460A5" w14:textId="77777777" w:rsidR="0002305C" w:rsidRPr="00F36492" w:rsidRDefault="0002305C" w:rsidP="00F36492">
            <w:pPr>
              <w:numPr>
                <w:ilvl w:val="0"/>
                <w:numId w:val="12"/>
              </w:numPr>
              <w:spacing w:before="60" w:after="60" w:line="240" w:lineRule="auto"/>
              <w:ind w:left="318" w:hanging="284"/>
              <w:jc w:val="both"/>
              <w:rPr>
                <w:rFonts w:ascii="Times New Roman" w:hAnsi="Times New Roman"/>
                <w:b/>
              </w:rPr>
            </w:pPr>
            <w:r w:rsidRPr="00F36492">
              <w:rPr>
                <w:rFonts w:ascii="Times New Roman" w:hAnsi="Times New Roman"/>
                <w:b/>
              </w:rPr>
              <w:t xml:space="preserve"> Wpływ na sektor finansów publicznych</w:t>
            </w:r>
          </w:p>
        </w:tc>
      </w:tr>
      <w:tr w:rsidR="0002305C" w:rsidRPr="00F36492" w14:paraId="529460A9" w14:textId="77777777" w:rsidTr="00A53ADF">
        <w:trPr>
          <w:gridAfter w:val="1"/>
          <w:wAfter w:w="10" w:type="dxa"/>
          <w:trHeight w:val="142"/>
        </w:trPr>
        <w:tc>
          <w:tcPr>
            <w:tcW w:w="2156" w:type="dxa"/>
            <w:gridSpan w:val="2"/>
            <w:vMerge w:val="restart"/>
            <w:shd w:val="clear" w:color="auto" w:fill="FFFFFF"/>
          </w:tcPr>
          <w:p w14:paraId="529460A7" w14:textId="77DA4F98" w:rsidR="0002305C" w:rsidRPr="00F36492" w:rsidRDefault="0002305C" w:rsidP="00F36492">
            <w:pPr>
              <w:spacing w:before="40" w:after="40"/>
              <w:rPr>
                <w:rFonts w:ascii="Times New Roman" w:hAnsi="Times New Roman"/>
                <w:i/>
              </w:rPr>
            </w:pPr>
            <w:r w:rsidRPr="00F36492">
              <w:rPr>
                <w:rFonts w:ascii="Times New Roman" w:hAnsi="Times New Roman"/>
              </w:rPr>
              <w:t xml:space="preserve">(ceny stałe z </w:t>
            </w:r>
            <w:r w:rsidR="00EF50AB" w:rsidRPr="00F36492">
              <w:rPr>
                <w:rFonts w:ascii="Times New Roman" w:hAnsi="Times New Roman"/>
              </w:rPr>
              <w:t>2016 r</w:t>
            </w:r>
            <w:r w:rsidRPr="00F36492">
              <w:rPr>
                <w:rFonts w:ascii="Times New Roman" w:hAnsi="Times New Roman"/>
              </w:rPr>
              <w:t>.)</w:t>
            </w:r>
          </w:p>
        </w:tc>
        <w:tc>
          <w:tcPr>
            <w:tcW w:w="8914" w:type="dxa"/>
            <w:gridSpan w:val="22"/>
            <w:shd w:val="clear" w:color="auto" w:fill="FFFFFF"/>
          </w:tcPr>
          <w:p w14:paraId="529460A8" w14:textId="77777777" w:rsidR="0002305C" w:rsidRPr="00F36492" w:rsidRDefault="0002305C" w:rsidP="00F36492">
            <w:pPr>
              <w:spacing w:before="40" w:after="40" w:line="240" w:lineRule="auto"/>
              <w:jc w:val="center"/>
              <w:rPr>
                <w:rFonts w:ascii="Times New Roman" w:hAnsi="Times New Roman"/>
                <w:i/>
                <w:spacing w:val="-2"/>
              </w:rPr>
            </w:pPr>
            <w:r w:rsidRPr="00F36492">
              <w:rPr>
                <w:rFonts w:ascii="Times New Roman" w:hAnsi="Times New Roman"/>
              </w:rPr>
              <w:t>Skutki w okresie 10 lat od wejścia w życie zmian [mln zł]</w:t>
            </w:r>
          </w:p>
        </w:tc>
      </w:tr>
      <w:tr w:rsidR="0002305C" w:rsidRPr="00B53D09" w14:paraId="529460B7" w14:textId="77777777" w:rsidTr="00A53ADF">
        <w:trPr>
          <w:gridAfter w:val="1"/>
          <w:wAfter w:w="10" w:type="dxa"/>
          <w:trHeight w:val="142"/>
        </w:trPr>
        <w:tc>
          <w:tcPr>
            <w:tcW w:w="2156" w:type="dxa"/>
            <w:gridSpan w:val="2"/>
            <w:vMerge/>
            <w:shd w:val="clear" w:color="auto" w:fill="FFFFFF"/>
          </w:tcPr>
          <w:p w14:paraId="529460AA" w14:textId="77777777" w:rsidR="0002305C" w:rsidRPr="00F36492" w:rsidRDefault="0002305C" w:rsidP="00F36492">
            <w:pPr>
              <w:spacing w:before="40" w:after="40" w:line="240" w:lineRule="auto"/>
              <w:rPr>
                <w:rFonts w:ascii="Times New Roman" w:hAnsi="Times New Roman"/>
                <w:i/>
              </w:rPr>
            </w:pPr>
          </w:p>
        </w:tc>
        <w:tc>
          <w:tcPr>
            <w:tcW w:w="850" w:type="dxa"/>
            <w:gridSpan w:val="3"/>
            <w:shd w:val="clear" w:color="auto" w:fill="FFFFFF"/>
            <w:vAlign w:val="center"/>
          </w:tcPr>
          <w:p w14:paraId="529460AB" w14:textId="21DB2F1F" w:rsidR="0002305C" w:rsidRPr="00B53D09" w:rsidRDefault="00A53ADF" w:rsidP="00F36492">
            <w:pPr>
              <w:spacing w:line="240" w:lineRule="auto"/>
              <w:jc w:val="center"/>
              <w:rPr>
                <w:rFonts w:ascii="Times New Roman" w:hAnsi="Times New Roman"/>
              </w:rPr>
            </w:pPr>
            <w:r w:rsidRPr="00B53D09">
              <w:rPr>
                <w:rFonts w:ascii="Times New Roman" w:hAnsi="Times New Roman"/>
              </w:rPr>
              <w:t>2020</w:t>
            </w:r>
          </w:p>
        </w:tc>
        <w:tc>
          <w:tcPr>
            <w:tcW w:w="709" w:type="dxa"/>
            <w:gridSpan w:val="2"/>
            <w:shd w:val="clear" w:color="auto" w:fill="FFFFFF"/>
            <w:vAlign w:val="center"/>
          </w:tcPr>
          <w:p w14:paraId="529460AC" w14:textId="73E1209B" w:rsidR="0002305C" w:rsidRPr="00B53D09" w:rsidRDefault="00A53ADF" w:rsidP="00F36492">
            <w:pPr>
              <w:spacing w:line="240" w:lineRule="auto"/>
              <w:jc w:val="center"/>
              <w:rPr>
                <w:rFonts w:ascii="Times New Roman" w:hAnsi="Times New Roman"/>
              </w:rPr>
            </w:pPr>
            <w:r w:rsidRPr="00B53D09">
              <w:rPr>
                <w:rFonts w:ascii="Times New Roman" w:hAnsi="Times New Roman"/>
              </w:rPr>
              <w:t>2021</w:t>
            </w:r>
          </w:p>
        </w:tc>
        <w:tc>
          <w:tcPr>
            <w:tcW w:w="709" w:type="dxa"/>
            <w:shd w:val="clear" w:color="auto" w:fill="FFFFFF"/>
            <w:vAlign w:val="center"/>
          </w:tcPr>
          <w:p w14:paraId="529460AD" w14:textId="65DAC145" w:rsidR="0002305C" w:rsidRPr="00B53D09" w:rsidRDefault="00A53ADF" w:rsidP="00F36492">
            <w:pPr>
              <w:spacing w:line="240" w:lineRule="auto"/>
              <w:jc w:val="center"/>
              <w:rPr>
                <w:rFonts w:ascii="Times New Roman" w:hAnsi="Times New Roman"/>
              </w:rPr>
            </w:pPr>
            <w:r w:rsidRPr="00B53D09">
              <w:rPr>
                <w:rFonts w:ascii="Times New Roman" w:hAnsi="Times New Roman"/>
              </w:rPr>
              <w:t>2022</w:t>
            </w:r>
          </w:p>
        </w:tc>
        <w:tc>
          <w:tcPr>
            <w:tcW w:w="709" w:type="dxa"/>
            <w:gridSpan w:val="2"/>
            <w:shd w:val="clear" w:color="auto" w:fill="FFFFFF"/>
            <w:vAlign w:val="center"/>
          </w:tcPr>
          <w:p w14:paraId="529460AE" w14:textId="5E1F9640" w:rsidR="0002305C" w:rsidRPr="00B53D09" w:rsidRDefault="00A53ADF" w:rsidP="00F36492">
            <w:pPr>
              <w:spacing w:line="240" w:lineRule="auto"/>
              <w:jc w:val="center"/>
              <w:rPr>
                <w:rFonts w:ascii="Times New Roman" w:hAnsi="Times New Roman"/>
              </w:rPr>
            </w:pPr>
            <w:r w:rsidRPr="00B53D09">
              <w:rPr>
                <w:rFonts w:ascii="Times New Roman" w:hAnsi="Times New Roman"/>
              </w:rPr>
              <w:t>2023</w:t>
            </w:r>
          </w:p>
        </w:tc>
        <w:tc>
          <w:tcPr>
            <w:tcW w:w="708" w:type="dxa"/>
            <w:gridSpan w:val="2"/>
            <w:shd w:val="clear" w:color="auto" w:fill="FFFFFF"/>
            <w:vAlign w:val="center"/>
          </w:tcPr>
          <w:p w14:paraId="529460AF" w14:textId="6AA96449" w:rsidR="0002305C" w:rsidRPr="00B53D09" w:rsidRDefault="009A1AE1" w:rsidP="00F36492">
            <w:pPr>
              <w:spacing w:line="240" w:lineRule="auto"/>
              <w:jc w:val="center"/>
              <w:rPr>
                <w:rFonts w:ascii="Times New Roman" w:hAnsi="Times New Roman"/>
              </w:rPr>
            </w:pPr>
            <w:r w:rsidRPr="00B53D09">
              <w:rPr>
                <w:rFonts w:ascii="Times New Roman" w:hAnsi="Times New Roman"/>
              </w:rPr>
              <w:t xml:space="preserve"> </w:t>
            </w:r>
            <w:r w:rsidR="00DE6996" w:rsidRPr="00B53D09">
              <w:rPr>
                <w:rFonts w:ascii="Times New Roman" w:hAnsi="Times New Roman"/>
              </w:rPr>
              <w:t xml:space="preserve"> </w:t>
            </w:r>
            <w:r w:rsidR="00A53ADF" w:rsidRPr="00B53D09">
              <w:rPr>
                <w:rFonts w:ascii="Times New Roman" w:hAnsi="Times New Roman"/>
              </w:rPr>
              <w:t>2024</w:t>
            </w:r>
          </w:p>
        </w:tc>
        <w:tc>
          <w:tcPr>
            <w:tcW w:w="709" w:type="dxa"/>
            <w:gridSpan w:val="2"/>
            <w:shd w:val="clear" w:color="auto" w:fill="FFFFFF"/>
            <w:vAlign w:val="center"/>
          </w:tcPr>
          <w:p w14:paraId="529460B0" w14:textId="17EA3FDD" w:rsidR="0002305C" w:rsidRPr="00B53D09" w:rsidRDefault="00A53ADF" w:rsidP="00F36492">
            <w:pPr>
              <w:spacing w:line="240" w:lineRule="auto"/>
              <w:jc w:val="center"/>
              <w:rPr>
                <w:rFonts w:ascii="Times New Roman" w:hAnsi="Times New Roman"/>
              </w:rPr>
            </w:pPr>
            <w:r w:rsidRPr="00B53D09">
              <w:rPr>
                <w:rFonts w:ascii="Times New Roman" w:hAnsi="Times New Roman"/>
              </w:rPr>
              <w:t>2025</w:t>
            </w:r>
          </w:p>
        </w:tc>
        <w:tc>
          <w:tcPr>
            <w:tcW w:w="709" w:type="dxa"/>
            <w:gridSpan w:val="2"/>
            <w:shd w:val="clear" w:color="auto" w:fill="FFFFFF"/>
            <w:vAlign w:val="center"/>
          </w:tcPr>
          <w:p w14:paraId="529460B1" w14:textId="03A1C7B8" w:rsidR="0002305C" w:rsidRPr="00B53D09" w:rsidRDefault="006A6EDC" w:rsidP="00F36492">
            <w:pPr>
              <w:spacing w:line="240" w:lineRule="auto"/>
              <w:jc w:val="center"/>
              <w:rPr>
                <w:rFonts w:ascii="Times New Roman" w:hAnsi="Times New Roman"/>
              </w:rPr>
            </w:pPr>
            <w:r w:rsidRPr="00B53D09">
              <w:rPr>
                <w:rFonts w:ascii="Times New Roman" w:hAnsi="Times New Roman"/>
              </w:rPr>
              <w:t>202</w:t>
            </w:r>
            <w:r w:rsidR="00A53ADF" w:rsidRPr="00B53D09">
              <w:rPr>
                <w:rFonts w:ascii="Times New Roman" w:hAnsi="Times New Roman"/>
              </w:rPr>
              <w:t>6</w:t>
            </w:r>
          </w:p>
        </w:tc>
        <w:tc>
          <w:tcPr>
            <w:tcW w:w="709" w:type="dxa"/>
            <w:gridSpan w:val="2"/>
            <w:shd w:val="clear" w:color="auto" w:fill="FFFFFF"/>
            <w:vAlign w:val="center"/>
          </w:tcPr>
          <w:p w14:paraId="529460B2" w14:textId="34B0183D" w:rsidR="0002305C" w:rsidRPr="00B53D09" w:rsidRDefault="006A6EDC" w:rsidP="00F36492">
            <w:pPr>
              <w:spacing w:line="240" w:lineRule="auto"/>
              <w:jc w:val="center"/>
              <w:rPr>
                <w:rFonts w:ascii="Times New Roman" w:hAnsi="Times New Roman"/>
              </w:rPr>
            </w:pPr>
            <w:r w:rsidRPr="00B53D09">
              <w:rPr>
                <w:rFonts w:ascii="Times New Roman" w:hAnsi="Times New Roman"/>
              </w:rPr>
              <w:t>2</w:t>
            </w:r>
            <w:r w:rsidR="00A53ADF" w:rsidRPr="00B53D09">
              <w:rPr>
                <w:rFonts w:ascii="Times New Roman" w:hAnsi="Times New Roman"/>
              </w:rPr>
              <w:t>027</w:t>
            </w:r>
          </w:p>
        </w:tc>
        <w:tc>
          <w:tcPr>
            <w:tcW w:w="680" w:type="dxa"/>
            <w:shd w:val="clear" w:color="auto" w:fill="FFFFFF"/>
            <w:vAlign w:val="center"/>
          </w:tcPr>
          <w:p w14:paraId="529460B3" w14:textId="7E42E976" w:rsidR="0002305C" w:rsidRPr="00B53D09" w:rsidRDefault="00A53ADF" w:rsidP="00F36492">
            <w:pPr>
              <w:spacing w:line="240" w:lineRule="auto"/>
              <w:jc w:val="center"/>
              <w:rPr>
                <w:rFonts w:ascii="Times New Roman" w:hAnsi="Times New Roman"/>
              </w:rPr>
            </w:pPr>
            <w:r w:rsidRPr="00B53D09">
              <w:rPr>
                <w:rFonts w:ascii="Times New Roman" w:hAnsi="Times New Roman"/>
              </w:rPr>
              <w:t>2028</w:t>
            </w:r>
          </w:p>
        </w:tc>
        <w:tc>
          <w:tcPr>
            <w:tcW w:w="708" w:type="dxa"/>
            <w:gridSpan w:val="2"/>
            <w:shd w:val="clear" w:color="auto" w:fill="FFFFFF"/>
            <w:vAlign w:val="center"/>
          </w:tcPr>
          <w:p w14:paraId="529460B4" w14:textId="61C5D368" w:rsidR="0002305C" w:rsidRPr="00B53D09" w:rsidRDefault="00A53ADF" w:rsidP="00F36492">
            <w:pPr>
              <w:spacing w:line="240" w:lineRule="auto"/>
              <w:jc w:val="center"/>
              <w:rPr>
                <w:rFonts w:ascii="Times New Roman" w:hAnsi="Times New Roman"/>
              </w:rPr>
            </w:pPr>
            <w:r w:rsidRPr="00B53D09">
              <w:rPr>
                <w:rFonts w:ascii="Times New Roman" w:hAnsi="Times New Roman"/>
              </w:rPr>
              <w:t>2029</w:t>
            </w:r>
          </w:p>
        </w:tc>
        <w:tc>
          <w:tcPr>
            <w:tcW w:w="709" w:type="dxa"/>
            <w:gridSpan w:val="2"/>
            <w:shd w:val="clear" w:color="auto" w:fill="FFFFFF"/>
            <w:vAlign w:val="center"/>
          </w:tcPr>
          <w:p w14:paraId="529460B5" w14:textId="7D4C2647" w:rsidR="0002305C" w:rsidRPr="00B53D09" w:rsidRDefault="00A53ADF" w:rsidP="00F36492">
            <w:pPr>
              <w:spacing w:line="240" w:lineRule="auto"/>
              <w:jc w:val="center"/>
              <w:rPr>
                <w:rFonts w:ascii="Times New Roman" w:hAnsi="Times New Roman"/>
              </w:rPr>
            </w:pPr>
            <w:r w:rsidRPr="00B53D09">
              <w:rPr>
                <w:rFonts w:ascii="Times New Roman" w:hAnsi="Times New Roman"/>
              </w:rPr>
              <w:t>2030</w:t>
            </w:r>
          </w:p>
        </w:tc>
        <w:tc>
          <w:tcPr>
            <w:tcW w:w="1005" w:type="dxa"/>
            <w:shd w:val="clear" w:color="auto" w:fill="FFFFFF"/>
            <w:vAlign w:val="center"/>
          </w:tcPr>
          <w:p w14:paraId="529460B6" w14:textId="233F35BD" w:rsidR="0002305C" w:rsidRPr="00B53D09" w:rsidRDefault="0002305C" w:rsidP="00F36492">
            <w:pPr>
              <w:spacing w:before="40" w:after="40" w:line="240" w:lineRule="auto"/>
              <w:jc w:val="center"/>
              <w:rPr>
                <w:rFonts w:ascii="Times New Roman" w:hAnsi="Times New Roman"/>
                <w:i/>
                <w:spacing w:val="-2"/>
              </w:rPr>
            </w:pPr>
            <w:r w:rsidRPr="00B53D09">
              <w:rPr>
                <w:rFonts w:ascii="Times New Roman" w:hAnsi="Times New Roman"/>
                <w:i/>
                <w:spacing w:val="-2"/>
              </w:rPr>
              <w:t>Łącznie (</w:t>
            </w:r>
            <w:r w:rsidR="006A6EDC" w:rsidRPr="00B53D09">
              <w:rPr>
                <w:rFonts w:ascii="Times New Roman" w:hAnsi="Times New Roman"/>
                <w:i/>
                <w:spacing w:val="-2"/>
              </w:rPr>
              <w:t>2021</w:t>
            </w:r>
            <w:r w:rsidRPr="00B53D09">
              <w:rPr>
                <w:rFonts w:ascii="Times New Roman" w:hAnsi="Times New Roman"/>
                <w:i/>
                <w:spacing w:val="-2"/>
              </w:rPr>
              <w:t>-</w:t>
            </w:r>
            <w:r w:rsidR="006A6EDC" w:rsidRPr="00B53D09">
              <w:rPr>
                <w:rFonts w:ascii="Times New Roman" w:hAnsi="Times New Roman"/>
                <w:i/>
                <w:spacing w:val="-2"/>
              </w:rPr>
              <w:t>203</w:t>
            </w:r>
            <w:r w:rsidR="00A53ADF" w:rsidRPr="00B53D09">
              <w:rPr>
                <w:rFonts w:ascii="Times New Roman" w:hAnsi="Times New Roman"/>
                <w:i/>
                <w:spacing w:val="-2"/>
              </w:rPr>
              <w:t>0</w:t>
            </w:r>
            <w:r w:rsidRPr="00B53D09">
              <w:rPr>
                <w:rFonts w:ascii="Times New Roman" w:hAnsi="Times New Roman"/>
                <w:i/>
                <w:spacing w:val="-2"/>
              </w:rPr>
              <w:t>)</w:t>
            </w:r>
          </w:p>
        </w:tc>
      </w:tr>
      <w:tr w:rsidR="009079D7" w:rsidRPr="00F36492" w14:paraId="529460C5" w14:textId="77777777" w:rsidTr="00213A3D">
        <w:trPr>
          <w:trHeight w:val="321"/>
        </w:trPr>
        <w:tc>
          <w:tcPr>
            <w:tcW w:w="2156" w:type="dxa"/>
            <w:gridSpan w:val="2"/>
            <w:shd w:val="clear" w:color="auto" w:fill="FFFFFF"/>
            <w:vAlign w:val="center"/>
          </w:tcPr>
          <w:p w14:paraId="529460B8" w14:textId="77777777" w:rsidR="009079D7" w:rsidRPr="00F36492" w:rsidRDefault="009079D7" w:rsidP="009079D7">
            <w:pPr>
              <w:spacing w:line="240" w:lineRule="auto"/>
              <w:rPr>
                <w:rFonts w:ascii="Times New Roman" w:hAnsi="Times New Roman"/>
              </w:rPr>
            </w:pPr>
            <w:r w:rsidRPr="00F36492">
              <w:rPr>
                <w:rFonts w:ascii="Times New Roman" w:hAnsi="Times New Roman"/>
                <w:b/>
              </w:rPr>
              <w:t>Dochody ogółem</w:t>
            </w:r>
          </w:p>
        </w:tc>
        <w:tc>
          <w:tcPr>
            <w:tcW w:w="850" w:type="dxa"/>
            <w:gridSpan w:val="3"/>
            <w:shd w:val="clear" w:color="auto" w:fill="FFFFFF"/>
            <w:vAlign w:val="center"/>
          </w:tcPr>
          <w:p w14:paraId="529460B9" w14:textId="7CB5734B" w:rsidR="009079D7" w:rsidRPr="00B53D09" w:rsidRDefault="009079D7" w:rsidP="009079D7">
            <w:pPr>
              <w:spacing w:line="240" w:lineRule="auto"/>
              <w:jc w:val="center"/>
              <w:rPr>
                <w:rFonts w:ascii="Times New Roman" w:hAnsi="Times New Roman"/>
                <w:b/>
              </w:rPr>
            </w:pPr>
            <w:r w:rsidRPr="00B53D09">
              <w:rPr>
                <w:rFonts w:ascii="Times New Roman" w:hAnsi="Times New Roman"/>
                <w:b/>
              </w:rPr>
              <w:t>0</w:t>
            </w:r>
          </w:p>
        </w:tc>
        <w:tc>
          <w:tcPr>
            <w:tcW w:w="709" w:type="dxa"/>
            <w:gridSpan w:val="2"/>
            <w:shd w:val="clear" w:color="auto" w:fill="FFFFFF"/>
            <w:vAlign w:val="center"/>
          </w:tcPr>
          <w:p w14:paraId="529460BA" w14:textId="7F3A41FC" w:rsidR="009079D7" w:rsidRPr="00B53D09" w:rsidRDefault="009079D7" w:rsidP="009079D7">
            <w:pPr>
              <w:spacing w:line="240" w:lineRule="auto"/>
              <w:jc w:val="center"/>
              <w:rPr>
                <w:rFonts w:ascii="Times New Roman" w:hAnsi="Times New Roman"/>
                <w:b/>
              </w:rPr>
            </w:pPr>
            <w:r>
              <w:rPr>
                <w:rFonts w:ascii="Times New Roman" w:hAnsi="Times New Roman"/>
                <w:b/>
              </w:rPr>
              <w:t>482</w:t>
            </w:r>
          </w:p>
        </w:tc>
        <w:tc>
          <w:tcPr>
            <w:tcW w:w="709" w:type="dxa"/>
            <w:shd w:val="clear" w:color="auto" w:fill="FFFFFF"/>
          </w:tcPr>
          <w:p w14:paraId="529460BB" w14:textId="79025B47"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709" w:type="dxa"/>
            <w:gridSpan w:val="2"/>
            <w:shd w:val="clear" w:color="auto" w:fill="FFFFFF"/>
          </w:tcPr>
          <w:p w14:paraId="529460BC" w14:textId="6A74A103"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708" w:type="dxa"/>
            <w:gridSpan w:val="2"/>
            <w:shd w:val="clear" w:color="auto" w:fill="FFFFFF"/>
          </w:tcPr>
          <w:p w14:paraId="529460BD" w14:textId="1751D16D"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709" w:type="dxa"/>
            <w:gridSpan w:val="2"/>
            <w:shd w:val="clear" w:color="auto" w:fill="FFFFFF"/>
          </w:tcPr>
          <w:p w14:paraId="529460BE" w14:textId="38DBF433"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709" w:type="dxa"/>
            <w:gridSpan w:val="2"/>
            <w:shd w:val="clear" w:color="auto" w:fill="FFFFFF"/>
          </w:tcPr>
          <w:p w14:paraId="529460BF" w14:textId="69342BCE"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709" w:type="dxa"/>
            <w:gridSpan w:val="2"/>
            <w:shd w:val="clear" w:color="auto" w:fill="FFFFFF"/>
          </w:tcPr>
          <w:p w14:paraId="529460C0" w14:textId="11817187"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680" w:type="dxa"/>
            <w:shd w:val="clear" w:color="auto" w:fill="FFFFFF"/>
          </w:tcPr>
          <w:p w14:paraId="529460C1" w14:textId="2DED0CE7"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708" w:type="dxa"/>
            <w:gridSpan w:val="2"/>
            <w:shd w:val="clear" w:color="auto" w:fill="FFFFFF"/>
          </w:tcPr>
          <w:p w14:paraId="529460C2" w14:textId="7A14D0FB"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709" w:type="dxa"/>
            <w:gridSpan w:val="2"/>
            <w:shd w:val="clear" w:color="auto" w:fill="FFFFFF"/>
          </w:tcPr>
          <w:p w14:paraId="529460C3" w14:textId="0BA22FF0" w:rsidR="009079D7" w:rsidRPr="00B53D09" w:rsidRDefault="009079D7" w:rsidP="009079D7">
            <w:pPr>
              <w:spacing w:line="240" w:lineRule="auto"/>
              <w:jc w:val="center"/>
              <w:rPr>
                <w:rFonts w:ascii="Times New Roman" w:hAnsi="Times New Roman"/>
                <w:b/>
              </w:rPr>
            </w:pPr>
            <w:r w:rsidRPr="002B40A0">
              <w:rPr>
                <w:rFonts w:ascii="Times New Roman" w:hAnsi="Times New Roman"/>
                <w:b/>
              </w:rPr>
              <w:t>1157</w:t>
            </w:r>
          </w:p>
        </w:tc>
        <w:tc>
          <w:tcPr>
            <w:tcW w:w="1015" w:type="dxa"/>
            <w:gridSpan w:val="2"/>
            <w:shd w:val="clear" w:color="auto" w:fill="FFFFFF"/>
            <w:vAlign w:val="center"/>
          </w:tcPr>
          <w:p w14:paraId="529460C4" w14:textId="6815BC50" w:rsidR="009079D7" w:rsidRPr="00B53D09" w:rsidRDefault="009079D7" w:rsidP="009079D7">
            <w:pPr>
              <w:spacing w:line="240" w:lineRule="auto"/>
              <w:jc w:val="center"/>
              <w:rPr>
                <w:rFonts w:ascii="Times New Roman" w:hAnsi="Times New Roman"/>
                <w:b/>
              </w:rPr>
            </w:pPr>
            <w:r>
              <w:rPr>
                <w:rFonts w:ascii="Times New Roman" w:hAnsi="Times New Roman"/>
                <w:b/>
              </w:rPr>
              <w:t>10 895</w:t>
            </w:r>
          </w:p>
        </w:tc>
      </w:tr>
      <w:tr w:rsidR="009079D7" w:rsidRPr="00F36492" w14:paraId="529460D3" w14:textId="77777777" w:rsidTr="00213A3D">
        <w:trPr>
          <w:trHeight w:val="321"/>
        </w:trPr>
        <w:tc>
          <w:tcPr>
            <w:tcW w:w="2156" w:type="dxa"/>
            <w:gridSpan w:val="2"/>
            <w:shd w:val="clear" w:color="auto" w:fill="FFFFFF"/>
            <w:vAlign w:val="center"/>
          </w:tcPr>
          <w:p w14:paraId="529460C6" w14:textId="75D2DB6B" w:rsidR="009079D7" w:rsidRPr="00F36492" w:rsidRDefault="009079D7" w:rsidP="009079D7">
            <w:pPr>
              <w:spacing w:line="240" w:lineRule="auto"/>
              <w:rPr>
                <w:rFonts w:ascii="Times New Roman" w:hAnsi="Times New Roman"/>
              </w:rPr>
            </w:pPr>
            <w:r w:rsidRPr="00F36492">
              <w:rPr>
                <w:rFonts w:ascii="Times New Roman" w:hAnsi="Times New Roman"/>
              </w:rPr>
              <w:t>budżet państwa</w:t>
            </w:r>
          </w:p>
        </w:tc>
        <w:tc>
          <w:tcPr>
            <w:tcW w:w="850" w:type="dxa"/>
            <w:gridSpan w:val="3"/>
            <w:shd w:val="clear" w:color="auto" w:fill="FFFFFF"/>
            <w:vAlign w:val="center"/>
          </w:tcPr>
          <w:p w14:paraId="529460C7" w14:textId="37759740" w:rsidR="009079D7" w:rsidRPr="00B53D09" w:rsidRDefault="009079D7" w:rsidP="009079D7">
            <w:pPr>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C8" w14:textId="24E636C2" w:rsidR="009079D7" w:rsidRPr="00B53D09" w:rsidRDefault="009079D7" w:rsidP="009079D7">
            <w:pPr>
              <w:jc w:val="center"/>
              <w:rPr>
                <w:rFonts w:ascii="Times New Roman" w:hAnsi="Times New Roman"/>
              </w:rPr>
            </w:pPr>
            <w:r>
              <w:rPr>
                <w:rFonts w:ascii="Times New Roman" w:hAnsi="Times New Roman"/>
                <w:b/>
              </w:rPr>
              <w:t>482</w:t>
            </w:r>
          </w:p>
        </w:tc>
        <w:tc>
          <w:tcPr>
            <w:tcW w:w="709" w:type="dxa"/>
            <w:shd w:val="clear" w:color="auto" w:fill="FFFFFF"/>
          </w:tcPr>
          <w:p w14:paraId="529460C9" w14:textId="2ECF8752" w:rsidR="009079D7" w:rsidRPr="00B53D09" w:rsidRDefault="009079D7" w:rsidP="009079D7">
            <w:pPr>
              <w:jc w:val="center"/>
              <w:rPr>
                <w:rFonts w:ascii="Times New Roman" w:hAnsi="Times New Roman"/>
              </w:rPr>
            </w:pPr>
            <w:r w:rsidRPr="001E77C5">
              <w:rPr>
                <w:rFonts w:ascii="Times New Roman" w:hAnsi="Times New Roman"/>
                <w:b/>
              </w:rPr>
              <w:t>1157</w:t>
            </w:r>
          </w:p>
        </w:tc>
        <w:tc>
          <w:tcPr>
            <w:tcW w:w="709" w:type="dxa"/>
            <w:gridSpan w:val="2"/>
            <w:shd w:val="clear" w:color="auto" w:fill="FFFFFF"/>
          </w:tcPr>
          <w:p w14:paraId="529460CA" w14:textId="6A871C45" w:rsidR="009079D7" w:rsidRPr="00B53D09" w:rsidRDefault="009079D7" w:rsidP="009079D7">
            <w:pPr>
              <w:jc w:val="center"/>
              <w:rPr>
                <w:rFonts w:ascii="Times New Roman" w:hAnsi="Times New Roman"/>
              </w:rPr>
            </w:pPr>
            <w:r w:rsidRPr="001E77C5">
              <w:rPr>
                <w:rFonts w:ascii="Times New Roman" w:hAnsi="Times New Roman"/>
                <w:b/>
              </w:rPr>
              <w:t>1157</w:t>
            </w:r>
          </w:p>
        </w:tc>
        <w:tc>
          <w:tcPr>
            <w:tcW w:w="708" w:type="dxa"/>
            <w:gridSpan w:val="2"/>
            <w:shd w:val="clear" w:color="auto" w:fill="FFFFFF"/>
          </w:tcPr>
          <w:p w14:paraId="529460CB" w14:textId="5C5467D8" w:rsidR="009079D7" w:rsidRPr="00B53D09" w:rsidRDefault="009079D7" w:rsidP="009079D7">
            <w:pPr>
              <w:jc w:val="center"/>
              <w:rPr>
                <w:rFonts w:ascii="Times New Roman" w:hAnsi="Times New Roman"/>
              </w:rPr>
            </w:pPr>
            <w:r w:rsidRPr="001E77C5">
              <w:rPr>
                <w:rFonts w:ascii="Times New Roman" w:hAnsi="Times New Roman"/>
                <w:b/>
              </w:rPr>
              <w:t>1157</w:t>
            </w:r>
          </w:p>
        </w:tc>
        <w:tc>
          <w:tcPr>
            <w:tcW w:w="709" w:type="dxa"/>
            <w:gridSpan w:val="2"/>
            <w:shd w:val="clear" w:color="auto" w:fill="FFFFFF"/>
          </w:tcPr>
          <w:p w14:paraId="529460CC" w14:textId="2D20AF13" w:rsidR="009079D7" w:rsidRPr="00B53D09" w:rsidRDefault="009079D7" w:rsidP="009079D7">
            <w:pPr>
              <w:jc w:val="center"/>
              <w:rPr>
                <w:rFonts w:ascii="Times New Roman" w:hAnsi="Times New Roman"/>
              </w:rPr>
            </w:pPr>
            <w:r w:rsidRPr="001E77C5">
              <w:rPr>
                <w:rFonts w:ascii="Times New Roman" w:hAnsi="Times New Roman"/>
                <w:b/>
              </w:rPr>
              <w:t>1157</w:t>
            </w:r>
          </w:p>
        </w:tc>
        <w:tc>
          <w:tcPr>
            <w:tcW w:w="709" w:type="dxa"/>
            <w:gridSpan w:val="2"/>
            <w:shd w:val="clear" w:color="auto" w:fill="FFFFFF"/>
          </w:tcPr>
          <w:p w14:paraId="529460CD" w14:textId="59E92B11" w:rsidR="009079D7" w:rsidRPr="00B53D09" w:rsidRDefault="009079D7" w:rsidP="009079D7">
            <w:pPr>
              <w:jc w:val="center"/>
              <w:rPr>
                <w:rFonts w:ascii="Times New Roman" w:hAnsi="Times New Roman"/>
              </w:rPr>
            </w:pPr>
            <w:r w:rsidRPr="001E77C5">
              <w:rPr>
                <w:rFonts w:ascii="Times New Roman" w:hAnsi="Times New Roman"/>
                <w:b/>
              </w:rPr>
              <w:t>1157</w:t>
            </w:r>
          </w:p>
        </w:tc>
        <w:tc>
          <w:tcPr>
            <w:tcW w:w="709" w:type="dxa"/>
            <w:gridSpan w:val="2"/>
            <w:shd w:val="clear" w:color="auto" w:fill="FFFFFF"/>
          </w:tcPr>
          <w:p w14:paraId="529460CE" w14:textId="612609BC" w:rsidR="009079D7" w:rsidRPr="00B53D09" w:rsidRDefault="009079D7" w:rsidP="009079D7">
            <w:pPr>
              <w:jc w:val="center"/>
              <w:rPr>
                <w:rFonts w:ascii="Times New Roman" w:hAnsi="Times New Roman"/>
              </w:rPr>
            </w:pPr>
            <w:r w:rsidRPr="001E77C5">
              <w:rPr>
                <w:rFonts w:ascii="Times New Roman" w:hAnsi="Times New Roman"/>
                <w:b/>
              </w:rPr>
              <w:t>1157</w:t>
            </w:r>
          </w:p>
        </w:tc>
        <w:tc>
          <w:tcPr>
            <w:tcW w:w="680" w:type="dxa"/>
            <w:shd w:val="clear" w:color="auto" w:fill="FFFFFF"/>
          </w:tcPr>
          <w:p w14:paraId="529460CF" w14:textId="0B5053FB" w:rsidR="009079D7" w:rsidRPr="00B53D09" w:rsidRDefault="009079D7" w:rsidP="009079D7">
            <w:pPr>
              <w:jc w:val="center"/>
              <w:rPr>
                <w:rFonts w:ascii="Times New Roman" w:hAnsi="Times New Roman"/>
              </w:rPr>
            </w:pPr>
            <w:r w:rsidRPr="001E77C5">
              <w:rPr>
                <w:rFonts w:ascii="Times New Roman" w:hAnsi="Times New Roman"/>
                <w:b/>
              </w:rPr>
              <w:t>1157</w:t>
            </w:r>
          </w:p>
        </w:tc>
        <w:tc>
          <w:tcPr>
            <w:tcW w:w="708" w:type="dxa"/>
            <w:gridSpan w:val="2"/>
            <w:shd w:val="clear" w:color="auto" w:fill="FFFFFF"/>
          </w:tcPr>
          <w:p w14:paraId="529460D0" w14:textId="23B28021" w:rsidR="009079D7" w:rsidRPr="00B53D09" w:rsidRDefault="009079D7" w:rsidP="009079D7">
            <w:pPr>
              <w:jc w:val="center"/>
              <w:rPr>
                <w:rFonts w:ascii="Times New Roman" w:hAnsi="Times New Roman"/>
              </w:rPr>
            </w:pPr>
            <w:r w:rsidRPr="001E77C5">
              <w:rPr>
                <w:rFonts w:ascii="Times New Roman" w:hAnsi="Times New Roman"/>
                <w:b/>
              </w:rPr>
              <w:t>1157</w:t>
            </w:r>
          </w:p>
        </w:tc>
        <w:tc>
          <w:tcPr>
            <w:tcW w:w="709" w:type="dxa"/>
            <w:gridSpan w:val="2"/>
            <w:shd w:val="clear" w:color="auto" w:fill="FFFFFF"/>
          </w:tcPr>
          <w:p w14:paraId="529460D1" w14:textId="11EA3175" w:rsidR="009079D7" w:rsidRPr="00B53D09" w:rsidRDefault="009079D7" w:rsidP="009079D7">
            <w:pPr>
              <w:jc w:val="center"/>
              <w:rPr>
                <w:rFonts w:ascii="Times New Roman" w:hAnsi="Times New Roman"/>
              </w:rPr>
            </w:pPr>
            <w:r w:rsidRPr="001E77C5">
              <w:rPr>
                <w:rFonts w:ascii="Times New Roman" w:hAnsi="Times New Roman"/>
                <w:b/>
              </w:rPr>
              <w:t>1157</w:t>
            </w:r>
          </w:p>
        </w:tc>
        <w:tc>
          <w:tcPr>
            <w:tcW w:w="1015" w:type="dxa"/>
            <w:gridSpan w:val="2"/>
            <w:shd w:val="clear" w:color="auto" w:fill="FFFFFF"/>
            <w:vAlign w:val="center"/>
          </w:tcPr>
          <w:p w14:paraId="529460D2" w14:textId="60780335" w:rsidR="009079D7" w:rsidRPr="00B53D09" w:rsidRDefault="009079D7" w:rsidP="009079D7">
            <w:pPr>
              <w:spacing w:line="240" w:lineRule="auto"/>
              <w:jc w:val="center"/>
              <w:rPr>
                <w:rFonts w:ascii="Times New Roman" w:hAnsi="Times New Roman"/>
              </w:rPr>
            </w:pPr>
            <w:r>
              <w:rPr>
                <w:rFonts w:ascii="Times New Roman" w:hAnsi="Times New Roman"/>
                <w:b/>
              </w:rPr>
              <w:t>10 895</w:t>
            </w:r>
          </w:p>
        </w:tc>
      </w:tr>
      <w:tr w:rsidR="0002305C" w:rsidRPr="00F36492" w14:paraId="529460E1" w14:textId="77777777" w:rsidTr="00A53ADF">
        <w:trPr>
          <w:trHeight w:val="344"/>
        </w:trPr>
        <w:tc>
          <w:tcPr>
            <w:tcW w:w="2156" w:type="dxa"/>
            <w:gridSpan w:val="2"/>
            <w:shd w:val="clear" w:color="auto" w:fill="FFFFFF"/>
            <w:vAlign w:val="center"/>
          </w:tcPr>
          <w:p w14:paraId="529460D4" w14:textId="77777777" w:rsidR="0002305C" w:rsidRPr="00F36492" w:rsidRDefault="0002305C" w:rsidP="00F36492">
            <w:pPr>
              <w:spacing w:line="240" w:lineRule="auto"/>
              <w:rPr>
                <w:rFonts w:ascii="Times New Roman" w:hAnsi="Times New Roman"/>
              </w:rPr>
            </w:pPr>
            <w:r w:rsidRPr="00F36492">
              <w:rPr>
                <w:rFonts w:ascii="Times New Roman" w:hAnsi="Times New Roman"/>
              </w:rPr>
              <w:t>JST</w:t>
            </w:r>
          </w:p>
        </w:tc>
        <w:tc>
          <w:tcPr>
            <w:tcW w:w="850" w:type="dxa"/>
            <w:gridSpan w:val="3"/>
            <w:shd w:val="clear" w:color="auto" w:fill="FFFFFF"/>
            <w:vAlign w:val="center"/>
          </w:tcPr>
          <w:p w14:paraId="529460D5"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D6"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shd w:val="clear" w:color="auto" w:fill="FFFFFF"/>
            <w:vAlign w:val="center"/>
          </w:tcPr>
          <w:p w14:paraId="529460D7"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D8"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0D9"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DA"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DB"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DC"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680" w:type="dxa"/>
            <w:shd w:val="clear" w:color="auto" w:fill="FFFFFF"/>
            <w:vAlign w:val="center"/>
          </w:tcPr>
          <w:p w14:paraId="529460DD"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0DE"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DF" w14:textId="2DD679BD" w:rsidR="0002305C" w:rsidRPr="00B53D09" w:rsidRDefault="0002305C" w:rsidP="00F36492">
            <w:pPr>
              <w:spacing w:line="240" w:lineRule="auto"/>
              <w:jc w:val="center"/>
              <w:rPr>
                <w:rFonts w:ascii="Times New Roman" w:hAnsi="Times New Roman"/>
              </w:rPr>
            </w:pPr>
          </w:p>
        </w:tc>
        <w:tc>
          <w:tcPr>
            <w:tcW w:w="1015" w:type="dxa"/>
            <w:gridSpan w:val="2"/>
            <w:shd w:val="clear" w:color="auto" w:fill="FFFFFF"/>
            <w:vAlign w:val="center"/>
          </w:tcPr>
          <w:p w14:paraId="529460E0" w14:textId="0A131FDE" w:rsidR="0002305C" w:rsidRPr="00B53D09" w:rsidRDefault="009B4439" w:rsidP="00F36492">
            <w:pPr>
              <w:spacing w:line="240" w:lineRule="auto"/>
              <w:jc w:val="center"/>
              <w:rPr>
                <w:rFonts w:ascii="Times New Roman" w:hAnsi="Times New Roman"/>
              </w:rPr>
            </w:pPr>
            <w:r w:rsidRPr="00B53D09">
              <w:rPr>
                <w:rFonts w:ascii="Times New Roman" w:hAnsi="Times New Roman"/>
              </w:rPr>
              <w:t>0</w:t>
            </w:r>
          </w:p>
        </w:tc>
      </w:tr>
      <w:tr w:rsidR="0002305C" w:rsidRPr="00F36492" w14:paraId="529460EF" w14:textId="77777777" w:rsidTr="00A53ADF">
        <w:trPr>
          <w:trHeight w:val="344"/>
        </w:trPr>
        <w:tc>
          <w:tcPr>
            <w:tcW w:w="2156" w:type="dxa"/>
            <w:gridSpan w:val="2"/>
            <w:shd w:val="clear" w:color="auto" w:fill="FFFFFF"/>
            <w:vAlign w:val="center"/>
          </w:tcPr>
          <w:p w14:paraId="529460E2" w14:textId="77777777" w:rsidR="0002305C" w:rsidRPr="00F36492" w:rsidRDefault="0002305C" w:rsidP="00F36492">
            <w:pPr>
              <w:spacing w:line="240" w:lineRule="auto"/>
              <w:rPr>
                <w:rFonts w:ascii="Times New Roman" w:hAnsi="Times New Roman"/>
              </w:rPr>
            </w:pPr>
            <w:r w:rsidRPr="00F36492">
              <w:rPr>
                <w:rFonts w:ascii="Times New Roman" w:hAnsi="Times New Roman"/>
              </w:rPr>
              <w:t>pozostałe jednostki (oddzielnie)</w:t>
            </w:r>
          </w:p>
        </w:tc>
        <w:tc>
          <w:tcPr>
            <w:tcW w:w="850" w:type="dxa"/>
            <w:gridSpan w:val="3"/>
            <w:shd w:val="clear" w:color="auto" w:fill="FFFFFF"/>
            <w:vAlign w:val="center"/>
          </w:tcPr>
          <w:p w14:paraId="529460E3"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E4"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shd w:val="clear" w:color="auto" w:fill="FFFFFF"/>
            <w:vAlign w:val="center"/>
          </w:tcPr>
          <w:p w14:paraId="529460E5"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E6"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0E7"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E8"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E9"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EA"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680" w:type="dxa"/>
            <w:shd w:val="clear" w:color="auto" w:fill="FFFFFF"/>
            <w:vAlign w:val="center"/>
          </w:tcPr>
          <w:p w14:paraId="529460EB"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0EC"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0ED" w14:textId="18091C42" w:rsidR="0002305C" w:rsidRPr="00B53D09" w:rsidRDefault="0002305C" w:rsidP="00F36492">
            <w:pPr>
              <w:spacing w:line="240" w:lineRule="auto"/>
              <w:jc w:val="center"/>
              <w:rPr>
                <w:rFonts w:ascii="Times New Roman" w:hAnsi="Times New Roman"/>
              </w:rPr>
            </w:pPr>
          </w:p>
        </w:tc>
        <w:tc>
          <w:tcPr>
            <w:tcW w:w="1015" w:type="dxa"/>
            <w:gridSpan w:val="2"/>
            <w:shd w:val="clear" w:color="auto" w:fill="FFFFFF"/>
            <w:vAlign w:val="center"/>
          </w:tcPr>
          <w:p w14:paraId="529460EE" w14:textId="1ABA42EB" w:rsidR="0002305C" w:rsidRPr="00B53D09" w:rsidRDefault="009B4439" w:rsidP="00F36492">
            <w:pPr>
              <w:spacing w:line="240" w:lineRule="auto"/>
              <w:jc w:val="center"/>
              <w:rPr>
                <w:rFonts w:ascii="Times New Roman" w:hAnsi="Times New Roman"/>
              </w:rPr>
            </w:pPr>
            <w:r w:rsidRPr="00B53D09">
              <w:rPr>
                <w:rFonts w:ascii="Times New Roman" w:hAnsi="Times New Roman"/>
              </w:rPr>
              <w:t>0</w:t>
            </w:r>
          </w:p>
        </w:tc>
      </w:tr>
      <w:tr w:rsidR="00A84A61" w:rsidRPr="00F36492" w14:paraId="529460FD" w14:textId="77777777" w:rsidTr="00356F87">
        <w:trPr>
          <w:trHeight w:val="330"/>
        </w:trPr>
        <w:tc>
          <w:tcPr>
            <w:tcW w:w="2156" w:type="dxa"/>
            <w:gridSpan w:val="2"/>
            <w:shd w:val="clear" w:color="auto" w:fill="FFFFFF"/>
            <w:vAlign w:val="center"/>
          </w:tcPr>
          <w:p w14:paraId="529460F0" w14:textId="77777777" w:rsidR="00A84A61" w:rsidRPr="00F36492" w:rsidRDefault="00A84A61" w:rsidP="00A84A61">
            <w:pPr>
              <w:spacing w:line="240" w:lineRule="auto"/>
              <w:rPr>
                <w:rFonts w:ascii="Times New Roman" w:hAnsi="Times New Roman"/>
              </w:rPr>
            </w:pPr>
            <w:r w:rsidRPr="00F36492">
              <w:rPr>
                <w:rFonts w:ascii="Times New Roman" w:hAnsi="Times New Roman"/>
                <w:b/>
              </w:rPr>
              <w:t>Wydatki ogółem</w:t>
            </w:r>
          </w:p>
        </w:tc>
        <w:tc>
          <w:tcPr>
            <w:tcW w:w="850" w:type="dxa"/>
            <w:gridSpan w:val="3"/>
            <w:shd w:val="clear" w:color="auto" w:fill="FFFFFF"/>
          </w:tcPr>
          <w:p w14:paraId="529460F1" w14:textId="4C14EA12" w:rsidR="00A84A61" w:rsidRPr="00B53D09" w:rsidRDefault="00A84A61" w:rsidP="00A84A61">
            <w:pPr>
              <w:jc w:val="center"/>
              <w:rPr>
                <w:rFonts w:ascii="Times New Roman" w:hAnsi="Times New Roman"/>
                <w:b/>
              </w:rPr>
            </w:pPr>
            <w:r w:rsidRPr="00B53D09">
              <w:rPr>
                <w:rFonts w:ascii="Times New Roman" w:hAnsi="Times New Roman"/>
              </w:rPr>
              <w:t>0</w:t>
            </w:r>
          </w:p>
        </w:tc>
        <w:tc>
          <w:tcPr>
            <w:tcW w:w="709" w:type="dxa"/>
            <w:gridSpan w:val="2"/>
            <w:shd w:val="clear" w:color="auto" w:fill="FFFFFF"/>
          </w:tcPr>
          <w:p w14:paraId="529460F2" w14:textId="772000CF" w:rsidR="00A84A61" w:rsidRPr="00B53D09" w:rsidRDefault="009079D7" w:rsidP="00A84A61">
            <w:pPr>
              <w:jc w:val="center"/>
              <w:rPr>
                <w:rFonts w:ascii="Times New Roman" w:hAnsi="Times New Roman"/>
                <w:b/>
              </w:rPr>
            </w:pPr>
            <w:r>
              <w:rPr>
                <w:rFonts w:ascii="Times New Roman" w:hAnsi="Times New Roman"/>
              </w:rPr>
              <w:t>0</w:t>
            </w:r>
          </w:p>
        </w:tc>
        <w:tc>
          <w:tcPr>
            <w:tcW w:w="709" w:type="dxa"/>
            <w:shd w:val="clear" w:color="auto" w:fill="FFFFFF"/>
          </w:tcPr>
          <w:p w14:paraId="529460F3" w14:textId="21CC0F5F" w:rsidR="00A84A61" w:rsidRPr="00B53D09" w:rsidRDefault="009079D7" w:rsidP="00A84A61">
            <w:pPr>
              <w:jc w:val="center"/>
              <w:rPr>
                <w:rFonts w:ascii="Times New Roman" w:hAnsi="Times New Roman"/>
                <w:b/>
              </w:rPr>
            </w:pPr>
            <w:r>
              <w:rPr>
                <w:rFonts w:ascii="Times New Roman" w:hAnsi="Times New Roman"/>
              </w:rPr>
              <w:t>0</w:t>
            </w:r>
          </w:p>
        </w:tc>
        <w:tc>
          <w:tcPr>
            <w:tcW w:w="709" w:type="dxa"/>
            <w:gridSpan w:val="2"/>
            <w:shd w:val="clear" w:color="auto" w:fill="FFFFFF"/>
          </w:tcPr>
          <w:p w14:paraId="529460F4" w14:textId="2C7660E4" w:rsidR="00A84A61" w:rsidRPr="00B53D09" w:rsidRDefault="009079D7" w:rsidP="00A84A61">
            <w:pPr>
              <w:jc w:val="center"/>
              <w:rPr>
                <w:rFonts w:ascii="Times New Roman" w:hAnsi="Times New Roman"/>
                <w:b/>
              </w:rPr>
            </w:pPr>
            <w:r>
              <w:rPr>
                <w:rFonts w:ascii="Times New Roman" w:hAnsi="Times New Roman"/>
              </w:rPr>
              <w:t>0</w:t>
            </w:r>
          </w:p>
        </w:tc>
        <w:tc>
          <w:tcPr>
            <w:tcW w:w="708" w:type="dxa"/>
            <w:gridSpan w:val="2"/>
            <w:shd w:val="clear" w:color="auto" w:fill="FFFFFF"/>
          </w:tcPr>
          <w:p w14:paraId="529460F5" w14:textId="546FD934" w:rsidR="00A84A61" w:rsidRPr="00B53D09" w:rsidRDefault="009079D7" w:rsidP="00A84A61">
            <w:pPr>
              <w:jc w:val="center"/>
              <w:rPr>
                <w:rFonts w:ascii="Times New Roman" w:hAnsi="Times New Roman"/>
                <w:b/>
              </w:rPr>
            </w:pPr>
            <w:r>
              <w:rPr>
                <w:rFonts w:ascii="Times New Roman" w:hAnsi="Times New Roman"/>
              </w:rPr>
              <w:t>0</w:t>
            </w:r>
          </w:p>
        </w:tc>
        <w:tc>
          <w:tcPr>
            <w:tcW w:w="709" w:type="dxa"/>
            <w:gridSpan w:val="2"/>
            <w:shd w:val="clear" w:color="auto" w:fill="FFFFFF"/>
          </w:tcPr>
          <w:p w14:paraId="529460F6" w14:textId="61EC7994" w:rsidR="00A84A61" w:rsidRPr="00B53D09" w:rsidRDefault="009079D7" w:rsidP="00A84A61">
            <w:pPr>
              <w:jc w:val="center"/>
              <w:rPr>
                <w:rFonts w:ascii="Times New Roman" w:hAnsi="Times New Roman"/>
                <w:b/>
              </w:rPr>
            </w:pPr>
            <w:r>
              <w:rPr>
                <w:rFonts w:ascii="Times New Roman" w:hAnsi="Times New Roman"/>
              </w:rPr>
              <w:t>0</w:t>
            </w:r>
          </w:p>
        </w:tc>
        <w:tc>
          <w:tcPr>
            <w:tcW w:w="709" w:type="dxa"/>
            <w:gridSpan w:val="2"/>
            <w:shd w:val="clear" w:color="auto" w:fill="FFFFFF"/>
          </w:tcPr>
          <w:p w14:paraId="529460F7" w14:textId="48010CDD" w:rsidR="00A84A61" w:rsidRPr="00B53D09" w:rsidRDefault="009079D7" w:rsidP="00A84A61">
            <w:pPr>
              <w:jc w:val="center"/>
              <w:rPr>
                <w:rFonts w:ascii="Times New Roman" w:hAnsi="Times New Roman"/>
                <w:b/>
              </w:rPr>
            </w:pPr>
            <w:r>
              <w:rPr>
                <w:rFonts w:ascii="Times New Roman" w:hAnsi="Times New Roman"/>
              </w:rPr>
              <w:t>0</w:t>
            </w:r>
          </w:p>
        </w:tc>
        <w:tc>
          <w:tcPr>
            <w:tcW w:w="709" w:type="dxa"/>
            <w:gridSpan w:val="2"/>
            <w:shd w:val="clear" w:color="auto" w:fill="FFFFFF"/>
          </w:tcPr>
          <w:p w14:paraId="529460F8" w14:textId="6B575BEA" w:rsidR="00A84A61" w:rsidRPr="00B53D09" w:rsidRDefault="009079D7" w:rsidP="00A84A61">
            <w:pPr>
              <w:jc w:val="center"/>
              <w:rPr>
                <w:rFonts w:ascii="Times New Roman" w:hAnsi="Times New Roman"/>
                <w:b/>
              </w:rPr>
            </w:pPr>
            <w:r>
              <w:rPr>
                <w:rFonts w:ascii="Times New Roman" w:hAnsi="Times New Roman"/>
              </w:rPr>
              <w:t>0</w:t>
            </w:r>
          </w:p>
        </w:tc>
        <w:tc>
          <w:tcPr>
            <w:tcW w:w="680" w:type="dxa"/>
            <w:shd w:val="clear" w:color="auto" w:fill="FFFFFF"/>
          </w:tcPr>
          <w:p w14:paraId="529460F9" w14:textId="116E13DA" w:rsidR="00A84A61" w:rsidRPr="00B53D09" w:rsidRDefault="009079D7" w:rsidP="00A84A61">
            <w:pPr>
              <w:jc w:val="center"/>
              <w:rPr>
                <w:rFonts w:ascii="Times New Roman" w:hAnsi="Times New Roman"/>
                <w:b/>
              </w:rPr>
            </w:pPr>
            <w:r>
              <w:rPr>
                <w:rFonts w:ascii="Times New Roman" w:hAnsi="Times New Roman"/>
              </w:rPr>
              <w:t>0</w:t>
            </w:r>
          </w:p>
        </w:tc>
        <w:tc>
          <w:tcPr>
            <w:tcW w:w="708" w:type="dxa"/>
            <w:gridSpan w:val="2"/>
            <w:shd w:val="clear" w:color="auto" w:fill="FFFFFF"/>
          </w:tcPr>
          <w:p w14:paraId="529460FA" w14:textId="46FC3EC7" w:rsidR="00A84A61" w:rsidRPr="00B53D09" w:rsidRDefault="009079D7" w:rsidP="00A84A61">
            <w:pPr>
              <w:jc w:val="center"/>
              <w:rPr>
                <w:rFonts w:ascii="Times New Roman" w:hAnsi="Times New Roman"/>
                <w:b/>
              </w:rPr>
            </w:pPr>
            <w:r>
              <w:rPr>
                <w:rFonts w:ascii="Times New Roman" w:hAnsi="Times New Roman"/>
              </w:rPr>
              <w:t>0</w:t>
            </w:r>
          </w:p>
        </w:tc>
        <w:tc>
          <w:tcPr>
            <w:tcW w:w="709" w:type="dxa"/>
            <w:gridSpan w:val="2"/>
            <w:shd w:val="clear" w:color="auto" w:fill="FFFFFF"/>
          </w:tcPr>
          <w:p w14:paraId="529460FB" w14:textId="5601350E" w:rsidR="00A84A61" w:rsidRPr="00B53D09" w:rsidRDefault="009079D7" w:rsidP="00A84A61">
            <w:pPr>
              <w:jc w:val="center"/>
              <w:rPr>
                <w:rFonts w:ascii="Times New Roman" w:hAnsi="Times New Roman"/>
                <w:b/>
              </w:rPr>
            </w:pPr>
            <w:r>
              <w:rPr>
                <w:rFonts w:ascii="Times New Roman" w:hAnsi="Times New Roman"/>
              </w:rPr>
              <w:t>0</w:t>
            </w:r>
          </w:p>
        </w:tc>
        <w:tc>
          <w:tcPr>
            <w:tcW w:w="1015" w:type="dxa"/>
            <w:gridSpan w:val="2"/>
            <w:shd w:val="clear" w:color="auto" w:fill="FFFFFF"/>
          </w:tcPr>
          <w:p w14:paraId="529460FC" w14:textId="075D2EFC" w:rsidR="00A84A61" w:rsidRPr="00B53D09" w:rsidRDefault="009079D7" w:rsidP="00A84A61">
            <w:pPr>
              <w:spacing w:line="240" w:lineRule="auto"/>
              <w:jc w:val="center"/>
              <w:rPr>
                <w:rFonts w:ascii="Times New Roman" w:hAnsi="Times New Roman"/>
              </w:rPr>
            </w:pPr>
            <w:r>
              <w:rPr>
                <w:rFonts w:ascii="Times New Roman" w:hAnsi="Times New Roman"/>
              </w:rPr>
              <w:t>0</w:t>
            </w:r>
          </w:p>
        </w:tc>
      </w:tr>
      <w:tr w:rsidR="00346773" w:rsidRPr="00F36492" w14:paraId="5294610B" w14:textId="77777777" w:rsidTr="00356F87">
        <w:trPr>
          <w:trHeight w:val="330"/>
        </w:trPr>
        <w:tc>
          <w:tcPr>
            <w:tcW w:w="2156" w:type="dxa"/>
            <w:gridSpan w:val="2"/>
            <w:shd w:val="clear" w:color="auto" w:fill="FFFFFF"/>
            <w:vAlign w:val="center"/>
          </w:tcPr>
          <w:p w14:paraId="529460FE" w14:textId="77777777" w:rsidR="00346773" w:rsidRPr="00F36492" w:rsidRDefault="00346773" w:rsidP="00346773">
            <w:pPr>
              <w:spacing w:line="240" w:lineRule="auto"/>
              <w:rPr>
                <w:rFonts w:ascii="Times New Roman" w:hAnsi="Times New Roman"/>
              </w:rPr>
            </w:pPr>
            <w:r w:rsidRPr="00F36492">
              <w:rPr>
                <w:rFonts w:ascii="Times New Roman" w:hAnsi="Times New Roman"/>
              </w:rPr>
              <w:t>budżet państwa</w:t>
            </w:r>
          </w:p>
        </w:tc>
        <w:tc>
          <w:tcPr>
            <w:tcW w:w="850" w:type="dxa"/>
            <w:gridSpan w:val="3"/>
            <w:shd w:val="clear" w:color="auto" w:fill="FFFFFF"/>
          </w:tcPr>
          <w:p w14:paraId="529460FF" w14:textId="288643D7" w:rsidR="00346773" w:rsidRPr="00B53D09" w:rsidRDefault="00346773" w:rsidP="00346773">
            <w:pPr>
              <w:jc w:val="center"/>
              <w:rPr>
                <w:rFonts w:ascii="Times New Roman" w:hAnsi="Times New Roman"/>
              </w:rPr>
            </w:pPr>
            <w:r w:rsidRPr="00B53D09">
              <w:rPr>
                <w:rFonts w:ascii="Times New Roman" w:hAnsi="Times New Roman"/>
              </w:rPr>
              <w:t>0</w:t>
            </w:r>
          </w:p>
        </w:tc>
        <w:tc>
          <w:tcPr>
            <w:tcW w:w="709" w:type="dxa"/>
            <w:gridSpan w:val="2"/>
            <w:shd w:val="clear" w:color="auto" w:fill="FFFFFF"/>
          </w:tcPr>
          <w:p w14:paraId="52946100" w14:textId="1CE0254F" w:rsidR="00346773" w:rsidRPr="00B53D09" w:rsidRDefault="009079D7" w:rsidP="00346773">
            <w:pPr>
              <w:jc w:val="center"/>
              <w:rPr>
                <w:rFonts w:ascii="Times New Roman" w:hAnsi="Times New Roman"/>
              </w:rPr>
            </w:pPr>
            <w:r>
              <w:rPr>
                <w:rFonts w:ascii="Times New Roman" w:hAnsi="Times New Roman"/>
              </w:rPr>
              <w:t>0</w:t>
            </w:r>
          </w:p>
        </w:tc>
        <w:tc>
          <w:tcPr>
            <w:tcW w:w="709" w:type="dxa"/>
            <w:shd w:val="clear" w:color="auto" w:fill="FFFFFF"/>
          </w:tcPr>
          <w:p w14:paraId="52946101" w14:textId="5E03FE2C" w:rsidR="00346773" w:rsidRPr="00B53D09" w:rsidRDefault="009079D7" w:rsidP="00346773">
            <w:pPr>
              <w:jc w:val="center"/>
              <w:rPr>
                <w:rFonts w:ascii="Times New Roman" w:hAnsi="Times New Roman"/>
              </w:rPr>
            </w:pPr>
            <w:r>
              <w:rPr>
                <w:rFonts w:ascii="Times New Roman" w:hAnsi="Times New Roman"/>
              </w:rPr>
              <w:t>0</w:t>
            </w:r>
          </w:p>
        </w:tc>
        <w:tc>
          <w:tcPr>
            <w:tcW w:w="709" w:type="dxa"/>
            <w:gridSpan w:val="2"/>
            <w:shd w:val="clear" w:color="auto" w:fill="FFFFFF"/>
          </w:tcPr>
          <w:p w14:paraId="52946102" w14:textId="5A3AB9D8" w:rsidR="00346773" w:rsidRPr="00B53D09" w:rsidRDefault="009079D7" w:rsidP="00346773">
            <w:pPr>
              <w:jc w:val="center"/>
              <w:rPr>
                <w:rFonts w:ascii="Times New Roman" w:hAnsi="Times New Roman"/>
              </w:rPr>
            </w:pPr>
            <w:r>
              <w:rPr>
                <w:rFonts w:ascii="Times New Roman" w:hAnsi="Times New Roman"/>
              </w:rPr>
              <w:t>0</w:t>
            </w:r>
          </w:p>
        </w:tc>
        <w:tc>
          <w:tcPr>
            <w:tcW w:w="708" w:type="dxa"/>
            <w:gridSpan w:val="2"/>
            <w:shd w:val="clear" w:color="auto" w:fill="FFFFFF"/>
          </w:tcPr>
          <w:p w14:paraId="52946103" w14:textId="19F887D6" w:rsidR="00346773" w:rsidRPr="00B53D09" w:rsidRDefault="009079D7" w:rsidP="00346773">
            <w:pPr>
              <w:jc w:val="center"/>
              <w:rPr>
                <w:rFonts w:ascii="Times New Roman" w:hAnsi="Times New Roman"/>
              </w:rPr>
            </w:pPr>
            <w:r>
              <w:rPr>
                <w:rFonts w:ascii="Times New Roman" w:hAnsi="Times New Roman"/>
              </w:rPr>
              <w:t>0</w:t>
            </w:r>
          </w:p>
        </w:tc>
        <w:tc>
          <w:tcPr>
            <w:tcW w:w="709" w:type="dxa"/>
            <w:gridSpan w:val="2"/>
            <w:shd w:val="clear" w:color="auto" w:fill="FFFFFF"/>
          </w:tcPr>
          <w:p w14:paraId="52946104" w14:textId="6E7FD396" w:rsidR="00346773" w:rsidRPr="00B53D09" w:rsidRDefault="009079D7" w:rsidP="00346773">
            <w:pPr>
              <w:jc w:val="center"/>
              <w:rPr>
                <w:rFonts w:ascii="Times New Roman" w:hAnsi="Times New Roman"/>
              </w:rPr>
            </w:pPr>
            <w:r>
              <w:rPr>
                <w:rFonts w:ascii="Times New Roman" w:hAnsi="Times New Roman"/>
              </w:rPr>
              <w:t>0</w:t>
            </w:r>
          </w:p>
        </w:tc>
        <w:tc>
          <w:tcPr>
            <w:tcW w:w="709" w:type="dxa"/>
            <w:gridSpan w:val="2"/>
            <w:shd w:val="clear" w:color="auto" w:fill="FFFFFF"/>
          </w:tcPr>
          <w:p w14:paraId="52946105" w14:textId="38E52032" w:rsidR="00346773" w:rsidRPr="00B53D09" w:rsidRDefault="009079D7" w:rsidP="00346773">
            <w:pPr>
              <w:jc w:val="center"/>
              <w:rPr>
                <w:rFonts w:ascii="Times New Roman" w:hAnsi="Times New Roman"/>
              </w:rPr>
            </w:pPr>
            <w:r>
              <w:rPr>
                <w:rFonts w:ascii="Times New Roman" w:hAnsi="Times New Roman"/>
              </w:rPr>
              <w:t>0</w:t>
            </w:r>
          </w:p>
        </w:tc>
        <w:tc>
          <w:tcPr>
            <w:tcW w:w="709" w:type="dxa"/>
            <w:gridSpan w:val="2"/>
            <w:shd w:val="clear" w:color="auto" w:fill="FFFFFF"/>
          </w:tcPr>
          <w:p w14:paraId="52946106" w14:textId="4910FDFF" w:rsidR="00346773" w:rsidRPr="00B53D09" w:rsidRDefault="009079D7" w:rsidP="00346773">
            <w:pPr>
              <w:jc w:val="center"/>
              <w:rPr>
                <w:rFonts w:ascii="Times New Roman" w:hAnsi="Times New Roman"/>
              </w:rPr>
            </w:pPr>
            <w:r>
              <w:rPr>
                <w:rFonts w:ascii="Times New Roman" w:hAnsi="Times New Roman"/>
              </w:rPr>
              <w:t>0</w:t>
            </w:r>
          </w:p>
        </w:tc>
        <w:tc>
          <w:tcPr>
            <w:tcW w:w="680" w:type="dxa"/>
            <w:shd w:val="clear" w:color="auto" w:fill="FFFFFF"/>
          </w:tcPr>
          <w:p w14:paraId="52946107" w14:textId="2BED05B1" w:rsidR="00346773" w:rsidRPr="00B53D09" w:rsidRDefault="009079D7" w:rsidP="00346773">
            <w:pPr>
              <w:jc w:val="center"/>
              <w:rPr>
                <w:rFonts w:ascii="Times New Roman" w:hAnsi="Times New Roman"/>
              </w:rPr>
            </w:pPr>
            <w:r>
              <w:rPr>
                <w:rFonts w:ascii="Times New Roman" w:hAnsi="Times New Roman"/>
              </w:rPr>
              <w:t>0</w:t>
            </w:r>
          </w:p>
        </w:tc>
        <w:tc>
          <w:tcPr>
            <w:tcW w:w="708" w:type="dxa"/>
            <w:gridSpan w:val="2"/>
            <w:shd w:val="clear" w:color="auto" w:fill="FFFFFF"/>
          </w:tcPr>
          <w:p w14:paraId="52946108" w14:textId="3F0019EA" w:rsidR="00346773" w:rsidRPr="00B53D09" w:rsidRDefault="009079D7" w:rsidP="00346773">
            <w:pPr>
              <w:jc w:val="center"/>
              <w:rPr>
                <w:rFonts w:ascii="Times New Roman" w:hAnsi="Times New Roman"/>
              </w:rPr>
            </w:pPr>
            <w:r>
              <w:rPr>
                <w:rFonts w:ascii="Times New Roman" w:hAnsi="Times New Roman"/>
              </w:rPr>
              <w:t>0</w:t>
            </w:r>
          </w:p>
        </w:tc>
        <w:tc>
          <w:tcPr>
            <w:tcW w:w="709" w:type="dxa"/>
            <w:gridSpan w:val="2"/>
            <w:shd w:val="clear" w:color="auto" w:fill="FFFFFF"/>
          </w:tcPr>
          <w:p w14:paraId="52946109" w14:textId="01EEEBD8" w:rsidR="00346773" w:rsidRPr="00B53D09" w:rsidRDefault="009079D7" w:rsidP="00346773">
            <w:pPr>
              <w:jc w:val="center"/>
              <w:rPr>
                <w:rFonts w:ascii="Times New Roman" w:hAnsi="Times New Roman"/>
              </w:rPr>
            </w:pPr>
            <w:r>
              <w:rPr>
                <w:rFonts w:ascii="Times New Roman" w:hAnsi="Times New Roman"/>
              </w:rPr>
              <w:t>0</w:t>
            </w:r>
          </w:p>
        </w:tc>
        <w:tc>
          <w:tcPr>
            <w:tcW w:w="1015" w:type="dxa"/>
            <w:gridSpan w:val="2"/>
            <w:shd w:val="clear" w:color="auto" w:fill="FFFFFF"/>
          </w:tcPr>
          <w:p w14:paraId="5294610A" w14:textId="45DA7C09" w:rsidR="00346773" w:rsidRPr="00B53D09" w:rsidRDefault="009079D7" w:rsidP="00346773">
            <w:pPr>
              <w:spacing w:line="240" w:lineRule="auto"/>
              <w:jc w:val="center"/>
              <w:rPr>
                <w:rFonts w:ascii="Times New Roman" w:hAnsi="Times New Roman"/>
              </w:rPr>
            </w:pPr>
            <w:r>
              <w:rPr>
                <w:rFonts w:ascii="Times New Roman" w:hAnsi="Times New Roman"/>
              </w:rPr>
              <w:t>0</w:t>
            </w:r>
          </w:p>
        </w:tc>
      </w:tr>
      <w:tr w:rsidR="0002305C" w:rsidRPr="00F36492" w14:paraId="52946119" w14:textId="77777777" w:rsidTr="00A53ADF">
        <w:trPr>
          <w:trHeight w:val="351"/>
        </w:trPr>
        <w:tc>
          <w:tcPr>
            <w:tcW w:w="2156" w:type="dxa"/>
            <w:gridSpan w:val="2"/>
            <w:shd w:val="clear" w:color="auto" w:fill="FFFFFF"/>
            <w:vAlign w:val="center"/>
          </w:tcPr>
          <w:p w14:paraId="5294610C" w14:textId="77777777" w:rsidR="0002305C" w:rsidRPr="00F36492" w:rsidRDefault="0002305C" w:rsidP="00F36492">
            <w:pPr>
              <w:spacing w:line="240" w:lineRule="auto"/>
              <w:rPr>
                <w:rFonts w:ascii="Times New Roman" w:hAnsi="Times New Roman"/>
              </w:rPr>
            </w:pPr>
            <w:r w:rsidRPr="00F36492">
              <w:rPr>
                <w:rFonts w:ascii="Times New Roman" w:hAnsi="Times New Roman"/>
              </w:rPr>
              <w:t>JST</w:t>
            </w:r>
          </w:p>
        </w:tc>
        <w:tc>
          <w:tcPr>
            <w:tcW w:w="850" w:type="dxa"/>
            <w:gridSpan w:val="3"/>
            <w:shd w:val="clear" w:color="auto" w:fill="FFFFFF"/>
            <w:vAlign w:val="center"/>
          </w:tcPr>
          <w:p w14:paraId="5294610D"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0E"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shd w:val="clear" w:color="auto" w:fill="FFFFFF"/>
            <w:vAlign w:val="center"/>
          </w:tcPr>
          <w:p w14:paraId="5294610F"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10"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11"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12"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13"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14"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680" w:type="dxa"/>
            <w:shd w:val="clear" w:color="auto" w:fill="FFFFFF"/>
            <w:vAlign w:val="center"/>
          </w:tcPr>
          <w:p w14:paraId="52946115"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16"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17" w14:textId="308DD1BA" w:rsidR="0002305C" w:rsidRPr="00B53D09" w:rsidRDefault="0002305C" w:rsidP="00F36492">
            <w:pPr>
              <w:spacing w:line="240" w:lineRule="auto"/>
              <w:jc w:val="center"/>
              <w:rPr>
                <w:rFonts w:ascii="Times New Roman" w:hAnsi="Times New Roman"/>
              </w:rPr>
            </w:pPr>
          </w:p>
        </w:tc>
        <w:tc>
          <w:tcPr>
            <w:tcW w:w="1015" w:type="dxa"/>
            <w:gridSpan w:val="2"/>
            <w:shd w:val="clear" w:color="auto" w:fill="FFFFFF"/>
            <w:vAlign w:val="center"/>
          </w:tcPr>
          <w:p w14:paraId="52946118" w14:textId="76A5FED8" w:rsidR="0002305C" w:rsidRPr="00B53D09" w:rsidRDefault="009B4439" w:rsidP="00F36492">
            <w:pPr>
              <w:spacing w:line="240" w:lineRule="auto"/>
              <w:jc w:val="center"/>
              <w:rPr>
                <w:rFonts w:ascii="Times New Roman" w:hAnsi="Times New Roman"/>
              </w:rPr>
            </w:pPr>
            <w:r w:rsidRPr="00B53D09">
              <w:rPr>
                <w:rFonts w:ascii="Times New Roman" w:hAnsi="Times New Roman"/>
              </w:rPr>
              <w:t>0</w:t>
            </w:r>
          </w:p>
        </w:tc>
      </w:tr>
      <w:tr w:rsidR="0002305C" w:rsidRPr="00F36492" w14:paraId="52946127" w14:textId="77777777" w:rsidTr="00A53ADF">
        <w:trPr>
          <w:trHeight w:val="351"/>
        </w:trPr>
        <w:tc>
          <w:tcPr>
            <w:tcW w:w="2156" w:type="dxa"/>
            <w:gridSpan w:val="2"/>
            <w:shd w:val="clear" w:color="auto" w:fill="FFFFFF"/>
            <w:vAlign w:val="center"/>
          </w:tcPr>
          <w:p w14:paraId="5294611A" w14:textId="77777777" w:rsidR="0002305C" w:rsidRPr="00F36492" w:rsidRDefault="0002305C" w:rsidP="00F36492">
            <w:pPr>
              <w:spacing w:line="240" w:lineRule="auto"/>
              <w:rPr>
                <w:rFonts w:ascii="Times New Roman" w:hAnsi="Times New Roman"/>
              </w:rPr>
            </w:pPr>
            <w:r w:rsidRPr="00F36492">
              <w:rPr>
                <w:rFonts w:ascii="Times New Roman" w:hAnsi="Times New Roman"/>
              </w:rPr>
              <w:t>pozostałe jednostki (oddzielnie)</w:t>
            </w:r>
          </w:p>
        </w:tc>
        <w:tc>
          <w:tcPr>
            <w:tcW w:w="850" w:type="dxa"/>
            <w:gridSpan w:val="3"/>
            <w:shd w:val="clear" w:color="auto" w:fill="FFFFFF"/>
            <w:vAlign w:val="center"/>
          </w:tcPr>
          <w:p w14:paraId="5294611B"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1C"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shd w:val="clear" w:color="auto" w:fill="FFFFFF"/>
            <w:vAlign w:val="center"/>
          </w:tcPr>
          <w:p w14:paraId="5294611D"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1E"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1F"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20"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21"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22"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680" w:type="dxa"/>
            <w:shd w:val="clear" w:color="auto" w:fill="FFFFFF"/>
            <w:vAlign w:val="center"/>
          </w:tcPr>
          <w:p w14:paraId="52946123"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24" w14:textId="77777777" w:rsidR="0002305C" w:rsidRPr="00B53D09" w:rsidRDefault="0002305C"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25" w14:textId="4BB3A22D" w:rsidR="0002305C" w:rsidRPr="00B53D09" w:rsidRDefault="0002305C" w:rsidP="00F36492">
            <w:pPr>
              <w:spacing w:line="240" w:lineRule="auto"/>
              <w:jc w:val="center"/>
              <w:rPr>
                <w:rFonts w:ascii="Times New Roman" w:hAnsi="Times New Roman"/>
              </w:rPr>
            </w:pPr>
          </w:p>
        </w:tc>
        <w:tc>
          <w:tcPr>
            <w:tcW w:w="1015" w:type="dxa"/>
            <w:gridSpan w:val="2"/>
            <w:shd w:val="clear" w:color="auto" w:fill="FFFFFF"/>
            <w:vAlign w:val="center"/>
          </w:tcPr>
          <w:p w14:paraId="52946126" w14:textId="592E9DA0" w:rsidR="0002305C" w:rsidRPr="00B53D09" w:rsidRDefault="009B4439" w:rsidP="00F36492">
            <w:pPr>
              <w:spacing w:line="240" w:lineRule="auto"/>
              <w:jc w:val="center"/>
              <w:rPr>
                <w:rFonts w:ascii="Times New Roman" w:hAnsi="Times New Roman"/>
              </w:rPr>
            </w:pPr>
            <w:r w:rsidRPr="00B53D09">
              <w:rPr>
                <w:rFonts w:ascii="Times New Roman" w:hAnsi="Times New Roman"/>
              </w:rPr>
              <w:t>0</w:t>
            </w:r>
          </w:p>
        </w:tc>
      </w:tr>
      <w:tr w:rsidR="009079D7" w:rsidRPr="00F36492" w14:paraId="52946135" w14:textId="77777777" w:rsidTr="00213A3D">
        <w:trPr>
          <w:trHeight w:val="360"/>
        </w:trPr>
        <w:tc>
          <w:tcPr>
            <w:tcW w:w="2156" w:type="dxa"/>
            <w:gridSpan w:val="2"/>
            <w:shd w:val="clear" w:color="auto" w:fill="FFFFFF"/>
            <w:vAlign w:val="center"/>
          </w:tcPr>
          <w:p w14:paraId="52946128" w14:textId="77777777" w:rsidR="009079D7" w:rsidRPr="00F36492" w:rsidRDefault="009079D7" w:rsidP="009079D7">
            <w:pPr>
              <w:spacing w:line="240" w:lineRule="auto"/>
              <w:rPr>
                <w:rFonts w:ascii="Times New Roman" w:hAnsi="Times New Roman"/>
              </w:rPr>
            </w:pPr>
            <w:r w:rsidRPr="00F36492">
              <w:rPr>
                <w:rFonts w:ascii="Times New Roman" w:hAnsi="Times New Roman"/>
                <w:b/>
              </w:rPr>
              <w:t>Saldo ogółem</w:t>
            </w:r>
          </w:p>
        </w:tc>
        <w:tc>
          <w:tcPr>
            <w:tcW w:w="850" w:type="dxa"/>
            <w:gridSpan w:val="3"/>
            <w:shd w:val="clear" w:color="auto" w:fill="FFFFFF"/>
            <w:vAlign w:val="center"/>
          </w:tcPr>
          <w:p w14:paraId="52946129" w14:textId="4D0AF1AC" w:rsidR="009079D7" w:rsidRPr="00B53D09" w:rsidRDefault="009079D7" w:rsidP="009079D7">
            <w:pPr>
              <w:jc w:val="center"/>
              <w:rPr>
                <w:rFonts w:ascii="Times New Roman" w:hAnsi="Times New Roman"/>
                <w:b/>
              </w:rPr>
            </w:pPr>
            <w:r w:rsidRPr="00B53D09">
              <w:rPr>
                <w:rFonts w:ascii="Times New Roman" w:hAnsi="Times New Roman"/>
                <w:b/>
              </w:rPr>
              <w:t>0</w:t>
            </w:r>
          </w:p>
        </w:tc>
        <w:tc>
          <w:tcPr>
            <w:tcW w:w="709" w:type="dxa"/>
            <w:gridSpan w:val="2"/>
            <w:shd w:val="clear" w:color="auto" w:fill="FFFFFF"/>
            <w:vAlign w:val="center"/>
          </w:tcPr>
          <w:p w14:paraId="5294612A" w14:textId="69D53272" w:rsidR="009079D7" w:rsidRPr="00B53D09" w:rsidRDefault="009079D7" w:rsidP="009079D7">
            <w:pPr>
              <w:jc w:val="center"/>
              <w:rPr>
                <w:rFonts w:ascii="Times New Roman" w:hAnsi="Times New Roman"/>
                <w:b/>
              </w:rPr>
            </w:pPr>
            <w:r>
              <w:rPr>
                <w:rFonts w:ascii="Times New Roman" w:hAnsi="Times New Roman"/>
                <w:b/>
              </w:rPr>
              <w:t>482</w:t>
            </w:r>
          </w:p>
        </w:tc>
        <w:tc>
          <w:tcPr>
            <w:tcW w:w="709" w:type="dxa"/>
            <w:shd w:val="clear" w:color="auto" w:fill="FFFFFF"/>
          </w:tcPr>
          <w:p w14:paraId="5294612B" w14:textId="32FD33B4"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709" w:type="dxa"/>
            <w:gridSpan w:val="2"/>
            <w:shd w:val="clear" w:color="auto" w:fill="FFFFFF"/>
          </w:tcPr>
          <w:p w14:paraId="5294612C" w14:textId="36B556A2"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708" w:type="dxa"/>
            <w:gridSpan w:val="2"/>
            <w:shd w:val="clear" w:color="auto" w:fill="FFFFFF"/>
          </w:tcPr>
          <w:p w14:paraId="5294612D" w14:textId="65C96150"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709" w:type="dxa"/>
            <w:gridSpan w:val="2"/>
            <w:shd w:val="clear" w:color="auto" w:fill="FFFFFF"/>
          </w:tcPr>
          <w:p w14:paraId="5294612E" w14:textId="79A71971"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709" w:type="dxa"/>
            <w:gridSpan w:val="2"/>
            <w:shd w:val="clear" w:color="auto" w:fill="FFFFFF"/>
          </w:tcPr>
          <w:p w14:paraId="5294612F" w14:textId="1A880D06"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709" w:type="dxa"/>
            <w:gridSpan w:val="2"/>
            <w:shd w:val="clear" w:color="auto" w:fill="FFFFFF"/>
          </w:tcPr>
          <w:p w14:paraId="52946130" w14:textId="70685427"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680" w:type="dxa"/>
            <w:shd w:val="clear" w:color="auto" w:fill="FFFFFF"/>
          </w:tcPr>
          <w:p w14:paraId="52946131" w14:textId="6D71461D"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708" w:type="dxa"/>
            <w:gridSpan w:val="2"/>
            <w:shd w:val="clear" w:color="auto" w:fill="FFFFFF"/>
          </w:tcPr>
          <w:p w14:paraId="52946132" w14:textId="2D9BC0BF"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709" w:type="dxa"/>
            <w:gridSpan w:val="2"/>
            <w:shd w:val="clear" w:color="auto" w:fill="FFFFFF"/>
          </w:tcPr>
          <w:p w14:paraId="52946133" w14:textId="4B3E1CC1" w:rsidR="009079D7" w:rsidRPr="00B53D09" w:rsidRDefault="009079D7" w:rsidP="009079D7">
            <w:pPr>
              <w:jc w:val="center"/>
              <w:rPr>
                <w:rFonts w:ascii="Times New Roman" w:hAnsi="Times New Roman"/>
                <w:b/>
              </w:rPr>
            </w:pPr>
            <w:r w:rsidRPr="00EF2443">
              <w:rPr>
                <w:rFonts w:ascii="Times New Roman" w:hAnsi="Times New Roman"/>
                <w:b/>
              </w:rPr>
              <w:t>1157</w:t>
            </w:r>
          </w:p>
        </w:tc>
        <w:tc>
          <w:tcPr>
            <w:tcW w:w="1015" w:type="dxa"/>
            <w:gridSpan w:val="2"/>
            <w:shd w:val="clear" w:color="auto" w:fill="FFFFFF"/>
            <w:vAlign w:val="center"/>
          </w:tcPr>
          <w:p w14:paraId="52946134" w14:textId="28E1E8E3" w:rsidR="009079D7" w:rsidRPr="00B53D09" w:rsidRDefault="009079D7" w:rsidP="009079D7">
            <w:pPr>
              <w:spacing w:line="240" w:lineRule="auto"/>
              <w:jc w:val="center"/>
              <w:rPr>
                <w:rFonts w:ascii="Times New Roman" w:hAnsi="Times New Roman"/>
              </w:rPr>
            </w:pPr>
            <w:r w:rsidRPr="00B53D09">
              <w:rPr>
                <w:rFonts w:ascii="Times New Roman" w:hAnsi="Times New Roman"/>
                <w:b/>
              </w:rPr>
              <w:t> </w:t>
            </w:r>
            <w:r>
              <w:rPr>
                <w:rFonts w:ascii="Times New Roman" w:hAnsi="Times New Roman"/>
                <w:b/>
              </w:rPr>
              <w:t>10 895</w:t>
            </w:r>
          </w:p>
        </w:tc>
      </w:tr>
      <w:tr w:rsidR="009079D7" w:rsidRPr="00F36492" w14:paraId="52946143" w14:textId="77777777" w:rsidTr="00356F87">
        <w:trPr>
          <w:trHeight w:val="360"/>
        </w:trPr>
        <w:tc>
          <w:tcPr>
            <w:tcW w:w="2156" w:type="dxa"/>
            <w:gridSpan w:val="2"/>
            <w:shd w:val="clear" w:color="auto" w:fill="FFFFFF"/>
            <w:vAlign w:val="center"/>
          </w:tcPr>
          <w:p w14:paraId="52946136" w14:textId="77777777" w:rsidR="009079D7" w:rsidRPr="00F36492" w:rsidRDefault="009079D7" w:rsidP="009079D7">
            <w:pPr>
              <w:spacing w:line="240" w:lineRule="auto"/>
              <w:rPr>
                <w:rFonts w:ascii="Times New Roman" w:hAnsi="Times New Roman"/>
              </w:rPr>
            </w:pPr>
            <w:r w:rsidRPr="00F36492">
              <w:rPr>
                <w:rFonts w:ascii="Times New Roman" w:hAnsi="Times New Roman"/>
              </w:rPr>
              <w:t>budżet państwa</w:t>
            </w:r>
          </w:p>
        </w:tc>
        <w:tc>
          <w:tcPr>
            <w:tcW w:w="850" w:type="dxa"/>
            <w:gridSpan w:val="3"/>
            <w:shd w:val="clear" w:color="auto" w:fill="FFFFFF"/>
            <w:vAlign w:val="center"/>
          </w:tcPr>
          <w:p w14:paraId="52946137" w14:textId="14C4768F" w:rsidR="009079D7" w:rsidRPr="00B53D09" w:rsidRDefault="009079D7" w:rsidP="009079D7">
            <w:pPr>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38" w14:textId="7DB01EF5" w:rsidR="009079D7" w:rsidRPr="00B53D09" w:rsidRDefault="009079D7" w:rsidP="009079D7">
            <w:pPr>
              <w:jc w:val="center"/>
              <w:rPr>
                <w:rFonts w:ascii="Times New Roman" w:hAnsi="Times New Roman"/>
              </w:rPr>
            </w:pPr>
            <w:r>
              <w:rPr>
                <w:rFonts w:ascii="Times New Roman" w:hAnsi="Times New Roman"/>
                <w:b/>
              </w:rPr>
              <w:t>482</w:t>
            </w:r>
          </w:p>
        </w:tc>
        <w:tc>
          <w:tcPr>
            <w:tcW w:w="709" w:type="dxa"/>
            <w:shd w:val="clear" w:color="auto" w:fill="FFFFFF"/>
          </w:tcPr>
          <w:p w14:paraId="52946139" w14:textId="68A09CAE" w:rsidR="009079D7" w:rsidRPr="00B53D09" w:rsidRDefault="009079D7" w:rsidP="009079D7">
            <w:pPr>
              <w:jc w:val="center"/>
              <w:rPr>
                <w:rFonts w:ascii="Times New Roman" w:hAnsi="Times New Roman"/>
              </w:rPr>
            </w:pPr>
            <w:r w:rsidRPr="00B05948">
              <w:rPr>
                <w:rFonts w:ascii="Times New Roman" w:hAnsi="Times New Roman"/>
                <w:b/>
              </w:rPr>
              <w:t>1157</w:t>
            </w:r>
          </w:p>
        </w:tc>
        <w:tc>
          <w:tcPr>
            <w:tcW w:w="709" w:type="dxa"/>
            <w:gridSpan w:val="2"/>
            <w:shd w:val="clear" w:color="auto" w:fill="FFFFFF"/>
          </w:tcPr>
          <w:p w14:paraId="5294613A" w14:textId="74A7ACD4" w:rsidR="009079D7" w:rsidRPr="00B53D09" w:rsidRDefault="009079D7" w:rsidP="009079D7">
            <w:pPr>
              <w:jc w:val="center"/>
              <w:rPr>
                <w:rFonts w:ascii="Times New Roman" w:hAnsi="Times New Roman"/>
              </w:rPr>
            </w:pPr>
            <w:r w:rsidRPr="00B05948">
              <w:rPr>
                <w:rFonts w:ascii="Times New Roman" w:hAnsi="Times New Roman"/>
                <w:b/>
              </w:rPr>
              <w:t>1157</w:t>
            </w:r>
          </w:p>
        </w:tc>
        <w:tc>
          <w:tcPr>
            <w:tcW w:w="708" w:type="dxa"/>
            <w:gridSpan w:val="2"/>
            <w:shd w:val="clear" w:color="auto" w:fill="FFFFFF"/>
          </w:tcPr>
          <w:p w14:paraId="5294613B" w14:textId="5F9E3740" w:rsidR="009079D7" w:rsidRPr="00B53D09" w:rsidRDefault="009079D7" w:rsidP="009079D7">
            <w:pPr>
              <w:jc w:val="center"/>
              <w:rPr>
                <w:rFonts w:ascii="Times New Roman" w:hAnsi="Times New Roman"/>
              </w:rPr>
            </w:pPr>
            <w:r w:rsidRPr="00B05948">
              <w:rPr>
                <w:rFonts w:ascii="Times New Roman" w:hAnsi="Times New Roman"/>
                <w:b/>
              </w:rPr>
              <w:t>1157</w:t>
            </w:r>
          </w:p>
        </w:tc>
        <w:tc>
          <w:tcPr>
            <w:tcW w:w="709" w:type="dxa"/>
            <w:gridSpan w:val="2"/>
            <w:shd w:val="clear" w:color="auto" w:fill="FFFFFF"/>
          </w:tcPr>
          <w:p w14:paraId="5294613C" w14:textId="53BA845D" w:rsidR="009079D7" w:rsidRPr="00B53D09" w:rsidRDefault="009079D7" w:rsidP="009079D7">
            <w:pPr>
              <w:jc w:val="center"/>
              <w:rPr>
                <w:rFonts w:ascii="Times New Roman" w:hAnsi="Times New Roman"/>
              </w:rPr>
            </w:pPr>
            <w:r w:rsidRPr="00B05948">
              <w:rPr>
                <w:rFonts w:ascii="Times New Roman" w:hAnsi="Times New Roman"/>
                <w:b/>
              </w:rPr>
              <w:t>1157</w:t>
            </w:r>
          </w:p>
        </w:tc>
        <w:tc>
          <w:tcPr>
            <w:tcW w:w="709" w:type="dxa"/>
            <w:gridSpan w:val="2"/>
            <w:shd w:val="clear" w:color="auto" w:fill="FFFFFF"/>
          </w:tcPr>
          <w:p w14:paraId="5294613D" w14:textId="3574D620" w:rsidR="009079D7" w:rsidRPr="00B53D09" w:rsidRDefault="009079D7" w:rsidP="009079D7">
            <w:pPr>
              <w:jc w:val="center"/>
              <w:rPr>
                <w:rFonts w:ascii="Times New Roman" w:hAnsi="Times New Roman"/>
              </w:rPr>
            </w:pPr>
            <w:r w:rsidRPr="00B05948">
              <w:rPr>
                <w:rFonts w:ascii="Times New Roman" w:hAnsi="Times New Roman"/>
                <w:b/>
              </w:rPr>
              <w:t>1157</w:t>
            </w:r>
          </w:p>
        </w:tc>
        <w:tc>
          <w:tcPr>
            <w:tcW w:w="709" w:type="dxa"/>
            <w:gridSpan w:val="2"/>
            <w:shd w:val="clear" w:color="auto" w:fill="FFFFFF"/>
          </w:tcPr>
          <w:p w14:paraId="5294613E" w14:textId="5E476A81" w:rsidR="009079D7" w:rsidRPr="00B53D09" w:rsidRDefault="009079D7" w:rsidP="009079D7">
            <w:pPr>
              <w:jc w:val="center"/>
              <w:rPr>
                <w:rFonts w:ascii="Times New Roman" w:hAnsi="Times New Roman"/>
              </w:rPr>
            </w:pPr>
            <w:r w:rsidRPr="00B05948">
              <w:rPr>
                <w:rFonts w:ascii="Times New Roman" w:hAnsi="Times New Roman"/>
                <w:b/>
              </w:rPr>
              <w:t>1157</w:t>
            </w:r>
          </w:p>
        </w:tc>
        <w:tc>
          <w:tcPr>
            <w:tcW w:w="680" w:type="dxa"/>
            <w:shd w:val="clear" w:color="auto" w:fill="FFFFFF"/>
          </w:tcPr>
          <w:p w14:paraId="5294613F" w14:textId="74CDD1BE" w:rsidR="009079D7" w:rsidRPr="00B53D09" w:rsidRDefault="009079D7" w:rsidP="009079D7">
            <w:pPr>
              <w:jc w:val="center"/>
              <w:rPr>
                <w:rFonts w:ascii="Times New Roman" w:hAnsi="Times New Roman"/>
              </w:rPr>
            </w:pPr>
            <w:r w:rsidRPr="00B05948">
              <w:rPr>
                <w:rFonts w:ascii="Times New Roman" w:hAnsi="Times New Roman"/>
                <w:b/>
              </w:rPr>
              <w:t>1157</w:t>
            </w:r>
          </w:p>
        </w:tc>
        <w:tc>
          <w:tcPr>
            <w:tcW w:w="708" w:type="dxa"/>
            <w:gridSpan w:val="2"/>
            <w:shd w:val="clear" w:color="auto" w:fill="FFFFFF"/>
          </w:tcPr>
          <w:p w14:paraId="52946140" w14:textId="16F46208" w:rsidR="009079D7" w:rsidRPr="00B53D09" w:rsidRDefault="009079D7" w:rsidP="009079D7">
            <w:pPr>
              <w:jc w:val="center"/>
              <w:rPr>
                <w:rFonts w:ascii="Times New Roman" w:hAnsi="Times New Roman"/>
              </w:rPr>
            </w:pPr>
            <w:r w:rsidRPr="00B05948">
              <w:rPr>
                <w:rFonts w:ascii="Times New Roman" w:hAnsi="Times New Roman"/>
                <w:b/>
              </w:rPr>
              <w:t>1157</w:t>
            </w:r>
          </w:p>
        </w:tc>
        <w:tc>
          <w:tcPr>
            <w:tcW w:w="709" w:type="dxa"/>
            <w:gridSpan w:val="2"/>
            <w:shd w:val="clear" w:color="auto" w:fill="FFFFFF"/>
          </w:tcPr>
          <w:p w14:paraId="52946141" w14:textId="3861980F" w:rsidR="009079D7" w:rsidRPr="00B53D09" w:rsidRDefault="009079D7" w:rsidP="009079D7">
            <w:pPr>
              <w:jc w:val="center"/>
              <w:rPr>
                <w:rFonts w:ascii="Times New Roman" w:hAnsi="Times New Roman"/>
              </w:rPr>
            </w:pPr>
            <w:r w:rsidRPr="00B05948">
              <w:rPr>
                <w:rFonts w:ascii="Times New Roman" w:hAnsi="Times New Roman"/>
                <w:b/>
              </w:rPr>
              <w:t>1157</w:t>
            </w:r>
          </w:p>
        </w:tc>
        <w:tc>
          <w:tcPr>
            <w:tcW w:w="1015" w:type="dxa"/>
            <w:gridSpan w:val="2"/>
            <w:shd w:val="clear" w:color="auto" w:fill="FFFFFF"/>
            <w:vAlign w:val="center"/>
          </w:tcPr>
          <w:p w14:paraId="52946142" w14:textId="13135869" w:rsidR="009079D7" w:rsidRPr="00B53D09" w:rsidRDefault="009079D7" w:rsidP="009079D7">
            <w:pPr>
              <w:spacing w:line="240" w:lineRule="auto"/>
              <w:jc w:val="center"/>
              <w:rPr>
                <w:rFonts w:ascii="Times New Roman" w:hAnsi="Times New Roman"/>
              </w:rPr>
            </w:pPr>
            <w:r>
              <w:rPr>
                <w:rFonts w:ascii="Times New Roman" w:hAnsi="Times New Roman"/>
                <w:b/>
              </w:rPr>
              <w:t>10 895</w:t>
            </w:r>
          </w:p>
        </w:tc>
      </w:tr>
      <w:tr w:rsidR="00A53ADF" w:rsidRPr="00F36492" w14:paraId="52946151" w14:textId="77777777" w:rsidTr="00A53ADF">
        <w:trPr>
          <w:trHeight w:val="357"/>
        </w:trPr>
        <w:tc>
          <w:tcPr>
            <w:tcW w:w="2156" w:type="dxa"/>
            <w:gridSpan w:val="2"/>
            <w:shd w:val="clear" w:color="auto" w:fill="FFFFFF"/>
            <w:vAlign w:val="center"/>
          </w:tcPr>
          <w:p w14:paraId="52946144" w14:textId="77777777" w:rsidR="00A53ADF" w:rsidRPr="00F36492" w:rsidRDefault="00A53ADF" w:rsidP="00F36492">
            <w:pPr>
              <w:spacing w:line="240" w:lineRule="auto"/>
              <w:rPr>
                <w:rFonts w:ascii="Times New Roman" w:hAnsi="Times New Roman"/>
              </w:rPr>
            </w:pPr>
            <w:r w:rsidRPr="00F36492">
              <w:rPr>
                <w:rFonts w:ascii="Times New Roman" w:hAnsi="Times New Roman"/>
              </w:rPr>
              <w:t>JST</w:t>
            </w:r>
          </w:p>
        </w:tc>
        <w:tc>
          <w:tcPr>
            <w:tcW w:w="850" w:type="dxa"/>
            <w:gridSpan w:val="3"/>
            <w:shd w:val="clear" w:color="auto" w:fill="FFFFFF"/>
            <w:vAlign w:val="center"/>
          </w:tcPr>
          <w:p w14:paraId="52946145"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46"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shd w:val="clear" w:color="auto" w:fill="FFFFFF"/>
            <w:vAlign w:val="center"/>
          </w:tcPr>
          <w:p w14:paraId="52946147"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48"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49"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4A"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4B"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4C"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680" w:type="dxa"/>
            <w:shd w:val="clear" w:color="auto" w:fill="FFFFFF"/>
            <w:vAlign w:val="center"/>
          </w:tcPr>
          <w:p w14:paraId="5294614D"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4E"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4F" w14:textId="45617320" w:rsidR="00A53ADF" w:rsidRPr="00B53D09" w:rsidRDefault="00A53ADF" w:rsidP="00F36492">
            <w:pPr>
              <w:spacing w:line="240" w:lineRule="auto"/>
              <w:jc w:val="center"/>
              <w:rPr>
                <w:rFonts w:ascii="Times New Roman" w:hAnsi="Times New Roman"/>
              </w:rPr>
            </w:pPr>
          </w:p>
        </w:tc>
        <w:tc>
          <w:tcPr>
            <w:tcW w:w="1015" w:type="dxa"/>
            <w:gridSpan w:val="2"/>
            <w:shd w:val="clear" w:color="auto" w:fill="FFFFFF"/>
          </w:tcPr>
          <w:p w14:paraId="52946150" w14:textId="4C4B686C" w:rsidR="00A53ADF" w:rsidRPr="00B53D09" w:rsidRDefault="009A1AE1" w:rsidP="00F36492">
            <w:pPr>
              <w:spacing w:line="240" w:lineRule="auto"/>
              <w:rPr>
                <w:rFonts w:ascii="Times New Roman" w:hAnsi="Times New Roman"/>
              </w:rPr>
            </w:pPr>
            <w:r w:rsidRPr="00B53D09">
              <w:rPr>
                <w:rFonts w:ascii="Times New Roman" w:hAnsi="Times New Roman"/>
              </w:rPr>
              <w:t xml:space="preserve">    </w:t>
            </w:r>
            <w:r w:rsidR="00A53ADF" w:rsidRPr="00B53D09">
              <w:rPr>
                <w:rFonts w:ascii="Times New Roman" w:hAnsi="Times New Roman"/>
              </w:rPr>
              <w:t>0</w:t>
            </w:r>
          </w:p>
        </w:tc>
      </w:tr>
      <w:tr w:rsidR="00A53ADF" w:rsidRPr="00F36492" w14:paraId="5294615F" w14:textId="77777777" w:rsidTr="00A53ADF">
        <w:trPr>
          <w:trHeight w:val="357"/>
        </w:trPr>
        <w:tc>
          <w:tcPr>
            <w:tcW w:w="2156" w:type="dxa"/>
            <w:gridSpan w:val="2"/>
            <w:shd w:val="clear" w:color="auto" w:fill="FFFFFF"/>
            <w:vAlign w:val="center"/>
          </w:tcPr>
          <w:p w14:paraId="52946152" w14:textId="77777777" w:rsidR="00A53ADF" w:rsidRPr="00F36492" w:rsidRDefault="00A53ADF" w:rsidP="00F36492">
            <w:pPr>
              <w:spacing w:line="240" w:lineRule="auto"/>
              <w:rPr>
                <w:rFonts w:ascii="Times New Roman" w:hAnsi="Times New Roman"/>
              </w:rPr>
            </w:pPr>
            <w:r w:rsidRPr="00F36492">
              <w:rPr>
                <w:rFonts w:ascii="Times New Roman" w:hAnsi="Times New Roman"/>
              </w:rPr>
              <w:t>pozostałe jednostki (oddzielnie)</w:t>
            </w:r>
          </w:p>
        </w:tc>
        <w:tc>
          <w:tcPr>
            <w:tcW w:w="850" w:type="dxa"/>
            <w:gridSpan w:val="3"/>
            <w:shd w:val="clear" w:color="auto" w:fill="FFFFFF"/>
            <w:vAlign w:val="center"/>
          </w:tcPr>
          <w:p w14:paraId="52946153"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54"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shd w:val="clear" w:color="auto" w:fill="FFFFFF"/>
            <w:vAlign w:val="center"/>
          </w:tcPr>
          <w:p w14:paraId="52946155"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56"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57"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58"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59"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5A"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680" w:type="dxa"/>
            <w:shd w:val="clear" w:color="auto" w:fill="FFFFFF"/>
            <w:vAlign w:val="center"/>
          </w:tcPr>
          <w:p w14:paraId="5294615B"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8" w:type="dxa"/>
            <w:gridSpan w:val="2"/>
            <w:shd w:val="clear" w:color="auto" w:fill="FFFFFF"/>
            <w:vAlign w:val="center"/>
          </w:tcPr>
          <w:p w14:paraId="5294615C" w14:textId="77777777"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c>
          <w:tcPr>
            <w:tcW w:w="709" w:type="dxa"/>
            <w:gridSpan w:val="2"/>
            <w:shd w:val="clear" w:color="auto" w:fill="FFFFFF"/>
            <w:vAlign w:val="center"/>
          </w:tcPr>
          <w:p w14:paraId="5294615D" w14:textId="468A5B75" w:rsidR="00A53ADF" w:rsidRPr="00B53D09" w:rsidRDefault="00A53ADF" w:rsidP="00F36492">
            <w:pPr>
              <w:spacing w:line="240" w:lineRule="auto"/>
              <w:jc w:val="center"/>
              <w:rPr>
                <w:rFonts w:ascii="Times New Roman" w:hAnsi="Times New Roman"/>
              </w:rPr>
            </w:pPr>
          </w:p>
        </w:tc>
        <w:tc>
          <w:tcPr>
            <w:tcW w:w="1015" w:type="dxa"/>
            <w:gridSpan w:val="2"/>
            <w:shd w:val="clear" w:color="auto" w:fill="FFFFFF"/>
          </w:tcPr>
          <w:p w14:paraId="7FAF3CCC" w14:textId="77777777" w:rsidR="00A53ADF" w:rsidRPr="00B53D09" w:rsidRDefault="00A53ADF" w:rsidP="00F36492">
            <w:pPr>
              <w:spacing w:line="240" w:lineRule="auto"/>
              <w:jc w:val="center"/>
              <w:rPr>
                <w:rFonts w:ascii="Times New Roman" w:hAnsi="Times New Roman"/>
              </w:rPr>
            </w:pPr>
          </w:p>
          <w:p w14:paraId="5294615E" w14:textId="0582D213" w:rsidR="00A53ADF" w:rsidRPr="00B53D09" w:rsidRDefault="00A53ADF" w:rsidP="00F36492">
            <w:pPr>
              <w:spacing w:line="240" w:lineRule="auto"/>
              <w:jc w:val="center"/>
              <w:rPr>
                <w:rFonts w:ascii="Times New Roman" w:hAnsi="Times New Roman"/>
              </w:rPr>
            </w:pPr>
            <w:r w:rsidRPr="00B53D09">
              <w:rPr>
                <w:rFonts w:ascii="Times New Roman" w:hAnsi="Times New Roman"/>
              </w:rPr>
              <w:t>0</w:t>
            </w:r>
          </w:p>
        </w:tc>
      </w:tr>
      <w:tr w:rsidR="00A53ADF" w:rsidRPr="00F36492" w14:paraId="52946164" w14:textId="77777777" w:rsidTr="00A53ADF">
        <w:trPr>
          <w:gridAfter w:val="1"/>
          <w:wAfter w:w="10" w:type="dxa"/>
          <w:trHeight w:val="348"/>
        </w:trPr>
        <w:tc>
          <w:tcPr>
            <w:tcW w:w="2156" w:type="dxa"/>
            <w:gridSpan w:val="2"/>
            <w:shd w:val="clear" w:color="auto" w:fill="FFFFFF"/>
            <w:vAlign w:val="center"/>
          </w:tcPr>
          <w:p w14:paraId="52946160" w14:textId="77777777" w:rsidR="00A53ADF" w:rsidRPr="00F36492" w:rsidRDefault="00A53ADF" w:rsidP="00F36492">
            <w:pPr>
              <w:spacing w:line="240" w:lineRule="auto"/>
              <w:rPr>
                <w:rFonts w:ascii="Times New Roman" w:hAnsi="Times New Roman"/>
              </w:rPr>
            </w:pPr>
            <w:r w:rsidRPr="00F36492">
              <w:rPr>
                <w:rFonts w:ascii="Times New Roman" w:hAnsi="Times New Roman"/>
              </w:rPr>
              <w:lastRenderedPageBreak/>
              <w:t xml:space="preserve">Źródła finansowania </w:t>
            </w:r>
          </w:p>
        </w:tc>
        <w:tc>
          <w:tcPr>
            <w:tcW w:w="8914" w:type="dxa"/>
            <w:gridSpan w:val="22"/>
            <w:shd w:val="clear" w:color="auto" w:fill="FFFFFF"/>
            <w:vAlign w:val="center"/>
          </w:tcPr>
          <w:p w14:paraId="52946162" w14:textId="77777777" w:rsidR="00A53ADF" w:rsidRPr="00F36492" w:rsidRDefault="00A53ADF" w:rsidP="00F36492">
            <w:pPr>
              <w:spacing w:line="240" w:lineRule="auto"/>
              <w:jc w:val="both"/>
              <w:rPr>
                <w:rFonts w:ascii="Times New Roman" w:hAnsi="Times New Roman"/>
              </w:rPr>
            </w:pPr>
          </w:p>
          <w:p w14:paraId="52946163" w14:textId="77777777" w:rsidR="00A53ADF" w:rsidRPr="00F36492" w:rsidRDefault="00A53ADF" w:rsidP="00F36492">
            <w:pPr>
              <w:spacing w:line="240" w:lineRule="auto"/>
              <w:jc w:val="both"/>
              <w:rPr>
                <w:rFonts w:ascii="Times New Roman" w:hAnsi="Times New Roman"/>
              </w:rPr>
            </w:pPr>
          </w:p>
        </w:tc>
      </w:tr>
      <w:tr w:rsidR="00A53ADF" w:rsidRPr="00F36492" w14:paraId="5294616D" w14:textId="77777777" w:rsidTr="00A53ADF">
        <w:trPr>
          <w:gridAfter w:val="1"/>
          <w:wAfter w:w="10" w:type="dxa"/>
          <w:trHeight w:val="841"/>
        </w:trPr>
        <w:tc>
          <w:tcPr>
            <w:tcW w:w="2156" w:type="dxa"/>
            <w:gridSpan w:val="2"/>
            <w:shd w:val="clear" w:color="auto" w:fill="FFFFFF"/>
          </w:tcPr>
          <w:p w14:paraId="52946165" w14:textId="77777777" w:rsidR="00A53ADF" w:rsidRPr="00F36492" w:rsidRDefault="00A53ADF" w:rsidP="00F36492">
            <w:pPr>
              <w:spacing w:line="240" w:lineRule="auto"/>
              <w:rPr>
                <w:rFonts w:ascii="Times New Roman" w:hAnsi="Times New Roman"/>
              </w:rPr>
            </w:pPr>
            <w:r w:rsidRPr="00F36492">
              <w:rPr>
                <w:rFonts w:ascii="Times New Roman" w:hAnsi="Times New Roman"/>
              </w:rPr>
              <w:t>Dodatkowe informacje, w tym wskazanie źródeł danych i przyjętych do obliczeń założeń</w:t>
            </w:r>
          </w:p>
        </w:tc>
        <w:tc>
          <w:tcPr>
            <w:tcW w:w="8914" w:type="dxa"/>
            <w:gridSpan w:val="22"/>
            <w:shd w:val="clear" w:color="auto" w:fill="FFFFFF"/>
          </w:tcPr>
          <w:p w14:paraId="44F07A21" w14:textId="20DB6884" w:rsidR="00A53ADF" w:rsidRPr="00F36492" w:rsidRDefault="00A53ADF" w:rsidP="00F36492">
            <w:pPr>
              <w:jc w:val="both"/>
              <w:rPr>
                <w:rFonts w:ascii="Times New Roman" w:hAnsi="Times New Roman"/>
              </w:rPr>
            </w:pPr>
            <w:r w:rsidRPr="00F36492">
              <w:rPr>
                <w:rFonts w:ascii="Times New Roman" w:hAnsi="Times New Roman"/>
              </w:rPr>
              <w:t>Z uwagi na fakt, że proponowane rozwiązania są fakultatywne i trudno pozyskać dane do ich szczegółowego wyliczenia</w:t>
            </w:r>
            <w:r w:rsidR="006F1818" w:rsidRPr="00F36492">
              <w:rPr>
                <w:rFonts w:ascii="Times New Roman" w:hAnsi="Times New Roman"/>
              </w:rPr>
              <w:t>,</w:t>
            </w:r>
            <w:r w:rsidR="009A1AE1" w:rsidRPr="00F36492">
              <w:rPr>
                <w:rFonts w:ascii="Times New Roman" w:hAnsi="Times New Roman"/>
              </w:rPr>
              <w:t xml:space="preserve"> </w:t>
            </w:r>
            <w:r w:rsidRPr="00F36492">
              <w:rPr>
                <w:rFonts w:ascii="Times New Roman" w:hAnsi="Times New Roman"/>
              </w:rPr>
              <w:t xml:space="preserve">do oszacowania skutków budżetowych z tytułu podatku od towarów i usług wykorzystano wyliczenia Komisji Europejskiej przedstawione w </w:t>
            </w:r>
            <w:r w:rsidRPr="00F36492">
              <w:rPr>
                <w:rFonts w:ascii="Times New Roman" w:hAnsi="Times New Roman"/>
                <w:i/>
              </w:rPr>
              <w:t>„</w:t>
            </w:r>
            <w:proofErr w:type="spellStart"/>
            <w:r w:rsidRPr="00F36492">
              <w:rPr>
                <w:rFonts w:ascii="Times New Roman" w:hAnsi="Times New Roman"/>
                <w:i/>
              </w:rPr>
              <w:t>Impact</w:t>
            </w:r>
            <w:proofErr w:type="spellEnd"/>
            <w:r w:rsidRPr="00F36492">
              <w:rPr>
                <w:rFonts w:ascii="Times New Roman" w:hAnsi="Times New Roman"/>
                <w:i/>
              </w:rPr>
              <w:t xml:space="preserve"> </w:t>
            </w:r>
            <w:proofErr w:type="spellStart"/>
            <w:r w:rsidRPr="00F36492">
              <w:rPr>
                <w:rFonts w:ascii="Times New Roman" w:hAnsi="Times New Roman"/>
                <w:i/>
              </w:rPr>
              <w:t>Assessment</w:t>
            </w:r>
            <w:proofErr w:type="spellEnd"/>
            <w:r w:rsidRPr="00F36492">
              <w:rPr>
                <w:rFonts w:ascii="Times New Roman" w:hAnsi="Times New Roman"/>
                <w:i/>
              </w:rPr>
              <w:t xml:space="preserve"> </w:t>
            </w:r>
            <w:proofErr w:type="spellStart"/>
            <w:r w:rsidRPr="00F36492">
              <w:rPr>
                <w:rFonts w:ascii="Times New Roman" w:hAnsi="Times New Roman"/>
                <w:i/>
              </w:rPr>
              <w:t>Accompanying</w:t>
            </w:r>
            <w:proofErr w:type="spellEnd"/>
            <w:r w:rsidRPr="00F36492">
              <w:rPr>
                <w:rFonts w:ascii="Times New Roman" w:hAnsi="Times New Roman"/>
                <w:i/>
              </w:rPr>
              <w:t xml:space="preserve"> the </w:t>
            </w:r>
            <w:proofErr w:type="spellStart"/>
            <w:r w:rsidRPr="00F36492">
              <w:rPr>
                <w:rFonts w:ascii="Times New Roman" w:hAnsi="Times New Roman"/>
                <w:i/>
              </w:rPr>
              <w:t>document</w:t>
            </w:r>
            <w:proofErr w:type="spellEnd"/>
            <w:r w:rsidRPr="00F36492">
              <w:rPr>
                <w:rFonts w:ascii="Times New Roman" w:hAnsi="Times New Roman"/>
                <w:i/>
              </w:rPr>
              <w:t xml:space="preserve"> </w:t>
            </w:r>
            <w:proofErr w:type="spellStart"/>
            <w:r w:rsidRPr="00F36492">
              <w:rPr>
                <w:rFonts w:ascii="Times New Roman" w:hAnsi="Times New Roman"/>
                <w:i/>
              </w:rPr>
              <w:t>Proposals</w:t>
            </w:r>
            <w:proofErr w:type="spellEnd"/>
            <w:r w:rsidRPr="00F36492">
              <w:rPr>
                <w:rFonts w:ascii="Times New Roman" w:hAnsi="Times New Roman"/>
                <w:i/>
              </w:rPr>
              <w:t xml:space="preserve"> for a </w:t>
            </w:r>
            <w:proofErr w:type="spellStart"/>
            <w:r w:rsidRPr="00F36492">
              <w:rPr>
                <w:rFonts w:ascii="Times New Roman" w:hAnsi="Times New Roman"/>
                <w:i/>
              </w:rPr>
              <w:t>Council</w:t>
            </w:r>
            <w:proofErr w:type="spellEnd"/>
            <w:r w:rsidRPr="00F36492">
              <w:rPr>
                <w:rFonts w:ascii="Times New Roman" w:hAnsi="Times New Roman"/>
                <w:i/>
              </w:rPr>
              <w:t xml:space="preserve"> Directive, a </w:t>
            </w:r>
            <w:proofErr w:type="spellStart"/>
            <w:r w:rsidRPr="00F36492">
              <w:rPr>
                <w:rFonts w:ascii="Times New Roman" w:hAnsi="Times New Roman"/>
                <w:i/>
              </w:rPr>
              <w:t>Council</w:t>
            </w:r>
            <w:proofErr w:type="spellEnd"/>
            <w:r w:rsidRPr="00F36492">
              <w:rPr>
                <w:rFonts w:ascii="Times New Roman" w:hAnsi="Times New Roman"/>
                <w:i/>
              </w:rPr>
              <w:t xml:space="preserve"> </w:t>
            </w:r>
            <w:proofErr w:type="spellStart"/>
            <w:r w:rsidRPr="00F36492">
              <w:rPr>
                <w:rFonts w:ascii="Times New Roman" w:hAnsi="Times New Roman"/>
                <w:i/>
              </w:rPr>
              <w:t>Implementing</w:t>
            </w:r>
            <w:proofErr w:type="spellEnd"/>
            <w:r w:rsidRPr="00F36492">
              <w:rPr>
                <w:rFonts w:ascii="Times New Roman" w:hAnsi="Times New Roman"/>
                <w:i/>
              </w:rPr>
              <w:t xml:space="preserve"> </w:t>
            </w:r>
            <w:proofErr w:type="spellStart"/>
            <w:r w:rsidRPr="00F36492">
              <w:rPr>
                <w:rFonts w:ascii="Times New Roman" w:hAnsi="Times New Roman"/>
                <w:i/>
              </w:rPr>
              <w:t>Regulation</w:t>
            </w:r>
            <w:proofErr w:type="spellEnd"/>
            <w:r w:rsidRPr="00F36492">
              <w:rPr>
                <w:rFonts w:ascii="Times New Roman" w:hAnsi="Times New Roman"/>
                <w:i/>
              </w:rPr>
              <w:t xml:space="preserve"> and a </w:t>
            </w:r>
            <w:proofErr w:type="spellStart"/>
            <w:r w:rsidRPr="00F36492">
              <w:rPr>
                <w:rFonts w:ascii="Times New Roman" w:hAnsi="Times New Roman"/>
                <w:i/>
              </w:rPr>
              <w:t>Council</w:t>
            </w:r>
            <w:proofErr w:type="spellEnd"/>
            <w:r w:rsidRPr="00F36492">
              <w:rPr>
                <w:rFonts w:ascii="Times New Roman" w:hAnsi="Times New Roman"/>
                <w:i/>
              </w:rPr>
              <w:t xml:space="preserve"> </w:t>
            </w:r>
            <w:proofErr w:type="spellStart"/>
            <w:r w:rsidRPr="00F36492">
              <w:rPr>
                <w:rFonts w:ascii="Times New Roman" w:hAnsi="Times New Roman"/>
                <w:i/>
              </w:rPr>
              <w:t>Regulation</w:t>
            </w:r>
            <w:proofErr w:type="spellEnd"/>
            <w:r w:rsidRPr="00F36492">
              <w:rPr>
                <w:rFonts w:ascii="Times New Roman" w:hAnsi="Times New Roman"/>
                <w:i/>
              </w:rPr>
              <w:t xml:space="preserve"> on </w:t>
            </w:r>
            <w:proofErr w:type="spellStart"/>
            <w:r w:rsidRPr="00F36492">
              <w:rPr>
                <w:rFonts w:ascii="Times New Roman" w:hAnsi="Times New Roman"/>
                <w:i/>
              </w:rPr>
              <w:t>Modernising</w:t>
            </w:r>
            <w:proofErr w:type="spellEnd"/>
            <w:r w:rsidRPr="00F36492">
              <w:rPr>
                <w:rFonts w:ascii="Times New Roman" w:hAnsi="Times New Roman"/>
                <w:i/>
              </w:rPr>
              <w:t xml:space="preserve"> VAT for cross-</w:t>
            </w:r>
            <w:proofErr w:type="spellStart"/>
            <w:r w:rsidRPr="00F36492">
              <w:rPr>
                <w:rFonts w:ascii="Times New Roman" w:hAnsi="Times New Roman"/>
                <w:i/>
              </w:rPr>
              <w:t>border</w:t>
            </w:r>
            <w:proofErr w:type="spellEnd"/>
            <w:r w:rsidRPr="00F36492">
              <w:rPr>
                <w:rFonts w:ascii="Times New Roman" w:hAnsi="Times New Roman"/>
                <w:i/>
              </w:rPr>
              <w:t xml:space="preserve"> B2C e-Commerce”</w:t>
            </w:r>
            <w:r w:rsidRPr="00F36492">
              <w:rPr>
                <w:rFonts w:ascii="Times New Roman" w:hAnsi="Times New Roman"/>
              </w:rPr>
              <w:t xml:space="preserve"> (Bruksela 1.12.2016). Komisja Europejska przedstawiła</w:t>
            </w:r>
            <w:r w:rsidR="006F1818" w:rsidRPr="00F36492">
              <w:rPr>
                <w:rFonts w:ascii="Times New Roman" w:hAnsi="Times New Roman"/>
              </w:rPr>
              <w:t>,</w:t>
            </w:r>
            <w:r w:rsidRPr="00F36492">
              <w:rPr>
                <w:rFonts w:ascii="Times New Roman" w:hAnsi="Times New Roman"/>
              </w:rPr>
              <w:t xml:space="preserve"> że wdrożenie pakietu e-Commerce (m.in. zwiększeni</w:t>
            </w:r>
            <w:r w:rsidR="007D0B51" w:rsidRPr="00F36492">
              <w:rPr>
                <w:rFonts w:ascii="Times New Roman" w:hAnsi="Times New Roman"/>
              </w:rPr>
              <w:t>e</w:t>
            </w:r>
            <w:r w:rsidRPr="00F36492">
              <w:rPr>
                <w:rFonts w:ascii="Times New Roman" w:hAnsi="Times New Roman"/>
              </w:rPr>
              <w:t xml:space="preserve"> przestrzegania przepisów oraz zniesieni</w:t>
            </w:r>
            <w:r w:rsidR="007D0B51" w:rsidRPr="00F36492">
              <w:rPr>
                <w:rFonts w:ascii="Times New Roman" w:hAnsi="Times New Roman"/>
              </w:rPr>
              <w:t xml:space="preserve">e </w:t>
            </w:r>
            <w:r w:rsidRPr="00F36492">
              <w:rPr>
                <w:rFonts w:ascii="Times New Roman" w:hAnsi="Times New Roman"/>
              </w:rPr>
              <w:t xml:space="preserve">zwolnienia z VAT przywozu małych przesyłek) może pozwolić na zwiększenie rocznej kwoty dochodów z VAT w państwach członkowskich o 7 mld EUR rocznie. </w:t>
            </w:r>
          </w:p>
          <w:p w14:paraId="02D18629" w14:textId="77777777" w:rsidR="007042E7" w:rsidRPr="007042E7" w:rsidRDefault="007042E7" w:rsidP="007042E7">
            <w:pPr>
              <w:spacing w:line="240" w:lineRule="auto"/>
              <w:jc w:val="both"/>
              <w:rPr>
                <w:rFonts w:ascii="Times New Roman" w:hAnsi="Times New Roman"/>
              </w:rPr>
            </w:pPr>
            <w:r w:rsidRPr="007042E7">
              <w:rPr>
                <w:rFonts w:ascii="Times New Roman" w:hAnsi="Times New Roman"/>
              </w:rPr>
              <w:t>Dla wyliczenia skutków dla Polski zastosowano następujące założenia i metodologię:</w:t>
            </w:r>
          </w:p>
          <w:p w14:paraId="3B148745" w14:textId="77777777" w:rsidR="007042E7" w:rsidRPr="007042E7" w:rsidRDefault="007042E7" w:rsidP="007042E7">
            <w:pPr>
              <w:spacing w:line="240" w:lineRule="auto"/>
              <w:jc w:val="both"/>
              <w:rPr>
                <w:rFonts w:ascii="Times New Roman" w:hAnsi="Times New Roman"/>
              </w:rPr>
            </w:pPr>
            <w:r w:rsidRPr="007042E7">
              <w:rPr>
                <w:rFonts w:ascii="Times New Roman" w:hAnsi="Times New Roman"/>
              </w:rPr>
              <w:t xml:space="preserve">1/ kwotę 7 mld EUR podzielono na poszczególne państwa członkowskie - udziałem poszczególnych państw członkowskich w  kwocie dochodów z VAT (1 135,4 mld EUR)  28 państw członkowskich za rok 2018. Udział ten dla Polski wyniósł: 3,56%. </w:t>
            </w:r>
          </w:p>
          <w:p w14:paraId="1D963AA3" w14:textId="77777777" w:rsidR="007042E7" w:rsidRPr="007042E7" w:rsidRDefault="007042E7" w:rsidP="007042E7">
            <w:pPr>
              <w:spacing w:line="240" w:lineRule="auto"/>
              <w:jc w:val="both"/>
              <w:rPr>
                <w:rFonts w:ascii="Times New Roman" w:hAnsi="Times New Roman"/>
              </w:rPr>
            </w:pPr>
            <w:r w:rsidRPr="007042E7">
              <w:rPr>
                <w:rFonts w:ascii="Times New Roman" w:hAnsi="Times New Roman"/>
              </w:rPr>
              <w:t>Skutek finansowy dla Polski przy zastosowaniu ww. udziału oraz kursu Euro w wysokości 4,4240 PLN został oszacowany na ok. 1 102 mln zł (=7 000 mln EUR x 3,56% x 4,4240).</w:t>
            </w:r>
          </w:p>
          <w:p w14:paraId="63DC3ABE" w14:textId="77777777" w:rsidR="007042E7" w:rsidRPr="00F36492" w:rsidRDefault="007042E7" w:rsidP="00F36492">
            <w:pPr>
              <w:jc w:val="both"/>
              <w:rPr>
                <w:rFonts w:ascii="Times New Roman" w:hAnsi="Times New Roman"/>
              </w:rPr>
            </w:pPr>
          </w:p>
          <w:p w14:paraId="78629576" w14:textId="77777777" w:rsidR="007042E7" w:rsidRDefault="007042E7" w:rsidP="00F36492">
            <w:pPr>
              <w:spacing w:line="240" w:lineRule="auto"/>
              <w:rPr>
                <w:rFonts w:ascii="Times New Roman" w:hAnsi="Times New Roman"/>
                <w:color w:val="0000FF"/>
                <w:u w:val="single"/>
              </w:rPr>
            </w:pPr>
          </w:p>
          <w:p w14:paraId="0D262AC5" w14:textId="77777777" w:rsidR="007042E7" w:rsidRPr="007042E7" w:rsidRDefault="007042E7" w:rsidP="007042E7">
            <w:pPr>
              <w:spacing w:line="240" w:lineRule="auto"/>
              <w:jc w:val="both"/>
              <w:rPr>
                <w:rFonts w:ascii="Times New Roman" w:hAnsi="Times New Roman"/>
              </w:rPr>
            </w:pPr>
            <w:r w:rsidRPr="007042E7">
              <w:rPr>
                <w:rFonts w:ascii="Times New Roman" w:hAnsi="Times New Roman"/>
              </w:rPr>
              <w:t>Dodatkowo, uwzględniając uregulowania art. 138i ustawy o podatku od towarów i usług, w tym możliwość stosowania podstawowej stawki VAT (23%) na wszystkie towary zgłoszone na podstawie szczególnych przepisów (np. pobór podatku przez Pocztę Polską) doszacowano 55 mln zł. (tj. 1 102 mln zł * 5%)</w:t>
            </w:r>
          </w:p>
          <w:p w14:paraId="0C438250" w14:textId="77777777" w:rsidR="007042E7" w:rsidRPr="007042E7" w:rsidRDefault="007042E7" w:rsidP="007042E7">
            <w:pPr>
              <w:spacing w:line="240" w:lineRule="auto"/>
              <w:jc w:val="both"/>
              <w:rPr>
                <w:rFonts w:ascii="Times New Roman" w:hAnsi="Times New Roman"/>
              </w:rPr>
            </w:pPr>
            <w:r w:rsidRPr="007042E7">
              <w:rPr>
                <w:rFonts w:ascii="Times New Roman" w:hAnsi="Times New Roman"/>
              </w:rPr>
              <w:t>Stąd łączny skutek budżetowy wynosi około 1 157 mln zł rocznie.</w:t>
            </w:r>
          </w:p>
          <w:p w14:paraId="14EAFA20" w14:textId="77777777" w:rsidR="007042E7" w:rsidRPr="007042E7" w:rsidRDefault="007042E7" w:rsidP="007042E7">
            <w:pPr>
              <w:spacing w:line="240" w:lineRule="auto"/>
              <w:jc w:val="both"/>
              <w:rPr>
                <w:rFonts w:ascii="Times New Roman" w:hAnsi="Times New Roman"/>
                <w:i/>
              </w:rPr>
            </w:pPr>
          </w:p>
          <w:p w14:paraId="216A4C1D" w14:textId="77777777" w:rsidR="007042E7" w:rsidRDefault="007042E7" w:rsidP="007042E7">
            <w:pPr>
              <w:spacing w:line="240" w:lineRule="auto"/>
              <w:jc w:val="both"/>
              <w:rPr>
                <w:rFonts w:ascii="Times New Roman" w:hAnsi="Times New Roman"/>
              </w:rPr>
            </w:pPr>
            <w:r w:rsidRPr="007042E7">
              <w:rPr>
                <w:rFonts w:ascii="Times New Roman" w:hAnsi="Times New Roman"/>
                <w:i/>
              </w:rPr>
              <w:t>*1 euro = 4,4240 PLN,</w:t>
            </w:r>
            <w:r w:rsidRPr="007042E7">
              <w:rPr>
                <w:rFonts w:ascii="Times New Roman" w:hAnsi="Times New Roman"/>
              </w:rPr>
              <w:t xml:space="preserve"> </w:t>
            </w:r>
          </w:p>
          <w:p w14:paraId="158A66E8" w14:textId="05F6CB4E" w:rsidR="007042E7" w:rsidRPr="007042E7" w:rsidRDefault="007042E7" w:rsidP="007042E7">
            <w:pPr>
              <w:spacing w:line="240" w:lineRule="auto"/>
              <w:jc w:val="both"/>
              <w:rPr>
                <w:rFonts w:ascii="Times New Roman" w:hAnsi="Times New Roman"/>
                <w:u w:val="single"/>
              </w:rPr>
            </w:pPr>
            <w:r w:rsidRPr="007042E7">
              <w:rPr>
                <w:rFonts w:ascii="Times New Roman" w:hAnsi="Times New Roman"/>
                <w:i/>
              </w:rPr>
              <w:t xml:space="preserve">źródło: </w:t>
            </w:r>
            <w:hyperlink r:id="rId12" w:history="1">
              <w:r w:rsidRPr="007042E7">
                <w:rPr>
                  <w:rStyle w:val="Hipercze"/>
                  <w:rFonts w:ascii="Times New Roman" w:hAnsi="Times New Roman"/>
                </w:rPr>
                <w:t>https://www.nbp.pl/home.aspx?navid=archa&amp;c=/ascx/tabarch.ascx&amp;n=a252z161230</w:t>
              </w:r>
            </w:hyperlink>
          </w:p>
          <w:p w14:paraId="799A9E7B" w14:textId="77777777" w:rsidR="007042E7" w:rsidRPr="007042E7" w:rsidRDefault="007042E7" w:rsidP="007042E7">
            <w:pPr>
              <w:spacing w:line="240" w:lineRule="auto"/>
              <w:jc w:val="both"/>
              <w:rPr>
                <w:rFonts w:ascii="Times New Roman" w:hAnsi="Times New Roman"/>
              </w:rPr>
            </w:pPr>
          </w:p>
          <w:p w14:paraId="3BBECA79" w14:textId="77777777" w:rsidR="007042E7" w:rsidRDefault="007042E7" w:rsidP="007042E7">
            <w:pPr>
              <w:spacing w:line="240" w:lineRule="auto"/>
              <w:jc w:val="both"/>
              <w:rPr>
                <w:rFonts w:ascii="Times New Roman" w:hAnsi="Times New Roman"/>
              </w:rPr>
            </w:pPr>
            <w:r w:rsidRPr="007042E7">
              <w:rPr>
                <w:rFonts w:ascii="Times New Roman" w:hAnsi="Times New Roman"/>
                <w:i/>
              </w:rPr>
              <w:t>Źródło danych; Eurostat, aktualizacja 30.06.2020</w:t>
            </w:r>
          </w:p>
          <w:p w14:paraId="19B1B990" w14:textId="6FE89F72" w:rsidR="007042E7" w:rsidRDefault="007042E7" w:rsidP="008E2B61">
            <w:pPr>
              <w:spacing w:line="240" w:lineRule="auto"/>
              <w:jc w:val="both"/>
              <w:rPr>
                <w:rFonts w:ascii="Times New Roman" w:hAnsi="Times New Roman"/>
              </w:rPr>
            </w:pPr>
          </w:p>
          <w:p w14:paraId="476D4300" w14:textId="2798DDBE" w:rsidR="008E2B61" w:rsidRPr="00026060" w:rsidRDefault="008E2B61" w:rsidP="008E2B61">
            <w:pPr>
              <w:spacing w:line="240" w:lineRule="auto"/>
              <w:jc w:val="both"/>
              <w:rPr>
                <w:rFonts w:ascii="Times New Roman" w:hAnsi="Times New Roman"/>
              </w:rPr>
            </w:pPr>
            <w:r w:rsidRPr="00026060">
              <w:rPr>
                <w:rFonts w:ascii="Times New Roman" w:hAnsi="Times New Roman"/>
              </w:rPr>
              <w:t xml:space="preserve">Koszty obsługi tych nowych zadań przez </w:t>
            </w:r>
            <w:r w:rsidR="00706497">
              <w:rPr>
                <w:rFonts w:ascii="Times New Roman" w:hAnsi="Times New Roman"/>
              </w:rPr>
              <w:t xml:space="preserve">KAS </w:t>
            </w:r>
            <w:r w:rsidRPr="00026060">
              <w:rPr>
                <w:rFonts w:ascii="Times New Roman" w:hAnsi="Times New Roman"/>
              </w:rPr>
              <w:t>zostaną uwzględnione w ramach rekonstrukcji wydatków na administrację i nie będą powodowały wzrostu wydatków.</w:t>
            </w:r>
          </w:p>
          <w:p w14:paraId="5294616C" w14:textId="6E5AD836" w:rsidR="00ED6E7C" w:rsidRPr="00F36492" w:rsidRDefault="00ED6E7C" w:rsidP="00177FC8">
            <w:pPr>
              <w:jc w:val="both"/>
              <w:rPr>
                <w:rFonts w:ascii="Times New Roman" w:hAnsi="Times New Roman"/>
                <w:i/>
              </w:rPr>
            </w:pPr>
          </w:p>
        </w:tc>
      </w:tr>
      <w:tr w:rsidR="00A53ADF" w:rsidRPr="00F36492" w14:paraId="5294616F" w14:textId="77777777" w:rsidTr="1D9DC3A4">
        <w:trPr>
          <w:gridAfter w:val="1"/>
          <w:wAfter w:w="10" w:type="dxa"/>
          <w:trHeight w:val="345"/>
        </w:trPr>
        <w:tc>
          <w:tcPr>
            <w:tcW w:w="11070" w:type="dxa"/>
            <w:gridSpan w:val="24"/>
            <w:shd w:val="clear" w:color="auto" w:fill="99CCFF"/>
          </w:tcPr>
          <w:p w14:paraId="5294616E" w14:textId="7B86A4EF" w:rsidR="00A53ADF" w:rsidRPr="00F36492" w:rsidRDefault="00A53ADF" w:rsidP="00F36492">
            <w:pPr>
              <w:numPr>
                <w:ilvl w:val="0"/>
                <w:numId w:val="12"/>
              </w:numPr>
              <w:spacing w:before="120" w:after="120" w:line="240" w:lineRule="auto"/>
              <w:jc w:val="both"/>
              <w:rPr>
                <w:rFonts w:ascii="Times New Roman" w:hAnsi="Times New Roman"/>
                <w:b/>
                <w:spacing w:val="-2"/>
              </w:rPr>
            </w:pPr>
            <w:r w:rsidRPr="00F36492">
              <w:rPr>
                <w:rFonts w:ascii="Times New Roman" w:hAnsi="Times New Roman"/>
                <w:b/>
                <w:spacing w:val="-2"/>
              </w:rPr>
              <w:t xml:space="preserve">Wpływ na </w:t>
            </w:r>
            <w:r w:rsidRPr="00F36492">
              <w:rPr>
                <w:rFonts w:ascii="Times New Roman" w:hAnsi="Times New Roman"/>
                <w:b/>
              </w:rPr>
              <w:t xml:space="preserve">konkurencyjność gospodarki i przedsiębiorczość, w tym funkcjonowanie przedsiębiorców oraz na rodzinę, obywateli i gospodarstwa domowe </w:t>
            </w:r>
          </w:p>
        </w:tc>
      </w:tr>
      <w:tr w:rsidR="00A53ADF" w:rsidRPr="00F36492" w14:paraId="52946171" w14:textId="77777777" w:rsidTr="1D9DC3A4">
        <w:trPr>
          <w:gridAfter w:val="1"/>
          <w:wAfter w:w="10" w:type="dxa"/>
          <w:trHeight w:val="142"/>
        </w:trPr>
        <w:tc>
          <w:tcPr>
            <w:tcW w:w="11070" w:type="dxa"/>
            <w:gridSpan w:val="24"/>
            <w:shd w:val="clear" w:color="auto" w:fill="FFFFFF"/>
          </w:tcPr>
          <w:p w14:paraId="52946170" w14:textId="77777777" w:rsidR="00A53ADF" w:rsidRPr="00F36492" w:rsidRDefault="00A53ADF" w:rsidP="00F36492">
            <w:pPr>
              <w:spacing w:line="240" w:lineRule="auto"/>
              <w:jc w:val="center"/>
              <w:rPr>
                <w:rFonts w:ascii="Times New Roman" w:hAnsi="Times New Roman"/>
                <w:spacing w:val="-2"/>
              </w:rPr>
            </w:pPr>
            <w:r w:rsidRPr="00F36492">
              <w:rPr>
                <w:rFonts w:ascii="Times New Roman" w:hAnsi="Times New Roman"/>
                <w:spacing w:val="-2"/>
              </w:rPr>
              <w:t>Skutki</w:t>
            </w:r>
          </w:p>
        </w:tc>
      </w:tr>
      <w:tr w:rsidR="00A53ADF" w:rsidRPr="00F36492" w14:paraId="5294617A" w14:textId="77777777" w:rsidTr="00CB6341">
        <w:trPr>
          <w:gridAfter w:val="1"/>
          <w:wAfter w:w="10" w:type="dxa"/>
          <w:trHeight w:val="142"/>
        </w:trPr>
        <w:tc>
          <w:tcPr>
            <w:tcW w:w="3523" w:type="dxa"/>
            <w:gridSpan w:val="6"/>
            <w:shd w:val="clear" w:color="auto" w:fill="FFFFFF"/>
          </w:tcPr>
          <w:p w14:paraId="52946172" w14:textId="77777777" w:rsidR="00A53ADF" w:rsidRPr="00F36492" w:rsidRDefault="00A53ADF" w:rsidP="00F36492">
            <w:pPr>
              <w:spacing w:line="240" w:lineRule="auto"/>
              <w:rPr>
                <w:rFonts w:ascii="Times New Roman" w:hAnsi="Times New Roman"/>
              </w:rPr>
            </w:pPr>
            <w:r w:rsidRPr="00F36492">
              <w:rPr>
                <w:rFonts w:ascii="Times New Roman" w:hAnsi="Times New Roman"/>
              </w:rPr>
              <w:t>Czas w latach od wejścia w życie zmian</w:t>
            </w:r>
          </w:p>
        </w:tc>
        <w:tc>
          <w:tcPr>
            <w:tcW w:w="901" w:type="dxa"/>
            <w:gridSpan w:val="2"/>
            <w:shd w:val="clear" w:color="auto" w:fill="FFFFFF"/>
          </w:tcPr>
          <w:p w14:paraId="52946173" w14:textId="77777777" w:rsidR="00A53ADF" w:rsidRPr="00F36492" w:rsidRDefault="00A53ADF" w:rsidP="00F36492">
            <w:pPr>
              <w:spacing w:line="240" w:lineRule="auto"/>
              <w:jc w:val="center"/>
              <w:rPr>
                <w:rFonts w:ascii="Times New Roman" w:hAnsi="Times New Roman"/>
              </w:rPr>
            </w:pPr>
            <w:r w:rsidRPr="00F36492">
              <w:rPr>
                <w:rFonts w:ascii="Times New Roman" w:hAnsi="Times New Roman"/>
              </w:rPr>
              <w:t>0</w:t>
            </w:r>
          </w:p>
        </w:tc>
        <w:tc>
          <w:tcPr>
            <w:tcW w:w="1043" w:type="dxa"/>
            <w:gridSpan w:val="3"/>
            <w:shd w:val="clear" w:color="auto" w:fill="FFFFFF"/>
          </w:tcPr>
          <w:p w14:paraId="52946174" w14:textId="3907C24C" w:rsidR="00A53ADF" w:rsidRPr="00F36492" w:rsidRDefault="00401846" w:rsidP="00F36492">
            <w:pPr>
              <w:spacing w:line="240" w:lineRule="auto"/>
              <w:jc w:val="center"/>
              <w:rPr>
                <w:rFonts w:ascii="Times New Roman" w:hAnsi="Times New Roman"/>
              </w:rPr>
            </w:pPr>
            <w:r>
              <w:rPr>
                <w:rFonts w:ascii="Times New Roman" w:hAnsi="Times New Roman"/>
              </w:rPr>
              <w:t>202</w:t>
            </w:r>
            <w:r w:rsidR="00A53ADF" w:rsidRPr="00F36492">
              <w:rPr>
                <w:rFonts w:ascii="Times New Roman" w:hAnsi="Times New Roman"/>
              </w:rPr>
              <w:t>1</w:t>
            </w:r>
          </w:p>
        </w:tc>
        <w:tc>
          <w:tcPr>
            <w:tcW w:w="1083" w:type="dxa"/>
            <w:gridSpan w:val="3"/>
            <w:shd w:val="clear" w:color="auto" w:fill="FFFFFF"/>
          </w:tcPr>
          <w:p w14:paraId="52946175" w14:textId="26BD0E6A" w:rsidR="00A53ADF" w:rsidRPr="00F36492" w:rsidRDefault="00401846" w:rsidP="00F36492">
            <w:pPr>
              <w:spacing w:line="240" w:lineRule="auto"/>
              <w:jc w:val="center"/>
              <w:rPr>
                <w:rFonts w:ascii="Times New Roman" w:hAnsi="Times New Roman"/>
              </w:rPr>
            </w:pPr>
            <w:r>
              <w:rPr>
                <w:rFonts w:ascii="Times New Roman" w:hAnsi="Times New Roman"/>
              </w:rPr>
              <w:t>202</w:t>
            </w:r>
            <w:r w:rsidR="00A53ADF" w:rsidRPr="00F36492">
              <w:rPr>
                <w:rFonts w:ascii="Times New Roman" w:hAnsi="Times New Roman"/>
              </w:rPr>
              <w:t>2</w:t>
            </w:r>
          </w:p>
        </w:tc>
        <w:tc>
          <w:tcPr>
            <w:tcW w:w="922" w:type="dxa"/>
            <w:gridSpan w:val="3"/>
            <w:shd w:val="clear" w:color="auto" w:fill="FFFFFF"/>
          </w:tcPr>
          <w:p w14:paraId="52946176" w14:textId="35E84085" w:rsidR="00A53ADF" w:rsidRPr="00F36492" w:rsidRDefault="00401846" w:rsidP="00F36492">
            <w:pPr>
              <w:spacing w:line="240" w:lineRule="auto"/>
              <w:jc w:val="center"/>
              <w:rPr>
                <w:rFonts w:ascii="Times New Roman" w:hAnsi="Times New Roman"/>
              </w:rPr>
            </w:pPr>
            <w:r>
              <w:rPr>
                <w:rFonts w:ascii="Times New Roman" w:hAnsi="Times New Roman"/>
              </w:rPr>
              <w:t>202</w:t>
            </w:r>
            <w:r w:rsidR="00A53ADF" w:rsidRPr="00F36492">
              <w:rPr>
                <w:rFonts w:ascii="Times New Roman" w:hAnsi="Times New Roman"/>
              </w:rPr>
              <w:t>3</w:t>
            </w:r>
          </w:p>
        </w:tc>
        <w:tc>
          <w:tcPr>
            <w:tcW w:w="1195" w:type="dxa"/>
            <w:gridSpan w:val="3"/>
            <w:shd w:val="clear" w:color="auto" w:fill="FFFFFF"/>
          </w:tcPr>
          <w:p w14:paraId="52946177" w14:textId="0C523966" w:rsidR="00A53ADF" w:rsidRPr="00F36492" w:rsidRDefault="00401846" w:rsidP="00F36492">
            <w:pPr>
              <w:spacing w:line="240" w:lineRule="auto"/>
              <w:jc w:val="center"/>
              <w:rPr>
                <w:rFonts w:ascii="Times New Roman" w:hAnsi="Times New Roman"/>
              </w:rPr>
            </w:pPr>
            <w:r>
              <w:rPr>
                <w:rFonts w:ascii="Times New Roman" w:hAnsi="Times New Roman"/>
              </w:rPr>
              <w:t>202</w:t>
            </w:r>
            <w:r w:rsidR="00A53ADF" w:rsidRPr="00F36492">
              <w:rPr>
                <w:rFonts w:ascii="Times New Roman" w:hAnsi="Times New Roman"/>
              </w:rPr>
              <w:t>5</w:t>
            </w:r>
          </w:p>
        </w:tc>
        <w:tc>
          <w:tcPr>
            <w:tcW w:w="860" w:type="dxa"/>
            <w:gridSpan w:val="2"/>
            <w:shd w:val="clear" w:color="auto" w:fill="FFFFFF"/>
          </w:tcPr>
          <w:p w14:paraId="52946178" w14:textId="5846738A" w:rsidR="00A53ADF" w:rsidRPr="00F36492" w:rsidRDefault="00401846" w:rsidP="00401846">
            <w:pPr>
              <w:spacing w:line="240" w:lineRule="auto"/>
              <w:jc w:val="center"/>
              <w:rPr>
                <w:rFonts w:ascii="Times New Roman" w:hAnsi="Times New Roman"/>
              </w:rPr>
            </w:pPr>
            <w:r>
              <w:rPr>
                <w:rFonts w:ascii="Times New Roman" w:hAnsi="Times New Roman"/>
              </w:rPr>
              <w:t>2030</w:t>
            </w:r>
          </w:p>
        </w:tc>
        <w:tc>
          <w:tcPr>
            <w:tcW w:w="1543" w:type="dxa"/>
            <w:gridSpan w:val="2"/>
            <w:shd w:val="clear" w:color="auto" w:fill="FFFFFF"/>
          </w:tcPr>
          <w:p w14:paraId="52946179" w14:textId="77777777" w:rsidR="00A53ADF" w:rsidRPr="00F36492" w:rsidRDefault="00A53ADF" w:rsidP="00CB6341">
            <w:pPr>
              <w:spacing w:line="240" w:lineRule="auto"/>
              <w:rPr>
                <w:rFonts w:ascii="Times New Roman" w:hAnsi="Times New Roman"/>
                <w:i/>
                <w:spacing w:val="-2"/>
              </w:rPr>
            </w:pPr>
            <w:r w:rsidRPr="00F36492">
              <w:rPr>
                <w:rFonts w:ascii="Times New Roman" w:hAnsi="Times New Roman"/>
                <w:i/>
                <w:spacing w:val="-2"/>
              </w:rPr>
              <w:t>Łącznie</w:t>
            </w:r>
            <w:r w:rsidRPr="00F36492" w:rsidDel="0073273A">
              <w:rPr>
                <w:rFonts w:ascii="Times New Roman" w:hAnsi="Times New Roman"/>
                <w:i/>
                <w:spacing w:val="-2"/>
              </w:rPr>
              <w:t xml:space="preserve"> </w:t>
            </w:r>
            <w:r w:rsidRPr="00F36492">
              <w:rPr>
                <w:rFonts w:ascii="Times New Roman" w:hAnsi="Times New Roman"/>
                <w:i/>
                <w:spacing w:val="-2"/>
              </w:rPr>
              <w:t>(0-10)</w:t>
            </w:r>
          </w:p>
        </w:tc>
      </w:tr>
      <w:tr w:rsidR="00A53ADF" w:rsidRPr="00F36492" w14:paraId="52946186" w14:textId="77777777" w:rsidTr="00CB6341">
        <w:trPr>
          <w:gridAfter w:val="1"/>
          <w:wAfter w:w="10" w:type="dxa"/>
          <w:trHeight w:val="142"/>
        </w:trPr>
        <w:tc>
          <w:tcPr>
            <w:tcW w:w="1591" w:type="dxa"/>
            <w:vMerge w:val="restart"/>
            <w:shd w:val="clear" w:color="auto" w:fill="FFFFFF"/>
          </w:tcPr>
          <w:p w14:paraId="5294617B" w14:textId="77777777" w:rsidR="00A53ADF" w:rsidRPr="00F36492" w:rsidRDefault="00A53ADF" w:rsidP="00F36492">
            <w:pPr>
              <w:rPr>
                <w:rFonts w:ascii="Times New Roman" w:hAnsi="Times New Roman"/>
              </w:rPr>
            </w:pPr>
            <w:r w:rsidRPr="00F36492">
              <w:rPr>
                <w:rFonts w:ascii="Times New Roman" w:hAnsi="Times New Roman"/>
              </w:rPr>
              <w:t>W ujęciu pieniężnym</w:t>
            </w:r>
          </w:p>
          <w:p w14:paraId="5294617C" w14:textId="77777777" w:rsidR="00A53ADF" w:rsidRPr="00F36492" w:rsidRDefault="00A53ADF" w:rsidP="00F36492">
            <w:pPr>
              <w:rPr>
                <w:rFonts w:ascii="Times New Roman" w:hAnsi="Times New Roman"/>
                <w:spacing w:val="-2"/>
              </w:rPr>
            </w:pPr>
            <w:r w:rsidRPr="00F36492">
              <w:rPr>
                <w:rFonts w:ascii="Times New Roman" w:hAnsi="Times New Roman"/>
                <w:spacing w:val="-2"/>
              </w:rPr>
              <w:t xml:space="preserve">(w mln zł, </w:t>
            </w:r>
          </w:p>
          <w:p w14:paraId="5294617D" w14:textId="77777777" w:rsidR="00A53ADF" w:rsidRPr="00F36492" w:rsidRDefault="00A53ADF" w:rsidP="00F36492">
            <w:pPr>
              <w:spacing w:line="240" w:lineRule="auto"/>
              <w:rPr>
                <w:rFonts w:ascii="Times New Roman" w:hAnsi="Times New Roman"/>
              </w:rPr>
            </w:pPr>
            <w:r w:rsidRPr="00F36492">
              <w:rPr>
                <w:rFonts w:ascii="Times New Roman" w:hAnsi="Times New Roman"/>
                <w:spacing w:val="-2"/>
              </w:rPr>
              <w:t>ceny stałe z …… r.)</w:t>
            </w:r>
          </w:p>
        </w:tc>
        <w:tc>
          <w:tcPr>
            <w:tcW w:w="1932" w:type="dxa"/>
            <w:gridSpan w:val="5"/>
            <w:shd w:val="clear" w:color="auto" w:fill="FFFFFF"/>
          </w:tcPr>
          <w:p w14:paraId="5294617E" w14:textId="77777777" w:rsidR="00A53ADF" w:rsidRPr="00F36492" w:rsidRDefault="00A53ADF" w:rsidP="00F36492">
            <w:pPr>
              <w:spacing w:line="240" w:lineRule="auto"/>
              <w:rPr>
                <w:rFonts w:ascii="Times New Roman" w:hAnsi="Times New Roman"/>
              </w:rPr>
            </w:pPr>
            <w:r w:rsidRPr="00F36492">
              <w:rPr>
                <w:rFonts w:ascii="Times New Roman" w:hAnsi="Times New Roman"/>
              </w:rPr>
              <w:t>duże przedsiębiorstwa</w:t>
            </w:r>
          </w:p>
        </w:tc>
        <w:tc>
          <w:tcPr>
            <w:tcW w:w="901" w:type="dxa"/>
            <w:gridSpan w:val="2"/>
            <w:shd w:val="clear" w:color="auto" w:fill="FFFFFF"/>
          </w:tcPr>
          <w:p w14:paraId="5294617F" w14:textId="77777777" w:rsidR="00A53ADF" w:rsidRPr="00F36492" w:rsidRDefault="00A53ADF" w:rsidP="00F36492">
            <w:pPr>
              <w:spacing w:line="240" w:lineRule="auto"/>
              <w:rPr>
                <w:rFonts w:ascii="Times New Roman" w:hAnsi="Times New Roman"/>
              </w:rPr>
            </w:pPr>
          </w:p>
        </w:tc>
        <w:tc>
          <w:tcPr>
            <w:tcW w:w="1043" w:type="dxa"/>
            <w:gridSpan w:val="3"/>
            <w:shd w:val="clear" w:color="auto" w:fill="FFFFFF"/>
          </w:tcPr>
          <w:p w14:paraId="52946180" w14:textId="77777777" w:rsidR="00A53ADF" w:rsidRPr="00F36492" w:rsidRDefault="00A53ADF" w:rsidP="00F36492">
            <w:pPr>
              <w:spacing w:line="240" w:lineRule="auto"/>
              <w:rPr>
                <w:rFonts w:ascii="Times New Roman" w:hAnsi="Times New Roman"/>
              </w:rPr>
            </w:pPr>
          </w:p>
        </w:tc>
        <w:tc>
          <w:tcPr>
            <w:tcW w:w="1083" w:type="dxa"/>
            <w:gridSpan w:val="3"/>
            <w:shd w:val="clear" w:color="auto" w:fill="FFFFFF"/>
          </w:tcPr>
          <w:p w14:paraId="52946181" w14:textId="77777777" w:rsidR="00A53ADF" w:rsidRPr="00F36492" w:rsidRDefault="00A53ADF" w:rsidP="00F36492">
            <w:pPr>
              <w:spacing w:line="240" w:lineRule="auto"/>
              <w:rPr>
                <w:rFonts w:ascii="Times New Roman" w:hAnsi="Times New Roman"/>
              </w:rPr>
            </w:pPr>
          </w:p>
        </w:tc>
        <w:tc>
          <w:tcPr>
            <w:tcW w:w="922" w:type="dxa"/>
            <w:gridSpan w:val="3"/>
            <w:shd w:val="clear" w:color="auto" w:fill="FFFFFF"/>
          </w:tcPr>
          <w:p w14:paraId="52946182" w14:textId="77777777" w:rsidR="00A53ADF" w:rsidRPr="00F36492" w:rsidRDefault="00A53ADF" w:rsidP="00F36492">
            <w:pPr>
              <w:spacing w:line="240" w:lineRule="auto"/>
              <w:rPr>
                <w:rFonts w:ascii="Times New Roman" w:hAnsi="Times New Roman"/>
              </w:rPr>
            </w:pPr>
          </w:p>
        </w:tc>
        <w:tc>
          <w:tcPr>
            <w:tcW w:w="1195" w:type="dxa"/>
            <w:gridSpan w:val="3"/>
            <w:shd w:val="clear" w:color="auto" w:fill="FFFFFF"/>
          </w:tcPr>
          <w:p w14:paraId="52946183" w14:textId="77777777" w:rsidR="00A53ADF" w:rsidRPr="00F36492" w:rsidRDefault="00A53ADF" w:rsidP="00F36492">
            <w:pPr>
              <w:spacing w:line="240" w:lineRule="auto"/>
              <w:rPr>
                <w:rFonts w:ascii="Times New Roman" w:hAnsi="Times New Roman"/>
              </w:rPr>
            </w:pPr>
          </w:p>
        </w:tc>
        <w:tc>
          <w:tcPr>
            <w:tcW w:w="860" w:type="dxa"/>
            <w:gridSpan w:val="2"/>
            <w:shd w:val="clear" w:color="auto" w:fill="FFFFFF"/>
          </w:tcPr>
          <w:p w14:paraId="52946184" w14:textId="77777777" w:rsidR="00A53ADF" w:rsidRPr="00F36492" w:rsidRDefault="00A53ADF" w:rsidP="00F36492">
            <w:pPr>
              <w:spacing w:line="240" w:lineRule="auto"/>
              <w:rPr>
                <w:rFonts w:ascii="Times New Roman" w:hAnsi="Times New Roman"/>
              </w:rPr>
            </w:pPr>
          </w:p>
        </w:tc>
        <w:tc>
          <w:tcPr>
            <w:tcW w:w="1543" w:type="dxa"/>
            <w:gridSpan w:val="2"/>
            <w:shd w:val="clear" w:color="auto" w:fill="FFFFFF"/>
          </w:tcPr>
          <w:p w14:paraId="52946185" w14:textId="77777777" w:rsidR="00A53ADF" w:rsidRPr="00F36492" w:rsidRDefault="00A53ADF" w:rsidP="00F36492">
            <w:pPr>
              <w:spacing w:line="240" w:lineRule="auto"/>
              <w:rPr>
                <w:rFonts w:ascii="Times New Roman" w:hAnsi="Times New Roman"/>
                <w:spacing w:val="-2"/>
              </w:rPr>
            </w:pPr>
          </w:p>
        </w:tc>
      </w:tr>
      <w:tr w:rsidR="00A53ADF" w:rsidRPr="00F36492" w14:paraId="52946190" w14:textId="77777777" w:rsidTr="00CB6341">
        <w:trPr>
          <w:gridAfter w:val="1"/>
          <w:wAfter w:w="10" w:type="dxa"/>
          <w:trHeight w:val="142"/>
        </w:trPr>
        <w:tc>
          <w:tcPr>
            <w:tcW w:w="1591" w:type="dxa"/>
            <w:vMerge/>
            <w:shd w:val="clear" w:color="auto" w:fill="FFFFFF"/>
          </w:tcPr>
          <w:p w14:paraId="52946187" w14:textId="77777777" w:rsidR="00A53ADF" w:rsidRPr="00F36492" w:rsidRDefault="00A53ADF" w:rsidP="00F36492">
            <w:pPr>
              <w:spacing w:line="240" w:lineRule="auto"/>
              <w:rPr>
                <w:rFonts w:ascii="Times New Roman" w:hAnsi="Times New Roman"/>
              </w:rPr>
            </w:pPr>
          </w:p>
        </w:tc>
        <w:tc>
          <w:tcPr>
            <w:tcW w:w="1932" w:type="dxa"/>
            <w:gridSpan w:val="5"/>
            <w:shd w:val="clear" w:color="auto" w:fill="FFFFFF"/>
          </w:tcPr>
          <w:p w14:paraId="52946188" w14:textId="77777777" w:rsidR="00A53ADF" w:rsidRPr="00F36492" w:rsidRDefault="00A53ADF" w:rsidP="00F36492">
            <w:pPr>
              <w:spacing w:line="240" w:lineRule="auto"/>
              <w:rPr>
                <w:rFonts w:ascii="Times New Roman" w:hAnsi="Times New Roman"/>
              </w:rPr>
            </w:pPr>
            <w:r w:rsidRPr="00F36492">
              <w:rPr>
                <w:rFonts w:ascii="Times New Roman" w:hAnsi="Times New Roman"/>
              </w:rPr>
              <w:t>sektor mikro-, małych i średnich przedsiębiorstw</w:t>
            </w:r>
          </w:p>
        </w:tc>
        <w:tc>
          <w:tcPr>
            <w:tcW w:w="901" w:type="dxa"/>
            <w:gridSpan w:val="2"/>
            <w:shd w:val="clear" w:color="auto" w:fill="FFFFFF"/>
          </w:tcPr>
          <w:p w14:paraId="52946189" w14:textId="77777777" w:rsidR="00A53ADF" w:rsidRPr="00F36492" w:rsidRDefault="00A53ADF" w:rsidP="00F36492">
            <w:pPr>
              <w:spacing w:line="240" w:lineRule="auto"/>
              <w:rPr>
                <w:rFonts w:ascii="Times New Roman" w:hAnsi="Times New Roman"/>
              </w:rPr>
            </w:pPr>
          </w:p>
        </w:tc>
        <w:tc>
          <w:tcPr>
            <w:tcW w:w="1043" w:type="dxa"/>
            <w:gridSpan w:val="3"/>
            <w:shd w:val="clear" w:color="auto" w:fill="FFFFFF"/>
          </w:tcPr>
          <w:p w14:paraId="5294618A" w14:textId="77777777" w:rsidR="00A53ADF" w:rsidRPr="00F36492" w:rsidRDefault="00A53ADF" w:rsidP="00F36492">
            <w:pPr>
              <w:spacing w:line="240" w:lineRule="auto"/>
              <w:rPr>
                <w:rFonts w:ascii="Times New Roman" w:hAnsi="Times New Roman"/>
              </w:rPr>
            </w:pPr>
          </w:p>
        </w:tc>
        <w:tc>
          <w:tcPr>
            <w:tcW w:w="1083" w:type="dxa"/>
            <w:gridSpan w:val="3"/>
            <w:shd w:val="clear" w:color="auto" w:fill="FFFFFF"/>
          </w:tcPr>
          <w:p w14:paraId="5294618B" w14:textId="77777777" w:rsidR="00A53ADF" w:rsidRPr="00F36492" w:rsidRDefault="00A53ADF" w:rsidP="00F36492">
            <w:pPr>
              <w:spacing w:line="240" w:lineRule="auto"/>
              <w:rPr>
                <w:rFonts w:ascii="Times New Roman" w:hAnsi="Times New Roman"/>
              </w:rPr>
            </w:pPr>
          </w:p>
        </w:tc>
        <w:tc>
          <w:tcPr>
            <w:tcW w:w="922" w:type="dxa"/>
            <w:gridSpan w:val="3"/>
            <w:shd w:val="clear" w:color="auto" w:fill="FFFFFF"/>
          </w:tcPr>
          <w:p w14:paraId="5294618C" w14:textId="77777777" w:rsidR="00A53ADF" w:rsidRPr="00F36492" w:rsidRDefault="00A53ADF" w:rsidP="00F36492">
            <w:pPr>
              <w:spacing w:line="240" w:lineRule="auto"/>
              <w:rPr>
                <w:rFonts w:ascii="Times New Roman" w:hAnsi="Times New Roman"/>
              </w:rPr>
            </w:pPr>
          </w:p>
        </w:tc>
        <w:tc>
          <w:tcPr>
            <w:tcW w:w="1195" w:type="dxa"/>
            <w:gridSpan w:val="3"/>
            <w:shd w:val="clear" w:color="auto" w:fill="FFFFFF"/>
          </w:tcPr>
          <w:p w14:paraId="5294618D" w14:textId="77777777" w:rsidR="00A53ADF" w:rsidRPr="00F36492" w:rsidRDefault="00A53ADF" w:rsidP="00F36492">
            <w:pPr>
              <w:spacing w:line="240" w:lineRule="auto"/>
              <w:rPr>
                <w:rFonts w:ascii="Times New Roman" w:hAnsi="Times New Roman"/>
              </w:rPr>
            </w:pPr>
          </w:p>
        </w:tc>
        <w:tc>
          <w:tcPr>
            <w:tcW w:w="860" w:type="dxa"/>
            <w:gridSpan w:val="2"/>
            <w:shd w:val="clear" w:color="auto" w:fill="FFFFFF"/>
          </w:tcPr>
          <w:p w14:paraId="5294618E" w14:textId="77777777" w:rsidR="00A53ADF" w:rsidRPr="00F36492" w:rsidRDefault="00A53ADF" w:rsidP="00F36492">
            <w:pPr>
              <w:spacing w:line="240" w:lineRule="auto"/>
              <w:rPr>
                <w:rFonts w:ascii="Times New Roman" w:hAnsi="Times New Roman"/>
              </w:rPr>
            </w:pPr>
          </w:p>
        </w:tc>
        <w:tc>
          <w:tcPr>
            <w:tcW w:w="1543" w:type="dxa"/>
            <w:gridSpan w:val="2"/>
            <w:shd w:val="clear" w:color="auto" w:fill="FFFFFF"/>
          </w:tcPr>
          <w:p w14:paraId="5294618F" w14:textId="77777777" w:rsidR="00A53ADF" w:rsidRPr="00F36492" w:rsidRDefault="00A53ADF" w:rsidP="00F36492">
            <w:pPr>
              <w:spacing w:line="240" w:lineRule="auto"/>
              <w:rPr>
                <w:rFonts w:ascii="Times New Roman" w:hAnsi="Times New Roman"/>
                <w:spacing w:val="-2"/>
              </w:rPr>
            </w:pPr>
          </w:p>
        </w:tc>
      </w:tr>
      <w:tr w:rsidR="00A53ADF" w:rsidRPr="00F36492" w14:paraId="5294619A" w14:textId="77777777" w:rsidTr="00CB6341">
        <w:trPr>
          <w:gridAfter w:val="1"/>
          <w:wAfter w:w="10" w:type="dxa"/>
          <w:trHeight w:val="142"/>
        </w:trPr>
        <w:tc>
          <w:tcPr>
            <w:tcW w:w="1591" w:type="dxa"/>
            <w:vMerge/>
            <w:shd w:val="clear" w:color="auto" w:fill="FFFFFF"/>
          </w:tcPr>
          <w:p w14:paraId="52946191" w14:textId="77777777" w:rsidR="00A53ADF" w:rsidRPr="00F36492" w:rsidRDefault="00A53ADF" w:rsidP="00F36492">
            <w:pPr>
              <w:spacing w:line="240" w:lineRule="auto"/>
              <w:rPr>
                <w:rFonts w:ascii="Times New Roman" w:hAnsi="Times New Roman"/>
              </w:rPr>
            </w:pPr>
          </w:p>
        </w:tc>
        <w:tc>
          <w:tcPr>
            <w:tcW w:w="1932" w:type="dxa"/>
            <w:gridSpan w:val="5"/>
            <w:shd w:val="clear" w:color="auto" w:fill="FFFFFF"/>
          </w:tcPr>
          <w:p w14:paraId="52946192" w14:textId="77777777" w:rsidR="00A53ADF" w:rsidRPr="00F36492" w:rsidRDefault="00A53ADF" w:rsidP="00F36492">
            <w:pPr>
              <w:spacing w:line="240" w:lineRule="auto"/>
              <w:rPr>
                <w:rFonts w:ascii="Times New Roman" w:hAnsi="Times New Roman"/>
              </w:rPr>
            </w:pPr>
            <w:r w:rsidRPr="00F36492">
              <w:rPr>
                <w:rFonts w:ascii="Times New Roman" w:hAnsi="Times New Roman"/>
              </w:rPr>
              <w:t>rodzina, obywatele oraz gospodarstwa domowe</w:t>
            </w:r>
          </w:p>
        </w:tc>
        <w:tc>
          <w:tcPr>
            <w:tcW w:w="901" w:type="dxa"/>
            <w:gridSpan w:val="2"/>
            <w:shd w:val="clear" w:color="auto" w:fill="FFFFFF"/>
          </w:tcPr>
          <w:p w14:paraId="52946193" w14:textId="4C619841" w:rsidR="00A53ADF" w:rsidRPr="00F36492" w:rsidRDefault="000502A0" w:rsidP="00F36492">
            <w:pPr>
              <w:spacing w:line="240" w:lineRule="auto"/>
              <w:rPr>
                <w:rFonts w:ascii="Times New Roman" w:hAnsi="Times New Roman"/>
              </w:rPr>
            </w:pPr>
            <w:r>
              <w:rPr>
                <w:rFonts w:ascii="Times New Roman" w:hAnsi="Times New Roman"/>
                <w:b/>
              </w:rPr>
              <w:t>- 482</w:t>
            </w:r>
          </w:p>
        </w:tc>
        <w:tc>
          <w:tcPr>
            <w:tcW w:w="1043" w:type="dxa"/>
            <w:gridSpan w:val="3"/>
            <w:shd w:val="clear" w:color="auto" w:fill="FFFFFF"/>
          </w:tcPr>
          <w:p w14:paraId="52946194" w14:textId="32609552" w:rsidR="00A53ADF" w:rsidRPr="00F36492" w:rsidRDefault="000502A0" w:rsidP="00F36492">
            <w:pPr>
              <w:spacing w:line="240" w:lineRule="auto"/>
              <w:rPr>
                <w:rFonts w:ascii="Times New Roman" w:hAnsi="Times New Roman"/>
              </w:rPr>
            </w:pPr>
            <w:r>
              <w:rPr>
                <w:rFonts w:ascii="Times New Roman" w:hAnsi="Times New Roman"/>
                <w:b/>
              </w:rPr>
              <w:t>-</w:t>
            </w:r>
            <w:r w:rsidRPr="00EF2443">
              <w:rPr>
                <w:rFonts w:ascii="Times New Roman" w:hAnsi="Times New Roman"/>
                <w:b/>
              </w:rPr>
              <w:t>1157</w:t>
            </w:r>
          </w:p>
        </w:tc>
        <w:tc>
          <w:tcPr>
            <w:tcW w:w="1083" w:type="dxa"/>
            <w:gridSpan w:val="3"/>
            <w:shd w:val="clear" w:color="auto" w:fill="FFFFFF"/>
          </w:tcPr>
          <w:p w14:paraId="52946195" w14:textId="3E4D46CD" w:rsidR="00A53ADF" w:rsidRPr="00F36492" w:rsidRDefault="000502A0" w:rsidP="00F36492">
            <w:pPr>
              <w:spacing w:line="240" w:lineRule="auto"/>
              <w:rPr>
                <w:rFonts w:ascii="Times New Roman" w:hAnsi="Times New Roman"/>
              </w:rPr>
            </w:pPr>
            <w:r>
              <w:rPr>
                <w:rFonts w:ascii="Times New Roman" w:hAnsi="Times New Roman"/>
                <w:b/>
              </w:rPr>
              <w:t>-</w:t>
            </w:r>
            <w:r w:rsidRPr="00EF2443">
              <w:rPr>
                <w:rFonts w:ascii="Times New Roman" w:hAnsi="Times New Roman"/>
                <w:b/>
              </w:rPr>
              <w:t>1157</w:t>
            </w:r>
          </w:p>
        </w:tc>
        <w:tc>
          <w:tcPr>
            <w:tcW w:w="922" w:type="dxa"/>
            <w:gridSpan w:val="3"/>
            <w:shd w:val="clear" w:color="auto" w:fill="FFFFFF"/>
          </w:tcPr>
          <w:p w14:paraId="52946196" w14:textId="35A20269" w:rsidR="00A53ADF" w:rsidRPr="00F36492" w:rsidRDefault="000502A0" w:rsidP="00F36492">
            <w:pPr>
              <w:spacing w:line="240" w:lineRule="auto"/>
              <w:rPr>
                <w:rFonts w:ascii="Times New Roman" w:hAnsi="Times New Roman"/>
              </w:rPr>
            </w:pPr>
            <w:r>
              <w:rPr>
                <w:rFonts w:ascii="Times New Roman" w:hAnsi="Times New Roman"/>
                <w:b/>
              </w:rPr>
              <w:t>-</w:t>
            </w:r>
            <w:r w:rsidRPr="00EF2443">
              <w:rPr>
                <w:rFonts w:ascii="Times New Roman" w:hAnsi="Times New Roman"/>
                <w:b/>
              </w:rPr>
              <w:t>1157</w:t>
            </w:r>
          </w:p>
        </w:tc>
        <w:tc>
          <w:tcPr>
            <w:tcW w:w="1195" w:type="dxa"/>
            <w:gridSpan w:val="3"/>
            <w:shd w:val="clear" w:color="auto" w:fill="FFFFFF"/>
          </w:tcPr>
          <w:p w14:paraId="52946197" w14:textId="23434B1E" w:rsidR="00A53ADF" w:rsidRPr="00F36492" w:rsidRDefault="000502A0" w:rsidP="00F36492">
            <w:pPr>
              <w:spacing w:line="240" w:lineRule="auto"/>
              <w:rPr>
                <w:rFonts w:ascii="Times New Roman" w:hAnsi="Times New Roman"/>
              </w:rPr>
            </w:pPr>
            <w:r>
              <w:rPr>
                <w:rFonts w:ascii="Times New Roman" w:hAnsi="Times New Roman"/>
                <w:b/>
              </w:rPr>
              <w:t>-</w:t>
            </w:r>
            <w:r w:rsidRPr="00EF2443">
              <w:rPr>
                <w:rFonts w:ascii="Times New Roman" w:hAnsi="Times New Roman"/>
                <w:b/>
              </w:rPr>
              <w:t>1157</w:t>
            </w:r>
          </w:p>
        </w:tc>
        <w:tc>
          <w:tcPr>
            <w:tcW w:w="860" w:type="dxa"/>
            <w:gridSpan w:val="2"/>
            <w:shd w:val="clear" w:color="auto" w:fill="FFFFFF"/>
          </w:tcPr>
          <w:p w14:paraId="52946198" w14:textId="67A5709F" w:rsidR="00A53ADF" w:rsidRPr="00F36492" w:rsidRDefault="000502A0" w:rsidP="00F36492">
            <w:pPr>
              <w:spacing w:line="240" w:lineRule="auto"/>
              <w:rPr>
                <w:rFonts w:ascii="Times New Roman" w:hAnsi="Times New Roman"/>
              </w:rPr>
            </w:pPr>
            <w:r>
              <w:rPr>
                <w:rFonts w:ascii="Times New Roman" w:hAnsi="Times New Roman"/>
                <w:b/>
              </w:rPr>
              <w:t>-</w:t>
            </w:r>
            <w:r w:rsidRPr="00EF2443">
              <w:rPr>
                <w:rFonts w:ascii="Times New Roman" w:hAnsi="Times New Roman"/>
                <w:b/>
              </w:rPr>
              <w:t>1157</w:t>
            </w:r>
          </w:p>
        </w:tc>
        <w:tc>
          <w:tcPr>
            <w:tcW w:w="1543" w:type="dxa"/>
            <w:gridSpan w:val="2"/>
            <w:shd w:val="clear" w:color="auto" w:fill="FFFFFF"/>
          </w:tcPr>
          <w:p w14:paraId="52946199" w14:textId="6E205072" w:rsidR="00A53ADF" w:rsidRPr="00F36492" w:rsidRDefault="000502A0" w:rsidP="00F36492">
            <w:pPr>
              <w:spacing w:line="240" w:lineRule="auto"/>
              <w:rPr>
                <w:rFonts w:ascii="Times New Roman" w:hAnsi="Times New Roman"/>
                <w:spacing w:val="-2"/>
              </w:rPr>
            </w:pPr>
            <w:r>
              <w:rPr>
                <w:rFonts w:ascii="Times New Roman" w:hAnsi="Times New Roman"/>
                <w:b/>
              </w:rPr>
              <w:t>-10 895</w:t>
            </w:r>
          </w:p>
        </w:tc>
      </w:tr>
      <w:tr w:rsidR="00A53ADF" w:rsidRPr="00F36492" w14:paraId="529461A4" w14:textId="77777777" w:rsidTr="00CB6341">
        <w:trPr>
          <w:gridAfter w:val="1"/>
          <w:wAfter w:w="10" w:type="dxa"/>
          <w:trHeight w:val="142"/>
        </w:trPr>
        <w:tc>
          <w:tcPr>
            <w:tcW w:w="1591" w:type="dxa"/>
            <w:vMerge/>
            <w:shd w:val="clear" w:color="auto" w:fill="FFFFFF"/>
          </w:tcPr>
          <w:p w14:paraId="5294619B" w14:textId="77777777" w:rsidR="00A53ADF" w:rsidRPr="00F36492" w:rsidRDefault="00A53ADF" w:rsidP="00F36492">
            <w:pPr>
              <w:spacing w:line="240" w:lineRule="auto"/>
              <w:rPr>
                <w:rFonts w:ascii="Times New Roman" w:hAnsi="Times New Roman"/>
              </w:rPr>
            </w:pPr>
          </w:p>
        </w:tc>
        <w:tc>
          <w:tcPr>
            <w:tcW w:w="1932" w:type="dxa"/>
            <w:gridSpan w:val="5"/>
            <w:shd w:val="clear" w:color="auto" w:fill="FFFFFF"/>
          </w:tcPr>
          <w:p w14:paraId="5294619C"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36492">
              <w:rPr>
                <w:rFonts w:ascii="Times New Roman" w:hAnsi="Times New Roman"/>
              </w:rPr>
              <w:instrText xml:space="preserve"> FORMTEXT </w:instrText>
            </w:r>
            <w:r w:rsidRPr="00F36492">
              <w:rPr>
                <w:rFonts w:ascii="Times New Roman" w:hAnsi="Times New Roman"/>
              </w:rPr>
            </w:r>
            <w:r w:rsidRPr="00F36492">
              <w:rPr>
                <w:rFonts w:ascii="Times New Roman" w:hAnsi="Times New Roman"/>
              </w:rPr>
              <w:fldChar w:fldCharType="separate"/>
            </w:r>
            <w:r w:rsidRPr="00F36492">
              <w:rPr>
                <w:rFonts w:ascii="Times New Roman" w:hAnsi="Times New Roman"/>
                <w:noProof/>
              </w:rPr>
              <w:t>(dodaj/usuń)</w:t>
            </w:r>
            <w:r w:rsidRPr="00F36492">
              <w:rPr>
                <w:rFonts w:ascii="Times New Roman" w:hAnsi="Times New Roman"/>
              </w:rPr>
              <w:fldChar w:fldCharType="end"/>
            </w:r>
          </w:p>
        </w:tc>
        <w:tc>
          <w:tcPr>
            <w:tcW w:w="901" w:type="dxa"/>
            <w:gridSpan w:val="2"/>
            <w:shd w:val="clear" w:color="auto" w:fill="FFFFFF"/>
          </w:tcPr>
          <w:p w14:paraId="5294619D" w14:textId="73AB7CE3" w:rsidR="00A53ADF" w:rsidRPr="00F36492" w:rsidRDefault="00A53ADF" w:rsidP="00F36492">
            <w:pPr>
              <w:spacing w:line="240" w:lineRule="auto"/>
              <w:rPr>
                <w:rFonts w:ascii="Times New Roman" w:hAnsi="Times New Roman"/>
              </w:rPr>
            </w:pPr>
          </w:p>
        </w:tc>
        <w:tc>
          <w:tcPr>
            <w:tcW w:w="1043" w:type="dxa"/>
            <w:gridSpan w:val="3"/>
            <w:shd w:val="clear" w:color="auto" w:fill="FFFFFF"/>
          </w:tcPr>
          <w:p w14:paraId="5294619E" w14:textId="61A7F40B" w:rsidR="00A53ADF" w:rsidRPr="00F36492" w:rsidRDefault="00A53ADF" w:rsidP="00F36492">
            <w:pPr>
              <w:spacing w:line="240" w:lineRule="auto"/>
              <w:rPr>
                <w:rFonts w:ascii="Times New Roman" w:hAnsi="Times New Roman"/>
              </w:rPr>
            </w:pPr>
          </w:p>
        </w:tc>
        <w:tc>
          <w:tcPr>
            <w:tcW w:w="1083" w:type="dxa"/>
            <w:gridSpan w:val="3"/>
            <w:shd w:val="clear" w:color="auto" w:fill="FFFFFF"/>
          </w:tcPr>
          <w:p w14:paraId="5294619F" w14:textId="53300228" w:rsidR="00A53ADF" w:rsidRPr="00F36492" w:rsidRDefault="00A53ADF" w:rsidP="00F36492">
            <w:pPr>
              <w:spacing w:line="240" w:lineRule="auto"/>
              <w:rPr>
                <w:rFonts w:ascii="Times New Roman" w:hAnsi="Times New Roman"/>
              </w:rPr>
            </w:pPr>
          </w:p>
        </w:tc>
        <w:tc>
          <w:tcPr>
            <w:tcW w:w="922" w:type="dxa"/>
            <w:gridSpan w:val="3"/>
            <w:shd w:val="clear" w:color="auto" w:fill="FFFFFF"/>
          </w:tcPr>
          <w:p w14:paraId="529461A0" w14:textId="7EAD7DFC" w:rsidR="00A53ADF" w:rsidRPr="00F36492" w:rsidRDefault="00A53ADF" w:rsidP="00F36492">
            <w:pPr>
              <w:spacing w:line="240" w:lineRule="auto"/>
              <w:rPr>
                <w:rFonts w:ascii="Times New Roman" w:hAnsi="Times New Roman"/>
              </w:rPr>
            </w:pPr>
          </w:p>
        </w:tc>
        <w:tc>
          <w:tcPr>
            <w:tcW w:w="1195" w:type="dxa"/>
            <w:gridSpan w:val="3"/>
            <w:shd w:val="clear" w:color="auto" w:fill="FFFFFF"/>
          </w:tcPr>
          <w:p w14:paraId="529461A1" w14:textId="50FEB6AC" w:rsidR="00A53ADF" w:rsidRPr="00F36492" w:rsidRDefault="00A53ADF" w:rsidP="00F36492">
            <w:pPr>
              <w:spacing w:line="240" w:lineRule="auto"/>
              <w:rPr>
                <w:rFonts w:ascii="Times New Roman" w:hAnsi="Times New Roman"/>
              </w:rPr>
            </w:pPr>
          </w:p>
        </w:tc>
        <w:tc>
          <w:tcPr>
            <w:tcW w:w="860" w:type="dxa"/>
            <w:gridSpan w:val="2"/>
            <w:shd w:val="clear" w:color="auto" w:fill="FFFFFF"/>
          </w:tcPr>
          <w:p w14:paraId="529461A2" w14:textId="24784E17" w:rsidR="00A53ADF" w:rsidRPr="00F36492" w:rsidRDefault="00A53ADF" w:rsidP="00F36492">
            <w:pPr>
              <w:spacing w:line="240" w:lineRule="auto"/>
              <w:rPr>
                <w:rFonts w:ascii="Times New Roman" w:hAnsi="Times New Roman"/>
              </w:rPr>
            </w:pPr>
          </w:p>
        </w:tc>
        <w:tc>
          <w:tcPr>
            <w:tcW w:w="1543" w:type="dxa"/>
            <w:gridSpan w:val="2"/>
            <w:shd w:val="clear" w:color="auto" w:fill="FFFFFF"/>
          </w:tcPr>
          <w:p w14:paraId="529461A3" w14:textId="7F172391" w:rsidR="00A53ADF" w:rsidRPr="00F36492" w:rsidRDefault="00A53ADF" w:rsidP="00F36492">
            <w:pPr>
              <w:spacing w:line="240" w:lineRule="auto"/>
              <w:rPr>
                <w:rFonts w:ascii="Times New Roman" w:hAnsi="Times New Roman"/>
                <w:spacing w:val="-2"/>
              </w:rPr>
            </w:pPr>
          </w:p>
        </w:tc>
      </w:tr>
      <w:tr w:rsidR="00A53ADF" w:rsidRPr="00F36492" w14:paraId="529461A8" w14:textId="77777777" w:rsidTr="1D9DC3A4">
        <w:trPr>
          <w:gridAfter w:val="1"/>
          <w:wAfter w:w="10" w:type="dxa"/>
          <w:trHeight w:val="142"/>
        </w:trPr>
        <w:tc>
          <w:tcPr>
            <w:tcW w:w="1591" w:type="dxa"/>
            <w:vMerge w:val="restart"/>
            <w:shd w:val="clear" w:color="auto" w:fill="FFFFFF"/>
          </w:tcPr>
          <w:p w14:paraId="529461A5" w14:textId="77777777" w:rsidR="00A53ADF" w:rsidRPr="00F36492" w:rsidRDefault="00A53ADF" w:rsidP="00F36492">
            <w:pPr>
              <w:spacing w:line="240" w:lineRule="auto"/>
              <w:rPr>
                <w:rFonts w:ascii="Times New Roman" w:hAnsi="Times New Roman"/>
              </w:rPr>
            </w:pPr>
            <w:r w:rsidRPr="00F36492">
              <w:rPr>
                <w:rFonts w:ascii="Times New Roman" w:hAnsi="Times New Roman"/>
              </w:rPr>
              <w:t>W ujęciu niepieniężnym</w:t>
            </w:r>
          </w:p>
        </w:tc>
        <w:tc>
          <w:tcPr>
            <w:tcW w:w="1932" w:type="dxa"/>
            <w:gridSpan w:val="5"/>
            <w:shd w:val="clear" w:color="auto" w:fill="FFFFFF"/>
          </w:tcPr>
          <w:p w14:paraId="529461A6" w14:textId="77777777" w:rsidR="00A53ADF" w:rsidRPr="00F36492" w:rsidRDefault="00A53ADF" w:rsidP="00F36492">
            <w:pPr>
              <w:spacing w:line="240" w:lineRule="auto"/>
              <w:rPr>
                <w:rFonts w:ascii="Times New Roman" w:hAnsi="Times New Roman"/>
              </w:rPr>
            </w:pPr>
            <w:r w:rsidRPr="00F36492">
              <w:rPr>
                <w:rFonts w:ascii="Times New Roman" w:hAnsi="Times New Roman"/>
              </w:rPr>
              <w:t>duże przedsiębiorstwa</w:t>
            </w:r>
          </w:p>
        </w:tc>
        <w:tc>
          <w:tcPr>
            <w:tcW w:w="7547" w:type="dxa"/>
            <w:gridSpan w:val="18"/>
            <w:shd w:val="clear" w:color="auto" w:fill="FFFFFF"/>
          </w:tcPr>
          <w:p w14:paraId="529461A7" w14:textId="77777777" w:rsidR="00A53ADF" w:rsidRPr="00F36492" w:rsidRDefault="00A53ADF" w:rsidP="00F36492">
            <w:pPr>
              <w:spacing w:line="240" w:lineRule="auto"/>
              <w:rPr>
                <w:rFonts w:ascii="Times New Roman" w:hAnsi="Times New Roman"/>
                <w:spacing w:val="-2"/>
              </w:rPr>
            </w:pPr>
          </w:p>
        </w:tc>
      </w:tr>
      <w:tr w:rsidR="00A53ADF" w:rsidRPr="00F36492" w14:paraId="529461AC" w14:textId="77777777" w:rsidTr="1D9DC3A4">
        <w:trPr>
          <w:gridAfter w:val="1"/>
          <w:wAfter w:w="10" w:type="dxa"/>
          <w:trHeight w:val="142"/>
        </w:trPr>
        <w:tc>
          <w:tcPr>
            <w:tcW w:w="1591" w:type="dxa"/>
            <w:vMerge/>
            <w:shd w:val="clear" w:color="auto" w:fill="FFFFFF"/>
          </w:tcPr>
          <w:p w14:paraId="529461A9" w14:textId="77777777" w:rsidR="00A53ADF" w:rsidRPr="00F36492" w:rsidRDefault="00A53ADF" w:rsidP="00F36492">
            <w:pPr>
              <w:spacing w:line="240" w:lineRule="auto"/>
              <w:rPr>
                <w:rFonts w:ascii="Times New Roman" w:hAnsi="Times New Roman"/>
              </w:rPr>
            </w:pPr>
          </w:p>
        </w:tc>
        <w:tc>
          <w:tcPr>
            <w:tcW w:w="1932" w:type="dxa"/>
            <w:gridSpan w:val="5"/>
            <w:shd w:val="clear" w:color="auto" w:fill="FFFFFF"/>
          </w:tcPr>
          <w:p w14:paraId="529461AA" w14:textId="77777777" w:rsidR="00A53ADF" w:rsidRPr="00F36492" w:rsidRDefault="00A53ADF" w:rsidP="00F36492">
            <w:pPr>
              <w:spacing w:line="240" w:lineRule="auto"/>
              <w:rPr>
                <w:rFonts w:ascii="Times New Roman" w:hAnsi="Times New Roman"/>
              </w:rPr>
            </w:pPr>
            <w:r w:rsidRPr="00F36492">
              <w:rPr>
                <w:rFonts w:ascii="Times New Roman" w:hAnsi="Times New Roman"/>
              </w:rPr>
              <w:t>sektor mikro-, małych i średnich przedsiębiorstw</w:t>
            </w:r>
          </w:p>
        </w:tc>
        <w:tc>
          <w:tcPr>
            <w:tcW w:w="7547" w:type="dxa"/>
            <w:gridSpan w:val="18"/>
            <w:shd w:val="clear" w:color="auto" w:fill="FFFFFF"/>
          </w:tcPr>
          <w:p w14:paraId="529461AB" w14:textId="77777777" w:rsidR="00A53ADF" w:rsidRPr="00F36492" w:rsidRDefault="00A53ADF" w:rsidP="00F36492">
            <w:pPr>
              <w:spacing w:line="240" w:lineRule="auto"/>
              <w:rPr>
                <w:rFonts w:ascii="Times New Roman" w:hAnsi="Times New Roman"/>
                <w:spacing w:val="-2"/>
              </w:rPr>
            </w:pPr>
          </w:p>
        </w:tc>
      </w:tr>
      <w:tr w:rsidR="00A53ADF" w:rsidRPr="00F36492" w14:paraId="529461B0" w14:textId="77777777" w:rsidTr="1D9DC3A4">
        <w:trPr>
          <w:gridAfter w:val="1"/>
          <w:wAfter w:w="10" w:type="dxa"/>
          <w:trHeight w:val="596"/>
        </w:trPr>
        <w:tc>
          <w:tcPr>
            <w:tcW w:w="1591" w:type="dxa"/>
            <w:vMerge/>
            <w:shd w:val="clear" w:color="auto" w:fill="FFFFFF"/>
          </w:tcPr>
          <w:p w14:paraId="529461AD" w14:textId="77777777" w:rsidR="00A53ADF" w:rsidRPr="00F36492" w:rsidRDefault="00A53ADF" w:rsidP="00F36492">
            <w:pPr>
              <w:spacing w:line="240" w:lineRule="auto"/>
              <w:rPr>
                <w:rFonts w:ascii="Times New Roman" w:hAnsi="Times New Roman"/>
              </w:rPr>
            </w:pPr>
          </w:p>
        </w:tc>
        <w:tc>
          <w:tcPr>
            <w:tcW w:w="1932" w:type="dxa"/>
            <w:gridSpan w:val="5"/>
            <w:shd w:val="clear" w:color="auto" w:fill="FFFFFF"/>
          </w:tcPr>
          <w:p w14:paraId="529461AE" w14:textId="77777777" w:rsidR="00A53ADF" w:rsidRPr="00F36492" w:rsidRDefault="00A53ADF" w:rsidP="00F36492">
            <w:pPr>
              <w:tabs>
                <w:tab w:val="right" w:pos="1936"/>
              </w:tabs>
              <w:spacing w:line="240" w:lineRule="auto"/>
              <w:rPr>
                <w:rFonts w:ascii="Times New Roman" w:hAnsi="Times New Roman"/>
              </w:rPr>
            </w:pPr>
            <w:r w:rsidRPr="00F36492">
              <w:rPr>
                <w:rFonts w:ascii="Times New Roman" w:hAnsi="Times New Roman"/>
              </w:rPr>
              <w:t xml:space="preserve">rodzina, obywatele oraz gospodarstwa domowe </w:t>
            </w:r>
          </w:p>
        </w:tc>
        <w:tc>
          <w:tcPr>
            <w:tcW w:w="7547" w:type="dxa"/>
            <w:gridSpan w:val="18"/>
            <w:shd w:val="clear" w:color="auto" w:fill="FFFFFF"/>
          </w:tcPr>
          <w:p w14:paraId="529461AF" w14:textId="77777777" w:rsidR="00A53ADF" w:rsidRPr="00F36492" w:rsidRDefault="00A53ADF" w:rsidP="00F36492">
            <w:pPr>
              <w:spacing w:line="240" w:lineRule="auto"/>
              <w:rPr>
                <w:rFonts w:ascii="Times New Roman" w:hAnsi="Times New Roman"/>
                <w:spacing w:val="-2"/>
              </w:rPr>
            </w:pPr>
          </w:p>
        </w:tc>
      </w:tr>
      <w:tr w:rsidR="00A53ADF" w:rsidRPr="00F36492" w14:paraId="529461B4" w14:textId="77777777" w:rsidTr="1D9DC3A4">
        <w:trPr>
          <w:gridAfter w:val="1"/>
          <w:wAfter w:w="10" w:type="dxa"/>
          <w:trHeight w:val="240"/>
        </w:trPr>
        <w:tc>
          <w:tcPr>
            <w:tcW w:w="1591" w:type="dxa"/>
            <w:vMerge/>
            <w:shd w:val="clear" w:color="auto" w:fill="FFFFFF"/>
          </w:tcPr>
          <w:p w14:paraId="529461B1" w14:textId="77777777" w:rsidR="00A53ADF" w:rsidRPr="00F36492" w:rsidRDefault="00A53ADF" w:rsidP="00F36492">
            <w:pPr>
              <w:spacing w:line="240" w:lineRule="auto"/>
              <w:rPr>
                <w:rFonts w:ascii="Times New Roman" w:hAnsi="Times New Roman"/>
              </w:rPr>
            </w:pPr>
          </w:p>
        </w:tc>
        <w:tc>
          <w:tcPr>
            <w:tcW w:w="1932" w:type="dxa"/>
            <w:gridSpan w:val="5"/>
            <w:shd w:val="clear" w:color="auto" w:fill="FFFFFF"/>
          </w:tcPr>
          <w:p w14:paraId="529461B2" w14:textId="77777777" w:rsidR="00A53ADF" w:rsidRPr="00F36492" w:rsidRDefault="00A53ADF" w:rsidP="00F36492">
            <w:pPr>
              <w:tabs>
                <w:tab w:val="right" w:pos="1936"/>
              </w:tabs>
              <w:rPr>
                <w:rFonts w:ascii="Times New Roman" w:hAnsi="Times New Roman"/>
              </w:rPr>
            </w:pPr>
            <w:r w:rsidRPr="00F36492">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36492">
              <w:rPr>
                <w:rFonts w:ascii="Times New Roman" w:hAnsi="Times New Roman"/>
              </w:rPr>
              <w:instrText xml:space="preserve"> FORMTEXT </w:instrText>
            </w:r>
            <w:r w:rsidRPr="00F36492">
              <w:rPr>
                <w:rFonts w:ascii="Times New Roman" w:hAnsi="Times New Roman"/>
              </w:rPr>
            </w:r>
            <w:r w:rsidRPr="00F36492">
              <w:rPr>
                <w:rFonts w:ascii="Times New Roman" w:hAnsi="Times New Roman"/>
              </w:rPr>
              <w:fldChar w:fldCharType="separate"/>
            </w:r>
            <w:r w:rsidRPr="00F36492">
              <w:rPr>
                <w:rFonts w:ascii="Times New Roman" w:hAnsi="Times New Roman"/>
                <w:noProof/>
              </w:rPr>
              <w:t>(dodaj/usuń)</w:t>
            </w:r>
            <w:r w:rsidRPr="00F36492">
              <w:rPr>
                <w:rFonts w:ascii="Times New Roman" w:hAnsi="Times New Roman"/>
              </w:rPr>
              <w:fldChar w:fldCharType="end"/>
            </w:r>
          </w:p>
        </w:tc>
        <w:tc>
          <w:tcPr>
            <w:tcW w:w="7547" w:type="dxa"/>
            <w:gridSpan w:val="18"/>
            <w:shd w:val="clear" w:color="auto" w:fill="FFFFFF"/>
          </w:tcPr>
          <w:p w14:paraId="529461B3" w14:textId="77777777" w:rsidR="00A53ADF" w:rsidRPr="00F36492" w:rsidRDefault="00A53ADF" w:rsidP="00F36492">
            <w:pPr>
              <w:tabs>
                <w:tab w:val="left" w:pos="3000"/>
              </w:tabs>
              <w:rPr>
                <w:rFonts w:ascii="Times New Roman" w:hAnsi="Times New Roman"/>
                <w:spacing w:val="-2"/>
              </w:rPr>
            </w:pPr>
          </w:p>
        </w:tc>
      </w:tr>
      <w:tr w:rsidR="00A53ADF" w:rsidRPr="00F36492" w14:paraId="529461B8" w14:textId="77777777" w:rsidTr="1D9DC3A4">
        <w:trPr>
          <w:gridAfter w:val="1"/>
          <w:wAfter w:w="10" w:type="dxa"/>
          <w:trHeight w:val="142"/>
        </w:trPr>
        <w:tc>
          <w:tcPr>
            <w:tcW w:w="1591" w:type="dxa"/>
            <w:vMerge w:val="restart"/>
            <w:shd w:val="clear" w:color="auto" w:fill="FFFFFF"/>
          </w:tcPr>
          <w:p w14:paraId="529461B5" w14:textId="77777777" w:rsidR="00A53ADF" w:rsidRPr="00F36492" w:rsidRDefault="00A53ADF" w:rsidP="00F36492">
            <w:pPr>
              <w:spacing w:line="240" w:lineRule="auto"/>
              <w:rPr>
                <w:rFonts w:ascii="Times New Roman" w:hAnsi="Times New Roman"/>
              </w:rPr>
            </w:pPr>
            <w:r w:rsidRPr="00F36492">
              <w:rPr>
                <w:rFonts w:ascii="Times New Roman" w:hAnsi="Times New Roman"/>
              </w:rPr>
              <w:t>Niemierzalne</w:t>
            </w:r>
          </w:p>
        </w:tc>
        <w:tc>
          <w:tcPr>
            <w:tcW w:w="1932" w:type="dxa"/>
            <w:gridSpan w:val="5"/>
            <w:shd w:val="clear" w:color="auto" w:fill="FFFFFF"/>
          </w:tcPr>
          <w:p w14:paraId="529461B6"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36492">
              <w:rPr>
                <w:rFonts w:ascii="Times New Roman" w:hAnsi="Times New Roman"/>
              </w:rPr>
              <w:instrText xml:space="preserve"> FORMTEXT </w:instrText>
            </w:r>
            <w:r w:rsidRPr="00F36492">
              <w:rPr>
                <w:rFonts w:ascii="Times New Roman" w:hAnsi="Times New Roman"/>
              </w:rPr>
            </w:r>
            <w:r w:rsidRPr="00F36492">
              <w:rPr>
                <w:rFonts w:ascii="Times New Roman" w:hAnsi="Times New Roman"/>
              </w:rPr>
              <w:fldChar w:fldCharType="separate"/>
            </w:r>
            <w:r w:rsidRPr="00F36492">
              <w:rPr>
                <w:rFonts w:ascii="Times New Roman" w:hAnsi="Times New Roman"/>
                <w:noProof/>
              </w:rPr>
              <w:t>(dodaj/usuń)</w:t>
            </w:r>
            <w:r w:rsidRPr="00F36492">
              <w:rPr>
                <w:rFonts w:ascii="Times New Roman" w:hAnsi="Times New Roman"/>
              </w:rPr>
              <w:fldChar w:fldCharType="end"/>
            </w:r>
          </w:p>
        </w:tc>
        <w:tc>
          <w:tcPr>
            <w:tcW w:w="7547" w:type="dxa"/>
            <w:gridSpan w:val="18"/>
            <w:shd w:val="clear" w:color="auto" w:fill="FFFFFF"/>
          </w:tcPr>
          <w:p w14:paraId="68BE0C15" w14:textId="5552CDEC" w:rsidR="003B5B68" w:rsidRDefault="003B5B68" w:rsidP="00AE57BF">
            <w:pPr>
              <w:spacing w:line="240" w:lineRule="auto"/>
              <w:jc w:val="both"/>
              <w:rPr>
                <w:rFonts w:ascii="Times New Roman" w:hAnsi="Times New Roman"/>
              </w:rPr>
            </w:pPr>
          </w:p>
          <w:p w14:paraId="386E3A2E" w14:textId="77777777" w:rsidR="00026189" w:rsidRDefault="00026189" w:rsidP="00F36492">
            <w:pPr>
              <w:spacing w:line="240" w:lineRule="auto"/>
              <w:jc w:val="both"/>
              <w:rPr>
                <w:rFonts w:ascii="Times New Roman" w:hAnsi="Times New Roman"/>
              </w:rPr>
            </w:pPr>
          </w:p>
          <w:p w14:paraId="38181C07" w14:textId="52A70C00" w:rsidR="00A53ADF" w:rsidRPr="00F36492" w:rsidRDefault="003D1880" w:rsidP="00F36492">
            <w:pPr>
              <w:spacing w:line="240" w:lineRule="auto"/>
              <w:jc w:val="both"/>
              <w:rPr>
                <w:rFonts w:ascii="Times New Roman" w:hAnsi="Times New Roman"/>
              </w:rPr>
            </w:pPr>
            <w:r>
              <w:rPr>
                <w:rFonts w:ascii="Times New Roman" w:hAnsi="Times New Roman"/>
              </w:rPr>
              <w:t xml:space="preserve">Regulacja </w:t>
            </w:r>
            <w:r w:rsidR="00E53BF2">
              <w:rPr>
                <w:rFonts w:ascii="Times New Roman" w:hAnsi="Times New Roman"/>
              </w:rPr>
              <w:t>w</w:t>
            </w:r>
            <w:r w:rsidR="00A53ADF" w:rsidRPr="00F36492">
              <w:rPr>
                <w:rFonts w:ascii="Times New Roman" w:hAnsi="Times New Roman"/>
              </w:rPr>
              <w:t xml:space="preserve">płynie na funkcjonowanie </w:t>
            </w:r>
            <w:r w:rsidR="00924FAC" w:rsidRPr="00F36492">
              <w:rPr>
                <w:rFonts w:ascii="Times New Roman" w:hAnsi="Times New Roman"/>
              </w:rPr>
              <w:t xml:space="preserve">podmiotów świadczących usługi na rzecz unijnych konsumentów, prowadzących wewnątrzwspólnotową sprzedaż na odległość (dawną sprzedaż wysyłkową) </w:t>
            </w:r>
            <w:r w:rsidR="00896C88" w:rsidRPr="00F36492">
              <w:rPr>
                <w:rFonts w:ascii="Times New Roman" w:hAnsi="Times New Roman"/>
              </w:rPr>
              <w:t>oraz na interfejsy elektroniczne ułatwiające dostawy towarów. Z</w:t>
            </w:r>
            <w:r w:rsidR="00924FAC" w:rsidRPr="00F36492">
              <w:rPr>
                <w:rFonts w:ascii="Times New Roman" w:hAnsi="Times New Roman"/>
              </w:rPr>
              <w:t xml:space="preserve"> uwagi na rozszerzenie p</w:t>
            </w:r>
            <w:r w:rsidR="00896C88" w:rsidRPr="00F36492">
              <w:rPr>
                <w:rFonts w:ascii="Times New Roman" w:hAnsi="Times New Roman"/>
              </w:rPr>
              <w:t xml:space="preserve">rocedury szczególnej OSS na wszystkie usługi, wewnątrzwspólnotową sprzedaż na odległość, oraz na niektóre dostawy krajowe </w:t>
            </w:r>
            <w:r w:rsidR="00924FAC" w:rsidRPr="00F36492">
              <w:rPr>
                <w:rFonts w:ascii="Times New Roman" w:hAnsi="Times New Roman"/>
              </w:rPr>
              <w:t xml:space="preserve">wzrosło prawdopodobieństwo, że znacznie większa liczba podatników będzie chciała skorzystać z tej szczególnej procedury rozliczania podatku. W związku z tym </w:t>
            </w:r>
            <w:r w:rsidR="00896C88" w:rsidRPr="00F36492">
              <w:rPr>
                <w:rFonts w:ascii="Times New Roman" w:hAnsi="Times New Roman"/>
              </w:rPr>
              <w:t>p</w:t>
            </w:r>
            <w:r w:rsidR="00A53ADF" w:rsidRPr="00F36492">
              <w:rPr>
                <w:rFonts w:ascii="Times New Roman" w:hAnsi="Times New Roman"/>
              </w:rPr>
              <w:t>odmioty te będ</w:t>
            </w:r>
            <w:r w:rsidR="00896C88" w:rsidRPr="00F36492">
              <w:rPr>
                <w:rFonts w:ascii="Times New Roman" w:hAnsi="Times New Roman"/>
              </w:rPr>
              <w:t>ą</w:t>
            </w:r>
            <w:r w:rsidR="00A53ADF" w:rsidRPr="00F36492">
              <w:rPr>
                <w:rFonts w:ascii="Times New Roman" w:hAnsi="Times New Roman"/>
              </w:rPr>
              <w:t xml:space="preserve"> musiały dostosować swoje systemy do nowej procedury rozliczania podatku od towarów i usług.</w:t>
            </w:r>
          </w:p>
          <w:p w14:paraId="5A4A79A8" w14:textId="77777777" w:rsidR="00FD08AF" w:rsidRPr="00F36492" w:rsidRDefault="00FD08AF" w:rsidP="00F36492">
            <w:pPr>
              <w:spacing w:line="240" w:lineRule="auto"/>
              <w:jc w:val="both"/>
              <w:rPr>
                <w:rFonts w:ascii="Times New Roman" w:hAnsi="Times New Roman"/>
              </w:rPr>
            </w:pPr>
          </w:p>
          <w:p w14:paraId="5CC68F78" w14:textId="4E6006EB" w:rsidR="004C27F3" w:rsidRPr="00F36492" w:rsidRDefault="005A58F3" w:rsidP="00F36492">
            <w:pPr>
              <w:spacing w:line="240" w:lineRule="auto"/>
              <w:jc w:val="both"/>
              <w:rPr>
                <w:rFonts w:ascii="Times New Roman" w:hAnsi="Times New Roman"/>
              </w:rPr>
            </w:pPr>
            <w:r w:rsidRPr="00F36492">
              <w:rPr>
                <w:rFonts w:ascii="Times New Roman" w:hAnsi="Times New Roman"/>
              </w:rPr>
              <w:t>L</w:t>
            </w:r>
            <w:r w:rsidR="006463DC" w:rsidRPr="00F36492">
              <w:rPr>
                <w:rFonts w:ascii="Times New Roman" w:hAnsi="Times New Roman"/>
              </w:rPr>
              <w:t>ikwidacja zwolnienia z VAT dla importu towarów o niewielkiej wartości do 22 euro przyczyni się do poprawy konkurencyjności przede wszystkim krajowych</w:t>
            </w:r>
            <w:r w:rsidR="009A1AE1" w:rsidRPr="00F36492">
              <w:rPr>
                <w:rFonts w:ascii="Times New Roman" w:hAnsi="Times New Roman"/>
              </w:rPr>
              <w:t xml:space="preserve"> </w:t>
            </w:r>
            <w:r w:rsidR="006463DC" w:rsidRPr="00F36492">
              <w:rPr>
                <w:rFonts w:ascii="Times New Roman" w:hAnsi="Times New Roman"/>
              </w:rPr>
              <w:t>podatników</w:t>
            </w:r>
            <w:r w:rsidR="002269B4" w:rsidRPr="00F36492">
              <w:rPr>
                <w:rFonts w:ascii="Times New Roman" w:hAnsi="Times New Roman"/>
              </w:rPr>
              <w:t>,</w:t>
            </w:r>
            <w:r w:rsidR="006463DC" w:rsidRPr="00F36492">
              <w:rPr>
                <w:rFonts w:ascii="Times New Roman" w:hAnsi="Times New Roman"/>
              </w:rPr>
              <w:t xml:space="preserve"> którzy </w:t>
            </w:r>
            <w:r w:rsidR="00C979C4" w:rsidRPr="00F36492">
              <w:rPr>
                <w:rFonts w:ascii="Times New Roman" w:hAnsi="Times New Roman"/>
              </w:rPr>
              <w:t xml:space="preserve">prowadząc sprzedaż na terytorium kraju </w:t>
            </w:r>
            <w:r w:rsidRPr="00F36492">
              <w:rPr>
                <w:rFonts w:ascii="Times New Roman" w:hAnsi="Times New Roman"/>
              </w:rPr>
              <w:t xml:space="preserve">ponosili </w:t>
            </w:r>
            <w:r w:rsidR="006463DC" w:rsidRPr="00F36492">
              <w:rPr>
                <w:rFonts w:ascii="Times New Roman" w:hAnsi="Times New Roman"/>
              </w:rPr>
              <w:t>ciężar podatku VAT</w:t>
            </w:r>
            <w:r w:rsidR="00C979C4" w:rsidRPr="00F36492">
              <w:rPr>
                <w:rFonts w:ascii="Times New Roman" w:hAnsi="Times New Roman"/>
              </w:rPr>
              <w:t>, podczas gdy takie same towary</w:t>
            </w:r>
            <w:r w:rsidR="006463DC" w:rsidRPr="00F36492">
              <w:rPr>
                <w:rFonts w:ascii="Times New Roman" w:hAnsi="Times New Roman"/>
              </w:rPr>
              <w:t xml:space="preserve"> </w:t>
            </w:r>
            <w:r w:rsidR="00C979C4" w:rsidRPr="00F36492">
              <w:rPr>
                <w:rFonts w:ascii="Times New Roman" w:hAnsi="Times New Roman"/>
              </w:rPr>
              <w:t xml:space="preserve">zakupione poza UE, korzystały w większości państw UE ze zwolnienia z VAT od takiego importu. </w:t>
            </w:r>
          </w:p>
          <w:p w14:paraId="2018A237" w14:textId="77777777" w:rsidR="00FD08AF" w:rsidRPr="00F36492" w:rsidRDefault="00FD08AF" w:rsidP="00F36492">
            <w:pPr>
              <w:spacing w:line="240" w:lineRule="auto"/>
              <w:jc w:val="both"/>
              <w:rPr>
                <w:rFonts w:ascii="Times New Roman" w:hAnsi="Times New Roman"/>
              </w:rPr>
            </w:pPr>
          </w:p>
          <w:p w14:paraId="61F93B0F" w14:textId="0EBB405F" w:rsidR="00A53ADF" w:rsidRPr="00F36492" w:rsidRDefault="00A53ADF" w:rsidP="00F36492">
            <w:pPr>
              <w:spacing w:line="240" w:lineRule="auto"/>
              <w:jc w:val="both"/>
              <w:rPr>
                <w:rFonts w:ascii="Times New Roman" w:hAnsi="Times New Roman"/>
              </w:rPr>
            </w:pPr>
            <w:r w:rsidRPr="00F36492">
              <w:rPr>
                <w:rFonts w:ascii="Times New Roman" w:hAnsi="Times New Roman"/>
              </w:rPr>
              <w:t>Wdrożenie rozwiązania prowadzącego do przeniesienia odpowiedzialności za zobowiązanie VAT (czyli w istocie obowiązku za pobór i zapłatę VAT) z tytułu określonych dostaw B2C dokonywanych przez bardzo liczną grupę przedsiębiorców, spośród których wielu posiada swoje siedziby działalności gospodarczej poza UE, na operatorów interfejsów elektronicznych powinno przyczynić się do poprawy konkurencyjności unijnych przedsiębiorców. Nastąpi to dzięki zmniejszeniu ogólnych kosztów związanych z wypełnianiem obowiązków wynikających z przepisów VAT, które obecnie ponoszą przedsiębiorcy sprzedający swoje towary za pośrednictwem interfejsów elektronicznych do konsumentów z Polski i innych państw członkowskich</w:t>
            </w:r>
            <w:r w:rsidR="002010DB" w:rsidRPr="00F36492">
              <w:rPr>
                <w:rFonts w:ascii="Times New Roman" w:hAnsi="Times New Roman"/>
              </w:rPr>
              <w:t xml:space="preserve"> UE</w:t>
            </w:r>
            <w:r w:rsidRPr="00F36492">
              <w:rPr>
                <w:rFonts w:ascii="Times New Roman" w:hAnsi="Times New Roman"/>
              </w:rPr>
              <w:t>. Ponadto, wskutek zwiększenia efektywności poboru VAT od towarów sprzedawanych przez przedsiębiorców spoza UE (oraz likwidacji zwolnienia z VAT od importu przesyłek o wartości nieprzekraczającej 22 euro), poprawi się sytuacja unijnych (w tym polskich) przedsiębiorców względem podmiotów z państw trzecich, poprzez skuteczniejsze zapewnianie równych warunków prowadzenia działalności gospodarczej.</w:t>
            </w:r>
          </w:p>
          <w:p w14:paraId="01029B4F" w14:textId="77777777" w:rsidR="00FD08AF" w:rsidRPr="00F36492" w:rsidRDefault="00FD08AF" w:rsidP="00F36492">
            <w:pPr>
              <w:spacing w:line="240" w:lineRule="auto"/>
              <w:jc w:val="both"/>
              <w:rPr>
                <w:rFonts w:ascii="Times New Roman" w:hAnsi="Times New Roman"/>
              </w:rPr>
            </w:pPr>
          </w:p>
          <w:p w14:paraId="529461B7" w14:textId="5D5A2CA0" w:rsidR="00A53ADF" w:rsidRPr="00F36492" w:rsidRDefault="00A53ADF" w:rsidP="00213A3D">
            <w:pPr>
              <w:spacing w:line="240" w:lineRule="auto"/>
              <w:jc w:val="both"/>
              <w:rPr>
                <w:rFonts w:ascii="Times New Roman" w:hAnsi="Times New Roman"/>
              </w:rPr>
            </w:pPr>
            <w:r w:rsidRPr="00F36492">
              <w:rPr>
                <w:rFonts w:ascii="Times New Roman" w:hAnsi="Times New Roman"/>
              </w:rPr>
              <w:t>Przewiduje się, że mogą wzrosnąć koszty</w:t>
            </w:r>
            <w:r w:rsidR="00371999">
              <w:rPr>
                <w:rFonts w:ascii="Times New Roman" w:hAnsi="Times New Roman"/>
              </w:rPr>
              <w:t xml:space="preserve"> (np. IT)</w:t>
            </w:r>
            <w:r w:rsidRPr="00F36492">
              <w:rPr>
                <w:rFonts w:ascii="Times New Roman" w:hAnsi="Times New Roman"/>
              </w:rPr>
              <w:t xml:space="preserve"> związane z realizowaniem obowiązków podatkowych po stronie operatorów interfejsów elektronicznych. Niemniej jednak, jednocześnie przeniesienie odpowiedzialności za zobowiązanie VAT na tych operatorów, a także szereg pozostałych rozwiązań nakierowanych na ułatwianie prowadzenia i podejmowania transgranicznej sprzedaży, może przyczynić się do wzrostu liczby użytkowników (sprzedawców i nabywców) korzystających z usług operatów interfejsów elektronicznych, co może w efekcie wpłynąć na zwiększenie przychodów (obrotów) takich operatorów, polepszając ich sytuację gospodarczą.</w:t>
            </w:r>
          </w:p>
        </w:tc>
      </w:tr>
      <w:tr w:rsidR="00A53ADF" w:rsidRPr="00F36492" w14:paraId="529461BC" w14:textId="77777777" w:rsidTr="1D9DC3A4">
        <w:trPr>
          <w:gridAfter w:val="1"/>
          <w:wAfter w:w="10" w:type="dxa"/>
          <w:trHeight w:val="142"/>
        </w:trPr>
        <w:tc>
          <w:tcPr>
            <w:tcW w:w="1591" w:type="dxa"/>
            <w:vMerge/>
            <w:shd w:val="clear" w:color="auto" w:fill="FFFFFF"/>
          </w:tcPr>
          <w:p w14:paraId="529461B9" w14:textId="5FE5DF99" w:rsidR="00A53ADF" w:rsidRPr="00F36492" w:rsidRDefault="00A53ADF" w:rsidP="00F36492">
            <w:pPr>
              <w:spacing w:line="240" w:lineRule="auto"/>
              <w:rPr>
                <w:rFonts w:ascii="Times New Roman" w:hAnsi="Times New Roman"/>
              </w:rPr>
            </w:pPr>
          </w:p>
        </w:tc>
        <w:tc>
          <w:tcPr>
            <w:tcW w:w="1932" w:type="dxa"/>
            <w:gridSpan w:val="5"/>
            <w:shd w:val="clear" w:color="auto" w:fill="FFFFFF"/>
          </w:tcPr>
          <w:p w14:paraId="529461BA"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36492">
              <w:rPr>
                <w:rFonts w:ascii="Times New Roman" w:hAnsi="Times New Roman"/>
              </w:rPr>
              <w:instrText xml:space="preserve"> FORMTEXT </w:instrText>
            </w:r>
            <w:r w:rsidRPr="00F36492">
              <w:rPr>
                <w:rFonts w:ascii="Times New Roman" w:hAnsi="Times New Roman"/>
              </w:rPr>
            </w:r>
            <w:r w:rsidRPr="00F36492">
              <w:rPr>
                <w:rFonts w:ascii="Times New Roman" w:hAnsi="Times New Roman"/>
              </w:rPr>
              <w:fldChar w:fldCharType="separate"/>
            </w:r>
            <w:r w:rsidRPr="00F36492">
              <w:rPr>
                <w:rFonts w:ascii="Times New Roman" w:hAnsi="Times New Roman"/>
                <w:noProof/>
              </w:rPr>
              <w:t>(dodaj/usuń)</w:t>
            </w:r>
            <w:r w:rsidRPr="00F36492">
              <w:rPr>
                <w:rFonts w:ascii="Times New Roman" w:hAnsi="Times New Roman"/>
              </w:rPr>
              <w:fldChar w:fldCharType="end"/>
            </w:r>
          </w:p>
        </w:tc>
        <w:tc>
          <w:tcPr>
            <w:tcW w:w="7547" w:type="dxa"/>
            <w:gridSpan w:val="18"/>
            <w:shd w:val="clear" w:color="auto" w:fill="FFFFFF"/>
          </w:tcPr>
          <w:p w14:paraId="529461BB" w14:textId="77777777" w:rsidR="00A53ADF" w:rsidRPr="00F36492" w:rsidRDefault="00A53ADF" w:rsidP="00F36492">
            <w:pPr>
              <w:spacing w:line="240" w:lineRule="auto"/>
              <w:rPr>
                <w:rFonts w:ascii="Times New Roman" w:hAnsi="Times New Roman"/>
                <w:spacing w:val="-2"/>
              </w:rPr>
            </w:pPr>
          </w:p>
        </w:tc>
      </w:tr>
      <w:tr w:rsidR="00A53ADF" w:rsidRPr="00F36492" w14:paraId="529461BF" w14:textId="77777777" w:rsidTr="00A53ADF">
        <w:trPr>
          <w:gridAfter w:val="1"/>
          <w:wAfter w:w="10" w:type="dxa"/>
          <w:trHeight w:val="1643"/>
        </w:trPr>
        <w:tc>
          <w:tcPr>
            <w:tcW w:w="2156" w:type="dxa"/>
            <w:gridSpan w:val="2"/>
            <w:shd w:val="clear" w:color="auto" w:fill="FFFFFF"/>
          </w:tcPr>
          <w:p w14:paraId="529461BD" w14:textId="77777777" w:rsidR="00A53ADF" w:rsidRPr="00F36492" w:rsidRDefault="00A53ADF" w:rsidP="00F36492">
            <w:pPr>
              <w:spacing w:line="240" w:lineRule="auto"/>
              <w:rPr>
                <w:rFonts w:ascii="Times New Roman" w:hAnsi="Times New Roman"/>
              </w:rPr>
            </w:pPr>
            <w:r w:rsidRPr="00F36492">
              <w:rPr>
                <w:rFonts w:ascii="Times New Roman" w:hAnsi="Times New Roman"/>
              </w:rPr>
              <w:t xml:space="preserve">Dodatkowe informacje, w tym wskazanie źródeł danych i przyjętych do obliczeń założeń </w:t>
            </w:r>
          </w:p>
        </w:tc>
        <w:tc>
          <w:tcPr>
            <w:tcW w:w="8914" w:type="dxa"/>
            <w:gridSpan w:val="22"/>
            <w:shd w:val="clear" w:color="auto" w:fill="FFFFFF"/>
          </w:tcPr>
          <w:p w14:paraId="29892B79" w14:textId="60737CD2" w:rsidR="007C276A" w:rsidRPr="00026189" w:rsidRDefault="007C276A" w:rsidP="007C276A">
            <w:pPr>
              <w:spacing w:line="240" w:lineRule="auto"/>
              <w:jc w:val="both"/>
              <w:rPr>
                <w:rFonts w:ascii="Times New Roman" w:hAnsi="Times New Roman"/>
              </w:rPr>
            </w:pPr>
            <w:r w:rsidRPr="00026189">
              <w:rPr>
                <w:rFonts w:ascii="Times New Roman" w:hAnsi="Times New Roman"/>
              </w:rPr>
              <w:t>Co do zasady obciążeni</w:t>
            </w:r>
            <w:r w:rsidR="002B48F7">
              <w:rPr>
                <w:rFonts w:ascii="Times New Roman" w:hAnsi="Times New Roman"/>
              </w:rPr>
              <w:t>e</w:t>
            </w:r>
            <w:r w:rsidRPr="00026189">
              <w:rPr>
                <w:rFonts w:ascii="Times New Roman" w:hAnsi="Times New Roman"/>
              </w:rPr>
              <w:t xml:space="preserve"> podatkowe obywateli polskich (końcowych nabywców) towarów </w:t>
            </w:r>
            <w:r w:rsidR="002B48F7">
              <w:rPr>
                <w:rFonts w:ascii="Times New Roman" w:hAnsi="Times New Roman"/>
              </w:rPr>
              <w:t xml:space="preserve">wynika </w:t>
            </w:r>
            <w:r w:rsidRPr="00026189">
              <w:rPr>
                <w:rFonts w:ascii="Times New Roman" w:hAnsi="Times New Roman"/>
              </w:rPr>
              <w:t xml:space="preserve">już </w:t>
            </w:r>
            <w:r w:rsidR="002B48F7">
              <w:rPr>
                <w:rFonts w:ascii="Times New Roman" w:hAnsi="Times New Roman"/>
              </w:rPr>
              <w:t>z</w:t>
            </w:r>
            <w:r w:rsidR="00E73AE3">
              <w:rPr>
                <w:rFonts w:ascii="Times New Roman" w:hAnsi="Times New Roman"/>
              </w:rPr>
              <w:t xml:space="preserve"> </w:t>
            </w:r>
            <w:r w:rsidRPr="00026189">
              <w:rPr>
                <w:rFonts w:ascii="Times New Roman" w:hAnsi="Times New Roman"/>
              </w:rPr>
              <w:t>obecn</w:t>
            </w:r>
            <w:r w:rsidR="002B48F7">
              <w:rPr>
                <w:rFonts w:ascii="Times New Roman" w:hAnsi="Times New Roman"/>
              </w:rPr>
              <w:t>ego</w:t>
            </w:r>
            <w:r w:rsidR="00E73AE3">
              <w:rPr>
                <w:rFonts w:ascii="Times New Roman" w:hAnsi="Times New Roman"/>
              </w:rPr>
              <w:t xml:space="preserve"> </w:t>
            </w:r>
            <w:r w:rsidRPr="00026189">
              <w:rPr>
                <w:rFonts w:ascii="Times New Roman" w:hAnsi="Times New Roman"/>
              </w:rPr>
              <w:t xml:space="preserve"> stan</w:t>
            </w:r>
            <w:r w:rsidR="002B48F7">
              <w:rPr>
                <w:rFonts w:ascii="Times New Roman" w:hAnsi="Times New Roman"/>
              </w:rPr>
              <w:t>u</w:t>
            </w:r>
            <w:r w:rsidRPr="00026189">
              <w:rPr>
                <w:rFonts w:ascii="Times New Roman" w:hAnsi="Times New Roman"/>
              </w:rPr>
              <w:t xml:space="preserve"> prawn</w:t>
            </w:r>
            <w:r w:rsidR="002B48F7">
              <w:rPr>
                <w:rFonts w:ascii="Times New Roman" w:hAnsi="Times New Roman"/>
              </w:rPr>
              <w:t>ego</w:t>
            </w:r>
            <w:r>
              <w:rPr>
                <w:rFonts w:ascii="Times New Roman" w:hAnsi="Times New Roman"/>
              </w:rPr>
              <w:t xml:space="preserve"> przykładowo </w:t>
            </w:r>
            <w:r w:rsidRPr="00026189">
              <w:rPr>
                <w:rFonts w:ascii="Times New Roman" w:hAnsi="Times New Roman"/>
              </w:rPr>
              <w:t xml:space="preserve"> import i dostawy towarów,</w:t>
            </w:r>
            <w:r>
              <w:rPr>
                <w:rFonts w:ascii="Times New Roman" w:hAnsi="Times New Roman"/>
              </w:rPr>
              <w:t xml:space="preserve"> nabytych przez I</w:t>
            </w:r>
            <w:r w:rsidRPr="00026189">
              <w:rPr>
                <w:rFonts w:ascii="Times New Roman" w:hAnsi="Times New Roman"/>
              </w:rPr>
              <w:t xml:space="preserve">nternet podlegają opodatkowaniu podatkiem VAT.  Ewentualne koszty związane ze zwiększeniem opodatkowania można wskazać jedynie przy procedurze szczególnej dotyczącej deklarowania i zapłaty VAT (tzw. uregulowanie szczególne), gdzie zaproponowano przyjęcie podstawowej stawki VAT dla importu towarów dokonanych przez operatora pocztowego, który zechce korzystać z tego uproszczenia (procedura fakultatywna). Pozostaje jednakże nadal możliwość </w:t>
            </w:r>
            <w:r w:rsidR="00E73AE3">
              <w:rPr>
                <w:rFonts w:ascii="Times New Roman" w:hAnsi="Times New Roman"/>
              </w:rPr>
              <w:t>składania zgłoszeń celnych</w:t>
            </w:r>
            <w:r w:rsidRPr="00026189">
              <w:rPr>
                <w:rFonts w:ascii="Times New Roman" w:hAnsi="Times New Roman"/>
              </w:rPr>
              <w:t xml:space="preserve"> organom celnym na zasadach ogólnych, </w:t>
            </w:r>
            <w:r w:rsidR="00E73AE3">
              <w:rPr>
                <w:rFonts w:ascii="Times New Roman" w:hAnsi="Times New Roman"/>
              </w:rPr>
              <w:t>w</w:t>
            </w:r>
            <w:r w:rsidRPr="00026189">
              <w:rPr>
                <w:rFonts w:ascii="Times New Roman" w:hAnsi="Times New Roman"/>
              </w:rPr>
              <w:t xml:space="preserve"> których </w:t>
            </w:r>
            <w:r w:rsidR="00E73AE3">
              <w:rPr>
                <w:rFonts w:ascii="Times New Roman" w:hAnsi="Times New Roman"/>
              </w:rPr>
              <w:t xml:space="preserve">dla odpowiednich towarów </w:t>
            </w:r>
            <w:r w:rsidRPr="00026189">
              <w:rPr>
                <w:rFonts w:ascii="Times New Roman" w:hAnsi="Times New Roman"/>
              </w:rPr>
              <w:t xml:space="preserve">zastosowanie ma obniżona stawka VAT. Poza tym </w:t>
            </w:r>
            <w:r w:rsidR="00991D2D">
              <w:rPr>
                <w:rFonts w:ascii="Times New Roman" w:hAnsi="Times New Roman"/>
              </w:rPr>
              <w:t>do większości</w:t>
            </w:r>
            <w:r w:rsidRPr="00026189">
              <w:rPr>
                <w:rFonts w:ascii="Times New Roman" w:hAnsi="Times New Roman"/>
              </w:rPr>
              <w:t xml:space="preserve"> towarów nabywanych</w:t>
            </w:r>
            <w:r w:rsidR="00991D2D">
              <w:rPr>
                <w:rFonts w:ascii="Times New Roman" w:hAnsi="Times New Roman"/>
              </w:rPr>
              <w:t xml:space="preserve"> </w:t>
            </w:r>
            <w:r w:rsidR="00E73AE3">
              <w:rPr>
                <w:rFonts w:ascii="Times New Roman" w:hAnsi="Times New Roman"/>
              </w:rPr>
              <w:t xml:space="preserve">przez konsumentów </w:t>
            </w:r>
            <w:r w:rsidR="00991D2D">
              <w:rPr>
                <w:rFonts w:ascii="Times New Roman" w:hAnsi="Times New Roman"/>
              </w:rPr>
              <w:t xml:space="preserve">przez Internet </w:t>
            </w:r>
            <w:r w:rsidRPr="00026189">
              <w:rPr>
                <w:rFonts w:ascii="Times New Roman" w:hAnsi="Times New Roman"/>
              </w:rPr>
              <w:t>z państw tr</w:t>
            </w:r>
            <w:r>
              <w:rPr>
                <w:rFonts w:ascii="Times New Roman" w:hAnsi="Times New Roman"/>
              </w:rPr>
              <w:t>zecich</w:t>
            </w:r>
            <w:r w:rsidR="00E73AE3">
              <w:rPr>
                <w:rFonts w:ascii="Times New Roman" w:hAnsi="Times New Roman"/>
              </w:rPr>
              <w:t>,</w:t>
            </w:r>
            <w:r>
              <w:rPr>
                <w:rFonts w:ascii="Times New Roman" w:hAnsi="Times New Roman"/>
              </w:rPr>
              <w:t xml:space="preserve"> </w:t>
            </w:r>
            <w:r w:rsidRPr="00026189">
              <w:rPr>
                <w:rFonts w:ascii="Times New Roman" w:hAnsi="Times New Roman"/>
              </w:rPr>
              <w:t>zastosowanie ma stawka podstawowa</w:t>
            </w:r>
            <w:r w:rsidR="00991D2D">
              <w:rPr>
                <w:rFonts w:ascii="Times New Roman" w:hAnsi="Times New Roman"/>
              </w:rPr>
              <w:t xml:space="preserve"> VAT</w:t>
            </w:r>
            <w:r w:rsidRPr="00026189">
              <w:rPr>
                <w:rFonts w:ascii="Times New Roman" w:hAnsi="Times New Roman"/>
              </w:rPr>
              <w:t>.</w:t>
            </w:r>
          </w:p>
          <w:p w14:paraId="2749D1AF" w14:textId="37384E45" w:rsidR="00AE77CD" w:rsidRPr="00AE77CD" w:rsidRDefault="00600CF0" w:rsidP="00AE77CD">
            <w:pPr>
              <w:spacing w:line="240" w:lineRule="auto"/>
              <w:jc w:val="both"/>
              <w:rPr>
                <w:rFonts w:ascii="Times New Roman" w:hAnsi="Times New Roman"/>
              </w:rPr>
            </w:pPr>
            <w:r>
              <w:rPr>
                <w:rFonts w:ascii="Times New Roman" w:hAnsi="Times New Roman"/>
              </w:rPr>
              <w:t xml:space="preserve">Skutki ujęte w tabeli </w:t>
            </w:r>
            <w:r w:rsidR="00AE77CD" w:rsidRPr="00AE77CD">
              <w:rPr>
                <w:rFonts w:ascii="Times New Roman" w:hAnsi="Times New Roman"/>
              </w:rPr>
              <w:t>wynikają z uszczelnienia systemu VAT – projektowane rozwiązania nakierowane są na skuteczny pobór VAT</w:t>
            </w:r>
            <w:r w:rsidR="00DA5D6C">
              <w:rPr>
                <w:rFonts w:ascii="Times New Roman" w:hAnsi="Times New Roman"/>
              </w:rPr>
              <w:t xml:space="preserve"> </w:t>
            </w:r>
            <w:r w:rsidR="00AE77CD" w:rsidRPr="00AE77CD">
              <w:rPr>
                <w:rFonts w:ascii="Times New Roman" w:hAnsi="Times New Roman"/>
              </w:rPr>
              <w:t xml:space="preserve">od konsumentów </w:t>
            </w:r>
            <w:r w:rsidR="005E44A0">
              <w:rPr>
                <w:rFonts w:ascii="Times New Roman" w:hAnsi="Times New Roman"/>
              </w:rPr>
              <w:t xml:space="preserve">tych </w:t>
            </w:r>
            <w:r w:rsidR="00AE77CD" w:rsidRPr="00AE77CD">
              <w:rPr>
                <w:rFonts w:ascii="Times New Roman" w:hAnsi="Times New Roman"/>
              </w:rPr>
              <w:t xml:space="preserve">towarów i usług, </w:t>
            </w:r>
            <w:r w:rsidR="005E44A0">
              <w:rPr>
                <w:rFonts w:ascii="Times New Roman" w:hAnsi="Times New Roman"/>
              </w:rPr>
              <w:t>w państwie członkowskim, w którym ich konsumpcja faktycznie ma miejsce.</w:t>
            </w:r>
          </w:p>
          <w:p w14:paraId="4B80F18A" w14:textId="77777777" w:rsidR="00AE77CD" w:rsidRPr="00026189" w:rsidRDefault="00AE77CD" w:rsidP="007C276A">
            <w:pPr>
              <w:spacing w:line="240" w:lineRule="auto"/>
              <w:jc w:val="both"/>
              <w:rPr>
                <w:rFonts w:ascii="Times New Roman" w:hAnsi="Times New Roman"/>
              </w:rPr>
            </w:pPr>
          </w:p>
          <w:p w14:paraId="529461BE" w14:textId="77777777" w:rsidR="00A53ADF" w:rsidRPr="00F36492" w:rsidRDefault="00A53ADF" w:rsidP="00F36492">
            <w:pPr>
              <w:spacing w:line="240" w:lineRule="auto"/>
              <w:jc w:val="both"/>
              <w:rPr>
                <w:rFonts w:ascii="Times New Roman" w:hAnsi="Times New Roman"/>
                <w:lang w:val="cs-CZ"/>
              </w:rPr>
            </w:pPr>
          </w:p>
        </w:tc>
      </w:tr>
      <w:tr w:rsidR="00A53ADF" w:rsidRPr="00F36492" w14:paraId="529461C1" w14:textId="77777777" w:rsidTr="1D9DC3A4">
        <w:trPr>
          <w:gridAfter w:val="1"/>
          <w:wAfter w:w="10" w:type="dxa"/>
          <w:trHeight w:val="342"/>
        </w:trPr>
        <w:tc>
          <w:tcPr>
            <w:tcW w:w="11070" w:type="dxa"/>
            <w:gridSpan w:val="24"/>
            <w:shd w:val="clear" w:color="auto" w:fill="99CCFF"/>
            <w:vAlign w:val="center"/>
          </w:tcPr>
          <w:p w14:paraId="529461C0" w14:textId="77777777" w:rsidR="00A53ADF" w:rsidRPr="00F36492" w:rsidRDefault="00A53ADF" w:rsidP="00F36492">
            <w:pPr>
              <w:numPr>
                <w:ilvl w:val="0"/>
                <w:numId w:val="12"/>
              </w:numPr>
              <w:spacing w:before="60" w:after="60" w:line="240" w:lineRule="auto"/>
              <w:ind w:left="318" w:hanging="284"/>
              <w:jc w:val="both"/>
              <w:rPr>
                <w:rFonts w:ascii="Times New Roman" w:hAnsi="Times New Roman"/>
                <w:b/>
              </w:rPr>
            </w:pPr>
            <w:r w:rsidRPr="00F36492">
              <w:rPr>
                <w:rFonts w:ascii="Times New Roman" w:hAnsi="Times New Roman"/>
                <w:b/>
              </w:rPr>
              <w:t xml:space="preserve"> Zmiana obciążeń regulacyjnych (w tym obowiązków informacyjnych) wynikających z projektu</w:t>
            </w:r>
          </w:p>
        </w:tc>
      </w:tr>
      <w:tr w:rsidR="00A53ADF" w:rsidRPr="00F36492" w14:paraId="529461C3" w14:textId="77777777" w:rsidTr="1D9DC3A4">
        <w:trPr>
          <w:gridAfter w:val="1"/>
          <w:wAfter w:w="10" w:type="dxa"/>
          <w:trHeight w:val="151"/>
        </w:trPr>
        <w:tc>
          <w:tcPr>
            <w:tcW w:w="11070" w:type="dxa"/>
            <w:gridSpan w:val="24"/>
            <w:shd w:val="clear" w:color="auto" w:fill="FFFFFF"/>
          </w:tcPr>
          <w:p w14:paraId="529461C2"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nie dotyczy</w:t>
            </w:r>
          </w:p>
        </w:tc>
      </w:tr>
      <w:tr w:rsidR="00A53ADF" w:rsidRPr="00F36492" w14:paraId="529461C8" w14:textId="77777777" w:rsidTr="1D9DC3A4">
        <w:trPr>
          <w:gridAfter w:val="2"/>
          <w:wAfter w:w="1015" w:type="dxa"/>
          <w:trHeight w:val="946"/>
        </w:trPr>
        <w:tc>
          <w:tcPr>
            <w:tcW w:w="4839" w:type="dxa"/>
            <w:gridSpan w:val="9"/>
            <w:shd w:val="clear" w:color="auto" w:fill="FFFFFF"/>
          </w:tcPr>
          <w:p w14:paraId="529461C4" w14:textId="77777777" w:rsidR="00A53ADF" w:rsidRPr="00F36492" w:rsidRDefault="00A53ADF" w:rsidP="00F36492">
            <w:pPr>
              <w:rPr>
                <w:rFonts w:ascii="Times New Roman" w:hAnsi="Times New Roman"/>
                <w:spacing w:val="-2"/>
              </w:rPr>
            </w:pPr>
            <w:r w:rsidRPr="00F36492">
              <w:rPr>
                <w:rFonts w:ascii="Times New Roman" w:hAnsi="Times New Roman"/>
                <w:spacing w:val="-2"/>
              </w:rPr>
              <w:lastRenderedPageBreak/>
              <w:t xml:space="preserve">Wprowadzane są obciążenia poza bezwzględnie wymaganymi przez UE </w:t>
            </w:r>
            <w:r w:rsidRPr="00F36492">
              <w:rPr>
                <w:rFonts w:ascii="Times New Roman" w:hAnsi="Times New Roman"/>
              </w:rPr>
              <w:t>(szczegóły w odwróconej tabeli zgodności).</w:t>
            </w:r>
          </w:p>
        </w:tc>
        <w:tc>
          <w:tcPr>
            <w:tcW w:w="5226" w:type="dxa"/>
            <w:gridSpan w:val="14"/>
            <w:shd w:val="clear" w:color="auto" w:fill="FFFFFF"/>
          </w:tcPr>
          <w:p w14:paraId="529461C5"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tak</w:t>
            </w:r>
          </w:p>
          <w:p w14:paraId="529461C6"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
                  <w:enabled/>
                  <w:calcOnExit w:val="0"/>
                  <w:checkBox>
                    <w:sizeAuto/>
                    <w:default w:val="1"/>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nie</w:t>
            </w:r>
          </w:p>
          <w:p w14:paraId="529461C7" w14:textId="77777777" w:rsidR="00A53ADF" w:rsidRPr="00F36492" w:rsidRDefault="00A53ADF" w:rsidP="00F36492">
            <w:pPr>
              <w:rPr>
                <w:rFonts w:ascii="Times New Roman" w:hAnsi="Times New Roman"/>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nie dotyczy</w:t>
            </w:r>
          </w:p>
        </w:tc>
      </w:tr>
      <w:tr w:rsidR="00A53ADF" w:rsidRPr="00F36492" w14:paraId="529461D2" w14:textId="77777777" w:rsidTr="1D9DC3A4">
        <w:trPr>
          <w:gridAfter w:val="2"/>
          <w:wAfter w:w="1015" w:type="dxa"/>
          <w:trHeight w:val="1245"/>
        </w:trPr>
        <w:tc>
          <w:tcPr>
            <w:tcW w:w="4839" w:type="dxa"/>
            <w:gridSpan w:val="9"/>
            <w:shd w:val="clear" w:color="auto" w:fill="FFFFFF"/>
          </w:tcPr>
          <w:p w14:paraId="529461C9"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 xml:space="preserve">zmniejszenie liczby dokumentów </w:t>
            </w:r>
          </w:p>
          <w:p w14:paraId="529461CA"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zmniejszenie liczby procedur</w:t>
            </w:r>
          </w:p>
          <w:p w14:paraId="529461CB"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skrócenie czasu na załatwienie sprawy</w:t>
            </w:r>
          </w:p>
          <w:p w14:paraId="529461CC" w14:textId="77777777" w:rsidR="00A53ADF" w:rsidRPr="00F36492" w:rsidRDefault="00A53ADF" w:rsidP="00F36492">
            <w:pPr>
              <w:rPr>
                <w:rFonts w:ascii="Times New Roman" w:hAnsi="Times New Roman"/>
                <w:b/>
                <w:spacing w:val="-2"/>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inne:</w:t>
            </w:r>
            <w:r w:rsidRPr="00F36492">
              <w:rPr>
                <w:rFonts w:ascii="Times New Roman" w:hAnsi="Times New Roman"/>
              </w:rPr>
              <w:t xml:space="preserve"> </w:t>
            </w:r>
            <w:r w:rsidRPr="00F36492">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36492">
              <w:rPr>
                <w:rFonts w:ascii="Times New Roman" w:hAnsi="Times New Roman"/>
              </w:rPr>
              <w:instrText xml:space="preserve"> FORMTEXT </w:instrText>
            </w:r>
            <w:r w:rsidRPr="00F36492">
              <w:rPr>
                <w:rFonts w:ascii="Times New Roman" w:hAnsi="Times New Roman"/>
              </w:rPr>
            </w:r>
            <w:r w:rsidRPr="00F36492">
              <w:rPr>
                <w:rFonts w:ascii="Times New Roman" w:hAnsi="Times New Roman"/>
              </w:rPr>
              <w:fldChar w:fldCharType="separate"/>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rPr>
              <w:fldChar w:fldCharType="end"/>
            </w:r>
          </w:p>
        </w:tc>
        <w:tc>
          <w:tcPr>
            <w:tcW w:w="5226" w:type="dxa"/>
            <w:gridSpan w:val="14"/>
            <w:shd w:val="clear" w:color="auto" w:fill="FFFFFF"/>
          </w:tcPr>
          <w:p w14:paraId="529461CD"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
                  <w:enabled/>
                  <w:calcOnExit w:val="0"/>
                  <w:checkBox>
                    <w:sizeAuto/>
                    <w:default w:val="1"/>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zwiększenie liczby dokumentów</w:t>
            </w:r>
          </w:p>
          <w:p w14:paraId="529461CE"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
                  <w:enabled/>
                  <w:calcOnExit w:val="0"/>
                  <w:checkBox>
                    <w:sizeAuto/>
                    <w:default w:val="1"/>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zwiększenie liczby procedur</w:t>
            </w:r>
          </w:p>
          <w:p w14:paraId="529461CF"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wydłużenie czasu na załatwienie sprawy</w:t>
            </w:r>
          </w:p>
          <w:p w14:paraId="529461D0"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inne:</w:t>
            </w:r>
            <w:r w:rsidRPr="00F36492">
              <w:rPr>
                <w:rFonts w:ascii="Times New Roman" w:hAnsi="Times New Roman"/>
              </w:rPr>
              <w:t xml:space="preserve"> </w:t>
            </w:r>
            <w:r w:rsidRPr="00F36492">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36492">
              <w:rPr>
                <w:rFonts w:ascii="Times New Roman" w:hAnsi="Times New Roman"/>
              </w:rPr>
              <w:instrText xml:space="preserve"> FORMTEXT </w:instrText>
            </w:r>
            <w:r w:rsidRPr="00F36492">
              <w:rPr>
                <w:rFonts w:ascii="Times New Roman" w:hAnsi="Times New Roman"/>
              </w:rPr>
            </w:r>
            <w:r w:rsidRPr="00F36492">
              <w:rPr>
                <w:rFonts w:ascii="Times New Roman" w:hAnsi="Times New Roman"/>
              </w:rPr>
              <w:fldChar w:fldCharType="separate"/>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rPr>
              <w:fldChar w:fldCharType="end"/>
            </w:r>
          </w:p>
          <w:p w14:paraId="529461D1" w14:textId="77777777" w:rsidR="00A53ADF" w:rsidRPr="00F36492" w:rsidRDefault="00A53ADF" w:rsidP="00F36492">
            <w:pPr>
              <w:spacing w:line="240" w:lineRule="auto"/>
              <w:rPr>
                <w:rFonts w:ascii="Times New Roman" w:hAnsi="Times New Roman"/>
              </w:rPr>
            </w:pPr>
          </w:p>
        </w:tc>
      </w:tr>
      <w:tr w:rsidR="00A53ADF" w:rsidRPr="00F36492" w14:paraId="529461D8" w14:textId="77777777" w:rsidTr="1D9DC3A4">
        <w:trPr>
          <w:gridAfter w:val="2"/>
          <w:wAfter w:w="1015" w:type="dxa"/>
          <w:trHeight w:val="870"/>
        </w:trPr>
        <w:tc>
          <w:tcPr>
            <w:tcW w:w="4839" w:type="dxa"/>
            <w:gridSpan w:val="9"/>
            <w:shd w:val="clear" w:color="auto" w:fill="FFFFFF"/>
          </w:tcPr>
          <w:p w14:paraId="529461D3" w14:textId="77777777" w:rsidR="00A53ADF" w:rsidRPr="00F36492" w:rsidRDefault="00A53ADF" w:rsidP="00F36492">
            <w:pPr>
              <w:spacing w:line="240" w:lineRule="auto"/>
              <w:rPr>
                <w:rFonts w:ascii="Times New Roman" w:hAnsi="Times New Roman"/>
              </w:rPr>
            </w:pPr>
            <w:r w:rsidRPr="00F36492">
              <w:rPr>
                <w:rFonts w:ascii="Times New Roman" w:hAnsi="Times New Roman"/>
                <w:spacing w:val="-2"/>
              </w:rPr>
              <w:t xml:space="preserve">Wprowadzane obciążenia są przystosowane do ich elektronizacji. </w:t>
            </w:r>
          </w:p>
        </w:tc>
        <w:tc>
          <w:tcPr>
            <w:tcW w:w="5226" w:type="dxa"/>
            <w:gridSpan w:val="14"/>
            <w:shd w:val="clear" w:color="auto" w:fill="FFFFFF"/>
          </w:tcPr>
          <w:p w14:paraId="529461D4"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
                  <w:enabled/>
                  <w:calcOnExit w:val="0"/>
                  <w:checkBox>
                    <w:sizeAuto/>
                    <w:default w:val="1"/>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tak</w:t>
            </w:r>
          </w:p>
          <w:p w14:paraId="529461D5"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nie</w:t>
            </w:r>
          </w:p>
          <w:p w14:paraId="529461D6"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nie dotyczy</w:t>
            </w:r>
          </w:p>
          <w:p w14:paraId="529461D7" w14:textId="77777777" w:rsidR="00A53ADF" w:rsidRPr="00F36492" w:rsidRDefault="00A53ADF" w:rsidP="00F36492">
            <w:pPr>
              <w:spacing w:line="240" w:lineRule="auto"/>
              <w:rPr>
                <w:rFonts w:ascii="Times New Roman" w:hAnsi="Times New Roman"/>
              </w:rPr>
            </w:pPr>
          </w:p>
        </w:tc>
      </w:tr>
      <w:tr w:rsidR="00A53ADF" w:rsidRPr="00F36492" w14:paraId="529461DC" w14:textId="77777777" w:rsidTr="1D9DC3A4">
        <w:trPr>
          <w:gridAfter w:val="1"/>
          <w:wAfter w:w="10" w:type="dxa"/>
          <w:trHeight w:val="630"/>
        </w:trPr>
        <w:tc>
          <w:tcPr>
            <w:tcW w:w="11070" w:type="dxa"/>
            <w:gridSpan w:val="24"/>
            <w:shd w:val="clear" w:color="auto" w:fill="FFFFFF"/>
          </w:tcPr>
          <w:p w14:paraId="529461D9" w14:textId="0E10E3D1" w:rsidR="00A53ADF" w:rsidRPr="00F36492" w:rsidRDefault="00A53ADF" w:rsidP="00F36492">
            <w:pPr>
              <w:spacing w:line="240" w:lineRule="auto"/>
              <w:jc w:val="both"/>
              <w:rPr>
                <w:rFonts w:ascii="Times New Roman" w:hAnsi="Times New Roman"/>
              </w:rPr>
            </w:pPr>
            <w:r w:rsidRPr="00F36492">
              <w:rPr>
                <w:rFonts w:ascii="Times New Roman" w:hAnsi="Times New Roman"/>
              </w:rPr>
              <w:t>Komentarz:</w:t>
            </w:r>
          </w:p>
          <w:p w14:paraId="1F360EB7" w14:textId="77777777" w:rsidR="00013F17" w:rsidRPr="00F36492" w:rsidRDefault="00013F17" w:rsidP="00F36492">
            <w:pPr>
              <w:spacing w:line="240" w:lineRule="auto"/>
              <w:jc w:val="both"/>
              <w:rPr>
                <w:rFonts w:ascii="Times New Roman" w:hAnsi="Times New Roman"/>
              </w:rPr>
            </w:pPr>
          </w:p>
          <w:p w14:paraId="12E21221" w14:textId="77777777" w:rsidR="00302145" w:rsidRPr="00F36492" w:rsidRDefault="00A53ADF" w:rsidP="00F36492">
            <w:pPr>
              <w:spacing w:line="240" w:lineRule="auto"/>
              <w:jc w:val="both"/>
              <w:rPr>
                <w:rFonts w:ascii="Times New Roman" w:hAnsi="Times New Roman"/>
              </w:rPr>
            </w:pPr>
            <w:r w:rsidRPr="00F36492">
              <w:rPr>
                <w:rFonts w:ascii="Times New Roman" w:hAnsi="Times New Roman"/>
              </w:rPr>
              <w:t xml:space="preserve">Trudno ocenić wprowadzane zmiany, wykorzystując powyższe pola. </w:t>
            </w:r>
          </w:p>
          <w:p w14:paraId="4D03E88E" w14:textId="77777777" w:rsidR="00302145" w:rsidRPr="00F36492" w:rsidRDefault="00302145" w:rsidP="00F36492">
            <w:pPr>
              <w:spacing w:line="240" w:lineRule="auto"/>
              <w:jc w:val="both"/>
              <w:rPr>
                <w:rFonts w:ascii="Times New Roman" w:hAnsi="Times New Roman"/>
              </w:rPr>
            </w:pPr>
          </w:p>
          <w:p w14:paraId="2CE28B9B" w14:textId="01A40507" w:rsidR="00636CB5" w:rsidRPr="00F36492" w:rsidRDefault="0075153F" w:rsidP="00F36492">
            <w:pPr>
              <w:spacing w:line="240" w:lineRule="auto"/>
              <w:jc w:val="both"/>
              <w:rPr>
                <w:rFonts w:ascii="Times New Roman" w:hAnsi="Times New Roman"/>
              </w:rPr>
            </w:pPr>
            <w:r w:rsidRPr="00F36492">
              <w:rPr>
                <w:rFonts w:ascii="Times New Roman" w:hAnsi="Times New Roman"/>
              </w:rPr>
              <w:t>Jednocześnie należy wskazać, że Polska, w sytuacji: (i) gdy na jej terytorium znajdują się towary w momencie rozpoczęcia ich wysyłki lub transportu, oraz (ii) gdy podatnicy świadczący usługi TBE</w:t>
            </w:r>
            <w:r w:rsidR="00382A8B" w:rsidRPr="00F36492">
              <w:rPr>
                <w:rStyle w:val="Odwoanieprzypisudolnego"/>
                <w:rFonts w:ascii="Times New Roman" w:hAnsi="Times New Roman"/>
              </w:rPr>
              <w:footnoteReference w:id="6"/>
            </w:r>
            <w:r w:rsidRPr="00F36492">
              <w:rPr>
                <w:rFonts w:ascii="Times New Roman" w:hAnsi="Times New Roman"/>
              </w:rPr>
              <w:t xml:space="preserve"> mają tu siedzibę, przyznaje im prawo wyboru, aby miejsce dostawy towarów lub świadczenia usług było określane zgodnie z art. 22a ust. 1 oraz 28k ust. 2. Polska ma </w:t>
            </w:r>
            <w:r w:rsidR="00A97CAC" w:rsidRPr="00F36492">
              <w:rPr>
                <w:rFonts w:ascii="Times New Roman" w:hAnsi="Times New Roman"/>
              </w:rPr>
              <w:t xml:space="preserve">więc </w:t>
            </w:r>
            <w:r w:rsidRPr="00F36492">
              <w:rPr>
                <w:rFonts w:ascii="Times New Roman" w:hAnsi="Times New Roman"/>
              </w:rPr>
              <w:t>obowiązek monitorowania czy podatnik spełnia warunki od których uzależniony jest wybór. W związku z powyższym</w:t>
            </w:r>
            <w:r w:rsidR="00302145" w:rsidRPr="00F36492">
              <w:rPr>
                <w:rFonts w:ascii="Times New Roman" w:hAnsi="Times New Roman"/>
              </w:rPr>
              <w:t>, również</w:t>
            </w:r>
            <w:r w:rsidRPr="00F36492">
              <w:rPr>
                <w:rFonts w:ascii="Times New Roman" w:hAnsi="Times New Roman"/>
              </w:rPr>
              <w:t xml:space="preserve"> na dostawców dokonujących WSTO</w:t>
            </w:r>
            <w:r w:rsidR="00A97CAC" w:rsidRPr="00F36492">
              <w:rPr>
                <w:rFonts w:ascii="Times New Roman" w:hAnsi="Times New Roman"/>
              </w:rPr>
              <w:t xml:space="preserve"> nakłada się</w:t>
            </w:r>
            <w:r w:rsidRPr="00F36492">
              <w:rPr>
                <w:rFonts w:ascii="Times New Roman" w:hAnsi="Times New Roman"/>
              </w:rPr>
              <w:t xml:space="preserve"> obowiązek prowadzenia ewidencji, określony w art. 109 ust. 11a ustawy o VAT</w:t>
            </w:r>
            <w:r w:rsidR="00636CB5" w:rsidRPr="00F36492">
              <w:rPr>
                <w:rFonts w:ascii="Times New Roman" w:hAnsi="Times New Roman"/>
              </w:rPr>
              <w:t xml:space="preserve"> (do 31 grudnia 2020 r. obowiązek ten dotyczył jedynie podatników świadczących usługi TBE)</w:t>
            </w:r>
            <w:r w:rsidR="00FA1BB5" w:rsidRPr="00F36492">
              <w:rPr>
                <w:rFonts w:ascii="Times New Roman" w:hAnsi="Times New Roman"/>
              </w:rPr>
              <w:t>.</w:t>
            </w:r>
            <w:r w:rsidR="007F09B8">
              <w:rPr>
                <w:rFonts w:ascii="Times New Roman" w:hAnsi="Times New Roman"/>
              </w:rPr>
              <w:t xml:space="preserve"> Uległ zatem rozszerzeniu krąg podmiotów zobowiązanych do prowadzenia tej ewidencji, skorelowany z dokonywaniem </w:t>
            </w:r>
            <w:r w:rsidR="00BA533A">
              <w:rPr>
                <w:rFonts w:ascii="Times New Roman" w:hAnsi="Times New Roman"/>
              </w:rPr>
              <w:t xml:space="preserve">przez nie </w:t>
            </w:r>
            <w:r w:rsidR="007F09B8">
              <w:rPr>
                <w:rFonts w:ascii="Times New Roman" w:hAnsi="Times New Roman"/>
              </w:rPr>
              <w:t>WSTO.</w:t>
            </w:r>
            <w:r w:rsidR="00FA1BB5" w:rsidRPr="00F36492">
              <w:rPr>
                <w:rFonts w:ascii="Times New Roman" w:hAnsi="Times New Roman"/>
              </w:rPr>
              <w:t xml:space="preserve"> </w:t>
            </w:r>
          </w:p>
          <w:p w14:paraId="2383CBE0" w14:textId="3A58BE07" w:rsidR="006866B9" w:rsidRPr="00F36492" w:rsidRDefault="00FA1BB5" w:rsidP="00F36492">
            <w:pPr>
              <w:spacing w:line="240" w:lineRule="auto"/>
              <w:jc w:val="both"/>
              <w:rPr>
                <w:rFonts w:ascii="Times New Roman" w:hAnsi="Times New Roman"/>
              </w:rPr>
            </w:pPr>
            <w:r w:rsidRPr="00F36492">
              <w:rPr>
                <w:rFonts w:ascii="Times New Roman" w:hAnsi="Times New Roman"/>
              </w:rPr>
              <w:t>Obowiązek ten jest powiązany z</w:t>
            </w:r>
            <w:r w:rsidR="00636CB5" w:rsidRPr="00F36492">
              <w:rPr>
                <w:rFonts w:ascii="Times New Roman" w:hAnsi="Times New Roman"/>
              </w:rPr>
              <w:t>: (i)</w:t>
            </w:r>
            <w:r w:rsidRPr="00F36492">
              <w:rPr>
                <w:rFonts w:ascii="Times New Roman" w:hAnsi="Times New Roman"/>
              </w:rPr>
              <w:t xml:space="preserve"> koniecznością posiadania przez wszystkich dostawców dokonujących WSTO, których towary w momencie rozpoczęcia ich wysyłki lub transportu znajdują się na terytorium kraju, dowodów</w:t>
            </w:r>
            <w:r w:rsidR="00636CB5" w:rsidRPr="00F36492">
              <w:rPr>
                <w:rFonts w:ascii="Times New Roman" w:hAnsi="Times New Roman"/>
              </w:rPr>
              <w:t xml:space="preserve"> że towary opuściły Polskę, (ii) koniecznością składania zawiadomienia</w:t>
            </w:r>
            <w:r w:rsidR="00BF55AB">
              <w:rPr>
                <w:rFonts w:ascii="Times New Roman" w:hAnsi="Times New Roman"/>
              </w:rPr>
              <w:t xml:space="preserve"> o wyborze miejsca opodatkowania, rezygnacji z tego wyboru i o przekroczeniu progu. Należy jednak zaznaczyć, że powyższe obowiązki, poza obowiązkiem zawiadamiania o przekroczeniu progu, funkcjonują obecnie przy sprzedaży wysyłkowej z terytorium kraju. </w:t>
            </w:r>
            <w:r w:rsidR="00194C8D">
              <w:rPr>
                <w:rFonts w:ascii="Times New Roman" w:hAnsi="Times New Roman"/>
              </w:rPr>
              <w:t>Dodatkowym obowiązkiem zawiadamiania o przekroczeniu progu obarczono również podatników świadczących usługi TBE.</w:t>
            </w:r>
            <w:r w:rsidR="00636CB5" w:rsidRPr="00F36492">
              <w:rPr>
                <w:rFonts w:ascii="Times New Roman" w:hAnsi="Times New Roman"/>
              </w:rPr>
              <w:t xml:space="preserve"> </w:t>
            </w:r>
          </w:p>
          <w:p w14:paraId="167AD4F3" w14:textId="12AB539B" w:rsidR="006866B9" w:rsidRPr="00F36492" w:rsidRDefault="006866B9" w:rsidP="00F36492">
            <w:pPr>
              <w:spacing w:line="240" w:lineRule="auto"/>
              <w:jc w:val="both"/>
              <w:rPr>
                <w:rFonts w:ascii="Times New Roman" w:hAnsi="Times New Roman"/>
              </w:rPr>
            </w:pPr>
            <w:r w:rsidRPr="00F36492">
              <w:rPr>
                <w:rFonts w:ascii="Times New Roman" w:hAnsi="Times New Roman"/>
              </w:rPr>
              <w:t xml:space="preserve">Ponadto, w art. 96 wskazano, że w przypadku gdy dostawca </w:t>
            </w:r>
            <w:r w:rsidR="00DE35AD">
              <w:rPr>
                <w:rFonts w:ascii="Times New Roman" w:hAnsi="Times New Roman"/>
              </w:rPr>
              <w:t>nieposiadający</w:t>
            </w:r>
            <w:r w:rsidR="00DE35AD" w:rsidRPr="00DE35AD">
              <w:rPr>
                <w:rFonts w:ascii="Times New Roman" w:hAnsi="Times New Roman"/>
              </w:rPr>
              <w:t xml:space="preserve"> siedziby działalności gospodarczej na terytorium kraju </w:t>
            </w:r>
            <w:r w:rsidRPr="00F36492">
              <w:rPr>
                <w:rFonts w:ascii="Times New Roman" w:hAnsi="Times New Roman"/>
              </w:rPr>
              <w:t>), którego towary w momencie rozpoczęcia ich wysyłki lub transportu znajdują się na terytorium kraju, dokonuje WSTO, jest on obowiązany dokonać zgłoszenia rejestracyjnego przed dniem dokonania takiej dostawy.</w:t>
            </w:r>
          </w:p>
          <w:p w14:paraId="57ED5CF0" w14:textId="77777777" w:rsidR="006866B9" w:rsidRDefault="006866B9" w:rsidP="00F36492">
            <w:pPr>
              <w:spacing w:line="240" w:lineRule="auto"/>
              <w:jc w:val="both"/>
              <w:rPr>
                <w:rFonts w:ascii="Times New Roman" w:hAnsi="Times New Roman"/>
              </w:rPr>
            </w:pPr>
          </w:p>
          <w:p w14:paraId="0C619B5D" w14:textId="0F4DB15A" w:rsidR="00BA533A" w:rsidRDefault="00BA533A" w:rsidP="00F36492">
            <w:pPr>
              <w:spacing w:line="240" w:lineRule="auto"/>
              <w:jc w:val="both"/>
              <w:rPr>
                <w:rFonts w:ascii="Times New Roman" w:hAnsi="Times New Roman"/>
              </w:rPr>
            </w:pPr>
            <w:r>
              <w:rPr>
                <w:rFonts w:ascii="Times New Roman" w:hAnsi="Times New Roman"/>
              </w:rPr>
              <w:t>Istotną zmianą jest też obniżenie progu ustalania miejsca opodatkowania dla dotychczasowej sprzedaży wysyłkowej z terytorium kraju (w wyniku nowelizacji zmodyfikowanej do postaci WSTO) ze 160 000 zł do 42 000 zł. W jej wyniku większa liczba przedsiębiorców będzie zobowiązana do rejestracji w innych państwach członkowskich, gdzie ma miejsce dane świadczenie i rozliczania VAT zgodnie z tamtejszymi zasadami. Podatnik może jednak uwolnić się od takich rozbudowanych obowiązków rozliczeniowych, jeżeli wybierze opcję rozliczania WSTO poprzez OSS.</w:t>
            </w:r>
          </w:p>
          <w:p w14:paraId="595C70D4" w14:textId="77777777" w:rsidR="00BA533A" w:rsidRPr="00F36492" w:rsidRDefault="00BA533A" w:rsidP="00F36492">
            <w:pPr>
              <w:spacing w:line="240" w:lineRule="auto"/>
              <w:jc w:val="both"/>
              <w:rPr>
                <w:rFonts w:ascii="Times New Roman" w:hAnsi="Times New Roman"/>
              </w:rPr>
            </w:pPr>
          </w:p>
          <w:p w14:paraId="6F2A3F89" w14:textId="099B1956" w:rsidR="006866B9" w:rsidRPr="00F36492" w:rsidRDefault="006866B9" w:rsidP="00F36492">
            <w:pPr>
              <w:spacing w:line="240" w:lineRule="auto"/>
              <w:jc w:val="both"/>
              <w:rPr>
                <w:rFonts w:ascii="Times New Roman" w:hAnsi="Times New Roman"/>
              </w:rPr>
            </w:pPr>
            <w:r w:rsidRPr="00F36492">
              <w:rPr>
                <w:rFonts w:ascii="Times New Roman" w:hAnsi="Times New Roman"/>
              </w:rPr>
              <w:t>Wskazane wyżej przepisy nakładają dodatkowe obowiązki na podatników, co skutkuje zwiększeniem liczby dokumentów</w:t>
            </w:r>
            <w:r w:rsidR="00CE7BFF" w:rsidRPr="00F36492">
              <w:rPr>
                <w:rFonts w:ascii="Times New Roman" w:hAnsi="Times New Roman"/>
              </w:rPr>
              <w:t xml:space="preserve">, jakie są oni obowiązani wypełniać. </w:t>
            </w:r>
          </w:p>
          <w:p w14:paraId="2160A702" w14:textId="77777777" w:rsidR="00B87FE4" w:rsidRPr="00F36492" w:rsidRDefault="00B87FE4" w:rsidP="00F36492">
            <w:pPr>
              <w:spacing w:line="240" w:lineRule="auto"/>
              <w:jc w:val="both"/>
              <w:rPr>
                <w:rFonts w:ascii="Times New Roman" w:hAnsi="Times New Roman"/>
              </w:rPr>
            </w:pPr>
          </w:p>
          <w:p w14:paraId="529461DA" w14:textId="2E626B25" w:rsidR="00A53ADF" w:rsidRPr="00F36492" w:rsidRDefault="0090297E" w:rsidP="00F36492">
            <w:pPr>
              <w:spacing w:line="240" w:lineRule="auto"/>
              <w:jc w:val="both"/>
              <w:rPr>
                <w:rFonts w:ascii="Times New Roman" w:hAnsi="Times New Roman"/>
              </w:rPr>
            </w:pPr>
            <w:r w:rsidRPr="00F36492">
              <w:rPr>
                <w:rFonts w:ascii="Times New Roman" w:hAnsi="Times New Roman"/>
              </w:rPr>
              <w:t>Jednakże n</w:t>
            </w:r>
            <w:r w:rsidR="00A53ADF" w:rsidRPr="00F36492">
              <w:rPr>
                <w:rFonts w:ascii="Times New Roman" w:hAnsi="Times New Roman"/>
              </w:rPr>
              <w:t>ależy wskazać, że wprowadzenie szczególnej procedury upraszczającej system rozliczania podatku VAT (</w:t>
            </w:r>
            <w:r w:rsidR="00FD08AF" w:rsidRPr="00F36492">
              <w:rPr>
                <w:rFonts w:ascii="Times New Roman" w:hAnsi="Times New Roman"/>
              </w:rPr>
              <w:t>OSS</w:t>
            </w:r>
            <w:r w:rsidR="009A1AE1" w:rsidRPr="00F36492">
              <w:rPr>
                <w:rFonts w:ascii="Times New Roman" w:hAnsi="Times New Roman"/>
              </w:rPr>
              <w:t xml:space="preserve"> </w:t>
            </w:r>
            <w:r w:rsidR="00A53ADF" w:rsidRPr="00F36492">
              <w:rPr>
                <w:rFonts w:ascii="Times New Roman" w:hAnsi="Times New Roman"/>
              </w:rPr>
              <w:t>oraz</w:t>
            </w:r>
            <w:r w:rsidR="009A1AE1" w:rsidRPr="00F36492">
              <w:rPr>
                <w:rFonts w:ascii="Times New Roman" w:hAnsi="Times New Roman"/>
              </w:rPr>
              <w:t xml:space="preserve"> </w:t>
            </w:r>
            <w:r w:rsidR="00FD08AF" w:rsidRPr="00F36492">
              <w:rPr>
                <w:rFonts w:ascii="Times New Roman" w:hAnsi="Times New Roman"/>
              </w:rPr>
              <w:t>IOSS</w:t>
            </w:r>
            <w:r w:rsidR="00A53ADF" w:rsidRPr="00F36492">
              <w:rPr>
                <w:rFonts w:ascii="Times New Roman" w:hAnsi="Times New Roman"/>
              </w:rPr>
              <w:t>) bez wątpienia prowadzi</w:t>
            </w:r>
            <w:r w:rsidR="00525C56" w:rsidRPr="00F36492">
              <w:rPr>
                <w:rFonts w:ascii="Times New Roman" w:hAnsi="Times New Roman"/>
              </w:rPr>
              <w:t>ć będzie także</w:t>
            </w:r>
            <w:r w:rsidR="00A53ADF" w:rsidRPr="00F36492">
              <w:rPr>
                <w:rFonts w:ascii="Times New Roman" w:hAnsi="Times New Roman"/>
              </w:rPr>
              <w:t xml:space="preserve"> do istotnego zmniejszenia obciążeń administracyjnych. </w:t>
            </w:r>
          </w:p>
          <w:p w14:paraId="3594900F" w14:textId="77777777" w:rsidR="006C6FAC" w:rsidRPr="00F36492" w:rsidRDefault="006C6FAC" w:rsidP="00F36492">
            <w:pPr>
              <w:spacing w:line="240" w:lineRule="auto"/>
              <w:jc w:val="both"/>
              <w:rPr>
                <w:rFonts w:ascii="Times New Roman" w:hAnsi="Times New Roman"/>
              </w:rPr>
            </w:pPr>
          </w:p>
          <w:p w14:paraId="2586E7EA" w14:textId="6D8510D0" w:rsidR="00932582" w:rsidRPr="00F36492" w:rsidRDefault="00932582" w:rsidP="00F36492">
            <w:pPr>
              <w:spacing w:line="240" w:lineRule="auto"/>
              <w:jc w:val="both"/>
              <w:rPr>
                <w:rFonts w:ascii="Times New Roman" w:hAnsi="Times New Roman"/>
              </w:rPr>
            </w:pPr>
            <w:r w:rsidRPr="00F36492">
              <w:rPr>
                <w:rFonts w:ascii="Times New Roman" w:hAnsi="Times New Roman"/>
              </w:rPr>
              <w:t>Z założenia OSS</w:t>
            </w:r>
            <w:r w:rsidR="00C979C4" w:rsidRPr="00F36492">
              <w:rPr>
                <w:rFonts w:ascii="Times New Roman" w:hAnsi="Times New Roman"/>
              </w:rPr>
              <w:t xml:space="preserve"> </w:t>
            </w:r>
            <w:r w:rsidRPr="00F36492">
              <w:rPr>
                <w:rFonts w:ascii="Times New Roman" w:hAnsi="Times New Roman"/>
              </w:rPr>
              <w:t xml:space="preserve">(podobnie jak było to w przypadku MOSS) </w:t>
            </w:r>
            <w:r w:rsidR="009B2575" w:rsidRPr="00F36492">
              <w:rPr>
                <w:rFonts w:ascii="Times New Roman" w:hAnsi="Times New Roman"/>
              </w:rPr>
              <w:t xml:space="preserve">oraz IOSS </w:t>
            </w:r>
            <w:r w:rsidRPr="00F36492">
              <w:rPr>
                <w:rFonts w:ascii="Times New Roman" w:hAnsi="Times New Roman"/>
              </w:rPr>
              <w:t>ma</w:t>
            </w:r>
            <w:r w:rsidR="009B2575" w:rsidRPr="00F36492">
              <w:rPr>
                <w:rFonts w:ascii="Times New Roman" w:hAnsi="Times New Roman"/>
              </w:rPr>
              <w:t>ją</w:t>
            </w:r>
            <w:r w:rsidRPr="00F36492">
              <w:rPr>
                <w:rFonts w:ascii="Times New Roman" w:hAnsi="Times New Roman"/>
              </w:rPr>
              <w:t xml:space="preserve"> na celu uproszczenie obowiązków w zakresie podatku VAT dla podatników dokonujących dostaw towarów i świadczących usługi konsumentom na terytorium UE, poprzez umożliwienie im:</w:t>
            </w:r>
          </w:p>
          <w:p w14:paraId="437BCDD4" w14:textId="78B494A1" w:rsidR="00932582" w:rsidRPr="00F36492" w:rsidRDefault="00932582" w:rsidP="00F36492">
            <w:pPr>
              <w:spacing w:line="240" w:lineRule="auto"/>
              <w:jc w:val="both"/>
              <w:rPr>
                <w:rFonts w:ascii="Times New Roman" w:hAnsi="Times New Roman"/>
              </w:rPr>
            </w:pPr>
            <w:r w:rsidRPr="00F36492">
              <w:rPr>
                <w:rFonts w:ascii="Times New Roman" w:hAnsi="Times New Roman"/>
              </w:rPr>
              <w:t>• elektronicznej rejestracji dla celów podatku VAT w jednym państwie członkowskim</w:t>
            </w:r>
            <w:r w:rsidR="006A31EB">
              <w:rPr>
                <w:rFonts w:ascii="Times New Roman" w:hAnsi="Times New Roman"/>
              </w:rPr>
              <w:t xml:space="preserve"> (obecnie, w przypadku transakcji innych niż rozliczane w MOSS, konieczne jest rejestrowanie się we wszystkich państwach członkowskich, w których ma miejsce świadczenia, zgodnie z zasadami tam panującymi, tj. np. papierowo lub elektronicznie)</w:t>
            </w:r>
            <w:r w:rsidRPr="00F36492">
              <w:rPr>
                <w:rFonts w:ascii="Times New Roman" w:hAnsi="Times New Roman"/>
              </w:rPr>
              <w:t>;</w:t>
            </w:r>
          </w:p>
          <w:p w14:paraId="7F942557" w14:textId="2E7A2DE0" w:rsidR="00932582" w:rsidRPr="00F36492" w:rsidRDefault="00932582" w:rsidP="00F36492">
            <w:pPr>
              <w:spacing w:line="240" w:lineRule="auto"/>
              <w:jc w:val="both"/>
              <w:rPr>
                <w:rFonts w:ascii="Times New Roman" w:hAnsi="Times New Roman"/>
              </w:rPr>
            </w:pPr>
            <w:r w:rsidRPr="00F36492">
              <w:rPr>
                <w:rFonts w:ascii="Times New Roman" w:hAnsi="Times New Roman"/>
              </w:rPr>
              <w:t>• deklarowania i płacenia należnego podatku VAT w ramach jednej elektronicznej kwartalnej deklaracji</w:t>
            </w:r>
            <w:r w:rsidR="006A31EB">
              <w:rPr>
                <w:rFonts w:ascii="Times New Roman" w:hAnsi="Times New Roman"/>
              </w:rPr>
              <w:t xml:space="preserve"> (obecnie, w przypadku transakcji innych niż rozliczane w MOSS, konieczne jest rozliczanie VAT oddzielnie w każdym państwie członkowskim świadczenia, zgodnie z zasadami tam panującymi, tj. np. papierowo lub elektronicznie) </w:t>
            </w:r>
            <w:r w:rsidRPr="00F36492">
              <w:rPr>
                <w:rFonts w:ascii="Times New Roman" w:hAnsi="Times New Roman"/>
              </w:rPr>
              <w:t>;</w:t>
            </w:r>
          </w:p>
          <w:p w14:paraId="20D274DE" w14:textId="3496760F" w:rsidR="004958B3" w:rsidRPr="00F36492" w:rsidRDefault="00932582" w:rsidP="00F36492">
            <w:pPr>
              <w:spacing w:line="240" w:lineRule="auto"/>
              <w:jc w:val="both"/>
              <w:rPr>
                <w:rFonts w:ascii="Times New Roman" w:hAnsi="Times New Roman"/>
              </w:rPr>
            </w:pPr>
            <w:r w:rsidRPr="00F36492">
              <w:rPr>
                <w:rFonts w:ascii="Times New Roman" w:hAnsi="Times New Roman"/>
              </w:rPr>
              <w:t>• współpracy z administracją podatkową własnego państwa członkowskiego, nawet jeśli dokonywane dostawy / świadczenie usług mają charakter transgraniczny</w:t>
            </w:r>
            <w:r w:rsidR="006A31EB">
              <w:rPr>
                <w:rFonts w:ascii="Times New Roman" w:hAnsi="Times New Roman"/>
              </w:rPr>
              <w:t xml:space="preserve"> (obecnie, w przypadku transakcji innych niż rozliczane w MOSS, współpraca odbywa się odrębnie z administracją podatkowa danego państwa członkowskiego)</w:t>
            </w:r>
            <w:r w:rsidRPr="00F36492">
              <w:rPr>
                <w:rFonts w:ascii="Times New Roman" w:hAnsi="Times New Roman"/>
              </w:rPr>
              <w:t>.</w:t>
            </w:r>
            <w:r w:rsidR="006C6FAC" w:rsidRPr="00F36492">
              <w:rPr>
                <w:rFonts w:ascii="Times New Roman" w:hAnsi="Times New Roman"/>
              </w:rPr>
              <w:t xml:space="preserve"> </w:t>
            </w:r>
          </w:p>
          <w:p w14:paraId="267C91B6" w14:textId="77777777" w:rsidR="00E2436B" w:rsidRPr="00F36492" w:rsidRDefault="00E2436B" w:rsidP="00F36492">
            <w:pPr>
              <w:spacing w:line="240" w:lineRule="auto"/>
              <w:jc w:val="both"/>
              <w:rPr>
                <w:rFonts w:ascii="Times New Roman" w:hAnsi="Times New Roman"/>
              </w:rPr>
            </w:pPr>
          </w:p>
          <w:p w14:paraId="2E4DCFFC" w14:textId="309A4170" w:rsidR="004958B3" w:rsidRPr="00F36492" w:rsidRDefault="004958B3" w:rsidP="00F36492">
            <w:pPr>
              <w:spacing w:line="240" w:lineRule="auto"/>
              <w:jc w:val="both"/>
              <w:rPr>
                <w:rFonts w:ascii="Times New Roman" w:hAnsi="Times New Roman"/>
              </w:rPr>
            </w:pPr>
          </w:p>
          <w:p w14:paraId="6A352CEC" w14:textId="5F53AC70" w:rsidR="006E01F5" w:rsidRPr="00F36492" w:rsidRDefault="00A53ADF" w:rsidP="00F36492">
            <w:pPr>
              <w:spacing w:line="240" w:lineRule="auto"/>
              <w:jc w:val="both"/>
              <w:rPr>
                <w:rFonts w:ascii="Times New Roman" w:hAnsi="Times New Roman"/>
              </w:rPr>
            </w:pPr>
            <w:r w:rsidRPr="00F36492">
              <w:rPr>
                <w:rFonts w:ascii="Times New Roman" w:hAnsi="Times New Roman"/>
              </w:rPr>
              <w:t>Wdrożenie rozwiązania prowadzącego do przeniesienia odpowiedzialności za zobowiązanie VAT (czyli w istocie obowiązku za pobór i zapłatę VAT) z tytułu określonych dostaw B2C na operatorów interfejsów elektronicznych może wpłynąć na zmniejszenie obciążeń regulacyjnych wielu przedsiębiorców, którzy obecnie prowadzą sprzedaż towarów za pośrednictwem interfejsów elektronicznych.</w:t>
            </w:r>
            <w:r w:rsidR="006E01F5" w:rsidRPr="00F36492">
              <w:rPr>
                <w:rFonts w:ascii="Times New Roman" w:hAnsi="Times New Roman"/>
              </w:rPr>
              <w:t xml:space="preserve"> </w:t>
            </w:r>
            <w:r w:rsidR="000764D5">
              <w:rPr>
                <w:rFonts w:ascii="Times New Roman" w:hAnsi="Times New Roman"/>
              </w:rPr>
              <w:t xml:space="preserve">Dotychczas bowiem, a więc do czasu wejścia w życie projektowanych zmian, obowiązki związane z rozliczeniem VAT od dostaw towarów objętych projektowanym rozwiązaniem ciążą na przedsiębiorcach prowadzących sprzedaż za pośrednictwem interfejsów elektronicznych. Jak wskazano, te obowiązki zostaną niejako „przeniesione” z licznej grupy takich przedsiębiorców na znaczniej mniej liczną grupę operatorów interfejsów elektronicznych, którzy zgodnie z założeniem unijnego prawodawcy zasadniczo dysponują odpowiednimi zasobami i dostępem do wszystkich informacji umożliwiających efektywniejszą realizację tych obowiązków. </w:t>
            </w:r>
          </w:p>
          <w:p w14:paraId="2389F15F" w14:textId="2FA8EAA1" w:rsidR="00C72584" w:rsidRPr="00F36492" w:rsidRDefault="00A53ADF" w:rsidP="00F36492">
            <w:pPr>
              <w:spacing w:line="240" w:lineRule="auto"/>
              <w:jc w:val="both"/>
              <w:rPr>
                <w:rFonts w:ascii="Times New Roman" w:hAnsi="Times New Roman"/>
              </w:rPr>
            </w:pPr>
            <w:r w:rsidRPr="00F36492">
              <w:rPr>
                <w:rFonts w:ascii="Times New Roman" w:hAnsi="Times New Roman"/>
              </w:rPr>
              <w:t xml:space="preserve">Jednocześnie należy zakładać </w:t>
            </w:r>
            <w:r w:rsidR="000764D5">
              <w:rPr>
                <w:rFonts w:ascii="Times New Roman" w:hAnsi="Times New Roman"/>
              </w:rPr>
              <w:t xml:space="preserve">więc </w:t>
            </w:r>
            <w:r w:rsidRPr="00F36492">
              <w:rPr>
                <w:rFonts w:ascii="Times New Roman" w:hAnsi="Times New Roman"/>
              </w:rPr>
              <w:t>zwiększenie obciążeń regulacyjnych po stronie takich operatorów interfejsów elektronicznych, gdyż istotnie zwiększy się zakres transakcji, w odniesieniu do których będą oni uznani za podatników VAT ze wszystkimi tego konsekwencjami.</w:t>
            </w:r>
            <w:r w:rsidR="00ED6E7C" w:rsidRPr="00F36492">
              <w:rPr>
                <w:rFonts w:ascii="Times New Roman" w:hAnsi="Times New Roman"/>
              </w:rPr>
              <w:t xml:space="preserve"> (m.in. w zakresie konieczności dokonania rejestracji na VAT, składania deklaracji i rozliczania VAT, wystawiania faktur, prowadzenia ewidencji itp.).</w:t>
            </w:r>
            <w:r w:rsidR="000764D5">
              <w:rPr>
                <w:rFonts w:ascii="Times New Roman" w:hAnsi="Times New Roman"/>
              </w:rPr>
              <w:t xml:space="preserve"> Obecnie bowiem obowiązki związane z rozliczaniem VAT od dostaw towarów objętych projektowanym rozwiązaniem ciążą na przedsiębiorcach prowadzących sprzedaż poprzez interfejsy elektroniczne. </w:t>
            </w:r>
          </w:p>
          <w:p w14:paraId="41B84D6D" w14:textId="77777777" w:rsidR="00A53ADF" w:rsidRDefault="00F96059" w:rsidP="00F36492">
            <w:pPr>
              <w:spacing w:line="240" w:lineRule="auto"/>
              <w:jc w:val="both"/>
              <w:rPr>
                <w:rFonts w:ascii="Times New Roman" w:hAnsi="Times New Roman"/>
              </w:rPr>
            </w:pPr>
            <w:r w:rsidRPr="00F36492">
              <w:rPr>
                <w:rFonts w:ascii="Times New Roman" w:hAnsi="Times New Roman"/>
              </w:rPr>
              <w:t xml:space="preserve">Ponadto operatorzy interfejsów elektronicznych, którzy ułatwiają dokonywanie na terytorium Unii Europejskiej określonych dostaw towarów oraz świadczenia usług </w:t>
            </w:r>
            <w:r w:rsidR="005025E7" w:rsidRPr="00F36492">
              <w:rPr>
                <w:rFonts w:ascii="Times New Roman" w:hAnsi="Times New Roman"/>
              </w:rPr>
              <w:t xml:space="preserve">zasadniczo </w:t>
            </w:r>
            <w:r w:rsidRPr="00F36492">
              <w:rPr>
                <w:rFonts w:ascii="Times New Roman" w:hAnsi="Times New Roman"/>
              </w:rPr>
              <w:t>na rzecz</w:t>
            </w:r>
            <w:r w:rsidR="005025E7" w:rsidRPr="00F36492">
              <w:rPr>
                <w:rFonts w:ascii="Times New Roman" w:hAnsi="Times New Roman"/>
              </w:rPr>
              <w:t xml:space="preserve"> konsumentów</w:t>
            </w:r>
            <w:r w:rsidRPr="00F36492">
              <w:rPr>
                <w:rFonts w:ascii="Times New Roman" w:hAnsi="Times New Roman"/>
              </w:rPr>
              <w:t xml:space="preserve">, będą obowiązani do prowadzenia i udostępniania </w:t>
            </w:r>
            <w:r w:rsidR="00C72584" w:rsidRPr="00F36492">
              <w:rPr>
                <w:rFonts w:ascii="Times New Roman" w:hAnsi="Times New Roman"/>
              </w:rPr>
              <w:t xml:space="preserve">drogą elektroniczną </w:t>
            </w:r>
            <w:r w:rsidR="00ED6E7C" w:rsidRPr="00F36492">
              <w:rPr>
                <w:rFonts w:ascii="Times New Roman" w:hAnsi="Times New Roman"/>
              </w:rPr>
              <w:t>dodatkowej</w:t>
            </w:r>
            <w:r w:rsidR="005025E7" w:rsidRPr="00F36492">
              <w:rPr>
                <w:rFonts w:ascii="Times New Roman" w:hAnsi="Times New Roman"/>
              </w:rPr>
              <w:t>,</w:t>
            </w:r>
            <w:r w:rsidR="00ED6E7C" w:rsidRPr="00F36492">
              <w:rPr>
                <w:rFonts w:ascii="Times New Roman" w:hAnsi="Times New Roman"/>
              </w:rPr>
              <w:t xml:space="preserve"> specjalnej </w:t>
            </w:r>
            <w:r w:rsidRPr="00F36492">
              <w:rPr>
                <w:rFonts w:ascii="Times New Roman" w:hAnsi="Times New Roman"/>
              </w:rPr>
              <w:t>ewidencji tych transakcji, z czym wiązać się będą pewne obciążenia dla tych podmiotów</w:t>
            </w:r>
            <w:r w:rsidR="003749A1">
              <w:rPr>
                <w:rFonts w:ascii="Times New Roman" w:hAnsi="Times New Roman"/>
              </w:rPr>
              <w:t xml:space="preserve"> w porównaniu do dotychczasowego stanu prawnego</w:t>
            </w:r>
            <w:r w:rsidRPr="00F36492">
              <w:rPr>
                <w:rFonts w:ascii="Times New Roman" w:hAnsi="Times New Roman"/>
              </w:rPr>
              <w:t>.</w:t>
            </w:r>
            <w:r w:rsidR="003749A1">
              <w:rPr>
                <w:rFonts w:ascii="Times New Roman" w:hAnsi="Times New Roman"/>
              </w:rPr>
              <w:t xml:space="preserve"> Aktualnie bowiem operatorzy interfejsów elektronicznych nie są w Polsce objęci takim obowiązkiem. Zgodnie z założeniem unijnego prawodawcy takie podmioty zwykle dysponują odpowiednimi zasobami oraz informacjami, umożliwiającymi im realizację tych wymogów ewidencyjno-sprawozdawczych. </w:t>
            </w:r>
            <w:r w:rsidRPr="00F36492">
              <w:rPr>
                <w:rFonts w:ascii="Times New Roman" w:hAnsi="Times New Roman"/>
              </w:rPr>
              <w:t xml:space="preserve"> </w:t>
            </w:r>
          </w:p>
          <w:p w14:paraId="7721550F" w14:textId="77777777" w:rsidR="00F66698" w:rsidRDefault="00F66698" w:rsidP="00F36492">
            <w:pPr>
              <w:spacing w:line="240" w:lineRule="auto"/>
              <w:jc w:val="both"/>
              <w:rPr>
                <w:rFonts w:ascii="Times New Roman" w:hAnsi="Times New Roman"/>
              </w:rPr>
            </w:pPr>
          </w:p>
          <w:p w14:paraId="29E1EE4D" w14:textId="77777777" w:rsidR="00453EF1" w:rsidRDefault="00DC1069" w:rsidP="00F66698">
            <w:pPr>
              <w:spacing w:line="240" w:lineRule="auto"/>
              <w:jc w:val="both"/>
              <w:rPr>
                <w:rFonts w:ascii="Times New Roman" w:hAnsi="Times New Roman"/>
              </w:rPr>
            </w:pPr>
            <w:r>
              <w:rPr>
                <w:rFonts w:ascii="Times New Roman" w:hAnsi="Times New Roman"/>
              </w:rPr>
              <w:t>W Polsce obecnie import towarów w przesyłkach pocztowych</w:t>
            </w:r>
            <w:r w:rsidR="00F66698">
              <w:rPr>
                <w:rFonts w:ascii="Times New Roman" w:hAnsi="Times New Roman"/>
              </w:rPr>
              <w:t xml:space="preserve">, </w:t>
            </w:r>
            <w:r>
              <w:rPr>
                <w:rFonts w:ascii="Times New Roman" w:hAnsi="Times New Roman"/>
              </w:rPr>
              <w:t xml:space="preserve">zakupionych w drodze zamówienia wysyłkowego (w tym przez Internet) jest  opodatkowany podatkiem VAT (bez względu na wartość towaru). Zatem od każdej przesyłki towaru spoza UE powinien zostać pobrany VAT. Jednakże z uwagi na ogromny wolumen takich przesyłek, skuteczność poboru tego podatku przez organy celne jest niesatysfakcjonująca. </w:t>
            </w:r>
            <w:r w:rsidR="00F66698">
              <w:rPr>
                <w:rFonts w:ascii="Times New Roman" w:hAnsi="Times New Roman"/>
              </w:rPr>
              <w:t xml:space="preserve">W pozostałych PCZ  (poza Francją) towary o wartości do 22 euro są zwolnione z podatku VAT. </w:t>
            </w:r>
          </w:p>
          <w:p w14:paraId="4DDE8B9A" w14:textId="77777777" w:rsidR="00DC1069" w:rsidRDefault="00F66698" w:rsidP="00453EF1">
            <w:pPr>
              <w:spacing w:line="240" w:lineRule="auto"/>
              <w:jc w:val="both"/>
              <w:rPr>
                <w:rFonts w:ascii="Times New Roman" w:hAnsi="Times New Roman"/>
              </w:rPr>
            </w:pPr>
            <w:r>
              <w:rPr>
                <w:rFonts w:ascii="Times New Roman" w:hAnsi="Times New Roman"/>
              </w:rPr>
              <w:t>Nowa fakultatywna procedura importu (IOSS) ma ułatwić rozliczenie i zapłatę VAT należną państwu członkowskiemu konsumpcji, poprzez umożliwienie sprzedawcy dokonującemu dostawy towarów znajdujących się poza UE zarejestrowania się, złożenia deklaracji VAT oraz zapłaty tego VAT tylko w jednym państwie (tzw. państwie</w:t>
            </w:r>
            <w:r w:rsidR="00453EF1">
              <w:rPr>
                <w:rFonts w:ascii="Times New Roman" w:hAnsi="Times New Roman"/>
              </w:rPr>
              <w:t xml:space="preserve"> członkowskim </w:t>
            </w:r>
            <w:r>
              <w:rPr>
                <w:rFonts w:ascii="Times New Roman" w:hAnsi="Times New Roman"/>
              </w:rPr>
              <w:t>identyfikacji), które, co do zasady jest państwem</w:t>
            </w:r>
            <w:r w:rsidR="00453EF1">
              <w:rPr>
                <w:rFonts w:ascii="Times New Roman" w:hAnsi="Times New Roman"/>
              </w:rPr>
              <w:t>,</w:t>
            </w:r>
            <w:r>
              <w:rPr>
                <w:rFonts w:ascii="Times New Roman" w:hAnsi="Times New Roman"/>
              </w:rPr>
              <w:t xml:space="preserve"> w którym posiada on siedzibę działalności gospodarczej. Podmioty z państw trzecich ( w tym także interfejsy elektroniczne) będą mogły skorzystać z tego uproszczenia pod warunkiem ustanowienia pośrednika z sie</w:t>
            </w:r>
            <w:r w:rsidR="00453EF1">
              <w:rPr>
                <w:rFonts w:ascii="Times New Roman" w:hAnsi="Times New Roman"/>
              </w:rPr>
              <w:t>dzibą</w:t>
            </w:r>
            <w:r>
              <w:rPr>
                <w:rFonts w:ascii="Times New Roman" w:hAnsi="Times New Roman"/>
              </w:rPr>
              <w:t xml:space="preserve"> lub stałym miejscem prowadzenia działalno</w:t>
            </w:r>
            <w:r w:rsidR="00453EF1">
              <w:rPr>
                <w:rFonts w:ascii="Times New Roman" w:hAnsi="Times New Roman"/>
              </w:rPr>
              <w:t>ści gospodarczej w Polsce.</w:t>
            </w:r>
          </w:p>
          <w:p w14:paraId="10A756AD" w14:textId="77777777" w:rsidR="00453EF1" w:rsidRPr="00453EF1" w:rsidRDefault="00453EF1" w:rsidP="00453EF1">
            <w:pPr>
              <w:spacing w:line="240" w:lineRule="auto"/>
              <w:jc w:val="both"/>
              <w:rPr>
                <w:rFonts w:ascii="Times New Roman" w:hAnsi="Times New Roman"/>
              </w:rPr>
            </w:pPr>
            <w:r w:rsidRPr="00453EF1">
              <w:rPr>
                <w:rFonts w:ascii="Times New Roman" w:hAnsi="Times New Roman"/>
              </w:rPr>
              <w:t>Przykładowo:</w:t>
            </w:r>
          </w:p>
          <w:p w14:paraId="7EB4D986" w14:textId="77777777" w:rsidR="00453EF1" w:rsidRPr="00453EF1" w:rsidRDefault="00453EF1" w:rsidP="00453EF1">
            <w:pPr>
              <w:spacing w:line="240" w:lineRule="auto"/>
              <w:jc w:val="both"/>
              <w:rPr>
                <w:rFonts w:ascii="Times New Roman" w:hAnsi="Times New Roman"/>
              </w:rPr>
            </w:pPr>
            <w:r w:rsidRPr="00453EF1">
              <w:rPr>
                <w:rFonts w:ascii="Times New Roman" w:hAnsi="Times New Roman"/>
              </w:rPr>
              <w:t>Polski przedsiębiorca sprzedaje odzież osobom prywatnym w różnych państwach członkowskich za pośrednictwem swojej strony internetowej (sklepu online). Odzież jest wysyłana do osób prywatnych bezpośrednio z jego zakładu produkcyjnego w kraju trzecim. Przedsiębiorca jest zarejestrowany w IOSS w PL. Wartość rzeczywista przesyłek nie przekracza 150 euro.</w:t>
            </w:r>
          </w:p>
          <w:p w14:paraId="7B09F019" w14:textId="77777777" w:rsidR="00453EF1" w:rsidRPr="00453EF1" w:rsidRDefault="00453EF1" w:rsidP="00453EF1">
            <w:pPr>
              <w:spacing w:line="240" w:lineRule="auto"/>
              <w:jc w:val="both"/>
              <w:rPr>
                <w:rFonts w:ascii="Times New Roman" w:hAnsi="Times New Roman"/>
              </w:rPr>
            </w:pPr>
            <w:r w:rsidRPr="00453EF1">
              <w:rPr>
                <w:rFonts w:ascii="Times New Roman" w:hAnsi="Times New Roman"/>
              </w:rPr>
              <w:t xml:space="preserve">Miejsce dostawy przesyłek jest w odpowiednim państwie członkowskim przeznaczenia (zakończenia wysyłki lub transportu towarów). Polski sprzedawca wykazuje podatek od sprzedaży dla poszczególnych państw członkowskich w swojej miesięcznej deklaracji IOSS, składanej do właściwego urzędu skarbowego i dokonuje przelewu zadeklarowanej kwoty VAT na konto IOSS, do ostatniego dnia miesiąca następującego po każdym kolejnym miesiącu. </w:t>
            </w:r>
          </w:p>
          <w:p w14:paraId="474CEA30" w14:textId="77777777" w:rsidR="00453EF1" w:rsidRDefault="00453EF1" w:rsidP="00453EF1">
            <w:pPr>
              <w:spacing w:line="240" w:lineRule="auto"/>
              <w:jc w:val="both"/>
              <w:rPr>
                <w:rFonts w:ascii="Times New Roman" w:hAnsi="Times New Roman"/>
              </w:rPr>
            </w:pPr>
            <w:r w:rsidRPr="00453EF1">
              <w:rPr>
                <w:rFonts w:ascii="Times New Roman" w:hAnsi="Times New Roman"/>
              </w:rPr>
              <w:t>Odpowiednio import tych towarów jest zwolniony od podatku z tytułu importu, jeżeli wszystkie warunki są spełnione. W tym celu sprzedawca musi poinformować przewoźnika, któremu zlecił transport, o swoim numerze identyfikacyjnym nadanym mu w procedurze IOSS, aby ten mógł powiadomić właściwy urząd celny w momencie importu. Jeżeli odzież nabyła osoba prywatna np. z Polski wówczas taki towar będzie zwolniony z VAT w momencie importu.</w:t>
            </w:r>
          </w:p>
          <w:p w14:paraId="13BD6A83" w14:textId="77777777" w:rsidR="007F76DF" w:rsidRDefault="007F76DF" w:rsidP="00453EF1">
            <w:pPr>
              <w:spacing w:line="240" w:lineRule="auto"/>
              <w:jc w:val="both"/>
              <w:rPr>
                <w:rFonts w:ascii="Times New Roman" w:hAnsi="Times New Roman"/>
              </w:rPr>
            </w:pPr>
          </w:p>
          <w:p w14:paraId="596373AB" w14:textId="2C8B4C59" w:rsidR="00E22B4E" w:rsidRDefault="00541151" w:rsidP="00E22B4E">
            <w:pPr>
              <w:spacing w:line="240" w:lineRule="auto"/>
              <w:jc w:val="both"/>
              <w:rPr>
                <w:rFonts w:ascii="Times New Roman" w:hAnsi="Times New Roman"/>
                <w:bCs/>
                <w:szCs w:val="24"/>
              </w:rPr>
            </w:pPr>
            <w:r>
              <w:rPr>
                <w:rFonts w:ascii="Times New Roman" w:hAnsi="Times New Roman"/>
              </w:rPr>
              <w:t>W projekcie zaproponowano także kolejne uproszczenie przy imporcie towarów o wartości do 150 euro (jeżeli nie stosuje się IOSS), dla operatorów pocztowych w rozumieniu ustawy Prawo pocztowe, dotyczące uproszczonego deklarowania oraz zapłaty VAT pobranego od odbiorcy dla którego była przeznaczona przesyłka w Polsce organom celnym</w:t>
            </w:r>
            <w:r w:rsidR="007F76DF">
              <w:rPr>
                <w:rFonts w:ascii="Times New Roman" w:hAnsi="Times New Roman"/>
              </w:rPr>
              <w:t xml:space="preserve"> – tzw. uregulowanie szczególne „USZ”</w:t>
            </w:r>
            <w:r w:rsidR="00AC3B25">
              <w:rPr>
                <w:rFonts w:ascii="Times New Roman" w:hAnsi="Times New Roman"/>
              </w:rPr>
              <w:t>- również fakultatywne</w:t>
            </w:r>
            <w:r>
              <w:rPr>
                <w:rFonts w:ascii="Times New Roman" w:hAnsi="Times New Roman"/>
              </w:rPr>
              <w:t>. Przyjęto tu fikcję prawną</w:t>
            </w:r>
            <w:r w:rsidR="00E22B4E" w:rsidRPr="00B959B4">
              <w:rPr>
                <w:rFonts w:ascii="Times New Roman" w:hAnsi="Times New Roman"/>
                <w:szCs w:val="24"/>
              </w:rPr>
              <w:t xml:space="preserve"> polegającej na uznaniu za deklarację miesięczną, o której mowa w art. 369zb ust. 1 dyrektywy VAT</w:t>
            </w:r>
            <w:r w:rsidR="00E22B4E">
              <w:rPr>
                <w:rFonts w:ascii="Times New Roman" w:hAnsi="Times New Roman"/>
                <w:szCs w:val="24"/>
              </w:rPr>
              <w:t>,</w:t>
            </w:r>
            <w:r w:rsidR="00E22B4E" w:rsidRPr="00B959B4">
              <w:rPr>
                <w:rFonts w:ascii="Times New Roman" w:hAnsi="Times New Roman"/>
                <w:szCs w:val="24"/>
              </w:rPr>
              <w:t xml:space="preserve"> sumy zgłoszeń celnych, dokonywanych według miejsca przedstawienia towarów organom celnym, zawierających całkowitą kwotę podatku pobranego w miesiącu, za który składane są te zgłoszenia celne.</w:t>
            </w:r>
            <w:r w:rsidR="00E22B4E">
              <w:rPr>
                <w:rFonts w:ascii="Times New Roman" w:hAnsi="Times New Roman"/>
                <w:szCs w:val="24"/>
              </w:rPr>
              <w:t xml:space="preserve"> </w:t>
            </w:r>
            <w:r w:rsidR="00E22B4E" w:rsidRPr="00E22B4E">
              <w:rPr>
                <w:rFonts w:ascii="Times New Roman" w:hAnsi="Times New Roman"/>
                <w:bCs/>
                <w:szCs w:val="24"/>
              </w:rPr>
              <w:t xml:space="preserve">Oznacza to zatem brak potrzeby tworzenia jakichkolwiek nowych, odrębnych dokumentów pełniących rolę tej deklaracji. Zgłoszenie celne (ewentualnie kilka zgłoszeń celnych </w:t>
            </w:r>
            <w:r w:rsidR="00E22B4E" w:rsidRPr="00E22B4E">
              <w:rPr>
                <w:rFonts w:ascii="Times New Roman" w:hAnsi="Times New Roman"/>
                <w:bCs/>
                <w:szCs w:val="24"/>
              </w:rPr>
              <w:br/>
              <w:t xml:space="preserve">w przypadku, gdy z uwagi na specyfikę organizacji danego podmiotu korzystającego z USZ są one składane w kilku miejscach przedstawienia towarów organom celnym), będzie zatem jedynym dokumentem, na podstawie którego osoba zgłaszająca towary organom celnym będzie dokonywała wpłaty podatku pobranego w prawidłowej wysokości od odbiorcy towaru. Takie podejście podyktowane jest uproszczeniem obowiązków związanych ze stosowaniem USZ, gdyż </w:t>
            </w:r>
            <w:r w:rsidR="00E22B4E" w:rsidRPr="00E22B4E">
              <w:rPr>
                <w:rFonts w:ascii="Times New Roman" w:hAnsi="Times New Roman"/>
                <w:bCs/>
                <w:szCs w:val="24"/>
              </w:rPr>
              <w:lastRenderedPageBreak/>
              <w:t xml:space="preserve">wprowadzenie nowego dokumentu stanowiłoby dodatkowe obciążenie administracyjne zarówno dla podmiotów korzystających z USZ jak i dla organów celnych, które będą kontrolować tę procedurę. </w:t>
            </w:r>
          </w:p>
          <w:p w14:paraId="244C06B5" w14:textId="58FB9B4A"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Z uwagi na zaproponowane uznanie za deklarację miesięczną de facto zgłoszenia celnego (ewentualnie sumy kilku zgłoszeń celnych dokonywanych według miejsca przedstawienia towarów organom celnym), dla potrzeb prostego ale zarazem prawidłowego poboru podatku z tytułu importu, konsekwentnie uznaje się, że wymogi określone w ww. art. 369z ust. 2 zostaną także spełnione przez osobę zgłaszającą towary organom celnym i składającą zgłoszenie celne, poprzez realizację podstawowego obowiązku nałożonego na tę osobę, wynikającego z przepisu art. 15 ust. 2 UKC.</w:t>
            </w:r>
          </w:p>
          <w:p w14:paraId="13AA1563"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Na żądanie organu celnego i w określonym terminie każda osoba bezpośrednio lub pośrednio uczestnicząca w załatwianiu formalności celnych lub podlegająca kontrolom celnym dostarcza organom celnym wszelkie wymagane dokumenty i informacje w odpowiedniej formie, jak również udziela im wszelkiej pomocy niezbędnej do zakończenia tych formalności lub kontroli (zob. art. 15 ust. 1 UKC).</w:t>
            </w:r>
          </w:p>
          <w:p w14:paraId="7F034350"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Osoba składająca zgłoszenie celne, jest odpowiedzialna za: </w:t>
            </w:r>
          </w:p>
          <w:p w14:paraId="3B3A57C9"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a) prawidłowość i kompletność informacji podanych w zgłoszeniu, deklaracji, powiadomieniu lub wniosku; </w:t>
            </w:r>
          </w:p>
          <w:p w14:paraId="4846A072"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b) autentyczność, prawidłowość i ważność dokumentu załączanego do zgłoszenia, deklaracji, powiadomienia lub wniosku; </w:t>
            </w:r>
          </w:p>
          <w:p w14:paraId="58861ADE"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c) wypełnianie - w stosownych przypadkach - wszystkich zobowiązań związanych </w:t>
            </w:r>
          </w:p>
          <w:p w14:paraId="2BC18E3E"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z objęciem towarów daną procedurą celną lub z prowadzeniem dozwolonych operacji. </w:t>
            </w:r>
          </w:p>
          <w:p w14:paraId="3B7AA0F6"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Przepisy akapitu pierwszego mają również zastosowanie do wszelkich innych form udzielania informacji wymaganych przez organy celne lub dostarczanych organom celnym. </w:t>
            </w:r>
          </w:p>
          <w:p w14:paraId="6A7DDF4C"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Obowiązkom określonym w akapicie pierwszym niniejszego ustępu podlega również przedstawiciel celny danej osoby, o którym mowa w art. 18, jeżeli składa zgłoszenie, deklarację lub powiadomienie, przedkłada wniosek lub udziela wymaganych informacji (zob. art. 15 ust. 2 UKC).</w:t>
            </w:r>
          </w:p>
          <w:p w14:paraId="79EC4FF5"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Powyższy przepis w pełni konsumuje zatem normę wynikającą z art. 369z ust. 2 dyrektywy VAT i pozwala przyjąć założenie, że wskazane w art. 15 ust. 2 UKC środki są tożsame z właściwymi środki podjętymi przez osobę zgłaszającą towary organom celnym w momencie składania zgłoszenia celnego jako osobę odpowiedzialna za pobór podatku, w celu zapewnienia opłacenia prawidłowego podatku przez osobę, dla której towary są przeznaczone. </w:t>
            </w:r>
          </w:p>
          <w:p w14:paraId="7212828A" w14:textId="1F48DCA3" w:rsid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W praktyce oznacza to (jak ma to miejsce już obecnie), że aby dokonać zgłoszenia celnego osoba zgłaszająca towary organom celnym, powinna być w posiadani dokumentu, z którego wynika rodzaj i wartość towaru będącego przedmiotem zgłoszenia celnego np. faktury.</w:t>
            </w:r>
          </w:p>
          <w:p w14:paraId="10E8B670"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Przykładowo:</w:t>
            </w:r>
          </w:p>
          <w:p w14:paraId="34E147F2" w14:textId="311CACDB"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Osoba prywatna w Polsce kupuje książki o wartości 100 euro od przedsiębiorcy z kraju trzeciego, który nie korzysta z procedury importu (IOSS). Towary są importowane do Polski z kraju trzeciego i wysyłane przez operatora świadczącego usługę powszechną (lub operatora kurierskiego).</w:t>
            </w:r>
          </w:p>
          <w:p w14:paraId="4191EFF2" w14:textId="77777777" w:rsidR="007F76DF" w:rsidRPr="007F76DF" w:rsidRDefault="007F76DF" w:rsidP="007F76DF">
            <w:pPr>
              <w:spacing w:line="240" w:lineRule="auto"/>
              <w:jc w:val="both"/>
              <w:rPr>
                <w:rFonts w:ascii="Times New Roman" w:hAnsi="Times New Roman"/>
                <w:bCs/>
                <w:szCs w:val="24"/>
              </w:rPr>
            </w:pPr>
            <w:r w:rsidRPr="007F76DF">
              <w:rPr>
                <w:rFonts w:ascii="Times New Roman" w:hAnsi="Times New Roman"/>
                <w:bCs/>
                <w:szCs w:val="24"/>
              </w:rPr>
              <w:t>Rozwiązanie (od 1 lipca 2021 r.):</w:t>
            </w:r>
          </w:p>
          <w:p w14:paraId="34B1AD0F" w14:textId="018984EE" w:rsidR="007F76DF" w:rsidRPr="00E22B4E" w:rsidRDefault="007F76DF" w:rsidP="007F76DF">
            <w:pPr>
              <w:spacing w:line="240" w:lineRule="auto"/>
              <w:jc w:val="both"/>
              <w:rPr>
                <w:rFonts w:ascii="Times New Roman" w:hAnsi="Times New Roman"/>
                <w:bCs/>
                <w:szCs w:val="24"/>
              </w:rPr>
            </w:pPr>
            <w:r w:rsidRPr="007F76DF">
              <w:rPr>
                <w:rFonts w:ascii="Times New Roman" w:hAnsi="Times New Roman"/>
                <w:bCs/>
                <w:szCs w:val="24"/>
              </w:rPr>
              <w:t xml:space="preserve">Jeżeli operator powszechnej usługi pocztowej (lub operator kurierski) zdecyduje się korzystać z USZ określonego w projektowanym art. 138i ustawy o VAT, </w:t>
            </w:r>
            <w:r>
              <w:rPr>
                <w:rFonts w:ascii="Times New Roman" w:hAnsi="Times New Roman"/>
                <w:bCs/>
                <w:szCs w:val="24"/>
              </w:rPr>
              <w:t xml:space="preserve">w zgłoszeniu celnym (zbiorczym, składanym w następnym miesiącu po pobraniu VAT od odbiorcy) </w:t>
            </w:r>
            <w:r w:rsidRPr="007F76DF">
              <w:rPr>
                <w:rFonts w:ascii="Times New Roman" w:hAnsi="Times New Roman"/>
                <w:bCs/>
                <w:szCs w:val="24"/>
              </w:rPr>
              <w:t>zastosowanie ma podstawowa stawka podatkowa. Jeżeli operator ten chce zastosować obniżoną stawkę podatkową, musi złożyć standardowe zgłoszenie celne.</w:t>
            </w:r>
          </w:p>
          <w:p w14:paraId="01A459CB" w14:textId="79E249DF" w:rsidR="00541151" w:rsidRPr="00453EF1" w:rsidRDefault="00541151" w:rsidP="00453EF1">
            <w:pPr>
              <w:spacing w:line="240" w:lineRule="auto"/>
              <w:jc w:val="both"/>
              <w:rPr>
                <w:rFonts w:ascii="Times New Roman" w:hAnsi="Times New Roman"/>
              </w:rPr>
            </w:pPr>
          </w:p>
          <w:p w14:paraId="529461DB" w14:textId="5508CE48" w:rsidR="00453EF1" w:rsidRPr="00F36492" w:rsidRDefault="00453EF1" w:rsidP="00453EF1">
            <w:pPr>
              <w:spacing w:line="240" w:lineRule="auto"/>
              <w:jc w:val="both"/>
              <w:rPr>
                <w:rFonts w:ascii="Times New Roman" w:hAnsi="Times New Roman"/>
              </w:rPr>
            </w:pPr>
          </w:p>
        </w:tc>
      </w:tr>
      <w:tr w:rsidR="00A53ADF" w:rsidRPr="00F36492" w14:paraId="529461DE" w14:textId="77777777" w:rsidTr="1D9DC3A4">
        <w:trPr>
          <w:gridAfter w:val="1"/>
          <w:wAfter w:w="10" w:type="dxa"/>
          <w:trHeight w:val="142"/>
        </w:trPr>
        <w:tc>
          <w:tcPr>
            <w:tcW w:w="11070" w:type="dxa"/>
            <w:gridSpan w:val="24"/>
            <w:shd w:val="clear" w:color="auto" w:fill="99CCFF"/>
          </w:tcPr>
          <w:p w14:paraId="529461DD" w14:textId="77777777" w:rsidR="00A53ADF" w:rsidRPr="00F36492" w:rsidRDefault="00A53ADF" w:rsidP="00F36492">
            <w:pPr>
              <w:numPr>
                <w:ilvl w:val="0"/>
                <w:numId w:val="12"/>
              </w:numPr>
              <w:spacing w:before="60" w:after="60" w:line="240" w:lineRule="auto"/>
              <w:jc w:val="both"/>
              <w:rPr>
                <w:rFonts w:ascii="Times New Roman" w:hAnsi="Times New Roman"/>
                <w:b/>
              </w:rPr>
            </w:pPr>
            <w:r w:rsidRPr="00F36492">
              <w:rPr>
                <w:rFonts w:ascii="Times New Roman" w:hAnsi="Times New Roman"/>
                <w:b/>
              </w:rPr>
              <w:lastRenderedPageBreak/>
              <w:t xml:space="preserve">Wpływ na rynek pracy </w:t>
            </w:r>
          </w:p>
        </w:tc>
      </w:tr>
      <w:tr w:rsidR="00A53ADF" w:rsidRPr="00F36492" w14:paraId="529461E1" w14:textId="77777777" w:rsidTr="1D9DC3A4">
        <w:trPr>
          <w:gridAfter w:val="1"/>
          <w:wAfter w:w="10" w:type="dxa"/>
          <w:trHeight w:val="142"/>
        </w:trPr>
        <w:tc>
          <w:tcPr>
            <w:tcW w:w="11070" w:type="dxa"/>
            <w:gridSpan w:val="24"/>
            <w:shd w:val="clear" w:color="auto" w:fill="auto"/>
          </w:tcPr>
          <w:p w14:paraId="529461DF" w14:textId="77777777" w:rsidR="00A53ADF" w:rsidRPr="00F36492" w:rsidRDefault="00A53ADF" w:rsidP="00F36492">
            <w:pPr>
              <w:spacing w:before="120" w:line="360" w:lineRule="auto"/>
              <w:jc w:val="both"/>
              <w:rPr>
                <w:rFonts w:ascii="Times New Roman" w:hAnsi="Times New Roman"/>
                <w:bCs/>
              </w:rPr>
            </w:pPr>
            <w:r w:rsidRPr="00F36492">
              <w:rPr>
                <w:rFonts w:ascii="Times New Roman" w:hAnsi="Times New Roman"/>
                <w:bCs/>
              </w:rPr>
              <w:t>Charakter proponowanych zmian nie powinien wpływać na zmianę układu funkcjonowania rynku pracy.</w:t>
            </w:r>
          </w:p>
          <w:p w14:paraId="529461E0" w14:textId="77777777" w:rsidR="00A53ADF" w:rsidRPr="00F36492" w:rsidRDefault="00A53ADF" w:rsidP="00F36492">
            <w:pPr>
              <w:spacing w:before="120" w:line="360" w:lineRule="auto"/>
              <w:jc w:val="both"/>
              <w:rPr>
                <w:rFonts w:ascii="Times New Roman" w:hAnsi="Times New Roman"/>
                <w:lang w:eastAsia="fr-BE"/>
              </w:rPr>
            </w:pPr>
          </w:p>
        </w:tc>
      </w:tr>
      <w:tr w:rsidR="00A53ADF" w:rsidRPr="00F36492" w14:paraId="529461E3" w14:textId="77777777" w:rsidTr="1D9DC3A4">
        <w:trPr>
          <w:gridAfter w:val="1"/>
          <w:wAfter w:w="10" w:type="dxa"/>
          <w:trHeight w:val="142"/>
        </w:trPr>
        <w:tc>
          <w:tcPr>
            <w:tcW w:w="11070" w:type="dxa"/>
            <w:gridSpan w:val="24"/>
            <w:shd w:val="clear" w:color="auto" w:fill="99CCFF"/>
          </w:tcPr>
          <w:p w14:paraId="529461E2" w14:textId="77777777" w:rsidR="00A53ADF" w:rsidRPr="00F36492" w:rsidRDefault="00A53ADF" w:rsidP="00F36492">
            <w:pPr>
              <w:numPr>
                <w:ilvl w:val="0"/>
                <w:numId w:val="12"/>
              </w:numPr>
              <w:spacing w:before="60" w:after="60" w:line="240" w:lineRule="auto"/>
              <w:jc w:val="both"/>
              <w:rPr>
                <w:rFonts w:ascii="Times New Roman" w:hAnsi="Times New Roman"/>
                <w:b/>
              </w:rPr>
            </w:pPr>
            <w:r w:rsidRPr="00F36492">
              <w:rPr>
                <w:rFonts w:ascii="Times New Roman" w:hAnsi="Times New Roman"/>
                <w:b/>
              </w:rPr>
              <w:t>Wpływ na pozostałe obszary</w:t>
            </w:r>
          </w:p>
        </w:tc>
      </w:tr>
      <w:tr w:rsidR="00A53ADF" w:rsidRPr="00F36492" w14:paraId="529461EE" w14:textId="77777777" w:rsidTr="006A6EDC">
        <w:trPr>
          <w:gridAfter w:val="1"/>
          <w:wAfter w:w="10" w:type="dxa"/>
          <w:trHeight w:val="1031"/>
        </w:trPr>
        <w:tc>
          <w:tcPr>
            <w:tcW w:w="2895" w:type="dxa"/>
            <w:gridSpan w:val="4"/>
            <w:shd w:val="clear" w:color="auto" w:fill="FFFFFF"/>
          </w:tcPr>
          <w:p w14:paraId="529461E4" w14:textId="77777777" w:rsidR="00A53ADF" w:rsidRPr="00F36492" w:rsidRDefault="00A53ADF" w:rsidP="00F36492">
            <w:pPr>
              <w:spacing w:line="240" w:lineRule="auto"/>
              <w:rPr>
                <w:rFonts w:ascii="Times New Roman" w:hAnsi="Times New Roman"/>
              </w:rPr>
            </w:pPr>
          </w:p>
          <w:p w14:paraId="529461E5"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środowisko naturalne</w:t>
            </w:r>
          </w:p>
          <w:p w14:paraId="529461E6"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sytuacja i rozwój regionalny</w:t>
            </w:r>
          </w:p>
          <w:p w14:paraId="529461E7"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 xml:space="preserve">inne: </w:t>
            </w:r>
            <w:r w:rsidRPr="00F36492">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36492">
              <w:rPr>
                <w:rFonts w:ascii="Times New Roman" w:hAnsi="Times New Roman"/>
              </w:rPr>
              <w:instrText xml:space="preserve"> FORMTEXT </w:instrText>
            </w:r>
            <w:r w:rsidRPr="00F36492">
              <w:rPr>
                <w:rFonts w:ascii="Times New Roman" w:hAnsi="Times New Roman"/>
              </w:rPr>
            </w:r>
            <w:r w:rsidRPr="00F36492">
              <w:rPr>
                <w:rFonts w:ascii="Times New Roman" w:hAnsi="Times New Roman"/>
              </w:rPr>
              <w:fldChar w:fldCharType="separate"/>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noProof/>
              </w:rPr>
              <w:t> </w:t>
            </w:r>
            <w:r w:rsidRPr="00F36492">
              <w:rPr>
                <w:rFonts w:ascii="Times New Roman" w:hAnsi="Times New Roman"/>
              </w:rPr>
              <w:fldChar w:fldCharType="end"/>
            </w:r>
          </w:p>
        </w:tc>
        <w:tc>
          <w:tcPr>
            <w:tcW w:w="4364" w:type="dxa"/>
            <w:gridSpan w:val="12"/>
            <w:shd w:val="clear" w:color="auto" w:fill="FFFFFF"/>
          </w:tcPr>
          <w:p w14:paraId="529461E8" w14:textId="77777777" w:rsidR="00A53ADF" w:rsidRPr="00F36492" w:rsidRDefault="00A53ADF" w:rsidP="00F36492">
            <w:pPr>
              <w:spacing w:line="240" w:lineRule="auto"/>
              <w:rPr>
                <w:rFonts w:ascii="Times New Roman" w:hAnsi="Times New Roman"/>
              </w:rPr>
            </w:pPr>
          </w:p>
          <w:p w14:paraId="529461E9"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demografia</w:t>
            </w:r>
          </w:p>
          <w:p w14:paraId="529461EA"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mienie państwowe</w:t>
            </w:r>
          </w:p>
        </w:tc>
        <w:tc>
          <w:tcPr>
            <w:tcW w:w="3811" w:type="dxa"/>
            <w:gridSpan w:val="8"/>
            <w:shd w:val="clear" w:color="auto" w:fill="FFFFFF"/>
          </w:tcPr>
          <w:p w14:paraId="529461EB" w14:textId="77777777" w:rsidR="00A53ADF" w:rsidRPr="00F36492" w:rsidRDefault="00A53ADF" w:rsidP="00F36492">
            <w:pPr>
              <w:spacing w:line="240" w:lineRule="auto"/>
              <w:rPr>
                <w:rFonts w:ascii="Times New Roman" w:hAnsi="Times New Roman"/>
              </w:rPr>
            </w:pPr>
          </w:p>
          <w:p w14:paraId="529461EC" w14:textId="77777777" w:rsidR="00A53ADF" w:rsidRPr="00F36492" w:rsidRDefault="00A53ADF" w:rsidP="00F36492">
            <w:pPr>
              <w:spacing w:line="240" w:lineRule="auto"/>
              <w:rPr>
                <w:rFonts w:ascii="Times New Roman" w:hAnsi="Times New Roman"/>
                <w:spacing w:val="-2"/>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informatyzacja</w:t>
            </w:r>
          </w:p>
          <w:p w14:paraId="529461ED" w14:textId="77777777" w:rsidR="00A53ADF" w:rsidRPr="00F36492" w:rsidRDefault="00A53ADF" w:rsidP="00F36492">
            <w:pPr>
              <w:spacing w:line="240" w:lineRule="auto"/>
              <w:rPr>
                <w:rFonts w:ascii="Times New Roman" w:hAnsi="Times New Roman"/>
              </w:rPr>
            </w:pPr>
            <w:r w:rsidRPr="00F36492">
              <w:rPr>
                <w:rFonts w:ascii="Times New Roman" w:hAnsi="Times New Roman"/>
              </w:rPr>
              <w:fldChar w:fldCharType="begin">
                <w:ffData>
                  <w:name w:val="Wybór1"/>
                  <w:enabled/>
                  <w:calcOnExit w:val="0"/>
                  <w:checkBox>
                    <w:sizeAuto/>
                    <w:default w:val="0"/>
                  </w:checkBox>
                </w:ffData>
              </w:fldChar>
            </w:r>
            <w:r w:rsidRPr="00F36492">
              <w:rPr>
                <w:rFonts w:ascii="Times New Roman" w:hAnsi="Times New Roman"/>
              </w:rPr>
              <w:instrText xml:space="preserve"> FORMCHECKBOX </w:instrText>
            </w:r>
            <w:r w:rsidR="004D4EF7">
              <w:rPr>
                <w:rFonts w:ascii="Times New Roman" w:hAnsi="Times New Roman"/>
              </w:rPr>
            </w:r>
            <w:r w:rsidR="004D4EF7">
              <w:rPr>
                <w:rFonts w:ascii="Times New Roman" w:hAnsi="Times New Roman"/>
              </w:rPr>
              <w:fldChar w:fldCharType="separate"/>
            </w:r>
            <w:r w:rsidRPr="00F36492">
              <w:rPr>
                <w:rFonts w:ascii="Times New Roman" w:hAnsi="Times New Roman"/>
              </w:rPr>
              <w:fldChar w:fldCharType="end"/>
            </w:r>
            <w:r w:rsidRPr="00F36492">
              <w:rPr>
                <w:rFonts w:ascii="Times New Roman" w:hAnsi="Times New Roman"/>
              </w:rPr>
              <w:t xml:space="preserve"> </w:t>
            </w:r>
            <w:r w:rsidRPr="00F36492">
              <w:rPr>
                <w:rFonts w:ascii="Times New Roman" w:hAnsi="Times New Roman"/>
                <w:spacing w:val="-2"/>
              </w:rPr>
              <w:t>zdrowie</w:t>
            </w:r>
          </w:p>
        </w:tc>
      </w:tr>
      <w:tr w:rsidR="00A53ADF" w:rsidRPr="00F36492" w14:paraId="529461F5" w14:textId="77777777" w:rsidTr="00A53ADF">
        <w:trPr>
          <w:gridAfter w:val="1"/>
          <w:wAfter w:w="10" w:type="dxa"/>
          <w:trHeight w:val="712"/>
        </w:trPr>
        <w:tc>
          <w:tcPr>
            <w:tcW w:w="2156" w:type="dxa"/>
            <w:gridSpan w:val="2"/>
            <w:shd w:val="clear" w:color="auto" w:fill="FFFFFF"/>
            <w:vAlign w:val="center"/>
          </w:tcPr>
          <w:p w14:paraId="529461EF" w14:textId="77777777" w:rsidR="00A53ADF" w:rsidRPr="00F36492" w:rsidRDefault="00A53ADF" w:rsidP="00F36492">
            <w:pPr>
              <w:spacing w:line="240" w:lineRule="auto"/>
              <w:rPr>
                <w:rFonts w:ascii="Times New Roman" w:hAnsi="Times New Roman"/>
              </w:rPr>
            </w:pPr>
            <w:r w:rsidRPr="00F36492">
              <w:rPr>
                <w:rFonts w:ascii="Times New Roman" w:hAnsi="Times New Roman"/>
              </w:rPr>
              <w:t>Omówienie wpływu</w:t>
            </w:r>
          </w:p>
        </w:tc>
        <w:tc>
          <w:tcPr>
            <w:tcW w:w="8914" w:type="dxa"/>
            <w:gridSpan w:val="22"/>
            <w:shd w:val="clear" w:color="auto" w:fill="FFFFFF"/>
            <w:vAlign w:val="center"/>
          </w:tcPr>
          <w:p w14:paraId="529461F0" w14:textId="77777777" w:rsidR="00A53ADF" w:rsidRPr="00F36492" w:rsidRDefault="00A53ADF" w:rsidP="00F36492">
            <w:pPr>
              <w:spacing w:line="240" w:lineRule="auto"/>
              <w:jc w:val="both"/>
              <w:rPr>
                <w:rFonts w:ascii="Times New Roman" w:hAnsi="Times New Roman"/>
                <w:spacing w:val="-2"/>
              </w:rPr>
            </w:pPr>
          </w:p>
          <w:p w14:paraId="529461F1" w14:textId="77777777" w:rsidR="00A53ADF" w:rsidRPr="00F36492" w:rsidRDefault="00A53ADF" w:rsidP="00F36492">
            <w:pPr>
              <w:spacing w:line="240" w:lineRule="auto"/>
              <w:jc w:val="both"/>
              <w:rPr>
                <w:rFonts w:ascii="Times New Roman" w:hAnsi="Times New Roman"/>
                <w:spacing w:val="-2"/>
              </w:rPr>
            </w:pPr>
          </w:p>
          <w:p w14:paraId="529461F2" w14:textId="77777777" w:rsidR="00A53ADF" w:rsidRPr="00F36492" w:rsidRDefault="00A53ADF" w:rsidP="00F36492">
            <w:pPr>
              <w:spacing w:before="120" w:line="360" w:lineRule="auto"/>
              <w:jc w:val="both"/>
              <w:rPr>
                <w:rFonts w:ascii="Times New Roman" w:hAnsi="Times New Roman"/>
                <w:bCs/>
              </w:rPr>
            </w:pPr>
            <w:r w:rsidRPr="00F36492">
              <w:rPr>
                <w:rFonts w:ascii="Times New Roman" w:hAnsi="Times New Roman"/>
                <w:bCs/>
              </w:rPr>
              <w:t>Charakter proponowanych zmian nie będzie miał wpływu na pozostałe obszary.</w:t>
            </w:r>
          </w:p>
          <w:p w14:paraId="529461F3" w14:textId="77777777" w:rsidR="00A53ADF" w:rsidRPr="00F36492" w:rsidRDefault="00A53ADF" w:rsidP="00F36492">
            <w:pPr>
              <w:spacing w:line="240" w:lineRule="auto"/>
              <w:jc w:val="both"/>
              <w:rPr>
                <w:rFonts w:ascii="Times New Roman" w:hAnsi="Times New Roman"/>
                <w:spacing w:val="-2"/>
              </w:rPr>
            </w:pPr>
          </w:p>
          <w:p w14:paraId="529461F4" w14:textId="77777777" w:rsidR="00A53ADF" w:rsidRPr="00F36492" w:rsidRDefault="00A53ADF" w:rsidP="00F36492">
            <w:pPr>
              <w:spacing w:line="240" w:lineRule="auto"/>
              <w:jc w:val="both"/>
              <w:rPr>
                <w:rFonts w:ascii="Times New Roman" w:hAnsi="Times New Roman"/>
                <w:spacing w:val="-2"/>
              </w:rPr>
            </w:pPr>
          </w:p>
        </w:tc>
      </w:tr>
      <w:tr w:rsidR="00A53ADF" w:rsidRPr="00F36492" w14:paraId="529461F7" w14:textId="77777777" w:rsidTr="1D9DC3A4">
        <w:trPr>
          <w:gridAfter w:val="1"/>
          <w:wAfter w:w="10" w:type="dxa"/>
          <w:trHeight w:val="142"/>
        </w:trPr>
        <w:tc>
          <w:tcPr>
            <w:tcW w:w="11070" w:type="dxa"/>
            <w:gridSpan w:val="24"/>
            <w:shd w:val="clear" w:color="auto" w:fill="99CCFF"/>
          </w:tcPr>
          <w:p w14:paraId="529461F6" w14:textId="77777777" w:rsidR="00A53ADF" w:rsidRPr="00F36492" w:rsidRDefault="00A53ADF" w:rsidP="00F36492">
            <w:pPr>
              <w:numPr>
                <w:ilvl w:val="0"/>
                <w:numId w:val="12"/>
              </w:numPr>
              <w:spacing w:before="60" w:after="60" w:line="240" w:lineRule="auto"/>
              <w:ind w:left="318" w:hanging="284"/>
              <w:jc w:val="both"/>
              <w:rPr>
                <w:rFonts w:ascii="Times New Roman" w:hAnsi="Times New Roman"/>
                <w:b/>
              </w:rPr>
            </w:pPr>
            <w:r w:rsidRPr="00F36492">
              <w:rPr>
                <w:rFonts w:ascii="Times New Roman" w:hAnsi="Times New Roman"/>
                <w:b/>
                <w:spacing w:val="-2"/>
              </w:rPr>
              <w:t xml:space="preserve"> Planowane wykonanie przepisów aktu prawnego</w:t>
            </w:r>
          </w:p>
        </w:tc>
      </w:tr>
      <w:tr w:rsidR="00A53ADF" w:rsidRPr="00F36492" w14:paraId="529461F9" w14:textId="77777777" w:rsidTr="1D9DC3A4">
        <w:trPr>
          <w:gridAfter w:val="1"/>
          <w:wAfter w:w="10" w:type="dxa"/>
          <w:trHeight w:val="142"/>
        </w:trPr>
        <w:tc>
          <w:tcPr>
            <w:tcW w:w="11070" w:type="dxa"/>
            <w:gridSpan w:val="24"/>
            <w:shd w:val="clear" w:color="auto" w:fill="FFFFFF"/>
          </w:tcPr>
          <w:p w14:paraId="529461F8" w14:textId="6278AD71" w:rsidR="00A53ADF" w:rsidRPr="00F36492" w:rsidRDefault="00A53ADF" w:rsidP="002A29D4">
            <w:pPr>
              <w:pStyle w:val="pchanged"/>
              <w:spacing w:before="120" w:after="120" w:line="240" w:lineRule="auto"/>
              <w:rPr>
                <w:rFonts w:ascii="Times New Roman" w:hAnsi="Times New Roman" w:cs="Times New Roman"/>
                <w:color w:val="auto"/>
                <w:sz w:val="22"/>
                <w:szCs w:val="22"/>
              </w:rPr>
            </w:pPr>
            <w:r w:rsidRPr="00F36492">
              <w:rPr>
                <w:rFonts w:ascii="Times New Roman" w:hAnsi="Times New Roman" w:cs="Times New Roman"/>
                <w:color w:val="auto"/>
                <w:sz w:val="22"/>
                <w:szCs w:val="22"/>
              </w:rPr>
              <w:t xml:space="preserve">Planuje się, że wykonanie przepisów nastąpi z dniem 1 </w:t>
            </w:r>
            <w:r w:rsidR="002A29D4">
              <w:rPr>
                <w:rFonts w:ascii="Times New Roman" w:hAnsi="Times New Roman" w:cs="Times New Roman"/>
                <w:color w:val="auto"/>
                <w:sz w:val="22"/>
                <w:szCs w:val="22"/>
              </w:rPr>
              <w:t>lipca</w:t>
            </w:r>
            <w:r w:rsidR="002A29D4" w:rsidRPr="00F36492">
              <w:rPr>
                <w:rFonts w:ascii="Times New Roman" w:hAnsi="Times New Roman" w:cs="Times New Roman"/>
                <w:color w:val="auto"/>
                <w:sz w:val="22"/>
                <w:szCs w:val="22"/>
              </w:rPr>
              <w:t xml:space="preserve"> </w:t>
            </w:r>
            <w:r w:rsidRPr="00F36492">
              <w:rPr>
                <w:rFonts w:ascii="Times New Roman" w:hAnsi="Times New Roman" w:cs="Times New Roman"/>
                <w:color w:val="auto"/>
                <w:sz w:val="22"/>
                <w:szCs w:val="22"/>
              </w:rPr>
              <w:t xml:space="preserve">2021 r., z wyjątkiem przepisów umożliwiających przekazanie </w:t>
            </w:r>
            <w:r w:rsidRPr="00F36492">
              <w:rPr>
                <w:rFonts w:ascii="Times New Roman" w:hAnsi="Times New Roman" w:cs="Times New Roman"/>
                <w:color w:val="auto"/>
                <w:sz w:val="22"/>
                <w:szCs w:val="22"/>
              </w:rPr>
              <w:lastRenderedPageBreak/>
              <w:t xml:space="preserve">informacji na potrzeby rejestracji przez podatników chcących skorzystać z projektowanych procedur szczególnych, których planowany termin wejścia w życie określony został na dzień 1 </w:t>
            </w:r>
            <w:r w:rsidR="002A29D4">
              <w:rPr>
                <w:rFonts w:ascii="Times New Roman" w:hAnsi="Times New Roman" w:cs="Times New Roman"/>
                <w:color w:val="auto"/>
                <w:sz w:val="22"/>
                <w:szCs w:val="22"/>
              </w:rPr>
              <w:t>kwietnia</w:t>
            </w:r>
            <w:r w:rsidR="002A29D4" w:rsidRPr="00F36492">
              <w:rPr>
                <w:rFonts w:ascii="Times New Roman" w:hAnsi="Times New Roman" w:cs="Times New Roman"/>
                <w:color w:val="auto"/>
                <w:sz w:val="22"/>
                <w:szCs w:val="22"/>
              </w:rPr>
              <w:t xml:space="preserve"> </w:t>
            </w:r>
            <w:r w:rsidR="00C979C4" w:rsidRPr="00F36492">
              <w:rPr>
                <w:rFonts w:ascii="Times New Roman" w:hAnsi="Times New Roman" w:cs="Times New Roman"/>
                <w:color w:val="auto"/>
                <w:sz w:val="22"/>
                <w:szCs w:val="22"/>
              </w:rPr>
              <w:t>20</w:t>
            </w:r>
            <w:r w:rsidR="002457B8" w:rsidRPr="00F36492">
              <w:rPr>
                <w:rFonts w:ascii="Times New Roman" w:hAnsi="Times New Roman" w:cs="Times New Roman"/>
                <w:color w:val="auto"/>
                <w:sz w:val="22"/>
                <w:szCs w:val="22"/>
              </w:rPr>
              <w:t>2</w:t>
            </w:r>
            <w:r w:rsidR="002A29D4">
              <w:rPr>
                <w:rFonts w:ascii="Times New Roman" w:hAnsi="Times New Roman" w:cs="Times New Roman"/>
                <w:color w:val="auto"/>
                <w:sz w:val="22"/>
                <w:szCs w:val="22"/>
              </w:rPr>
              <w:t>1</w:t>
            </w:r>
            <w:r w:rsidR="00C979C4" w:rsidRPr="00F36492">
              <w:rPr>
                <w:rFonts w:ascii="Times New Roman" w:hAnsi="Times New Roman" w:cs="Times New Roman"/>
                <w:color w:val="auto"/>
                <w:sz w:val="22"/>
                <w:szCs w:val="22"/>
              </w:rPr>
              <w:t xml:space="preserve"> </w:t>
            </w:r>
            <w:r w:rsidRPr="00F36492">
              <w:rPr>
                <w:rFonts w:ascii="Times New Roman" w:hAnsi="Times New Roman" w:cs="Times New Roman"/>
                <w:color w:val="auto"/>
                <w:sz w:val="22"/>
                <w:szCs w:val="22"/>
              </w:rPr>
              <w:t>r.</w:t>
            </w:r>
          </w:p>
        </w:tc>
      </w:tr>
      <w:tr w:rsidR="00A53ADF" w:rsidRPr="00F36492" w14:paraId="529461FB" w14:textId="77777777" w:rsidTr="1D9DC3A4">
        <w:trPr>
          <w:gridAfter w:val="1"/>
          <w:wAfter w:w="10" w:type="dxa"/>
          <w:trHeight w:val="142"/>
        </w:trPr>
        <w:tc>
          <w:tcPr>
            <w:tcW w:w="11070" w:type="dxa"/>
            <w:gridSpan w:val="24"/>
            <w:shd w:val="clear" w:color="auto" w:fill="99CCFF"/>
          </w:tcPr>
          <w:p w14:paraId="529461FA" w14:textId="77777777" w:rsidR="00A53ADF" w:rsidRPr="00F36492" w:rsidRDefault="00A53ADF" w:rsidP="00F36492">
            <w:pPr>
              <w:numPr>
                <w:ilvl w:val="0"/>
                <w:numId w:val="12"/>
              </w:numPr>
              <w:spacing w:before="60" w:after="60" w:line="240" w:lineRule="auto"/>
              <w:ind w:left="318" w:hanging="284"/>
              <w:jc w:val="both"/>
              <w:rPr>
                <w:rFonts w:ascii="Times New Roman" w:hAnsi="Times New Roman"/>
                <w:b/>
              </w:rPr>
            </w:pPr>
            <w:r w:rsidRPr="00F36492">
              <w:rPr>
                <w:rFonts w:ascii="Times New Roman" w:hAnsi="Times New Roman"/>
                <w:b/>
              </w:rPr>
              <w:lastRenderedPageBreak/>
              <w:t xml:space="preserve"> </w:t>
            </w:r>
            <w:r w:rsidRPr="00F36492">
              <w:rPr>
                <w:rFonts w:ascii="Times New Roman" w:hAnsi="Times New Roman"/>
                <w:b/>
                <w:spacing w:val="-2"/>
              </w:rPr>
              <w:t>W jaki sposób i kiedy nastąpi ewaluacja efektów projektu oraz jakie mierniki zostaną zastosowane?</w:t>
            </w:r>
          </w:p>
        </w:tc>
      </w:tr>
      <w:tr w:rsidR="00A53ADF" w:rsidRPr="00F36492" w14:paraId="529461FD" w14:textId="77777777" w:rsidTr="1D9DC3A4">
        <w:trPr>
          <w:gridAfter w:val="1"/>
          <w:wAfter w:w="10" w:type="dxa"/>
          <w:trHeight w:val="142"/>
        </w:trPr>
        <w:tc>
          <w:tcPr>
            <w:tcW w:w="11070" w:type="dxa"/>
            <w:gridSpan w:val="24"/>
            <w:shd w:val="clear" w:color="auto" w:fill="FFFFFF"/>
          </w:tcPr>
          <w:p w14:paraId="33C27A0E" w14:textId="77777777" w:rsidR="00D947DE" w:rsidRDefault="00D947DE" w:rsidP="00F36492">
            <w:pPr>
              <w:spacing w:line="240" w:lineRule="auto"/>
              <w:jc w:val="both"/>
              <w:rPr>
                <w:rFonts w:ascii="Times New Roman" w:hAnsi="Times New Roman"/>
              </w:rPr>
            </w:pPr>
            <w:r>
              <w:rPr>
                <w:rFonts w:ascii="Times New Roman" w:hAnsi="Times New Roman"/>
                <w:spacing w:val="-2"/>
              </w:rPr>
              <w:t xml:space="preserve"> </w:t>
            </w:r>
            <w:r w:rsidRPr="00D947DE">
              <w:rPr>
                <w:rFonts w:ascii="Times New Roman" w:hAnsi="Times New Roman"/>
              </w:rPr>
              <w:t>Z uwagi na charakter proponowanych zmian nie przewiduje się ewaluacji projektu. Możliwa ewaluacja efektów projektu będzie dotyczyła funkcjonowania w praktyce wprowadzonych rozwiązań prawnych.</w:t>
            </w:r>
          </w:p>
          <w:p w14:paraId="529461FC" w14:textId="284B483D" w:rsidR="00C76F3D" w:rsidRPr="00D947DE" w:rsidRDefault="00C76F3D" w:rsidP="00C76F3D">
            <w:pPr>
              <w:spacing w:line="240" w:lineRule="auto"/>
              <w:jc w:val="both"/>
              <w:rPr>
                <w:rFonts w:ascii="Times New Roman" w:hAnsi="Times New Roman"/>
                <w:spacing w:val="-2"/>
              </w:rPr>
            </w:pPr>
            <w:r w:rsidRPr="00C76F3D">
              <w:rPr>
                <w:rFonts w:ascii="Times New Roman" w:hAnsi="Times New Roman"/>
                <w:spacing w:val="-2"/>
              </w:rPr>
              <w:t>Należy mieć na uwadze, że prawidłowe funkcjonowanie implementowanych rozwiązań, w tym</w:t>
            </w:r>
            <w:r>
              <w:rPr>
                <w:rFonts w:ascii="Times New Roman" w:hAnsi="Times New Roman"/>
                <w:spacing w:val="-2"/>
              </w:rPr>
              <w:t xml:space="preserve"> </w:t>
            </w:r>
            <w:r w:rsidRPr="00C76F3D">
              <w:rPr>
                <w:rFonts w:ascii="Times New Roman" w:hAnsi="Times New Roman"/>
                <w:spacing w:val="-2"/>
              </w:rPr>
              <w:t>zwłaszcza przewidzianych w projekcie procedur szczególnych, jest w znacznej mierze</w:t>
            </w:r>
            <w:r>
              <w:rPr>
                <w:rFonts w:ascii="Times New Roman" w:hAnsi="Times New Roman"/>
                <w:spacing w:val="-2"/>
              </w:rPr>
              <w:t xml:space="preserve"> </w:t>
            </w:r>
            <w:r w:rsidRPr="00C76F3D">
              <w:rPr>
                <w:rFonts w:ascii="Times New Roman" w:hAnsi="Times New Roman"/>
                <w:spacing w:val="-2"/>
              </w:rPr>
              <w:t>uzależnione od tego, czy te rozwiązania zostaną w prawidłowy sposób wdrożone przez</w:t>
            </w:r>
            <w:r>
              <w:rPr>
                <w:rFonts w:ascii="Times New Roman" w:hAnsi="Times New Roman"/>
                <w:spacing w:val="-2"/>
              </w:rPr>
              <w:t xml:space="preserve"> </w:t>
            </w:r>
            <w:r w:rsidRPr="00C76F3D">
              <w:rPr>
                <w:rFonts w:ascii="Times New Roman" w:hAnsi="Times New Roman"/>
                <w:spacing w:val="-2"/>
              </w:rPr>
              <w:t>wszystkie państwa członkowskie UE. Z tego względu do przeprowadzenia rzetelnej ewaluacji</w:t>
            </w:r>
            <w:r>
              <w:rPr>
                <w:rFonts w:ascii="Times New Roman" w:hAnsi="Times New Roman"/>
                <w:spacing w:val="-2"/>
              </w:rPr>
              <w:t xml:space="preserve"> </w:t>
            </w:r>
            <w:r w:rsidRPr="00C76F3D">
              <w:rPr>
                <w:rFonts w:ascii="Times New Roman" w:hAnsi="Times New Roman"/>
                <w:spacing w:val="-2"/>
              </w:rPr>
              <w:t>implementowanych rozwiązań niezbędne jest dokonanie globalnej (unijnej) oceny ich</w:t>
            </w:r>
            <w:r>
              <w:rPr>
                <w:rFonts w:ascii="Times New Roman" w:hAnsi="Times New Roman"/>
                <w:spacing w:val="-2"/>
              </w:rPr>
              <w:t xml:space="preserve"> </w:t>
            </w:r>
            <w:r w:rsidRPr="00C76F3D">
              <w:rPr>
                <w:rFonts w:ascii="Times New Roman" w:hAnsi="Times New Roman"/>
                <w:spacing w:val="-2"/>
              </w:rPr>
              <w:t>funkcjonowania we wszystkich państwach członkowskich. Dlatego należy oczekiwać, że taka</w:t>
            </w:r>
            <w:r>
              <w:rPr>
                <w:rFonts w:ascii="Times New Roman" w:hAnsi="Times New Roman"/>
                <w:spacing w:val="-2"/>
              </w:rPr>
              <w:t xml:space="preserve"> </w:t>
            </w:r>
            <w:r w:rsidRPr="00C76F3D">
              <w:rPr>
                <w:rFonts w:ascii="Times New Roman" w:hAnsi="Times New Roman"/>
                <w:spacing w:val="-2"/>
              </w:rPr>
              <w:t>ewaluacja zostanie przeprowadzona przez Komisję Europejską, podobnie jak ma to miejsce w</w:t>
            </w:r>
            <w:r>
              <w:rPr>
                <w:rFonts w:ascii="Times New Roman" w:hAnsi="Times New Roman"/>
                <w:spacing w:val="-2"/>
              </w:rPr>
              <w:t xml:space="preserve"> </w:t>
            </w:r>
            <w:r w:rsidRPr="00C76F3D">
              <w:rPr>
                <w:rFonts w:ascii="Times New Roman" w:hAnsi="Times New Roman"/>
                <w:spacing w:val="-2"/>
              </w:rPr>
              <w:t>przypadku obowiązującej procedury Mini One Stop Shop, której rozszerzenie przewidują</w:t>
            </w:r>
            <w:r>
              <w:rPr>
                <w:rFonts w:ascii="Times New Roman" w:hAnsi="Times New Roman"/>
                <w:spacing w:val="-2"/>
              </w:rPr>
              <w:t xml:space="preserve"> </w:t>
            </w:r>
            <w:r w:rsidRPr="00C76F3D">
              <w:rPr>
                <w:rFonts w:ascii="Times New Roman" w:hAnsi="Times New Roman"/>
                <w:spacing w:val="-2"/>
              </w:rPr>
              <w:t>implementowane rozwiązania zawarte w pakiecie VAT e-commerce.</w:t>
            </w:r>
          </w:p>
        </w:tc>
      </w:tr>
      <w:tr w:rsidR="00A53ADF" w:rsidRPr="00F36492" w14:paraId="529461FF" w14:textId="77777777" w:rsidTr="1D9DC3A4">
        <w:trPr>
          <w:gridAfter w:val="1"/>
          <w:wAfter w:w="10" w:type="dxa"/>
          <w:trHeight w:val="142"/>
        </w:trPr>
        <w:tc>
          <w:tcPr>
            <w:tcW w:w="11070" w:type="dxa"/>
            <w:gridSpan w:val="24"/>
            <w:shd w:val="clear" w:color="auto" w:fill="99CCFF"/>
          </w:tcPr>
          <w:p w14:paraId="529461FE" w14:textId="77777777" w:rsidR="00A53ADF" w:rsidRPr="00F36492" w:rsidRDefault="00A53ADF" w:rsidP="00F36492">
            <w:pPr>
              <w:numPr>
                <w:ilvl w:val="0"/>
                <w:numId w:val="12"/>
              </w:numPr>
              <w:spacing w:before="60" w:after="60" w:line="240" w:lineRule="auto"/>
              <w:ind w:left="318" w:hanging="284"/>
              <w:jc w:val="both"/>
              <w:rPr>
                <w:rFonts w:ascii="Times New Roman" w:hAnsi="Times New Roman"/>
                <w:b/>
                <w:spacing w:val="-2"/>
              </w:rPr>
            </w:pPr>
            <w:r w:rsidRPr="00F36492">
              <w:rPr>
                <w:rFonts w:ascii="Times New Roman" w:hAnsi="Times New Roman"/>
                <w:b/>
                <w:spacing w:val="-2"/>
              </w:rPr>
              <w:t xml:space="preserve">Załączniki (istotne dokumenty źródłowe, badania, analizy itp.) </w:t>
            </w:r>
          </w:p>
        </w:tc>
      </w:tr>
    </w:tbl>
    <w:p w14:paraId="4B220074" w14:textId="77777777" w:rsidR="00BE01D1" w:rsidRPr="00F36492" w:rsidRDefault="00BE01D1" w:rsidP="00F36492">
      <w:pPr>
        <w:rPr>
          <w:rFonts w:ascii="Times New Roman" w:hAnsi="Times New Roman"/>
        </w:rPr>
      </w:pPr>
    </w:p>
    <w:p w14:paraId="097CB305" w14:textId="1C4EB2D1" w:rsidR="003547F6" w:rsidRPr="00F36492" w:rsidRDefault="003547F6" w:rsidP="00F36492">
      <w:pPr>
        <w:rPr>
          <w:rFonts w:ascii="Times New Roman" w:hAnsi="Times New Roman"/>
        </w:rPr>
      </w:pPr>
    </w:p>
    <w:sectPr w:rsidR="003547F6" w:rsidRPr="00F36492" w:rsidSect="002632EB">
      <w:footerReference w:type="default" r:id="rId13"/>
      <w:pgSz w:w="11906" w:h="16838"/>
      <w:pgMar w:top="567" w:right="709" w:bottom="567"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7AB78" w14:textId="77777777" w:rsidR="004D4EF7" w:rsidRDefault="004D4EF7">
      <w:pPr>
        <w:spacing w:line="240" w:lineRule="auto"/>
      </w:pPr>
      <w:r>
        <w:separator/>
      </w:r>
    </w:p>
  </w:endnote>
  <w:endnote w:type="continuationSeparator" w:id="0">
    <w:p w14:paraId="3FCA61C1" w14:textId="77777777" w:rsidR="004D4EF7" w:rsidRDefault="004D4EF7">
      <w:pPr>
        <w:spacing w:line="240" w:lineRule="auto"/>
      </w:pPr>
      <w:r>
        <w:continuationSeparator/>
      </w:r>
    </w:p>
  </w:endnote>
  <w:endnote w:type="continuationNotice" w:id="1">
    <w:p w14:paraId="0B6CB8D3" w14:textId="77777777" w:rsidR="004D4EF7" w:rsidRDefault="004D4E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620A" w14:textId="77777777" w:rsidR="000535E7" w:rsidRPr="0098730F" w:rsidRDefault="000535E7">
    <w:pPr>
      <w:pStyle w:val="Stopka"/>
      <w:jc w:val="center"/>
      <w:rPr>
        <w:rFonts w:ascii="Times New Roman" w:hAnsi="Times New Roman"/>
      </w:rPr>
    </w:pPr>
    <w:r w:rsidRPr="0098730F">
      <w:rPr>
        <w:rFonts w:ascii="Times New Roman" w:hAnsi="Times New Roman"/>
      </w:rPr>
      <w:fldChar w:fldCharType="begin"/>
    </w:r>
    <w:r w:rsidRPr="0098730F">
      <w:rPr>
        <w:rFonts w:ascii="Times New Roman" w:hAnsi="Times New Roman"/>
      </w:rPr>
      <w:instrText>PAGE   \* MERGEFORMAT</w:instrText>
    </w:r>
    <w:r w:rsidRPr="0098730F">
      <w:rPr>
        <w:rFonts w:ascii="Times New Roman" w:hAnsi="Times New Roman"/>
      </w:rPr>
      <w:fldChar w:fldCharType="separate"/>
    </w:r>
    <w:r w:rsidR="002B157D">
      <w:rPr>
        <w:rFonts w:ascii="Times New Roman" w:hAnsi="Times New Roman"/>
        <w:noProof/>
      </w:rPr>
      <w:t>1</w:t>
    </w:r>
    <w:r w:rsidRPr="0098730F">
      <w:rPr>
        <w:rFonts w:ascii="Times New Roman" w:hAnsi="Times New Roman"/>
      </w:rPr>
      <w:fldChar w:fldCharType="end"/>
    </w:r>
  </w:p>
  <w:p w14:paraId="5294620B" w14:textId="77777777" w:rsidR="000535E7" w:rsidRDefault="000535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4A88" w14:textId="77777777" w:rsidR="004D4EF7" w:rsidRDefault="004D4EF7">
      <w:pPr>
        <w:spacing w:line="240" w:lineRule="auto"/>
      </w:pPr>
      <w:r>
        <w:separator/>
      </w:r>
    </w:p>
  </w:footnote>
  <w:footnote w:type="continuationSeparator" w:id="0">
    <w:p w14:paraId="188F7ED5" w14:textId="77777777" w:rsidR="004D4EF7" w:rsidRDefault="004D4EF7">
      <w:pPr>
        <w:spacing w:line="240" w:lineRule="auto"/>
      </w:pPr>
      <w:r>
        <w:continuationSeparator/>
      </w:r>
    </w:p>
  </w:footnote>
  <w:footnote w:type="continuationNotice" w:id="1">
    <w:p w14:paraId="5481377D" w14:textId="77777777" w:rsidR="004D4EF7" w:rsidRDefault="004D4EF7">
      <w:pPr>
        <w:spacing w:line="240" w:lineRule="auto"/>
      </w:pPr>
    </w:p>
  </w:footnote>
  <w:footnote w:id="2">
    <w:p w14:paraId="7FAF915F" w14:textId="77777777" w:rsidR="000535E7" w:rsidRDefault="000535E7" w:rsidP="002A4CB5">
      <w:pPr>
        <w:pStyle w:val="Tekstprzypisudolnego"/>
        <w:jc w:val="both"/>
      </w:pPr>
      <w:r w:rsidRPr="008250F5">
        <w:rPr>
          <w:rStyle w:val="Odwoanieprzypisudolnego"/>
          <w:rFonts w:ascii="Times New Roman" w:hAnsi="Times New Roman"/>
        </w:rPr>
        <w:footnoteRef/>
      </w:r>
      <w:r w:rsidRPr="008250F5">
        <w:rPr>
          <w:rFonts w:ascii="Times New Roman" w:hAnsi="Times New Roman"/>
        </w:rPr>
        <w:t xml:space="preserve"> Jak ogłoszono m.in. w komunikacie Komisji z 2015 r. „Strategia jednolitego rynku cyfrowego dla Europy” oraz w komunikacie w sprawie planu działania w sprawie podatku VAT „W kierunku jednolitego obszaru VAT w UE - Czas na decyzję”.</w:t>
      </w:r>
    </w:p>
  </w:footnote>
  <w:footnote w:id="3">
    <w:p w14:paraId="0D68D962" w14:textId="4651A0FD" w:rsidR="000535E7" w:rsidRDefault="000535E7" w:rsidP="002A4CB5">
      <w:pPr>
        <w:pStyle w:val="Tekstprzypisudolnego"/>
        <w:jc w:val="both"/>
      </w:pPr>
      <w:r>
        <w:rPr>
          <w:rStyle w:val="Odwoanieprzypisudolnego"/>
        </w:rPr>
        <w:footnoteRef/>
      </w:r>
      <w:r>
        <w:t xml:space="preserve"> </w:t>
      </w:r>
      <w:r>
        <w:rPr>
          <w:rFonts w:ascii="Times New Roman" w:hAnsi="Times New Roman"/>
        </w:rPr>
        <w:t>D</w:t>
      </w:r>
      <w:r w:rsidRPr="004E3BD6">
        <w:rPr>
          <w:rFonts w:ascii="Times New Roman" w:hAnsi="Times New Roman"/>
        </w:rPr>
        <w:t xml:space="preserve">yrektywa Rady (UE) 2017/2455 z dnia 5 grudnia 2017 r. zmieniająca dyrektywę 2006/112/WE </w:t>
      </w:r>
      <w:r>
        <w:rPr>
          <w:rFonts w:ascii="Times New Roman" w:hAnsi="Times New Roman"/>
        </w:rPr>
        <w:t xml:space="preserve">i dyrektywę 2009/132/WE </w:t>
      </w:r>
      <w:r w:rsidRPr="004E3BD6">
        <w:rPr>
          <w:rFonts w:ascii="Times New Roman" w:hAnsi="Times New Roman"/>
        </w:rPr>
        <w:t>w odniesieniu do niektórych obowiązków wynikających z podatku od wartości dodanej w przypadku świadczenia usług i sprzedaży towarów na odległość (Dz. Urz. UE L 348 z 2</w:t>
      </w:r>
      <w:r>
        <w:rPr>
          <w:rFonts w:ascii="Times New Roman" w:hAnsi="Times New Roman"/>
        </w:rPr>
        <w:t xml:space="preserve">9.12.2017, s. </w:t>
      </w:r>
      <w:r w:rsidRPr="004E3BD6">
        <w:rPr>
          <w:rFonts w:ascii="Times New Roman" w:hAnsi="Times New Roman"/>
        </w:rPr>
        <w:t>7)</w:t>
      </w:r>
      <w:r>
        <w:rPr>
          <w:rFonts w:ascii="Times New Roman" w:hAnsi="Times New Roman"/>
        </w:rPr>
        <w:t>.</w:t>
      </w:r>
    </w:p>
  </w:footnote>
  <w:footnote w:id="4">
    <w:p w14:paraId="0A683F6D" w14:textId="77777777" w:rsidR="000535E7" w:rsidRDefault="000535E7" w:rsidP="002A4CB5">
      <w:pPr>
        <w:pStyle w:val="Tekstprzypisudolnego"/>
        <w:jc w:val="both"/>
      </w:pPr>
      <w:r>
        <w:rPr>
          <w:rStyle w:val="Odwoanieprzypisudolnego"/>
        </w:rPr>
        <w:footnoteRef/>
      </w:r>
      <w:r>
        <w:t xml:space="preserve"> </w:t>
      </w:r>
      <w:r w:rsidRPr="004E3BD6">
        <w:rPr>
          <w:rFonts w:ascii="Times New Roman" w:hAnsi="Times New Roman"/>
        </w:rPr>
        <w:t>Dyrektywa Rady (UE) 2019/1995 z dnia 21 listopada 2019 r. zmieniająca dyrektywę 2006/112/WE w odniesieniu do przepisów dotyczących sprzedaży towarów na odległość oraz niektórych krajowych dostaw towarów (Dz. Urz. UE L 310 z 2.12.2019, s. 1).</w:t>
      </w:r>
    </w:p>
  </w:footnote>
  <w:footnote w:id="5">
    <w:p w14:paraId="5C55DC43" w14:textId="77777777" w:rsidR="000535E7" w:rsidRPr="000A5805" w:rsidRDefault="000535E7" w:rsidP="002A4CB5">
      <w:pPr>
        <w:pStyle w:val="Tekstprzypisudolnego"/>
        <w:ind w:hanging="11"/>
        <w:jc w:val="both"/>
        <w:rPr>
          <w:rFonts w:ascii="Times New Roman" w:hAnsi="Times New Roman"/>
        </w:rPr>
      </w:pPr>
      <w:r w:rsidRPr="000A5805">
        <w:rPr>
          <w:rStyle w:val="Odwoanieprzypisudolnego"/>
          <w:rFonts w:ascii="Times New Roman" w:hAnsi="Times New Roman"/>
        </w:rPr>
        <w:footnoteRef/>
      </w:r>
      <w:r w:rsidRPr="000A5805">
        <w:rPr>
          <w:rFonts w:ascii="Times New Roman" w:hAnsi="Times New Roman"/>
        </w:rPr>
        <w:t xml:space="preserve"> Ta procedura umożliwia deklarowanie i rozliczanie VAT z tytułu określonych transakcji o charakterze transgranicznym w państwie członkowskim siedziby (identyfikacji) usługodawcy za pośrednictwem dedykowanego portalu internetowego, bez konieczności rejestrowania się i wykonywania tych obowiązków w kraju usługobiorcy.</w:t>
      </w:r>
    </w:p>
  </w:footnote>
  <w:footnote w:id="6">
    <w:p w14:paraId="64F6B538" w14:textId="7F9A7D05" w:rsidR="000535E7" w:rsidRDefault="000535E7">
      <w:pPr>
        <w:pStyle w:val="Tekstprzypisudolnego"/>
      </w:pPr>
      <w:r>
        <w:rPr>
          <w:rStyle w:val="Odwoanieprzypisudolnego"/>
        </w:rPr>
        <w:footnoteRef/>
      </w:r>
      <w:r>
        <w:t xml:space="preserve"> Usługi TBE to </w:t>
      </w:r>
      <w:r w:rsidRPr="00382A8B">
        <w:t>usług</w:t>
      </w:r>
      <w:r>
        <w:t>i</w:t>
      </w:r>
      <w:r w:rsidRPr="00382A8B">
        <w:t xml:space="preserve"> telekomunikacyjn</w:t>
      </w:r>
      <w:r>
        <w:t>e</w:t>
      </w:r>
      <w:r w:rsidRPr="00382A8B">
        <w:t>, nadawcz</w:t>
      </w:r>
      <w:r>
        <w:t>e</w:t>
      </w:r>
      <w:r w:rsidRPr="00382A8B">
        <w:t xml:space="preserve"> i elektroniczn</w:t>
      </w:r>
      <w:r>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189"/>
    <w:multiLevelType w:val="hybridMultilevel"/>
    <w:tmpl w:val="3A0A17F8"/>
    <w:lvl w:ilvl="0" w:tplc="FFFFFFFF">
      <w:start w:val="1"/>
      <w:numFmt w:val="bullet"/>
      <w:lvlText w:val=""/>
      <w:lvlJc w:val="left"/>
      <w:pPr>
        <w:tabs>
          <w:tab w:val="num" w:pos="-1133"/>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A7BD7"/>
    <w:multiLevelType w:val="hybridMultilevel"/>
    <w:tmpl w:val="E5B87E84"/>
    <w:lvl w:ilvl="0" w:tplc="57B672D4">
      <w:start w:val="1"/>
      <w:numFmt w:val="decimal"/>
      <w:lvlText w:val="%1)"/>
      <w:lvlJc w:val="left"/>
      <w:pPr>
        <w:tabs>
          <w:tab w:val="num" w:pos="-56"/>
        </w:tabs>
        <w:ind w:left="-413"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B701C8"/>
    <w:multiLevelType w:val="hybridMultilevel"/>
    <w:tmpl w:val="15081ACE"/>
    <w:lvl w:ilvl="0" w:tplc="FFFFFFFF">
      <w:start w:val="1"/>
      <w:numFmt w:val="bullet"/>
      <w:lvlText w:val=""/>
      <w:lvlJc w:val="left"/>
      <w:pPr>
        <w:tabs>
          <w:tab w:val="num" w:pos="-1133"/>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133A2"/>
    <w:multiLevelType w:val="hybridMultilevel"/>
    <w:tmpl w:val="72DA7766"/>
    <w:lvl w:ilvl="0" w:tplc="748EFF2A">
      <w:start w:val="1"/>
      <w:numFmt w:val="upperRoman"/>
      <w:lvlText w:val="%1."/>
      <w:lvlJc w:val="left"/>
      <w:pPr>
        <w:ind w:left="772" w:hanging="360"/>
      </w:pPr>
      <w:rPr>
        <w:rFonts w:asciiTheme="minorHAnsi" w:eastAsiaTheme="minorHAnsi" w:hAnsiTheme="minorHAnsi" w:cstheme="minorBidi"/>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4">
    <w:nsid w:val="18EE240F"/>
    <w:multiLevelType w:val="hybridMultilevel"/>
    <w:tmpl w:val="05D04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FA252A"/>
    <w:multiLevelType w:val="hybridMultilevel"/>
    <w:tmpl w:val="9B30E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A11834"/>
    <w:multiLevelType w:val="hybridMultilevel"/>
    <w:tmpl w:val="4BE03F70"/>
    <w:lvl w:ilvl="0" w:tplc="0C268182">
      <w:start w:val="1"/>
      <w:numFmt w:val="decimal"/>
      <w:lvlText w:val="%1)"/>
      <w:lvlJc w:val="left"/>
      <w:pPr>
        <w:ind w:left="360" w:hanging="360"/>
      </w:pPr>
      <w:rPr>
        <w:rFonts w:ascii="Times New Roman" w:eastAsia="Times New Roman" w:hAnsi="Times New Roman"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28E205F"/>
    <w:multiLevelType w:val="hybridMultilevel"/>
    <w:tmpl w:val="05D655B6"/>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8140F1E"/>
    <w:multiLevelType w:val="hybridMultilevel"/>
    <w:tmpl w:val="D8584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734337"/>
    <w:multiLevelType w:val="hybridMultilevel"/>
    <w:tmpl w:val="AEBC0766"/>
    <w:lvl w:ilvl="0" w:tplc="2B42D8FC">
      <w:start w:val="1"/>
      <w:numFmt w:val="bullet"/>
      <w:lvlText w:val=""/>
      <w:lvlJc w:val="left"/>
      <w:pPr>
        <w:ind w:left="360" w:hanging="360"/>
      </w:pPr>
      <w:rPr>
        <w:rFonts w:ascii="Symbol" w:hAnsi="Symbol" w:hint="default"/>
      </w:rPr>
    </w:lvl>
    <w:lvl w:ilvl="1" w:tplc="B3D0E7F8" w:tentative="1">
      <w:start w:val="1"/>
      <w:numFmt w:val="bullet"/>
      <w:lvlText w:val="o"/>
      <w:lvlJc w:val="left"/>
      <w:pPr>
        <w:ind w:left="1080" w:hanging="360"/>
      </w:pPr>
      <w:rPr>
        <w:rFonts w:ascii="Courier New" w:hAnsi="Courier New" w:cs="Courier New" w:hint="default"/>
      </w:rPr>
    </w:lvl>
    <w:lvl w:ilvl="2" w:tplc="B82611DA" w:tentative="1">
      <w:start w:val="1"/>
      <w:numFmt w:val="bullet"/>
      <w:lvlText w:val=""/>
      <w:lvlJc w:val="left"/>
      <w:pPr>
        <w:ind w:left="1800" w:hanging="360"/>
      </w:pPr>
      <w:rPr>
        <w:rFonts w:ascii="Wingdings" w:hAnsi="Wingdings" w:hint="default"/>
      </w:rPr>
    </w:lvl>
    <w:lvl w:ilvl="3" w:tplc="414203EA" w:tentative="1">
      <w:start w:val="1"/>
      <w:numFmt w:val="bullet"/>
      <w:lvlText w:val=""/>
      <w:lvlJc w:val="left"/>
      <w:pPr>
        <w:ind w:left="2520" w:hanging="360"/>
      </w:pPr>
      <w:rPr>
        <w:rFonts w:ascii="Symbol" w:hAnsi="Symbol" w:hint="default"/>
      </w:rPr>
    </w:lvl>
    <w:lvl w:ilvl="4" w:tplc="7856066A" w:tentative="1">
      <w:start w:val="1"/>
      <w:numFmt w:val="bullet"/>
      <w:lvlText w:val="o"/>
      <w:lvlJc w:val="left"/>
      <w:pPr>
        <w:ind w:left="3240" w:hanging="360"/>
      </w:pPr>
      <w:rPr>
        <w:rFonts w:ascii="Courier New" w:hAnsi="Courier New" w:cs="Courier New" w:hint="default"/>
      </w:rPr>
    </w:lvl>
    <w:lvl w:ilvl="5" w:tplc="65E68F6E" w:tentative="1">
      <w:start w:val="1"/>
      <w:numFmt w:val="bullet"/>
      <w:lvlText w:val=""/>
      <w:lvlJc w:val="left"/>
      <w:pPr>
        <w:ind w:left="3960" w:hanging="360"/>
      </w:pPr>
      <w:rPr>
        <w:rFonts w:ascii="Wingdings" w:hAnsi="Wingdings" w:hint="default"/>
      </w:rPr>
    </w:lvl>
    <w:lvl w:ilvl="6" w:tplc="FD9E2850" w:tentative="1">
      <w:start w:val="1"/>
      <w:numFmt w:val="bullet"/>
      <w:lvlText w:val=""/>
      <w:lvlJc w:val="left"/>
      <w:pPr>
        <w:ind w:left="4680" w:hanging="360"/>
      </w:pPr>
      <w:rPr>
        <w:rFonts w:ascii="Symbol" w:hAnsi="Symbol" w:hint="default"/>
      </w:rPr>
    </w:lvl>
    <w:lvl w:ilvl="7" w:tplc="09126462" w:tentative="1">
      <w:start w:val="1"/>
      <w:numFmt w:val="bullet"/>
      <w:lvlText w:val="o"/>
      <w:lvlJc w:val="left"/>
      <w:pPr>
        <w:ind w:left="5400" w:hanging="360"/>
      </w:pPr>
      <w:rPr>
        <w:rFonts w:ascii="Courier New" w:hAnsi="Courier New" w:cs="Courier New" w:hint="default"/>
      </w:rPr>
    </w:lvl>
    <w:lvl w:ilvl="8" w:tplc="86E2F816" w:tentative="1">
      <w:start w:val="1"/>
      <w:numFmt w:val="bullet"/>
      <w:lvlText w:val=""/>
      <w:lvlJc w:val="left"/>
      <w:pPr>
        <w:ind w:left="6120" w:hanging="360"/>
      </w:pPr>
      <w:rPr>
        <w:rFonts w:ascii="Wingdings" w:hAnsi="Wingdings" w:hint="default"/>
      </w:rPr>
    </w:lvl>
  </w:abstractNum>
  <w:abstractNum w:abstractNumId="11">
    <w:nsid w:val="3EAF74BA"/>
    <w:multiLevelType w:val="hybridMultilevel"/>
    <w:tmpl w:val="69D2032A"/>
    <w:lvl w:ilvl="0" w:tplc="F5D468DE">
      <w:start w:val="1"/>
      <w:numFmt w:val="bullet"/>
      <w:lvlText w:val=""/>
      <w:lvlJc w:val="left"/>
      <w:pPr>
        <w:ind w:left="360" w:hanging="360"/>
      </w:pPr>
      <w:rPr>
        <w:rFonts w:ascii="Symbol" w:hAnsi="Symbol" w:hint="default"/>
      </w:rPr>
    </w:lvl>
    <w:lvl w:ilvl="1" w:tplc="737E2E64" w:tentative="1">
      <w:start w:val="1"/>
      <w:numFmt w:val="bullet"/>
      <w:lvlText w:val="o"/>
      <w:lvlJc w:val="left"/>
      <w:pPr>
        <w:ind w:left="1080" w:hanging="360"/>
      </w:pPr>
      <w:rPr>
        <w:rFonts w:ascii="Courier New" w:hAnsi="Courier New" w:cs="Courier New" w:hint="default"/>
      </w:rPr>
    </w:lvl>
    <w:lvl w:ilvl="2" w:tplc="28D03EC0" w:tentative="1">
      <w:start w:val="1"/>
      <w:numFmt w:val="bullet"/>
      <w:lvlText w:val=""/>
      <w:lvlJc w:val="left"/>
      <w:pPr>
        <w:ind w:left="1800" w:hanging="360"/>
      </w:pPr>
      <w:rPr>
        <w:rFonts w:ascii="Wingdings" w:hAnsi="Wingdings" w:hint="default"/>
      </w:rPr>
    </w:lvl>
    <w:lvl w:ilvl="3" w:tplc="D034D6D2" w:tentative="1">
      <w:start w:val="1"/>
      <w:numFmt w:val="bullet"/>
      <w:lvlText w:val=""/>
      <w:lvlJc w:val="left"/>
      <w:pPr>
        <w:ind w:left="2520" w:hanging="360"/>
      </w:pPr>
      <w:rPr>
        <w:rFonts w:ascii="Symbol" w:hAnsi="Symbol" w:hint="default"/>
      </w:rPr>
    </w:lvl>
    <w:lvl w:ilvl="4" w:tplc="BBC89144" w:tentative="1">
      <w:start w:val="1"/>
      <w:numFmt w:val="bullet"/>
      <w:lvlText w:val="o"/>
      <w:lvlJc w:val="left"/>
      <w:pPr>
        <w:ind w:left="3240" w:hanging="360"/>
      </w:pPr>
      <w:rPr>
        <w:rFonts w:ascii="Courier New" w:hAnsi="Courier New" w:cs="Courier New" w:hint="default"/>
      </w:rPr>
    </w:lvl>
    <w:lvl w:ilvl="5" w:tplc="6FE2B022" w:tentative="1">
      <w:start w:val="1"/>
      <w:numFmt w:val="bullet"/>
      <w:lvlText w:val=""/>
      <w:lvlJc w:val="left"/>
      <w:pPr>
        <w:ind w:left="3960" w:hanging="360"/>
      </w:pPr>
      <w:rPr>
        <w:rFonts w:ascii="Wingdings" w:hAnsi="Wingdings" w:hint="default"/>
      </w:rPr>
    </w:lvl>
    <w:lvl w:ilvl="6" w:tplc="9F9A6DCA" w:tentative="1">
      <w:start w:val="1"/>
      <w:numFmt w:val="bullet"/>
      <w:lvlText w:val=""/>
      <w:lvlJc w:val="left"/>
      <w:pPr>
        <w:ind w:left="4680" w:hanging="360"/>
      </w:pPr>
      <w:rPr>
        <w:rFonts w:ascii="Symbol" w:hAnsi="Symbol" w:hint="default"/>
      </w:rPr>
    </w:lvl>
    <w:lvl w:ilvl="7" w:tplc="78F6000E" w:tentative="1">
      <w:start w:val="1"/>
      <w:numFmt w:val="bullet"/>
      <w:lvlText w:val="o"/>
      <w:lvlJc w:val="left"/>
      <w:pPr>
        <w:ind w:left="5400" w:hanging="360"/>
      </w:pPr>
      <w:rPr>
        <w:rFonts w:ascii="Courier New" w:hAnsi="Courier New" w:cs="Courier New" w:hint="default"/>
      </w:rPr>
    </w:lvl>
    <w:lvl w:ilvl="8" w:tplc="53BCBBF8" w:tentative="1">
      <w:start w:val="1"/>
      <w:numFmt w:val="bullet"/>
      <w:lvlText w:val=""/>
      <w:lvlJc w:val="left"/>
      <w:pPr>
        <w:ind w:left="6120" w:hanging="360"/>
      </w:pPr>
      <w:rPr>
        <w:rFonts w:ascii="Wingdings" w:hAnsi="Wingdings" w:hint="default"/>
      </w:rPr>
    </w:lvl>
  </w:abstractNum>
  <w:abstractNum w:abstractNumId="12">
    <w:nsid w:val="3EFE546E"/>
    <w:multiLevelType w:val="hybridMultilevel"/>
    <w:tmpl w:val="17F2F90C"/>
    <w:lvl w:ilvl="0" w:tplc="8DDEF94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00B71"/>
    <w:multiLevelType w:val="hybridMultilevel"/>
    <w:tmpl w:val="3558B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CB12B9"/>
    <w:multiLevelType w:val="hybridMultilevel"/>
    <w:tmpl w:val="DCC869B6"/>
    <w:lvl w:ilvl="0" w:tplc="8DDEF94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E25B54"/>
    <w:multiLevelType w:val="hybridMultilevel"/>
    <w:tmpl w:val="DA605290"/>
    <w:lvl w:ilvl="0" w:tplc="FFFFFFFF">
      <w:start w:val="1"/>
      <w:numFmt w:val="bullet"/>
      <w:lvlText w:val=""/>
      <w:lvlJc w:val="left"/>
      <w:pPr>
        <w:tabs>
          <w:tab w:val="num" w:pos="-1133"/>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A1F97"/>
    <w:multiLevelType w:val="hybridMultilevel"/>
    <w:tmpl w:val="59708B00"/>
    <w:lvl w:ilvl="0" w:tplc="4176DA8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D8E135E"/>
    <w:multiLevelType w:val="hybridMultilevel"/>
    <w:tmpl w:val="E2903E8A"/>
    <w:lvl w:ilvl="0" w:tplc="A2947078">
      <w:start w:val="1"/>
      <w:numFmt w:val="decimal"/>
      <w:lvlText w:val="%1)"/>
      <w:lvlJc w:val="left"/>
      <w:pPr>
        <w:tabs>
          <w:tab w:val="num" w:pos="108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986102"/>
    <w:multiLevelType w:val="hybridMultilevel"/>
    <w:tmpl w:val="14C411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0F5CE3"/>
    <w:multiLevelType w:val="hybridMultilevel"/>
    <w:tmpl w:val="420AEC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C07E17"/>
    <w:multiLevelType w:val="hybridMultilevel"/>
    <w:tmpl w:val="F5569F0C"/>
    <w:lvl w:ilvl="0" w:tplc="FFFFFFFF">
      <w:start w:val="1"/>
      <w:numFmt w:val="bullet"/>
      <w:lvlText w:val=""/>
      <w:lvlJc w:val="left"/>
      <w:pPr>
        <w:tabs>
          <w:tab w:val="num" w:pos="-1133"/>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2C5BDA"/>
    <w:multiLevelType w:val="hybridMultilevel"/>
    <w:tmpl w:val="D8584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761119"/>
    <w:multiLevelType w:val="hybridMultilevel"/>
    <w:tmpl w:val="3594F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CD3A8D"/>
    <w:multiLevelType w:val="hybridMultilevel"/>
    <w:tmpl w:val="0484937E"/>
    <w:lvl w:ilvl="0" w:tplc="06A40ECC">
      <w:start w:val="1"/>
      <w:numFmt w:val="bullet"/>
      <w:lvlText w:val=""/>
      <w:lvlJc w:val="left"/>
      <w:pPr>
        <w:tabs>
          <w:tab w:val="num" w:pos="-1493"/>
        </w:tabs>
        <w:ind w:left="360" w:hanging="360"/>
      </w:pPr>
      <w:rPr>
        <w:rFonts w:ascii="Symbol" w:hAnsi="Symbol" w:hint="default"/>
      </w:rPr>
    </w:lvl>
    <w:lvl w:ilvl="1" w:tplc="04150003" w:tentative="1">
      <w:start w:val="1"/>
      <w:numFmt w:val="bullet"/>
      <w:lvlText w:val="o"/>
      <w:lvlJc w:val="left"/>
      <w:pPr>
        <w:tabs>
          <w:tab w:val="num" w:pos="-53"/>
        </w:tabs>
        <w:ind w:left="-53" w:hanging="360"/>
      </w:pPr>
      <w:rPr>
        <w:rFonts w:ascii="Courier New" w:hAnsi="Courier New" w:cs="Courier New" w:hint="default"/>
      </w:rPr>
    </w:lvl>
    <w:lvl w:ilvl="2" w:tplc="04150005" w:tentative="1">
      <w:start w:val="1"/>
      <w:numFmt w:val="bullet"/>
      <w:lvlText w:val=""/>
      <w:lvlJc w:val="left"/>
      <w:pPr>
        <w:tabs>
          <w:tab w:val="num" w:pos="667"/>
        </w:tabs>
        <w:ind w:left="667" w:hanging="360"/>
      </w:pPr>
      <w:rPr>
        <w:rFonts w:ascii="Wingdings" w:hAnsi="Wingdings" w:hint="default"/>
      </w:rPr>
    </w:lvl>
    <w:lvl w:ilvl="3" w:tplc="04150001" w:tentative="1">
      <w:start w:val="1"/>
      <w:numFmt w:val="bullet"/>
      <w:lvlText w:val=""/>
      <w:lvlJc w:val="left"/>
      <w:pPr>
        <w:tabs>
          <w:tab w:val="num" w:pos="1387"/>
        </w:tabs>
        <w:ind w:left="1387" w:hanging="360"/>
      </w:pPr>
      <w:rPr>
        <w:rFonts w:ascii="Symbol" w:hAnsi="Symbol" w:hint="default"/>
      </w:rPr>
    </w:lvl>
    <w:lvl w:ilvl="4" w:tplc="04150003" w:tentative="1">
      <w:start w:val="1"/>
      <w:numFmt w:val="bullet"/>
      <w:lvlText w:val="o"/>
      <w:lvlJc w:val="left"/>
      <w:pPr>
        <w:tabs>
          <w:tab w:val="num" w:pos="2107"/>
        </w:tabs>
        <w:ind w:left="2107" w:hanging="360"/>
      </w:pPr>
      <w:rPr>
        <w:rFonts w:ascii="Courier New" w:hAnsi="Courier New" w:cs="Courier New" w:hint="default"/>
      </w:rPr>
    </w:lvl>
    <w:lvl w:ilvl="5" w:tplc="04150005" w:tentative="1">
      <w:start w:val="1"/>
      <w:numFmt w:val="bullet"/>
      <w:lvlText w:val=""/>
      <w:lvlJc w:val="left"/>
      <w:pPr>
        <w:tabs>
          <w:tab w:val="num" w:pos="2827"/>
        </w:tabs>
        <w:ind w:left="2827" w:hanging="360"/>
      </w:pPr>
      <w:rPr>
        <w:rFonts w:ascii="Wingdings" w:hAnsi="Wingdings" w:hint="default"/>
      </w:rPr>
    </w:lvl>
    <w:lvl w:ilvl="6" w:tplc="04150001" w:tentative="1">
      <w:start w:val="1"/>
      <w:numFmt w:val="bullet"/>
      <w:lvlText w:val=""/>
      <w:lvlJc w:val="left"/>
      <w:pPr>
        <w:tabs>
          <w:tab w:val="num" w:pos="3547"/>
        </w:tabs>
        <w:ind w:left="3547" w:hanging="360"/>
      </w:pPr>
      <w:rPr>
        <w:rFonts w:ascii="Symbol" w:hAnsi="Symbol" w:hint="default"/>
      </w:rPr>
    </w:lvl>
    <w:lvl w:ilvl="7" w:tplc="04150003" w:tentative="1">
      <w:start w:val="1"/>
      <w:numFmt w:val="bullet"/>
      <w:lvlText w:val="o"/>
      <w:lvlJc w:val="left"/>
      <w:pPr>
        <w:tabs>
          <w:tab w:val="num" w:pos="4267"/>
        </w:tabs>
        <w:ind w:left="4267" w:hanging="360"/>
      </w:pPr>
      <w:rPr>
        <w:rFonts w:ascii="Courier New" w:hAnsi="Courier New" w:cs="Courier New" w:hint="default"/>
      </w:rPr>
    </w:lvl>
    <w:lvl w:ilvl="8" w:tplc="04150005" w:tentative="1">
      <w:start w:val="1"/>
      <w:numFmt w:val="bullet"/>
      <w:lvlText w:val=""/>
      <w:lvlJc w:val="left"/>
      <w:pPr>
        <w:tabs>
          <w:tab w:val="num" w:pos="4987"/>
        </w:tabs>
        <w:ind w:left="4987" w:hanging="360"/>
      </w:pPr>
      <w:rPr>
        <w:rFonts w:ascii="Wingdings" w:hAnsi="Wingdings" w:hint="default"/>
      </w:rPr>
    </w:lvl>
  </w:abstractNum>
  <w:abstractNum w:abstractNumId="24">
    <w:nsid w:val="79B865FD"/>
    <w:multiLevelType w:val="hybridMultilevel"/>
    <w:tmpl w:val="DC8C6D58"/>
    <w:lvl w:ilvl="0" w:tplc="91EEE15A">
      <w:start w:val="1"/>
      <w:numFmt w:val="low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7FC166BC"/>
    <w:multiLevelType w:val="hybridMultilevel"/>
    <w:tmpl w:val="252441EC"/>
    <w:lvl w:ilvl="0" w:tplc="FFFFFFFF">
      <w:start w:val="1"/>
      <w:numFmt w:val="bullet"/>
      <w:lvlText w:val=""/>
      <w:lvlJc w:val="left"/>
      <w:pPr>
        <w:tabs>
          <w:tab w:val="num" w:pos="-1133"/>
        </w:tabs>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23"/>
  </w:num>
  <w:num w:numId="4">
    <w:abstractNumId w:val="1"/>
  </w:num>
  <w:num w:numId="5">
    <w:abstractNumId w:val="6"/>
  </w:num>
  <w:num w:numId="6">
    <w:abstractNumId w:val="22"/>
  </w:num>
  <w:num w:numId="7">
    <w:abstractNumId w:val="0"/>
  </w:num>
  <w:num w:numId="8">
    <w:abstractNumId w:val="2"/>
  </w:num>
  <w:num w:numId="9">
    <w:abstractNumId w:val="15"/>
  </w:num>
  <w:num w:numId="10">
    <w:abstractNumId w:val="20"/>
  </w:num>
  <w:num w:numId="11">
    <w:abstractNumId w:val="25"/>
  </w:num>
  <w:num w:numId="12">
    <w:abstractNumId w:val="9"/>
  </w:num>
  <w:num w:numId="13">
    <w:abstractNumId w:val="17"/>
  </w:num>
  <w:num w:numId="14">
    <w:abstractNumId w:val="21"/>
  </w:num>
  <w:num w:numId="15">
    <w:abstractNumId w:val="18"/>
  </w:num>
  <w:num w:numId="16">
    <w:abstractNumId w:val="8"/>
  </w:num>
  <w:num w:numId="17">
    <w:abstractNumId w:val="10"/>
  </w:num>
  <w:num w:numId="18">
    <w:abstractNumId w:val="11"/>
  </w:num>
  <w:num w:numId="19">
    <w:abstractNumId w:val="12"/>
  </w:num>
  <w:num w:numId="20">
    <w:abstractNumId w:val="24"/>
  </w:num>
  <w:num w:numId="21">
    <w:abstractNumId w:val="5"/>
  </w:num>
  <w:num w:numId="22">
    <w:abstractNumId w:val="3"/>
  </w:num>
  <w:num w:numId="23">
    <w:abstractNumId w:val="19"/>
  </w:num>
  <w:num w:numId="24">
    <w:abstractNumId w:val="14"/>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5C"/>
    <w:rsid w:val="000061EB"/>
    <w:rsid w:val="00013F17"/>
    <w:rsid w:val="00015F61"/>
    <w:rsid w:val="0002305C"/>
    <w:rsid w:val="00024776"/>
    <w:rsid w:val="00026060"/>
    <w:rsid w:val="00026189"/>
    <w:rsid w:val="00030F50"/>
    <w:rsid w:val="00033214"/>
    <w:rsid w:val="000345AA"/>
    <w:rsid w:val="00036656"/>
    <w:rsid w:val="000462F1"/>
    <w:rsid w:val="000502A0"/>
    <w:rsid w:val="000535E7"/>
    <w:rsid w:val="000538A9"/>
    <w:rsid w:val="00060412"/>
    <w:rsid w:val="000703E6"/>
    <w:rsid w:val="00073D45"/>
    <w:rsid w:val="000764D5"/>
    <w:rsid w:val="00077ADA"/>
    <w:rsid w:val="000865E4"/>
    <w:rsid w:val="00087188"/>
    <w:rsid w:val="00087A0E"/>
    <w:rsid w:val="00090330"/>
    <w:rsid w:val="000A235D"/>
    <w:rsid w:val="000A5E6F"/>
    <w:rsid w:val="000B2E0D"/>
    <w:rsid w:val="000B356D"/>
    <w:rsid w:val="000D3D29"/>
    <w:rsid w:val="000D3D76"/>
    <w:rsid w:val="000D57FD"/>
    <w:rsid w:val="000D5BD2"/>
    <w:rsid w:val="000E037B"/>
    <w:rsid w:val="000F16C0"/>
    <w:rsid w:val="000F1B5F"/>
    <w:rsid w:val="000F5A98"/>
    <w:rsid w:val="00106EB5"/>
    <w:rsid w:val="0010758F"/>
    <w:rsid w:val="00107C6C"/>
    <w:rsid w:val="001127E9"/>
    <w:rsid w:val="001231A3"/>
    <w:rsid w:val="001306F3"/>
    <w:rsid w:val="001337A1"/>
    <w:rsid w:val="001418D9"/>
    <w:rsid w:val="001418E5"/>
    <w:rsid w:val="001456E5"/>
    <w:rsid w:val="00151EBD"/>
    <w:rsid w:val="001557ED"/>
    <w:rsid w:val="00157566"/>
    <w:rsid w:val="00166CC5"/>
    <w:rsid w:val="00167283"/>
    <w:rsid w:val="00170DDE"/>
    <w:rsid w:val="00171AC3"/>
    <w:rsid w:val="00176FB6"/>
    <w:rsid w:val="00177FC8"/>
    <w:rsid w:val="00194C8D"/>
    <w:rsid w:val="0019742B"/>
    <w:rsid w:val="001A155E"/>
    <w:rsid w:val="001A5C72"/>
    <w:rsid w:val="001D3061"/>
    <w:rsid w:val="001F58A4"/>
    <w:rsid w:val="001F7E69"/>
    <w:rsid w:val="00200F5A"/>
    <w:rsid w:val="002010DB"/>
    <w:rsid w:val="002049D9"/>
    <w:rsid w:val="0020675E"/>
    <w:rsid w:val="00213A3D"/>
    <w:rsid w:val="002269B4"/>
    <w:rsid w:val="00233A6F"/>
    <w:rsid w:val="00234AAA"/>
    <w:rsid w:val="002379DB"/>
    <w:rsid w:val="00243A58"/>
    <w:rsid w:val="002457B8"/>
    <w:rsid w:val="002470D1"/>
    <w:rsid w:val="0025154C"/>
    <w:rsid w:val="00257526"/>
    <w:rsid w:val="002632EB"/>
    <w:rsid w:val="0027382A"/>
    <w:rsid w:val="0027587E"/>
    <w:rsid w:val="00276485"/>
    <w:rsid w:val="00277472"/>
    <w:rsid w:val="00281D37"/>
    <w:rsid w:val="002829DE"/>
    <w:rsid w:val="00291D8A"/>
    <w:rsid w:val="00297B00"/>
    <w:rsid w:val="002A0F95"/>
    <w:rsid w:val="002A1CD1"/>
    <w:rsid w:val="002A29D4"/>
    <w:rsid w:val="002A4CB5"/>
    <w:rsid w:val="002A748A"/>
    <w:rsid w:val="002B157D"/>
    <w:rsid w:val="002B2893"/>
    <w:rsid w:val="002B48F7"/>
    <w:rsid w:val="002B65DA"/>
    <w:rsid w:val="002B77F1"/>
    <w:rsid w:val="002C150E"/>
    <w:rsid w:val="002C1A16"/>
    <w:rsid w:val="002C505C"/>
    <w:rsid w:val="002C56B0"/>
    <w:rsid w:val="002C7126"/>
    <w:rsid w:val="002D0160"/>
    <w:rsid w:val="002D1A8F"/>
    <w:rsid w:val="002D2865"/>
    <w:rsid w:val="002D5D74"/>
    <w:rsid w:val="002D7D36"/>
    <w:rsid w:val="00302145"/>
    <w:rsid w:val="00302447"/>
    <w:rsid w:val="003026FB"/>
    <w:rsid w:val="003148BB"/>
    <w:rsid w:val="003171BD"/>
    <w:rsid w:val="00317E97"/>
    <w:rsid w:val="003274C5"/>
    <w:rsid w:val="0033724E"/>
    <w:rsid w:val="00344584"/>
    <w:rsid w:val="00345DE9"/>
    <w:rsid w:val="00346773"/>
    <w:rsid w:val="00353812"/>
    <w:rsid w:val="003547F6"/>
    <w:rsid w:val="00356F87"/>
    <w:rsid w:val="00360F1B"/>
    <w:rsid w:val="003645AF"/>
    <w:rsid w:val="00371999"/>
    <w:rsid w:val="00372216"/>
    <w:rsid w:val="0037482C"/>
    <w:rsid w:val="003749A1"/>
    <w:rsid w:val="00382A8B"/>
    <w:rsid w:val="00382DCE"/>
    <w:rsid w:val="00383F3C"/>
    <w:rsid w:val="0039359E"/>
    <w:rsid w:val="00396A59"/>
    <w:rsid w:val="003B5B68"/>
    <w:rsid w:val="003D1880"/>
    <w:rsid w:val="003D1D52"/>
    <w:rsid w:val="003E04DE"/>
    <w:rsid w:val="003E4838"/>
    <w:rsid w:val="003E5A52"/>
    <w:rsid w:val="003E64C5"/>
    <w:rsid w:val="003F208A"/>
    <w:rsid w:val="003F2896"/>
    <w:rsid w:val="003F3C70"/>
    <w:rsid w:val="00401846"/>
    <w:rsid w:val="00403DC6"/>
    <w:rsid w:val="00410CD4"/>
    <w:rsid w:val="00412104"/>
    <w:rsid w:val="004223A9"/>
    <w:rsid w:val="00427D02"/>
    <w:rsid w:val="00431E6F"/>
    <w:rsid w:val="004329FF"/>
    <w:rsid w:val="00446946"/>
    <w:rsid w:val="00447515"/>
    <w:rsid w:val="00453EF1"/>
    <w:rsid w:val="00453F83"/>
    <w:rsid w:val="0047687D"/>
    <w:rsid w:val="00490835"/>
    <w:rsid w:val="004958B3"/>
    <w:rsid w:val="00497124"/>
    <w:rsid w:val="004A1128"/>
    <w:rsid w:val="004A13CC"/>
    <w:rsid w:val="004A2AE7"/>
    <w:rsid w:val="004B67BA"/>
    <w:rsid w:val="004C27F3"/>
    <w:rsid w:val="004D0DB8"/>
    <w:rsid w:val="004D1F16"/>
    <w:rsid w:val="004D3865"/>
    <w:rsid w:val="004D4EF7"/>
    <w:rsid w:val="004D70E3"/>
    <w:rsid w:val="004E005D"/>
    <w:rsid w:val="004E3DF3"/>
    <w:rsid w:val="004F104E"/>
    <w:rsid w:val="004F4536"/>
    <w:rsid w:val="00500F4F"/>
    <w:rsid w:val="005025E7"/>
    <w:rsid w:val="0050607F"/>
    <w:rsid w:val="00525C56"/>
    <w:rsid w:val="00541151"/>
    <w:rsid w:val="005539B7"/>
    <w:rsid w:val="00561C38"/>
    <w:rsid w:val="0056302A"/>
    <w:rsid w:val="00571B56"/>
    <w:rsid w:val="0057322A"/>
    <w:rsid w:val="005748B3"/>
    <w:rsid w:val="00585CAC"/>
    <w:rsid w:val="005934B6"/>
    <w:rsid w:val="00596E94"/>
    <w:rsid w:val="005A2561"/>
    <w:rsid w:val="005A58F3"/>
    <w:rsid w:val="005B1D0C"/>
    <w:rsid w:val="005B42D2"/>
    <w:rsid w:val="005B4887"/>
    <w:rsid w:val="005D14D3"/>
    <w:rsid w:val="005E13AA"/>
    <w:rsid w:val="005E2080"/>
    <w:rsid w:val="005E416B"/>
    <w:rsid w:val="005E44A0"/>
    <w:rsid w:val="005E7552"/>
    <w:rsid w:val="005F4184"/>
    <w:rsid w:val="00600CF0"/>
    <w:rsid w:val="00603BA9"/>
    <w:rsid w:val="00610ABE"/>
    <w:rsid w:val="00610EF6"/>
    <w:rsid w:val="00613400"/>
    <w:rsid w:val="00613A66"/>
    <w:rsid w:val="00614D45"/>
    <w:rsid w:val="00634859"/>
    <w:rsid w:val="00636CB5"/>
    <w:rsid w:val="00640BBE"/>
    <w:rsid w:val="0064557B"/>
    <w:rsid w:val="006463DC"/>
    <w:rsid w:val="00655D4C"/>
    <w:rsid w:val="006703EC"/>
    <w:rsid w:val="0067489E"/>
    <w:rsid w:val="0067500A"/>
    <w:rsid w:val="006866B9"/>
    <w:rsid w:val="0069439C"/>
    <w:rsid w:val="00697F6A"/>
    <w:rsid w:val="006A0736"/>
    <w:rsid w:val="006A31EB"/>
    <w:rsid w:val="006A4162"/>
    <w:rsid w:val="006A6841"/>
    <w:rsid w:val="006A6EDC"/>
    <w:rsid w:val="006B527B"/>
    <w:rsid w:val="006C1EDD"/>
    <w:rsid w:val="006C5ABF"/>
    <w:rsid w:val="006C6FAC"/>
    <w:rsid w:val="006D4136"/>
    <w:rsid w:val="006D55FF"/>
    <w:rsid w:val="006D63A2"/>
    <w:rsid w:val="006E01F5"/>
    <w:rsid w:val="006E0808"/>
    <w:rsid w:val="006E1F89"/>
    <w:rsid w:val="006E5327"/>
    <w:rsid w:val="006E6EEB"/>
    <w:rsid w:val="006E7DD1"/>
    <w:rsid w:val="006F1818"/>
    <w:rsid w:val="006F70F8"/>
    <w:rsid w:val="007001A3"/>
    <w:rsid w:val="00700F2C"/>
    <w:rsid w:val="007042E7"/>
    <w:rsid w:val="00706497"/>
    <w:rsid w:val="007142A2"/>
    <w:rsid w:val="00714880"/>
    <w:rsid w:val="00715380"/>
    <w:rsid w:val="00721679"/>
    <w:rsid w:val="00723542"/>
    <w:rsid w:val="007307B2"/>
    <w:rsid w:val="00741C15"/>
    <w:rsid w:val="007439F3"/>
    <w:rsid w:val="00750E0C"/>
    <w:rsid w:val="0075153F"/>
    <w:rsid w:val="00751A00"/>
    <w:rsid w:val="00752394"/>
    <w:rsid w:val="007560B3"/>
    <w:rsid w:val="00767E1E"/>
    <w:rsid w:val="0077060E"/>
    <w:rsid w:val="00772687"/>
    <w:rsid w:val="00772923"/>
    <w:rsid w:val="00776BFB"/>
    <w:rsid w:val="0078759C"/>
    <w:rsid w:val="00791B96"/>
    <w:rsid w:val="00795163"/>
    <w:rsid w:val="007A6582"/>
    <w:rsid w:val="007B47D4"/>
    <w:rsid w:val="007C034A"/>
    <w:rsid w:val="007C276A"/>
    <w:rsid w:val="007D0B51"/>
    <w:rsid w:val="007D0FC5"/>
    <w:rsid w:val="007D32E3"/>
    <w:rsid w:val="007D3D69"/>
    <w:rsid w:val="007E2658"/>
    <w:rsid w:val="007E388C"/>
    <w:rsid w:val="007E6ABF"/>
    <w:rsid w:val="007F09B8"/>
    <w:rsid w:val="007F0CAC"/>
    <w:rsid w:val="007F0CEF"/>
    <w:rsid w:val="007F35C9"/>
    <w:rsid w:val="007F76DF"/>
    <w:rsid w:val="00800123"/>
    <w:rsid w:val="008018A1"/>
    <w:rsid w:val="00807289"/>
    <w:rsid w:val="00815AFB"/>
    <w:rsid w:val="008225CB"/>
    <w:rsid w:val="00825222"/>
    <w:rsid w:val="00837331"/>
    <w:rsid w:val="00842B07"/>
    <w:rsid w:val="00843DBD"/>
    <w:rsid w:val="00857094"/>
    <w:rsid w:val="00861D7D"/>
    <w:rsid w:val="0086257C"/>
    <w:rsid w:val="0086733C"/>
    <w:rsid w:val="0087245C"/>
    <w:rsid w:val="00873992"/>
    <w:rsid w:val="00877D5F"/>
    <w:rsid w:val="00896C88"/>
    <w:rsid w:val="008A5E65"/>
    <w:rsid w:val="008A714D"/>
    <w:rsid w:val="008C2EAD"/>
    <w:rsid w:val="008D7BD7"/>
    <w:rsid w:val="008E1B72"/>
    <w:rsid w:val="008E2B61"/>
    <w:rsid w:val="008E3782"/>
    <w:rsid w:val="008E4F81"/>
    <w:rsid w:val="008F77EC"/>
    <w:rsid w:val="0090297E"/>
    <w:rsid w:val="009079D7"/>
    <w:rsid w:val="00924FAC"/>
    <w:rsid w:val="00924FE8"/>
    <w:rsid w:val="00932548"/>
    <w:rsid w:val="00932582"/>
    <w:rsid w:val="009411DB"/>
    <w:rsid w:val="00950F22"/>
    <w:rsid w:val="00956168"/>
    <w:rsid w:val="009624BE"/>
    <w:rsid w:val="00962B65"/>
    <w:rsid w:val="009657E0"/>
    <w:rsid w:val="009706EF"/>
    <w:rsid w:val="009876C8"/>
    <w:rsid w:val="00987BB6"/>
    <w:rsid w:val="00991D2D"/>
    <w:rsid w:val="009920DF"/>
    <w:rsid w:val="009928BB"/>
    <w:rsid w:val="00992DA9"/>
    <w:rsid w:val="009A1AE1"/>
    <w:rsid w:val="009A2440"/>
    <w:rsid w:val="009A2645"/>
    <w:rsid w:val="009B18D6"/>
    <w:rsid w:val="009B2575"/>
    <w:rsid w:val="009B4439"/>
    <w:rsid w:val="009C14CA"/>
    <w:rsid w:val="009C46E4"/>
    <w:rsid w:val="009C5067"/>
    <w:rsid w:val="009C5171"/>
    <w:rsid w:val="009D5DB4"/>
    <w:rsid w:val="009E2545"/>
    <w:rsid w:val="009E28C9"/>
    <w:rsid w:val="009E6A19"/>
    <w:rsid w:val="009F5954"/>
    <w:rsid w:val="009F6D5E"/>
    <w:rsid w:val="00A022FE"/>
    <w:rsid w:val="00A06988"/>
    <w:rsid w:val="00A07E81"/>
    <w:rsid w:val="00A1080D"/>
    <w:rsid w:val="00A23F05"/>
    <w:rsid w:val="00A329EA"/>
    <w:rsid w:val="00A341BC"/>
    <w:rsid w:val="00A36053"/>
    <w:rsid w:val="00A40C3A"/>
    <w:rsid w:val="00A452CA"/>
    <w:rsid w:val="00A53ADF"/>
    <w:rsid w:val="00A548CD"/>
    <w:rsid w:val="00A55C7F"/>
    <w:rsid w:val="00A57D54"/>
    <w:rsid w:val="00A670CF"/>
    <w:rsid w:val="00A73746"/>
    <w:rsid w:val="00A84A61"/>
    <w:rsid w:val="00A85CAC"/>
    <w:rsid w:val="00A86183"/>
    <w:rsid w:val="00A95F82"/>
    <w:rsid w:val="00A9658B"/>
    <w:rsid w:val="00A97CAC"/>
    <w:rsid w:val="00AA3E69"/>
    <w:rsid w:val="00AB2174"/>
    <w:rsid w:val="00AC09A7"/>
    <w:rsid w:val="00AC3B25"/>
    <w:rsid w:val="00AC527B"/>
    <w:rsid w:val="00AC788F"/>
    <w:rsid w:val="00AD05E8"/>
    <w:rsid w:val="00AE54D1"/>
    <w:rsid w:val="00AE57BF"/>
    <w:rsid w:val="00AE77CD"/>
    <w:rsid w:val="00AF16B8"/>
    <w:rsid w:val="00B00928"/>
    <w:rsid w:val="00B0297E"/>
    <w:rsid w:val="00B03633"/>
    <w:rsid w:val="00B113D4"/>
    <w:rsid w:val="00B13468"/>
    <w:rsid w:val="00B137B9"/>
    <w:rsid w:val="00B14FD7"/>
    <w:rsid w:val="00B207E0"/>
    <w:rsid w:val="00B239C3"/>
    <w:rsid w:val="00B35FE4"/>
    <w:rsid w:val="00B452E1"/>
    <w:rsid w:val="00B50003"/>
    <w:rsid w:val="00B53D09"/>
    <w:rsid w:val="00B6505A"/>
    <w:rsid w:val="00B65808"/>
    <w:rsid w:val="00B73704"/>
    <w:rsid w:val="00B758EB"/>
    <w:rsid w:val="00B82BBE"/>
    <w:rsid w:val="00B87FE4"/>
    <w:rsid w:val="00B910F2"/>
    <w:rsid w:val="00B94FAA"/>
    <w:rsid w:val="00B9737E"/>
    <w:rsid w:val="00B975EE"/>
    <w:rsid w:val="00BA533A"/>
    <w:rsid w:val="00BB05E0"/>
    <w:rsid w:val="00BB6CDE"/>
    <w:rsid w:val="00BC1B82"/>
    <w:rsid w:val="00BC2BD4"/>
    <w:rsid w:val="00BC57D8"/>
    <w:rsid w:val="00BC7089"/>
    <w:rsid w:val="00BD3306"/>
    <w:rsid w:val="00BE01D1"/>
    <w:rsid w:val="00BE7BEB"/>
    <w:rsid w:val="00BF0233"/>
    <w:rsid w:val="00BF4AEF"/>
    <w:rsid w:val="00BF55AB"/>
    <w:rsid w:val="00BF67B7"/>
    <w:rsid w:val="00C013F3"/>
    <w:rsid w:val="00C100A7"/>
    <w:rsid w:val="00C2010C"/>
    <w:rsid w:val="00C30F21"/>
    <w:rsid w:val="00C36481"/>
    <w:rsid w:val="00C36B4B"/>
    <w:rsid w:val="00C449F4"/>
    <w:rsid w:val="00C45198"/>
    <w:rsid w:val="00C60594"/>
    <w:rsid w:val="00C65096"/>
    <w:rsid w:val="00C6796B"/>
    <w:rsid w:val="00C72584"/>
    <w:rsid w:val="00C73016"/>
    <w:rsid w:val="00C7579D"/>
    <w:rsid w:val="00C76F3D"/>
    <w:rsid w:val="00C811FC"/>
    <w:rsid w:val="00C811FE"/>
    <w:rsid w:val="00C94B2B"/>
    <w:rsid w:val="00C9500B"/>
    <w:rsid w:val="00C9533C"/>
    <w:rsid w:val="00C979C4"/>
    <w:rsid w:val="00CA1D65"/>
    <w:rsid w:val="00CA3FC0"/>
    <w:rsid w:val="00CA5F86"/>
    <w:rsid w:val="00CB6341"/>
    <w:rsid w:val="00CC3DDA"/>
    <w:rsid w:val="00CC7FC3"/>
    <w:rsid w:val="00CE0DFB"/>
    <w:rsid w:val="00CE1321"/>
    <w:rsid w:val="00CE328D"/>
    <w:rsid w:val="00CE3D9E"/>
    <w:rsid w:val="00CE4A58"/>
    <w:rsid w:val="00CE63A9"/>
    <w:rsid w:val="00CE76D7"/>
    <w:rsid w:val="00CE7BFF"/>
    <w:rsid w:val="00CF00F4"/>
    <w:rsid w:val="00CF6132"/>
    <w:rsid w:val="00D004DA"/>
    <w:rsid w:val="00D01D36"/>
    <w:rsid w:val="00D01EB6"/>
    <w:rsid w:val="00D03A5B"/>
    <w:rsid w:val="00D05AD4"/>
    <w:rsid w:val="00D113C0"/>
    <w:rsid w:val="00D11E6F"/>
    <w:rsid w:val="00D3093A"/>
    <w:rsid w:val="00D31323"/>
    <w:rsid w:val="00D4113F"/>
    <w:rsid w:val="00D47487"/>
    <w:rsid w:val="00D64351"/>
    <w:rsid w:val="00D775E0"/>
    <w:rsid w:val="00D834A0"/>
    <w:rsid w:val="00D91793"/>
    <w:rsid w:val="00D947DE"/>
    <w:rsid w:val="00D958F8"/>
    <w:rsid w:val="00DA5D6C"/>
    <w:rsid w:val="00DA70DD"/>
    <w:rsid w:val="00DA7140"/>
    <w:rsid w:val="00DB54C6"/>
    <w:rsid w:val="00DC1069"/>
    <w:rsid w:val="00DC5028"/>
    <w:rsid w:val="00DC631A"/>
    <w:rsid w:val="00DD160C"/>
    <w:rsid w:val="00DD2BFF"/>
    <w:rsid w:val="00DD63BE"/>
    <w:rsid w:val="00DE31AC"/>
    <w:rsid w:val="00DE35AD"/>
    <w:rsid w:val="00DE6996"/>
    <w:rsid w:val="00DE725C"/>
    <w:rsid w:val="00DE77B4"/>
    <w:rsid w:val="00DE7E15"/>
    <w:rsid w:val="00DF0B36"/>
    <w:rsid w:val="00E030E3"/>
    <w:rsid w:val="00E04F68"/>
    <w:rsid w:val="00E05A7E"/>
    <w:rsid w:val="00E074F3"/>
    <w:rsid w:val="00E07C33"/>
    <w:rsid w:val="00E22B4E"/>
    <w:rsid w:val="00E2436B"/>
    <w:rsid w:val="00E3083D"/>
    <w:rsid w:val="00E3363F"/>
    <w:rsid w:val="00E47C9D"/>
    <w:rsid w:val="00E50C8A"/>
    <w:rsid w:val="00E51686"/>
    <w:rsid w:val="00E53BF2"/>
    <w:rsid w:val="00E55889"/>
    <w:rsid w:val="00E65B85"/>
    <w:rsid w:val="00E671AF"/>
    <w:rsid w:val="00E73812"/>
    <w:rsid w:val="00E73AE3"/>
    <w:rsid w:val="00E74E31"/>
    <w:rsid w:val="00E771FC"/>
    <w:rsid w:val="00E814F2"/>
    <w:rsid w:val="00E837C9"/>
    <w:rsid w:val="00E83841"/>
    <w:rsid w:val="00E83C47"/>
    <w:rsid w:val="00E94EE0"/>
    <w:rsid w:val="00EA038D"/>
    <w:rsid w:val="00EA3849"/>
    <w:rsid w:val="00EA42D1"/>
    <w:rsid w:val="00EA5AE8"/>
    <w:rsid w:val="00EB1305"/>
    <w:rsid w:val="00EC5E47"/>
    <w:rsid w:val="00ED1AEB"/>
    <w:rsid w:val="00ED4CA3"/>
    <w:rsid w:val="00ED6E7C"/>
    <w:rsid w:val="00EF50AB"/>
    <w:rsid w:val="00F02801"/>
    <w:rsid w:val="00F145B2"/>
    <w:rsid w:val="00F17908"/>
    <w:rsid w:val="00F36492"/>
    <w:rsid w:val="00F373AA"/>
    <w:rsid w:val="00F379A5"/>
    <w:rsid w:val="00F46D05"/>
    <w:rsid w:val="00F5300D"/>
    <w:rsid w:val="00F543BD"/>
    <w:rsid w:val="00F63002"/>
    <w:rsid w:val="00F6327C"/>
    <w:rsid w:val="00F66698"/>
    <w:rsid w:val="00F7221F"/>
    <w:rsid w:val="00F8220E"/>
    <w:rsid w:val="00F8619C"/>
    <w:rsid w:val="00F909A2"/>
    <w:rsid w:val="00F96059"/>
    <w:rsid w:val="00FA1BB5"/>
    <w:rsid w:val="00FC314F"/>
    <w:rsid w:val="00FC3256"/>
    <w:rsid w:val="00FD08AF"/>
    <w:rsid w:val="00FD6C4E"/>
    <w:rsid w:val="00FE06CF"/>
    <w:rsid w:val="00FE1755"/>
    <w:rsid w:val="00FE21E7"/>
    <w:rsid w:val="00FE7579"/>
    <w:rsid w:val="00FF5834"/>
    <w:rsid w:val="1D9DC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6067"/>
  <w15:chartTrackingRefBased/>
  <w15:docId w15:val="{21DE0EEA-3218-4C0C-8C94-7C51DA87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05C"/>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02305C"/>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02305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305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2305C"/>
    <w:rPr>
      <w:rFonts w:ascii="Arial" w:eastAsia="Times New Roman" w:hAnsi="Arial" w:cs="Arial"/>
      <w:b/>
      <w:bCs/>
      <w:sz w:val="26"/>
      <w:szCs w:val="26"/>
      <w:lang w:eastAsia="pl-PL"/>
    </w:rPr>
  </w:style>
  <w:style w:type="table" w:styleId="Tabela-Siatka">
    <w:name w:val="Table Grid"/>
    <w:basedOn w:val="Standardowy"/>
    <w:uiPriority w:val="99"/>
    <w:rsid w:val="0002305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230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05C"/>
    <w:rPr>
      <w:rFonts w:ascii="Tahoma" w:eastAsia="Calibri" w:hAnsi="Tahoma" w:cs="Tahoma"/>
      <w:sz w:val="16"/>
      <w:szCs w:val="16"/>
    </w:rPr>
  </w:style>
  <w:style w:type="paragraph" w:styleId="Nagwek">
    <w:name w:val="header"/>
    <w:basedOn w:val="Normalny"/>
    <w:link w:val="NagwekZnak"/>
    <w:uiPriority w:val="99"/>
    <w:unhideWhenUsed/>
    <w:rsid w:val="0002305C"/>
    <w:pPr>
      <w:tabs>
        <w:tab w:val="center" w:pos="4536"/>
        <w:tab w:val="right" w:pos="9072"/>
      </w:tabs>
      <w:spacing w:line="240" w:lineRule="auto"/>
    </w:pPr>
  </w:style>
  <w:style w:type="character" w:customStyle="1" w:styleId="NagwekZnak">
    <w:name w:val="Nagłówek Znak"/>
    <w:basedOn w:val="Domylnaczcionkaakapitu"/>
    <w:link w:val="Nagwek"/>
    <w:uiPriority w:val="99"/>
    <w:rsid w:val="0002305C"/>
    <w:rPr>
      <w:rFonts w:ascii="Calibri" w:eastAsia="Calibri" w:hAnsi="Calibri" w:cs="Times New Roman"/>
    </w:rPr>
  </w:style>
  <w:style w:type="paragraph" w:styleId="Stopka">
    <w:name w:val="footer"/>
    <w:basedOn w:val="Normalny"/>
    <w:link w:val="StopkaZnak"/>
    <w:uiPriority w:val="99"/>
    <w:unhideWhenUsed/>
    <w:rsid w:val="0002305C"/>
    <w:pPr>
      <w:tabs>
        <w:tab w:val="center" w:pos="4536"/>
        <w:tab w:val="right" w:pos="9072"/>
      </w:tabs>
      <w:spacing w:line="240" w:lineRule="auto"/>
    </w:pPr>
  </w:style>
  <w:style w:type="character" w:customStyle="1" w:styleId="StopkaZnak">
    <w:name w:val="Stopka Znak"/>
    <w:basedOn w:val="Domylnaczcionkaakapitu"/>
    <w:link w:val="Stopka"/>
    <w:uiPriority w:val="99"/>
    <w:rsid w:val="0002305C"/>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2305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05C"/>
    <w:rPr>
      <w:rFonts w:ascii="Calibri" w:eastAsia="Calibri" w:hAnsi="Calibri" w:cs="Times New Roman"/>
      <w:sz w:val="20"/>
      <w:szCs w:val="20"/>
    </w:rPr>
  </w:style>
  <w:style w:type="character" w:styleId="Odwoanieprzypisukocowego">
    <w:name w:val="endnote reference"/>
    <w:uiPriority w:val="99"/>
    <w:semiHidden/>
    <w:unhideWhenUsed/>
    <w:rsid w:val="0002305C"/>
    <w:rPr>
      <w:vertAlign w:val="superscript"/>
    </w:rPr>
  </w:style>
  <w:style w:type="paragraph" w:styleId="Akapitzlist">
    <w:name w:val="List Paragraph"/>
    <w:basedOn w:val="Normalny"/>
    <w:link w:val="AkapitzlistZnak"/>
    <w:uiPriority w:val="34"/>
    <w:qFormat/>
    <w:rsid w:val="0002305C"/>
    <w:pPr>
      <w:ind w:left="720"/>
      <w:contextualSpacing/>
    </w:pPr>
  </w:style>
  <w:style w:type="character" w:styleId="Odwoaniedokomentarza">
    <w:name w:val="annotation reference"/>
    <w:uiPriority w:val="99"/>
    <w:semiHidden/>
    <w:unhideWhenUsed/>
    <w:rsid w:val="0002305C"/>
    <w:rPr>
      <w:sz w:val="16"/>
      <w:szCs w:val="16"/>
    </w:rPr>
  </w:style>
  <w:style w:type="paragraph" w:styleId="Tekstkomentarza">
    <w:name w:val="annotation text"/>
    <w:basedOn w:val="Normalny"/>
    <w:link w:val="TekstkomentarzaZnak"/>
    <w:uiPriority w:val="99"/>
    <w:unhideWhenUsed/>
    <w:rsid w:val="0002305C"/>
    <w:rPr>
      <w:sz w:val="20"/>
      <w:szCs w:val="20"/>
    </w:rPr>
  </w:style>
  <w:style w:type="character" w:customStyle="1" w:styleId="TekstkomentarzaZnak">
    <w:name w:val="Tekst komentarza Znak"/>
    <w:basedOn w:val="Domylnaczcionkaakapitu"/>
    <w:link w:val="Tekstkomentarza"/>
    <w:uiPriority w:val="99"/>
    <w:rsid w:val="0002305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2305C"/>
    <w:rPr>
      <w:b/>
      <w:bCs/>
    </w:rPr>
  </w:style>
  <w:style w:type="character" w:customStyle="1" w:styleId="TematkomentarzaZnak">
    <w:name w:val="Temat komentarza Znak"/>
    <w:basedOn w:val="TekstkomentarzaZnak"/>
    <w:link w:val="Tematkomentarza"/>
    <w:uiPriority w:val="99"/>
    <w:semiHidden/>
    <w:rsid w:val="0002305C"/>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02305C"/>
    <w:rPr>
      <w:sz w:val="20"/>
      <w:szCs w:val="20"/>
    </w:rPr>
  </w:style>
  <w:style w:type="character" w:customStyle="1" w:styleId="TekstprzypisudolnegoZnak">
    <w:name w:val="Tekst przypisu dolnego Znak"/>
    <w:basedOn w:val="Domylnaczcionkaakapitu"/>
    <w:link w:val="Tekstprzypisudolnego"/>
    <w:uiPriority w:val="99"/>
    <w:rsid w:val="0002305C"/>
    <w:rPr>
      <w:rFonts w:ascii="Calibri" w:eastAsia="Calibri" w:hAnsi="Calibri" w:cs="Times New Roman"/>
      <w:sz w:val="20"/>
      <w:szCs w:val="20"/>
    </w:rPr>
  </w:style>
  <w:style w:type="character" w:styleId="Odwoanieprzypisudolnego">
    <w:name w:val="footnote reference"/>
    <w:uiPriority w:val="99"/>
    <w:semiHidden/>
    <w:unhideWhenUsed/>
    <w:rsid w:val="0002305C"/>
    <w:rPr>
      <w:vertAlign w:val="superscript"/>
    </w:rPr>
  </w:style>
  <w:style w:type="character" w:styleId="Hipercze">
    <w:name w:val="Hyperlink"/>
    <w:uiPriority w:val="99"/>
    <w:unhideWhenUsed/>
    <w:rsid w:val="0002305C"/>
    <w:rPr>
      <w:color w:val="0000FF"/>
      <w:u w:val="single"/>
    </w:rPr>
  </w:style>
  <w:style w:type="character" w:styleId="UyteHipercze">
    <w:name w:val="FollowedHyperlink"/>
    <w:uiPriority w:val="99"/>
    <w:semiHidden/>
    <w:unhideWhenUsed/>
    <w:rsid w:val="0002305C"/>
    <w:rPr>
      <w:color w:val="800080"/>
      <w:u w:val="single"/>
    </w:rPr>
  </w:style>
  <w:style w:type="paragraph" w:customStyle="1" w:styleId="pchanged">
    <w:name w:val="p.changed"/>
    <w:rsid w:val="0002305C"/>
    <w:pPr>
      <w:widowControl w:val="0"/>
      <w:autoSpaceDE w:val="0"/>
      <w:autoSpaceDN w:val="0"/>
      <w:adjustRightInd w:val="0"/>
      <w:spacing w:after="0" w:line="40" w:lineRule="atLeast"/>
      <w:jc w:val="both"/>
    </w:pPr>
    <w:rPr>
      <w:rFonts w:ascii="Arial" w:eastAsia="Times New Roman" w:hAnsi="Arial" w:cs="Arial"/>
      <w:color w:val="FF0000"/>
      <w:sz w:val="18"/>
      <w:szCs w:val="18"/>
      <w:lang w:eastAsia="pl-PL"/>
    </w:rPr>
  </w:style>
  <w:style w:type="character" w:styleId="Pogrubienie">
    <w:name w:val="Strong"/>
    <w:qFormat/>
    <w:rsid w:val="0002305C"/>
    <w:rPr>
      <w:rFonts w:ascii="Times New Roman" w:hAnsi="Times New Roman" w:cs="Times New Roman" w:hint="default"/>
      <w:b/>
      <w:bCs/>
    </w:rPr>
  </w:style>
  <w:style w:type="paragraph" w:customStyle="1" w:styleId="ManualNumPar1">
    <w:name w:val="Manual NumPar 1"/>
    <w:basedOn w:val="Normalny"/>
    <w:next w:val="Normalny"/>
    <w:rsid w:val="0002305C"/>
    <w:pPr>
      <w:tabs>
        <w:tab w:val="left" w:pos="851"/>
      </w:tabs>
      <w:spacing w:before="120" w:after="120" w:line="240" w:lineRule="auto"/>
      <w:ind w:left="850" w:hanging="850"/>
      <w:jc w:val="both"/>
    </w:pPr>
    <w:rPr>
      <w:rFonts w:ascii="Times New Roman" w:eastAsia="Times New Roman" w:hAnsi="Times New Roman"/>
      <w:sz w:val="24"/>
      <w:szCs w:val="24"/>
      <w:lang w:val="en-GB" w:eastAsia="fr-BE"/>
    </w:rPr>
  </w:style>
  <w:style w:type="paragraph" w:customStyle="1" w:styleId="Akapitzlist1">
    <w:name w:val="Akapit z listą1"/>
    <w:basedOn w:val="Normalny"/>
    <w:rsid w:val="0002305C"/>
    <w:pPr>
      <w:spacing w:after="200"/>
      <w:ind w:left="720"/>
      <w:contextualSpacing/>
    </w:pPr>
    <w:rPr>
      <w:rFonts w:eastAsia="Times New Roman"/>
    </w:rPr>
  </w:style>
  <w:style w:type="paragraph" w:customStyle="1" w:styleId="Default">
    <w:name w:val="Default"/>
    <w:rsid w:val="000230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02305C"/>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2305C"/>
    <w:rPr>
      <w:rFonts w:ascii="Times New Roman" w:eastAsia="Times New Roman" w:hAnsi="Times New Roman" w:cs="Times New Roman"/>
      <w:sz w:val="24"/>
      <w:szCs w:val="24"/>
      <w:lang w:eastAsia="pl-PL"/>
    </w:rPr>
  </w:style>
  <w:style w:type="paragraph" w:customStyle="1" w:styleId="CM1">
    <w:name w:val="CM1"/>
    <w:basedOn w:val="Default"/>
    <w:next w:val="Default"/>
    <w:rsid w:val="0002305C"/>
    <w:rPr>
      <w:rFonts w:ascii="EUAlbertina" w:hAnsi="EUAlbertina"/>
      <w:color w:val="auto"/>
    </w:rPr>
  </w:style>
  <w:style w:type="paragraph" w:customStyle="1" w:styleId="CM3">
    <w:name w:val="CM3"/>
    <w:basedOn w:val="Default"/>
    <w:next w:val="Default"/>
    <w:rsid w:val="0002305C"/>
    <w:rPr>
      <w:rFonts w:ascii="EUAlbertina" w:hAnsi="EUAlbertina"/>
      <w:color w:val="auto"/>
    </w:rPr>
  </w:style>
  <w:style w:type="paragraph" w:customStyle="1" w:styleId="CM4">
    <w:name w:val="CM4"/>
    <w:basedOn w:val="Default"/>
    <w:next w:val="Default"/>
    <w:rsid w:val="0002305C"/>
    <w:rPr>
      <w:rFonts w:ascii="EUAlbertina" w:hAnsi="EUAlbertina"/>
      <w:color w:val="auto"/>
    </w:rPr>
  </w:style>
  <w:style w:type="paragraph" w:customStyle="1" w:styleId="p">
    <w:name w:val="p"/>
    <w:rsid w:val="0002305C"/>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customStyle="1" w:styleId="parinner">
    <w:name w:val="parinner"/>
    <w:basedOn w:val="Normalny"/>
    <w:rsid w:val="0002305C"/>
    <w:pPr>
      <w:spacing w:before="30" w:after="45" w:line="240" w:lineRule="auto"/>
    </w:pPr>
    <w:rPr>
      <w:rFonts w:ascii="Times New Roman" w:eastAsia="Times New Roman" w:hAnsi="Times New Roman"/>
      <w:sz w:val="24"/>
      <w:szCs w:val="24"/>
      <w:lang w:eastAsia="pl-PL"/>
    </w:rPr>
  </w:style>
  <w:style w:type="paragraph" w:customStyle="1" w:styleId="ppkt">
    <w:name w:val="p.pkt"/>
    <w:rsid w:val="0002305C"/>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paragraph" w:customStyle="1" w:styleId="divpkt">
    <w:name w:val="div.pkt"/>
    <w:rsid w:val="0002305C"/>
    <w:pPr>
      <w:widowControl w:val="0"/>
      <w:autoSpaceDE w:val="0"/>
      <w:autoSpaceDN w:val="0"/>
      <w:adjustRightInd w:val="0"/>
      <w:spacing w:after="0" w:line="40" w:lineRule="atLeast"/>
      <w:ind w:left="460"/>
      <w:jc w:val="both"/>
    </w:pPr>
    <w:rPr>
      <w:rFonts w:ascii="Arial" w:eastAsia="Times New Roman" w:hAnsi="Arial" w:cs="Arial"/>
      <w:color w:val="000000"/>
      <w:sz w:val="18"/>
      <w:szCs w:val="18"/>
      <w:lang w:eastAsia="pl-PL"/>
    </w:rPr>
  </w:style>
  <w:style w:type="paragraph" w:styleId="NormalnyWeb">
    <w:name w:val="Normal (Web)"/>
    <w:basedOn w:val="Normalny"/>
    <w:rsid w:val="0002305C"/>
    <w:pPr>
      <w:spacing w:before="32" w:after="47"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02305C"/>
    <w:pPr>
      <w:spacing w:after="200"/>
      <w:jc w:val="center"/>
    </w:pPr>
    <w:rPr>
      <w:b/>
      <w:sz w:val="28"/>
    </w:rPr>
  </w:style>
  <w:style w:type="character" w:customStyle="1" w:styleId="TytuZnak">
    <w:name w:val="Tytuł Znak"/>
    <w:basedOn w:val="Domylnaczcionkaakapitu"/>
    <w:link w:val="Tytu"/>
    <w:rsid w:val="0002305C"/>
    <w:rPr>
      <w:rFonts w:ascii="Calibri" w:eastAsia="Calibri" w:hAnsi="Calibri" w:cs="Times New Roman"/>
      <w:b/>
      <w:sz w:val="28"/>
    </w:rPr>
  </w:style>
  <w:style w:type="character" w:customStyle="1" w:styleId="FootnoteTextChar">
    <w:name w:val="Footnote Text Char"/>
    <w:semiHidden/>
    <w:locked/>
    <w:rsid w:val="0002305C"/>
    <w:rPr>
      <w:rFonts w:cs="Times New Roman"/>
      <w:sz w:val="20"/>
      <w:szCs w:val="20"/>
    </w:rPr>
  </w:style>
  <w:style w:type="table" w:customStyle="1" w:styleId="Tabela-Siatka1">
    <w:name w:val="Tabela - Siatka1"/>
    <w:basedOn w:val="Standardowy"/>
    <w:next w:val="Tabela-Siatka"/>
    <w:uiPriority w:val="39"/>
    <w:rsid w:val="00BE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B1D0C"/>
    <w:rPr>
      <w:sz w:val="21"/>
      <w:szCs w:val="21"/>
      <w:shd w:val="clear" w:color="auto" w:fill="FFFFFF"/>
    </w:rPr>
  </w:style>
  <w:style w:type="paragraph" w:customStyle="1" w:styleId="Teksttreci0">
    <w:name w:val="Tekst treści"/>
    <w:basedOn w:val="Normalny"/>
    <w:link w:val="Teksttreci"/>
    <w:rsid w:val="005B1D0C"/>
    <w:pPr>
      <w:widowControl w:val="0"/>
      <w:shd w:val="clear" w:color="auto" w:fill="FFFFFF"/>
      <w:spacing w:before="120" w:line="0" w:lineRule="atLeast"/>
      <w:ind w:hanging="340"/>
      <w:jc w:val="both"/>
    </w:pPr>
    <w:rPr>
      <w:rFonts w:asciiTheme="minorHAnsi" w:eastAsiaTheme="minorHAnsi" w:hAnsiTheme="minorHAnsi" w:cstheme="minorBidi"/>
      <w:sz w:val="21"/>
      <w:szCs w:val="21"/>
    </w:rPr>
  </w:style>
  <w:style w:type="paragraph" w:styleId="Poprawka">
    <w:name w:val="Revision"/>
    <w:hidden/>
    <w:uiPriority w:val="99"/>
    <w:semiHidden/>
    <w:rsid w:val="00CA5F86"/>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C364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5898">
      <w:bodyDiv w:val="1"/>
      <w:marLeft w:val="0"/>
      <w:marRight w:val="0"/>
      <w:marTop w:val="0"/>
      <w:marBottom w:val="0"/>
      <w:divBdr>
        <w:top w:val="none" w:sz="0" w:space="0" w:color="auto"/>
        <w:left w:val="none" w:sz="0" w:space="0" w:color="auto"/>
        <w:bottom w:val="none" w:sz="0" w:space="0" w:color="auto"/>
        <w:right w:val="none" w:sz="0" w:space="0" w:color="auto"/>
      </w:divBdr>
    </w:div>
    <w:div w:id="462233822">
      <w:bodyDiv w:val="1"/>
      <w:marLeft w:val="0"/>
      <w:marRight w:val="0"/>
      <w:marTop w:val="0"/>
      <w:marBottom w:val="0"/>
      <w:divBdr>
        <w:top w:val="none" w:sz="0" w:space="0" w:color="auto"/>
        <w:left w:val="none" w:sz="0" w:space="0" w:color="auto"/>
        <w:bottom w:val="none" w:sz="0" w:space="0" w:color="auto"/>
        <w:right w:val="none" w:sz="0" w:space="0" w:color="auto"/>
      </w:divBdr>
    </w:div>
    <w:div w:id="804471308">
      <w:bodyDiv w:val="1"/>
      <w:marLeft w:val="0"/>
      <w:marRight w:val="0"/>
      <w:marTop w:val="0"/>
      <w:marBottom w:val="0"/>
      <w:divBdr>
        <w:top w:val="none" w:sz="0" w:space="0" w:color="auto"/>
        <w:left w:val="none" w:sz="0" w:space="0" w:color="auto"/>
        <w:bottom w:val="none" w:sz="0" w:space="0" w:color="auto"/>
        <w:right w:val="none" w:sz="0" w:space="0" w:color="auto"/>
      </w:divBdr>
    </w:div>
    <w:div w:id="1230732695">
      <w:bodyDiv w:val="1"/>
      <w:marLeft w:val="0"/>
      <w:marRight w:val="0"/>
      <w:marTop w:val="0"/>
      <w:marBottom w:val="0"/>
      <w:divBdr>
        <w:top w:val="none" w:sz="0" w:space="0" w:color="auto"/>
        <w:left w:val="none" w:sz="0" w:space="0" w:color="auto"/>
        <w:bottom w:val="none" w:sz="0" w:space="0" w:color="auto"/>
        <w:right w:val="none" w:sz="0" w:space="0" w:color="auto"/>
      </w:divBdr>
    </w:div>
    <w:div w:id="1303383018">
      <w:bodyDiv w:val="1"/>
      <w:marLeft w:val="0"/>
      <w:marRight w:val="0"/>
      <w:marTop w:val="0"/>
      <w:marBottom w:val="0"/>
      <w:divBdr>
        <w:top w:val="none" w:sz="0" w:space="0" w:color="auto"/>
        <w:left w:val="none" w:sz="0" w:space="0" w:color="auto"/>
        <w:bottom w:val="none" w:sz="0" w:space="0" w:color="auto"/>
        <w:right w:val="none" w:sz="0" w:space="0" w:color="auto"/>
      </w:divBdr>
    </w:div>
    <w:div w:id="1453862354">
      <w:bodyDiv w:val="1"/>
      <w:marLeft w:val="0"/>
      <w:marRight w:val="0"/>
      <w:marTop w:val="0"/>
      <w:marBottom w:val="0"/>
      <w:divBdr>
        <w:top w:val="none" w:sz="0" w:space="0" w:color="auto"/>
        <w:left w:val="none" w:sz="0" w:space="0" w:color="auto"/>
        <w:bottom w:val="none" w:sz="0" w:space="0" w:color="auto"/>
        <w:right w:val="none" w:sz="0" w:space="0" w:color="auto"/>
      </w:divBdr>
    </w:div>
    <w:div w:id="1609854413">
      <w:bodyDiv w:val="1"/>
      <w:marLeft w:val="0"/>
      <w:marRight w:val="0"/>
      <w:marTop w:val="0"/>
      <w:marBottom w:val="0"/>
      <w:divBdr>
        <w:top w:val="none" w:sz="0" w:space="0" w:color="auto"/>
        <w:left w:val="none" w:sz="0" w:space="0" w:color="auto"/>
        <w:bottom w:val="none" w:sz="0" w:space="0" w:color="auto"/>
        <w:right w:val="none" w:sz="0" w:space="0" w:color="auto"/>
      </w:divBdr>
    </w:div>
    <w:div w:id="1682047618">
      <w:bodyDiv w:val="1"/>
      <w:marLeft w:val="0"/>
      <w:marRight w:val="0"/>
      <w:marTop w:val="0"/>
      <w:marBottom w:val="0"/>
      <w:divBdr>
        <w:top w:val="none" w:sz="0" w:space="0" w:color="auto"/>
        <w:left w:val="none" w:sz="0" w:space="0" w:color="auto"/>
        <w:bottom w:val="none" w:sz="0" w:space="0" w:color="auto"/>
        <w:right w:val="none" w:sz="0" w:space="0" w:color="auto"/>
      </w:divBdr>
    </w:div>
    <w:div w:id="17107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p.pl/home.aspx?navid=archa&amp;c=/ascx/tabarch.ascx&amp;n=a252z1612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lomiej.kolodziej@mf.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412C5FA2EB4B46BAC5DC4BA2051060" ma:contentTypeVersion="" ma:contentTypeDescription="Utwórz nowy dokument." ma:contentTypeScope="" ma:versionID="c83c7060005c84ab4cc4ef9bf5d8cda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BB03-65F3-45D7-B193-05CCD9F4648B}">
  <ds:schemaRefs>
    <ds:schemaRef ds:uri="http://schemas.microsoft.com/sharepoint/v3/contenttype/forms"/>
  </ds:schemaRefs>
</ds:datastoreItem>
</file>

<file path=customXml/itemProps2.xml><?xml version="1.0" encoding="utf-8"?>
<ds:datastoreItem xmlns:ds="http://schemas.openxmlformats.org/officeDocument/2006/customXml" ds:itemID="{1FA5F260-1C41-4289-95C1-CC7D08306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18EC3-D58E-4FE5-A60A-34D0A20B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A71E7F-0111-4B65-A46B-4659393E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6384</Words>
  <Characters>38307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Uldynowicz Barbara</dc:creator>
  <cp:keywords/>
  <dc:description/>
  <cp:lastModifiedBy>KGHM</cp:lastModifiedBy>
  <cp:revision>4</cp:revision>
  <cp:lastPrinted>2020-02-10T06:24:00Z</cp:lastPrinted>
  <dcterms:created xsi:type="dcterms:W3CDTF">2020-10-29T15:50:00Z</dcterms:created>
  <dcterms:modified xsi:type="dcterms:W3CDTF">2020-11-02T12:31:00Z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0x0101002B412C5FA2EB4B46BAC5DC4BA2051060</vt:lpwstr>
  </property>
</Properties>
</file>